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AD798">
      <w:pPr>
        <w:spacing w:before="138" w:line="225" w:lineRule="auto"/>
        <w:rPr>
          <w:rFonts w:ascii="宋体" w:hAnsi="宋体" w:eastAsia="宋体" w:cs="宋体"/>
          <w:color w:val="auto"/>
          <w:sz w:val="31"/>
          <w:szCs w:val="31"/>
          <w:highlight w:val="none"/>
        </w:rPr>
      </w:pPr>
      <w:r>
        <w:rPr>
          <w:rFonts w:hint="eastAsia" w:ascii="宋体" w:hAnsi="宋体" w:eastAsia="宋体" w:cs="宋体"/>
          <w:color w:val="auto"/>
          <w:spacing w:val="24"/>
          <w:sz w:val="31"/>
          <w:szCs w:val="31"/>
          <w:highlight w:val="none"/>
          <w14:textOutline w14:w="5791" w14:cap="flat" w14:cmpd="sng" w14:algn="ctr">
            <w14:solidFill>
              <w14:srgbClr w14:val="000000"/>
            </w14:solidFill>
            <w14:prstDash w14:val="solid"/>
            <w14:miter w14:val="0"/>
          </w14:textOutline>
        </w:rPr>
        <w:t>(</w:t>
      </w:r>
      <w:r>
        <w:rPr>
          <w:rFonts w:hint="eastAsia" w:ascii="宋体" w:hAnsi="宋体" w:eastAsia="宋体" w:cs="宋体"/>
          <w:b/>
          <w:bCs/>
          <w:color w:val="auto"/>
          <w:sz w:val="31"/>
          <w:szCs w:val="31"/>
          <w:highlight w:val="none"/>
        </w:rPr>
        <w:t>GF</w:t>
      </w:r>
      <w:r>
        <w:rPr>
          <w:rFonts w:hint="eastAsia" w:ascii="宋体" w:hAnsi="宋体" w:eastAsia="宋体" w:cs="宋体"/>
          <w:b/>
          <w:bCs/>
          <w:color w:val="auto"/>
          <w:spacing w:val="17"/>
          <w:sz w:val="31"/>
          <w:szCs w:val="31"/>
          <w:highlight w:val="none"/>
        </w:rPr>
        <w:t>—2017—0201</w:t>
      </w:r>
      <w:r>
        <w:rPr>
          <w:rFonts w:hint="eastAsia" w:ascii="宋体" w:hAnsi="宋体" w:eastAsia="宋体" w:cs="宋体"/>
          <w:color w:val="auto"/>
          <w:spacing w:val="17"/>
          <w:sz w:val="31"/>
          <w:szCs w:val="31"/>
          <w:highlight w:val="none"/>
          <w14:textOutline w14:w="5791" w14:cap="flat" w14:cmpd="sng" w14:algn="ctr">
            <w14:solidFill>
              <w14:srgbClr w14:val="000000"/>
            </w14:solidFill>
            <w14:prstDash w14:val="solid"/>
            <w14:miter w14:val="0"/>
          </w14:textOutline>
        </w:rPr>
        <w:t>)</w:t>
      </w:r>
    </w:p>
    <w:p w14:paraId="0D54E3C1">
      <w:pPr>
        <w:spacing w:line="242" w:lineRule="auto"/>
        <w:rPr>
          <w:rFonts w:ascii="宋体" w:hAnsi="宋体" w:eastAsia="宋体" w:cs="宋体"/>
          <w:color w:val="auto"/>
          <w:highlight w:val="none"/>
        </w:rPr>
      </w:pPr>
    </w:p>
    <w:p w14:paraId="16CD811D">
      <w:pPr>
        <w:spacing w:line="242" w:lineRule="auto"/>
        <w:rPr>
          <w:rFonts w:ascii="宋体" w:hAnsi="宋体" w:eastAsia="宋体" w:cs="宋体"/>
          <w:color w:val="auto"/>
          <w:highlight w:val="none"/>
        </w:rPr>
      </w:pPr>
    </w:p>
    <w:p w14:paraId="17CDD492">
      <w:pPr>
        <w:spacing w:line="242" w:lineRule="auto"/>
        <w:rPr>
          <w:rFonts w:ascii="宋体" w:hAnsi="宋体" w:eastAsia="宋体" w:cs="宋体"/>
          <w:color w:val="auto"/>
          <w:highlight w:val="none"/>
        </w:rPr>
      </w:pPr>
    </w:p>
    <w:p w14:paraId="40488314">
      <w:pPr>
        <w:spacing w:line="242" w:lineRule="auto"/>
        <w:rPr>
          <w:rFonts w:ascii="宋体" w:hAnsi="宋体" w:eastAsia="宋体" w:cs="宋体"/>
          <w:color w:val="auto"/>
          <w:highlight w:val="none"/>
        </w:rPr>
      </w:pPr>
    </w:p>
    <w:p w14:paraId="2888B8CC">
      <w:pPr>
        <w:spacing w:line="242" w:lineRule="auto"/>
        <w:rPr>
          <w:rFonts w:ascii="宋体" w:hAnsi="宋体" w:eastAsia="宋体" w:cs="宋体"/>
          <w:color w:val="auto"/>
          <w:highlight w:val="none"/>
        </w:rPr>
      </w:pPr>
    </w:p>
    <w:p w14:paraId="5573CD10">
      <w:pPr>
        <w:spacing w:line="242" w:lineRule="auto"/>
        <w:rPr>
          <w:rFonts w:ascii="宋体" w:hAnsi="宋体" w:eastAsia="宋体" w:cs="宋体"/>
          <w:color w:val="auto"/>
          <w:highlight w:val="none"/>
        </w:rPr>
      </w:pPr>
    </w:p>
    <w:p w14:paraId="1FEFD63E">
      <w:pPr>
        <w:spacing w:line="242" w:lineRule="auto"/>
        <w:rPr>
          <w:rFonts w:ascii="宋体" w:hAnsi="宋体" w:eastAsia="宋体" w:cs="宋体"/>
          <w:color w:val="auto"/>
          <w:highlight w:val="none"/>
        </w:rPr>
      </w:pPr>
    </w:p>
    <w:p w14:paraId="595DB86F">
      <w:pPr>
        <w:spacing w:line="242" w:lineRule="auto"/>
        <w:rPr>
          <w:rFonts w:ascii="宋体" w:hAnsi="宋体" w:eastAsia="宋体" w:cs="宋体"/>
          <w:color w:val="auto"/>
          <w:highlight w:val="none"/>
        </w:rPr>
      </w:pPr>
    </w:p>
    <w:p w14:paraId="2E4362B7">
      <w:pPr>
        <w:spacing w:line="242" w:lineRule="auto"/>
        <w:rPr>
          <w:rFonts w:ascii="宋体" w:hAnsi="宋体" w:eastAsia="宋体" w:cs="宋体"/>
          <w:color w:val="auto"/>
          <w:highlight w:val="none"/>
        </w:rPr>
      </w:pPr>
    </w:p>
    <w:p w14:paraId="40A9A5ED">
      <w:pPr>
        <w:spacing w:line="242" w:lineRule="auto"/>
        <w:rPr>
          <w:rFonts w:ascii="宋体" w:hAnsi="宋体" w:eastAsia="宋体" w:cs="宋体"/>
          <w:color w:val="auto"/>
          <w:highlight w:val="none"/>
        </w:rPr>
      </w:pPr>
    </w:p>
    <w:p w14:paraId="77988CB5">
      <w:pPr>
        <w:spacing w:line="242" w:lineRule="auto"/>
        <w:rPr>
          <w:rFonts w:ascii="宋体" w:hAnsi="宋体" w:eastAsia="宋体" w:cs="宋体"/>
          <w:color w:val="auto"/>
          <w:highlight w:val="none"/>
        </w:rPr>
      </w:pPr>
    </w:p>
    <w:p w14:paraId="6DBF4FB5">
      <w:pPr>
        <w:spacing w:line="242" w:lineRule="auto"/>
        <w:rPr>
          <w:rFonts w:ascii="宋体" w:hAnsi="宋体" w:eastAsia="宋体" w:cs="宋体"/>
          <w:color w:val="auto"/>
          <w:highlight w:val="none"/>
        </w:rPr>
      </w:pPr>
    </w:p>
    <w:p w14:paraId="581FDED6">
      <w:pPr>
        <w:spacing w:line="242" w:lineRule="auto"/>
        <w:rPr>
          <w:rFonts w:ascii="宋体" w:hAnsi="宋体" w:eastAsia="宋体" w:cs="宋体"/>
          <w:color w:val="auto"/>
          <w:highlight w:val="none"/>
        </w:rPr>
      </w:pPr>
    </w:p>
    <w:p w14:paraId="53F5FE54">
      <w:pPr>
        <w:spacing w:line="242" w:lineRule="auto"/>
        <w:rPr>
          <w:rFonts w:ascii="宋体" w:hAnsi="宋体" w:eastAsia="宋体" w:cs="宋体"/>
          <w:color w:val="auto"/>
          <w:highlight w:val="none"/>
        </w:rPr>
      </w:pPr>
    </w:p>
    <w:p w14:paraId="5C7469BE">
      <w:pPr>
        <w:spacing w:line="243" w:lineRule="auto"/>
        <w:rPr>
          <w:rFonts w:ascii="宋体" w:hAnsi="宋体" w:eastAsia="宋体" w:cs="宋体"/>
          <w:color w:val="auto"/>
          <w:highlight w:val="none"/>
        </w:rPr>
      </w:pPr>
    </w:p>
    <w:p w14:paraId="47DA34A1">
      <w:pPr>
        <w:spacing w:line="243" w:lineRule="auto"/>
        <w:rPr>
          <w:rFonts w:ascii="宋体" w:hAnsi="宋体" w:eastAsia="宋体" w:cs="宋体"/>
          <w:color w:val="auto"/>
          <w:highlight w:val="none"/>
        </w:rPr>
      </w:pPr>
    </w:p>
    <w:p w14:paraId="3DEB0681">
      <w:pPr>
        <w:spacing w:before="169" w:line="221" w:lineRule="auto"/>
        <w:ind w:left="2311"/>
        <w:outlineLvl w:val="0"/>
        <w:rPr>
          <w:rFonts w:ascii="宋体" w:hAnsi="宋体" w:eastAsia="宋体" w:cs="宋体"/>
          <w:color w:val="auto"/>
          <w:sz w:val="52"/>
          <w:szCs w:val="52"/>
          <w:highlight w:val="none"/>
        </w:rPr>
      </w:pPr>
      <w:bookmarkStart w:id="0" w:name="_Toc7624"/>
      <w:bookmarkStart w:id="1" w:name="_Toc28415"/>
      <w:bookmarkStart w:id="2" w:name="_Toc20640"/>
      <w:bookmarkStart w:id="3" w:name="_Toc31640"/>
      <w:bookmarkStart w:id="4" w:name="_Toc30780"/>
      <w:r>
        <w:rPr>
          <w:rFonts w:hint="eastAsia" w:ascii="宋体" w:hAnsi="宋体" w:eastAsia="宋体" w:cs="宋体"/>
          <w:color w:val="auto"/>
          <w:spacing w:val="-1"/>
          <w:sz w:val="52"/>
          <w:szCs w:val="52"/>
          <w:highlight w:val="none"/>
          <w14:textOutline w14:w="9448" w14:cap="flat" w14:cmpd="sng" w14:algn="ctr">
            <w14:solidFill>
              <w14:srgbClr w14:val="000000"/>
            </w14:solidFill>
            <w14:prstDash w14:val="solid"/>
            <w14:miter w14:val="0"/>
          </w14:textOutline>
        </w:rPr>
        <w:t>建设工程施</w:t>
      </w:r>
      <w:r>
        <w:rPr>
          <w:rFonts w:hint="eastAsia" w:ascii="宋体" w:hAnsi="宋体" w:eastAsia="宋体" w:cs="宋体"/>
          <w:color w:val="auto"/>
          <w:sz w:val="52"/>
          <w:szCs w:val="52"/>
          <w:highlight w:val="none"/>
          <w14:textOutline w14:w="9448" w14:cap="flat" w14:cmpd="sng" w14:algn="ctr">
            <w14:solidFill>
              <w14:srgbClr w14:val="000000"/>
            </w14:solidFill>
            <w14:prstDash w14:val="solid"/>
            <w14:miter w14:val="0"/>
          </w14:textOutline>
        </w:rPr>
        <w:t>工合同</w:t>
      </w:r>
      <w:bookmarkEnd w:id="0"/>
      <w:bookmarkEnd w:id="1"/>
      <w:bookmarkEnd w:id="2"/>
      <w:bookmarkEnd w:id="3"/>
      <w:bookmarkEnd w:id="4"/>
    </w:p>
    <w:p w14:paraId="00E22E97">
      <w:pPr>
        <w:spacing w:line="249" w:lineRule="auto"/>
        <w:rPr>
          <w:rFonts w:ascii="宋体" w:hAnsi="宋体" w:eastAsia="宋体" w:cs="宋体"/>
          <w:color w:val="auto"/>
          <w:highlight w:val="none"/>
        </w:rPr>
      </w:pPr>
    </w:p>
    <w:p w14:paraId="2CFE134B">
      <w:pPr>
        <w:spacing w:line="249" w:lineRule="auto"/>
        <w:rPr>
          <w:rFonts w:ascii="宋体" w:hAnsi="宋体" w:eastAsia="宋体" w:cs="宋体"/>
          <w:color w:val="auto"/>
          <w:highlight w:val="none"/>
        </w:rPr>
      </w:pPr>
    </w:p>
    <w:p w14:paraId="5D9E0AB1">
      <w:pPr>
        <w:spacing w:line="249" w:lineRule="auto"/>
        <w:rPr>
          <w:rFonts w:ascii="宋体" w:hAnsi="宋体" w:eastAsia="宋体" w:cs="宋体"/>
          <w:color w:val="auto"/>
          <w:highlight w:val="none"/>
        </w:rPr>
      </w:pPr>
    </w:p>
    <w:p w14:paraId="74239D41">
      <w:pPr>
        <w:spacing w:line="249" w:lineRule="auto"/>
        <w:rPr>
          <w:rFonts w:ascii="宋体" w:hAnsi="宋体" w:eastAsia="宋体" w:cs="宋体"/>
          <w:color w:val="auto"/>
          <w:highlight w:val="none"/>
        </w:rPr>
      </w:pPr>
    </w:p>
    <w:p w14:paraId="610FA7A9">
      <w:pPr>
        <w:spacing w:line="249" w:lineRule="auto"/>
        <w:rPr>
          <w:rFonts w:ascii="宋体" w:hAnsi="宋体" w:eastAsia="宋体" w:cs="宋体"/>
          <w:color w:val="auto"/>
          <w:highlight w:val="none"/>
        </w:rPr>
      </w:pPr>
    </w:p>
    <w:p w14:paraId="50456A5C">
      <w:pPr>
        <w:spacing w:line="249" w:lineRule="auto"/>
        <w:rPr>
          <w:rFonts w:ascii="宋体" w:hAnsi="宋体" w:eastAsia="宋体" w:cs="宋体"/>
          <w:color w:val="auto"/>
          <w:highlight w:val="none"/>
        </w:rPr>
      </w:pPr>
    </w:p>
    <w:p w14:paraId="438B9859">
      <w:pPr>
        <w:spacing w:line="249" w:lineRule="auto"/>
        <w:rPr>
          <w:rFonts w:ascii="宋体" w:hAnsi="宋体" w:eastAsia="宋体" w:cs="宋体"/>
          <w:color w:val="auto"/>
          <w:highlight w:val="none"/>
        </w:rPr>
      </w:pPr>
    </w:p>
    <w:p w14:paraId="6FEB3D11">
      <w:pPr>
        <w:spacing w:line="250" w:lineRule="auto"/>
        <w:rPr>
          <w:rFonts w:ascii="宋体" w:hAnsi="宋体" w:eastAsia="宋体" w:cs="宋体"/>
          <w:color w:val="auto"/>
          <w:highlight w:val="none"/>
        </w:rPr>
      </w:pPr>
    </w:p>
    <w:p w14:paraId="141BA1A7">
      <w:pPr>
        <w:spacing w:line="250" w:lineRule="auto"/>
        <w:rPr>
          <w:rFonts w:ascii="宋体" w:hAnsi="宋体" w:eastAsia="宋体" w:cs="宋体"/>
          <w:color w:val="auto"/>
          <w:highlight w:val="none"/>
        </w:rPr>
      </w:pPr>
    </w:p>
    <w:p w14:paraId="1D76A418">
      <w:pPr>
        <w:spacing w:line="250" w:lineRule="auto"/>
        <w:rPr>
          <w:rFonts w:ascii="宋体" w:hAnsi="宋体" w:eastAsia="宋体" w:cs="宋体"/>
          <w:color w:val="auto"/>
          <w:highlight w:val="none"/>
        </w:rPr>
      </w:pPr>
    </w:p>
    <w:p w14:paraId="7A1ED249">
      <w:pPr>
        <w:spacing w:line="250" w:lineRule="auto"/>
        <w:rPr>
          <w:rFonts w:ascii="宋体" w:hAnsi="宋体" w:eastAsia="宋体" w:cs="宋体"/>
          <w:color w:val="auto"/>
          <w:highlight w:val="none"/>
        </w:rPr>
      </w:pPr>
    </w:p>
    <w:p w14:paraId="36C48056">
      <w:pPr>
        <w:spacing w:line="250" w:lineRule="auto"/>
        <w:rPr>
          <w:rFonts w:ascii="宋体" w:hAnsi="宋体" w:eastAsia="宋体" w:cs="宋体"/>
          <w:color w:val="auto"/>
          <w:highlight w:val="none"/>
        </w:rPr>
      </w:pPr>
    </w:p>
    <w:p w14:paraId="502A29E8">
      <w:pPr>
        <w:spacing w:line="250" w:lineRule="auto"/>
        <w:rPr>
          <w:rFonts w:ascii="宋体" w:hAnsi="宋体" w:eastAsia="宋体" w:cs="宋体"/>
          <w:color w:val="auto"/>
          <w:highlight w:val="none"/>
        </w:rPr>
      </w:pPr>
    </w:p>
    <w:p w14:paraId="5EC81E9A">
      <w:pPr>
        <w:spacing w:before="97" w:line="390" w:lineRule="auto"/>
        <w:ind w:left="898" w:right="1359" w:firstLine="8"/>
        <w:rPr>
          <w:rFonts w:ascii="宋体" w:hAnsi="宋体" w:eastAsia="宋体" w:cs="宋体"/>
          <w:color w:val="auto"/>
          <w:sz w:val="30"/>
          <w:szCs w:val="30"/>
          <w:highlight w:val="none"/>
        </w:rPr>
      </w:pPr>
      <w:r>
        <w:rPr>
          <w:rFonts w:hint="eastAsia" w:ascii="宋体" w:hAnsi="宋体" w:eastAsia="宋体" w:cs="宋体"/>
          <w:color w:val="auto"/>
          <w:spacing w:val="12"/>
          <w:sz w:val="30"/>
          <w:szCs w:val="30"/>
          <w:highlight w:val="none"/>
          <w14:textOutline w14:w="5448" w14:cap="flat" w14:cmpd="sng" w14:algn="ctr">
            <w14:solidFill>
              <w14:srgbClr w14:val="000000"/>
            </w14:solidFill>
            <w14:prstDash w14:val="solid"/>
            <w14:miter w14:val="0"/>
          </w14:textOutline>
        </w:rPr>
        <w:t>发包</w:t>
      </w:r>
      <w:r>
        <w:rPr>
          <w:rFonts w:hint="eastAsia" w:ascii="宋体" w:hAnsi="宋体" w:eastAsia="宋体" w:cs="宋体"/>
          <w:color w:val="auto"/>
          <w:spacing w:val="6"/>
          <w:sz w:val="30"/>
          <w:szCs w:val="30"/>
          <w:highlight w:val="none"/>
          <w14:textOutline w14:w="5448" w14:cap="flat" w14:cmpd="sng" w14:algn="ctr">
            <w14:solidFill>
              <w14:srgbClr w14:val="000000"/>
            </w14:solidFill>
            <w14:prstDash w14:val="solid"/>
            <w14:miter w14:val="0"/>
          </w14:textOutline>
        </w:rPr>
        <w:t>人(全称)</w:t>
      </w:r>
      <w:r>
        <w:rPr>
          <w:rFonts w:hint="eastAsia" w:ascii="宋体" w:hAnsi="宋体" w:eastAsia="宋体" w:cs="宋体"/>
          <w:color w:val="auto"/>
          <w:spacing w:val="6"/>
          <w:sz w:val="30"/>
          <w:szCs w:val="30"/>
          <w:highlight w:val="none"/>
        </w:rPr>
        <w:t xml:space="preserve"> </w:t>
      </w:r>
      <w:r>
        <w:rPr>
          <w:rFonts w:hint="eastAsia" w:ascii="宋体" w:hAnsi="宋体" w:eastAsia="宋体" w:cs="宋体"/>
          <w:color w:val="auto"/>
          <w:spacing w:val="6"/>
          <w:sz w:val="30"/>
          <w:szCs w:val="30"/>
          <w:highlight w:val="none"/>
          <w14:textOutline w14:w="5448" w14:cap="flat" w14:cmpd="sng" w14:algn="ctr">
            <w14:solidFill>
              <w14:srgbClr w14:val="000000"/>
            </w14:solidFill>
            <w14:prstDash w14:val="solid"/>
            <w14:miter w14:val="0"/>
          </w14:textOutline>
        </w:rPr>
        <w:t>：</w:t>
      </w:r>
      <w:r>
        <w:rPr>
          <w:rFonts w:hint="eastAsia" w:ascii="宋体" w:hAnsi="宋体" w:eastAsia="宋体" w:cs="宋体"/>
          <w:color w:val="auto"/>
          <w:spacing w:val="6"/>
          <w:sz w:val="30"/>
          <w:szCs w:val="30"/>
          <w:highlight w:val="none"/>
          <w:u w:val="single"/>
          <w14:textOutline w14:w="5448" w14:cap="flat" w14:cmpd="sng" w14:algn="ctr">
            <w14:solidFill>
              <w14:srgbClr w14:val="000000"/>
            </w14:solidFill>
            <w14:prstDash w14:val="solid"/>
            <w14:miter w14:val="0"/>
          </w14:textOutline>
        </w:rPr>
        <w:t>东莞市安居建设投资有限公司</w:t>
      </w:r>
      <w:r>
        <w:rPr>
          <w:rFonts w:hint="eastAsia" w:ascii="宋体" w:hAnsi="宋体" w:eastAsia="宋体" w:cs="宋体"/>
          <w:color w:val="auto"/>
          <w:sz w:val="30"/>
          <w:szCs w:val="30"/>
          <w:highlight w:val="none"/>
        </w:rPr>
        <w:t xml:space="preserve"> </w:t>
      </w:r>
    </w:p>
    <w:p w14:paraId="0C8B6DBB">
      <w:pPr>
        <w:spacing w:before="97" w:line="390" w:lineRule="auto"/>
        <w:ind w:left="898" w:right="1359" w:firstLine="8"/>
        <w:rPr>
          <w:rFonts w:ascii="宋体" w:hAnsi="宋体" w:eastAsia="宋体" w:cs="宋体"/>
          <w:color w:val="auto"/>
          <w:sz w:val="30"/>
          <w:szCs w:val="30"/>
          <w:highlight w:val="none"/>
        </w:rPr>
      </w:pPr>
      <w:r>
        <w:rPr>
          <w:rFonts w:hint="eastAsia" w:ascii="宋体" w:hAnsi="宋体" w:eastAsia="宋体" w:cs="宋体"/>
          <w:color w:val="auto"/>
          <w:spacing w:val="18"/>
          <w:sz w:val="30"/>
          <w:szCs w:val="30"/>
          <w:highlight w:val="none"/>
          <w14:textOutline w14:w="5448" w14:cap="flat" w14:cmpd="sng" w14:algn="ctr">
            <w14:solidFill>
              <w14:srgbClr w14:val="000000"/>
            </w14:solidFill>
            <w14:prstDash w14:val="solid"/>
            <w14:miter w14:val="0"/>
          </w14:textOutline>
        </w:rPr>
        <w:t>承</w:t>
      </w:r>
      <w:r>
        <w:rPr>
          <w:rFonts w:hint="eastAsia" w:ascii="宋体" w:hAnsi="宋体" w:eastAsia="宋体" w:cs="宋体"/>
          <w:color w:val="auto"/>
          <w:spacing w:val="15"/>
          <w:sz w:val="30"/>
          <w:szCs w:val="30"/>
          <w:highlight w:val="none"/>
          <w14:textOutline w14:w="5448" w14:cap="flat" w14:cmpd="sng" w14:algn="ctr">
            <w14:solidFill>
              <w14:srgbClr w14:val="000000"/>
            </w14:solidFill>
            <w14:prstDash w14:val="solid"/>
            <w14:miter w14:val="0"/>
          </w14:textOutline>
        </w:rPr>
        <w:t>包人(全称)</w:t>
      </w:r>
      <w:r>
        <w:rPr>
          <w:rFonts w:hint="eastAsia" w:ascii="宋体" w:hAnsi="宋体" w:eastAsia="宋体" w:cs="宋体"/>
          <w:color w:val="auto"/>
          <w:spacing w:val="15"/>
          <w:sz w:val="30"/>
          <w:szCs w:val="30"/>
          <w:highlight w:val="none"/>
        </w:rPr>
        <w:t xml:space="preserve"> </w:t>
      </w:r>
      <w:r>
        <w:rPr>
          <w:rFonts w:hint="eastAsia" w:ascii="宋体" w:hAnsi="宋体" w:eastAsia="宋体" w:cs="宋体"/>
          <w:color w:val="auto"/>
          <w:spacing w:val="15"/>
          <w:sz w:val="30"/>
          <w:szCs w:val="30"/>
          <w:highlight w:val="none"/>
          <w14:textOutline w14:w="5448" w14:cap="flat" w14:cmpd="sng" w14:algn="ctr">
            <w14:solidFill>
              <w14:srgbClr w14:val="000000"/>
            </w14:solidFill>
            <w14:prstDash w14:val="solid"/>
            <w14:miter w14:val="0"/>
          </w14:textOutline>
        </w:rPr>
        <w:t>：</w:t>
      </w:r>
      <w:r>
        <w:rPr>
          <w:rFonts w:hint="eastAsia" w:ascii="宋体" w:hAnsi="宋体" w:eastAsia="宋体" w:cs="宋体"/>
          <w:color w:val="auto"/>
          <w:sz w:val="30"/>
          <w:szCs w:val="30"/>
          <w:highlight w:val="none"/>
          <w:u w:val="single"/>
        </w:rPr>
        <w:t xml:space="preserve">                           </w:t>
      </w:r>
    </w:p>
    <w:p w14:paraId="2F345B5E">
      <w:pPr>
        <w:spacing w:line="247" w:lineRule="auto"/>
        <w:rPr>
          <w:rFonts w:ascii="宋体" w:hAnsi="宋体" w:eastAsia="宋体" w:cs="宋体"/>
          <w:color w:val="auto"/>
          <w:highlight w:val="none"/>
        </w:rPr>
      </w:pPr>
    </w:p>
    <w:p w14:paraId="3243A13F">
      <w:pPr>
        <w:spacing w:line="247" w:lineRule="auto"/>
        <w:rPr>
          <w:rFonts w:ascii="宋体" w:hAnsi="宋体" w:eastAsia="宋体" w:cs="宋体"/>
          <w:color w:val="auto"/>
          <w:highlight w:val="none"/>
        </w:rPr>
      </w:pPr>
    </w:p>
    <w:p w14:paraId="08E22003">
      <w:pPr>
        <w:spacing w:line="247" w:lineRule="auto"/>
        <w:rPr>
          <w:rFonts w:ascii="宋体" w:hAnsi="宋体" w:eastAsia="宋体" w:cs="宋体"/>
          <w:color w:val="auto"/>
          <w:highlight w:val="none"/>
        </w:rPr>
      </w:pPr>
    </w:p>
    <w:p w14:paraId="0C455279">
      <w:pPr>
        <w:spacing w:line="247" w:lineRule="auto"/>
        <w:rPr>
          <w:rFonts w:ascii="宋体" w:hAnsi="宋体" w:eastAsia="宋体" w:cs="宋体"/>
          <w:color w:val="auto"/>
          <w:highlight w:val="none"/>
        </w:rPr>
      </w:pPr>
    </w:p>
    <w:p w14:paraId="52429ED6">
      <w:pPr>
        <w:spacing w:line="248" w:lineRule="auto"/>
        <w:rPr>
          <w:rFonts w:ascii="宋体" w:hAnsi="宋体" w:eastAsia="宋体" w:cs="宋体"/>
          <w:color w:val="auto"/>
          <w:highlight w:val="none"/>
        </w:rPr>
      </w:pPr>
    </w:p>
    <w:p w14:paraId="73B1AACC">
      <w:pPr>
        <w:spacing w:line="248" w:lineRule="auto"/>
        <w:rPr>
          <w:rFonts w:ascii="宋体" w:hAnsi="宋体" w:eastAsia="宋体" w:cs="宋体"/>
          <w:color w:val="auto"/>
          <w:highlight w:val="none"/>
        </w:rPr>
      </w:pPr>
    </w:p>
    <w:p w14:paraId="0C90CCDF">
      <w:pPr>
        <w:spacing w:line="248" w:lineRule="auto"/>
        <w:rPr>
          <w:rFonts w:ascii="宋体" w:hAnsi="宋体" w:eastAsia="宋体" w:cs="宋体"/>
          <w:color w:val="auto"/>
          <w:highlight w:val="none"/>
        </w:rPr>
      </w:pPr>
    </w:p>
    <w:p w14:paraId="1769B5CF">
      <w:pPr>
        <w:spacing w:before="100" w:line="624" w:lineRule="exact"/>
        <w:ind w:left="2734"/>
        <w:rPr>
          <w:rFonts w:ascii="宋体" w:hAnsi="宋体" w:eastAsia="宋体" w:cs="宋体"/>
          <w:color w:val="auto"/>
          <w:sz w:val="31"/>
          <w:szCs w:val="31"/>
          <w:highlight w:val="none"/>
        </w:rPr>
      </w:pPr>
      <w:r>
        <w:rPr>
          <w:rFonts w:ascii="宋体" w:hAnsi="宋体" w:eastAsia="宋体" w:cs="宋体"/>
          <w:color w:val="auto"/>
          <w:highlight w:val="none"/>
        </w:rPr>
        <w:pict>
          <v:shape id="_x0000_s1026" o:spid="_x0000_s1026" o:spt="202" type="#_x0000_t202" style="position:absolute;left:0pt;margin-left:309.9pt;margin-top:5.5pt;height:38.75pt;width:59.75pt;z-index:251663360;mso-width-relative:page;mso-height-relative:page;" filled="f" stroked="f" coordsize="21600,21600">
            <v:path/>
            <v:fill on="f" focussize="0,0"/>
            <v:stroke on="f" joinstyle="miter"/>
            <v:imagedata o:title=""/>
            <o:lock v:ext="edit"/>
            <v:textbox inset="0mm,0mm,0mm,0mm">
              <w:txbxContent>
                <w:p w14:paraId="0F5799C8">
                  <w:pPr>
                    <w:spacing w:line="20" w:lineRule="exact"/>
                  </w:pPr>
                </w:p>
                <w:tbl>
                  <w:tblPr>
                    <w:tblStyle w:val="20"/>
                    <w:tblW w:w="1144" w:type="dxa"/>
                    <w:tblInd w:w="25" w:type="dxa"/>
                    <w:tblBorders>
                      <w:top w:val="single" w:color="FFFFFF" w:sz="4" w:space="0"/>
                      <w:left w:val="single" w:color="FFFFFF" w:sz="4" w:space="0"/>
                      <w:bottom w:val="single" w:color="FFFFFF" w:sz="4" w:space="0"/>
                      <w:right w:val="single" w:color="FFFFFF" w:sz="4" w:space="0"/>
                      <w:insideH w:val="none" w:color="auto" w:sz="0" w:space="0"/>
                      <w:insideV w:val="none" w:color="auto" w:sz="0" w:space="0"/>
                    </w:tblBorders>
                    <w:tblLayout w:type="fixed"/>
                    <w:tblCellMar>
                      <w:top w:w="0" w:type="dxa"/>
                      <w:left w:w="0" w:type="dxa"/>
                      <w:bottom w:w="0" w:type="dxa"/>
                      <w:right w:w="0" w:type="dxa"/>
                    </w:tblCellMar>
                  </w:tblPr>
                  <w:tblGrid>
                    <w:gridCol w:w="1144"/>
                  </w:tblGrid>
                  <w:tr w14:paraId="6EC84487">
                    <w:tblPrEx>
                      <w:tblBorders>
                        <w:top w:val="single" w:color="FFFFFF" w:sz="4" w:space="0"/>
                        <w:left w:val="single" w:color="FFFFFF" w:sz="4" w:space="0"/>
                        <w:bottom w:val="single" w:color="FFFFFF" w:sz="4" w:space="0"/>
                        <w:right w:val="single" w:color="FFFFFF" w:sz="4" w:space="0"/>
                        <w:insideH w:val="none" w:color="auto" w:sz="0" w:space="0"/>
                        <w:insideV w:val="none" w:color="auto" w:sz="0" w:space="0"/>
                      </w:tblBorders>
                      <w:tblCellMar>
                        <w:top w:w="0" w:type="dxa"/>
                        <w:left w:w="0" w:type="dxa"/>
                        <w:bottom w:w="0" w:type="dxa"/>
                        <w:right w:w="0" w:type="dxa"/>
                      </w:tblCellMar>
                    </w:tblPrEx>
                    <w:trPr>
                      <w:trHeight w:val="714" w:hRule="atLeast"/>
                    </w:trPr>
                    <w:tc>
                      <w:tcPr>
                        <w:tcW w:w="1144" w:type="dxa"/>
                      </w:tcPr>
                      <w:p w14:paraId="16CFFA80">
                        <w:pPr>
                          <w:spacing w:before="226" w:line="226" w:lineRule="auto"/>
                          <w:ind w:left="163"/>
                          <w:rPr>
                            <w:rFonts w:ascii="宋体" w:hAnsi="宋体" w:eastAsia="宋体" w:cs="宋体"/>
                            <w:sz w:val="31"/>
                            <w:szCs w:val="31"/>
                          </w:rPr>
                        </w:pPr>
                        <w:r>
                          <w:rPr>
                            <w:rFonts w:ascii="宋体" w:hAnsi="宋体" w:eastAsia="宋体" w:cs="宋体"/>
                            <w:spacing w:val="4"/>
                            <w:sz w:val="31"/>
                            <w:szCs w:val="31"/>
                            <w14:textOutline w14:w="5791" w14:cap="flat" w14:cmpd="sng" w14:algn="ctr">
                              <w14:solidFill>
                                <w14:srgbClr w14:val="000000"/>
                              </w14:solidFill>
                              <w14:prstDash w14:val="solid"/>
                              <w14:miter w14:val="0"/>
                            </w14:textOutline>
                          </w:rPr>
                          <w:t>制</w:t>
                        </w:r>
                        <w:r>
                          <w:rPr>
                            <w:rFonts w:ascii="宋体" w:hAnsi="宋体" w:eastAsia="宋体" w:cs="宋体"/>
                            <w:spacing w:val="3"/>
                            <w:sz w:val="31"/>
                            <w:szCs w:val="31"/>
                            <w14:textOutline w14:w="5791" w14:cap="flat" w14:cmpd="sng" w14:algn="ctr">
                              <w14:solidFill>
                                <w14:srgbClr w14:val="000000"/>
                              </w14:solidFill>
                              <w14:prstDash w14:val="solid"/>
                              <w14:miter w14:val="0"/>
                            </w14:textOutline>
                          </w:rPr>
                          <w:t>定</w:t>
                        </w:r>
                      </w:p>
                    </w:tc>
                  </w:tr>
                </w:tbl>
                <w:p w14:paraId="1BEE0850"/>
              </w:txbxContent>
            </v:textbox>
          </v:shape>
        </w:pict>
      </w:r>
      <w:r>
        <w:rPr>
          <w:rFonts w:hint="eastAsia" w:ascii="宋体" w:hAnsi="宋体" w:eastAsia="宋体" w:cs="宋体"/>
          <w:color w:val="auto"/>
          <w:spacing w:val="19"/>
          <w:position w:val="23"/>
          <w:sz w:val="31"/>
          <w:szCs w:val="31"/>
          <w:highlight w:val="none"/>
          <w14:textOutline w14:w="5791" w14:cap="flat" w14:cmpd="sng" w14:algn="ctr">
            <w14:solidFill>
              <w14:srgbClr w14:val="000000"/>
            </w14:solidFill>
            <w14:prstDash w14:val="solid"/>
            <w14:miter w14:val="0"/>
          </w14:textOutline>
        </w:rPr>
        <w:t>住</w:t>
      </w:r>
      <w:r>
        <w:rPr>
          <w:rFonts w:hint="eastAsia" w:ascii="宋体" w:hAnsi="宋体" w:eastAsia="宋体" w:cs="宋体"/>
          <w:color w:val="auto"/>
          <w:spacing w:val="19"/>
          <w:position w:val="23"/>
          <w:sz w:val="31"/>
          <w:szCs w:val="31"/>
          <w:highlight w:val="none"/>
        </w:rPr>
        <w:t xml:space="preserve"> </w:t>
      </w:r>
      <w:r>
        <w:rPr>
          <w:rFonts w:hint="eastAsia" w:ascii="宋体" w:hAnsi="宋体" w:eastAsia="宋体" w:cs="宋体"/>
          <w:color w:val="auto"/>
          <w:spacing w:val="19"/>
          <w:position w:val="23"/>
          <w:sz w:val="31"/>
          <w:szCs w:val="31"/>
          <w:highlight w:val="none"/>
          <w14:textOutline w14:w="5791" w14:cap="flat" w14:cmpd="sng" w14:algn="ctr">
            <w14:solidFill>
              <w14:srgbClr w14:val="000000"/>
            </w14:solidFill>
            <w14:prstDash w14:val="solid"/>
            <w14:miter w14:val="0"/>
          </w14:textOutline>
        </w:rPr>
        <w:t>房</w:t>
      </w:r>
      <w:r>
        <w:rPr>
          <w:rFonts w:hint="eastAsia" w:ascii="宋体" w:hAnsi="宋体" w:eastAsia="宋体" w:cs="宋体"/>
          <w:color w:val="auto"/>
          <w:spacing w:val="19"/>
          <w:position w:val="23"/>
          <w:sz w:val="31"/>
          <w:szCs w:val="31"/>
          <w:highlight w:val="none"/>
        </w:rPr>
        <w:t xml:space="preserve"> </w:t>
      </w:r>
      <w:r>
        <w:rPr>
          <w:rFonts w:hint="eastAsia" w:ascii="宋体" w:hAnsi="宋体" w:eastAsia="宋体" w:cs="宋体"/>
          <w:color w:val="auto"/>
          <w:spacing w:val="19"/>
          <w:position w:val="23"/>
          <w:sz w:val="31"/>
          <w:szCs w:val="31"/>
          <w:highlight w:val="none"/>
          <w14:textOutline w14:w="5791" w14:cap="flat" w14:cmpd="sng" w14:algn="ctr">
            <w14:solidFill>
              <w14:srgbClr w14:val="000000"/>
            </w14:solidFill>
            <w14:prstDash w14:val="solid"/>
            <w14:miter w14:val="0"/>
          </w14:textOutline>
        </w:rPr>
        <w:t>城</w:t>
      </w:r>
      <w:r>
        <w:rPr>
          <w:rFonts w:hint="eastAsia" w:ascii="宋体" w:hAnsi="宋体" w:eastAsia="宋体" w:cs="宋体"/>
          <w:color w:val="auto"/>
          <w:spacing w:val="19"/>
          <w:position w:val="23"/>
          <w:sz w:val="31"/>
          <w:szCs w:val="31"/>
          <w:highlight w:val="none"/>
        </w:rPr>
        <w:t xml:space="preserve"> </w:t>
      </w:r>
      <w:r>
        <w:rPr>
          <w:rFonts w:hint="eastAsia" w:ascii="宋体" w:hAnsi="宋体" w:eastAsia="宋体" w:cs="宋体"/>
          <w:color w:val="auto"/>
          <w:spacing w:val="19"/>
          <w:position w:val="23"/>
          <w:sz w:val="31"/>
          <w:szCs w:val="31"/>
          <w:highlight w:val="none"/>
          <w14:textOutline w14:w="5791" w14:cap="flat" w14:cmpd="sng" w14:algn="ctr">
            <w14:solidFill>
              <w14:srgbClr w14:val="000000"/>
            </w14:solidFill>
            <w14:prstDash w14:val="solid"/>
            <w14:miter w14:val="0"/>
          </w14:textOutline>
        </w:rPr>
        <w:t>乡</w:t>
      </w:r>
      <w:r>
        <w:rPr>
          <w:rFonts w:hint="eastAsia" w:ascii="宋体" w:hAnsi="宋体" w:eastAsia="宋体" w:cs="宋体"/>
          <w:color w:val="auto"/>
          <w:spacing w:val="19"/>
          <w:position w:val="23"/>
          <w:sz w:val="31"/>
          <w:szCs w:val="31"/>
          <w:highlight w:val="none"/>
        </w:rPr>
        <w:t xml:space="preserve"> </w:t>
      </w:r>
      <w:r>
        <w:rPr>
          <w:rFonts w:hint="eastAsia" w:ascii="宋体" w:hAnsi="宋体" w:eastAsia="宋体" w:cs="宋体"/>
          <w:color w:val="auto"/>
          <w:spacing w:val="19"/>
          <w:position w:val="23"/>
          <w:sz w:val="31"/>
          <w:szCs w:val="31"/>
          <w:highlight w:val="none"/>
          <w14:textOutline w14:w="5791" w14:cap="flat" w14:cmpd="sng" w14:algn="ctr">
            <w14:solidFill>
              <w14:srgbClr w14:val="000000"/>
            </w14:solidFill>
            <w14:prstDash w14:val="solid"/>
            <w14:miter w14:val="0"/>
          </w14:textOutline>
        </w:rPr>
        <w:t>建</w:t>
      </w:r>
      <w:r>
        <w:rPr>
          <w:rFonts w:hint="eastAsia" w:ascii="宋体" w:hAnsi="宋体" w:eastAsia="宋体" w:cs="宋体"/>
          <w:color w:val="auto"/>
          <w:spacing w:val="19"/>
          <w:position w:val="23"/>
          <w:sz w:val="31"/>
          <w:szCs w:val="31"/>
          <w:highlight w:val="none"/>
        </w:rPr>
        <w:t xml:space="preserve"> </w:t>
      </w:r>
      <w:r>
        <w:rPr>
          <w:rFonts w:hint="eastAsia" w:ascii="宋体" w:hAnsi="宋体" w:eastAsia="宋体" w:cs="宋体"/>
          <w:color w:val="auto"/>
          <w:spacing w:val="19"/>
          <w:position w:val="23"/>
          <w:sz w:val="31"/>
          <w:szCs w:val="31"/>
          <w:highlight w:val="none"/>
          <w14:textOutline w14:w="5791" w14:cap="flat" w14:cmpd="sng" w14:algn="ctr">
            <w14:solidFill>
              <w14:srgbClr w14:val="000000"/>
            </w14:solidFill>
            <w14:prstDash w14:val="solid"/>
            <w14:miter w14:val="0"/>
          </w14:textOutline>
        </w:rPr>
        <w:t>设</w:t>
      </w:r>
      <w:r>
        <w:rPr>
          <w:rFonts w:hint="eastAsia" w:ascii="宋体" w:hAnsi="宋体" w:eastAsia="宋体" w:cs="宋体"/>
          <w:color w:val="auto"/>
          <w:spacing w:val="19"/>
          <w:position w:val="23"/>
          <w:sz w:val="31"/>
          <w:szCs w:val="31"/>
          <w:highlight w:val="none"/>
        </w:rPr>
        <w:t xml:space="preserve"> </w:t>
      </w:r>
      <w:r>
        <w:rPr>
          <w:rFonts w:hint="eastAsia" w:ascii="宋体" w:hAnsi="宋体" w:eastAsia="宋体" w:cs="宋体"/>
          <w:color w:val="auto"/>
          <w:spacing w:val="18"/>
          <w:position w:val="23"/>
          <w:sz w:val="31"/>
          <w:szCs w:val="31"/>
          <w:highlight w:val="none"/>
          <w14:textOutline w14:w="5791" w14:cap="flat" w14:cmpd="sng" w14:algn="ctr">
            <w14:solidFill>
              <w14:srgbClr w14:val="000000"/>
            </w14:solidFill>
            <w14:prstDash w14:val="solid"/>
            <w14:miter w14:val="0"/>
          </w14:textOutline>
        </w:rPr>
        <w:t>部</w:t>
      </w:r>
    </w:p>
    <w:p w14:paraId="1A03F474">
      <w:pPr>
        <w:spacing w:before="2" w:line="224" w:lineRule="auto"/>
        <w:ind w:left="2768"/>
        <w:rPr>
          <w:rFonts w:ascii="宋体" w:hAnsi="宋体" w:eastAsia="宋体" w:cs="宋体"/>
          <w:color w:val="auto"/>
          <w:highlight w:val="none"/>
        </w:rPr>
        <w:sectPr>
          <w:headerReference r:id="rId3" w:type="default"/>
          <w:pgSz w:w="11907" w:h="16839"/>
          <w:pgMar w:top="1429" w:right="1417" w:bottom="1157" w:left="1417" w:header="0" w:footer="992" w:gutter="0"/>
          <w:cols w:space="0" w:num="1"/>
        </w:sectPr>
      </w:pPr>
      <w:bookmarkStart w:id="5" w:name="_Toc28227"/>
      <w:bookmarkStart w:id="6" w:name="_Toc27203"/>
      <w:bookmarkStart w:id="7" w:name="_Toc2947"/>
      <w:bookmarkStart w:id="8" w:name="_Toc21450"/>
      <w:bookmarkStart w:id="9" w:name="_Toc26398"/>
      <w:r>
        <w:rPr>
          <w:rFonts w:hint="eastAsia" w:ascii="宋体" w:hAnsi="宋体" w:eastAsia="宋体" w:cs="宋体"/>
          <w:color w:val="auto"/>
          <w:spacing w:val="22"/>
          <w:sz w:val="31"/>
          <w:szCs w:val="31"/>
          <w:highlight w:val="none"/>
          <w14:textOutline w14:w="5791" w14:cap="flat" w14:cmpd="sng" w14:algn="ctr">
            <w14:solidFill>
              <w14:srgbClr w14:val="000000"/>
            </w14:solidFill>
            <w14:prstDash w14:val="solid"/>
            <w14:miter w14:val="0"/>
          </w14:textOutline>
        </w:rPr>
        <w:t>国</w:t>
      </w:r>
      <w:r>
        <w:rPr>
          <w:rFonts w:hint="eastAsia" w:ascii="宋体" w:hAnsi="宋体" w:eastAsia="宋体" w:cs="宋体"/>
          <w:color w:val="auto"/>
          <w:spacing w:val="20"/>
          <w:sz w:val="31"/>
          <w:szCs w:val="31"/>
          <w:highlight w:val="none"/>
          <w14:textOutline w14:w="5791" w14:cap="flat" w14:cmpd="sng" w14:algn="ctr">
            <w14:solidFill>
              <w14:srgbClr w14:val="000000"/>
            </w14:solidFill>
            <w14:prstDash w14:val="solid"/>
            <w14:miter w14:val="0"/>
          </w14:textOutline>
        </w:rPr>
        <w:t>家工商行政管理总局</w:t>
      </w:r>
      <w:bookmarkEnd w:id="5"/>
      <w:bookmarkEnd w:id="6"/>
      <w:bookmarkEnd w:id="7"/>
      <w:bookmarkEnd w:id="8"/>
      <w:bookmarkEnd w:id="9"/>
    </w:p>
    <w:p w14:paraId="541B741E">
      <w:pPr>
        <w:spacing w:before="78" w:line="220" w:lineRule="auto"/>
        <w:ind w:left="4042"/>
        <w:outlineLvl w:val="0"/>
        <w:rPr>
          <w:rFonts w:ascii="宋体" w:hAnsi="宋体" w:eastAsia="宋体" w:cs="宋体"/>
          <w:b/>
          <w:bCs/>
          <w:color w:val="auto"/>
          <w:spacing w:val="4"/>
          <w:sz w:val="28"/>
          <w:szCs w:val="28"/>
          <w:highlight w:val="none"/>
        </w:rPr>
      </w:pPr>
      <w:bookmarkStart w:id="10" w:name="_Toc18745"/>
      <w:bookmarkStart w:id="11" w:name="_Toc29292"/>
      <w:bookmarkStart w:id="12" w:name="_Toc28758"/>
      <w:bookmarkStart w:id="13" w:name="_Toc4119"/>
      <w:bookmarkStart w:id="14" w:name="_Toc23311"/>
      <w:r>
        <w:rPr>
          <w:rFonts w:hint="eastAsia" w:ascii="宋体" w:hAnsi="宋体" w:eastAsia="宋体" w:cs="宋体"/>
          <w:b/>
          <w:bCs/>
          <w:color w:val="auto"/>
          <w:spacing w:val="6"/>
          <w:sz w:val="28"/>
          <w:szCs w:val="28"/>
          <w:highlight w:val="none"/>
        </w:rPr>
        <w:t>说</w:t>
      </w:r>
      <w:r>
        <w:rPr>
          <w:rFonts w:hint="eastAsia" w:ascii="宋体" w:hAnsi="宋体" w:eastAsia="宋体" w:cs="宋体"/>
          <w:b/>
          <w:bCs/>
          <w:color w:val="auto"/>
          <w:spacing w:val="4"/>
          <w:sz w:val="28"/>
          <w:szCs w:val="28"/>
          <w:highlight w:val="none"/>
        </w:rPr>
        <w:t xml:space="preserve">  明</w:t>
      </w:r>
      <w:bookmarkEnd w:id="10"/>
      <w:bookmarkEnd w:id="11"/>
      <w:bookmarkEnd w:id="12"/>
      <w:bookmarkEnd w:id="13"/>
      <w:bookmarkEnd w:id="14"/>
    </w:p>
    <w:p w14:paraId="7F3B0631">
      <w:pPr>
        <w:pStyle w:val="5"/>
        <w:rPr>
          <w:color w:val="auto"/>
          <w:highlight w:val="none"/>
        </w:rPr>
      </w:pPr>
    </w:p>
    <w:p w14:paraId="00524D03">
      <w:pPr>
        <w:widowControl w:val="0"/>
        <w:kinsoku/>
        <w:autoSpaceDE/>
        <w:autoSpaceDN/>
        <w:adjustRightInd/>
        <w:snapToGrid/>
        <w:spacing w:line="400" w:lineRule="exact"/>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为了指导建设工程施工合同当事人的签约行为， 维护合同当事人的合法权益，依 据《中华人民共和国民法典》、《中华人民共和国建筑法》、《中华人民共和国招标 投标法》以及相关法律法规， 住房城乡建设部、国家工商行政管理总局对《建设工程 施工合同(示范文本)》(GF-2013-0201)进行了修订，制定了《建设工程施工合同(示范文本)》(GF-2017-0201)(以下简称《示范文本》)。为了便于合同当事人使用《示范文本》，现就有关问题说明如下：</w:t>
      </w:r>
    </w:p>
    <w:p w14:paraId="22ECA5DA">
      <w:pPr>
        <w:widowControl w:val="0"/>
        <w:kinsoku/>
        <w:autoSpaceDE/>
        <w:autoSpaceDN/>
        <w:adjustRightInd/>
        <w:snapToGrid/>
        <w:spacing w:line="400" w:lineRule="exact"/>
        <w:ind w:firstLine="420" w:firstLineChars="200"/>
        <w:jc w:val="both"/>
        <w:textAlignment w:val="auto"/>
        <w:rPr>
          <w:rFonts w:ascii="宋体" w:hAnsi="宋体" w:eastAsia="宋体" w:cs="宋体"/>
          <w:snapToGrid/>
          <w:color w:val="auto"/>
          <w:kern w:val="2"/>
          <w:highlight w:val="none"/>
        </w:rPr>
      </w:pPr>
      <w:bookmarkStart w:id="15" w:name="_Toc12019"/>
      <w:bookmarkStart w:id="16" w:name="_Toc29204"/>
      <w:bookmarkStart w:id="17" w:name="_Toc1806"/>
      <w:bookmarkStart w:id="18" w:name="_Toc10533"/>
      <w:bookmarkStart w:id="19" w:name="_Toc2389"/>
      <w:r>
        <w:rPr>
          <w:rFonts w:hint="eastAsia" w:ascii="宋体" w:hAnsi="宋体" w:eastAsia="宋体" w:cs="宋体"/>
          <w:snapToGrid/>
          <w:color w:val="auto"/>
          <w:kern w:val="2"/>
          <w:highlight w:val="none"/>
        </w:rPr>
        <w:t>一、《示范文本》的组成</w:t>
      </w:r>
      <w:bookmarkEnd w:id="15"/>
      <w:bookmarkEnd w:id="16"/>
      <w:bookmarkEnd w:id="17"/>
      <w:bookmarkEnd w:id="18"/>
      <w:bookmarkEnd w:id="19"/>
    </w:p>
    <w:p w14:paraId="50F08C5E">
      <w:pPr>
        <w:widowControl w:val="0"/>
        <w:kinsoku/>
        <w:autoSpaceDE/>
        <w:autoSpaceDN/>
        <w:adjustRightInd/>
        <w:snapToGrid/>
        <w:spacing w:line="400" w:lineRule="exact"/>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《示范文本》由合同协议书、通用合同条款和专用合同条款三部分组成。</w:t>
      </w:r>
    </w:p>
    <w:p w14:paraId="43D6D5B7">
      <w:pPr>
        <w:widowControl w:val="0"/>
        <w:kinsoku/>
        <w:autoSpaceDE/>
        <w:autoSpaceDN/>
        <w:adjustRightInd/>
        <w:snapToGrid/>
        <w:spacing w:line="400" w:lineRule="exact"/>
        <w:ind w:firstLine="420" w:firstLineChars="200"/>
        <w:jc w:val="both"/>
        <w:textAlignment w:val="auto"/>
        <w:rPr>
          <w:rFonts w:ascii="宋体" w:hAnsi="宋体" w:eastAsia="宋体" w:cs="宋体"/>
          <w:snapToGrid/>
          <w:color w:val="auto"/>
          <w:kern w:val="2"/>
          <w:highlight w:val="none"/>
        </w:rPr>
      </w:pPr>
      <w:bookmarkStart w:id="20" w:name="_Toc23021"/>
      <w:bookmarkStart w:id="21" w:name="_Toc21848"/>
      <w:bookmarkStart w:id="22" w:name="_Toc1667"/>
      <w:bookmarkStart w:id="23" w:name="_Toc15396"/>
      <w:bookmarkStart w:id="24" w:name="_Toc27299"/>
      <w:r>
        <w:rPr>
          <w:rFonts w:hint="eastAsia" w:ascii="宋体" w:hAnsi="宋体" w:eastAsia="宋体" w:cs="宋体"/>
          <w:snapToGrid/>
          <w:color w:val="auto"/>
          <w:kern w:val="2"/>
          <w:highlight w:val="none"/>
        </w:rPr>
        <w:t>(一)合同协议书</w:t>
      </w:r>
      <w:bookmarkEnd w:id="20"/>
      <w:bookmarkEnd w:id="21"/>
      <w:bookmarkEnd w:id="22"/>
      <w:bookmarkEnd w:id="23"/>
      <w:bookmarkEnd w:id="24"/>
    </w:p>
    <w:p w14:paraId="2EDA09CF">
      <w:pPr>
        <w:widowControl w:val="0"/>
        <w:kinsoku/>
        <w:autoSpaceDE/>
        <w:autoSpaceDN/>
        <w:adjustRightInd/>
        <w:snapToGrid/>
        <w:spacing w:line="400" w:lineRule="exact"/>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3C9242F2">
      <w:pPr>
        <w:widowControl w:val="0"/>
        <w:kinsoku/>
        <w:autoSpaceDE/>
        <w:autoSpaceDN/>
        <w:adjustRightInd/>
        <w:snapToGrid/>
        <w:spacing w:line="400" w:lineRule="exact"/>
        <w:ind w:firstLine="420" w:firstLineChars="200"/>
        <w:jc w:val="both"/>
        <w:textAlignment w:val="auto"/>
        <w:rPr>
          <w:rFonts w:ascii="宋体" w:hAnsi="宋体" w:eastAsia="宋体" w:cs="宋体"/>
          <w:snapToGrid/>
          <w:color w:val="auto"/>
          <w:kern w:val="2"/>
          <w:highlight w:val="none"/>
        </w:rPr>
      </w:pPr>
      <w:bookmarkStart w:id="25" w:name="_Toc11551"/>
      <w:bookmarkStart w:id="26" w:name="_Toc7947"/>
      <w:bookmarkStart w:id="27" w:name="_Toc19732"/>
      <w:bookmarkStart w:id="28" w:name="_Toc3724"/>
      <w:bookmarkStart w:id="29" w:name="_Toc6477"/>
      <w:r>
        <w:rPr>
          <w:rFonts w:hint="eastAsia" w:ascii="宋体" w:hAnsi="宋体" w:eastAsia="宋体" w:cs="宋体"/>
          <w:snapToGrid/>
          <w:color w:val="auto"/>
          <w:kern w:val="2"/>
          <w:highlight w:val="none"/>
        </w:rPr>
        <w:t>(二)通用合同条款</w:t>
      </w:r>
      <w:bookmarkEnd w:id="25"/>
      <w:bookmarkEnd w:id="26"/>
      <w:bookmarkEnd w:id="27"/>
      <w:bookmarkEnd w:id="28"/>
      <w:bookmarkEnd w:id="29"/>
    </w:p>
    <w:p w14:paraId="71505C1F">
      <w:pPr>
        <w:widowControl w:val="0"/>
        <w:kinsoku/>
        <w:autoSpaceDE/>
        <w:autoSpaceDN/>
        <w:adjustRightInd/>
        <w:snapToGrid/>
        <w:spacing w:line="400" w:lineRule="exact"/>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通用合同条款是合同当事人根据《中华人民共和国建筑法》、《中华人民共和国民法典》等法律法规的规定，就工程建设的实施及相关事项，对合同当事人的权利义务作出的原则性约定。</w:t>
      </w:r>
    </w:p>
    <w:p w14:paraId="232AC051">
      <w:pPr>
        <w:widowControl w:val="0"/>
        <w:kinsoku/>
        <w:autoSpaceDE/>
        <w:autoSpaceDN/>
        <w:adjustRightInd/>
        <w:snapToGrid/>
        <w:spacing w:line="400" w:lineRule="exact"/>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47770776">
      <w:pPr>
        <w:widowControl w:val="0"/>
        <w:kinsoku/>
        <w:autoSpaceDE/>
        <w:autoSpaceDN/>
        <w:adjustRightInd/>
        <w:snapToGrid/>
        <w:spacing w:line="400" w:lineRule="exact"/>
        <w:ind w:firstLine="420" w:firstLineChars="200"/>
        <w:jc w:val="both"/>
        <w:textAlignment w:val="auto"/>
        <w:rPr>
          <w:rFonts w:ascii="宋体" w:hAnsi="宋体" w:eastAsia="宋体" w:cs="宋体"/>
          <w:snapToGrid/>
          <w:color w:val="auto"/>
          <w:kern w:val="2"/>
          <w:highlight w:val="none"/>
        </w:rPr>
      </w:pPr>
      <w:bookmarkStart w:id="30" w:name="_Toc17278"/>
      <w:bookmarkStart w:id="31" w:name="_Toc11127"/>
      <w:bookmarkStart w:id="32" w:name="_Toc15703"/>
      <w:bookmarkStart w:id="33" w:name="_Toc29124"/>
      <w:bookmarkStart w:id="34" w:name="_Toc1922"/>
      <w:r>
        <w:rPr>
          <w:rFonts w:hint="eastAsia" w:ascii="宋体" w:hAnsi="宋体" w:eastAsia="宋体" w:cs="宋体"/>
          <w:snapToGrid/>
          <w:color w:val="auto"/>
          <w:kern w:val="2"/>
          <w:highlight w:val="none"/>
        </w:rPr>
        <w:t>(三)专用合同条款</w:t>
      </w:r>
      <w:bookmarkEnd w:id="30"/>
      <w:bookmarkEnd w:id="31"/>
      <w:bookmarkEnd w:id="32"/>
      <w:bookmarkEnd w:id="33"/>
      <w:bookmarkEnd w:id="34"/>
    </w:p>
    <w:p w14:paraId="23C93A97">
      <w:pPr>
        <w:widowControl w:val="0"/>
        <w:kinsoku/>
        <w:autoSpaceDE/>
        <w:autoSpaceDN/>
        <w:adjustRightInd/>
        <w:snapToGrid/>
        <w:spacing w:line="400" w:lineRule="exact"/>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4859A440">
      <w:pPr>
        <w:widowControl w:val="0"/>
        <w:kinsoku/>
        <w:autoSpaceDE/>
        <w:autoSpaceDN/>
        <w:adjustRightInd/>
        <w:snapToGrid/>
        <w:spacing w:line="400" w:lineRule="exact"/>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1.专用合同条款的编号应与相应的通用合同条款的编号一致；</w:t>
      </w:r>
    </w:p>
    <w:p w14:paraId="3B2D33C6">
      <w:pPr>
        <w:widowControl w:val="0"/>
        <w:kinsoku/>
        <w:autoSpaceDE/>
        <w:autoSpaceDN/>
        <w:adjustRightInd/>
        <w:snapToGrid/>
        <w:spacing w:line="400" w:lineRule="exact"/>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2.合同当事人可以通过对专用合同条款的修改，满足具体建设工程的特殊要求，避免直接修改通用合同条款；</w:t>
      </w:r>
    </w:p>
    <w:p w14:paraId="6F35562A">
      <w:pPr>
        <w:widowControl w:val="0"/>
        <w:kinsoku/>
        <w:autoSpaceDE/>
        <w:autoSpaceDN/>
        <w:adjustRightInd/>
        <w:snapToGrid/>
        <w:spacing w:line="400" w:lineRule="exact"/>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3.在专用合同条款中有横道线的地方，合同当事人可针对相应的通用合同条款进行细化、完善、补充、修改或另行约定；如无细化、完善、补充、修改或另行约定，则填写“无”或划“/”。</w:t>
      </w:r>
    </w:p>
    <w:p w14:paraId="0BF2DF94">
      <w:pPr>
        <w:widowControl w:val="0"/>
        <w:kinsoku/>
        <w:autoSpaceDE/>
        <w:autoSpaceDN/>
        <w:adjustRightInd/>
        <w:snapToGrid/>
        <w:spacing w:line="400" w:lineRule="exact"/>
        <w:ind w:firstLine="420" w:firstLineChars="200"/>
        <w:jc w:val="both"/>
        <w:textAlignment w:val="auto"/>
        <w:rPr>
          <w:rFonts w:ascii="宋体" w:hAnsi="宋体" w:eastAsia="宋体" w:cs="宋体"/>
          <w:snapToGrid/>
          <w:color w:val="auto"/>
          <w:kern w:val="2"/>
          <w:highlight w:val="none"/>
        </w:rPr>
      </w:pPr>
      <w:bookmarkStart w:id="35" w:name="_Toc9813"/>
      <w:bookmarkStart w:id="36" w:name="_Toc1272"/>
      <w:bookmarkStart w:id="37" w:name="_Toc32760"/>
      <w:bookmarkStart w:id="38" w:name="_Toc14452"/>
      <w:bookmarkStart w:id="39" w:name="_Toc10519"/>
      <w:r>
        <w:rPr>
          <w:rFonts w:hint="eastAsia" w:ascii="宋体" w:hAnsi="宋体" w:eastAsia="宋体" w:cs="宋体"/>
          <w:snapToGrid/>
          <w:color w:val="auto"/>
          <w:kern w:val="2"/>
          <w:highlight w:val="none"/>
        </w:rPr>
        <w:t>二、《示范文本》的性质和适用范围</w:t>
      </w:r>
      <w:bookmarkEnd w:id="35"/>
      <w:bookmarkEnd w:id="36"/>
      <w:bookmarkEnd w:id="37"/>
      <w:bookmarkEnd w:id="38"/>
      <w:bookmarkEnd w:id="39"/>
    </w:p>
    <w:p w14:paraId="334ABBFB">
      <w:pPr>
        <w:widowControl w:val="0"/>
        <w:kinsoku/>
        <w:autoSpaceDE/>
        <w:autoSpaceDN/>
        <w:adjustRightInd/>
        <w:snapToGrid/>
        <w:spacing w:line="400" w:lineRule="exact"/>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76F4BA1A">
      <w:pPr>
        <w:rPr>
          <w:rFonts w:ascii="宋体" w:hAnsi="宋体" w:eastAsia="宋体" w:cs="宋体"/>
          <w:color w:val="auto"/>
          <w:highlight w:val="none"/>
        </w:rPr>
        <w:sectPr>
          <w:footerReference r:id="rId4" w:type="default"/>
          <w:pgSz w:w="11907" w:h="16839"/>
          <w:pgMar w:top="1429" w:right="1417" w:bottom="1157" w:left="1417" w:header="0" w:footer="992" w:gutter="0"/>
          <w:cols w:space="0" w:num="1"/>
        </w:sectPr>
      </w:pPr>
    </w:p>
    <w:sdt>
      <w:sdtPr>
        <w:rPr>
          <w:rFonts w:ascii="宋体" w:hAnsi="宋体" w:eastAsia="宋体"/>
          <w:color w:val="auto"/>
          <w:highlight w:val="none"/>
        </w:rPr>
        <w:id w:val="147453208"/>
        <w15:color w:val="DBDBDB"/>
        <w:docPartObj>
          <w:docPartGallery w:val="Table of Contents"/>
          <w:docPartUnique/>
        </w:docPartObj>
      </w:sdtPr>
      <w:sdtEndPr>
        <w:rPr>
          <w:rFonts w:ascii="宋体" w:hAnsi="宋体" w:eastAsia="宋体" w:cs="宋体"/>
          <w:color w:val="auto"/>
          <w:highlight w:val="none"/>
        </w:rPr>
      </w:sdtEndPr>
      <w:sdtContent>
        <w:p w14:paraId="44B6D41E">
          <w:pPr>
            <w:jc w:val="center"/>
            <w:rPr>
              <w:b/>
              <w:bCs/>
              <w:color w:val="auto"/>
              <w:sz w:val="28"/>
              <w:szCs w:val="28"/>
              <w:highlight w:val="none"/>
            </w:rPr>
          </w:pPr>
          <w:r>
            <w:rPr>
              <w:rFonts w:ascii="宋体" w:hAnsi="宋体" w:eastAsia="宋体"/>
              <w:b/>
              <w:bCs/>
              <w:color w:val="auto"/>
              <w:sz w:val="28"/>
              <w:szCs w:val="28"/>
              <w:highlight w:val="none"/>
            </w:rPr>
            <w:t>目录</w:t>
          </w:r>
        </w:p>
        <w:p w14:paraId="7B00E855">
          <w:pPr>
            <w:pStyle w:val="14"/>
            <w:tabs>
              <w:tab w:val="right" w:leader="dot" w:pos="9073"/>
            </w:tabs>
            <w:rPr>
              <w:color w:val="auto"/>
              <w:highlight w:val="none"/>
            </w:rPr>
          </w:pPr>
          <w:r>
            <w:rPr>
              <w:rFonts w:ascii="宋体" w:hAnsi="宋体" w:eastAsia="宋体" w:cs="宋体"/>
              <w:color w:val="auto"/>
              <w:highlight w:val="none"/>
            </w:rPr>
            <w:fldChar w:fldCharType="begin"/>
          </w:r>
          <w:r>
            <w:rPr>
              <w:rFonts w:ascii="宋体" w:hAnsi="宋体" w:eastAsia="宋体" w:cs="宋体"/>
              <w:color w:val="auto"/>
              <w:highlight w:val="none"/>
            </w:rPr>
            <w:instrText xml:space="preserve">TOC \o "1-3" \h \u </w:instrText>
          </w:r>
          <w:r>
            <w:rPr>
              <w:rFonts w:ascii="宋体" w:hAnsi="宋体" w:eastAsia="宋体" w:cs="宋体"/>
              <w:color w:val="auto"/>
              <w:highlight w:val="none"/>
            </w:rPr>
            <w:fldChar w:fldCharType="separate"/>
          </w:r>
        </w:p>
        <w:p w14:paraId="330C17B8">
          <w:pPr>
            <w:pStyle w:val="13"/>
            <w:tabs>
              <w:tab w:val="right" w:leader="dot" w:pos="9073"/>
            </w:tabs>
            <w:rPr>
              <w:color w:val="auto"/>
              <w:highlight w:val="none"/>
            </w:rPr>
          </w:pPr>
          <w:r>
            <w:rPr>
              <w:color w:val="auto"/>
              <w:highlight w:val="none"/>
            </w:rPr>
            <w:fldChar w:fldCharType="begin"/>
          </w:r>
          <w:r>
            <w:rPr>
              <w:color w:val="auto"/>
              <w:highlight w:val="none"/>
            </w:rPr>
            <w:instrText xml:space="preserve"> HYPERLINK \l "_Toc6340" </w:instrText>
          </w:r>
          <w:r>
            <w:rPr>
              <w:color w:val="auto"/>
              <w:highlight w:val="none"/>
            </w:rPr>
            <w:fldChar w:fldCharType="separate"/>
          </w:r>
          <w:r>
            <w:rPr>
              <w:rFonts w:hint="eastAsia" w:ascii="宋体" w:hAnsi="宋体" w:eastAsia="宋体" w:cs="宋体"/>
              <w:bCs/>
              <w:color w:val="auto"/>
              <w:spacing w:val="-1"/>
              <w:szCs w:val="30"/>
              <w:highlight w:val="none"/>
            </w:rPr>
            <w:t>第一部分 合同协议书</w:t>
          </w:r>
          <w:r>
            <w:rPr>
              <w:color w:val="auto"/>
              <w:highlight w:val="none"/>
            </w:rPr>
            <w:tab/>
          </w:r>
          <w:r>
            <w:rPr>
              <w:color w:val="auto"/>
              <w:highlight w:val="none"/>
            </w:rPr>
            <w:fldChar w:fldCharType="begin"/>
          </w:r>
          <w:r>
            <w:rPr>
              <w:color w:val="auto"/>
              <w:highlight w:val="none"/>
            </w:rPr>
            <w:instrText xml:space="preserve"> PAGEREF _Toc6340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13190F96">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"_Toc7611" </w:instrText>
          </w:r>
          <w:r>
            <w:rPr>
              <w:color w:val="auto"/>
              <w:highlight w:val="none"/>
            </w:rPr>
            <w:fldChar w:fldCharType="separate"/>
          </w:r>
          <w:r>
            <w:rPr>
              <w:rFonts w:hint="eastAsia" w:ascii="宋体" w:hAnsi="宋体" w:eastAsia="宋体"/>
              <w:bCs/>
              <w:snapToGrid/>
              <w:color w:val="auto"/>
              <w:kern w:val="2"/>
              <w:highlight w:val="none"/>
            </w:rPr>
            <w:t>一、工程概况</w:t>
          </w:r>
          <w:r>
            <w:rPr>
              <w:color w:val="auto"/>
              <w:highlight w:val="none"/>
            </w:rPr>
            <w:tab/>
          </w:r>
          <w:r>
            <w:rPr>
              <w:color w:val="auto"/>
              <w:highlight w:val="none"/>
            </w:rPr>
            <w:fldChar w:fldCharType="begin"/>
          </w:r>
          <w:r>
            <w:rPr>
              <w:color w:val="auto"/>
              <w:highlight w:val="none"/>
            </w:rPr>
            <w:instrText xml:space="preserve"> PAGEREF _Toc7611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5F32A9FE">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"_Toc14449" </w:instrText>
          </w:r>
          <w:r>
            <w:rPr>
              <w:color w:val="auto"/>
              <w:highlight w:val="none"/>
            </w:rPr>
            <w:fldChar w:fldCharType="separate"/>
          </w:r>
          <w:r>
            <w:rPr>
              <w:rFonts w:hint="eastAsia" w:ascii="宋体" w:hAnsi="宋体" w:eastAsia="宋体"/>
              <w:bCs/>
              <w:snapToGrid/>
              <w:color w:val="auto"/>
              <w:kern w:val="2"/>
              <w:highlight w:val="none"/>
            </w:rPr>
            <w:t>二、 合同工期</w:t>
          </w:r>
          <w:r>
            <w:rPr>
              <w:color w:val="auto"/>
              <w:highlight w:val="none"/>
            </w:rPr>
            <w:tab/>
          </w:r>
          <w:r>
            <w:rPr>
              <w:color w:val="auto"/>
              <w:highlight w:val="none"/>
            </w:rPr>
            <w:fldChar w:fldCharType="begin"/>
          </w:r>
          <w:r>
            <w:rPr>
              <w:color w:val="auto"/>
              <w:highlight w:val="none"/>
            </w:rPr>
            <w:instrText xml:space="preserve"> PAGEREF _Toc14449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6FE2DBD7">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"_Toc18971" </w:instrText>
          </w:r>
          <w:r>
            <w:rPr>
              <w:color w:val="auto"/>
              <w:highlight w:val="none"/>
            </w:rPr>
            <w:fldChar w:fldCharType="separate"/>
          </w:r>
          <w:r>
            <w:rPr>
              <w:rFonts w:hint="eastAsia" w:ascii="宋体" w:hAnsi="宋体" w:eastAsia="宋体"/>
              <w:bCs/>
              <w:snapToGrid/>
              <w:color w:val="auto"/>
              <w:kern w:val="2"/>
              <w:highlight w:val="none"/>
            </w:rPr>
            <w:t>三、质量、安全标准</w:t>
          </w:r>
          <w:r>
            <w:rPr>
              <w:color w:val="auto"/>
              <w:highlight w:val="none"/>
            </w:rPr>
            <w:tab/>
          </w:r>
          <w:r>
            <w:rPr>
              <w:color w:val="auto"/>
              <w:highlight w:val="none"/>
            </w:rPr>
            <w:fldChar w:fldCharType="begin"/>
          </w:r>
          <w:r>
            <w:rPr>
              <w:color w:val="auto"/>
              <w:highlight w:val="none"/>
            </w:rPr>
            <w:instrText xml:space="preserve"> PAGEREF _Toc18971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4A49B2E1">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"_Toc1731" </w:instrText>
          </w:r>
          <w:r>
            <w:rPr>
              <w:color w:val="auto"/>
              <w:highlight w:val="none"/>
            </w:rPr>
            <w:fldChar w:fldCharType="separate"/>
          </w:r>
          <w:r>
            <w:rPr>
              <w:rFonts w:hint="eastAsia" w:ascii="宋体" w:hAnsi="宋体" w:eastAsia="宋体"/>
              <w:bCs/>
              <w:snapToGrid/>
              <w:color w:val="auto"/>
              <w:kern w:val="2"/>
              <w:highlight w:val="none"/>
            </w:rPr>
            <w:t>四、签约合同价与合同价格形式</w:t>
          </w:r>
          <w:r>
            <w:rPr>
              <w:color w:val="auto"/>
              <w:highlight w:val="none"/>
            </w:rPr>
            <w:tab/>
          </w:r>
          <w:r>
            <w:rPr>
              <w:color w:val="auto"/>
              <w:highlight w:val="none"/>
            </w:rPr>
            <w:fldChar w:fldCharType="begin"/>
          </w:r>
          <w:r>
            <w:rPr>
              <w:color w:val="auto"/>
              <w:highlight w:val="none"/>
            </w:rPr>
            <w:instrText xml:space="preserve"> PAGEREF _Toc1731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4032AB07">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"_Toc17254" </w:instrText>
          </w:r>
          <w:r>
            <w:rPr>
              <w:color w:val="auto"/>
              <w:highlight w:val="none"/>
            </w:rPr>
            <w:fldChar w:fldCharType="separate"/>
          </w:r>
          <w:r>
            <w:rPr>
              <w:rFonts w:hint="eastAsia" w:ascii="宋体" w:hAnsi="宋体" w:eastAsia="宋体"/>
              <w:bCs/>
              <w:snapToGrid/>
              <w:color w:val="auto"/>
              <w:kern w:val="2"/>
              <w:highlight w:val="none"/>
            </w:rPr>
            <w:t>五、项目经理</w:t>
          </w:r>
          <w:r>
            <w:rPr>
              <w:color w:val="auto"/>
              <w:highlight w:val="none"/>
            </w:rPr>
            <w:tab/>
          </w:r>
          <w:r>
            <w:rPr>
              <w:color w:val="auto"/>
              <w:highlight w:val="none"/>
            </w:rPr>
            <w:fldChar w:fldCharType="begin"/>
          </w:r>
          <w:r>
            <w:rPr>
              <w:color w:val="auto"/>
              <w:highlight w:val="none"/>
            </w:rPr>
            <w:instrText xml:space="preserve"> PAGEREF _Toc17254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5FD5D4F9">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"_Toc11329" </w:instrText>
          </w:r>
          <w:r>
            <w:rPr>
              <w:color w:val="auto"/>
              <w:highlight w:val="none"/>
            </w:rPr>
            <w:fldChar w:fldCharType="separate"/>
          </w:r>
          <w:r>
            <w:rPr>
              <w:rFonts w:hint="eastAsia" w:ascii="宋体" w:hAnsi="宋体" w:eastAsia="宋体"/>
              <w:bCs/>
              <w:snapToGrid/>
              <w:color w:val="auto"/>
              <w:kern w:val="2"/>
              <w:highlight w:val="none"/>
            </w:rPr>
            <w:t>六、合同文件构成</w:t>
          </w:r>
          <w:r>
            <w:rPr>
              <w:color w:val="auto"/>
              <w:highlight w:val="none"/>
            </w:rPr>
            <w:tab/>
          </w:r>
          <w:r>
            <w:rPr>
              <w:color w:val="auto"/>
              <w:highlight w:val="none"/>
            </w:rPr>
            <w:fldChar w:fldCharType="begin"/>
          </w:r>
          <w:r>
            <w:rPr>
              <w:color w:val="auto"/>
              <w:highlight w:val="none"/>
            </w:rPr>
            <w:instrText xml:space="preserve"> PAGEREF _Toc11329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7A96D76B">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"_Toc13705" </w:instrText>
          </w:r>
          <w:r>
            <w:rPr>
              <w:color w:val="auto"/>
              <w:highlight w:val="none"/>
            </w:rPr>
            <w:fldChar w:fldCharType="separate"/>
          </w:r>
          <w:r>
            <w:rPr>
              <w:rFonts w:hint="eastAsia" w:ascii="宋体" w:hAnsi="宋体" w:eastAsia="宋体"/>
              <w:bCs/>
              <w:snapToGrid/>
              <w:color w:val="auto"/>
              <w:kern w:val="2"/>
              <w:highlight w:val="none"/>
            </w:rPr>
            <w:t>七、承诺</w:t>
          </w:r>
          <w:r>
            <w:rPr>
              <w:color w:val="auto"/>
              <w:highlight w:val="none"/>
            </w:rPr>
            <w:tab/>
          </w:r>
          <w:r>
            <w:rPr>
              <w:color w:val="auto"/>
              <w:highlight w:val="none"/>
            </w:rPr>
            <w:fldChar w:fldCharType="begin"/>
          </w:r>
          <w:r>
            <w:rPr>
              <w:color w:val="auto"/>
              <w:highlight w:val="none"/>
            </w:rPr>
            <w:instrText xml:space="preserve"> PAGEREF _Toc13705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514D36F8">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"_Toc15833" </w:instrText>
          </w:r>
          <w:r>
            <w:rPr>
              <w:color w:val="auto"/>
              <w:highlight w:val="none"/>
            </w:rPr>
            <w:fldChar w:fldCharType="separate"/>
          </w:r>
          <w:r>
            <w:rPr>
              <w:rFonts w:hint="eastAsia" w:ascii="宋体" w:hAnsi="宋体" w:eastAsia="宋体"/>
              <w:bCs/>
              <w:snapToGrid/>
              <w:color w:val="auto"/>
              <w:kern w:val="2"/>
              <w:highlight w:val="none"/>
            </w:rPr>
            <w:t>八、词语含义</w:t>
          </w:r>
          <w:r>
            <w:rPr>
              <w:color w:val="auto"/>
              <w:highlight w:val="none"/>
            </w:rPr>
            <w:tab/>
          </w:r>
          <w:r>
            <w:rPr>
              <w:color w:val="auto"/>
              <w:highlight w:val="none"/>
            </w:rPr>
            <w:fldChar w:fldCharType="begin"/>
          </w:r>
          <w:r>
            <w:rPr>
              <w:color w:val="auto"/>
              <w:highlight w:val="none"/>
            </w:rPr>
            <w:instrText xml:space="preserve"> PAGEREF _Toc15833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560FA926">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"_Toc10592" </w:instrText>
          </w:r>
          <w:r>
            <w:rPr>
              <w:color w:val="auto"/>
              <w:highlight w:val="none"/>
            </w:rPr>
            <w:fldChar w:fldCharType="separate"/>
          </w:r>
          <w:r>
            <w:rPr>
              <w:rFonts w:hint="eastAsia" w:ascii="宋体" w:hAnsi="宋体" w:eastAsia="宋体" w:cs="宋体"/>
              <w:bCs/>
              <w:snapToGrid/>
              <w:color w:val="auto"/>
              <w:kern w:val="2"/>
              <w:highlight w:val="none"/>
            </w:rPr>
            <w:t>九、签订时间</w:t>
          </w:r>
          <w:r>
            <w:rPr>
              <w:color w:val="auto"/>
              <w:highlight w:val="none"/>
            </w:rPr>
            <w:tab/>
          </w:r>
          <w:r>
            <w:rPr>
              <w:color w:val="auto"/>
              <w:highlight w:val="none"/>
            </w:rPr>
            <w:fldChar w:fldCharType="begin"/>
          </w:r>
          <w:r>
            <w:rPr>
              <w:color w:val="auto"/>
              <w:highlight w:val="none"/>
            </w:rPr>
            <w:instrText xml:space="preserve"> PAGEREF _Toc10592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0B933F32">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"_Toc18063" </w:instrText>
          </w:r>
          <w:r>
            <w:rPr>
              <w:color w:val="auto"/>
              <w:highlight w:val="none"/>
            </w:rPr>
            <w:fldChar w:fldCharType="separate"/>
          </w:r>
          <w:r>
            <w:rPr>
              <w:rFonts w:hint="eastAsia" w:ascii="宋体" w:hAnsi="宋体" w:eastAsia="宋体"/>
              <w:bCs/>
              <w:snapToGrid/>
              <w:color w:val="auto"/>
              <w:kern w:val="2"/>
              <w:highlight w:val="none"/>
            </w:rPr>
            <w:t>十、签订地点</w:t>
          </w:r>
          <w:r>
            <w:rPr>
              <w:color w:val="auto"/>
              <w:highlight w:val="none"/>
            </w:rPr>
            <w:tab/>
          </w:r>
          <w:r>
            <w:rPr>
              <w:color w:val="auto"/>
              <w:highlight w:val="none"/>
            </w:rPr>
            <w:fldChar w:fldCharType="begin"/>
          </w:r>
          <w:r>
            <w:rPr>
              <w:color w:val="auto"/>
              <w:highlight w:val="none"/>
            </w:rPr>
            <w:instrText xml:space="preserve"> PAGEREF _Toc18063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612B52F2">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"_Toc18474" </w:instrText>
          </w:r>
          <w:r>
            <w:rPr>
              <w:color w:val="auto"/>
              <w:highlight w:val="none"/>
            </w:rPr>
            <w:fldChar w:fldCharType="separate"/>
          </w:r>
          <w:r>
            <w:rPr>
              <w:rFonts w:hint="eastAsia" w:ascii="宋体" w:hAnsi="宋体" w:eastAsia="宋体"/>
              <w:bCs/>
              <w:snapToGrid/>
              <w:color w:val="auto"/>
              <w:kern w:val="2"/>
              <w:highlight w:val="none"/>
            </w:rPr>
            <w:t>十一、补充协议</w:t>
          </w:r>
          <w:r>
            <w:rPr>
              <w:color w:val="auto"/>
              <w:highlight w:val="none"/>
            </w:rPr>
            <w:tab/>
          </w:r>
          <w:r>
            <w:rPr>
              <w:color w:val="auto"/>
              <w:highlight w:val="none"/>
            </w:rPr>
            <w:fldChar w:fldCharType="begin"/>
          </w:r>
          <w:r>
            <w:rPr>
              <w:color w:val="auto"/>
              <w:highlight w:val="none"/>
            </w:rPr>
            <w:instrText xml:space="preserve"> PAGEREF _Toc18474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0ACFEA3A">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"_Toc3735" </w:instrText>
          </w:r>
          <w:r>
            <w:rPr>
              <w:color w:val="auto"/>
              <w:highlight w:val="none"/>
            </w:rPr>
            <w:fldChar w:fldCharType="separate"/>
          </w:r>
          <w:r>
            <w:rPr>
              <w:rFonts w:hint="eastAsia" w:ascii="宋体" w:hAnsi="宋体" w:eastAsia="宋体" w:cs="宋体"/>
              <w:bCs/>
              <w:snapToGrid/>
              <w:color w:val="auto"/>
              <w:kern w:val="2"/>
              <w:highlight w:val="none"/>
            </w:rPr>
            <w:t>十二、合同生效</w:t>
          </w:r>
          <w:r>
            <w:rPr>
              <w:color w:val="auto"/>
              <w:highlight w:val="none"/>
            </w:rPr>
            <w:tab/>
          </w:r>
          <w:r>
            <w:rPr>
              <w:color w:val="auto"/>
              <w:highlight w:val="none"/>
            </w:rPr>
            <w:fldChar w:fldCharType="begin"/>
          </w:r>
          <w:r>
            <w:rPr>
              <w:color w:val="auto"/>
              <w:highlight w:val="none"/>
            </w:rPr>
            <w:instrText xml:space="preserve"> PAGEREF _Toc3735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49DE0A5B">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"_Toc5508" </w:instrText>
          </w:r>
          <w:r>
            <w:rPr>
              <w:color w:val="auto"/>
              <w:highlight w:val="none"/>
            </w:rPr>
            <w:fldChar w:fldCharType="separate"/>
          </w:r>
          <w:r>
            <w:rPr>
              <w:rFonts w:hint="eastAsia" w:ascii="宋体" w:hAnsi="宋体" w:eastAsia="宋体" w:cs="宋体"/>
              <w:bCs/>
              <w:snapToGrid/>
              <w:color w:val="auto"/>
              <w:kern w:val="2"/>
              <w:highlight w:val="none"/>
            </w:rPr>
            <w:t>十三、合同份数</w:t>
          </w:r>
          <w:r>
            <w:rPr>
              <w:color w:val="auto"/>
              <w:highlight w:val="none"/>
            </w:rPr>
            <w:tab/>
          </w:r>
          <w:r>
            <w:rPr>
              <w:color w:val="auto"/>
              <w:highlight w:val="none"/>
            </w:rPr>
            <w:fldChar w:fldCharType="begin"/>
          </w:r>
          <w:r>
            <w:rPr>
              <w:color w:val="auto"/>
              <w:highlight w:val="none"/>
            </w:rPr>
            <w:instrText xml:space="preserve"> PAGEREF _Toc5508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7B0D0C56">
          <w:pPr>
            <w:pStyle w:val="13"/>
            <w:tabs>
              <w:tab w:val="right" w:leader="dot" w:pos="9073"/>
            </w:tabs>
            <w:rPr>
              <w:color w:val="auto"/>
              <w:highlight w:val="none"/>
            </w:rPr>
          </w:pPr>
          <w:r>
            <w:rPr>
              <w:color w:val="auto"/>
              <w:highlight w:val="none"/>
            </w:rPr>
            <w:fldChar w:fldCharType="begin"/>
          </w:r>
          <w:r>
            <w:rPr>
              <w:color w:val="auto"/>
              <w:highlight w:val="none"/>
            </w:rPr>
            <w:instrText xml:space="preserve"> HYPERLINK \l "_Toc32334" </w:instrText>
          </w:r>
          <w:r>
            <w:rPr>
              <w:color w:val="auto"/>
              <w:highlight w:val="none"/>
            </w:rPr>
            <w:fldChar w:fldCharType="separate"/>
          </w:r>
          <w:r>
            <w:rPr>
              <w:rFonts w:hint="eastAsia" w:ascii="宋体" w:hAnsi="宋体" w:eastAsia="宋体" w:cs="宋体"/>
              <w:bCs/>
              <w:color w:val="auto"/>
              <w:spacing w:val="-2"/>
              <w:szCs w:val="30"/>
              <w:highlight w:val="none"/>
            </w:rPr>
            <w:t>第</w:t>
          </w:r>
          <w:r>
            <w:rPr>
              <w:rFonts w:hint="eastAsia" w:ascii="宋体" w:hAnsi="宋体" w:eastAsia="宋体" w:cs="宋体"/>
              <w:bCs/>
              <w:color w:val="auto"/>
              <w:spacing w:val="-1"/>
              <w:szCs w:val="30"/>
              <w:highlight w:val="none"/>
            </w:rPr>
            <w:t>二部分 通用合同条款</w:t>
          </w:r>
          <w:r>
            <w:rPr>
              <w:color w:val="auto"/>
              <w:highlight w:val="none"/>
            </w:rPr>
            <w:tab/>
          </w:r>
          <w:r>
            <w:rPr>
              <w:color w:val="auto"/>
              <w:highlight w:val="none"/>
            </w:rPr>
            <w:fldChar w:fldCharType="begin"/>
          </w:r>
          <w:r>
            <w:rPr>
              <w:color w:val="auto"/>
              <w:highlight w:val="none"/>
            </w:rPr>
            <w:instrText xml:space="preserve"> PAGEREF _Toc32334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633192F8">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"_Toc26287" </w:instrText>
          </w:r>
          <w:r>
            <w:rPr>
              <w:color w:val="auto"/>
              <w:highlight w:val="none"/>
            </w:rPr>
            <w:fldChar w:fldCharType="separate"/>
          </w:r>
          <w:r>
            <w:rPr>
              <w:rFonts w:hint="eastAsia" w:ascii="宋体" w:hAnsi="宋体" w:eastAsia="宋体" w:cs="宋体"/>
              <w:snapToGrid/>
              <w:color w:val="auto"/>
              <w:kern w:val="2"/>
              <w:highlight w:val="none"/>
            </w:rPr>
            <w:t>1.  一般约定</w:t>
          </w:r>
          <w:r>
            <w:rPr>
              <w:color w:val="auto"/>
              <w:highlight w:val="none"/>
            </w:rPr>
            <w:tab/>
          </w:r>
          <w:r>
            <w:rPr>
              <w:color w:val="auto"/>
              <w:highlight w:val="none"/>
            </w:rPr>
            <w:fldChar w:fldCharType="begin"/>
          </w:r>
          <w:r>
            <w:rPr>
              <w:color w:val="auto"/>
              <w:highlight w:val="none"/>
            </w:rPr>
            <w:instrText xml:space="preserve"> PAGEREF _Toc26287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0766E5FE">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"_Toc13055" </w:instrText>
          </w:r>
          <w:r>
            <w:rPr>
              <w:color w:val="auto"/>
              <w:highlight w:val="none"/>
            </w:rPr>
            <w:fldChar w:fldCharType="separate"/>
          </w:r>
          <w:r>
            <w:rPr>
              <w:rFonts w:hint="eastAsia" w:ascii="宋体" w:hAnsi="宋体" w:eastAsia="宋体" w:cs="宋体"/>
              <w:snapToGrid/>
              <w:color w:val="auto"/>
              <w:kern w:val="2"/>
              <w:highlight w:val="none"/>
            </w:rPr>
            <w:t>1.1 词语定义与解释</w:t>
          </w:r>
          <w:r>
            <w:rPr>
              <w:color w:val="auto"/>
              <w:highlight w:val="none"/>
            </w:rPr>
            <w:tab/>
          </w:r>
          <w:r>
            <w:rPr>
              <w:color w:val="auto"/>
              <w:highlight w:val="none"/>
            </w:rPr>
            <w:fldChar w:fldCharType="begin"/>
          </w:r>
          <w:r>
            <w:rPr>
              <w:color w:val="auto"/>
              <w:highlight w:val="none"/>
            </w:rPr>
            <w:instrText xml:space="preserve"> PAGEREF _Toc13055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14BA6ABA">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"_Toc13484" </w:instrText>
          </w:r>
          <w:r>
            <w:rPr>
              <w:color w:val="auto"/>
              <w:highlight w:val="none"/>
            </w:rPr>
            <w:fldChar w:fldCharType="separate"/>
          </w:r>
          <w:r>
            <w:rPr>
              <w:rFonts w:hint="eastAsia" w:ascii="宋体" w:hAnsi="宋体" w:eastAsia="宋体" w:cs="宋体"/>
              <w:snapToGrid/>
              <w:color w:val="auto"/>
              <w:kern w:val="2"/>
              <w:highlight w:val="none"/>
            </w:rPr>
            <w:t>1.2 语言文字</w:t>
          </w:r>
          <w:r>
            <w:rPr>
              <w:color w:val="auto"/>
              <w:highlight w:val="none"/>
            </w:rPr>
            <w:tab/>
          </w:r>
          <w:r>
            <w:rPr>
              <w:color w:val="auto"/>
              <w:highlight w:val="none"/>
            </w:rPr>
            <w:fldChar w:fldCharType="begin"/>
          </w:r>
          <w:r>
            <w:rPr>
              <w:color w:val="auto"/>
              <w:highlight w:val="none"/>
            </w:rPr>
            <w:instrText xml:space="preserve"> PAGEREF _Toc13484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14:paraId="62E30E45">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"_Toc22270" </w:instrText>
          </w:r>
          <w:r>
            <w:rPr>
              <w:color w:val="auto"/>
              <w:highlight w:val="none"/>
            </w:rPr>
            <w:fldChar w:fldCharType="separate"/>
          </w:r>
          <w:r>
            <w:rPr>
              <w:rFonts w:hint="eastAsia" w:ascii="宋体" w:hAnsi="宋体" w:eastAsia="宋体" w:cs="宋体"/>
              <w:snapToGrid/>
              <w:color w:val="auto"/>
              <w:kern w:val="2"/>
              <w:highlight w:val="none"/>
            </w:rPr>
            <w:t>1.3 法律</w:t>
          </w:r>
          <w:r>
            <w:rPr>
              <w:color w:val="auto"/>
              <w:highlight w:val="none"/>
            </w:rPr>
            <w:tab/>
          </w:r>
          <w:r>
            <w:rPr>
              <w:color w:val="auto"/>
              <w:highlight w:val="none"/>
            </w:rPr>
            <w:fldChar w:fldCharType="begin"/>
          </w:r>
          <w:r>
            <w:rPr>
              <w:color w:val="auto"/>
              <w:highlight w:val="none"/>
            </w:rPr>
            <w:instrText xml:space="preserve"> PAGEREF _Toc22270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14:paraId="46CC6E24">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"_Toc10349" </w:instrText>
          </w:r>
          <w:r>
            <w:rPr>
              <w:color w:val="auto"/>
              <w:highlight w:val="none"/>
            </w:rPr>
            <w:fldChar w:fldCharType="separate"/>
          </w:r>
          <w:r>
            <w:rPr>
              <w:rFonts w:hint="eastAsia" w:ascii="宋体" w:hAnsi="宋体" w:eastAsia="宋体" w:cs="宋体"/>
              <w:snapToGrid/>
              <w:color w:val="auto"/>
              <w:kern w:val="2"/>
              <w:highlight w:val="none"/>
            </w:rPr>
            <w:t>1.4  标准和规范</w:t>
          </w:r>
          <w:r>
            <w:rPr>
              <w:color w:val="auto"/>
              <w:highlight w:val="none"/>
            </w:rPr>
            <w:tab/>
          </w:r>
          <w:r>
            <w:rPr>
              <w:color w:val="auto"/>
              <w:highlight w:val="none"/>
            </w:rPr>
            <w:fldChar w:fldCharType="begin"/>
          </w:r>
          <w:r>
            <w:rPr>
              <w:color w:val="auto"/>
              <w:highlight w:val="none"/>
            </w:rPr>
            <w:instrText xml:space="preserve"> PAGEREF _Toc10349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14:paraId="02AA174D">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"_Toc16287" </w:instrText>
          </w:r>
          <w:r>
            <w:rPr>
              <w:color w:val="auto"/>
              <w:highlight w:val="none"/>
            </w:rPr>
            <w:fldChar w:fldCharType="separate"/>
          </w:r>
          <w:r>
            <w:rPr>
              <w:rFonts w:hint="eastAsia" w:ascii="宋体" w:hAnsi="宋体" w:eastAsia="宋体" w:cs="宋体"/>
              <w:snapToGrid/>
              <w:color w:val="auto"/>
              <w:kern w:val="2"/>
              <w:highlight w:val="none"/>
            </w:rPr>
            <w:t>1.5  合同文件的优先顺序</w:t>
          </w:r>
          <w:r>
            <w:rPr>
              <w:color w:val="auto"/>
              <w:highlight w:val="none"/>
            </w:rPr>
            <w:tab/>
          </w:r>
          <w:r>
            <w:rPr>
              <w:color w:val="auto"/>
              <w:highlight w:val="none"/>
            </w:rPr>
            <w:fldChar w:fldCharType="begin"/>
          </w:r>
          <w:r>
            <w:rPr>
              <w:color w:val="auto"/>
              <w:highlight w:val="none"/>
            </w:rPr>
            <w:instrText xml:space="preserve"> PAGEREF _Toc16287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14:paraId="3EF195DA">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"_Toc31096" </w:instrText>
          </w:r>
          <w:r>
            <w:rPr>
              <w:color w:val="auto"/>
              <w:highlight w:val="none"/>
            </w:rPr>
            <w:fldChar w:fldCharType="separate"/>
          </w:r>
          <w:r>
            <w:rPr>
              <w:rFonts w:hint="eastAsia" w:ascii="宋体" w:hAnsi="宋体" w:eastAsia="宋体" w:cs="宋体"/>
              <w:snapToGrid/>
              <w:color w:val="auto"/>
              <w:kern w:val="2"/>
              <w:highlight w:val="none"/>
            </w:rPr>
            <w:t>1.6 图纸和承包人文件</w:t>
          </w:r>
          <w:r>
            <w:rPr>
              <w:color w:val="auto"/>
              <w:highlight w:val="none"/>
            </w:rPr>
            <w:tab/>
          </w:r>
          <w:r>
            <w:rPr>
              <w:color w:val="auto"/>
              <w:highlight w:val="none"/>
            </w:rPr>
            <w:fldChar w:fldCharType="begin"/>
          </w:r>
          <w:r>
            <w:rPr>
              <w:color w:val="auto"/>
              <w:highlight w:val="none"/>
            </w:rPr>
            <w:instrText xml:space="preserve"> PAGEREF _Toc31096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14:paraId="561428B1">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"_Toc10188" </w:instrText>
          </w:r>
          <w:r>
            <w:rPr>
              <w:color w:val="auto"/>
              <w:highlight w:val="none"/>
            </w:rPr>
            <w:fldChar w:fldCharType="separate"/>
          </w:r>
          <w:r>
            <w:rPr>
              <w:rFonts w:hint="eastAsia" w:ascii="宋体" w:hAnsi="宋体" w:eastAsia="宋体" w:cs="宋体"/>
              <w:snapToGrid/>
              <w:color w:val="auto"/>
              <w:kern w:val="2"/>
              <w:highlight w:val="none"/>
            </w:rPr>
            <w:t>1.7 联络</w:t>
          </w:r>
          <w:r>
            <w:rPr>
              <w:color w:val="auto"/>
              <w:highlight w:val="none"/>
            </w:rPr>
            <w:tab/>
          </w:r>
          <w:r>
            <w:rPr>
              <w:color w:val="auto"/>
              <w:highlight w:val="none"/>
            </w:rPr>
            <w:fldChar w:fldCharType="begin"/>
          </w:r>
          <w:r>
            <w:rPr>
              <w:color w:val="auto"/>
              <w:highlight w:val="none"/>
            </w:rPr>
            <w:instrText xml:space="preserve"> PAGEREF _Toc10188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248766C4">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"_Toc15017" </w:instrText>
          </w:r>
          <w:r>
            <w:rPr>
              <w:color w:val="auto"/>
              <w:highlight w:val="none"/>
            </w:rPr>
            <w:fldChar w:fldCharType="separate"/>
          </w:r>
          <w:r>
            <w:rPr>
              <w:rFonts w:hint="eastAsia" w:ascii="宋体" w:hAnsi="宋体" w:eastAsia="宋体" w:cs="宋体"/>
              <w:snapToGrid/>
              <w:color w:val="auto"/>
              <w:kern w:val="2"/>
              <w:highlight w:val="none"/>
            </w:rPr>
            <w:t>1.8 严禁贿赂</w:t>
          </w:r>
          <w:r>
            <w:rPr>
              <w:color w:val="auto"/>
              <w:highlight w:val="none"/>
            </w:rPr>
            <w:tab/>
          </w:r>
          <w:r>
            <w:rPr>
              <w:color w:val="auto"/>
              <w:highlight w:val="none"/>
            </w:rPr>
            <w:fldChar w:fldCharType="begin"/>
          </w:r>
          <w:r>
            <w:rPr>
              <w:color w:val="auto"/>
              <w:highlight w:val="none"/>
            </w:rPr>
            <w:instrText xml:space="preserve"> PAGEREF _Toc15017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60EECB76">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"_Toc21564" </w:instrText>
          </w:r>
          <w:r>
            <w:rPr>
              <w:color w:val="auto"/>
              <w:highlight w:val="none"/>
            </w:rPr>
            <w:fldChar w:fldCharType="separate"/>
          </w:r>
          <w:r>
            <w:rPr>
              <w:rFonts w:hint="eastAsia" w:ascii="宋体" w:hAnsi="宋体" w:eastAsia="宋体" w:cs="宋体"/>
              <w:snapToGrid/>
              <w:color w:val="auto"/>
              <w:kern w:val="2"/>
              <w:highlight w:val="none"/>
            </w:rPr>
            <w:t>1.9 化石、文物</w:t>
          </w:r>
          <w:r>
            <w:rPr>
              <w:color w:val="auto"/>
              <w:highlight w:val="none"/>
            </w:rPr>
            <w:tab/>
          </w:r>
          <w:r>
            <w:rPr>
              <w:color w:val="auto"/>
              <w:highlight w:val="none"/>
            </w:rPr>
            <w:fldChar w:fldCharType="begin"/>
          </w:r>
          <w:r>
            <w:rPr>
              <w:color w:val="auto"/>
              <w:highlight w:val="none"/>
            </w:rPr>
            <w:instrText xml:space="preserve"> PAGEREF _Toc21564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49CD8426">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"_Toc19955" </w:instrText>
          </w:r>
          <w:r>
            <w:rPr>
              <w:color w:val="auto"/>
              <w:highlight w:val="none"/>
            </w:rPr>
            <w:fldChar w:fldCharType="separate"/>
          </w:r>
          <w:r>
            <w:rPr>
              <w:rFonts w:hint="eastAsia" w:ascii="宋体" w:hAnsi="宋体" w:eastAsia="宋体" w:cs="宋体"/>
              <w:snapToGrid/>
              <w:color w:val="auto"/>
              <w:kern w:val="2"/>
              <w:highlight w:val="none"/>
            </w:rPr>
            <w:t>1.10 交通运输</w:t>
          </w:r>
          <w:r>
            <w:rPr>
              <w:color w:val="auto"/>
              <w:highlight w:val="none"/>
            </w:rPr>
            <w:tab/>
          </w:r>
          <w:r>
            <w:rPr>
              <w:color w:val="auto"/>
              <w:highlight w:val="none"/>
            </w:rPr>
            <w:fldChar w:fldCharType="begin"/>
          </w:r>
          <w:r>
            <w:rPr>
              <w:color w:val="auto"/>
              <w:highlight w:val="none"/>
            </w:rPr>
            <w:instrText xml:space="preserve"> PAGEREF _Toc19955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23431D3A">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"_Toc5802" </w:instrText>
          </w:r>
          <w:r>
            <w:rPr>
              <w:color w:val="auto"/>
              <w:highlight w:val="none"/>
            </w:rPr>
            <w:fldChar w:fldCharType="separate"/>
          </w:r>
          <w:r>
            <w:rPr>
              <w:rFonts w:hint="eastAsia" w:ascii="宋体" w:hAnsi="宋体" w:eastAsia="宋体" w:cs="宋体"/>
              <w:snapToGrid/>
              <w:color w:val="auto"/>
              <w:kern w:val="2"/>
              <w:highlight w:val="none"/>
            </w:rPr>
            <w:t>1.11 知识产权</w:t>
          </w:r>
          <w:r>
            <w:rPr>
              <w:color w:val="auto"/>
              <w:highlight w:val="none"/>
            </w:rPr>
            <w:tab/>
          </w:r>
          <w:r>
            <w:rPr>
              <w:color w:val="auto"/>
              <w:highlight w:val="none"/>
            </w:rPr>
            <w:fldChar w:fldCharType="begin"/>
          </w:r>
          <w:r>
            <w:rPr>
              <w:color w:val="auto"/>
              <w:highlight w:val="none"/>
            </w:rPr>
            <w:instrText xml:space="preserve"> PAGEREF _Toc5802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03D6331D">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"_Toc16218" </w:instrText>
          </w:r>
          <w:r>
            <w:rPr>
              <w:color w:val="auto"/>
              <w:highlight w:val="none"/>
            </w:rPr>
            <w:fldChar w:fldCharType="separate"/>
          </w:r>
          <w:r>
            <w:rPr>
              <w:rFonts w:hint="eastAsia" w:ascii="宋体" w:hAnsi="宋体" w:eastAsia="宋体" w:cs="宋体"/>
              <w:snapToGrid/>
              <w:color w:val="auto"/>
              <w:kern w:val="2"/>
              <w:highlight w:val="none"/>
            </w:rPr>
            <w:t>1.12 保密</w:t>
          </w:r>
          <w:r>
            <w:rPr>
              <w:color w:val="auto"/>
              <w:highlight w:val="none"/>
            </w:rPr>
            <w:tab/>
          </w:r>
          <w:r>
            <w:rPr>
              <w:color w:val="auto"/>
              <w:highlight w:val="none"/>
            </w:rPr>
            <w:fldChar w:fldCharType="begin"/>
          </w:r>
          <w:r>
            <w:rPr>
              <w:color w:val="auto"/>
              <w:highlight w:val="none"/>
            </w:rPr>
            <w:instrText xml:space="preserve"> PAGEREF _Toc16218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14:paraId="1DC95B39">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"_Toc3964" </w:instrText>
          </w:r>
          <w:r>
            <w:rPr>
              <w:color w:val="auto"/>
              <w:highlight w:val="none"/>
            </w:rPr>
            <w:fldChar w:fldCharType="separate"/>
          </w:r>
          <w:r>
            <w:rPr>
              <w:rFonts w:hint="eastAsia" w:ascii="宋体" w:hAnsi="宋体" w:eastAsia="宋体" w:cs="宋体"/>
              <w:snapToGrid/>
              <w:color w:val="auto"/>
              <w:kern w:val="2"/>
              <w:highlight w:val="none"/>
            </w:rPr>
            <w:t>1.13 工程量清单缺陷的修正</w:t>
          </w:r>
          <w:r>
            <w:rPr>
              <w:color w:val="auto"/>
              <w:highlight w:val="none"/>
            </w:rPr>
            <w:tab/>
          </w:r>
          <w:r>
            <w:rPr>
              <w:color w:val="auto"/>
              <w:highlight w:val="none"/>
            </w:rPr>
            <w:fldChar w:fldCharType="begin"/>
          </w:r>
          <w:r>
            <w:rPr>
              <w:color w:val="auto"/>
              <w:highlight w:val="none"/>
            </w:rPr>
            <w:instrText xml:space="preserve"> PAGEREF _Toc3964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14:paraId="112FFC7A">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"_Toc2164" </w:instrText>
          </w:r>
          <w:r>
            <w:rPr>
              <w:color w:val="auto"/>
              <w:highlight w:val="none"/>
            </w:rPr>
            <w:fldChar w:fldCharType="separate"/>
          </w:r>
          <w:r>
            <w:rPr>
              <w:rFonts w:hint="eastAsia" w:ascii="宋体" w:hAnsi="宋体" w:eastAsia="宋体" w:cs="宋体"/>
              <w:snapToGrid/>
              <w:color w:val="auto"/>
              <w:kern w:val="2"/>
              <w:highlight w:val="none"/>
            </w:rPr>
            <w:t>2. 发包人</w:t>
          </w:r>
          <w:r>
            <w:rPr>
              <w:color w:val="auto"/>
              <w:highlight w:val="none"/>
            </w:rPr>
            <w:tab/>
          </w:r>
          <w:r>
            <w:rPr>
              <w:color w:val="auto"/>
              <w:highlight w:val="none"/>
            </w:rPr>
            <w:fldChar w:fldCharType="begin"/>
          </w:r>
          <w:r>
            <w:rPr>
              <w:color w:val="auto"/>
              <w:highlight w:val="none"/>
            </w:rPr>
            <w:instrText xml:space="preserve"> PAGEREF _Toc2164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14:paraId="36A1E3CC">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"_Toc18853" </w:instrText>
          </w:r>
          <w:r>
            <w:rPr>
              <w:color w:val="auto"/>
              <w:highlight w:val="none"/>
            </w:rPr>
            <w:fldChar w:fldCharType="separate"/>
          </w:r>
          <w:r>
            <w:rPr>
              <w:rFonts w:hint="eastAsia" w:ascii="宋体" w:hAnsi="宋体" w:eastAsia="宋体" w:cs="宋体"/>
              <w:snapToGrid/>
              <w:color w:val="auto"/>
              <w:kern w:val="2"/>
              <w:highlight w:val="none"/>
            </w:rPr>
            <w:t>2.1 许可或批准</w:t>
          </w:r>
          <w:r>
            <w:rPr>
              <w:color w:val="auto"/>
              <w:highlight w:val="none"/>
            </w:rPr>
            <w:tab/>
          </w:r>
          <w:r>
            <w:rPr>
              <w:color w:val="auto"/>
              <w:highlight w:val="none"/>
            </w:rPr>
            <w:fldChar w:fldCharType="begin"/>
          </w:r>
          <w:r>
            <w:rPr>
              <w:color w:val="auto"/>
              <w:highlight w:val="none"/>
            </w:rPr>
            <w:instrText xml:space="preserve"> PAGEREF _Toc18853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14:paraId="4F94FCC6">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"_Toc2353" </w:instrText>
          </w:r>
          <w:r>
            <w:rPr>
              <w:color w:val="auto"/>
              <w:highlight w:val="none"/>
            </w:rPr>
            <w:fldChar w:fldCharType="separate"/>
          </w:r>
          <w:r>
            <w:rPr>
              <w:rFonts w:hint="eastAsia" w:ascii="宋体" w:hAnsi="宋体" w:eastAsia="宋体" w:cs="宋体"/>
              <w:snapToGrid/>
              <w:color w:val="auto"/>
              <w:kern w:val="2"/>
              <w:highlight w:val="none"/>
            </w:rPr>
            <w:t>2.2  发包人代表</w:t>
          </w:r>
          <w:r>
            <w:rPr>
              <w:color w:val="auto"/>
              <w:highlight w:val="none"/>
            </w:rPr>
            <w:tab/>
          </w:r>
          <w:r>
            <w:rPr>
              <w:color w:val="auto"/>
              <w:highlight w:val="none"/>
            </w:rPr>
            <w:fldChar w:fldCharType="begin"/>
          </w:r>
          <w:r>
            <w:rPr>
              <w:color w:val="auto"/>
              <w:highlight w:val="none"/>
            </w:rPr>
            <w:instrText xml:space="preserve"> PAGEREF _Toc2353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14:paraId="203E617B">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"_Toc27362" </w:instrText>
          </w:r>
          <w:r>
            <w:rPr>
              <w:color w:val="auto"/>
              <w:highlight w:val="none"/>
            </w:rPr>
            <w:fldChar w:fldCharType="separate"/>
          </w:r>
          <w:r>
            <w:rPr>
              <w:rFonts w:hint="eastAsia" w:ascii="宋体" w:hAnsi="宋体" w:eastAsia="宋体" w:cs="宋体"/>
              <w:snapToGrid/>
              <w:color w:val="auto"/>
              <w:kern w:val="2"/>
              <w:highlight w:val="none"/>
            </w:rPr>
            <w:t>2.3  发包人人员</w:t>
          </w:r>
          <w:r>
            <w:rPr>
              <w:color w:val="auto"/>
              <w:highlight w:val="none"/>
            </w:rPr>
            <w:tab/>
          </w:r>
          <w:r>
            <w:rPr>
              <w:color w:val="auto"/>
              <w:highlight w:val="none"/>
            </w:rPr>
            <w:fldChar w:fldCharType="begin"/>
          </w:r>
          <w:r>
            <w:rPr>
              <w:color w:val="auto"/>
              <w:highlight w:val="none"/>
            </w:rPr>
            <w:instrText xml:space="preserve"> PAGEREF _Toc27362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073FD45A">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"_Toc10179" </w:instrText>
          </w:r>
          <w:r>
            <w:rPr>
              <w:color w:val="auto"/>
              <w:highlight w:val="none"/>
            </w:rPr>
            <w:fldChar w:fldCharType="separate"/>
          </w:r>
          <w:r>
            <w:rPr>
              <w:rFonts w:hint="eastAsia" w:ascii="宋体" w:hAnsi="宋体" w:eastAsia="宋体" w:cs="宋体"/>
              <w:snapToGrid/>
              <w:color w:val="auto"/>
              <w:kern w:val="2"/>
              <w:highlight w:val="none"/>
            </w:rPr>
            <w:t>2.4  施工现场、施工条件和基础资料的提供</w:t>
          </w:r>
          <w:r>
            <w:rPr>
              <w:color w:val="auto"/>
              <w:highlight w:val="none"/>
            </w:rPr>
            <w:tab/>
          </w:r>
          <w:r>
            <w:rPr>
              <w:color w:val="auto"/>
              <w:highlight w:val="none"/>
            </w:rPr>
            <w:fldChar w:fldCharType="begin"/>
          </w:r>
          <w:r>
            <w:rPr>
              <w:color w:val="auto"/>
              <w:highlight w:val="none"/>
            </w:rPr>
            <w:instrText xml:space="preserve"> PAGEREF _Toc10179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4AAD5080">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"_Toc17011" </w:instrText>
          </w:r>
          <w:r>
            <w:rPr>
              <w:color w:val="auto"/>
              <w:highlight w:val="none"/>
            </w:rPr>
            <w:fldChar w:fldCharType="separate"/>
          </w:r>
          <w:r>
            <w:rPr>
              <w:rFonts w:hint="eastAsia" w:ascii="宋体" w:hAnsi="宋体" w:eastAsia="宋体" w:cs="宋体"/>
              <w:snapToGrid/>
              <w:color w:val="auto"/>
              <w:kern w:val="2"/>
              <w:highlight w:val="none"/>
            </w:rPr>
            <w:t>2.5  资金来源证明及支付担保</w:t>
          </w:r>
          <w:r>
            <w:rPr>
              <w:color w:val="auto"/>
              <w:highlight w:val="none"/>
            </w:rPr>
            <w:tab/>
          </w:r>
          <w:r>
            <w:rPr>
              <w:color w:val="auto"/>
              <w:highlight w:val="none"/>
            </w:rPr>
            <w:fldChar w:fldCharType="begin"/>
          </w:r>
          <w:r>
            <w:rPr>
              <w:color w:val="auto"/>
              <w:highlight w:val="none"/>
            </w:rPr>
            <w:instrText xml:space="preserve"> PAGEREF _Toc17011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5CC0305A">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"_Toc22743" </w:instrText>
          </w:r>
          <w:r>
            <w:rPr>
              <w:color w:val="auto"/>
              <w:highlight w:val="none"/>
            </w:rPr>
            <w:fldChar w:fldCharType="separate"/>
          </w:r>
          <w:r>
            <w:rPr>
              <w:rFonts w:hint="eastAsia" w:ascii="宋体" w:hAnsi="宋体" w:eastAsia="宋体" w:cs="宋体"/>
              <w:snapToGrid/>
              <w:color w:val="auto"/>
              <w:kern w:val="2"/>
              <w:highlight w:val="none"/>
            </w:rPr>
            <w:t>2.6  支付合同价款</w:t>
          </w:r>
          <w:r>
            <w:rPr>
              <w:color w:val="auto"/>
              <w:highlight w:val="none"/>
            </w:rPr>
            <w:tab/>
          </w:r>
          <w:r>
            <w:rPr>
              <w:color w:val="auto"/>
              <w:highlight w:val="none"/>
            </w:rPr>
            <w:fldChar w:fldCharType="begin"/>
          </w:r>
          <w:r>
            <w:rPr>
              <w:color w:val="auto"/>
              <w:highlight w:val="none"/>
            </w:rPr>
            <w:instrText xml:space="preserve"> PAGEREF _Toc22743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0E216E8D">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"_Toc4863" </w:instrText>
          </w:r>
          <w:r>
            <w:rPr>
              <w:color w:val="auto"/>
              <w:highlight w:val="none"/>
            </w:rPr>
            <w:fldChar w:fldCharType="separate"/>
          </w:r>
          <w:r>
            <w:rPr>
              <w:rFonts w:hint="eastAsia" w:ascii="宋体" w:hAnsi="宋体" w:eastAsia="宋体" w:cs="宋体"/>
              <w:snapToGrid/>
              <w:color w:val="auto"/>
              <w:kern w:val="2"/>
              <w:highlight w:val="none"/>
            </w:rPr>
            <w:t>2.7  组织竣工验收</w:t>
          </w:r>
          <w:r>
            <w:rPr>
              <w:color w:val="auto"/>
              <w:highlight w:val="none"/>
            </w:rPr>
            <w:tab/>
          </w:r>
          <w:r>
            <w:rPr>
              <w:color w:val="auto"/>
              <w:highlight w:val="none"/>
            </w:rPr>
            <w:fldChar w:fldCharType="begin"/>
          </w:r>
          <w:r>
            <w:rPr>
              <w:color w:val="auto"/>
              <w:highlight w:val="none"/>
            </w:rPr>
            <w:instrText xml:space="preserve"> PAGEREF _Toc4863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051D04A1">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"_Toc6781" </w:instrText>
          </w:r>
          <w:r>
            <w:rPr>
              <w:color w:val="auto"/>
              <w:highlight w:val="none"/>
            </w:rPr>
            <w:fldChar w:fldCharType="separate"/>
          </w:r>
          <w:r>
            <w:rPr>
              <w:rFonts w:hint="eastAsia" w:ascii="宋体" w:hAnsi="宋体" w:eastAsia="宋体" w:cs="宋体"/>
              <w:snapToGrid/>
              <w:color w:val="auto"/>
              <w:kern w:val="2"/>
              <w:highlight w:val="none"/>
            </w:rPr>
            <w:t>2.8  现场统一管理协议</w:t>
          </w:r>
          <w:r>
            <w:rPr>
              <w:color w:val="auto"/>
              <w:highlight w:val="none"/>
            </w:rPr>
            <w:tab/>
          </w:r>
          <w:r>
            <w:rPr>
              <w:color w:val="auto"/>
              <w:highlight w:val="none"/>
            </w:rPr>
            <w:fldChar w:fldCharType="begin"/>
          </w:r>
          <w:r>
            <w:rPr>
              <w:color w:val="auto"/>
              <w:highlight w:val="none"/>
            </w:rPr>
            <w:instrText xml:space="preserve"> PAGEREF _Toc6781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11624C50">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"_Toc6220" </w:instrText>
          </w:r>
          <w:r>
            <w:rPr>
              <w:color w:val="auto"/>
              <w:highlight w:val="none"/>
            </w:rPr>
            <w:fldChar w:fldCharType="separate"/>
          </w:r>
          <w:r>
            <w:rPr>
              <w:rFonts w:hint="eastAsia" w:ascii="宋体" w:hAnsi="宋体" w:eastAsia="宋体" w:cs="宋体"/>
              <w:snapToGrid/>
              <w:color w:val="auto"/>
              <w:kern w:val="2"/>
              <w:highlight w:val="none"/>
            </w:rPr>
            <w:t>3.  承包人</w:t>
          </w:r>
          <w:r>
            <w:rPr>
              <w:color w:val="auto"/>
              <w:highlight w:val="none"/>
            </w:rPr>
            <w:tab/>
          </w:r>
          <w:r>
            <w:rPr>
              <w:color w:val="auto"/>
              <w:highlight w:val="none"/>
            </w:rPr>
            <w:fldChar w:fldCharType="begin"/>
          </w:r>
          <w:r>
            <w:rPr>
              <w:color w:val="auto"/>
              <w:highlight w:val="none"/>
            </w:rPr>
            <w:instrText xml:space="preserve"> PAGEREF _Toc6220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028E6B50">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"_Toc32630" </w:instrText>
          </w:r>
          <w:r>
            <w:rPr>
              <w:color w:val="auto"/>
              <w:highlight w:val="none"/>
            </w:rPr>
            <w:fldChar w:fldCharType="separate"/>
          </w:r>
          <w:r>
            <w:rPr>
              <w:rFonts w:hint="eastAsia" w:ascii="宋体" w:hAnsi="宋体" w:eastAsia="宋体" w:cs="宋体"/>
              <w:snapToGrid/>
              <w:color w:val="auto"/>
              <w:kern w:val="2"/>
              <w:highlight w:val="none"/>
            </w:rPr>
            <w:t>3.1  承包人的一般义务</w:t>
          </w:r>
          <w:r>
            <w:rPr>
              <w:color w:val="auto"/>
              <w:highlight w:val="none"/>
            </w:rPr>
            <w:tab/>
          </w:r>
          <w:r>
            <w:rPr>
              <w:color w:val="auto"/>
              <w:highlight w:val="none"/>
            </w:rPr>
            <w:fldChar w:fldCharType="begin"/>
          </w:r>
          <w:r>
            <w:rPr>
              <w:color w:val="auto"/>
              <w:highlight w:val="none"/>
            </w:rPr>
            <w:instrText xml:space="preserve"> PAGEREF _Toc32630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717916E4">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"_Toc4071" </w:instrText>
          </w:r>
          <w:r>
            <w:rPr>
              <w:color w:val="auto"/>
              <w:highlight w:val="none"/>
            </w:rPr>
            <w:fldChar w:fldCharType="separate"/>
          </w:r>
          <w:r>
            <w:rPr>
              <w:rFonts w:hint="eastAsia" w:ascii="宋体" w:hAnsi="宋体" w:eastAsia="宋体" w:cs="宋体"/>
              <w:snapToGrid/>
              <w:color w:val="auto"/>
              <w:kern w:val="2"/>
              <w:highlight w:val="none"/>
            </w:rPr>
            <w:t>3.2  项目经理</w:t>
          </w:r>
          <w:r>
            <w:rPr>
              <w:color w:val="auto"/>
              <w:highlight w:val="none"/>
            </w:rPr>
            <w:tab/>
          </w:r>
          <w:r>
            <w:rPr>
              <w:color w:val="auto"/>
              <w:highlight w:val="none"/>
            </w:rPr>
            <w:fldChar w:fldCharType="begin"/>
          </w:r>
          <w:r>
            <w:rPr>
              <w:color w:val="auto"/>
              <w:highlight w:val="none"/>
            </w:rPr>
            <w:instrText xml:space="preserve"> PAGEREF _Toc4071 \h </w:instrText>
          </w:r>
          <w:r>
            <w:rPr>
              <w:color w:val="auto"/>
              <w:highlight w:val="none"/>
            </w:rPr>
            <w:fldChar w:fldCharType="separate"/>
          </w:r>
          <w:r>
            <w:rPr>
              <w:color w:val="auto"/>
              <w:highlight w:val="none"/>
            </w:rPr>
            <w:t>21</w:t>
          </w:r>
          <w:r>
            <w:rPr>
              <w:color w:val="auto"/>
              <w:highlight w:val="none"/>
            </w:rPr>
            <w:fldChar w:fldCharType="end"/>
          </w:r>
          <w:r>
            <w:rPr>
              <w:color w:val="auto"/>
              <w:highlight w:val="none"/>
            </w:rPr>
            <w:fldChar w:fldCharType="end"/>
          </w:r>
        </w:p>
        <w:p w14:paraId="7826B425">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"_Toc5562" </w:instrText>
          </w:r>
          <w:r>
            <w:rPr>
              <w:color w:val="auto"/>
              <w:highlight w:val="none"/>
            </w:rPr>
            <w:fldChar w:fldCharType="separate"/>
          </w:r>
          <w:r>
            <w:rPr>
              <w:rFonts w:hint="eastAsia" w:ascii="宋体" w:hAnsi="宋体" w:eastAsia="宋体" w:cs="宋体"/>
              <w:snapToGrid/>
              <w:color w:val="auto"/>
              <w:kern w:val="2"/>
              <w:highlight w:val="none"/>
            </w:rPr>
            <w:t>3.3  承包人人员</w:t>
          </w:r>
          <w:r>
            <w:rPr>
              <w:color w:val="auto"/>
              <w:highlight w:val="none"/>
            </w:rPr>
            <w:tab/>
          </w:r>
          <w:r>
            <w:rPr>
              <w:color w:val="auto"/>
              <w:highlight w:val="none"/>
            </w:rPr>
            <w:fldChar w:fldCharType="begin"/>
          </w:r>
          <w:r>
            <w:rPr>
              <w:color w:val="auto"/>
              <w:highlight w:val="none"/>
            </w:rPr>
            <w:instrText xml:space="preserve"> PAGEREF _Toc5562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7BBC80E4">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"_Toc1020" </w:instrText>
          </w:r>
          <w:r>
            <w:rPr>
              <w:color w:val="auto"/>
              <w:highlight w:val="none"/>
            </w:rPr>
            <w:fldChar w:fldCharType="separate"/>
          </w:r>
          <w:r>
            <w:rPr>
              <w:rFonts w:hint="eastAsia" w:ascii="宋体" w:hAnsi="宋体" w:eastAsia="宋体" w:cs="宋体"/>
              <w:snapToGrid/>
              <w:color w:val="auto"/>
              <w:kern w:val="2"/>
              <w:highlight w:val="none"/>
            </w:rPr>
            <w:t>3.4  承包人现场查勘</w:t>
          </w:r>
          <w:r>
            <w:rPr>
              <w:color w:val="auto"/>
              <w:highlight w:val="none"/>
            </w:rPr>
            <w:tab/>
          </w:r>
          <w:r>
            <w:rPr>
              <w:color w:val="auto"/>
              <w:highlight w:val="none"/>
            </w:rPr>
            <w:fldChar w:fldCharType="begin"/>
          </w:r>
          <w:r>
            <w:rPr>
              <w:color w:val="auto"/>
              <w:highlight w:val="none"/>
            </w:rPr>
            <w:instrText xml:space="preserve"> PAGEREF _Toc1020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1E9883CD">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"_Toc2682" </w:instrText>
          </w:r>
          <w:r>
            <w:rPr>
              <w:color w:val="auto"/>
              <w:highlight w:val="none"/>
            </w:rPr>
            <w:fldChar w:fldCharType="separate"/>
          </w:r>
          <w:r>
            <w:rPr>
              <w:rFonts w:hint="eastAsia" w:ascii="宋体" w:hAnsi="宋体" w:eastAsia="宋体" w:cs="宋体"/>
              <w:snapToGrid/>
              <w:color w:val="auto"/>
              <w:kern w:val="2"/>
              <w:highlight w:val="none"/>
            </w:rPr>
            <w:t>3.5  分包</w:t>
          </w:r>
          <w:r>
            <w:rPr>
              <w:color w:val="auto"/>
              <w:highlight w:val="none"/>
            </w:rPr>
            <w:tab/>
          </w:r>
          <w:r>
            <w:rPr>
              <w:color w:val="auto"/>
              <w:highlight w:val="none"/>
            </w:rPr>
            <w:fldChar w:fldCharType="begin"/>
          </w:r>
          <w:r>
            <w:rPr>
              <w:color w:val="auto"/>
              <w:highlight w:val="none"/>
            </w:rPr>
            <w:instrText xml:space="preserve"> PAGEREF _Toc2682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1EF3759A">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"_Toc20963" </w:instrText>
          </w:r>
          <w:r>
            <w:rPr>
              <w:color w:val="auto"/>
              <w:highlight w:val="none"/>
            </w:rPr>
            <w:fldChar w:fldCharType="separate"/>
          </w:r>
          <w:r>
            <w:rPr>
              <w:rFonts w:hint="eastAsia" w:ascii="宋体" w:hAnsi="宋体" w:eastAsia="宋体" w:cs="宋体"/>
              <w:snapToGrid/>
              <w:color w:val="auto"/>
              <w:kern w:val="2"/>
              <w:highlight w:val="none"/>
            </w:rPr>
            <w:t>3.6  工程照管与成品、半成品保护</w:t>
          </w:r>
          <w:r>
            <w:rPr>
              <w:color w:val="auto"/>
              <w:highlight w:val="none"/>
            </w:rPr>
            <w:tab/>
          </w:r>
          <w:r>
            <w:rPr>
              <w:color w:val="auto"/>
              <w:highlight w:val="none"/>
            </w:rPr>
            <w:fldChar w:fldCharType="begin"/>
          </w:r>
          <w:r>
            <w:rPr>
              <w:color w:val="auto"/>
              <w:highlight w:val="none"/>
            </w:rPr>
            <w:instrText xml:space="preserve"> PAGEREF _Toc20963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243DECA2">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"_Toc16108" </w:instrText>
          </w:r>
          <w:r>
            <w:rPr>
              <w:color w:val="auto"/>
              <w:highlight w:val="none"/>
            </w:rPr>
            <w:fldChar w:fldCharType="separate"/>
          </w:r>
          <w:r>
            <w:rPr>
              <w:rFonts w:hint="eastAsia" w:ascii="宋体" w:hAnsi="宋体" w:eastAsia="宋体" w:cs="宋体"/>
              <w:snapToGrid/>
              <w:color w:val="auto"/>
              <w:kern w:val="2"/>
              <w:highlight w:val="none"/>
            </w:rPr>
            <w:t>3.7  履约担保</w:t>
          </w:r>
          <w:r>
            <w:rPr>
              <w:color w:val="auto"/>
              <w:highlight w:val="none"/>
            </w:rPr>
            <w:tab/>
          </w:r>
          <w:r>
            <w:rPr>
              <w:color w:val="auto"/>
              <w:highlight w:val="none"/>
            </w:rPr>
            <w:fldChar w:fldCharType="begin"/>
          </w:r>
          <w:r>
            <w:rPr>
              <w:color w:val="auto"/>
              <w:highlight w:val="none"/>
            </w:rPr>
            <w:instrText xml:space="preserve"> PAGEREF _Toc16108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5E4DD567">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"_Toc29237" </w:instrText>
          </w:r>
          <w:r>
            <w:rPr>
              <w:color w:val="auto"/>
              <w:highlight w:val="none"/>
            </w:rPr>
            <w:fldChar w:fldCharType="separate"/>
          </w:r>
          <w:r>
            <w:rPr>
              <w:rFonts w:hint="eastAsia" w:ascii="宋体" w:hAnsi="宋体" w:eastAsia="宋体" w:cs="宋体"/>
              <w:snapToGrid/>
              <w:color w:val="auto"/>
              <w:kern w:val="2"/>
              <w:highlight w:val="none"/>
            </w:rPr>
            <w:t>3.8  联合体</w:t>
          </w:r>
          <w:r>
            <w:rPr>
              <w:color w:val="auto"/>
              <w:highlight w:val="none"/>
            </w:rPr>
            <w:tab/>
          </w:r>
          <w:r>
            <w:rPr>
              <w:color w:val="auto"/>
              <w:highlight w:val="none"/>
            </w:rPr>
            <w:fldChar w:fldCharType="begin"/>
          </w:r>
          <w:r>
            <w:rPr>
              <w:color w:val="auto"/>
              <w:highlight w:val="none"/>
            </w:rPr>
            <w:instrText xml:space="preserve"> PAGEREF _Toc29237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204B719D">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"_Toc23705" </w:instrText>
          </w:r>
          <w:r>
            <w:rPr>
              <w:color w:val="auto"/>
              <w:highlight w:val="none"/>
            </w:rPr>
            <w:fldChar w:fldCharType="separate"/>
          </w:r>
          <w:r>
            <w:rPr>
              <w:rFonts w:hint="eastAsia" w:ascii="宋体" w:hAnsi="宋体" w:eastAsia="宋体" w:cs="宋体"/>
              <w:snapToGrid/>
              <w:color w:val="auto"/>
              <w:kern w:val="2"/>
              <w:highlight w:val="none"/>
            </w:rPr>
            <w:t>4.  监理人</w:t>
          </w:r>
          <w:r>
            <w:rPr>
              <w:color w:val="auto"/>
              <w:highlight w:val="none"/>
            </w:rPr>
            <w:tab/>
          </w:r>
          <w:r>
            <w:rPr>
              <w:color w:val="auto"/>
              <w:highlight w:val="none"/>
            </w:rPr>
            <w:fldChar w:fldCharType="begin"/>
          </w:r>
          <w:r>
            <w:rPr>
              <w:color w:val="auto"/>
              <w:highlight w:val="none"/>
            </w:rPr>
            <w:instrText xml:space="preserve"> PAGEREF _Toc23705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4BA32558">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"_Toc30309" </w:instrText>
          </w:r>
          <w:r>
            <w:rPr>
              <w:color w:val="auto"/>
              <w:highlight w:val="none"/>
            </w:rPr>
            <w:fldChar w:fldCharType="separate"/>
          </w:r>
          <w:r>
            <w:rPr>
              <w:rFonts w:hint="eastAsia" w:ascii="宋体" w:hAnsi="宋体" w:eastAsia="宋体" w:cs="宋体"/>
              <w:snapToGrid/>
              <w:color w:val="auto"/>
              <w:kern w:val="2"/>
              <w:highlight w:val="none"/>
            </w:rPr>
            <w:t>4.1 监理人的一般规定</w:t>
          </w:r>
          <w:r>
            <w:rPr>
              <w:color w:val="auto"/>
              <w:highlight w:val="none"/>
            </w:rPr>
            <w:tab/>
          </w:r>
          <w:r>
            <w:rPr>
              <w:color w:val="auto"/>
              <w:highlight w:val="none"/>
            </w:rPr>
            <w:fldChar w:fldCharType="begin"/>
          </w:r>
          <w:r>
            <w:rPr>
              <w:color w:val="auto"/>
              <w:highlight w:val="none"/>
            </w:rPr>
            <w:instrText xml:space="preserve"> PAGEREF _Toc30309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34129016">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"_Toc11531" </w:instrText>
          </w:r>
          <w:r>
            <w:rPr>
              <w:color w:val="auto"/>
              <w:highlight w:val="none"/>
            </w:rPr>
            <w:fldChar w:fldCharType="separate"/>
          </w:r>
          <w:r>
            <w:rPr>
              <w:rFonts w:hint="eastAsia" w:ascii="宋体" w:hAnsi="宋体" w:eastAsia="宋体" w:cs="宋体"/>
              <w:snapToGrid/>
              <w:color w:val="auto"/>
              <w:kern w:val="2"/>
              <w:highlight w:val="none"/>
            </w:rPr>
            <w:t>4.2 监理人员</w:t>
          </w:r>
          <w:r>
            <w:rPr>
              <w:color w:val="auto"/>
              <w:highlight w:val="none"/>
            </w:rPr>
            <w:tab/>
          </w:r>
          <w:r>
            <w:rPr>
              <w:color w:val="auto"/>
              <w:highlight w:val="none"/>
            </w:rPr>
            <w:fldChar w:fldCharType="begin"/>
          </w:r>
          <w:r>
            <w:rPr>
              <w:color w:val="auto"/>
              <w:highlight w:val="none"/>
            </w:rPr>
            <w:instrText xml:space="preserve"> PAGEREF _Toc11531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46F864AA">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"_Toc4137" </w:instrText>
          </w:r>
          <w:r>
            <w:rPr>
              <w:color w:val="auto"/>
              <w:highlight w:val="none"/>
            </w:rPr>
            <w:fldChar w:fldCharType="separate"/>
          </w:r>
          <w:r>
            <w:rPr>
              <w:rFonts w:hint="eastAsia" w:ascii="宋体" w:hAnsi="宋体" w:eastAsia="宋体" w:cs="宋体"/>
              <w:snapToGrid/>
              <w:color w:val="auto"/>
              <w:kern w:val="2"/>
              <w:highlight w:val="none"/>
            </w:rPr>
            <w:t>4.3 监理人的指示</w:t>
          </w:r>
          <w:r>
            <w:rPr>
              <w:color w:val="auto"/>
              <w:highlight w:val="none"/>
            </w:rPr>
            <w:tab/>
          </w:r>
          <w:r>
            <w:rPr>
              <w:color w:val="auto"/>
              <w:highlight w:val="none"/>
            </w:rPr>
            <w:fldChar w:fldCharType="begin"/>
          </w:r>
          <w:r>
            <w:rPr>
              <w:color w:val="auto"/>
              <w:highlight w:val="none"/>
            </w:rPr>
            <w:instrText xml:space="preserve"> PAGEREF _Toc4137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5298A2D8">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"_Toc22544" </w:instrText>
          </w:r>
          <w:r>
            <w:rPr>
              <w:color w:val="auto"/>
              <w:highlight w:val="none"/>
            </w:rPr>
            <w:fldChar w:fldCharType="separate"/>
          </w:r>
          <w:r>
            <w:rPr>
              <w:rFonts w:hint="eastAsia" w:ascii="宋体" w:hAnsi="宋体" w:eastAsia="宋体" w:cs="宋体"/>
              <w:snapToGrid/>
              <w:color w:val="auto"/>
              <w:kern w:val="2"/>
              <w:highlight w:val="none"/>
            </w:rPr>
            <w:t>4.4  商定或确定</w:t>
          </w:r>
          <w:r>
            <w:rPr>
              <w:color w:val="auto"/>
              <w:highlight w:val="none"/>
            </w:rPr>
            <w:tab/>
          </w:r>
          <w:r>
            <w:rPr>
              <w:color w:val="auto"/>
              <w:highlight w:val="none"/>
            </w:rPr>
            <w:fldChar w:fldCharType="begin"/>
          </w:r>
          <w:r>
            <w:rPr>
              <w:color w:val="auto"/>
              <w:highlight w:val="none"/>
            </w:rPr>
            <w:instrText xml:space="preserve"> PAGEREF _Toc22544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6ABE0E3D">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"_Toc22849" </w:instrText>
          </w:r>
          <w:r>
            <w:rPr>
              <w:color w:val="auto"/>
              <w:highlight w:val="none"/>
            </w:rPr>
            <w:fldChar w:fldCharType="separate"/>
          </w:r>
          <w:r>
            <w:rPr>
              <w:rFonts w:hint="eastAsia" w:ascii="宋体" w:hAnsi="宋体" w:eastAsia="宋体" w:cs="宋体"/>
              <w:snapToGrid/>
              <w:color w:val="auto"/>
              <w:kern w:val="2"/>
              <w:highlight w:val="none"/>
            </w:rPr>
            <w:t>5.  工程质量</w:t>
          </w:r>
          <w:r>
            <w:rPr>
              <w:color w:val="auto"/>
              <w:highlight w:val="none"/>
            </w:rPr>
            <w:tab/>
          </w:r>
          <w:r>
            <w:rPr>
              <w:color w:val="auto"/>
              <w:highlight w:val="none"/>
            </w:rPr>
            <w:fldChar w:fldCharType="begin"/>
          </w:r>
          <w:r>
            <w:rPr>
              <w:color w:val="auto"/>
              <w:highlight w:val="none"/>
            </w:rPr>
            <w:instrText xml:space="preserve"> PAGEREF _Toc22849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0D34E03D">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"_Toc1263" </w:instrText>
          </w:r>
          <w:r>
            <w:rPr>
              <w:color w:val="auto"/>
              <w:highlight w:val="none"/>
            </w:rPr>
            <w:fldChar w:fldCharType="separate"/>
          </w:r>
          <w:r>
            <w:rPr>
              <w:rFonts w:hint="eastAsia" w:ascii="宋体" w:hAnsi="宋体" w:eastAsia="宋体" w:cs="宋体"/>
              <w:snapToGrid/>
              <w:color w:val="auto"/>
              <w:kern w:val="2"/>
              <w:highlight w:val="none"/>
            </w:rPr>
            <w:t>5.1 质量要求</w:t>
          </w:r>
          <w:r>
            <w:rPr>
              <w:color w:val="auto"/>
              <w:highlight w:val="none"/>
            </w:rPr>
            <w:tab/>
          </w:r>
          <w:r>
            <w:rPr>
              <w:color w:val="auto"/>
              <w:highlight w:val="none"/>
            </w:rPr>
            <w:fldChar w:fldCharType="begin"/>
          </w:r>
          <w:r>
            <w:rPr>
              <w:color w:val="auto"/>
              <w:highlight w:val="none"/>
            </w:rPr>
            <w:instrText xml:space="preserve"> PAGEREF _Toc1263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54365710">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"_Toc1624" </w:instrText>
          </w:r>
          <w:r>
            <w:rPr>
              <w:color w:val="auto"/>
              <w:highlight w:val="none"/>
            </w:rPr>
            <w:fldChar w:fldCharType="separate"/>
          </w:r>
          <w:r>
            <w:rPr>
              <w:rFonts w:hint="eastAsia" w:ascii="宋体" w:hAnsi="宋体" w:eastAsia="宋体" w:cs="宋体"/>
              <w:snapToGrid/>
              <w:color w:val="auto"/>
              <w:kern w:val="2"/>
              <w:highlight w:val="none"/>
            </w:rPr>
            <w:t>5.2 质量保证措施</w:t>
          </w:r>
          <w:r>
            <w:rPr>
              <w:color w:val="auto"/>
              <w:highlight w:val="none"/>
            </w:rPr>
            <w:tab/>
          </w:r>
          <w:r>
            <w:rPr>
              <w:color w:val="auto"/>
              <w:highlight w:val="none"/>
            </w:rPr>
            <w:fldChar w:fldCharType="begin"/>
          </w:r>
          <w:r>
            <w:rPr>
              <w:color w:val="auto"/>
              <w:highlight w:val="none"/>
            </w:rPr>
            <w:instrText xml:space="preserve"> PAGEREF _Toc1624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35433A68">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"_Toc32304" </w:instrText>
          </w:r>
          <w:r>
            <w:rPr>
              <w:color w:val="auto"/>
              <w:highlight w:val="none"/>
            </w:rPr>
            <w:fldChar w:fldCharType="separate"/>
          </w:r>
          <w:r>
            <w:rPr>
              <w:rFonts w:hint="eastAsia" w:ascii="宋体" w:hAnsi="宋体" w:eastAsia="宋体" w:cs="宋体"/>
              <w:snapToGrid/>
              <w:color w:val="auto"/>
              <w:kern w:val="2"/>
              <w:highlight w:val="none"/>
            </w:rPr>
            <w:t>5.3  隐蔽工程检查</w:t>
          </w:r>
          <w:r>
            <w:rPr>
              <w:color w:val="auto"/>
              <w:highlight w:val="none"/>
            </w:rPr>
            <w:tab/>
          </w:r>
          <w:r>
            <w:rPr>
              <w:color w:val="auto"/>
              <w:highlight w:val="none"/>
            </w:rPr>
            <w:fldChar w:fldCharType="begin"/>
          </w:r>
          <w:r>
            <w:rPr>
              <w:color w:val="auto"/>
              <w:highlight w:val="none"/>
            </w:rPr>
            <w:instrText xml:space="preserve"> PAGEREF _Toc32304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13CBBF84">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"_Toc17945" </w:instrText>
          </w:r>
          <w:r>
            <w:rPr>
              <w:color w:val="auto"/>
              <w:highlight w:val="none"/>
            </w:rPr>
            <w:fldChar w:fldCharType="separate"/>
          </w:r>
          <w:r>
            <w:rPr>
              <w:rFonts w:hint="eastAsia" w:ascii="宋体" w:hAnsi="宋体" w:eastAsia="宋体" w:cs="宋体"/>
              <w:snapToGrid/>
              <w:color w:val="auto"/>
              <w:kern w:val="2"/>
              <w:highlight w:val="none"/>
            </w:rPr>
            <w:t>5.4 不合格工程的处理</w:t>
          </w:r>
          <w:r>
            <w:rPr>
              <w:color w:val="auto"/>
              <w:highlight w:val="none"/>
            </w:rPr>
            <w:tab/>
          </w:r>
          <w:r>
            <w:rPr>
              <w:color w:val="auto"/>
              <w:highlight w:val="none"/>
            </w:rPr>
            <w:fldChar w:fldCharType="begin"/>
          </w:r>
          <w:r>
            <w:rPr>
              <w:color w:val="auto"/>
              <w:highlight w:val="none"/>
            </w:rPr>
            <w:instrText xml:space="preserve"> PAGEREF _Toc17945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6F2DE079">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"_Toc13565" </w:instrText>
          </w:r>
          <w:r>
            <w:rPr>
              <w:color w:val="auto"/>
              <w:highlight w:val="none"/>
            </w:rPr>
            <w:fldChar w:fldCharType="separate"/>
          </w:r>
          <w:r>
            <w:rPr>
              <w:rFonts w:hint="eastAsia" w:ascii="宋体" w:hAnsi="宋体" w:eastAsia="宋体" w:cs="宋体"/>
              <w:snapToGrid/>
              <w:color w:val="auto"/>
              <w:kern w:val="2"/>
              <w:highlight w:val="none"/>
            </w:rPr>
            <w:t>5.5  质量争议检测</w:t>
          </w:r>
          <w:r>
            <w:rPr>
              <w:color w:val="auto"/>
              <w:highlight w:val="none"/>
            </w:rPr>
            <w:tab/>
          </w:r>
          <w:r>
            <w:rPr>
              <w:color w:val="auto"/>
              <w:highlight w:val="none"/>
            </w:rPr>
            <w:fldChar w:fldCharType="begin"/>
          </w:r>
          <w:r>
            <w:rPr>
              <w:color w:val="auto"/>
              <w:highlight w:val="none"/>
            </w:rPr>
            <w:instrText xml:space="preserve"> PAGEREF _Toc13565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6C02F644">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"_Toc21927" </w:instrText>
          </w:r>
          <w:r>
            <w:rPr>
              <w:color w:val="auto"/>
              <w:highlight w:val="none"/>
            </w:rPr>
            <w:fldChar w:fldCharType="separate"/>
          </w:r>
          <w:r>
            <w:rPr>
              <w:rFonts w:hint="eastAsia" w:ascii="宋体" w:hAnsi="宋体" w:eastAsia="宋体" w:cs="宋体"/>
              <w:snapToGrid/>
              <w:color w:val="auto"/>
              <w:kern w:val="2"/>
              <w:highlight w:val="none"/>
            </w:rPr>
            <w:t>6.  安全文明施工与环境保护</w:t>
          </w:r>
          <w:r>
            <w:rPr>
              <w:color w:val="auto"/>
              <w:highlight w:val="none"/>
            </w:rPr>
            <w:tab/>
          </w:r>
          <w:r>
            <w:rPr>
              <w:color w:val="auto"/>
              <w:highlight w:val="none"/>
            </w:rPr>
            <w:fldChar w:fldCharType="begin"/>
          </w:r>
          <w:r>
            <w:rPr>
              <w:color w:val="auto"/>
              <w:highlight w:val="none"/>
            </w:rPr>
            <w:instrText xml:space="preserve"> PAGEREF _Toc21927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35195D29">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"_Toc10266" </w:instrText>
          </w:r>
          <w:r>
            <w:rPr>
              <w:color w:val="auto"/>
              <w:highlight w:val="none"/>
            </w:rPr>
            <w:fldChar w:fldCharType="separate"/>
          </w:r>
          <w:r>
            <w:rPr>
              <w:rFonts w:hint="eastAsia" w:ascii="宋体" w:hAnsi="宋体" w:eastAsia="宋体" w:cs="宋体"/>
              <w:snapToGrid/>
              <w:color w:val="auto"/>
              <w:kern w:val="2"/>
              <w:highlight w:val="none"/>
            </w:rPr>
            <w:t>6.1 安全文明施工</w:t>
          </w:r>
          <w:r>
            <w:rPr>
              <w:color w:val="auto"/>
              <w:highlight w:val="none"/>
            </w:rPr>
            <w:tab/>
          </w:r>
          <w:r>
            <w:rPr>
              <w:color w:val="auto"/>
              <w:highlight w:val="none"/>
            </w:rPr>
            <w:fldChar w:fldCharType="begin"/>
          </w:r>
          <w:r>
            <w:rPr>
              <w:color w:val="auto"/>
              <w:highlight w:val="none"/>
            </w:rPr>
            <w:instrText xml:space="preserve"> PAGEREF _Toc10266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07E3191C">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"_Toc24089" </w:instrText>
          </w:r>
          <w:r>
            <w:rPr>
              <w:color w:val="auto"/>
              <w:highlight w:val="none"/>
            </w:rPr>
            <w:fldChar w:fldCharType="separate"/>
          </w:r>
          <w:r>
            <w:rPr>
              <w:rFonts w:hint="eastAsia" w:ascii="宋体" w:hAnsi="宋体" w:eastAsia="宋体" w:cs="宋体"/>
              <w:snapToGrid/>
              <w:color w:val="auto"/>
              <w:kern w:val="2"/>
              <w:highlight w:val="none"/>
            </w:rPr>
            <w:t>6.2  职业健康</w:t>
          </w:r>
          <w:r>
            <w:rPr>
              <w:color w:val="auto"/>
              <w:highlight w:val="none"/>
            </w:rPr>
            <w:tab/>
          </w:r>
          <w:r>
            <w:rPr>
              <w:color w:val="auto"/>
              <w:highlight w:val="none"/>
            </w:rPr>
            <w:fldChar w:fldCharType="begin"/>
          </w:r>
          <w:r>
            <w:rPr>
              <w:color w:val="auto"/>
              <w:highlight w:val="none"/>
            </w:rPr>
            <w:instrText xml:space="preserve"> PAGEREF _Toc24089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14:paraId="55516CE6">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"_Toc5125" </w:instrText>
          </w:r>
          <w:r>
            <w:rPr>
              <w:color w:val="auto"/>
              <w:highlight w:val="none"/>
            </w:rPr>
            <w:fldChar w:fldCharType="separate"/>
          </w:r>
          <w:r>
            <w:rPr>
              <w:rFonts w:hint="eastAsia" w:ascii="宋体" w:hAnsi="宋体" w:eastAsia="宋体" w:cs="宋体"/>
              <w:snapToGrid/>
              <w:color w:val="auto"/>
              <w:kern w:val="2"/>
              <w:highlight w:val="none"/>
            </w:rPr>
            <w:t>6.3  环境保护</w:t>
          </w:r>
          <w:r>
            <w:rPr>
              <w:color w:val="auto"/>
              <w:highlight w:val="none"/>
            </w:rPr>
            <w:tab/>
          </w:r>
          <w:r>
            <w:rPr>
              <w:color w:val="auto"/>
              <w:highlight w:val="none"/>
            </w:rPr>
            <w:fldChar w:fldCharType="begin"/>
          </w:r>
          <w:r>
            <w:rPr>
              <w:color w:val="auto"/>
              <w:highlight w:val="none"/>
            </w:rPr>
            <w:instrText xml:space="preserve"> PAGEREF _Toc5125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14:paraId="786895D6">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"_Toc2739" </w:instrText>
          </w:r>
          <w:r>
            <w:rPr>
              <w:color w:val="auto"/>
              <w:highlight w:val="none"/>
            </w:rPr>
            <w:fldChar w:fldCharType="separate"/>
          </w:r>
          <w:r>
            <w:rPr>
              <w:rFonts w:hint="eastAsia" w:ascii="宋体" w:hAnsi="宋体" w:eastAsia="宋体" w:cs="宋体"/>
              <w:snapToGrid/>
              <w:color w:val="auto"/>
              <w:kern w:val="2"/>
              <w:highlight w:val="none"/>
            </w:rPr>
            <w:t>7.  工期和进度</w:t>
          </w:r>
          <w:r>
            <w:rPr>
              <w:color w:val="auto"/>
              <w:highlight w:val="none"/>
            </w:rPr>
            <w:tab/>
          </w:r>
          <w:r>
            <w:rPr>
              <w:color w:val="auto"/>
              <w:highlight w:val="none"/>
            </w:rPr>
            <w:fldChar w:fldCharType="begin"/>
          </w:r>
          <w:r>
            <w:rPr>
              <w:color w:val="auto"/>
              <w:highlight w:val="none"/>
            </w:rPr>
            <w:instrText xml:space="preserve"> PAGEREF _Toc2739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14:paraId="0D0C96DA">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"_Toc15559" </w:instrText>
          </w:r>
          <w:r>
            <w:rPr>
              <w:color w:val="auto"/>
              <w:highlight w:val="none"/>
            </w:rPr>
            <w:fldChar w:fldCharType="separate"/>
          </w:r>
          <w:r>
            <w:rPr>
              <w:rFonts w:hint="eastAsia" w:ascii="宋体" w:hAnsi="宋体" w:eastAsia="宋体" w:cs="宋体"/>
              <w:snapToGrid/>
              <w:color w:val="auto"/>
              <w:kern w:val="2"/>
              <w:highlight w:val="none"/>
            </w:rPr>
            <w:t>7.1 施工组织设计</w:t>
          </w:r>
          <w:r>
            <w:rPr>
              <w:color w:val="auto"/>
              <w:highlight w:val="none"/>
            </w:rPr>
            <w:tab/>
          </w:r>
          <w:r>
            <w:rPr>
              <w:color w:val="auto"/>
              <w:highlight w:val="none"/>
            </w:rPr>
            <w:fldChar w:fldCharType="begin"/>
          </w:r>
          <w:r>
            <w:rPr>
              <w:color w:val="auto"/>
              <w:highlight w:val="none"/>
            </w:rPr>
            <w:instrText xml:space="preserve"> PAGEREF _Toc15559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14:paraId="16DB74B2">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"_Toc26475" </w:instrText>
          </w:r>
          <w:r>
            <w:rPr>
              <w:color w:val="auto"/>
              <w:highlight w:val="none"/>
            </w:rPr>
            <w:fldChar w:fldCharType="separate"/>
          </w:r>
          <w:r>
            <w:rPr>
              <w:rFonts w:hint="eastAsia" w:ascii="宋体" w:hAnsi="宋体" w:eastAsia="宋体" w:cs="宋体"/>
              <w:snapToGrid/>
              <w:color w:val="auto"/>
              <w:kern w:val="2"/>
              <w:highlight w:val="none"/>
            </w:rPr>
            <w:t>7.2  施工进度计划</w:t>
          </w:r>
          <w:r>
            <w:rPr>
              <w:color w:val="auto"/>
              <w:highlight w:val="none"/>
            </w:rPr>
            <w:tab/>
          </w:r>
          <w:r>
            <w:rPr>
              <w:color w:val="auto"/>
              <w:highlight w:val="none"/>
            </w:rPr>
            <w:fldChar w:fldCharType="begin"/>
          </w:r>
          <w:r>
            <w:rPr>
              <w:color w:val="auto"/>
              <w:highlight w:val="none"/>
            </w:rPr>
            <w:instrText xml:space="preserve"> PAGEREF _Toc26475 \h </w:instrText>
          </w:r>
          <w:r>
            <w:rPr>
              <w:color w:val="auto"/>
              <w:highlight w:val="none"/>
            </w:rPr>
            <w:fldChar w:fldCharType="separate"/>
          </w:r>
          <w:r>
            <w:rPr>
              <w:color w:val="auto"/>
              <w:highlight w:val="none"/>
            </w:rPr>
            <w:t>32</w:t>
          </w:r>
          <w:r>
            <w:rPr>
              <w:color w:val="auto"/>
              <w:highlight w:val="none"/>
            </w:rPr>
            <w:fldChar w:fldCharType="end"/>
          </w:r>
          <w:r>
            <w:rPr>
              <w:color w:val="auto"/>
              <w:highlight w:val="none"/>
            </w:rPr>
            <w:fldChar w:fldCharType="end"/>
          </w:r>
        </w:p>
        <w:p w14:paraId="1CFF3EC9">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"_Toc15204" </w:instrText>
          </w:r>
          <w:r>
            <w:rPr>
              <w:color w:val="auto"/>
              <w:highlight w:val="none"/>
            </w:rPr>
            <w:fldChar w:fldCharType="separate"/>
          </w:r>
          <w:r>
            <w:rPr>
              <w:rFonts w:hint="eastAsia" w:ascii="宋体" w:hAnsi="宋体" w:eastAsia="宋体" w:cs="宋体"/>
              <w:snapToGrid/>
              <w:color w:val="auto"/>
              <w:kern w:val="2"/>
              <w:highlight w:val="none"/>
            </w:rPr>
            <w:t>7.3  开工</w:t>
          </w:r>
          <w:r>
            <w:rPr>
              <w:color w:val="auto"/>
              <w:highlight w:val="none"/>
            </w:rPr>
            <w:tab/>
          </w:r>
          <w:r>
            <w:rPr>
              <w:color w:val="auto"/>
              <w:highlight w:val="none"/>
            </w:rPr>
            <w:fldChar w:fldCharType="begin"/>
          </w:r>
          <w:r>
            <w:rPr>
              <w:color w:val="auto"/>
              <w:highlight w:val="none"/>
            </w:rPr>
            <w:instrText xml:space="preserve"> PAGEREF _Toc15204 \h </w:instrText>
          </w:r>
          <w:r>
            <w:rPr>
              <w:color w:val="auto"/>
              <w:highlight w:val="none"/>
            </w:rPr>
            <w:fldChar w:fldCharType="separate"/>
          </w:r>
          <w:r>
            <w:rPr>
              <w:color w:val="auto"/>
              <w:highlight w:val="none"/>
            </w:rPr>
            <w:t>32</w:t>
          </w:r>
          <w:r>
            <w:rPr>
              <w:color w:val="auto"/>
              <w:highlight w:val="none"/>
            </w:rPr>
            <w:fldChar w:fldCharType="end"/>
          </w:r>
          <w:r>
            <w:rPr>
              <w:color w:val="auto"/>
              <w:highlight w:val="none"/>
            </w:rPr>
            <w:fldChar w:fldCharType="end"/>
          </w:r>
        </w:p>
        <w:p w14:paraId="156AD716">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"_Toc2123" </w:instrText>
          </w:r>
          <w:r>
            <w:rPr>
              <w:color w:val="auto"/>
              <w:highlight w:val="none"/>
            </w:rPr>
            <w:fldChar w:fldCharType="separate"/>
          </w:r>
          <w:r>
            <w:rPr>
              <w:rFonts w:hint="eastAsia" w:ascii="宋体" w:hAnsi="宋体" w:eastAsia="宋体" w:cs="宋体"/>
              <w:snapToGrid/>
              <w:color w:val="auto"/>
              <w:kern w:val="2"/>
              <w:highlight w:val="none"/>
            </w:rPr>
            <w:t>7.4 测量放线</w:t>
          </w:r>
          <w:r>
            <w:rPr>
              <w:color w:val="auto"/>
              <w:highlight w:val="none"/>
            </w:rPr>
            <w:tab/>
          </w:r>
          <w:r>
            <w:rPr>
              <w:color w:val="auto"/>
              <w:highlight w:val="none"/>
            </w:rPr>
            <w:fldChar w:fldCharType="begin"/>
          </w:r>
          <w:r>
            <w:rPr>
              <w:color w:val="auto"/>
              <w:highlight w:val="none"/>
            </w:rPr>
            <w:instrText xml:space="preserve"> PAGEREF _Toc2123 \h </w:instrText>
          </w:r>
          <w:r>
            <w:rPr>
              <w:color w:val="auto"/>
              <w:highlight w:val="none"/>
            </w:rPr>
            <w:fldChar w:fldCharType="separate"/>
          </w:r>
          <w:r>
            <w:rPr>
              <w:color w:val="auto"/>
              <w:highlight w:val="none"/>
            </w:rPr>
            <w:t>32</w:t>
          </w:r>
          <w:r>
            <w:rPr>
              <w:color w:val="auto"/>
              <w:highlight w:val="none"/>
            </w:rPr>
            <w:fldChar w:fldCharType="end"/>
          </w:r>
          <w:r>
            <w:rPr>
              <w:color w:val="auto"/>
              <w:highlight w:val="none"/>
            </w:rPr>
            <w:fldChar w:fldCharType="end"/>
          </w:r>
        </w:p>
        <w:p w14:paraId="3913ADB2">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"_Toc28624" </w:instrText>
          </w:r>
          <w:r>
            <w:rPr>
              <w:color w:val="auto"/>
              <w:highlight w:val="none"/>
            </w:rPr>
            <w:fldChar w:fldCharType="separate"/>
          </w:r>
          <w:r>
            <w:rPr>
              <w:rFonts w:hint="eastAsia" w:ascii="宋体" w:hAnsi="宋体" w:eastAsia="宋体" w:cs="宋体"/>
              <w:snapToGrid/>
              <w:color w:val="auto"/>
              <w:kern w:val="2"/>
              <w:highlight w:val="none"/>
            </w:rPr>
            <w:t>7.5  工期延误</w:t>
          </w:r>
          <w:r>
            <w:rPr>
              <w:color w:val="auto"/>
              <w:highlight w:val="none"/>
            </w:rPr>
            <w:tab/>
          </w:r>
          <w:r>
            <w:rPr>
              <w:color w:val="auto"/>
              <w:highlight w:val="none"/>
            </w:rPr>
            <w:fldChar w:fldCharType="begin"/>
          </w:r>
          <w:r>
            <w:rPr>
              <w:color w:val="auto"/>
              <w:highlight w:val="none"/>
            </w:rPr>
            <w:instrText xml:space="preserve"> PAGEREF _Toc28624 \h </w:instrText>
          </w:r>
          <w:r>
            <w:rPr>
              <w:color w:val="auto"/>
              <w:highlight w:val="none"/>
            </w:rPr>
            <w:fldChar w:fldCharType="separate"/>
          </w:r>
          <w:r>
            <w:rPr>
              <w:color w:val="auto"/>
              <w:highlight w:val="none"/>
            </w:rPr>
            <w:t>33</w:t>
          </w:r>
          <w:r>
            <w:rPr>
              <w:color w:val="auto"/>
              <w:highlight w:val="none"/>
            </w:rPr>
            <w:fldChar w:fldCharType="end"/>
          </w:r>
          <w:r>
            <w:rPr>
              <w:color w:val="auto"/>
              <w:highlight w:val="none"/>
            </w:rPr>
            <w:fldChar w:fldCharType="end"/>
          </w:r>
        </w:p>
        <w:p w14:paraId="3CB7EFEB">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"_Toc5253" </w:instrText>
          </w:r>
          <w:r>
            <w:rPr>
              <w:color w:val="auto"/>
              <w:highlight w:val="none"/>
            </w:rPr>
            <w:fldChar w:fldCharType="separate"/>
          </w:r>
          <w:r>
            <w:rPr>
              <w:rFonts w:hint="eastAsia" w:ascii="宋体" w:hAnsi="宋体" w:eastAsia="宋体" w:cs="宋体"/>
              <w:snapToGrid/>
              <w:color w:val="auto"/>
              <w:kern w:val="2"/>
              <w:highlight w:val="none"/>
            </w:rPr>
            <w:t>7.6  不利物质条件</w:t>
          </w:r>
          <w:r>
            <w:rPr>
              <w:color w:val="auto"/>
              <w:highlight w:val="none"/>
            </w:rPr>
            <w:tab/>
          </w:r>
          <w:r>
            <w:rPr>
              <w:color w:val="auto"/>
              <w:highlight w:val="none"/>
            </w:rPr>
            <w:fldChar w:fldCharType="begin"/>
          </w:r>
          <w:r>
            <w:rPr>
              <w:color w:val="auto"/>
              <w:highlight w:val="none"/>
            </w:rPr>
            <w:instrText xml:space="preserve"> PAGEREF _Toc5253 \h </w:instrText>
          </w:r>
          <w:r>
            <w:rPr>
              <w:color w:val="auto"/>
              <w:highlight w:val="none"/>
            </w:rPr>
            <w:fldChar w:fldCharType="separate"/>
          </w:r>
          <w:r>
            <w:rPr>
              <w:color w:val="auto"/>
              <w:highlight w:val="none"/>
            </w:rPr>
            <w:t>33</w:t>
          </w:r>
          <w:r>
            <w:rPr>
              <w:color w:val="auto"/>
              <w:highlight w:val="none"/>
            </w:rPr>
            <w:fldChar w:fldCharType="end"/>
          </w:r>
          <w:r>
            <w:rPr>
              <w:color w:val="auto"/>
              <w:highlight w:val="none"/>
            </w:rPr>
            <w:fldChar w:fldCharType="end"/>
          </w:r>
        </w:p>
        <w:p w14:paraId="34526667">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"_Toc709" </w:instrText>
          </w:r>
          <w:r>
            <w:rPr>
              <w:color w:val="auto"/>
              <w:highlight w:val="none"/>
            </w:rPr>
            <w:fldChar w:fldCharType="separate"/>
          </w:r>
          <w:r>
            <w:rPr>
              <w:rFonts w:hint="eastAsia" w:ascii="宋体" w:hAnsi="宋体" w:eastAsia="宋体" w:cs="宋体"/>
              <w:snapToGrid/>
              <w:color w:val="auto"/>
              <w:kern w:val="2"/>
              <w:highlight w:val="none"/>
            </w:rPr>
            <w:t>7.7  异常恶劣的气候条件</w:t>
          </w:r>
          <w:r>
            <w:rPr>
              <w:color w:val="auto"/>
              <w:highlight w:val="none"/>
            </w:rPr>
            <w:tab/>
          </w:r>
          <w:r>
            <w:rPr>
              <w:color w:val="auto"/>
              <w:highlight w:val="none"/>
            </w:rPr>
            <w:fldChar w:fldCharType="begin"/>
          </w:r>
          <w:r>
            <w:rPr>
              <w:color w:val="auto"/>
              <w:highlight w:val="none"/>
            </w:rPr>
            <w:instrText xml:space="preserve"> PAGEREF _Toc709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46A64D12">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"_Toc6234" </w:instrText>
          </w:r>
          <w:r>
            <w:rPr>
              <w:color w:val="auto"/>
              <w:highlight w:val="none"/>
            </w:rPr>
            <w:fldChar w:fldCharType="separate"/>
          </w:r>
          <w:r>
            <w:rPr>
              <w:rFonts w:hint="eastAsia" w:ascii="宋体" w:hAnsi="宋体" w:eastAsia="宋体" w:cs="宋体"/>
              <w:snapToGrid/>
              <w:color w:val="auto"/>
              <w:kern w:val="2"/>
              <w:highlight w:val="none"/>
            </w:rPr>
            <w:t>7.8  暂停施工</w:t>
          </w:r>
          <w:r>
            <w:rPr>
              <w:color w:val="auto"/>
              <w:highlight w:val="none"/>
            </w:rPr>
            <w:tab/>
          </w:r>
          <w:r>
            <w:rPr>
              <w:color w:val="auto"/>
              <w:highlight w:val="none"/>
            </w:rPr>
            <w:fldChar w:fldCharType="begin"/>
          </w:r>
          <w:r>
            <w:rPr>
              <w:color w:val="auto"/>
              <w:highlight w:val="none"/>
            </w:rPr>
            <w:instrText xml:space="preserve"> PAGEREF _Toc6234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7ACF6367">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"_Toc5711" </w:instrText>
          </w:r>
          <w:r>
            <w:rPr>
              <w:color w:val="auto"/>
              <w:highlight w:val="none"/>
            </w:rPr>
            <w:fldChar w:fldCharType="separate"/>
          </w:r>
          <w:r>
            <w:rPr>
              <w:rFonts w:hint="eastAsia" w:ascii="宋体" w:hAnsi="宋体" w:eastAsia="宋体" w:cs="宋体"/>
              <w:snapToGrid/>
              <w:color w:val="auto"/>
              <w:kern w:val="2"/>
              <w:highlight w:val="none"/>
            </w:rPr>
            <w:t>7.9 提前竣工</w:t>
          </w:r>
          <w:r>
            <w:rPr>
              <w:color w:val="auto"/>
              <w:highlight w:val="none"/>
            </w:rPr>
            <w:tab/>
          </w:r>
          <w:r>
            <w:rPr>
              <w:color w:val="auto"/>
              <w:highlight w:val="none"/>
            </w:rPr>
            <w:fldChar w:fldCharType="begin"/>
          </w:r>
          <w:r>
            <w:rPr>
              <w:color w:val="auto"/>
              <w:highlight w:val="none"/>
            </w:rPr>
            <w:instrText xml:space="preserve"> PAGEREF _Toc5711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295BB87D">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"_Toc28435" </w:instrText>
          </w:r>
          <w:r>
            <w:rPr>
              <w:color w:val="auto"/>
              <w:highlight w:val="none"/>
            </w:rPr>
            <w:fldChar w:fldCharType="separate"/>
          </w:r>
          <w:r>
            <w:rPr>
              <w:rFonts w:hint="eastAsia" w:ascii="宋体" w:hAnsi="宋体" w:eastAsia="宋体" w:cs="宋体"/>
              <w:snapToGrid/>
              <w:color w:val="auto"/>
              <w:kern w:val="2"/>
              <w:highlight w:val="none"/>
            </w:rPr>
            <w:t>8.  材料与设备</w:t>
          </w:r>
          <w:r>
            <w:rPr>
              <w:color w:val="auto"/>
              <w:highlight w:val="none"/>
            </w:rPr>
            <w:tab/>
          </w:r>
          <w:r>
            <w:rPr>
              <w:color w:val="auto"/>
              <w:highlight w:val="none"/>
            </w:rPr>
            <w:fldChar w:fldCharType="begin"/>
          </w:r>
          <w:r>
            <w:rPr>
              <w:color w:val="auto"/>
              <w:highlight w:val="none"/>
            </w:rPr>
            <w:instrText xml:space="preserve"> PAGEREF _Toc28435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1E77F7AA">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"_Toc16907" </w:instrText>
          </w:r>
          <w:r>
            <w:rPr>
              <w:color w:val="auto"/>
              <w:highlight w:val="none"/>
            </w:rPr>
            <w:fldChar w:fldCharType="separate"/>
          </w:r>
          <w:r>
            <w:rPr>
              <w:rFonts w:hint="eastAsia" w:ascii="宋体" w:hAnsi="宋体" w:eastAsia="宋体" w:cs="宋体"/>
              <w:snapToGrid/>
              <w:color w:val="auto"/>
              <w:kern w:val="2"/>
              <w:highlight w:val="none"/>
            </w:rPr>
            <w:t>8.1 发包人供应材料与工程设备</w:t>
          </w:r>
          <w:r>
            <w:rPr>
              <w:color w:val="auto"/>
              <w:highlight w:val="none"/>
            </w:rPr>
            <w:tab/>
          </w:r>
          <w:r>
            <w:rPr>
              <w:color w:val="auto"/>
              <w:highlight w:val="none"/>
            </w:rPr>
            <w:fldChar w:fldCharType="begin"/>
          </w:r>
          <w:r>
            <w:rPr>
              <w:color w:val="auto"/>
              <w:highlight w:val="none"/>
            </w:rPr>
            <w:instrText xml:space="preserve"> PAGEREF _Toc16907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2710F1E8">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"_Toc15021" </w:instrText>
          </w:r>
          <w:r>
            <w:rPr>
              <w:color w:val="auto"/>
              <w:highlight w:val="none"/>
            </w:rPr>
            <w:fldChar w:fldCharType="separate"/>
          </w:r>
          <w:r>
            <w:rPr>
              <w:rFonts w:hint="eastAsia" w:ascii="宋体" w:hAnsi="宋体" w:eastAsia="宋体" w:cs="宋体"/>
              <w:snapToGrid/>
              <w:color w:val="auto"/>
              <w:kern w:val="2"/>
              <w:highlight w:val="none"/>
            </w:rPr>
            <w:t>8.2 承包人采购材料与工程设备</w:t>
          </w:r>
          <w:r>
            <w:rPr>
              <w:color w:val="auto"/>
              <w:highlight w:val="none"/>
            </w:rPr>
            <w:tab/>
          </w:r>
          <w:r>
            <w:rPr>
              <w:color w:val="auto"/>
              <w:highlight w:val="none"/>
            </w:rPr>
            <w:fldChar w:fldCharType="begin"/>
          </w:r>
          <w:r>
            <w:rPr>
              <w:color w:val="auto"/>
              <w:highlight w:val="none"/>
            </w:rPr>
            <w:instrText xml:space="preserve"> PAGEREF _Toc15021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14:paraId="44629EC6">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"_Toc26648" </w:instrText>
          </w:r>
          <w:r>
            <w:rPr>
              <w:color w:val="auto"/>
              <w:highlight w:val="none"/>
            </w:rPr>
            <w:fldChar w:fldCharType="separate"/>
          </w:r>
          <w:r>
            <w:rPr>
              <w:rFonts w:hint="eastAsia" w:ascii="宋体" w:hAnsi="宋体" w:eastAsia="宋体" w:cs="宋体"/>
              <w:snapToGrid/>
              <w:color w:val="auto"/>
              <w:kern w:val="2"/>
              <w:highlight w:val="none"/>
            </w:rPr>
            <w:t>8.3 材料与工程设备的接收与拒收</w:t>
          </w:r>
          <w:r>
            <w:rPr>
              <w:color w:val="auto"/>
              <w:highlight w:val="none"/>
            </w:rPr>
            <w:tab/>
          </w:r>
          <w:r>
            <w:rPr>
              <w:color w:val="auto"/>
              <w:highlight w:val="none"/>
            </w:rPr>
            <w:fldChar w:fldCharType="begin"/>
          </w:r>
          <w:r>
            <w:rPr>
              <w:color w:val="auto"/>
              <w:highlight w:val="none"/>
            </w:rPr>
            <w:instrText xml:space="preserve"> PAGEREF _Toc26648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14:paraId="6B2F6ED9">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"_Toc5652" </w:instrText>
          </w:r>
          <w:r>
            <w:rPr>
              <w:color w:val="auto"/>
              <w:highlight w:val="none"/>
            </w:rPr>
            <w:fldChar w:fldCharType="separate"/>
          </w:r>
          <w:r>
            <w:rPr>
              <w:rFonts w:hint="eastAsia" w:ascii="宋体" w:hAnsi="宋体" w:eastAsia="宋体" w:cs="宋体"/>
              <w:snapToGrid/>
              <w:color w:val="auto"/>
              <w:kern w:val="2"/>
              <w:highlight w:val="none"/>
            </w:rPr>
            <w:t>8.4 材料与工程设备的保管与使用</w:t>
          </w:r>
          <w:r>
            <w:rPr>
              <w:color w:val="auto"/>
              <w:highlight w:val="none"/>
            </w:rPr>
            <w:tab/>
          </w:r>
          <w:r>
            <w:rPr>
              <w:color w:val="auto"/>
              <w:highlight w:val="none"/>
            </w:rPr>
            <w:fldChar w:fldCharType="begin"/>
          </w:r>
          <w:r>
            <w:rPr>
              <w:color w:val="auto"/>
              <w:highlight w:val="none"/>
            </w:rPr>
            <w:instrText xml:space="preserve"> PAGEREF _Toc5652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14:paraId="302619C9">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"_Toc13532" </w:instrText>
          </w:r>
          <w:r>
            <w:rPr>
              <w:color w:val="auto"/>
              <w:highlight w:val="none"/>
            </w:rPr>
            <w:fldChar w:fldCharType="separate"/>
          </w:r>
          <w:r>
            <w:rPr>
              <w:rFonts w:hint="eastAsia" w:ascii="宋体" w:hAnsi="宋体" w:eastAsia="宋体" w:cs="宋体"/>
              <w:snapToGrid/>
              <w:color w:val="auto"/>
              <w:kern w:val="2"/>
              <w:highlight w:val="none"/>
            </w:rPr>
            <w:t>8.5 禁止使用不合格的材料和工程设备</w:t>
          </w:r>
          <w:r>
            <w:rPr>
              <w:color w:val="auto"/>
              <w:highlight w:val="none"/>
            </w:rPr>
            <w:tab/>
          </w:r>
          <w:r>
            <w:rPr>
              <w:color w:val="auto"/>
              <w:highlight w:val="none"/>
            </w:rPr>
            <w:fldChar w:fldCharType="begin"/>
          </w:r>
          <w:r>
            <w:rPr>
              <w:color w:val="auto"/>
              <w:highlight w:val="none"/>
            </w:rPr>
            <w:instrText xml:space="preserve"> PAGEREF _Toc13532 \h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14:paraId="1E4FD76F">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"_Toc15360" </w:instrText>
          </w:r>
          <w:r>
            <w:rPr>
              <w:color w:val="auto"/>
              <w:highlight w:val="none"/>
            </w:rPr>
            <w:fldChar w:fldCharType="separate"/>
          </w:r>
          <w:r>
            <w:rPr>
              <w:rFonts w:hint="eastAsia" w:ascii="宋体" w:hAnsi="宋体" w:eastAsia="宋体" w:cs="宋体"/>
              <w:snapToGrid/>
              <w:color w:val="auto"/>
              <w:kern w:val="2"/>
              <w:highlight w:val="none"/>
            </w:rPr>
            <w:t>8.6  样品</w:t>
          </w:r>
          <w:r>
            <w:rPr>
              <w:color w:val="auto"/>
              <w:highlight w:val="none"/>
            </w:rPr>
            <w:tab/>
          </w:r>
          <w:r>
            <w:rPr>
              <w:color w:val="auto"/>
              <w:highlight w:val="none"/>
            </w:rPr>
            <w:fldChar w:fldCharType="begin"/>
          </w:r>
          <w:r>
            <w:rPr>
              <w:color w:val="auto"/>
              <w:highlight w:val="none"/>
            </w:rPr>
            <w:instrText xml:space="preserve"> PAGEREF _Toc15360 \h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14:paraId="4E998D5D">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"_Toc8973" </w:instrText>
          </w:r>
          <w:r>
            <w:rPr>
              <w:color w:val="auto"/>
              <w:highlight w:val="none"/>
            </w:rPr>
            <w:fldChar w:fldCharType="separate"/>
          </w:r>
          <w:r>
            <w:rPr>
              <w:rFonts w:hint="eastAsia" w:ascii="宋体" w:hAnsi="宋体" w:eastAsia="宋体" w:cs="宋体"/>
              <w:snapToGrid/>
              <w:color w:val="auto"/>
              <w:kern w:val="2"/>
              <w:highlight w:val="none"/>
            </w:rPr>
            <w:t>8.7材料与工程设备的替代</w:t>
          </w:r>
          <w:r>
            <w:rPr>
              <w:color w:val="auto"/>
              <w:highlight w:val="none"/>
            </w:rPr>
            <w:tab/>
          </w:r>
          <w:r>
            <w:rPr>
              <w:color w:val="auto"/>
              <w:highlight w:val="none"/>
            </w:rPr>
            <w:fldChar w:fldCharType="begin"/>
          </w:r>
          <w:r>
            <w:rPr>
              <w:color w:val="auto"/>
              <w:highlight w:val="none"/>
            </w:rPr>
            <w:instrText xml:space="preserve"> PAGEREF _Toc8973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14:paraId="72216A6D">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"_Toc17321" </w:instrText>
          </w:r>
          <w:r>
            <w:rPr>
              <w:color w:val="auto"/>
              <w:highlight w:val="none"/>
            </w:rPr>
            <w:fldChar w:fldCharType="separate"/>
          </w:r>
          <w:r>
            <w:rPr>
              <w:rFonts w:hint="eastAsia" w:ascii="宋体" w:hAnsi="宋体" w:eastAsia="宋体" w:cs="宋体"/>
              <w:snapToGrid/>
              <w:color w:val="auto"/>
              <w:kern w:val="2"/>
              <w:highlight w:val="none"/>
            </w:rPr>
            <w:t>8.8施工设备和临时设施</w:t>
          </w:r>
          <w:r>
            <w:rPr>
              <w:color w:val="auto"/>
              <w:highlight w:val="none"/>
            </w:rPr>
            <w:tab/>
          </w:r>
          <w:r>
            <w:rPr>
              <w:color w:val="auto"/>
              <w:highlight w:val="none"/>
            </w:rPr>
            <w:fldChar w:fldCharType="begin"/>
          </w:r>
          <w:r>
            <w:rPr>
              <w:color w:val="auto"/>
              <w:highlight w:val="none"/>
            </w:rPr>
            <w:instrText xml:space="preserve"> PAGEREF _Toc17321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14:paraId="1D030E2A">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"_Toc16118" </w:instrText>
          </w:r>
          <w:r>
            <w:rPr>
              <w:color w:val="auto"/>
              <w:highlight w:val="none"/>
            </w:rPr>
            <w:fldChar w:fldCharType="separate"/>
          </w:r>
          <w:r>
            <w:rPr>
              <w:rFonts w:hint="eastAsia" w:ascii="宋体" w:hAnsi="宋体" w:eastAsia="宋体" w:cs="宋体"/>
              <w:snapToGrid/>
              <w:color w:val="auto"/>
              <w:kern w:val="2"/>
              <w:highlight w:val="none"/>
            </w:rPr>
            <w:t>8.9材料与设备专用要求</w:t>
          </w:r>
          <w:r>
            <w:rPr>
              <w:color w:val="auto"/>
              <w:highlight w:val="none"/>
            </w:rPr>
            <w:tab/>
          </w:r>
          <w:r>
            <w:rPr>
              <w:color w:val="auto"/>
              <w:highlight w:val="none"/>
            </w:rPr>
            <w:fldChar w:fldCharType="begin"/>
          </w:r>
          <w:r>
            <w:rPr>
              <w:color w:val="auto"/>
              <w:highlight w:val="none"/>
            </w:rPr>
            <w:instrText xml:space="preserve"> PAGEREF _Toc16118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683F6FDE">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"_Toc23131" </w:instrText>
          </w:r>
          <w:r>
            <w:rPr>
              <w:color w:val="auto"/>
              <w:highlight w:val="none"/>
            </w:rPr>
            <w:fldChar w:fldCharType="separate"/>
          </w:r>
          <w:r>
            <w:rPr>
              <w:rFonts w:hint="eastAsia" w:ascii="宋体" w:hAnsi="宋体" w:eastAsia="宋体" w:cs="宋体"/>
              <w:snapToGrid/>
              <w:color w:val="auto"/>
              <w:kern w:val="2"/>
              <w:highlight w:val="none"/>
            </w:rPr>
            <w:t>9.试验与检验</w:t>
          </w:r>
          <w:r>
            <w:rPr>
              <w:color w:val="auto"/>
              <w:highlight w:val="none"/>
            </w:rPr>
            <w:tab/>
          </w:r>
          <w:r>
            <w:rPr>
              <w:color w:val="auto"/>
              <w:highlight w:val="none"/>
            </w:rPr>
            <w:fldChar w:fldCharType="begin"/>
          </w:r>
          <w:r>
            <w:rPr>
              <w:color w:val="auto"/>
              <w:highlight w:val="none"/>
            </w:rPr>
            <w:instrText xml:space="preserve"> PAGEREF _Toc23131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3AA2A543">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"_Toc12858" </w:instrText>
          </w:r>
          <w:r>
            <w:rPr>
              <w:color w:val="auto"/>
              <w:highlight w:val="none"/>
            </w:rPr>
            <w:fldChar w:fldCharType="separate"/>
          </w:r>
          <w:r>
            <w:rPr>
              <w:rFonts w:hint="eastAsia" w:ascii="宋体" w:hAnsi="宋体" w:eastAsia="宋体" w:cs="宋体"/>
              <w:snapToGrid/>
              <w:color w:val="auto"/>
              <w:kern w:val="2"/>
              <w:highlight w:val="none"/>
            </w:rPr>
            <w:t>9.1试验设备与试验人员</w:t>
          </w:r>
          <w:r>
            <w:rPr>
              <w:color w:val="auto"/>
              <w:highlight w:val="none"/>
            </w:rPr>
            <w:tab/>
          </w:r>
          <w:r>
            <w:rPr>
              <w:color w:val="auto"/>
              <w:highlight w:val="none"/>
            </w:rPr>
            <w:fldChar w:fldCharType="begin"/>
          </w:r>
          <w:r>
            <w:rPr>
              <w:color w:val="auto"/>
              <w:highlight w:val="none"/>
            </w:rPr>
            <w:instrText xml:space="preserve"> PAGEREF _Toc12858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460126F6">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"_Toc30375" </w:instrText>
          </w:r>
          <w:r>
            <w:rPr>
              <w:color w:val="auto"/>
              <w:highlight w:val="none"/>
            </w:rPr>
            <w:fldChar w:fldCharType="separate"/>
          </w:r>
          <w:r>
            <w:rPr>
              <w:rFonts w:hint="eastAsia" w:ascii="宋体" w:hAnsi="宋体" w:eastAsia="宋体" w:cs="宋体"/>
              <w:snapToGrid/>
              <w:color w:val="auto"/>
              <w:kern w:val="2"/>
              <w:highlight w:val="none"/>
            </w:rPr>
            <w:t>9.2取样</w:t>
          </w:r>
          <w:r>
            <w:rPr>
              <w:color w:val="auto"/>
              <w:highlight w:val="none"/>
            </w:rPr>
            <w:tab/>
          </w:r>
          <w:r>
            <w:rPr>
              <w:color w:val="auto"/>
              <w:highlight w:val="none"/>
            </w:rPr>
            <w:fldChar w:fldCharType="begin"/>
          </w:r>
          <w:r>
            <w:rPr>
              <w:color w:val="auto"/>
              <w:highlight w:val="none"/>
            </w:rPr>
            <w:instrText xml:space="preserve"> PAGEREF _Toc30375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73F507D6">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"_Toc9907" </w:instrText>
          </w:r>
          <w:r>
            <w:rPr>
              <w:color w:val="auto"/>
              <w:highlight w:val="none"/>
            </w:rPr>
            <w:fldChar w:fldCharType="separate"/>
          </w:r>
          <w:r>
            <w:rPr>
              <w:rFonts w:hint="eastAsia" w:ascii="宋体" w:hAnsi="宋体" w:eastAsia="宋体" w:cs="宋体"/>
              <w:snapToGrid/>
              <w:color w:val="auto"/>
              <w:kern w:val="2"/>
              <w:highlight w:val="none"/>
            </w:rPr>
            <w:t>9.3材料、工程设备和工程的试验和检验</w:t>
          </w:r>
          <w:r>
            <w:rPr>
              <w:color w:val="auto"/>
              <w:highlight w:val="none"/>
            </w:rPr>
            <w:tab/>
          </w:r>
          <w:r>
            <w:rPr>
              <w:color w:val="auto"/>
              <w:highlight w:val="none"/>
            </w:rPr>
            <w:fldChar w:fldCharType="begin"/>
          </w:r>
          <w:r>
            <w:rPr>
              <w:color w:val="auto"/>
              <w:highlight w:val="none"/>
            </w:rPr>
            <w:instrText xml:space="preserve"> PAGEREF _Toc9907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48AC455F">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"_Toc14917" </w:instrText>
          </w:r>
          <w:r>
            <w:rPr>
              <w:color w:val="auto"/>
              <w:highlight w:val="none"/>
            </w:rPr>
            <w:fldChar w:fldCharType="separate"/>
          </w:r>
          <w:r>
            <w:rPr>
              <w:rFonts w:hint="eastAsia" w:ascii="宋体" w:hAnsi="宋体" w:eastAsia="宋体" w:cs="宋体"/>
              <w:snapToGrid/>
              <w:color w:val="auto"/>
              <w:kern w:val="2"/>
              <w:highlight w:val="none"/>
            </w:rPr>
            <w:t>9.4现场工艺试验</w:t>
          </w:r>
          <w:r>
            <w:rPr>
              <w:color w:val="auto"/>
              <w:highlight w:val="none"/>
            </w:rPr>
            <w:tab/>
          </w:r>
          <w:r>
            <w:rPr>
              <w:color w:val="auto"/>
              <w:highlight w:val="none"/>
            </w:rPr>
            <w:fldChar w:fldCharType="begin"/>
          </w:r>
          <w:r>
            <w:rPr>
              <w:color w:val="auto"/>
              <w:highlight w:val="none"/>
            </w:rPr>
            <w:instrText xml:space="preserve"> PAGEREF _Toc14917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14:paraId="734BA187">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"_Toc348" </w:instrText>
          </w:r>
          <w:r>
            <w:rPr>
              <w:color w:val="auto"/>
              <w:highlight w:val="none"/>
            </w:rPr>
            <w:fldChar w:fldCharType="separate"/>
          </w:r>
          <w:r>
            <w:rPr>
              <w:rFonts w:hint="eastAsia" w:ascii="宋体" w:hAnsi="宋体" w:eastAsia="宋体" w:cs="宋体"/>
              <w:snapToGrid/>
              <w:color w:val="auto"/>
              <w:kern w:val="2"/>
              <w:highlight w:val="none"/>
            </w:rPr>
            <w:t>10.变更</w:t>
          </w:r>
          <w:r>
            <w:rPr>
              <w:color w:val="auto"/>
              <w:highlight w:val="none"/>
            </w:rPr>
            <w:tab/>
          </w:r>
          <w:r>
            <w:rPr>
              <w:color w:val="auto"/>
              <w:highlight w:val="none"/>
            </w:rPr>
            <w:fldChar w:fldCharType="begin"/>
          </w:r>
          <w:r>
            <w:rPr>
              <w:color w:val="auto"/>
              <w:highlight w:val="none"/>
            </w:rPr>
            <w:instrText xml:space="preserve"> PAGEREF _Toc348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14:paraId="5F31B56F">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"_Toc8163" </w:instrText>
          </w:r>
          <w:r>
            <w:rPr>
              <w:color w:val="auto"/>
              <w:highlight w:val="none"/>
            </w:rPr>
            <w:fldChar w:fldCharType="separate"/>
          </w:r>
          <w:r>
            <w:rPr>
              <w:rFonts w:hint="eastAsia" w:ascii="宋体" w:hAnsi="宋体" w:eastAsia="宋体" w:cs="宋体"/>
              <w:snapToGrid/>
              <w:color w:val="auto"/>
              <w:kern w:val="2"/>
              <w:highlight w:val="none"/>
            </w:rPr>
            <w:t>10.1变更的范围</w:t>
          </w:r>
          <w:r>
            <w:rPr>
              <w:color w:val="auto"/>
              <w:highlight w:val="none"/>
            </w:rPr>
            <w:tab/>
          </w:r>
          <w:r>
            <w:rPr>
              <w:color w:val="auto"/>
              <w:highlight w:val="none"/>
            </w:rPr>
            <w:fldChar w:fldCharType="begin"/>
          </w:r>
          <w:r>
            <w:rPr>
              <w:color w:val="auto"/>
              <w:highlight w:val="none"/>
            </w:rPr>
            <w:instrText xml:space="preserve"> PAGEREF _Toc8163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14:paraId="20534B64">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"_Toc15710" </w:instrText>
          </w:r>
          <w:r>
            <w:rPr>
              <w:color w:val="auto"/>
              <w:highlight w:val="none"/>
            </w:rPr>
            <w:fldChar w:fldCharType="separate"/>
          </w:r>
          <w:r>
            <w:rPr>
              <w:rFonts w:hint="eastAsia" w:ascii="宋体" w:hAnsi="宋体" w:eastAsia="宋体" w:cs="宋体"/>
              <w:snapToGrid/>
              <w:color w:val="auto"/>
              <w:kern w:val="2"/>
              <w:highlight w:val="none"/>
            </w:rPr>
            <w:t>10.2变更权</w:t>
          </w:r>
          <w:r>
            <w:rPr>
              <w:color w:val="auto"/>
              <w:highlight w:val="none"/>
            </w:rPr>
            <w:tab/>
          </w:r>
          <w:r>
            <w:rPr>
              <w:color w:val="auto"/>
              <w:highlight w:val="none"/>
            </w:rPr>
            <w:fldChar w:fldCharType="begin"/>
          </w:r>
          <w:r>
            <w:rPr>
              <w:color w:val="auto"/>
              <w:highlight w:val="none"/>
            </w:rPr>
            <w:instrText xml:space="preserve"> PAGEREF _Toc15710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14:paraId="7B30F77A">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"_Toc15466" </w:instrText>
          </w:r>
          <w:r>
            <w:rPr>
              <w:color w:val="auto"/>
              <w:highlight w:val="none"/>
            </w:rPr>
            <w:fldChar w:fldCharType="separate"/>
          </w:r>
          <w:r>
            <w:rPr>
              <w:rFonts w:hint="eastAsia" w:ascii="宋体" w:hAnsi="宋体" w:eastAsia="宋体" w:cs="宋体"/>
              <w:snapToGrid/>
              <w:color w:val="auto"/>
              <w:kern w:val="2"/>
              <w:highlight w:val="none"/>
            </w:rPr>
            <w:t>10.3变更程序</w:t>
          </w:r>
          <w:r>
            <w:rPr>
              <w:color w:val="auto"/>
              <w:highlight w:val="none"/>
            </w:rPr>
            <w:tab/>
          </w:r>
          <w:r>
            <w:rPr>
              <w:color w:val="auto"/>
              <w:highlight w:val="none"/>
            </w:rPr>
            <w:fldChar w:fldCharType="begin"/>
          </w:r>
          <w:r>
            <w:rPr>
              <w:color w:val="auto"/>
              <w:highlight w:val="none"/>
            </w:rPr>
            <w:instrText xml:space="preserve"> PAGEREF _Toc15466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14:paraId="2E7F7B14">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"_Toc12477" </w:instrText>
          </w:r>
          <w:r>
            <w:rPr>
              <w:color w:val="auto"/>
              <w:highlight w:val="none"/>
            </w:rPr>
            <w:fldChar w:fldCharType="separate"/>
          </w:r>
          <w:r>
            <w:rPr>
              <w:rFonts w:hint="eastAsia" w:ascii="宋体" w:hAnsi="宋体" w:eastAsia="宋体" w:cs="宋体"/>
              <w:snapToGrid/>
              <w:color w:val="auto"/>
              <w:kern w:val="2"/>
              <w:highlight w:val="none"/>
            </w:rPr>
            <w:t>10.4变更估价</w:t>
          </w:r>
          <w:r>
            <w:rPr>
              <w:color w:val="auto"/>
              <w:highlight w:val="none"/>
            </w:rPr>
            <w:tab/>
          </w:r>
          <w:r>
            <w:rPr>
              <w:color w:val="auto"/>
              <w:highlight w:val="none"/>
            </w:rPr>
            <w:fldChar w:fldCharType="begin"/>
          </w:r>
          <w:r>
            <w:rPr>
              <w:color w:val="auto"/>
              <w:highlight w:val="none"/>
            </w:rPr>
            <w:instrText xml:space="preserve"> PAGEREF _Toc12477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2B3E4FA8">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"_Toc32145" </w:instrText>
          </w:r>
          <w:r>
            <w:rPr>
              <w:color w:val="auto"/>
              <w:highlight w:val="none"/>
            </w:rPr>
            <w:fldChar w:fldCharType="separate"/>
          </w:r>
          <w:r>
            <w:rPr>
              <w:rFonts w:hint="eastAsia" w:ascii="宋体" w:hAnsi="宋体" w:eastAsia="宋体" w:cs="宋体"/>
              <w:snapToGrid/>
              <w:color w:val="auto"/>
              <w:kern w:val="2"/>
              <w:highlight w:val="none"/>
            </w:rPr>
            <w:t>10.5承包人的合理化建议</w:t>
          </w:r>
          <w:r>
            <w:rPr>
              <w:color w:val="auto"/>
              <w:highlight w:val="none"/>
            </w:rPr>
            <w:tab/>
          </w:r>
          <w:r>
            <w:rPr>
              <w:color w:val="auto"/>
              <w:highlight w:val="none"/>
            </w:rPr>
            <w:fldChar w:fldCharType="begin"/>
          </w:r>
          <w:r>
            <w:rPr>
              <w:color w:val="auto"/>
              <w:highlight w:val="none"/>
            </w:rPr>
            <w:instrText xml:space="preserve"> PAGEREF _Toc32145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5AC9BE52">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"_Toc25947" </w:instrText>
          </w:r>
          <w:r>
            <w:rPr>
              <w:color w:val="auto"/>
              <w:highlight w:val="none"/>
            </w:rPr>
            <w:fldChar w:fldCharType="separate"/>
          </w:r>
          <w:r>
            <w:rPr>
              <w:rFonts w:hint="eastAsia" w:ascii="宋体" w:hAnsi="宋体" w:eastAsia="宋体" w:cs="宋体"/>
              <w:snapToGrid/>
              <w:color w:val="auto"/>
              <w:kern w:val="2"/>
              <w:highlight w:val="none"/>
            </w:rPr>
            <w:t>10.6变更引起的工期调整</w:t>
          </w:r>
          <w:r>
            <w:rPr>
              <w:color w:val="auto"/>
              <w:highlight w:val="none"/>
            </w:rPr>
            <w:tab/>
          </w:r>
          <w:r>
            <w:rPr>
              <w:color w:val="auto"/>
              <w:highlight w:val="none"/>
            </w:rPr>
            <w:fldChar w:fldCharType="begin"/>
          </w:r>
          <w:r>
            <w:rPr>
              <w:color w:val="auto"/>
              <w:highlight w:val="none"/>
            </w:rPr>
            <w:instrText xml:space="preserve"> PAGEREF _Toc25947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5CB6511E">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"_Toc31934" </w:instrText>
          </w:r>
          <w:r>
            <w:rPr>
              <w:color w:val="auto"/>
              <w:highlight w:val="none"/>
            </w:rPr>
            <w:fldChar w:fldCharType="separate"/>
          </w:r>
          <w:r>
            <w:rPr>
              <w:rFonts w:hint="eastAsia" w:ascii="宋体" w:hAnsi="宋体" w:eastAsia="宋体" w:cs="宋体"/>
              <w:snapToGrid/>
              <w:color w:val="auto"/>
              <w:kern w:val="2"/>
              <w:highlight w:val="none"/>
            </w:rPr>
            <w:t>10.7暂估价</w:t>
          </w:r>
          <w:r>
            <w:rPr>
              <w:color w:val="auto"/>
              <w:highlight w:val="none"/>
            </w:rPr>
            <w:tab/>
          </w:r>
          <w:r>
            <w:rPr>
              <w:color w:val="auto"/>
              <w:highlight w:val="none"/>
            </w:rPr>
            <w:fldChar w:fldCharType="begin"/>
          </w:r>
          <w:r>
            <w:rPr>
              <w:color w:val="auto"/>
              <w:highlight w:val="none"/>
            </w:rPr>
            <w:instrText xml:space="preserve"> PAGEREF _Toc31934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1C913BA1">
          <w:pPr>
            <w:pStyle w:val="14"/>
            <w:tabs>
              <w:tab w:val="right" w:leader="dot" w:pos="9073"/>
            </w:tabs>
            <w:ind w:firstLine="420" w:firstLineChars="200"/>
            <w:rPr>
              <w:color w:val="auto"/>
              <w:highlight w:val="none"/>
            </w:rPr>
          </w:pPr>
          <w:r>
            <w:rPr>
              <w:color w:val="auto"/>
              <w:highlight w:val="none"/>
            </w:rPr>
            <w:fldChar w:fldCharType="begin"/>
          </w:r>
          <w:r>
            <w:rPr>
              <w:color w:val="auto"/>
              <w:highlight w:val="none"/>
            </w:rPr>
            <w:instrText xml:space="preserve"> HYPERLINK \l "_Toc2365" </w:instrText>
          </w:r>
          <w:r>
            <w:rPr>
              <w:color w:val="auto"/>
              <w:highlight w:val="none"/>
            </w:rPr>
            <w:fldChar w:fldCharType="separate"/>
          </w:r>
          <w:r>
            <w:rPr>
              <w:rFonts w:hint="eastAsia" w:ascii="宋体" w:hAnsi="宋体" w:eastAsia="宋体" w:cs="宋体"/>
              <w:snapToGrid/>
              <w:color w:val="auto"/>
              <w:kern w:val="2"/>
              <w:highlight w:val="none"/>
            </w:rPr>
            <w:t>10.8暂列金额</w:t>
          </w:r>
          <w:r>
            <w:rPr>
              <w:color w:val="auto"/>
              <w:highlight w:val="none"/>
            </w:rPr>
            <w:tab/>
          </w:r>
          <w:r>
            <w:rPr>
              <w:color w:val="auto"/>
              <w:highlight w:val="none"/>
            </w:rPr>
            <w:fldChar w:fldCharType="begin"/>
          </w:r>
          <w:r>
            <w:rPr>
              <w:color w:val="auto"/>
              <w:highlight w:val="none"/>
            </w:rPr>
            <w:instrText xml:space="preserve"> PAGEREF _Toc2365 \h </w:instrText>
          </w:r>
          <w:r>
            <w:rPr>
              <w:color w:val="auto"/>
              <w:highlight w:val="none"/>
            </w:rPr>
            <w:fldChar w:fldCharType="separate"/>
          </w:r>
          <w:r>
            <w:rPr>
              <w:color w:val="auto"/>
              <w:highlight w:val="none"/>
            </w:rPr>
            <w:t>43</w:t>
          </w:r>
          <w:r>
            <w:rPr>
              <w:color w:val="auto"/>
              <w:highlight w:val="none"/>
            </w:rPr>
            <w:fldChar w:fldCharType="end"/>
          </w:r>
          <w:r>
            <w:rPr>
              <w:color w:val="auto"/>
              <w:highlight w:val="none"/>
            </w:rPr>
            <w:fldChar w:fldCharType="end"/>
          </w:r>
        </w:p>
        <w:p w14:paraId="03627501">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"_Toc22009" </w:instrText>
          </w:r>
          <w:r>
            <w:rPr>
              <w:color w:val="auto"/>
              <w:highlight w:val="none"/>
            </w:rPr>
            <w:fldChar w:fldCharType="separate"/>
          </w:r>
          <w:r>
            <w:rPr>
              <w:rFonts w:hint="eastAsia" w:ascii="宋体" w:hAnsi="宋体" w:eastAsia="宋体" w:cs="宋体"/>
              <w:snapToGrid/>
              <w:color w:val="auto"/>
              <w:kern w:val="2"/>
              <w:highlight w:val="none"/>
            </w:rPr>
            <w:t>10.9计日工</w:t>
          </w:r>
          <w:r>
            <w:rPr>
              <w:color w:val="auto"/>
              <w:highlight w:val="none"/>
            </w:rPr>
            <w:tab/>
          </w:r>
          <w:r>
            <w:rPr>
              <w:color w:val="auto"/>
              <w:highlight w:val="none"/>
            </w:rPr>
            <w:fldChar w:fldCharType="begin"/>
          </w:r>
          <w:r>
            <w:rPr>
              <w:color w:val="auto"/>
              <w:highlight w:val="none"/>
            </w:rPr>
            <w:instrText xml:space="preserve"> PAGEREF _Toc22009 \h </w:instrText>
          </w:r>
          <w:r>
            <w:rPr>
              <w:color w:val="auto"/>
              <w:highlight w:val="none"/>
            </w:rPr>
            <w:fldChar w:fldCharType="separate"/>
          </w:r>
          <w:r>
            <w:rPr>
              <w:color w:val="auto"/>
              <w:highlight w:val="none"/>
            </w:rPr>
            <w:t>44</w:t>
          </w:r>
          <w:r>
            <w:rPr>
              <w:color w:val="auto"/>
              <w:highlight w:val="none"/>
            </w:rPr>
            <w:fldChar w:fldCharType="end"/>
          </w:r>
          <w:r>
            <w:rPr>
              <w:color w:val="auto"/>
              <w:highlight w:val="none"/>
            </w:rPr>
            <w:fldChar w:fldCharType="end"/>
          </w:r>
        </w:p>
        <w:p w14:paraId="0D6AE300">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"_Toc8850" </w:instrText>
          </w:r>
          <w:r>
            <w:rPr>
              <w:color w:val="auto"/>
              <w:highlight w:val="none"/>
            </w:rPr>
            <w:fldChar w:fldCharType="separate"/>
          </w:r>
          <w:r>
            <w:rPr>
              <w:rFonts w:hint="eastAsia" w:ascii="宋体" w:hAnsi="宋体" w:eastAsia="宋体" w:cs="宋体"/>
              <w:snapToGrid/>
              <w:color w:val="auto"/>
              <w:kern w:val="2"/>
              <w:highlight w:val="none"/>
            </w:rPr>
            <w:t>11.价格调整</w:t>
          </w:r>
          <w:r>
            <w:rPr>
              <w:color w:val="auto"/>
              <w:highlight w:val="none"/>
            </w:rPr>
            <w:tab/>
          </w:r>
          <w:r>
            <w:rPr>
              <w:color w:val="auto"/>
              <w:highlight w:val="none"/>
            </w:rPr>
            <w:fldChar w:fldCharType="begin"/>
          </w:r>
          <w:r>
            <w:rPr>
              <w:color w:val="auto"/>
              <w:highlight w:val="none"/>
            </w:rPr>
            <w:instrText xml:space="preserve"> PAGEREF _Toc8850 \h </w:instrText>
          </w:r>
          <w:r>
            <w:rPr>
              <w:color w:val="auto"/>
              <w:highlight w:val="none"/>
            </w:rPr>
            <w:fldChar w:fldCharType="separate"/>
          </w:r>
          <w:r>
            <w:rPr>
              <w:color w:val="auto"/>
              <w:highlight w:val="none"/>
            </w:rPr>
            <w:t>44</w:t>
          </w:r>
          <w:r>
            <w:rPr>
              <w:color w:val="auto"/>
              <w:highlight w:val="none"/>
            </w:rPr>
            <w:fldChar w:fldCharType="end"/>
          </w:r>
          <w:r>
            <w:rPr>
              <w:color w:val="auto"/>
              <w:highlight w:val="none"/>
            </w:rPr>
            <w:fldChar w:fldCharType="end"/>
          </w:r>
        </w:p>
        <w:p w14:paraId="2A030DC8">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"_Toc25985" </w:instrText>
          </w:r>
          <w:r>
            <w:rPr>
              <w:color w:val="auto"/>
              <w:highlight w:val="none"/>
            </w:rPr>
            <w:fldChar w:fldCharType="separate"/>
          </w:r>
          <w:r>
            <w:rPr>
              <w:rFonts w:hint="eastAsia" w:ascii="宋体" w:hAnsi="宋体" w:eastAsia="宋体" w:cs="宋体"/>
              <w:snapToGrid/>
              <w:color w:val="auto"/>
              <w:kern w:val="2"/>
              <w:highlight w:val="none"/>
            </w:rPr>
            <w:t>11.1市场价格波动引起的调整</w:t>
          </w:r>
          <w:r>
            <w:rPr>
              <w:color w:val="auto"/>
              <w:highlight w:val="none"/>
            </w:rPr>
            <w:tab/>
          </w:r>
          <w:r>
            <w:rPr>
              <w:color w:val="auto"/>
              <w:highlight w:val="none"/>
            </w:rPr>
            <w:fldChar w:fldCharType="begin"/>
          </w:r>
          <w:r>
            <w:rPr>
              <w:color w:val="auto"/>
              <w:highlight w:val="none"/>
            </w:rPr>
            <w:instrText xml:space="preserve"> PAGEREF _Toc25985 \h </w:instrText>
          </w:r>
          <w:r>
            <w:rPr>
              <w:color w:val="auto"/>
              <w:highlight w:val="none"/>
            </w:rPr>
            <w:fldChar w:fldCharType="separate"/>
          </w:r>
          <w:r>
            <w:rPr>
              <w:color w:val="auto"/>
              <w:highlight w:val="none"/>
            </w:rPr>
            <w:t>44</w:t>
          </w:r>
          <w:r>
            <w:rPr>
              <w:color w:val="auto"/>
              <w:highlight w:val="none"/>
            </w:rPr>
            <w:fldChar w:fldCharType="end"/>
          </w:r>
          <w:r>
            <w:rPr>
              <w:color w:val="auto"/>
              <w:highlight w:val="none"/>
            </w:rPr>
            <w:fldChar w:fldCharType="end"/>
          </w:r>
        </w:p>
        <w:p w14:paraId="4DF708E1">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"_Toc16822" </w:instrText>
          </w:r>
          <w:r>
            <w:rPr>
              <w:color w:val="auto"/>
              <w:highlight w:val="none"/>
            </w:rPr>
            <w:fldChar w:fldCharType="separate"/>
          </w:r>
          <w:r>
            <w:rPr>
              <w:rFonts w:hint="eastAsia" w:ascii="宋体" w:hAnsi="宋体" w:eastAsia="宋体" w:cs="宋体"/>
              <w:snapToGrid/>
              <w:color w:val="auto"/>
              <w:kern w:val="2"/>
              <w:highlight w:val="none"/>
            </w:rPr>
            <w:t>11.2法律变化引起的调整</w:t>
          </w:r>
          <w:r>
            <w:rPr>
              <w:color w:val="auto"/>
              <w:highlight w:val="none"/>
            </w:rPr>
            <w:tab/>
          </w:r>
          <w:r>
            <w:rPr>
              <w:color w:val="auto"/>
              <w:highlight w:val="none"/>
            </w:rPr>
            <w:fldChar w:fldCharType="begin"/>
          </w:r>
          <w:r>
            <w:rPr>
              <w:color w:val="auto"/>
              <w:highlight w:val="none"/>
            </w:rPr>
            <w:instrText xml:space="preserve"> PAGEREF _Toc16822 \h </w:instrText>
          </w:r>
          <w:r>
            <w:rPr>
              <w:color w:val="auto"/>
              <w:highlight w:val="none"/>
            </w:rPr>
            <w:fldChar w:fldCharType="separate"/>
          </w:r>
          <w:r>
            <w:rPr>
              <w:color w:val="auto"/>
              <w:highlight w:val="none"/>
            </w:rPr>
            <w:t>46</w:t>
          </w:r>
          <w:r>
            <w:rPr>
              <w:color w:val="auto"/>
              <w:highlight w:val="none"/>
            </w:rPr>
            <w:fldChar w:fldCharType="end"/>
          </w:r>
          <w:r>
            <w:rPr>
              <w:color w:val="auto"/>
              <w:highlight w:val="none"/>
            </w:rPr>
            <w:fldChar w:fldCharType="end"/>
          </w:r>
        </w:p>
        <w:p w14:paraId="13A2FAB0">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"_Toc31996" </w:instrText>
          </w:r>
          <w:r>
            <w:rPr>
              <w:color w:val="auto"/>
              <w:highlight w:val="none"/>
            </w:rPr>
            <w:fldChar w:fldCharType="separate"/>
          </w:r>
          <w:r>
            <w:rPr>
              <w:rFonts w:hint="eastAsia" w:ascii="宋体" w:hAnsi="宋体" w:eastAsia="宋体" w:cs="宋体"/>
              <w:snapToGrid/>
              <w:color w:val="auto"/>
              <w:kern w:val="2"/>
              <w:highlight w:val="none"/>
            </w:rPr>
            <w:t>12.合同价格、计量与支付</w:t>
          </w:r>
          <w:r>
            <w:rPr>
              <w:color w:val="auto"/>
              <w:highlight w:val="none"/>
            </w:rPr>
            <w:tab/>
          </w:r>
          <w:r>
            <w:rPr>
              <w:color w:val="auto"/>
              <w:highlight w:val="none"/>
            </w:rPr>
            <w:fldChar w:fldCharType="begin"/>
          </w:r>
          <w:r>
            <w:rPr>
              <w:color w:val="auto"/>
              <w:highlight w:val="none"/>
            </w:rPr>
            <w:instrText xml:space="preserve"> PAGEREF _Toc31996 \h </w:instrText>
          </w:r>
          <w:r>
            <w:rPr>
              <w:color w:val="auto"/>
              <w:highlight w:val="none"/>
            </w:rPr>
            <w:fldChar w:fldCharType="separate"/>
          </w:r>
          <w:r>
            <w:rPr>
              <w:color w:val="auto"/>
              <w:highlight w:val="none"/>
            </w:rPr>
            <w:t>47</w:t>
          </w:r>
          <w:r>
            <w:rPr>
              <w:color w:val="auto"/>
              <w:highlight w:val="none"/>
            </w:rPr>
            <w:fldChar w:fldCharType="end"/>
          </w:r>
          <w:r>
            <w:rPr>
              <w:color w:val="auto"/>
              <w:highlight w:val="none"/>
            </w:rPr>
            <w:fldChar w:fldCharType="end"/>
          </w:r>
        </w:p>
        <w:p w14:paraId="2745786D">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"_Toc24230" </w:instrText>
          </w:r>
          <w:r>
            <w:rPr>
              <w:color w:val="auto"/>
              <w:highlight w:val="none"/>
            </w:rPr>
            <w:fldChar w:fldCharType="separate"/>
          </w:r>
          <w:r>
            <w:rPr>
              <w:rFonts w:hint="eastAsia" w:ascii="宋体" w:hAnsi="宋体" w:eastAsia="宋体" w:cs="宋体"/>
              <w:snapToGrid/>
              <w:color w:val="auto"/>
              <w:kern w:val="2"/>
              <w:highlight w:val="none"/>
            </w:rPr>
            <w:t>12.1合同价格形式</w:t>
          </w:r>
          <w:r>
            <w:rPr>
              <w:color w:val="auto"/>
              <w:highlight w:val="none"/>
            </w:rPr>
            <w:tab/>
          </w:r>
          <w:r>
            <w:rPr>
              <w:color w:val="auto"/>
              <w:highlight w:val="none"/>
            </w:rPr>
            <w:fldChar w:fldCharType="begin"/>
          </w:r>
          <w:r>
            <w:rPr>
              <w:color w:val="auto"/>
              <w:highlight w:val="none"/>
            </w:rPr>
            <w:instrText xml:space="preserve"> PAGEREF _Toc24230 \h </w:instrText>
          </w:r>
          <w:r>
            <w:rPr>
              <w:color w:val="auto"/>
              <w:highlight w:val="none"/>
            </w:rPr>
            <w:fldChar w:fldCharType="separate"/>
          </w:r>
          <w:r>
            <w:rPr>
              <w:color w:val="auto"/>
              <w:highlight w:val="none"/>
            </w:rPr>
            <w:t>47</w:t>
          </w:r>
          <w:r>
            <w:rPr>
              <w:color w:val="auto"/>
              <w:highlight w:val="none"/>
            </w:rPr>
            <w:fldChar w:fldCharType="end"/>
          </w:r>
          <w:r>
            <w:rPr>
              <w:color w:val="auto"/>
              <w:highlight w:val="none"/>
            </w:rPr>
            <w:fldChar w:fldCharType="end"/>
          </w:r>
        </w:p>
        <w:p w14:paraId="4F72F5F0">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"_Toc14137" </w:instrText>
          </w:r>
          <w:r>
            <w:rPr>
              <w:color w:val="auto"/>
              <w:highlight w:val="none"/>
            </w:rPr>
            <w:fldChar w:fldCharType="separate"/>
          </w:r>
          <w:r>
            <w:rPr>
              <w:rFonts w:hint="eastAsia" w:ascii="宋体" w:hAnsi="宋体" w:eastAsia="宋体" w:cs="宋体"/>
              <w:snapToGrid/>
              <w:color w:val="auto"/>
              <w:kern w:val="2"/>
              <w:highlight w:val="none"/>
            </w:rPr>
            <w:t>12.2预付款</w:t>
          </w:r>
          <w:r>
            <w:rPr>
              <w:color w:val="auto"/>
              <w:highlight w:val="none"/>
            </w:rPr>
            <w:tab/>
          </w:r>
          <w:r>
            <w:rPr>
              <w:color w:val="auto"/>
              <w:highlight w:val="none"/>
            </w:rPr>
            <w:fldChar w:fldCharType="begin"/>
          </w:r>
          <w:r>
            <w:rPr>
              <w:color w:val="auto"/>
              <w:highlight w:val="none"/>
            </w:rPr>
            <w:instrText xml:space="preserve"> PAGEREF _Toc14137 \h </w:instrText>
          </w:r>
          <w:r>
            <w:rPr>
              <w:color w:val="auto"/>
              <w:highlight w:val="none"/>
            </w:rPr>
            <w:fldChar w:fldCharType="separate"/>
          </w:r>
          <w:r>
            <w:rPr>
              <w:color w:val="auto"/>
              <w:highlight w:val="none"/>
            </w:rPr>
            <w:t>47</w:t>
          </w:r>
          <w:r>
            <w:rPr>
              <w:color w:val="auto"/>
              <w:highlight w:val="none"/>
            </w:rPr>
            <w:fldChar w:fldCharType="end"/>
          </w:r>
          <w:r>
            <w:rPr>
              <w:color w:val="auto"/>
              <w:highlight w:val="none"/>
            </w:rPr>
            <w:fldChar w:fldCharType="end"/>
          </w:r>
        </w:p>
        <w:p w14:paraId="16B94FCE">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"_Toc18343" </w:instrText>
          </w:r>
          <w:r>
            <w:rPr>
              <w:color w:val="auto"/>
              <w:highlight w:val="none"/>
            </w:rPr>
            <w:fldChar w:fldCharType="separate"/>
          </w:r>
          <w:r>
            <w:rPr>
              <w:rFonts w:hint="eastAsia" w:ascii="宋体" w:hAnsi="宋体" w:eastAsia="宋体" w:cs="宋体"/>
              <w:snapToGrid/>
              <w:color w:val="auto"/>
              <w:kern w:val="2"/>
              <w:highlight w:val="none"/>
            </w:rPr>
            <w:t>12.3计量</w:t>
          </w:r>
          <w:r>
            <w:rPr>
              <w:color w:val="auto"/>
              <w:highlight w:val="none"/>
            </w:rPr>
            <w:tab/>
          </w:r>
          <w:r>
            <w:rPr>
              <w:color w:val="auto"/>
              <w:highlight w:val="none"/>
            </w:rPr>
            <w:fldChar w:fldCharType="begin"/>
          </w:r>
          <w:r>
            <w:rPr>
              <w:color w:val="auto"/>
              <w:highlight w:val="none"/>
            </w:rPr>
            <w:instrText xml:space="preserve"> PAGEREF _Toc18343 \h </w:instrText>
          </w:r>
          <w:r>
            <w:rPr>
              <w:color w:val="auto"/>
              <w:highlight w:val="none"/>
            </w:rPr>
            <w:fldChar w:fldCharType="separate"/>
          </w:r>
          <w:r>
            <w:rPr>
              <w:color w:val="auto"/>
              <w:highlight w:val="none"/>
            </w:rPr>
            <w:t>48</w:t>
          </w:r>
          <w:r>
            <w:rPr>
              <w:color w:val="auto"/>
              <w:highlight w:val="none"/>
            </w:rPr>
            <w:fldChar w:fldCharType="end"/>
          </w:r>
          <w:r>
            <w:rPr>
              <w:color w:val="auto"/>
              <w:highlight w:val="none"/>
            </w:rPr>
            <w:fldChar w:fldCharType="end"/>
          </w:r>
        </w:p>
        <w:p w14:paraId="2EA9F212">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"_Toc901" </w:instrText>
          </w:r>
          <w:r>
            <w:rPr>
              <w:color w:val="auto"/>
              <w:highlight w:val="none"/>
            </w:rPr>
            <w:fldChar w:fldCharType="separate"/>
          </w:r>
          <w:r>
            <w:rPr>
              <w:rFonts w:hint="eastAsia" w:ascii="宋体" w:hAnsi="宋体" w:eastAsia="宋体" w:cs="宋体"/>
              <w:snapToGrid/>
              <w:color w:val="auto"/>
              <w:kern w:val="2"/>
              <w:highlight w:val="none"/>
            </w:rPr>
            <w:t>12.4工程进度款支付</w:t>
          </w:r>
          <w:r>
            <w:rPr>
              <w:color w:val="auto"/>
              <w:highlight w:val="none"/>
            </w:rPr>
            <w:tab/>
          </w:r>
          <w:r>
            <w:rPr>
              <w:color w:val="auto"/>
              <w:highlight w:val="none"/>
            </w:rPr>
            <w:fldChar w:fldCharType="begin"/>
          </w:r>
          <w:r>
            <w:rPr>
              <w:color w:val="auto"/>
              <w:highlight w:val="none"/>
            </w:rPr>
            <w:instrText xml:space="preserve"> PAGEREF _Toc901 \h </w:instrText>
          </w:r>
          <w:r>
            <w:rPr>
              <w:color w:val="auto"/>
              <w:highlight w:val="none"/>
            </w:rPr>
            <w:fldChar w:fldCharType="separate"/>
          </w:r>
          <w:r>
            <w:rPr>
              <w:color w:val="auto"/>
              <w:highlight w:val="none"/>
            </w:rPr>
            <w:t>49</w:t>
          </w:r>
          <w:r>
            <w:rPr>
              <w:color w:val="auto"/>
              <w:highlight w:val="none"/>
            </w:rPr>
            <w:fldChar w:fldCharType="end"/>
          </w:r>
          <w:r>
            <w:rPr>
              <w:color w:val="auto"/>
              <w:highlight w:val="none"/>
            </w:rPr>
            <w:fldChar w:fldCharType="end"/>
          </w:r>
        </w:p>
        <w:p w14:paraId="5BEA4F24">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"_Toc10969" </w:instrText>
          </w:r>
          <w:r>
            <w:rPr>
              <w:color w:val="auto"/>
              <w:highlight w:val="none"/>
            </w:rPr>
            <w:fldChar w:fldCharType="separate"/>
          </w:r>
          <w:r>
            <w:rPr>
              <w:rFonts w:hint="eastAsia" w:ascii="宋体" w:hAnsi="宋体" w:eastAsia="宋体" w:cs="宋体"/>
              <w:snapToGrid/>
              <w:color w:val="auto"/>
              <w:kern w:val="2"/>
              <w:highlight w:val="none"/>
            </w:rPr>
            <w:t>12.5支付账户</w:t>
          </w:r>
          <w:r>
            <w:rPr>
              <w:color w:val="auto"/>
              <w:highlight w:val="none"/>
            </w:rPr>
            <w:tab/>
          </w:r>
          <w:r>
            <w:rPr>
              <w:color w:val="auto"/>
              <w:highlight w:val="none"/>
            </w:rPr>
            <w:fldChar w:fldCharType="begin"/>
          </w:r>
          <w:r>
            <w:rPr>
              <w:color w:val="auto"/>
              <w:highlight w:val="none"/>
            </w:rPr>
            <w:instrText xml:space="preserve"> PAGEREF _Toc10969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14:paraId="7FB59DA8">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"_Toc25037" </w:instrText>
          </w:r>
          <w:r>
            <w:rPr>
              <w:color w:val="auto"/>
              <w:highlight w:val="none"/>
            </w:rPr>
            <w:fldChar w:fldCharType="separate"/>
          </w:r>
          <w:r>
            <w:rPr>
              <w:rFonts w:hint="eastAsia" w:ascii="宋体" w:hAnsi="宋体" w:eastAsia="宋体" w:cs="宋体"/>
              <w:snapToGrid/>
              <w:color w:val="auto"/>
              <w:kern w:val="2"/>
              <w:highlight w:val="none"/>
            </w:rPr>
            <w:t>13.验收和工程试车</w:t>
          </w:r>
          <w:r>
            <w:rPr>
              <w:color w:val="auto"/>
              <w:highlight w:val="none"/>
            </w:rPr>
            <w:tab/>
          </w:r>
          <w:r>
            <w:rPr>
              <w:color w:val="auto"/>
              <w:highlight w:val="none"/>
            </w:rPr>
            <w:fldChar w:fldCharType="begin"/>
          </w:r>
          <w:r>
            <w:rPr>
              <w:color w:val="auto"/>
              <w:highlight w:val="none"/>
            </w:rPr>
            <w:instrText xml:space="preserve"> PAGEREF _Toc25037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14:paraId="7E74AC92">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"_Toc4570" </w:instrText>
          </w:r>
          <w:r>
            <w:rPr>
              <w:color w:val="auto"/>
              <w:highlight w:val="none"/>
            </w:rPr>
            <w:fldChar w:fldCharType="separate"/>
          </w:r>
          <w:r>
            <w:rPr>
              <w:rFonts w:hint="eastAsia" w:ascii="宋体" w:hAnsi="宋体" w:eastAsia="宋体" w:cs="宋体"/>
              <w:snapToGrid/>
              <w:color w:val="auto"/>
              <w:kern w:val="2"/>
              <w:highlight w:val="none"/>
            </w:rPr>
            <w:t>13.1分部分项工程验收</w:t>
          </w:r>
          <w:r>
            <w:rPr>
              <w:color w:val="auto"/>
              <w:highlight w:val="none"/>
            </w:rPr>
            <w:tab/>
          </w:r>
          <w:r>
            <w:rPr>
              <w:color w:val="auto"/>
              <w:highlight w:val="none"/>
            </w:rPr>
            <w:fldChar w:fldCharType="begin"/>
          </w:r>
          <w:r>
            <w:rPr>
              <w:color w:val="auto"/>
              <w:highlight w:val="none"/>
            </w:rPr>
            <w:instrText xml:space="preserve"> PAGEREF _Toc4570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14:paraId="001CCC23">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"_Toc21928" </w:instrText>
          </w:r>
          <w:r>
            <w:rPr>
              <w:color w:val="auto"/>
              <w:highlight w:val="none"/>
            </w:rPr>
            <w:fldChar w:fldCharType="separate"/>
          </w:r>
          <w:r>
            <w:rPr>
              <w:rFonts w:hint="eastAsia" w:ascii="宋体" w:hAnsi="宋体" w:eastAsia="宋体" w:cs="宋体"/>
              <w:snapToGrid/>
              <w:color w:val="auto"/>
              <w:kern w:val="2"/>
              <w:highlight w:val="none"/>
            </w:rPr>
            <w:t>13.2竣工验收</w:t>
          </w:r>
          <w:r>
            <w:rPr>
              <w:color w:val="auto"/>
              <w:highlight w:val="none"/>
            </w:rPr>
            <w:tab/>
          </w:r>
          <w:r>
            <w:rPr>
              <w:color w:val="auto"/>
              <w:highlight w:val="none"/>
            </w:rPr>
            <w:fldChar w:fldCharType="begin"/>
          </w:r>
          <w:r>
            <w:rPr>
              <w:color w:val="auto"/>
              <w:highlight w:val="none"/>
            </w:rPr>
            <w:instrText xml:space="preserve"> PAGEREF _Toc21928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14:paraId="10A8C8D8">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"_Toc28877" </w:instrText>
          </w:r>
          <w:r>
            <w:rPr>
              <w:color w:val="auto"/>
              <w:highlight w:val="none"/>
            </w:rPr>
            <w:fldChar w:fldCharType="separate"/>
          </w:r>
          <w:r>
            <w:rPr>
              <w:rFonts w:hint="eastAsia" w:ascii="宋体" w:hAnsi="宋体" w:eastAsia="宋体" w:cs="宋体"/>
              <w:snapToGrid/>
              <w:color w:val="auto"/>
              <w:kern w:val="2"/>
              <w:highlight w:val="none"/>
            </w:rPr>
            <w:t>13.3工程试车</w:t>
          </w:r>
          <w:r>
            <w:rPr>
              <w:color w:val="auto"/>
              <w:highlight w:val="none"/>
            </w:rPr>
            <w:tab/>
          </w:r>
          <w:r>
            <w:rPr>
              <w:color w:val="auto"/>
              <w:highlight w:val="none"/>
            </w:rPr>
            <w:fldChar w:fldCharType="begin"/>
          </w:r>
          <w:r>
            <w:rPr>
              <w:color w:val="auto"/>
              <w:highlight w:val="none"/>
            </w:rPr>
            <w:instrText xml:space="preserve"> PAGEREF _Toc28877 \h </w:instrText>
          </w:r>
          <w:r>
            <w:rPr>
              <w:color w:val="auto"/>
              <w:highlight w:val="none"/>
            </w:rPr>
            <w:fldChar w:fldCharType="separate"/>
          </w:r>
          <w:r>
            <w:rPr>
              <w:color w:val="auto"/>
              <w:highlight w:val="none"/>
            </w:rPr>
            <w:t>53</w:t>
          </w:r>
          <w:r>
            <w:rPr>
              <w:color w:val="auto"/>
              <w:highlight w:val="none"/>
            </w:rPr>
            <w:fldChar w:fldCharType="end"/>
          </w:r>
          <w:r>
            <w:rPr>
              <w:color w:val="auto"/>
              <w:highlight w:val="none"/>
            </w:rPr>
            <w:fldChar w:fldCharType="end"/>
          </w:r>
        </w:p>
        <w:p w14:paraId="1DFFCE46">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"_Toc1121" </w:instrText>
          </w:r>
          <w:r>
            <w:rPr>
              <w:color w:val="auto"/>
              <w:highlight w:val="none"/>
            </w:rPr>
            <w:fldChar w:fldCharType="separate"/>
          </w:r>
          <w:r>
            <w:rPr>
              <w:rFonts w:hint="eastAsia" w:ascii="宋体" w:hAnsi="宋体" w:eastAsia="宋体" w:cs="宋体"/>
              <w:snapToGrid/>
              <w:color w:val="auto"/>
              <w:kern w:val="2"/>
              <w:highlight w:val="none"/>
            </w:rPr>
            <w:t>13.4提前交付单位工程的验收</w:t>
          </w:r>
          <w:r>
            <w:rPr>
              <w:color w:val="auto"/>
              <w:highlight w:val="none"/>
            </w:rPr>
            <w:tab/>
          </w:r>
          <w:r>
            <w:rPr>
              <w:color w:val="auto"/>
              <w:highlight w:val="none"/>
            </w:rPr>
            <w:fldChar w:fldCharType="begin"/>
          </w:r>
          <w:r>
            <w:rPr>
              <w:color w:val="auto"/>
              <w:highlight w:val="none"/>
            </w:rPr>
            <w:instrText xml:space="preserve"> PAGEREF _Toc1121 \h </w:instrText>
          </w:r>
          <w:r>
            <w:rPr>
              <w:color w:val="auto"/>
              <w:highlight w:val="none"/>
            </w:rPr>
            <w:fldChar w:fldCharType="separate"/>
          </w:r>
          <w:r>
            <w:rPr>
              <w:color w:val="auto"/>
              <w:highlight w:val="none"/>
            </w:rPr>
            <w:t>54</w:t>
          </w:r>
          <w:r>
            <w:rPr>
              <w:color w:val="auto"/>
              <w:highlight w:val="none"/>
            </w:rPr>
            <w:fldChar w:fldCharType="end"/>
          </w:r>
          <w:r>
            <w:rPr>
              <w:color w:val="auto"/>
              <w:highlight w:val="none"/>
            </w:rPr>
            <w:fldChar w:fldCharType="end"/>
          </w:r>
        </w:p>
        <w:p w14:paraId="274F0045">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"_Toc4232" </w:instrText>
          </w:r>
          <w:r>
            <w:rPr>
              <w:color w:val="auto"/>
              <w:highlight w:val="none"/>
            </w:rPr>
            <w:fldChar w:fldCharType="separate"/>
          </w:r>
          <w:r>
            <w:rPr>
              <w:rFonts w:hint="eastAsia" w:ascii="宋体" w:hAnsi="宋体" w:eastAsia="宋体" w:cs="宋体"/>
              <w:snapToGrid/>
              <w:color w:val="auto"/>
              <w:kern w:val="2"/>
              <w:highlight w:val="none"/>
            </w:rPr>
            <w:t>13.5施工期运行</w:t>
          </w:r>
          <w:r>
            <w:rPr>
              <w:color w:val="auto"/>
              <w:highlight w:val="none"/>
            </w:rPr>
            <w:tab/>
          </w:r>
          <w:r>
            <w:rPr>
              <w:color w:val="auto"/>
              <w:highlight w:val="none"/>
            </w:rPr>
            <w:fldChar w:fldCharType="begin"/>
          </w:r>
          <w:r>
            <w:rPr>
              <w:color w:val="auto"/>
              <w:highlight w:val="none"/>
            </w:rPr>
            <w:instrText xml:space="preserve"> PAGEREF _Toc4232 \h </w:instrText>
          </w:r>
          <w:r>
            <w:rPr>
              <w:color w:val="auto"/>
              <w:highlight w:val="none"/>
            </w:rPr>
            <w:fldChar w:fldCharType="separate"/>
          </w:r>
          <w:r>
            <w:rPr>
              <w:color w:val="auto"/>
              <w:highlight w:val="none"/>
            </w:rPr>
            <w:t>54</w:t>
          </w:r>
          <w:r>
            <w:rPr>
              <w:color w:val="auto"/>
              <w:highlight w:val="none"/>
            </w:rPr>
            <w:fldChar w:fldCharType="end"/>
          </w:r>
          <w:r>
            <w:rPr>
              <w:color w:val="auto"/>
              <w:highlight w:val="none"/>
            </w:rPr>
            <w:fldChar w:fldCharType="end"/>
          </w:r>
        </w:p>
        <w:p w14:paraId="1AF3412D">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"_Toc30111" </w:instrText>
          </w:r>
          <w:r>
            <w:rPr>
              <w:color w:val="auto"/>
              <w:highlight w:val="none"/>
            </w:rPr>
            <w:fldChar w:fldCharType="separate"/>
          </w:r>
          <w:r>
            <w:rPr>
              <w:rFonts w:hint="eastAsia" w:ascii="宋体" w:hAnsi="宋体" w:eastAsia="宋体" w:cs="宋体"/>
              <w:snapToGrid/>
              <w:color w:val="auto"/>
              <w:kern w:val="2"/>
              <w:highlight w:val="none"/>
            </w:rPr>
            <w:t>13.6竣工退场</w:t>
          </w:r>
          <w:r>
            <w:rPr>
              <w:color w:val="auto"/>
              <w:highlight w:val="none"/>
            </w:rPr>
            <w:tab/>
          </w:r>
          <w:r>
            <w:rPr>
              <w:color w:val="auto"/>
              <w:highlight w:val="none"/>
            </w:rPr>
            <w:fldChar w:fldCharType="begin"/>
          </w:r>
          <w:r>
            <w:rPr>
              <w:color w:val="auto"/>
              <w:highlight w:val="none"/>
            </w:rPr>
            <w:instrText xml:space="preserve"> PAGEREF _Toc30111 \h </w:instrText>
          </w:r>
          <w:r>
            <w:rPr>
              <w:color w:val="auto"/>
              <w:highlight w:val="none"/>
            </w:rPr>
            <w:fldChar w:fldCharType="separate"/>
          </w:r>
          <w:r>
            <w:rPr>
              <w:color w:val="auto"/>
              <w:highlight w:val="none"/>
            </w:rPr>
            <w:t>54</w:t>
          </w:r>
          <w:r>
            <w:rPr>
              <w:color w:val="auto"/>
              <w:highlight w:val="none"/>
            </w:rPr>
            <w:fldChar w:fldCharType="end"/>
          </w:r>
          <w:r>
            <w:rPr>
              <w:color w:val="auto"/>
              <w:highlight w:val="none"/>
            </w:rPr>
            <w:fldChar w:fldCharType="end"/>
          </w:r>
        </w:p>
        <w:p w14:paraId="1BC2CEB7">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"_Toc20264" </w:instrText>
          </w:r>
          <w:r>
            <w:rPr>
              <w:color w:val="auto"/>
              <w:highlight w:val="none"/>
            </w:rPr>
            <w:fldChar w:fldCharType="separate"/>
          </w:r>
          <w:r>
            <w:rPr>
              <w:rFonts w:hint="eastAsia" w:ascii="宋体" w:hAnsi="宋体" w:eastAsia="宋体" w:cs="宋体"/>
              <w:snapToGrid/>
              <w:color w:val="auto"/>
              <w:kern w:val="2"/>
              <w:highlight w:val="none"/>
            </w:rPr>
            <w:t>14.竣工结算</w:t>
          </w:r>
          <w:r>
            <w:rPr>
              <w:color w:val="auto"/>
              <w:highlight w:val="none"/>
            </w:rPr>
            <w:tab/>
          </w:r>
          <w:r>
            <w:rPr>
              <w:color w:val="auto"/>
              <w:highlight w:val="none"/>
            </w:rPr>
            <w:fldChar w:fldCharType="begin"/>
          </w:r>
          <w:r>
            <w:rPr>
              <w:color w:val="auto"/>
              <w:highlight w:val="none"/>
            </w:rPr>
            <w:instrText xml:space="preserve"> PAGEREF _Toc20264 \h </w:instrText>
          </w:r>
          <w:r>
            <w:rPr>
              <w:color w:val="auto"/>
              <w:highlight w:val="none"/>
            </w:rPr>
            <w:fldChar w:fldCharType="separate"/>
          </w:r>
          <w:r>
            <w:rPr>
              <w:color w:val="auto"/>
              <w:highlight w:val="none"/>
            </w:rPr>
            <w:t>55</w:t>
          </w:r>
          <w:r>
            <w:rPr>
              <w:color w:val="auto"/>
              <w:highlight w:val="none"/>
            </w:rPr>
            <w:fldChar w:fldCharType="end"/>
          </w:r>
          <w:r>
            <w:rPr>
              <w:color w:val="auto"/>
              <w:highlight w:val="none"/>
            </w:rPr>
            <w:fldChar w:fldCharType="end"/>
          </w:r>
        </w:p>
        <w:p w14:paraId="497B7919">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"_Toc30669" </w:instrText>
          </w:r>
          <w:r>
            <w:rPr>
              <w:color w:val="auto"/>
              <w:highlight w:val="none"/>
            </w:rPr>
            <w:fldChar w:fldCharType="separate"/>
          </w:r>
          <w:r>
            <w:rPr>
              <w:rFonts w:hint="eastAsia" w:ascii="宋体" w:hAnsi="宋体" w:eastAsia="宋体" w:cs="宋体"/>
              <w:snapToGrid/>
              <w:color w:val="auto"/>
              <w:kern w:val="2"/>
              <w:highlight w:val="none"/>
            </w:rPr>
            <w:t>14.1竣工结算申请</w:t>
          </w:r>
          <w:r>
            <w:rPr>
              <w:color w:val="auto"/>
              <w:highlight w:val="none"/>
            </w:rPr>
            <w:tab/>
          </w:r>
          <w:r>
            <w:rPr>
              <w:color w:val="auto"/>
              <w:highlight w:val="none"/>
            </w:rPr>
            <w:fldChar w:fldCharType="begin"/>
          </w:r>
          <w:r>
            <w:rPr>
              <w:color w:val="auto"/>
              <w:highlight w:val="none"/>
            </w:rPr>
            <w:instrText xml:space="preserve"> PAGEREF _Toc30669 \h </w:instrText>
          </w:r>
          <w:r>
            <w:rPr>
              <w:color w:val="auto"/>
              <w:highlight w:val="none"/>
            </w:rPr>
            <w:fldChar w:fldCharType="separate"/>
          </w:r>
          <w:r>
            <w:rPr>
              <w:color w:val="auto"/>
              <w:highlight w:val="none"/>
            </w:rPr>
            <w:t>55</w:t>
          </w:r>
          <w:r>
            <w:rPr>
              <w:color w:val="auto"/>
              <w:highlight w:val="none"/>
            </w:rPr>
            <w:fldChar w:fldCharType="end"/>
          </w:r>
          <w:r>
            <w:rPr>
              <w:color w:val="auto"/>
              <w:highlight w:val="none"/>
            </w:rPr>
            <w:fldChar w:fldCharType="end"/>
          </w:r>
        </w:p>
        <w:p w14:paraId="74A1BC81">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"_Toc12048" </w:instrText>
          </w:r>
          <w:r>
            <w:rPr>
              <w:color w:val="auto"/>
              <w:highlight w:val="none"/>
            </w:rPr>
            <w:fldChar w:fldCharType="separate"/>
          </w:r>
          <w:r>
            <w:rPr>
              <w:rFonts w:hint="eastAsia" w:ascii="宋体" w:hAnsi="宋体" w:eastAsia="宋体" w:cs="宋体"/>
              <w:snapToGrid/>
              <w:color w:val="auto"/>
              <w:kern w:val="2"/>
              <w:highlight w:val="none"/>
            </w:rPr>
            <w:t>14.2竣工结算审核</w:t>
          </w:r>
          <w:r>
            <w:rPr>
              <w:color w:val="auto"/>
              <w:highlight w:val="none"/>
            </w:rPr>
            <w:tab/>
          </w:r>
          <w:r>
            <w:rPr>
              <w:color w:val="auto"/>
              <w:highlight w:val="none"/>
            </w:rPr>
            <w:fldChar w:fldCharType="begin"/>
          </w:r>
          <w:r>
            <w:rPr>
              <w:color w:val="auto"/>
              <w:highlight w:val="none"/>
            </w:rPr>
            <w:instrText xml:space="preserve"> PAGEREF _Toc12048 \h </w:instrText>
          </w:r>
          <w:r>
            <w:rPr>
              <w:color w:val="auto"/>
              <w:highlight w:val="none"/>
            </w:rPr>
            <w:fldChar w:fldCharType="separate"/>
          </w:r>
          <w:r>
            <w:rPr>
              <w:color w:val="auto"/>
              <w:highlight w:val="none"/>
            </w:rPr>
            <w:t>56</w:t>
          </w:r>
          <w:r>
            <w:rPr>
              <w:color w:val="auto"/>
              <w:highlight w:val="none"/>
            </w:rPr>
            <w:fldChar w:fldCharType="end"/>
          </w:r>
          <w:r>
            <w:rPr>
              <w:color w:val="auto"/>
              <w:highlight w:val="none"/>
            </w:rPr>
            <w:fldChar w:fldCharType="end"/>
          </w:r>
        </w:p>
        <w:p w14:paraId="123C4A83">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"_Toc17121" </w:instrText>
          </w:r>
          <w:r>
            <w:rPr>
              <w:color w:val="auto"/>
              <w:highlight w:val="none"/>
            </w:rPr>
            <w:fldChar w:fldCharType="separate"/>
          </w:r>
          <w:r>
            <w:rPr>
              <w:rFonts w:hint="eastAsia" w:ascii="宋体" w:hAnsi="宋体" w:eastAsia="宋体" w:cs="宋体"/>
              <w:snapToGrid/>
              <w:color w:val="auto"/>
              <w:kern w:val="2"/>
              <w:highlight w:val="none"/>
            </w:rPr>
            <w:t>14.3甩项竣工协议</w:t>
          </w:r>
          <w:r>
            <w:rPr>
              <w:color w:val="auto"/>
              <w:highlight w:val="none"/>
            </w:rPr>
            <w:tab/>
          </w:r>
          <w:r>
            <w:rPr>
              <w:color w:val="auto"/>
              <w:highlight w:val="none"/>
            </w:rPr>
            <w:fldChar w:fldCharType="begin"/>
          </w:r>
          <w:r>
            <w:rPr>
              <w:color w:val="auto"/>
              <w:highlight w:val="none"/>
            </w:rPr>
            <w:instrText xml:space="preserve"> PAGEREF _Toc17121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14:paraId="103552BF">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"_Toc13069" </w:instrText>
          </w:r>
          <w:r>
            <w:rPr>
              <w:color w:val="auto"/>
              <w:highlight w:val="none"/>
            </w:rPr>
            <w:fldChar w:fldCharType="separate"/>
          </w:r>
          <w:r>
            <w:rPr>
              <w:rFonts w:hint="eastAsia" w:ascii="宋体" w:hAnsi="宋体" w:eastAsia="宋体" w:cs="宋体"/>
              <w:snapToGrid/>
              <w:color w:val="auto"/>
              <w:kern w:val="2"/>
              <w:highlight w:val="none"/>
            </w:rPr>
            <w:t>14.4最终结清</w:t>
          </w:r>
          <w:r>
            <w:rPr>
              <w:color w:val="auto"/>
              <w:highlight w:val="none"/>
            </w:rPr>
            <w:tab/>
          </w:r>
          <w:r>
            <w:rPr>
              <w:color w:val="auto"/>
              <w:highlight w:val="none"/>
            </w:rPr>
            <w:fldChar w:fldCharType="begin"/>
          </w:r>
          <w:r>
            <w:rPr>
              <w:color w:val="auto"/>
              <w:highlight w:val="none"/>
            </w:rPr>
            <w:instrText xml:space="preserve"> PAGEREF _Toc13069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14:paraId="08ECC188">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"_Toc5727" </w:instrText>
          </w:r>
          <w:r>
            <w:rPr>
              <w:color w:val="auto"/>
              <w:highlight w:val="none"/>
            </w:rPr>
            <w:fldChar w:fldCharType="separate"/>
          </w:r>
          <w:r>
            <w:rPr>
              <w:rFonts w:hint="eastAsia" w:ascii="宋体" w:hAnsi="宋体" w:eastAsia="宋体" w:cs="宋体"/>
              <w:snapToGrid/>
              <w:color w:val="auto"/>
              <w:kern w:val="2"/>
              <w:highlight w:val="none"/>
            </w:rPr>
            <w:t>15.缺陷责任与保修</w:t>
          </w:r>
          <w:r>
            <w:rPr>
              <w:color w:val="auto"/>
              <w:highlight w:val="none"/>
            </w:rPr>
            <w:tab/>
          </w:r>
          <w:r>
            <w:rPr>
              <w:color w:val="auto"/>
              <w:highlight w:val="none"/>
            </w:rPr>
            <w:fldChar w:fldCharType="begin"/>
          </w:r>
          <w:r>
            <w:rPr>
              <w:color w:val="auto"/>
              <w:highlight w:val="none"/>
            </w:rPr>
            <w:instrText xml:space="preserve"> PAGEREF _Toc5727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14:paraId="2162320E">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"_Toc27863" </w:instrText>
          </w:r>
          <w:r>
            <w:rPr>
              <w:color w:val="auto"/>
              <w:highlight w:val="none"/>
            </w:rPr>
            <w:fldChar w:fldCharType="separate"/>
          </w:r>
          <w:r>
            <w:rPr>
              <w:rFonts w:hint="eastAsia" w:ascii="宋体" w:hAnsi="宋体" w:eastAsia="宋体" w:cs="宋体"/>
              <w:snapToGrid/>
              <w:color w:val="auto"/>
              <w:kern w:val="2"/>
              <w:highlight w:val="none"/>
            </w:rPr>
            <w:t>15.1工程保修的原则</w:t>
          </w:r>
          <w:r>
            <w:rPr>
              <w:color w:val="auto"/>
              <w:highlight w:val="none"/>
            </w:rPr>
            <w:tab/>
          </w:r>
          <w:r>
            <w:rPr>
              <w:color w:val="auto"/>
              <w:highlight w:val="none"/>
            </w:rPr>
            <w:fldChar w:fldCharType="begin"/>
          </w:r>
          <w:r>
            <w:rPr>
              <w:color w:val="auto"/>
              <w:highlight w:val="none"/>
            </w:rPr>
            <w:instrText xml:space="preserve"> PAGEREF _Toc27863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14:paraId="3703A99F">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"_Toc21591" </w:instrText>
          </w:r>
          <w:r>
            <w:rPr>
              <w:color w:val="auto"/>
              <w:highlight w:val="none"/>
            </w:rPr>
            <w:fldChar w:fldCharType="separate"/>
          </w:r>
          <w:r>
            <w:rPr>
              <w:rFonts w:hint="eastAsia" w:ascii="宋体" w:hAnsi="宋体" w:eastAsia="宋体" w:cs="宋体"/>
              <w:snapToGrid/>
              <w:color w:val="auto"/>
              <w:kern w:val="2"/>
              <w:highlight w:val="none"/>
            </w:rPr>
            <w:t>15.2缺陷责任期</w:t>
          </w:r>
          <w:r>
            <w:rPr>
              <w:color w:val="auto"/>
              <w:highlight w:val="none"/>
            </w:rPr>
            <w:tab/>
          </w:r>
          <w:r>
            <w:rPr>
              <w:color w:val="auto"/>
              <w:highlight w:val="none"/>
            </w:rPr>
            <w:fldChar w:fldCharType="begin"/>
          </w:r>
          <w:r>
            <w:rPr>
              <w:color w:val="auto"/>
              <w:highlight w:val="none"/>
            </w:rPr>
            <w:instrText xml:space="preserve"> PAGEREF _Toc21591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14:paraId="68BC2CD9">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"_Toc22670" </w:instrText>
          </w:r>
          <w:r>
            <w:rPr>
              <w:color w:val="auto"/>
              <w:highlight w:val="none"/>
            </w:rPr>
            <w:fldChar w:fldCharType="separate"/>
          </w:r>
          <w:r>
            <w:rPr>
              <w:rFonts w:hint="eastAsia" w:ascii="宋体" w:hAnsi="宋体" w:eastAsia="宋体" w:cs="宋体"/>
              <w:snapToGrid/>
              <w:color w:val="auto"/>
              <w:kern w:val="2"/>
              <w:highlight w:val="none"/>
            </w:rPr>
            <w:t>15.3质量保证金</w:t>
          </w:r>
          <w:r>
            <w:rPr>
              <w:color w:val="auto"/>
              <w:highlight w:val="none"/>
            </w:rPr>
            <w:tab/>
          </w:r>
          <w:r>
            <w:rPr>
              <w:color w:val="auto"/>
              <w:highlight w:val="none"/>
            </w:rPr>
            <w:fldChar w:fldCharType="begin"/>
          </w:r>
          <w:r>
            <w:rPr>
              <w:color w:val="auto"/>
              <w:highlight w:val="none"/>
            </w:rPr>
            <w:instrText xml:space="preserve"> PAGEREF _Toc22670 \h </w:instrText>
          </w:r>
          <w:r>
            <w:rPr>
              <w:color w:val="auto"/>
              <w:highlight w:val="none"/>
            </w:rPr>
            <w:fldChar w:fldCharType="separate"/>
          </w:r>
          <w:r>
            <w:rPr>
              <w:color w:val="auto"/>
              <w:highlight w:val="none"/>
            </w:rPr>
            <w:t>58</w:t>
          </w:r>
          <w:r>
            <w:rPr>
              <w:color w:val="auto"/>
              <w:highlight w:val="none"/>
            </w:rPr>
            <w:fldChar w:fldCharType="end"/>
          </w:r>
          <w:r>
            <w:rPr>
              <w:color w:val="auto"/>
              <w:highlight w:val="none"/>
            </w:rPr>
            <w:fldChar w:fldCharType="end"/>
          </w:r>
        </w:p>
        <w:p w14:paraId="0B049767">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"_Toc26993" </w:instrText>
          </w:r>
          <w:r>
            <w:rPr>
              <w:color w:val="auto"/>
              <w:highlight w:val="none"/>
            </w:rPr>
            <w:fldChar w:fldCharType="separate"/>
          </w:r>
          <w:r>
            <w:rPr>
              <w:rFonts w:hint="eastAsia" w:ascii="宋体" w:hAnsi="宋体" w:eastAsia="宋体" w:cs="宋体"/>
              <w:snapToGrid/>
              <w:color w:val="auto"/>
              <w:kern w:val="2"/>
              <w:highlight w:val="none"/>
            </w:rPr>
            <w:t>15.4保修</w:t>
          </w:r>
          <w:r>
            <w:rPr>
              <w:color w:val="auto"/>
              <w:highlight w:val="none"/>
            </w:rPr>
            <w:tab/>
          </w:r>
          <w:r>
            <w:rPr>
              <w:color w:val="auto"/>
              <w:highlight w:val="none"/>
            </w:rPr>
            <w:fldChar w:fldCharType="begin"/>
          </w:r>
          <w:r>
            <w:rPr>
              <w:color w:val="auto"/>
              <w:highlight w:val="none"/>
            </w:rPr>
            <w:instrText xml:space="preserve"> PAGEREF _Toc26993 \h </w:instrText>
          </w:r>
          <w:r>
            <w:rPr>
              <w:color w:val="auto"/>
              <w:highlight w:val="none"/>
            </w:rPr>
            <w:fldChar w:fldCharType="separate"/>
          </w:r>
          <w:r>
            <w:rPr>
              <w:color w:val="auto"/>
              <w:highlight w:val="none"/>
            </w:rPr>
            <w:t>59</w:t>
          </w:r>
          <w:r>
            <w:rPr>
              <w:color w:val="auto"/>
              <w:highlight w:val="none"/>
            </w:rPr>
            <w:fldChar w:fldCharType="end"/>
          </w:r>
          <w:r>
            <w:rPr>
              <w:color w:val="auto"/>
              <w:highlight w:val="none"/>
            </w:rPr>
            <w:fldChar w:fldCharType="end"/>
          </w:r>
        </w:p>
        <w:p w14:paraId="4725A281">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"_Toc13598" </w:instrText>
          </w:r>
          <w:r>
            <w:rPr>
              <w:color w:val="auto"/>
              <w:highlight w:val="none"/>
            </w:rPr>
            <w:fldChar w:fldCharType="separate"/>
          </w:r>
          <w:r>
            <w:rPr>
              <w:rFonts w:hint="eastAsia" w:ascii="宋体" w:hAnsi="宋体" w:eastAsia="宋体" w:cs="宋体"/>
              <w:snapToGrid/>
              <w:color w:val="auto"/>
              <w:kern w:val="2"/>
              <w:highlight w:val="none"/>
            </w:rPr>
            <w:t>16.违约</w:t>
          </w:r>
          <w:r>
            <w:rPr>
              <w:color w:val="auto"/>
              <w:highlight w:val="none"/>
            </w:rPr>
            <w:tab/>
          </w:r>
          <w:r>
            <w:rPr>
              <w:color w:val="auto"/>
              <w:highlight w:val="none"/>
            </w:rPr>
            <w:fldChar w:fldCharType="begin"/>
          </w:r>
          <w:r>
            <w:rPr>
              <w:color w:val="auto"/>
              <w:highlight w:val="none"/>
            </w:rPr>
            <w:instrText xml:space="preserve"> PAGEREF _Toc13598 \h </w:instrText>
          </w:r>
          <w:r>
            <w:rPr>
              <w:color w:val="auto"/>
              <w:highlight w:val="none"/>
            </w:rPr>
            <w:fldChar w:fldCharType="separate"/>
          </w:r>
          <w:r>
            <w:rPr>
              <w:color w:val="auto"/>
              <w:highlight w:val="none"/>
            </w:rPr>
            <w:t>60</w:t>
          </w:r>
          <w:r>
            <w:rPr>
              <w:color w:val="auto"/>
              <w:highlight w:val="none"/>
            </w:rPr>
            <w:fldChar w:fldCharType="end"/>
          </w:r>
          <w:r>
            <w:rPr>
              <w:color w:val="auto"/>
              <w:highlight w:val="none"/>
            </w:rPr>
            <w:fldChar w:fldCharType="end"/>
          </w:r>
        </w:p>
        <w:p w14:paraId="0F2AF4D4">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"_Toc4679" </w:instrText>
          </w:r>
          <w:r>
            <w:rPr>
              <w:color w:val="auto"/>
              <w:highlight w:val="none"/>
            </w:rPr>
            <w:fldChar w:fldCharType="separate"/>
          </w:r>
          <w:r>
            <w:rPr>
              <w:rFonts w:hint="eastAsia" w:ascii="宋体" w:hAnsi="宋体" w:eastAsia="宋体" w:cs="宋体"/>
              <w:snapToGrid/>
              <w:color w:val="auto"/>
              <w:kern w:val="2"/>
              <w:highlight w:val="none"/>
            </w:rPr>
            <w:t>16.1发包人违约</w:t>
          </w:r>
          <w:r>
            <w:rPr>
              <w:color w:val="auto"/>
              <w:highlight w:val="none"/>
            </w:rPr>
            <w:tab/>
          </w:r>
          <w:r>
            <w:rPr>
              <w:color w:val="auto"/>
              <w:highlight w:val="none"/>
            </w:rPr>
            <w:fldChar w:fldCharType="begin"/>
          </w:r>
          <w:r>
            <w:rPr>
              <w:color w:val="auto"/>
              <w:highlight w:val="none"/>
            </w:rPr>
            <w:instrText xml:space="preserve"> PAGEREF _Toc4679 \h </w:instrText>
          </w:r>
          <w:r>
            <w:rPr>
              <w:color w:val="auto"/>
              <w:highlight w:val="none"/>
            </w:rPr>
            <w:fldChar w:fldCharType="separate"/>
          </w:r>
          <w:r>
            <w:rPr>
              <w:color w:val="auto"/>
              <w:highlight w:val="none"/>
            </w:rPr>
            <w:t>60</w:t>
          </w:r>
          <w:r>
            <w:rPr>
              <w:color w:val="auto"/>
              <w:highlight w:val="none"/>
            </w:rPr>
            <w:fldChar w:fldCharType="end"/>
          </w:r>
          <w:r>
            <w:rPr>
              <w:color w:val="auto"/>
              <w:highlight w:val="none"/>
            </w:rPr>
            <w:fldChar w:fldCharType="end"/>
          </w:r>
        </w:p>
        <w:p w14:paraId="68112003">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"_Toc20635" </w:instrText>
          </w:r>
          <w:r>
            <w:rPr>
              <w:color w:val="auto"/>
              <w:highlight w:val="none"/>
            </w:rPr>
            <w:fldChar w:fldCharType="separate"/>
          </w:r>
          <w:r>
            <w:rPr>
              <w:rFonts w:hint="eastAsia" w:ascii="宋体" w:hAnsi="宋体" w:eastAsia="宋体" w:cs="宋体"/>
              <w:snapToGrid/>
              <w:color w:val="auto"/>
              <w:kern w:val="2"/>
              <w:highlight w:val="none"/>
            </w:rPr>
            <w:t>16.2承包人违约</w:t>
          </w:r>
          <w:r>
            <w:rPr>
              <w:color w:val="auto"/>
              <w:highlight w:val="none"/>
            </w:rPr>
            <w:tab/>
          </w:r>
          <w:r>
            <w:rPr>
              <w:color w:val="auto"/>
              <w:highlight w:val="none"/>
            </w:rPr>
            <w:fldChar w:fldCharType="begin"/>
          </w:r>
          <w:r>
            <w:rPr>
              <w:color w:val="auto"/>
              <w:highlight w:val="none"/>
            </w:rPr>
            <w:instrText xml:space="preserve"> PAGEREF _Toc20635 \h </w:instrText>
          </w:r>
          <w:r>
            <w:rPr>
              <w:color w:val="auto"/>
              <w:highlight w:val="none"/>
            </w:rPr>
            <w:fldChar w:fldCharType="separate"/>
          </w:r>
          <w:r>
            <w:rPr>
              <w:color w:val="auto"/>
              <w:highlight w:val="none"/>
            </w:rPr>
            <w:t>61</w:t>
          </w:r>
          <w:r>
            <w:rPr>
              <w:color w:val="auto"/>
              <w:highlight w:val="none"/>
            </w:rPr>
            <w:fldChar w:fldCharType="end"/>
          </w:r>
          <w:r>
            <w:rPr>
              <w:color w:val="auto"/>
              <w:highlight w:val="none"/>
            </w:rPr>
            <w:fldChar w:fldCharType="end"/>
          </w:r>
        </w:p>
        <w:p w14:paraId="53E84F5E">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"_Toc14121" </w:instrText>
          </w:r>
          <w:r>
            <w:rPr>
              <w:color w:val="auto"/>
              <w:highlight w:val="none"/>
            </w:rPr>
            <w:fldChar w:fldCharType="separate"/>
          </w:r>
          <w:r>
            <w:rPr>
              <w:rFonts w:hint="eastAsia" w:ascii="宋体" w:hAnsi="宋体" w:eastAsia="宋体" w:cs="宋体"/>
              <w:snapToGrid/>
              <w:color w:val="auto"/>
              <w:kern w:val="2"/>
              <w:highlight w:val="none"/>
            </w:rPr>
            <w:t>16.3第三人造成的违约</w:t>
          </w:r>
          <w:r>
            <w:rPr>
              <w:color w:val="auto"/>
              <w:highlight w:val="none"/>
            </w:rPr>
            <w:tab/>
          </w:r>
          <w:r>
            <w:rPr>
              <w:color w:val="auto"/>
              <w:highlight w:val="none"/>
            </w:rPr>
            <w:fldChar w:fldCharType="begin"/>
          </w:r>
          <w:r>
            <w:rPr>
              <w:color w:val="auto"/>
              <w:highlight w:val="none"/>
            </w:rPr>
            <w:instrText xml:space="preserve"> PAGEREF _Toc14121 \h </w:instrText>
          </w:r>
          <w:r>
            <w:rPr>
              <w:color w:val="auto"/>
              <w:highlight w:val="none"/>
            </w:rPr>
            <w:fldChar w:fldCharType="separate"/>
          </w:r>
          <w:r>
            <w:rPr>
              <w:color w:val="auto"/>
              <w:highlight w:val="none"/>
            </w:rPr>
            <w:t>63</w:t>
          </w:r>
          <w:r>
            <w:rPr>
              <w:color w:val="auto"/>
              <w:highlight w:val="none"/>
            </w:rPr>
            <w:fldChar w:fldCharType="end"/>
          </w:r>
          <w:r>
            <w:rPr>
              <w:color w:val="auto"/>
              <w:highlight w:val="none"/>
            </w:rPr>
            <w:fldChar w:fldCharType="end"/>
          </w:r>
        </w:p>
        <w:p w14:paraId="46F0C818">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"_Toc9931" </w:instrText>
          </w:r>
          <w:r>
            <w:rPr>
              <w:color w:val="auto"/>
              <w:highlight w:val="none"/>
            </w:rPr>
            <w:fldChar w:fldCharType="separate"/>
          </w:r>
          <w:r>
            <w:rPr>
              <w:rFonts w:hint="eastAsia" w:ascii="宋体" w:hAnsi="宋体" w:eastAsia="宋体" w:cs="宋体"/>
              <w:snapToGrid/>
              <w:color w:val="auto"/>
              <w:kern w:val="2"/>
              <w:highlight w:val="none"/>
            </w:rPr>
            <w:t>17.不可抗力</w:t>
          </w:r>
          <w:r>
            <w:rPr>
              <w:color w:val="auto"/>
              <w:highlight w:val="none"/>
            </w:rPr>
            <w:tab/>
          </w:r>
          <w:r>
            <w:rPr>
              <w:color w:val="auto"/>
              <w:highlight w:val="none"/>
            </w:rPr>
            <w:fldChar w:fldCharType="begin"/>
          </w:r>
          <w:r>
            <w:rPr>
              <w:color w:val="auto"/>
              <w:highlight w:val="none"/>
            </w:rPr>
            <w:instrText xml:space="preserve"> PAGEREF _Toc9931 \h </w:instrText>
          </w:r>
          <w:r>
            <w:rPr>
              <w:color w:val="auto"/>
              <w:highlight w:val="none"/>
            </w:rPr>
            <w:fldChar w:fldCharType="separate"/>
          </w:r>
          <w:r>
            <w:rPr>
              <w:color w:val="auto"/>
              <w:highlight w:val="none"/>
            </w:rPr>
            <w:t>63</w:t>
          </w:r>
          <w:r>
            <w:rPr>
              <w:color w:val="auto"/>
              <w:highlight w:val="none"/>
            </w:rPr>
            <w:fldChar w:fldCharType="end"/>
          </w:r>
          <w:r>
            <w:rPr>
              <w:color w:val="auto"/>
              <w:highlight w:val="none"/>
            </w:rPr>
            <w:fldChar w:fldCharType="end"/>
          </w:r>
        </w:p>
        <w:p w14:paraId="6513BF7D">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"_Toc10535" </w:instrText>
          </w:r>
          <w:r>
            <w:rPr>
              <w:color w:val="auto"/>
              <w:highlight w:val="none"/>
            </w:rPr>
            <w:fldChar w:fldCharType="separate"/>
          </w:r>
          <w:r>
            <w:rPr>
              <w:rFonts w:hint="eastAsia" w:ascii="宋体" w:hAnsi="宋体" w:eastAsia="宋体" w:cs="宋体"/>
              <w:snapToGrid/>
              <w:color w:val="auto"/>
              <w:kern w:val="2"/>
              <w:highlight w:val="none"/>
            </w:rPr>
            <w:t>17.1不可抗力的确认</w:t>
          </w:r>
          <w:r>
            <w:rPr>
              <w:color w:val="auto"/>
              <w:highlight w:val="none"/>
            </w:rPr>
            <w:tab/>
          </w:r>
          <w:r>
            <w:rPr>
              <w:color w:val="auto"/>
              <w:highlight w:val="none"/>
            </w:rPr>
            <w:fldChar w:fldCharType="begin"/>
          </w:r>
          <w:r>
            <w:rPr>
              <w:color w:val="auto"/>
              <w:highlight w:val="none"/>
            </w:rPr>
            <w:instrText xml:space="preserve"> PAGEREF _Toc10535 \h </w:instrText>
          </w:r>
          <w:r>
            <w:rPr>
              <w:color w:val="auto"/>
              <w:highlight w:val="none"/>
            </w:rPr>
            <w:fldChar w:fldCharType="separate"/>
          </w:r>
          <w:r>
            <w:rPr>
              <w:color w:val="auto"/>
              <w:highlight w:val="none"/>
            </w:rPr>
            <w:t>63</w:t>
          </w:r>
          <w:r>
            <w:rPr>
              <w:color w:val="auto"/>
              <w:highlight w:val="none"/>
            </w:rPr>
            <w:fldChar w:fldCharType="end"/>
          </w:r>
          <w:r>
            <w:rPr>
              <w:color w:val="auto"/>
              <w:highlight w:val="none"/>
            </w:rPr>
            <w:fldChar w:fldCharType="end"/>
          </w:r>
        </w:p>
        <w:p w14:paraId="0AE6FB2E">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"_Toc19259" </w:instrText>
          </w:r>
          <w:r>
            <w:rPr>
              <w:color w:val="auto"/>
              <w:highlight w:val="none"/>
            </w:rPr>
            <w:fldChar w:fldCharType="separate"/>
          </w:r>
          <w:r>
            <w:rPr>
              <w:rFonts w:hint="eastAsia" w:ascii="宋体" w:hAnsi="宋体" w:eastAsia="宋体" w:cs="宋体"/>
              <w:snapToGrid/>
              <w:color w:val="auto"/>
              <w:kern w:val="2"/>
              <w:highlight w:val="none"/>
            </w:rPr>
            <w:t>17.2不可抗力的通知</w:t>
          </w:r>
          <w:r>
            <w:rPr>
              <w:color w:val="auto"/>
              <w:highlight w:val="none"/>
            </w:rPr>
            <w:tab/>
          </w:r>
          <w:r>
            <w:rPr>
              <w:color w:val="auto"/>
              <w:highlight w:val="none"/>
            </w:rPr>
            <w:fldChar w:fldCharType="begin"/>
          </w:r>
          <w:r>
            <w:rPr>
              <w:color w:val="auto"/>
              <w:highlight w:val="none"/>
            </w:rPr>
            <w:instrText xml:space="preserve"> PAGEREF _Toc19259 \h </w:instrText>
          </w:r>
          <w:r>
            <w:rPr>
              <w:color w:val="auto"/>
              <w:highlight w:val="none"/>
            </w:rPr>
            <w:fldChar w:fldCharType="separate"/>
          </w:r>
          <w:r>
            <w:rPr>
              <w:color w:val="auto"/>
              <w:highlight w:val="none"/>
            </w:rPr>
            <w:t>63</w:t>
          </w:r>
          <w:r>
            <w:rPr>
              <w:color w:val="auto"/>
              <w:highlight w:val="none"/>
            </w:rPr>
            <w:fldChar w:fldCharType="end"/>
          </w:r>
          <w:r>
            <w:rPr>
              <w:color w:val="auto"/>
              <w:highlight w:val="none"/>
            </w:rPr>
            <w:fldChar w:fldCharType="end"/>
          </w:r>
        </w:p>
        <w:p w14:paraId="113E2F3D">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"_Toc21174" </w:instrText>
          </w:r>
          <w:r>
            <w:rPr>
              <w:color w:val="auto"/>
              <w:highlight w:val="none"/>
            </w:rPr>
            <w:fldChar w:fldCharType="separate"/>
          </w:r>
          <w:r>
            <w:rPr>
              <w:rFonts w:hint="eastAsia" w:ascii="宋体" w:hAnsi="宋体" w:eastAsia="宋体" w:cs="宋体"/>
              <w:snapToGrid/>
              <w:color w:val="auto"/>
              <w:kern w:val="2"/>
              <w:highlight w:val="none"/>
            </w:rPr>
            <w:t>17.3不可抗力后果的承担</w:t>
          </w:r>
          <w:r>
            <w:rPr>
              <w:color w:val="auto"/>
              <w:highlight w:val="none"/>
            </w:rPr>
            <w:tab/>
          </w:r>
          <w:r>
            <w:rPr>
              <w:color w:val="auto"/>
              <w:highlight w:val="none"/>
            </w:rPr>
            <w:fldChar w:fldCharType="begin"/>
          </w:r>
          <w:r>
            <w:rPr>
              <w:color w:val="auto"/>
              <w:highlight w:val="none"/>
            </w:rPr>
            <w:instrText xml:space="preserve"> PAGEREF _Toc21174 \h </w:instrText>
          </w:r>
          <w:r>
            <w:rPr>
              <w:color w:val="auto"/>
              <w:highlight w:val="none"/>
            </w:rPr>
            <w:fldChar w:fldCharType="separate"/>
          </w:r>
          <w:r>
            <w:rPr>
              <w:color w:val="auto"/>
              <w:highlight w:val="none"/>
            </w:rPr>
            <w:t>63</w:t>
          </w:r>
          <w:r>
            <w:rPr>
              <w:color w:val="auto"/>
              <w:highlight w:val="none"/>
            </w:rPr>
            <w:fldChar w:fldCharType="end"/>
          </w:r>
          <w:r>
            <w:rPr>
              <w:color w:val="auto"/>
              <w:highlight w:val="none"/>
            </w:rPr>
            <w:fldChar w:fldCharType="end"/>
          </w:r>
        </w:p>
        <w:p w14:paraId="34317E1E">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"_Toc2501" </w:instrText>
          </w:r>
          <w:r>
            <w:rPr>
              <w:color w:val="auto"/>
              <w:highlight w:val="none"/>
            </w:rPr>
            <w:fldChar w:fldCharType="separate"/>
          </w:r>
          <w:r>
            <w:rPr>
              <w:rFonts w:hint="eastAsia" w:ascii="宋体" w:hAnsi="宋体" w:eastAsia="宋体" w:cs="宋体"/>
              <w:snapToGrid/>
              <w:color w:val="auto"/>
              <w:kern w:val="2"/>
              <w:highlight w:val="none"/>
            </w:rPr>
            <w:t>17.4因不可抗力解除合同</w:t>
          </w:r>
          <w:r>
            <w:rPr>
              <w:color w:val="auto"/>
              <w:highlight w:val="none"/>
            </w:rPr>
            <w:tab/>
          </w:r>
          <w:r>
            <w:rPr>
              <w:color w:val="auto"/>
              <w:highlight w:val="none"/>
            </w:rPr>
            <w:fldChar w:fldCharType="begin"/>
          </w:r>
          <w:r>
            <w:rPr>
              <w:color w:val="auto"/>
              <w:highlight w:val="none"/>
            </w:rPr>
            <w:instrText xml:space="preserve"> PAGEREF _Toc2501 \h </w:instrText>
          </w:r>
          <w:r>
            <w:rPr>
              <w:color w:val="auto"/>
              <w:highlight w:val="none"/>
            </w:rPr>
            <w:fldChar w:fldCharType="separate"/>
          </w:r>
          <w:r>
            <w:rPr>
              <w:color w:val="auto"/>
              <w:highlight w:val="none"/>
            </w:rPr>
            <w:t>64</w:t>
          </w:r>
          <w:r>
            <w:rPr>
              <w:color w:val="auto"/>
              <w:highlight w:val="none"/>
            </w:rPr>
            <w:fldChar w:fldCharType="end"/>
          </w:r>
          <w:r>
            <w:rPr>
              <w:color w:val="auto"/>
              <w:highlight w:val="none"/>
            </w:rPr>
            <w:fldChar w:fldCharType="end"/>
          </w:r>
        </w:p>
        <w:p w14:paraId="4964FE5C">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"_Toc30913" </w:instrText>
          </w:r>
          <w:r>
            <w:rPr>
              <w:color w:val="auto"/>
              <w:highlight w:val="none"/>
            </w:rPr>
            <w:fldChar w:fldCharType="separate"/>
          </w:r>
          <w:r>
            <w:rPr>
              <w:rFonts w:hint="eastAsia" w:ascii="宋体" w:hAnsi="宋体" w:eastAsia="宋体" w:cs="宋体"/>
              <w:snapToGrid/>
              <w:color w:val="auto"/>
              <w:kern w:val="2"/>
              <w:highlight w:val="none"/>
            </w:rPr>
            <w:t>18.保险</w:t>
          </w:r>
          <w:r>
            <w:rPr>
              <w:color w:val="auto"/>
              <w:highlight w:val="none"/>
            </w:rPr>
            <w:tab/>
          </w:r>
          <w:r>
            <w:rPr>
              <w:color w:val="auto"/>
              <w:highlight w:val="none"/>
            </w:rPr>
            <w:fldChar w:fldCharType="begin"/>
          </w:r>
          <w:r>
            <w:rPr>
              <w:color w:val="auto"/>
              <w:highlight w:val="none"/>
            </w:rPr>
            <w:instrText xml:space="preserve"> PAGEREF _Toc30913 \h </w:instrText>
          </w:r>
          <w:r>
            <w:rPr>
              <w:color w:val="auto"/>
              <w:highlight w:val="none"/>
            </w:rPr>
            <w:fldChar w:fldCharType="separate"/>
          </w:r>
          <w:r>
            <w:rPr>
              <w:color w:val="auto"/>
              <w:highlight w:val="none"/>
            </w:rPr>
            <w:t>64</w:t>
          </w:r>
          <w:r>
            <w:rPr>
              <w:color w:val="auto"/>
              <w:highlight w:val="none"/>
            </w:rPr>
            <w:fldChar w:fldCharType="end"/>
          </w:r>
          <w:r>
            <w:rPr>
              <w:color w:val="auto"/>
              <w:highlight w:val="none"/>
            </w:rPr>
            <w:fldChar w:fldCharType="end"/>
          </w:r>
        </w:p>
        <w:p w14:paraId="474429AE">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"_Toc833" </w:instrText>
          </w:r>
          <w:r>
            <w:rPr>
              <w:color w:val="auto"/>
              <w:highlight w:val="none"/>
            </w:rPr>
            <w:fldChar w:fldCharType="separate"/>
          </w:r>
          <w:r>
            <w:rPr>
              <w:rFonts w:hint="eastAsia" w:ascii="宋体" w:hAnsi="宋体" w:eastAsia="宋体" w:cs="宋体"/>
              <w:snapToGrid/>
              <w:color w:val="auto"/>
              <w:kern w:val="2"/>
              <w:highlight w:val="none"/>
            </w:rPr>
            <w:t>18.1工程保险</w:t>
          </w:r>
          <w:r>
            <w:rPr>
              <w:color w:val="auto"/>
              <w:highlight w:val="none"/>
            </w:rPr>
            <w:tab/>
          </w:r>
          <w:r>
            <w:rPr>
              <w:color w:val="auto"/>
              <w:highlight w:val="none"/>
            </w:rPr>
            <w:fldChar w:fldCharType="begin"/>
          </w:r>
          <w:r>
            <w:rPr>
              <w:color w:val="auto"/>
              <w:highlight w:val="none"/>
            </w:rPr>
            <w:instrText xml:space="preserve"> PAGEREF _Toc833 \h </w:instrText>
          </w:r>
          <w:r>
            <w:rPr>
              <w:color w:val="auto"/>
              <w:highlight w:val="none"/>
            </w:rPr>
            <w:fldChar w:fldCharType="separate"/>
          </w:r>
          <w:r>
            <w:rPr>
              <w:color w:val="auto"/>
              <w:highlight w:val="none"/>
            </w:rPr>
            <w:t>64</w:t>
          </w:r>
          <w:r>
            <w:rPr>
              <w:color w:val="auto"/>
              <w:highlight w:val="none"/>
            </w:rPr>
            <w:fldChar w:fldCharType="end"/>
          </w:r>
          <w:r>
            <w:rPr>
              <w:color w:val="auto"/>
              <w:highlight w:val="none"/>
            </w:rPr>
            <w:fldChar w:fldCharType="end"/>
          </w:r>
        </w:p>
        <w:p w14:paraId="6A18FA3E">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"_Toc17623" </w:instrText>
          </w:r>
          <w:r>
            <w:rPr>
              <w:color w:val="auto"/>
              <w:highlight w:val="none"/>
            </w:rPr>
            <w:fldChar w:fldCharType="separate"/>
          </w:r>
          <w:r>
            <w:rPr>
              <w:rFonts w:hint="eastAsia" w:ascii="宋体" w:hAnsi="宋体" w:eastAsia="宋体" w:cs="宋体"/>
              <w:snapToGrid/>
              <w:color w:val="auto"/>
              <w:kern w:val="2"/>
              <w:highlight w:val="none"/>
            </w:rPr>
            <w:t>18.2工伤保险</w:t>
          </w:r>
          <w:r>
            <w:rPr>
              <w:color w:val="auto"/>
              <w:highlight w:val="none"/>
            </w:rPr>
            <w:tab/>
          </w:r>
          <w:r>
            <w:rPr>
              <w:color w:val="auto"/>
              <w:highlight w:val="none"/>
            </w:rPr>
            <w:fldChar w:fldCharType="begin"/>
          </w:r>
          <w:r>
            <w:rPr>
              <w:color w:val="auto"/>
              <w:highlight w:val="none"/>
            </w:rPr>
            <w:instrText xml:space="preserve"> PAGEREF _Toc17623 \h </w:instrText>
          </w:r>
          <w:r>
            <w:rPr>
              <w:color w:val="auto"/>
              <w:highlight w:val="none"/>
            </w:rPr>
            <w:fldChar w:fldCharType="separate"/>
          </w:r>
          <w:r>
            <w:rPr>
              <w:color w:val="auto"/>
              <w:highlight w:val="none"/>
            </w:rPr>
            <w:t>64</w:t>
          </w:r>
          <w:r>
            <w:rPr>
              <w:color w:val="auto"/>
              <w:highlight w:val="none"/>
            </w:rPr>
            <w:fldChar w:fldCharType="end"/>
          </w:r>
          <w:r>
            <w:rPr>
              <w:color w:val="auto"/>
              <w:highlight w:val="none"/>
            </w:rPr>
            <w:fldChar w:fldCharType="end"/>
          </w:r>
        </w:p>
        <w:p w14:paraId="3CF97BA3">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"_Toc26240" </w:instrText>
          </w:r>
          <w:r>
            <w:rPr>
              <w:color w:val="auto"/>
              <w:highlight w:val="none"/>
            </w:rPr>
            <w:fldChar w:fldCharType="separate"/>
          </w:r>
          <w:r>
            <w:rPr>
              <w:rFonts w:hint="eastAsia" w:ascii="宋体" w:hAnsi="宋体" w:eastAsia="宋体" w:cs="宋体"/>
              <w:snapToGrid/>
              <w:color w:val="auto"/>
              <w:kern w:val="2"/>
              <w:highlight w:val="none"/>
            </w:rPr>
            <w:t>18.3其他保险</w:t>
          </w:r>
          <w:r>
            <w:rPr>
              <w:color w:val="auto"/>
              <w:highlight w:val="none"/>
            </w:rPr>
            <w:tab/>
          </w:r>
          <w:r>
            <w:rPr>
              <w:color w:val="auto"/>
              <w:highlight w:val="none"/>
            </w:rPr>
            <w:fldChar w:fldCharType="begin"/>
          </w:r>
          <w:r>
            <w:rPr>
              <w:color w:val="auto"/>
              <w:highlight w:val="none"/>
            </w:rPr>
            <w:instrText xml:space="preserve"> PAGEREF _Toc26240 \h </w:instrText>
          </w:r>
          <w:r>
            <w:rPr>
              <w:color w:val="auto"/>
              <w:highlight w:val="none"/>
            </w:rPr>
            <w:fldChar w:fldCharType="separate"/>
          </w:r>
          <w:r>
            <w:rPr>
              <w:color w:val="auto"/>
              <w:highlight w:val="none"/>
            </w:rPr>
            <w:t>65</w:t>
          </w:r>
          <w:r>
            <w:rPr>
              <w:color w:val="auto"/>
              <w:highlight w:val="none"/>
            </w:rPr>
            <w:fldChar w:fldCharType="end"/>
          </w:r>
          <w:r>
            <w:rPr>
              <w:color w:val="auto"/>
              <w:highlight w:val="none"/>
            </w:rPr>
            <w:fldChar w:fldCharType="end"/>
          </w:r>
        </w:p>
        <w:p w14:paraId="366A8FD6">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"_Toc28977" </w:instrText>
          </w:r>
          <w:r>
            <w:rPr>
              <w:color w:val="auto"/>
              <w:highlight w:val="none"/>
            </w:rPr>
            <w:fldChar w:fldCharType="separate"/>
          </w:r>
          <w:r>
            <w:rPr>
              <w:rFonts w:hint="eastAsia" w:ascii="宋体" w:hAnsi="宋体" w:eastAsia="宋体" w:cs="宋体"/>
              <w:snapToGrid/>
              <w:color w:val="auto"/>
              <w:kern w:val="2"/>
              <w:highlight w:val="none"/>
            </w:rPr>
            <w:t>18.4持续保险</w:t>
          </w:r>
          <w:r>
            <w:rPr>
              <w:color w:val="auto"/>
              <w:highlight w:val="none"/>
            </w:rPr>
            <w:tab/>
          </w:r>
          <w:r>
            <w:rPr>
              <w:color w:val="auto"/>
              <w:highlight w:val="none"/>
            </w:rPr>
            <w:fldChar w:fldCharType="begin"/>
          </w:r>
          <w:r>
            <w:rPr>
              <w:color w:val="auto"/>
              <w:highlight w:val="none"/>
            </w:rPr>
            <w:instrText xml:space="preserve"> PAGEREF _Toc28977 \h </w:instrText>
          </w:r>
          <w:r>
            <w:rPr>
              <w:color w:val="auto"/>
              <w:highlight w:val="none"/>
            </w:rPr>
            <w:fldChar w:fldCharType="separate"/>
          </w:r>
          <w:r>
            <w:rPr>
              <w:color w:val="auto"/>
              <w:highlight w:val="none"/>
            </w:rPr>
            <w:t>65</w:t>
          </w:r>
          <w:r>
            <w:rPr>
              <w:color w:val="auto"/>
              <w:highlight w:val="none"/>
            </w:rPr>
            <w:fldChar w:fldCharType="end"/>
          </w:r>
          <w:r>
            <w:rPr>
              <w:color w:val="auto"/>
              <w:highlight w:val="none"/>
            </w:rPr>
            <w:fldChar w:fldCharType="end"/>
          </w:r>
        </w:p>
        <w:p w14:paraId="4FDAE5C6">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"_Toc22858" </w:instrText>
          </w:r>
          <w:r>
            <w:rPr>
              <w:color w:val="auto"/>
              <w:highlight w:val="none"/>
            </w:rPr>
            <w:fldChar w:fldCharType="separate"/>
          </w:r>
          <w:r>
            <w:rPr>
              <w:rFonts w:hint="eastAsia" w:ascii="宋体" w:hAnsi="宋体" w:eastAsia="宋体" w:cs="宋体"/>
              <w:snapToGrid/>
              <w:color w:val="auto"/>
              <w:kern w:val="2"/>
              <w:highlight w:val="none"/>
            </w:rPr>
            <w:t>18.5保险凭证</w:t>
          </w:r>
          <w:r>
            <w:rPr>
              <w:color w:val="auto"/>
              <w:highlight w:val="none"/>
            </w:rPr>
            <w:tab/>
          </w:r>
          <w:r>
            <w:rPr>
              <w:color w:val="auto"/>
              <w:highlight w:val="none"/>
            </w:rPr>
            <w:fldChar w:fldCharType="begin"/>
          </w:r>
          <w:r>
            <w:rPr>
              <w:color w:val="auto"/>
              <w:highlight w:val="none"/>
            </w:rPr>
            <w:instrText xml:space="preserve"> PAGEREF _Toc22858 \h </w:instrText>
          </w:r>
          <w:r>
            <w:rPr>
              <w:color w:val="auto"/>
              <w:highlight w:val="none"/>
            </w:rPr>
            <w:fldChar w:fldCharType="separate"/>
          </w:r>
          <w:r>
            <w:rPr>
              <w:color w:val="auto"/>
              <w:highlight w:val="none"/>
            </w:rPr>
            <w:t>65</w:t>
          </w:r>
          <w:r>
            <w:rPr>
              <w:color w:val="auto"/>
              <w:highlight w:val="none"/>
            </w:rPr>
            <w:fldChar w:fldCharType="end"/>
          </w:r>
          <w:r>
            <w:rPr>
              <w:color w:val="auto"/>
              <w:highlight w:val="none"/>
            </w:rPr>
            <w:fldChar w:fldCharType="end"/>
          </w:r>
        </w:p>
        <w:p w14:paraId="22701143">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"_Toc17132" </w:instrText>
          </w:r>
          <w:r>
            <w:rPr>
              <w:color w:val="auto"/>
              <w:highlight w:val="none"/>
            </w:rPr>
            <w:fldChar w:fldCharType="separate"/>
          </w:r>
          <w:r>
            <w:rPr>
              <w:rFonts w:hint="eastAsia" w:ascii="宋体" w:hAnsi="宋体" w:eastAsia="宋体" w:cs="宋体"/>
              <w:snapToGrid/>
              <w:color w:val="auto"/>
              <w:kern w:val="2"/>
              <w:highlight w:val="none"/>
            </w:rPr>
            <w:t>18.6未按约定投保的补救</w:t>
          </w:r>
          <w:r>
            <w:rPr>
              <w:color w:val="auto"/>
              <w:highlight w:val="none"/>
            </w:rPr>
            <w:tab/>
          </w:r>
          <w:r>
            <w:rPr>
              <w:color w:val="auto"/>
              <w:highlight w:val="none"/>
            </w:rPr>
            <w:fldChar w:fldCharType="begin"/>
          </w:r>
          <w:r>
            <w:rPr>
              <w:color w:val="auto"/>
              <w:highlight w:val="none"/>
            </w:rPr>
            <w:instrText xml:space="preserve"> PAGEREF _Toc17132 \h </w:instrText>
          </w:r>
          <w:r>
            <w:rPr>
              <w:color w:val="auto"/>
              <w:highlight w:val="none"/>
            </w:rPr>
            <w:fldChar w:fldCharType="separate"/>
          </w:r>
          <w:r>
            <w:rPr>
              <w:color w:val="auto"/>
              <w:highlight w:val="none"/>
            </w:rPr>
            <w:t>65</w:t>
          </w:r>
          <w:r>
            <w:rPr>
              <w:color w:val="auto"/>
              <w:highlight w:val="none"/>
            </w:rPr>
            <w:fldChar w:fldCharType="end"/>
          </w:r>
          <w:r>
            <w:rPr>
              <w:color w:val="auto"/>
              <w:highlight w:val="none"/>
            </w:rPr>
            <w:fldChar w:fldCharType="end"/>
          </w:r>
        </w:p>
        <w:p w14:paraId="6DFA33F7">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"_Toc12529" </w:instrText>
          </w:r>
          <w:r>
            <w:rPr>
              <w:color w:val="auto"/>
              <w:highlight w:val="none"/>
            </w:rPr>
            <w:fldChar w:fldCharType="separate"/>
          </w:r>
          <w:r>
            <w:rPr>
              <w:rFonts w:hint="eastAsia" w:ascii="宋体" w:hAnsi="宋体" w:eastAsia="宋体" w:cs="宋体"/>
              <w:snapToGrid/>
              <w:color w:val="auto"/>
              <w:kern w:val="2"/>
              <w:highlight w:val="none"/>
            </w:rPr>
            <w:t>18.7通知义务</w:t>
          </w:r>
          <w:r>
            <w:rPr>
              <w:color w:val="auto"/>
              <w:highlight w:val="none"/>
            </w:rPr>
            <w:tab/>
          </w:r>
          <w:r>
            <w:rPr>
              <w:color w:val="auto"/>
              <w:highlight w:val="none"/>
            </w:rPr>
            <w:fldChar w:fldCharType="begin"/>
          </w:r>
          <w:r>
            <w:rPr>
              <w:color w:val="auto"/>
              <w:highlight w:val="none"/>
            </w:rPr>
            <w:instrText xml:space="preserve"> PAGEREF _Toc12529 \h </w:instrText>
          </w:r>
          <w:r>
            <w:rPr>
              <w:color w:val="auto"/>
              <w:highlight w:val="none"/>
            </w:rPr>
            <w:fldChar w:fldCharType="separate"/>
          </w:r>
          <w:r>
            <w:rPr>
              <w:color w:val="auto"/>
              <w:highlight w:val="none"/>
            </w:rPr>
            <w:t>65</w:t>
          </w:r>
          <w:r>
            <w:rPr>
              <w:color w:val="auto"/>
              <w:highlight w:val="none"/>
            </w:rPr>
            <w:fldChar w:fldCharType="end"/>
          </w:r>
          <w:r>
            <w:rPr>
              <w:color w:val="auto"/>
              <w:highlight w:val="none"/>
            </w:rPr>
            <w:fldChar w:fldCharType="end"/>
          </w:r>
        </w:p>
        <w:p w14:paraId="645F45DF">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"_Toc29714" </w:instrText>
          </w:r>
          <w:r>
            <w:rPr>
              <w:color w:val="auto"/>
              <w:highlight w:val="none"/>
            </w:rPr>
            <w:fldChar w:fldCharType="separate"/>
          </w:r>
          <w:r>
            <w:rPr>
              <w:rFonts w:hint="eastAsia" w:ascii="宋体" w:hAnsi="宋体" w:eastAsia="宋体" w:cs="宋体"/>
              <w:snapToGrid/>
              <w:color w:val="auto"/>
              <w:kern w:val="2"/>
              <w:highlight w:val="none"/>
            </w:rPr>
            <w:t>19.索赔</w:t>
          </w:r>
          <w:r>
            <w:rPr>
              <w:color w:val="auto"/>
              <w:highlight w:val="none"/>
            </w:rPr>
            <w:tab/>
          </w:r>
          <w:r>
            <w:rPr>
              <w:color w:val="auto"/>
              <w:highlight w:val="none"/>
            </w:rPr>
            <w:fldChar w:fldCharType="begin"/>
          </w:r>
          <w:r>
            <w:rPr>
              <w:color w:val="auto"/>
              <w:highlight w:val="none"/>
            </w:rPr>
            <w:instrText xml:space="preserve"> PAGEREF _Toc29714 \h </w:instrText>
          </w:r>
          <w:r>
            <w:rPr>
              <w:color w:val="auto"/>
              <w:highlight w:val="none"/>
            </w:rPr>
            <w:fldChar w:fldCharType="separate"/>
          </w:r>
          <w:r>
            <w:rPr>
              <w:color w:val="auto"/>
              <w:highlight w:val="none"/>
            </w:rPr>
            <w:t>65</w:t>
          </w:r>
          <w:r>
            <w:rPr>
              <w:color w:val="auto"/>
              <w:highlight w:val="none"/>
            </w:rPr>
            <w:fldChar w:fldCharType="end"/>
          </w:r>
          <w:r>
            <w:rPr>
              <w:color w:val="auto"/>
              <w:highlight w:val="none"/>
            </w:rPr>
            <w:fldChar w:fldCharType="end"/>
          </w:r>
        </w:p>
        <w:p w14:paraId="67176126">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"_Toc6481" </w:instrText>
          </w:r>
          <w:r>
            <w:rPr>
              <w:color w:val="auto"/>
              <w:highlight w:val="none"/>
            </w:rPr>
            <w:fldChar w:fldCharType="separate"/>
          </w:r>
          <w:r>
            <w:rPr>
              <w:rFonts w:hint="eastAsia" w:ascii="宋体" w:hAnsi="宋体" w:eastAsia="宋体" w:cs="宋体"/>
              <w:snapToGrid/>
              <w:color w:val="auto"/>
              <w:kern w:val="2"/>
              <w:highlight w:val="none"/>
            </w:rPr>
            <w:t>19.1承包人的索赔</w:t>
          </w:r>
          <w:r>
            <w:rPr>
              <w:color w:val="auto"/>
              <w:highlight w:val="none"/>
            </w:rPr>
            <w:tab/>
          </w:r>
          <w:r>
            <w:rPr>
              <w:color w:val="auto"/>
              <w:highlight w:val="none"/>
            </w:rPr>
            <w:fldChar w:fldCharType="begin"/>
          </w:r>
          <w:r>
            <w:rPr>
              <w:color w:val="auto"/>
              <w:highlight w:val="none"/>
            </w:rPr>
            <w:instrText xml:space="preserve"> PAGEREF _Toc6481 \h </w:instrText>
          </w:r>
          <w:r>
            <w:rPr>
              <w:color w:val="auto"/>
              <w:highlight w:val="none"/>
            </w:rPr>
            <w:fldChar w:fldCharType="separate"/>
          </w:r>
          <w:r>
            <w:rPr>
              <w:color w:val="auto"/>
              <w:highlight w:val="none"/>
            </w:rPr>
            <w:t>65</w:t>
          </w:r>
          <w:r>
            <w:rPr>
              <w:color w:val="auto"/>
              <w:highlight w:val="none"/>
            </w:rPr>
            <w:fldChar w:fldCharType="end"/>
          </w:r>
          <w:r>
            <w:rPr>
              <w:color w:val="auto"/>
              <w:highlight w:val="none"/>
            </w:rPr>
            <w:fldChar w:fldCharType="end"/>
          </w:r>
        </w:p>
        <w:p w14:paraId="01643A5E">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"_Toc23330" </w:instrText>
          </w:r>
          <w:r>
            <w:rPr>
              <w:color w:val="auto"/>
              <w:highlight w:val="none"/>
            </w:rPr>
            <w:fldChar w:fldCharType="separate"/>
          </w:r>
          <w:r>
            <w:rPr>
              <w:rFonts w:hint="eastAsia" w:ascii="宋体" w:hAnsi="宋体" w:eastAsia="宋体" w:cs="宋体"/>
              <w:snapToGrid/>
              <w:color w:val="auto"/>
              <w:kern w:val="2"/>
              <w:highlight w:val="none"/>
            </w:rPr>
            <w:t>19.2对承包人索赔的处理</w:t>
          </w:r>
          <w:r>
            <w:rPr>
              <w:color w:val="auto"/>
              <w:highlight w:val="none"/>
            </w:rPr>
            <w:tab/>
          </w:r>
          <w:r>
            <w:rPr>
              <w:color w:val="auto"/>
              <w:highlight w:val="none"/>
            </w:rPr>
            <w:fldChar w:fldCharType="begin"/>
          </w:r>
          <w:r>
            <w:rPr>
              <w:color w:val="auto"/>
              <w:highlight w:val="none"/>
            </w:rPr>
            <w:instrText xml:space="preserve"> PAGEREF _Toc23330 \h </w:instrText>
          </w:r>
          <w:r>
            <w:rPr>
              <w:color w:val="auto"/>
              <w:highlight w:val="none"/>
            </w:rPr>
            <w:fldChar w:fldCharType="separate"/>
          </w:r>
          <w:r>
            <w:rPr>
              <w:color w:val="auto"/>
              <w:highlight w:val="none"/>
            </w:rPr>
            <w:t>66</w:t>
          </w:r>
          <w:r>
            <w:rPr>
              <w:color w:val="auto"/>
              <w:highlight w:val="none"/>
            </w:rPr>
            <w:fldChar w:fldCharType="end"/>
          </w:r>
          <w:r>
            <w:rPr>
              <w:color w:val="auto"/>
              <w:highlight w:val="none"/>
            </w:rPr>
            <w:fldChar w:fldCharType="end"/>
          </w:r>
        </w:p>
        <w:p w14:paraId="0EAA4274">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"_Toc18611" </w:instrText>
          </w:r>
          <w:r>
            <w:rPr>
              <w:color w:val="auto"/>
              <w:highlight w:val="none"/>
            </w:rPr>
            <w:fldChar w:fldCharType="separate"/>
          </w:r>
          <w:r>
            <w:rPr>
              <w:rFonts w:hint="eastAsia" w:ascii="宋体" w:hAnsi="宋体" w:eastAsia="宋体" w:cs="宋体"/>
              <w:snapToGrid/>
              <w:color w:val="auto"/>
              <w:kern w:val="2"/>
              <w:highlight w:val="none"/>
            </w:rPr>
            <w:t>19.3发包人的索赔</w:t>
          </w:r>
          <w:r>
            <w:rPr>
              <w:color w:val="auto"/>
              <w:highlight w:val="none"/>
            </w:rPr>
            <w:tab/>
          </w:r>
          <w:r>
            <w:rPr>
              <w:color w:val="auto"/>
              <w:highlight w:val="none"/>
            </w:rPr>
            <w:fldChar w:fldCharType="begin"/>
          </w:r>
          <w:r>
            <w:rPr>
              <w:color w:val="auto"/>
              <w:highlight w:val="none"/>
            </w:rPr>
            <w:instrText xml:space="preserve"> PAGEREF _Toc18611 \h </w:instrText>
          </w:r>
          <w:r>
            <w:rPr>
              <w:color w:val="auto"/>
              <w:highlight w:val="none"/>
            </w:rPr>
            <w:fldChar w:fldCharType="separate"/>
          </w:r>
          <w:r>
            <w:rPr>
              <w:color w:val="auto"/>
              <w:highlight w:val="none"/>
            </w:rPr>
            <w:t>66</w:t>
          </w:r>
          <w:r>
            <w:rPr>
              <w:color w:val="auto"/>
              <w:highlight w:val="none"/>
            </w:rPr>
            <w:fldChar w:fldCharType="end"/>
          </w:r>
          <w:r>
            <w:rPr>
              <w:color w:val="auto"/>
              <w:highlight w:val="none"/>
            </w:rPr>
            <w:fldChar w:fldCharType="end"/>
          </w:r>
        </w:p>
        <w:p w14:paraId="0BBC7DBB">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"_Toc20449" </w:instrText>
          </w:r>
          <w:r>
            <w:rPr>
              <w:color w:val="auto"/>
              <w:highlight w:val="none"/>
            </w:rPr>
            <w:fldChar w:fldCharType="separate"/>
          </w:r>
          <w:r>
            <w:rPr>
              <w:rFonts w:hint="eastAsia" w:ascii="宋体" w:hAnsi="宋体" w:eastAsia="宋体" w:cs="宋体"/>
              <w:snapToGrid/>
              <w:color w:val="auto"/>
              <w:kern w:val="2"/>
              <w:highlight w:val="none"/>
            </w:rPr>
            <w:t>19.4对发包人索赔的处理</w:t>
          </w:r>
          <w:r>
            <w:rPr>
              <w:color w:val="auto"/>
              <w:highlight w:val="none"/>
            </w:rPr>
            <w:tab/>
          </w:r>
          <w:r>
            <w:rPr>
              <w:color w:val="auto"/>
              <w:highlight w:val="none"/>
            </w:rPr>
            <w:fldChar w:fldCharType="begin"/>
          </w:r>
          <w:r>
            <w:rPr>
              <w:color w:val="auto"/>
              <w:highlight w:val="none"/>
            </w:rPr>
            <w:instrText xml:space="preserve"> PAGEREF _Toc20449 \h </w:instrText>
          </w:r>
          <w:r>
            <w:rPr>
              <w:color w:val="auto"/>
              <w:highlight w:val="none"/>
            </w:rPr>
            <w:fldChar w:fldCharType="separate"/>
          </w:r>
          <w:r>
            <w:rPr>
              <w:color w:val="auto"/>
              <w:highlight w:val="none"/>
            </w:rPr>
            <w:t>66</w:t>
          </w:r>
          <w:r>
            <w:rPr>
              <w:color w:val="auto"/>
              <w:highlight w:val="none"/>
            </w:rPr>
            <w:fldChar w:fldCharType="end"/>
          </w:r>
          <w:r>
            <w:rPr>
              <w:color w:val="auto"/>
              <w:highlight w:val="none"/>
            </w:rPr>
            <w:fldChar w:fldCharType="end"/>
          </w:r>
        </w:p>
        <w:p w14:paraId="065E5645">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"_Toc20456" </w:instrText>
          </w:r>
          <w:r>
            <w:rPr>
              <w:color w:val="auto"/>
              <w:highlight w:val="none"/>
            </w:rPr>
            <w:fldChar w:fldCharType="separate"/>
          </w:r>
          <w:r>
            <w:rPr>
              <w:rFonts w:hint="eastAsia" w:ascii="宋体" w:hAnsi="宋体" w:eastAsia="宋体" w:cs="宋体"/>
              <w:snapToGrid/>
              <w:color w:val="auto"/>
              <w:kern w:val="2"/>
              <w:highlight w:val="none"/>
            </w:rPr>
            <w:t>19.5提出索赔的期限</w:t>
          </w:r>
          <w:r>
            <w:rPr>
              <w:color w:val="auto"/>
              <w:highlight w:val="none"/>
            </w:rPr>
            <w:tab/>
          </w:r>
          <w:r>
            <w:rPr>
              <w:color w:val="auto"/>
              <w:highlight w:val="none"/>
            </w:rPr>
            <w:fldChar w:fldCharType="begin"/>
          </w:r>
          <w:r>
            <w:rPr>
              <w:color w:val="auto"/>
              <w:highlight w:val="none"/>
            </w:rPr>
            <w:instrText xml:space="preserve"> PAGEREF _Toc20456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2838A0EA">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"_Toc16271" </w:instrText>
          </w:r>
          <w:r>
            <w:rPr>
              <w:color w:val="auto"/>
              <w:highlight w:val="none"/>
            </w:rPr>
            <w:fldChar w:fldCharType="separate"/>
          </w:r>
          <w:r>
            <w:rPr>
              <w:rFonts w:hint="eastAsia" w:ascii="宋体" w:hAnsi="宋体" w:eastAsia="宋体" w:cs="宋体"/>
              <w:snapToGrid/>
              <w:color w:val="auto"/>
              <w:kern w:val="2"/>
              <w:highlight w:val="none"/>
            </w:rPr>
            <w:t>20.争议解决</w:t>
          </w:r>
          <w:r>
            <w:rPr>
              <w:color w:val="auto"/>
              <w:highlight w:val="none"/>
            </w:rPr>
            <w:tab/>
          </w:r>
          <w:r>
            <w:rPr>
              <w:color w:val="auto"/>
              <w:highlight w:val="none"/>
            </w:rPr>
            <w:fldChar w:fldCharType="begin"/>
          </w:r>
          <w:r>
            <w:rPr>
              <w:color w:val="auto"/>
              <w:highlight w:val="none"/>
            </w:rPr>
            <w:instrText xml:space="preserve"> PAGEREF _Toc16271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4145AE50">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"_Toc20503" </w:instrText>
          </w:r>
          <w:r>
            <w:rPr>
              <w:color w:val="auto"/>
              <w:highlight w:val="none"/>
            </w:rPr>
            <w:fldChar w:fldCharType="separate"/>
          </w:r>
          <w:r>
            <w:rPr>
              <w:rFonts w:hint="eastAsia" w:ascii="宋体" w:hAnsi="宋体" w:eastAsia="宋体" w:cs="宋体"/>
              <w:snapToGrid/>
              <w:color w:val="auto"/>
              <w:kern w:val="2"/>
              <w:highlight w:val="none"/>
            </w:rPr>
            <w:t>20.1和解</w:t>
          </w:r>
          <w:r>
            <w:rPr>
              <w:color w:val="auto"/>
              <w:highlight w:val="none"/>
            </w:rPr>
            <w:tab/>
          </w:r>
          <w:r>
            <w:rPr>
              <w:color w:val="auto"/>
              <w:highlight w:val="none"/>
            </w:rPr>
            <w:fldChar w:fldCharType="begin"/>
          </w:r>
          <w:r>
            <w:rPr>
              <w:color w:val="auto"/>
              <w:highlight w:val="none"/>
            </w:rPr>
            <w:instrText xml:space="preserve"> PAGEREF _Toc20503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3870AB61">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"_Toc13307" </w:instrText>
          </w:r>
          <w:r>
            <w:rPr>
              <w:color w:val="auto"/>
              <w:highlight w:val="none"/>
            </w:rPr>
            <w:fldChar w:fldCharType="separate"/>
          </w:r>
          <w:r>
            <w:rPr>
              <w:rFonts w:hint="eastAsia" w:ascii="宋体" w:hAnsi="宋体" w:eastAsia="宋体" w:cs="宋体"/>
              <w:snapToGrid/>
              <w:color w:val="auto"/>
              <w:kern w:val="2"/>
              <w:highlight w:val="none"/>
            </w:rPr>
            <w:t>20.2调解</w:t>
          </w:r>
          <w:r>
            <w:rPr>
              <w:color w:val="auto"/>
              <w:highlight w:val="none"/>
            </w:rPr>
            <w:tab/>
          </w:r>
          <w:r>
            <w:rPr>
              <w:color w:val="auto"/>
              <w:highlight w:val="none"/>
            </w:rPr>
            <w:fldChar w:fldCharType="begin"/>
          </w:r>
          <w:r>
            <w:rPr>
              <w:color w:val="auto"/>
              <w:highlight w:val="none"/>
            </w:rPr>
            <w:instrText xml:space="preserve"> PAGEREF _Toc13307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68382F0F">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"_Toc27660" </w:instrText>
          </w:r>
          <w:r>
            <w:rPr>
              <w:color w:val="auto"/>
              <w:highlight w:val="none"/>
            </w:rPr>
            <w:fldChar w:fldCharType="separate"/>
          </w:r>
          <w:r>
            <w:rPr>
              <w:rFonts w:hint="eastAsia" w:ascii="宋体" w:hAnsi="宋体" w:eastAsia="宋体" w:cs="宋体"/>
              <w:snapToGrid/>
              <w:color w:val="auto"/>
              <w:kern w:val="2"/>
              <w:highlight w:val="none"/>
            </w:rPr>
            <w:t>20.3争议评审</w:t>
          </w:r>
          <w:r>
            <w:rPr>
              <w:color w:val="auto"/>
              <w:highlight w:val="none"/>
            </w:rPr>
            <w:tab/>
          </w:r>
          <w:r>
            <w:rPr>
              <w:color w:val="auto"/>
              <w:highlight w:val="none"/>
            </w:rPr>
            <w:fldChar w:fldCharType="begin"/>
          </w:r>
          <w:r>
            <w:rPr>
              <w:color w:val="auto"/>
              <w:highlight w:val="none"/>
            </w:rPr>
            <w:instrText xml:space="preserve"> PAGEREF _Toc27660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5E0EEAE3">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"_Toc27662" </w:instrText>
          </w:r>
          <w:r>
            <w:rPr>
              <w:color w:val="auto"/>
              <w:highlight w:val="none"/>
            </w:rPr>
            <w:fldChar w:fldCharType="separate"/>
          </w:r>
          <w:r>
            <w:rPr>
              <w:rFonts w:hint="eastAsia" w:ascii="宋体" w:hAnsi="宋体" w:eastAsia="宋体" w:cs="宋体"/>
              <w:snapToGrid/>
              <w:color w:val="auto"/>
              <w:kern w:val="2"/>
              <w:highlight w:val="none"/>
            </w:rPr>
            <w:t>20.4仲裁或诉讼</w:t>
          </w:r>
          <w:r>
            <w:rPr>
              <w:color w:val="auto"/>
              <w:highlight w:val="none"/>
            </w:rPr>
            <w:tab/>
          </w:r>
          <w:r>
            <w:rPr>
              <w:color w:val="auto"/>
              <w:highlight w:val="none"/>
            </w:rPr>
            <w:fldChar w:fldCharType="begin"/>
          </w:r>
          <w:r>
            <w:rPr>
              <w:color w:val="auto"/>
              <w:highlight w:val="none"/>
            </w:rPr>
            <w:instrText xml:space="preserve"> PAGEREF _Toc27662 \h </w:instrText>
          </w:r>
          <w:r>
            <w:rPr>
              <w:color w:val="auto"/>
              <w:highlight w:val="none"/>
            </w:rPr>
            <w:fldChar w:fldCharType="separate"/>
          </w:r>
          <w:r>
            <w:rPr>
              <w:color w:val="auto"/>
              <w:highlight w:val="none"/>
            </w:rPr>
            <w:t>68</w:t>
          </w:r>
          <w:r>
            <w:rPr>
              <w:color w:val="auto"/>
              <w:highlight w:val="none"/>
            </w:rPr>
            <w:fldChar w:fldCharType="end"/>
          </w:r>
          <w:r>
            <w:rPr>
              <w:color w:val="auto"/>
              <w:highlight w:val="none"/>
            </w:rPr>
            <w:fldChar w:fldCharType="end"/>
          </w:r>
        </w:p>
        <w:p w14:paraId="4453AD7A">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"_Toc14616" </w:instrText>
          </w:r>
          <w:r>
            <w:rPr>
              <w:color w:val="auto"/>
              <w:highlight w:val="none"/>
            </w:rPr>
            <w:fldChar w:fldCharType="separate"/>
          </w:r>
          <w:r>
            <w:rPr>
              <w:rFonts w:hint="eastAsia" w:ascii="宋体" w:hAnsi="宋体" w:eastAsia="宋体" w:cs="宋体"/>
              <w:snapToGrid/>
              <w:color w:val="auto"/>
              <w:kern w:val="2"/>
              <w:highlight w:val="none"/>
            </w:rPr>
            <w:t>20.5争议解决条款效力</w:t>
          </w:r>
          <w:r>
            <w:rPr>
              <w:color w:val="auto"/>
              <w:highlight w:val="none"/>
            </w:rPr>
            <w:tab/>
          </w:r>
          <w:r>
            <w:rPr>
              <w:color w:val="auto"/>
              <w:highlight w:val="none"/>
            </w:rPr>
            <w:fldChar w:fldCharType="begin"/>
          </w:r>
          <w:r>
            <w:rPr>
              <w:color w:val="auto"/>
              <w:highlight w:val="none"/>
            </w:rPr>
            <w:instrText xml:space="preserve"> PAGEREF _Toc14616 \h </w:instrText>
          </w:r>
          <w:r>
            <w:rPr>
              <w:color w:val="auto"/>
              <w:highlight w:val="none"/>
            </w:rPr>
            <w:fldChar w:fldCharType="separate"/>
          </w:r>
          <w:r>
            <w:rPr>
              <w:color w:val="auto"/>
              <w:highlight w:val="none"/>
            </w:rPr>
            <w:t>68</w:t>
          </w:r>
          <w:r>
            <w:rPr>
              <w:color w:val="auto"/>
              <w:highlight w:val="none"/>
            </w:rPr>
            <w:fldChar w:fldCharType="end"/>
          </w:r>
          <w:r>
            <w:rPr>
              <w:color w:val="auto"/>
              <w:highlight w:val="none"/>
            </w:rPr>
            <w:fldChar w:fldCharType="end"/>
          </w:r>
        </w:p>
        <w:p w14:paraId="378C0248">
          <w:pPr>
            <w:pStyle w:val="13"/>
            <w:tabs>
              <w:tab w:val="right" w:leader="dot" w:pos="9073"/>
            </w:tabs>
            <w:rPr>
              <w:color w:val="auto"/>
              <w:highlight w:val="none"/>
            </w:rPr>
          </w:pPr>
          <w:r>
            <w:rPr>
              <w:color w:val="auto"/>
              <w:highlight w:val="none"/>
            </w:rPr>
            <w:fldChar w:fldCharType="begin"/>
          </w:r>
          <w:r>
            <w:rPr>
              <w:color w:val="auto"/>
              <w:highlight w:val="none"/>
            </w:rPr>
            <w:instrText xml:space="preserve"> HYPERLINK \l "_Toc22973" </w:instrText>
          </w:r>
          <w:r>
            <w:rPr>
              <w:color w:val="auto"/>
              <w:highlight w:val="none"/>
            </w:rPr>
            <w:fldChar w:fldCharType="separate"/>
          </w:r>
          <w:r>
            <w:rPr>
              <w:rFonts w:hint="eastAsia" w:ascii="宋体" w:hAnsi="宋体" w:eastAsia="宋体" w:cs="宋体"/>
              <w:bCs/>
              <w:color w:val="auto"/>
              <w:spacing w:val="-2"/>
              <w:szCs w:val="30"/>
              <w:highlight w:val="none"/>
            </w:rPr>
            <w:t>第</w:t>
          </w:r>
          <w:r>
            <w:rPr>
              <w:rFonts w:hint="eastAsia" w:ascii="宋体" w:hAnsi="宋体" w:eastAsia="宋体" w:cs="宋体"/>
              <w:bCs/>
              <w:color w:val="auto"/>
              <w:spacing w:val="-1"/>
              <w:szCs w:val="30"/>
              <w:highlight w:val="none"/>
            </w:rPr>
            <w:t>三部分 专用合同条款</w:t>
          </w:r>
          <w:r>
            <w:rPr>
              <w:color w:val="auto"/>
              <w:highlight w:val="none"/>
            </w:rPr>
            <w:tab/>
          </w:r>
          <w:r>
            <w:rPr>
              <w:color w:val="auto"/>
              <w:highlight w:val="none"/>
            </w:rPr>
            <w:fldChar w:fldCharType="begin"/>
          </w:r>
          <w:r>
            <w:rPr>
              <w:color w:val="auto"/>
              <w:highlight w:val="none"/>
            </w:rPr>
            <w:instrText xml:space="preserve"> PAGEREF _Toc22973 \h </w:instrText>
          </w:r>
          <w:r>
            <w:rPr>
              <w:color w:val="auto"/>
              <w:highlight w:val="none"/>
            </w:rPr>
            <w:fldChar w:fldCharType="separate"/>
          </w:r>
          <w:r>
            <w:rPr>
              <w:color w:val="auto"/>
              <w:highlight w:val="none"/>
            </w:rPr>
            <w:t>69</w:t>
          </w:r>
          <w:r>
            <w:rPr>
              <w:color w:val="auto"/>
              <w:highlight w:val="none"/>
            </w:rPr>
            <w:fldChar w:fldCharType="end"/>
          </w:r>
          <w:r>
            <w:rPr>
              <w:color w:val="auto"/>
              <w:highlight w:val="none"/>
            </w:rPr>
            <w:fldChar w:fldCharType="end"/>
          </w:r>
        </w:p>
        <w:p w14:paraId="6AC2097C">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"_Toc21429" </w:instrText>
          </w:r>
          <w:r>
            <w:rPr>
              <w:color w:val="auto"/>
              <w:highlight w:val="none"/>
            </w:rPr>
            <w:fldChar w:fldCharType="separate"/>
          </w:r>
          <w:r>
            <w:rPr>
              <w:rFonts w:hint="eastAsia" w:ascii="宋体" w:hAnsi="宋体" w:eastAsia="宋体"/>
              <w:bCs/>
              <w:snapToGrid/>
              <w:color w:val="auto"/>
              <w:kern w:val="2"/>
              <w:highlight w:val="none"/>
            </w:rPr>
            <w:t>1. 一般约定</w:t>
          </w:r>
          <w:r>
            <w:rPr>
              <w:color w:val="auto"/>
              <w:highlight w:val="none"/>
            </w:rPr>
            <w:tab/>
          </w:r>
          <w:r>
            <w:rPr>
              <w:color w:val="auto"/>
              <w:highlight w:val="none"/>
            </w:rPr>
            <w:fldChar w:fldCharType="begin"/>
          </w:r>
          <w:r>
            <w:rPr>
              <w:color w:val="auto"/>
              <w:highlight w:val="none"/>
            </w:rPr>
            <w:instrText xml:space="preserve"> PAGEREF _Toc21429 \h </w:instrText>
          </w:r>
          <w:r>
            <w:rPr>
              <w:color w:val="auto"/>
              <w:highlight w:val="none"/>
            </w:rPr>
            <w:fldChar w:fldCharType="separate"/>
          </w:r>
          <w:r>
            <w:rPr>
              <w:color w:val="auto"/>
              <w:highlight w:val="none"/>
            </w:rPr>
            <w:t>69</w:t>
          </w:r>
          <w:r>
            <w:rPr>
              <w:color w:val="auto"/>
              <w:highlight w:val="none"/>
            </w:rPr>
            <w:fldChar w:fldCharType="end"/>
          </w:r>
          <w:r>
            <w:rPr>
              <w:color w:val="auto"/>
              <w:highlight w:val="none"/>
            </w:rPr>
            <w:fldChar w:fldCharType="end"/>
          </w:r>
        </w:p>
        <w:p w14:paraId="752CB0E6">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"_Toc14470" </w:instrText>
          </w:r>
          <w:r>
            <w:rPr>
              <w:color w:val="auto"/>
              <w:highlight w:val="none"/>
            </w:rPr>
            <w:fldChar w:fldCharType="separate"/>
          </w:r>
          <w:r>
            <w:rPr>
              <w:rFonts w:hint="eastAsia" w:ascii="宋体" w:hAnsi="宋体" w:eastAsia="宋体"/>
              <w:bCs/>
              <w:snapToGrid/>
              <w:color w:val="auto"/>
              <w:kern w:val="2"/>
              <w:highlight w:val="none"/>
            </w:rPr>
            <w:t>2. 发包人</w:t>
          </w:r>
          <w:r>
            <w:rPr>
              <w:color w:val="auto"/>
              <w:highlight w:val="none"/>
            </w:rPr>
            <w:tab/>
          </w:r>
          <w:r>
            <w:rPr>
              <w:color w:val="auto"/>
              <w:highlight w:val="none"/>
            </w:rPr>
            <w:fldChar w:fldCharType="begin"/>
          </w:r>
          <w:r>
            <w:rPr>
              <w:color w:val="auto"/>
              <w:highlight w:val="none"/>
            </w:rPr>
            <w:instrText xml:space="preserve"> PAGEREF _Toc14470 \h </w:instrText>
          </w:r>
          <w:r>
            <w:rPr>
              <w:color w:val="auto"/>
              <w:highlight w:val="none"/>
            </w:rPr>
            <w:fldChar w:fldCharType="separate"/>
          </w:r>
          <w:r>
            <w:rPr>
              <w:color w:val="auto"/>
              <w:highlight w:val="none"/>
            </w:rPr>
            <w:t>73</w:t>
          </w:r>
          <w:r>
            <w:rPr>
              <w:color w:val="auto"/>
              <w:highlight w:val="none"/>
            </w:rPr>
            <w:fldChar w:fldCharType="end"/>
          </w:r>
          <w:r>
            <w:rPr>
              <w:color w:val="auto"/>
              <w:highlight w:val="none"/>
            </w:rPr>
            <w:fldChar w:fldCharType="end"/>
          </w:r>
        </w:p>
        <w:p w14:paraId="671859E4">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"_Toc7825" </w:instrText>
          </w:r>
          <w:r>
            <w:rPr>
              <w:color w:val="auto"/>
              <w:highlight w:val="none"/>
            </w:rPr>
            <w:fldChar w:fldCharType="separate"/>
          </w:r>
          <w:r>
            <w:rPr>
              <w:rFonts w:hint="eastAsia" w:ascii="宋体" w:hAnsi="宋体" w:eastAsia="宋体"/>
              <w:bCs/>
              <w:snapToGrid/>
              <w:color w:val="auto"/>
              <w:kern w:val="2"/>
              <w:highlight w:val="none"/>
            </w:rPr>
            <w:t>3. 承包人</w:t>
          </w:r>
          <w:r>
            <w:rPr>
              <w:color w:val="auto"/>
              <w:highlight w:val="none"/>
            </w:rPr>
            <w:tab/>
          </w:r>
          <w:r>
            <w:rPr>
              <w:color w:val="auto"/>
              <w:highlight w:val="none"/>
            </w:rPr>
            <w:fldChar w:fldCharType="begin"/>
          </w:r>
          <w:r>
            <w:rPr>
              <w:color w:val="auto"/>
              <w:highlight w:val="none"/>
            </w:rPr>
            <w:instrText xml:space="preserve"> PAGEREF _Toc7825 \h </w:instrText>
          </w:r>
          <w:r>
            <w:rPr>
              <w:color w:val="auto"/>
              <w:highlight w:val="none"/>
            </w:rPr>
            <w:fldChar w:fldCharType="separate"/>
          </w:r>
          <w:r>
            <w:rPr>
              <w:color w:val="auto"/>
              <w:highlight w:val="none"/>
            </w:rPr>
            <w:t>74</w:t>
          </w:r>
          <w:r>
            <w:rPr>
              <w:color w:val="auto"/>
              <w:highlight w:val="none"/>
            </w:rPr>
            <w:fldChar w:fldCharType="end"/>
          </w:r>
          <w:r>
            <w:rPr>
              <w:color w:val="auto"/>
              <w:highlight w:val="none"/>
            </w:rPr>
            <w:fldChar w:fldCharType="end"/>
          </w:r>
        </w:p>
        <w:p w14:paraId="09BFA986">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"_Toc18665" </w:instrText>
          </w:r>
          <w:r>
            <w:rPr>
              <w:color w:val="auto"/>
              <w:highlight w:val="none"/>
            </w:rPr>
            <w:fldChar w:fldCharType="separate"/>
          </w:r>
          <w:r>
            <w:rPr>
              <w:rFonts w:hint="eastAsia" w:ascii="宋体" w:hAnsi="宋体" w:eastAsia="宋体"/>
              <w:bCs/>
              <w:snapToGrid/>
              <w:color w:val="auto"/>
              <w:kern w:val="2"/>
              <w:highlight w:val="none"/>
            </w:rPr>
            <w:t>4. 监理人</w:t>
          </w:r>
          <w:r>
            <w:rPr>
              <w:color w:val="auto"/>
              <w:highlight w:val="none"/>
            </w:rPr>
            <w:tab/>
          </w:r>
          <w:r>
            <w:rPr>
              <w:color w:val="auto"/>
              <w:highlight w:val="none"/>
            </w:rPr>
            <w:fldChar w:fldCharType="begin"/>
          </w:r>
          <w:r>
            <w:rPr>
              <w:color w:val="auto"/>
              <w:highlight w:val="none"/>
            </w:rPr>
            <w:instrText xml:space="preserve"> PAGEREF _Toc18665 \h </w:instrText>
          </w:r>
          <w:r>
            <w:rPr>
              <w:color w:val="auto"/>
              <w:highlight w:val="none"/>
            </w:rPr>
            <w:fldChar w:fldCharType="separate"/>
          </w:r>
          <w:r>
            <w:rPr>
              <w:color w:val="auto"/>
              <w:highlight w:val="none"/>
            </w:rPr>
            <w:t>76</w:t>
          </w:r>
          <w:r>
            <w:rPr>
              <w:color w:val="auto"/>
              <w:highlight w:val="none"/>
            </w:rPr>
            <w:fldChar w:fldCharType="end"/>
          </w:r>
          <w:r>
            <w:rPr>
              <w:color w:val="auto"/>
              <w:highlight w:val="none"/>
            </w:rPr>
            <w:fldChar w:fldCharType="end"/>
          </w:r>
        </w:p>
        <w:p w14:paraId="0AF2AE5B">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"_Toc9900" </w:instrText>
          </w:r>
          <w:r>
            <w:rPr>
              <w:color w:val="auto"/>
              <w:highlight w:val="none"/>
            </w:rPr>
            <w:fldChar w:fldCharType="separate"/>
          </w:r>
          <w:r>
            <w:rPr>
              <w:rFonts w:hint="eastAsia" w:ascii="宋体" w:hAnsi="宋体" w:eastAsia="宋体"/>
              <w:bCs/>
              <w:snapToGrid/>
              <w:color w:val="auto"/>
              <w:kern w:val="2"/>
              <w:highlight w:val="none"/>
            </w:rPr>
            <w:t>5. 工程质量</w:t>
          </w:r>
          <w:r>
            <w:rPr>
              <w:color w:val="auto"/>
              <w:highlight w:val="none"/>
            </w:rPr>
            <w:tab/>
          </w:r>
          <w:r>
            <w:rPr>
              <w:color w:val="auto"/>
              <w:highlight w:val="none"/>
            </w:rPr>
            <w:fldChar w:fldCharType="begin"/>
          </w:r>
          <w:r>
            <w:rPr>
              <w:color w:val="auto"/>
              <w:highlight w:val="none"/>
            </w:rPr>
            <w:instrText xml:space="preserve"> PAGEREF _Toc9900 \h </w:instrText>
          </w:r>
          <w:r>
            <w:rPr>
              <w:color w:val="auto"/>
              <w:highlight w:val="none"/>
            </w:rPr>
            <w:fldChar w:fldCharType="separate"/>
          </w:r>
          <w:r>
            <w:rPr>
              <w:color w:val="auto"/>
              <w:highlight w:val="none"/>
            </w:rPr>
            <w:t>77</w:t>
          </w:r>
          <w:r>
            <w:rPr>
              <w:color w:val="auto"/>
              <w:highlight w:val="none"/>
            </w:rPr>
            <w:fldChar w:fldCharType="end"/>
          </w:r>
          <w:r>
            <w:rPr>
              <w:color w:val="auto"/>
              <w:highlight w:val="none"/>
            </w:rPr>
            <w:fldChar w:fldCharType="end"/>
          </w:r>
        </w:p>
        <w:p w14:paraId="3FDA6B39">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"_Toc24688" </w:instrText>
          </w:r>
          <w:r>
            <w:rPr>
              <w:color w:val="auto"/>
              <w:highlight w:val="none"/>
            </w:rPr>
            <w:fldChar w:fldCharType="separate"/>
          </w:r>
          <w:r>
            <w:rPr>
              <w:rFonts w:hint="eastAsia" w:ascii="宋体" w:hAnsi="宋体" w:eastAsia="宋体"/>
              <w:bCs/>
              <w:snapToGrid/>
              <w:color w:val="auto"/>
              <w:kern w:val="2"/>
              <w:highlight w:val="none"/>
            </w:rPr>
            <w:t>6. 安全文明施工与环境保护</w:t>
          </w:r>
          <w:r>
            <w:rPr>
              <w:color w:val="auto"/>
              <w:highlight w:val="none"/>
            </w:rPr>
            <w:tab/>
          </w:r>
          <w:r>
            <w:rPr>
              <w:color w:val="auto"/>
              <w:highlight w:val="none"/>
            </w:rPr>
            <w:fldChar w:fldCharType="begin"/>
          </w:r>
          <w:r>
            <w:rPr>
              <w:color w:val="auto"/>
              <w:highlight w:val="none"/>
            </w:rPr>
            <w:instrText xml:space="preserve"> PAGEREF _Toc24688 \h </w:instrText>
          </w:r>
          <w:r>
            <w:rPr>
              <w:color w:val="auto"/>
              <w:highlight w:val="none"/>
            </w:rPr>
            <w:fldChar w:fldCharType="separate"/>
          </w:r>
          <w:r>
            <w:rPr>
              <w:color w:val="auto"/>
              <w:highlight w:val="none"/>
            </w:rPr>
            <w:t>77</w:t>
          </w:r>
          <w:r>
            <w:rPr>
              <w:color w:val="auto"/>
              <w:highlight w:val="none"/>
            </w:rPr>
            <w:fldChar w:fldCharType="end"/>
          </w:r>
          <w:r>
            <w:rPr>
              <w:color w:val="auto"/>
              <w:highlight w:val="none"/>
            </w:rPr>
            <w:fldChar w:fldCharType="end"/>
          </w:r>
        </w:p>
        <w:p w14:paraId="069E6166">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"_Toc15789" </w:instrText>
          </w:r>
          <w:r>
            <w:rPr>
              <w:color w:val="auto"/>
              <w:highlight w:val="none"/>
            </w:rPr>
            <w:fldChar w:fldCharType="separate"/>
          </w:r>
          <w:r>
            <w:rPr>
              <w:rFonts w:hint="eastAsia" w:ascii="宋体" w:hAnsi="宋体" w:eastAsia="宋体"/>
              <w:bCs/>
              <w:snapToGrid/>
              <w:color w:val="auto"/>
              <w:kern w:val="2"/>
              <w:highlight w:val="none"/>
            </w:rPr>
            <w:t>7. 工期和进度</w:t>
          </w:r>
          <w:r>
            <w:rPr>
              <w:color w:val="auto"/>
              <w:highlight w:val="none"/>
            </w:rPr>
            <w:tab/>
          </w:r>
          <w:r>
            <w:rPr>
              <w:color w:val="auto"/>
              <w:highlight w:val="none"/>
            </w:rPr>
            <w:fldChar w:fldCharType="begin"/>
          </w:r>
          <w:r>
            <w:rPr>
              <w:color w:val="auto"/>
              <w:highlight w:val="none"/>
            </w:rPr>
            <w:instrText xml:space="preserve"> PAGEREF _Toc15789 \h </w:instrText>
          </w:r>
          <w:r>
            <w:rPr>
              <w:color w:val="auto"/>
              <w:highlight w:val="none"/>
            </w:rPr>
            <w:fldChar w:fldCharType="separate"/>
          </w:r>
          <w:r>
            <w:rPr>
              <w:color w:val="auto"/>
              <w:highlight w:val="none"/>
            </w:rPr>
            <w:t>78</w:t>
          </w:r>
          <w:r>
            <w:rPr>
              <w:color w:val="auto"/>
              <w:highlight w:val="none"/>
            </w:rPr>
            <w:fldChar w:fldCharType="end"/>
          </w:r>
          <w:r>
            <w:rPr>
              <w:color w:val="auto"/>
              <w:highlight w:val="none"/>
            </w:rPr>
            <w:fldChar w:fldCharType="end"/>
          </w:r>
        </w:p>
        <w:p w14:paraId="5B857DE9">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"_Toc15179" </w:instrText>
          </w:r>
          <w:r>
            <w:rPr>
              <w:color w:val="auto"/>
              <w:highlight w:val="none"/>
            </w:rPr>
            <w:fldChar w:fldCharType="separate"/>
          </w:r>
          <w:r>
            <w:rPr>
              <w:rFonts w:hint="eastAsia" w:ascii="宋体" w:hAnsi="宋体" w:eastAsia="宋体"/>
              <w:bCs/>
              <w:snapToGrid/>
              <w:color w:val="auto"/>
              <w:kern w:val="2"/>
              <w:highlight w:val="none"/>
            </w:rPr>
            <w:t>8. 材料与设备</w:t>
          </w:r>
          <w:r>
            <w:rPr>
              <w:color w:val="auto"/>
              <w:highlight w:val="none"/>
            </w:rPr>
            <w:tab/>
          </w:r>
          <w:r>
            <w:rPr>
              <w:color w:val="auto"/>
              <w:highlight w:val="none"/>
            </w:rPr>
            <w:fldChar w:fldCharType="begin"/>
          </w:r>
          <w:r>
            <w:rPr>
              <w:color w:val="auto"/>
              <w:highlight w:val="none"/>
            </w:rPr>
            <w:instrText xml:space="preserve"> PAGEREF _Toc15179 \h </w:instrText>
          </w:r>
          <w:r>
            <w:rPr>
              <w:color w:val="auto"/>
              <w:highlight w:val="none"/>
            </w:rPr>
            <w:fldChar w:fldCharType="separate"/>
          </w:r>
          <w:r>
            <w:rPr>
              <w:color w:val="auto"/>
              <w:highlight w:val="none"/>
            </w:rPr>
            <w:t>79</w:t>
          </w:r>
          <w:r>
            <w:rPr>
              <w:color w:val="auto"/>
              <w:highlight w:val="none"/>
            </w:rPr>
            <w:fldChar w:fldCharType="end"/>
          </w:r>
          <w:r>
            <w:rPr>
              <w:color w:val="auto"/>
              <w:highlight w:val="none"/>
            </w:rPr>
            <w:fldChar w:fldCharType="end"/>
          </w:r>
        </w:p>
        <w:p w14:paraId="19CE6FDB">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"_Toc9117" </w:instrText>
          </w:r>
          <w:r>
            <w:rPr>
              <w:color w:val="auto"/>
              <w:highlight w:val="none"/>
            </w:rPr>
            <w:fldChar w:fldCharType="separate"/>
          </w:r>
          <w:r>
            <w:rPr>
              <w:rFonts w:hint="eastAsia" w:ascii="宋体" w:hAnsi="宋体" w:eastAsia="宋体"/>
              <w:bCs/>
              <w:snapToGrid/>
              <w:color w:val="auto"/>
              <w:kern w:val="2"/>
              <w:highlight w:val="none"/>
            </w:rPr>
            <w:t>9. 试验与检验</w:t>
          </w:r>
          <w:r>
            <w:rPr>
              <w:color w:val="auto"/>
              <w:highlight w:val="none"/>
            </w:rPr>
            <w:tab/>
          </w:r>
          <w:r>
            <w:rPr>
              <w:color w:val="auto"/>
              <w:highlight w:val="none"/>
            </w:rPr>
            <w:fldChar w:fldCharType="begin"/>
          </w:r>
          <w:r>
            <w:rPr>
              <w:color w:val="auto"/>
              <w:highlight w:val="none"/>
            </w:rPr>
            <w:instrText xml:space="preserve"> PAGEREF _Toc9117 \h </w:instrText>
          </w:r>
          <w:r>
            <w:rPr>
              <w:color w:val="auto"/>
              <w:highlight w:val="none"/>
            </w:rPr>
            <w:fldChar w:fldCharType="separate"/>
          </w:r>
          <w:r>
            <w:rPr>
              <w:color w:val="auto"/>
              <w:highlight w:val="none"/>
            </w:rPr>
            <w:t>79</w:t>
          </w:r>
          <w:r>
            <w:rPr>
              <w:color w:val="auto"/>
              <w:highlight w:val="none"/>
            </w:rPr>
            <w:fldChar w:fldCharType="end"/>
          </w:r>
          <w:r>
            <w:rPr>
              <w:color w:val="auto"/>
              <w:highlight w:val="none"/>
            </w:rPr>
            <w:fldChar w:fldCharType="end"/>
          </w:r>
        </w:p>
        <w:p w14:paraId="6895322D">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"_Toc9107" </w:instrText>
          </w:r>
          <w:r>
            <w:rPr>
              <w:color w:val="auto"/>
              <w:highlight w:val="none"/>
            </w:rPr>
            <w:fldChar w:fldCharType="separate"/>
          </w:r>
          <w:r>
            <w:rPr>
              <w:rFonts w:hint="eastAsia" w:ascii="宋体" w:hAnsi="宋体" w:eastAsia="宋体"/>
              <w:bCs/>
              <w:snapToGrid/>
              <w:color w:val="auto"/>
              <w:kern w:val="2"/>
              <w:highlight w:val="none"/>
            </w:rPr>
            <w:t>10. 变更</w:t>
          </w:r>
          <w:r>
            <w:rPr>
              <w:color w:val="auto"/>
              <w:highlight w:val="none"/>
            </w:rPr>
            <w:tab/>
          </w:r>
          <w:r>
            <w:rPr>
              <w:color w:val="auto"/>
              <w:highlight w:val="none"/>
            </w:rPr>
            <w:fldChar w:fldCharType="begin"/>
          </w:r>
          <w:r>
            <w:rPr>
              <w:color w:val="auto"/>
              <w:highlight w:val="none"/>
            </w:rPr>
            <w:instrText xml:space="preserve"> PAGEREF _Toc9107 \h </w:instrText>
          </w:r>
          <w:r>
            <w:rPr>
              <w:color w:val="auto"/>
              <w:highlight w:val="none"/>
            </w:rPr>
            <w:fldChar w:fldCharType="separate"/>
          </w:r>
          <w:r>
            <w:rPr>
              <w:color w:val="auto"/>
              <w:highlight w:val="none"/>
            </w:rPr>
            <w:t>80</w:t>
          </w:r>
          <w:r>
            <w:rPr>
              <w:color w:val="auto"/>
              <w:highlight w:val="none"/>
            </w:rPr>
            <w:fldChar w:fldCharType="end"/>
          </w:r>
          <w:r>
            <w:rPr>
              <w:color w:val="auto"/>
              <w:highlight w:val="none"/>
            </w:rPr>
            <w:fldChar w:fldCharType="end"/>
          </w:r>
        </w:p>
        <w:p w14:paraId="47688B4F">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"_Toc9119" </w:instrText>
          </w:r>
          <w:r>
            <w:rPr>
              <w:color w:val="auto"/>
              <w:highlight w:val="none"/>
            </w:rPr>
            <w:fldChar w:fldCharType="separate"/>
          </w:r>
          <w:r>
            <w:rPr>
              <w:rFonts w:hint="eastAsia" w:ascii="宋体" w:hAnsi="宋体" w:eastAsia="宋体"/>
              <w:bCs/>
              <w:snapToGrid/>
              <w:color w:val="auto"/>
              <w:kern w:val="2"/>
              <w:highlight w:val="none"/>
            </w:rPr>
            <w:t>11. 价格调整</w:t>
          </w:r>
          <w:r>
            <w:rPr>
              <w:color w:val="auto"/>
              <w:highlight w:val="none"/>
            </w:rPr>
            <w:tab/>
          </w:r>
          <w:r>
            <w:rPr>
              <w:color w:val="auto"/>
              <w:highlight w:val="none"/>
            </w:rPr>
            <w:fldChar w:fldCharType="begin"/>
          </w:r>
          <w:r>
            <w:rPr>
              <w:color w:val="auto"/>
              <w:highlight w:val="none"/>
            </w:rPr>
            <w:instrText xml:space="preserve"> PAGEREF _Toc9119 \h </w:instrText>
          </w:r>
          <w:r>
            <w:rPr>
              <w:color w:val="auto"/>
              <w:highlight w:val="none"/>
            </w:rPr>
            <w:fldChar w:fldCharType="separate"/>
          </w:r>
          <w:r>
            <w:rPr>
              <w:color w:val="auto"/>
              <w:highlight w:val="none"/>
            </w:rPr>
            <w:t>81</w:t>
          </w:r>
          <w:r>
            <w:rPr>
              <w:color w:val="auto"/>
              <w:highlight w:val="none"/>
            </w:rPr>
            <w:fldChar w:fldCharType="end"/>
          </w:r>
          <w:r>
            <w:rPr>
              <w:color w:val="auto"/>
              <w:highlight w:val="none"/>
            </w:rPr>
            <w:fldChar w:fldCharType="end"/>
          </w:r>
        </w:p>
        <w:p w14:paraId="33A04687">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"_Toc25501" </w:instrText>
          </w:r>
          <w:r>
            <w:rPr>
              <w:color w:val="auto"/>
              <w:highlight w:val="none"/>
            </w:rPr>
            <w:fldChar w:fldCharType="separate"/>
          </w:r>
          <w:r>
            <w:rPr>
              <w:rFonts w:hint="eastAsia" w:ascii="宋体" w:hAnsi="宋体" w:eastAsia="宋体"/>
              <w:bCs/>
              <w:snapToGrid/>
              <w:color w:val="auto"/>
              <w:kern w:val="2"/>
              <w:highlight w:val="none"/>
            </w:rPr>
            <w:t>12. 合同价格、计量与支付</w:t>
          </w:r>
          <w:r>
            <w:rPr>
              <w:color w:val="auto"/>
              <w:highlight w:val="none"/>
            </w:rPr>
            <w:tab/>
          </w:r>
          <w:r>
            <w:rPr>
              <w:color w:val="auto"/>
              <w:highlight w:val="none"/>
            </w:rPr>
            <w:fldChar w:fldCharType="begin"/>
          </w:r>
          <w:r>
            <w:rPr>
              <w:color w:val="auto"/>
              <w:highlight w:val="none"/>
            </w:rPr>
            <w:instrText xml:space="preserve"> PAGEREF _Toc25501 \h </w:instrText>
          </w:r>
          <w:r>
            <w:rPr>
              <w:color w:val="auto"/>
              <w:highlight w:val="none"/>
            </w:rPr>
            <w:fldChar w:fldCharType="separate"/>
          </w:r>
          <w:r>
            <w:rPr>
              <w:color w:val="auto"/>
              <w:highlight w:val="none"/>
            </w:rPr>
            <w:t>85</w:t>
          </w:r>
          <w:r>
            <w:rPr>
              <w:color w:val="auto"/>
              <w:highlight w:val="none"/>
            </w:rPr>
            <w:fldChar w:fldCharType="end"/>
          </w:r>
          <w:r>
            <w:rPr>
              <w:color w:val="auto"/>
              <w:highlight w:val="none"/>
            </w:rPr>
            <w:fldChar w:fldCharType="end"/>
          </w:r>
        </w:p>
        <w:p w14:paraId="03F0F204">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"_Toc25453" </w:instrText>
          </w:r>
          <w:r>
            <w:rPr>
              <w:color w:val="auto"/>
              <w:highlight w:val="none"/>
            </w:rPr>
            <w:fldChar w:fldCharType="separate"/>
          </w:r>
          <w:r>
            <w:rPr>
              <w:rFonts w:hint="eastAsia" w:ascii="宋体" w:hAnsi="宋体" w:eastAsia="宋体" w:cs="宋体"/>
              <w:snapToGrid/>
              <w:color w:val="auto"/>
              <w:kern w:val="2"/>
              <w:highlight w:val="none"/>
            </w:rPr>
            <w:t>12.1  合同价格形式</w:t>
          </w:r>
          <w:r>
            <w:rPr>
              <w:color w:val="auto"/>
              <w:highlight w:val="none"/>
            </w:rPr>
            <w:tab/>
          </w:r>
          <w:r>
            <w:rPr>
              <w:color w:val="auto"/>
              <w:highlight w:val="none"/>
            </w:rPr>
            <w:fldChar w:fldCharType="begin"/>
          </w:r>
          <w:r>
            <w:rPr>
              <w:color w:val="auto"/>
              <w:highlight w:val="none"/>
            </w:rPr>
            <w:instrText xml:space="preserve"> PAGEREF _Toc25453 \h </w:instrText>
          </w:r>
          <w:r>
            <w:rPr>
              <w:color w:val="auto"/>
              <w:highlight w:val="none"/>
            </w:rPr>
            <w:fldChar w:fldCharType="separate"/>
          </w:r>
          <w:r>
            <w:rPr>
              <w:color w:val="auto"/>
              <w:highlight w:val="none"/>
            </w:rPr>
            <w:t>85</w:t>
          </w:r>
          <w:r>
            <w:rPr>
              <w:color w:val="auto"/>
              <w:highlight w:val="none"/>
            </w:rPr>
            <w:fldChar w:fldCharType="end"/>
          </w:r>
          <w:r>
            <w:rPr>
              <w:color w:val="auto"/>
              <w:highlight w:val="none"/>
            </w:rPr>
            <w:fldChar w:fldCharType="end"/>
          </w:r>
        </w:p>
        <w:p w14:paraId="11C65A1D">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"_Toc24269" </w:instrText>
          </w:r>
          <w:r>
            <w:rPr>
              <w:color w:val="auto"/>
              <w:highlight w:val="none"/>
            </w:rPr>
            <w:fldChar w:fldCharType="separate"/>
          </w:r>
          <w:r>
            <w:rPr>
              <w:rFonts w:hint="eastAsia" w:ascii="宋体" w:hAnsi="宋体" w:eastAsia="宋体" w:cs="宋体"/>
              <w:snapToGrid/>
              <w:color w:val="auto"/>
              <w:kern w:val="2"/>
              <w:highlight w:val="none"/>
            </w:rPr>
            <w:t>12.2  预付款</w:t>
          </w:r>
          <w:r>
            <w:rPr>
              <w:color w:val="auto"/>
              <w:highlight w:val="none"/>
            </w:rPr>
            <w:tab/>
          </w:r>
          <w:r>
            <w:rPr>
              <w:color w:val="auto"/>
              <w:highlight w:val="none"/>
            </w:rPr>
            <w:fldChar w:fldCharType="begin"/>
          </w:r>
          <w:r>
            <w:rPr>
              <w:color w:val="auto"/>
              <w:highlight w:val="none"/>
            </w:rPr>
            <w:instrText xml:space="preserve"> PAGEREF _Toc24269 \h </w:instrText>
          </w:r>
          <w:r>
            <w:rPr>
              <w:color w:val="auto"/>
              <w:highlight w:val="none"/>
            </w:rPr>
            <w:fldChar w:fldCharType="separate"/>
          </w:r>
          <w:r>
            <w:rPr>
              <w:color w:val="auto"/>
              <w:highlight w:val="none"/>
            </w:rPr>
            <w:t>86</w:t>
          </w:r>
          <w:r>
            <w:rPr>
              <w:color w:val="auto"/>
              <w:highlight w:val="none"/>
            </w:rPr>
            <w:fldChar w:fldCharType="end"/>
          </w:r>
          <w:r>
            <w:rPr>
              <w:color w:val="auto"/>
              <w:highlight w:val="none"/>
            </w:rPr>
            <w:fldChar w:fldCharType="end"/>
          </w:r>
        </w:p>
        <w:p w14:paraId="717856B4">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"_Toc26025" </w:instrText>
          </w:r>
          <w:r>
            <w:rPr>
              <w:color w:val="auto"/>
              <w:highlight w:val="none"/>
            </w:rPr>
            <w:fldChar w:fldCharType="separate"/>
          </w:r>
          <w:r>
            <w:rPr>
              <w:rFonts w:hint="eastAsia" w:ascii="宋体" w:hAnsi="宋体" w:eastAsia="宋体" w:cs="宋体"/>
              <w:snapToGrid/>
              <w:color w:val="auto"/>
              <w:kern w:val="2"/>
              <w:highlight w:val="none"/>
            </w:rPr>
            <w:t>12.3  计量</w:t>
          </w:r>
          <w:r>
            <w:rPr>
              <w:color w:val="auto"/>
              <w:highlight w:val="none"/>
            </w:rPr>
            <w:tab/>
          </w:r>
          <w:r>
            <w:rPr>
              <w:color w:val="auto"/>
              <w:highlight w:val="none"/>
            </w:rPr>
            <w:fldChar w:fldCharType="begin"/>
          </w:r>
          <w:r>
            <w:rPr>
              <w:color w:val="auto"/>
              <w:highlight w:val="none"/>
            </w:rPr>
            <w:instrText xml:space="preserve"> PAGEREF _Toc26025 \h </w:instrText>
          </w:r>
          <w:r>
            <w:rPr>
              <w:color w:val="auto"/>
              <w:highlight w:val="none"/>
            </w:rPr>
            <w:fldChar w:fldCharType="separate"/>
          </w:r>
          <w:r>
            <w:rPr>
              <w:color w:val="auto"/>
              <w:highlight w:val="none"/>
            </w:rPr>
            <w:t>86</w:t>
          </w:r>
          <w:r>
            <w:rPr>
              <w:color w:val="auto"/>
              <w:highlight w:val="none"/>
            </w:rPr>
            <w:fldChar w:fldCharType="end"/>
          </w:r>
          <w:r>
            <w:rPr>
              <w:color w:val="auto"/>
              <w:highlight w:val="none"/>
            </w:rPr>
            <w:fldChar w:fldCharType="end"/>
          </w:r>
        </w:p>
        <w:p w14:paraId="76F6B37D">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"_Toc26854" </w:instrText>
          </w:r>
          <w:r>
            <w:rPr>
              <w:color w:val="auto"/>
              <w:highlight w:val="none"/>
            </w:rPr>
            <w:fldChar w:fldCharType="separate"/>
          </w:r>
          <w:r>
            <w:rPr>
              <w:rFonts w:hint="eastAsia" w:ascii="宋体" w:hAnsi="宋体" w:eastAsia="宋体" w:cs="宋体"/>
              <w:snapToGrid/>
              <w:color w:val="auto"/>
              <w:kern w:val="2"/>
              <w:highlight w:val="none"/>
            </w:rPr>
            <w:t>12.4  工程进度款支付</w:t>
          </w:r>
          <w:r>
            <w:rPr>
              <w:color w:val="auto"/>
              <w:highlight w:val="none"/>
            </w:rPr>
            <w:tab/>
          </w:r>
          <w:r>
            <w:rPr>
              <w:color w:val="auto"/>
              <w:highlight w:val="none"/>
            </w:rPr>
            <w:fldChar w:fldCharType="begin"/>
          </w:r>
          <w:r>
            <w:rPr>
              <w:color w:val="auto"/>
              <w:highlight w:val="none"/>
            </w:rPr>
            <w:instrText xml:space="preserve"> PAGEREF _Toc26854 \h </w:instrText>
          </w:r>
          <w:r>
            <w:rPr>
              <w:color w:val="auto"/>
              <w:highlight w:val="none"/>
            </w:rPr>
            <w:fldChar w:fldCharType="separate"/>
          </w:r>
          <w:r>
            <w:rPr>
              <w:color w:val="auto"/>
              <w:highlight w:val="none"/>
            </w:rPr>
            <w:t>87</w:t>
          </w:r>
          <w:r>
            <w:rPr>
              <w:color w:val="auto"/>
              <w:highlight w:val="none"/>
            </w:rPr>
            <w:fldChar w:fldCharType="end"/>
          </w:r>
          <w:r>
            <w:rPr>
              <w:color w:val="auto"/>
              <w:highlight w:val="none"/>
            </w:rPr>
            <w:fldChar w:fldCharType="end"/>
          </w:r>
        </w:p>
        <w:p w14:paraId="69A4E7EC">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"_Toc29200" </w:instrText>
          </w:r>
          <w:r>
            <w:rPr>
              <w:color w:val="auto"/>
              <w:highlight w:val="none"/>
            </w:rPr>
            <w:fldChar w:fldCharType="separate"/>
          </w:r>
          <w:r>
            <w:rPr>
              <w:rFonts w:hint="eastAsia" w:ascii="宋体" w:hAnsi="宋体" w:eastAsia="宋体"/>
              <w:bCs/>
              <w:snapToGrid/>
              <w:color w:val="auto"/>
              <w:kern w:val="2"/>
              <w:highlight w:val="none"/>
            </w:rPr>
            <w:t>13. 验收和工程试车</w:t>
          </w:r>
          <w:r>
            <w:rPr>
              <w:color w:val="auto"/>
              <w:highlight w:val="none"/>
            </w:rPr>
            <w:tab/>
          </w:r>
          <w:r>
            <w:rPr>
              <w:color w:val="auto"/>
              <w:highlight w:val="none"/>
            </w:rPr>
            <w:fldChar w:fldCharType="begin"/>
          </w:r>
          <w:r>
            <w:rPr>
              <w:color w:val="auto"/>
              <w:highlight w:val="none"/>
            </w:rPr>
            <w:instrText xml:space="preserve"> PAGEREF _Toc29200 \h </w:instrText>
          </w:r>
          <w:r>
            <w:rPr>
              <w:color w:val="auto"/>
              <w:highlight w:val="none"/>
            </w:rPr>
            <w:fldChar w:fldCharType="separate"/>
          </w:r>
          <w:r>
            <w:rPr>
              <w:color w:val="auto"/>
              <w:highlight w:val="none"/>
            </w:rPr>
            <w:t>89</w:t>
          </w:r>
          <w:r>
            <w:rPr>
              <w:color w:val="auto"/>
              <w:highlight w:val="none"/>
            </w:rPr>
            <w:fldChar w:fldCharType="end"/>
          </w:r>
          <w:r>
            <w:rPr>
              <w:color w:val="auto"/>
              <w:highlight w:val="none"/>
            </w:rPr>
            <w:fldChar w:fldCharType="end"/>
          </w:r>
        </w:p>
        <w:p w14:paraId="305D828C">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"_Toc4660" </w:instrText>
          </w:r>
          <w:r>
            <w:rPr>
              <w:color w:val="auto"/>
              <w:highlight w:val="none"/>
            </w:rPr>
            <w:fldChar w:fldCharType="separate"/>
          </w:r>
          <w:r>
            <w:rPr>
              <w:rFonts w:hint="eastAsia" w:ascii="宋体" w:hAnsi="宋体" w:eastAsia="宋体"/>
              <w:bCs/>
              <w:snapToGrid/>
              <w:color w:val="auto"/>
              <w:kern w:val="2"/>
              <w:highlight w:val="none"/>
            </w:rPr>
            <w:t>14. 竣工结算</w:t>
          </w:r>
          <w:r>
            <w:rPr>
              <w:color w:val="auto"/>
              <w:highlight w:val="none"/>
            </w:rPr>
            <w:tab/>
          </w:r>
          <w:r>
            <w:rPr>
              <w:color w:val="auto"/>
              <w:highlight w:val="none"/>
            </w:rPr>
            <w:fldChar w:fldCharType="begin"/>
          </w:r>
          <w:r>
            <w:rPr>
              <w:color w:val="auto"/>
              <w:highlight w:val="none"/>
            </w:rPr>
            <w:instrText xml:space="preserve"> PAGEREF _Toc4660 \h </w:instrText>
          </w:r>
          <w:r>
            <w:rPr>
              <w:color w:val="auto"/>
              <w:highlight w:val="none"/>
            </w:rPr>
            <w:fldChar w:fldCharType="separate"/>
          </w:r>
          <w:r>
            <w:rPr>
              <w:color w:val="auto"/>
              <w:highlight w:val="none"/>
            </w:rPr>
            <w:t>89</w:t>
          </w:r>
          <w:r>
            <w:rPr>
              <w:color w:val="auto"/>
              <w:highlight w:val="none"/>
            </w:rPr>
            <w:fldChar w:fldCharType="end"/>
          </w:r>
          <w:r>
            <w:rPr>
              <w:color w:val="auto"/>
              <w:highlight w:val="none"/>
            </w:rPr>
            <w:fldChar w:fldCharType="end"/>
          </w:r>
        </w:p>
        <w:p w14:paraId="489688CD">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"_Toc14739" </w:instrText>
          </w:r>
          <w:r>
            <w:rPr>
              <w:color w:val="auto"/>
              <w:highlight w:val="none"/>
            </w:rPr>
            <w:fldChar w:fldCharType="separate"/>
          </w:r>
          <w:r>
            <w:rPr>
              <w:rFonts w:hint="eastAsia" w:ascii="宋体" w:hAnsi="宋体" w:eastAsia="宋体" w:cs="宋体"/>
              <w:snapToGrid/>
              <w:color w:val="auto"/>
              <w:kern w:val="2"/>
              <w:highlight w:val="none"/>
            </w:rPr>
            <w:t>14.3.1  最终结清申请单</w:t>
          </w:r>
          <w:r>
            <w:rPr>
              <w:color w:val="auto"/>
              <w:highlight w:val="none"/>
            </w:rPr>
            <w:tab/>
          </w:r>
          <w:r>
            <w:rPr>
              <w:color w:val="auto"/>
              <w:highlight w:val="none"/>
            </w:rPr>
            <w:fldChar w:fldCharType="begin"/>
          </w:r>
          <w:r>
            <w:rPr>
              <w:color w:val="auto"/>
              <w:highlight w:val="none"/>
            </w:rPr>
            <w:instrText xml:space="preserve"> PAGEREF _Toc14739 \h </w:instrText>
          </w:r>
          <w:r>
            <w:rPr>
              <w:color w:val="auto"/>
              <w:highlight w:val="none"/>
            </w:rPr>
            <w:fldChar w:fldCharType="separate"/>
          </w:r>
          <w:r>
            <w:rPr>
              <w:color w:val="auto"/>
              <w:highlight w:val="none"/>
            </w:rPr>
            <w:t>90</w:t>
          </w:r>
          <w:r>
            <w:rPr>
              <w:color w:val="auto"/>
              <w:highlight w:val="none"/>
            </w:rPr>
            <w:fldChar w:fldCharType="end"/>
          </w:r>
          <w:r>
            <w:rPr>
              <w:color w:val="auto"/>
              <w:highlight w:val="none"/>
            </w:rPr>
            <w:fldChar w:fldCharType="end"/>
          </w:r>
        </w:p>
        <w:p w14:paraId="0394113F">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"_Toc11523" </w:instrText>
          </w:r>
          <w:r>
            <w:rPr>
              <w:color w:val="auto"/>
              <w:highlight w:val="none"/>
            </w:rPr>
            <w:fldChar w:fldCharType="separate"/>
          </w:r>
          <w:r>
            <w:rPr>
              <w:rFonts w:hint="eastAsia" w:ascii="宋体" w:hAnsi="宋体" w:eastAsia="宋体" w:cs="宋体"/>
              <w:snapToGrid/>
              <w:color w:val="auto"/>
              <w:kern w:val="2"/>
              <w:highlight w:val="none"/>
            </w:rPr>
            <w:t>14.3.2  最终结清证书和支付</w:t>
          </w:r>
          <w:r>
            <w:rPr>
              <w:color w:val="auto"/>
              <w:highlight w:val="none"/>
            </w:rPr>
            <w:tab/>
          </w:r>
          <w:r>
            <w:rPr>
              <w:color w:val="auto"/>
              <w:highlight w:val="none"/>
            </w:rPr>
            <w:fldChar w:fldCharType="begin"/>
          </w:r>
          <w:r>
            <w:rPr>
              <w:color w:val="auto"/>
              <w:highlight w:val="none"/>
            </w:rPr>
            <w:instrText xml:space="preserve"> PAGEREF _Toc11523 \h </w:instrText>
          </w:r>
          <w:r>
            <w:rPr>
              <w:color w:val="auto"/>
              <w:highlight w:val="none"/>
            </w:rPr>
            <w:fldChar w:fldCharType="separate"/>
          </w:r>
          <w:r>
            <w:rPr>
              <w:color w:val="auto"/>
              <w:highlight w:val="none"/>
            </w:rPr>
            <w:t>90</w:t>
          </w:r>
          <w:r>
            <w:rPr>
              <w:color w:val="auto"/>
              <w:highlight w:val="none"/>
            </w:rPr>
            <w:fldChar w:fldCharType="end"/>
          </w:r>
          <w:r>
            <w:rPr>
              <w:color w:val="auto"/>
              <w:highlight w:val="none"/>
            </w:rPr>
            <w:fldChar w:fldCharType="end"/>
          </w:r>
        </w:p>
        <w:p w14:paraId="490501CC">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"_Toc21305" </w:instrText>
          </w:r>
          <w:r>
            <w:rPr>
              <w:color w:val="auto"/>
              <w:highlight w:val="none"/>
            </w:rPr>
            <w:fldChar w:fldCharType="separate"/>
          </w:r>
          <w:r>
            <w:rPr>
              <w:rFonts w:hint="eastAsia" w:ascii="宋体" w:hAnsi="宋体" w:eastAsia="宋体"/>
              <w:bCs/>
              <w:snapToGrid/>
              <w:color w:val="auto"/>
              <w:kern w:val="2"/>
              <w:highlight w:val="none"/>
            </w:rPr>
            <w:t>15. 缺陷责任期与保修</w:t>
          </w:r>
          <w:r>
            <w:rPr>
              <w:color w:val="auto"/>
              <w:highlight w:val="none"/>
            </w:rPr>
            <w:tab/>
          </w:r>
          <w:r>
            <w:rPr>
              <w:color w:val="auto"/>
              <w:highlight w:val="none"/>
            </w:rPr>
            <w:fldChar w:fldCharType="begin"/>
          </w:r>
          <w:r>
            <w:rPr>
              <w:color w:val="auto"/>
              <w:highlight w:val="none"/>
            </w:rPr>
            <w:instrText xml:space="preserve"> PAGEREF _Toc21305 \h </w:instrText>
          </w:r>
          <w:r>
            <w:rPr>
              <w:color w:val="auto"/>
              <w:highlight w:val="none"/>
            </w:rPr>
            <w:fldChar w:fldCharType="separate"/>
          </w:r>
          <w:r>
            <w:rPr>
              <w:color w:val="auto"/>
              <w:highlight w:val="none"/>
            </w:rPr>
            <w:t>91</w:t>
          </w:r>
          <w:r>
            <w:rPr>
              <w:color w:val="auto"/>
              <w:highlight w:val="none"/>
            </w:rPr>
            <w:fldChar w:fldCharType="end"/>
          </w:r>
          <w:r>
            <w:rPr>
              <w:color w:val="auto"/>
              <w:highlight w:val="none"/>
            </w:rPr>
            <w:fldChar w:fldCharType="end"/>
          </w:r>
        </w:p>
        <w:p w14:paraId="6354099E">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"_Toc26481" </w:instrText>
          </w:r>
          <w:r>
            <w:rPr>
              <w:color w:val="auto"/>
              <w:highlight w:val="none"/>
            </w:rPr>
            <w:fldChar w:fldCharType="separate"/>
          </w:r>
          <w:r>
            <w:rPr>
              <w:rFonts w:hint="eastAsia" w:ascii="宋体" w:hAnsi="宋体" w:eastAsia="宋体"/>
              <w:bCs/>
              <w:snapToGrid/>
              <w:color w:val="auto"/>
              <w:kern w:val="2"/>
              <w:highlight w:val="none"/>
            </w:rPr>
            <w:t>16. 违约</w:t>
          </w:r>
          <w:r>
            <w:rPr>
              <w:color w:val="auto"/>
              <w:highlight w:val="none"/>
            </w:rPr>
            <w:tab/>
          </w:r>
          <w:r>
            <w:rPr>
              <w:color w:val="auto"/>
              <w:highlight w:val="none"/>
            </w:rPr>
            <w:fldChar w:fldCharType="begin"/>
          </w:r>
          <w:r>
            <w:rPr>
              <w:color w:val="auto"/>
              <w:highlight w:val="none"/>
            </w:rPr>
            <w:instrText xml:space="preserve"> PAGEREF _Toc26481 \h </w:instrText>
          </w:r>
          <w:r>
            <w:rPr>
              <w:color w:val="auto"/>
              <w:highlight w:val="none"/>
            </w:rPr>
            <w:fldChar w:fldCharType="separate"/>
          </w:r>
          <w:r>
            <w:rPr>
              <w:color w:val="auto"/>
              <w:highlight w:val="none"/>
            </w:rPr>
            <w:t>91</w:t>
          </w:r>
          <w:r>
            <w:rPr>
              <w:color w:val="auto"/>
              <w:highlight w:val="none"/>
            </w:rPr>
            <w:fldChar w:fldCharType="end"/>
          </w:r>
          <w:r>
            <w:rPr>
              <w:color w:val="auto"/>
              <w:highlight w:val="none"/>
            </w:rPr>
            <w:fldChar w:fldCharType="end"/>
          </w:r>
        </w:p>
        <w:p w14:paraId="5CB0A0EC">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"_Toc15597" </w:instrText>
          </w:r>
          <w:r>
            <w:rPr>
              <w:color w:val="auto"/>
              <w:highlight w:val="none"/>
            </w:rPr>
            <w:fldChar w:fldCharType="separate"/>
          </w:r>
          <w:r>
            <w:rPr>
              <w:rFonts w:hint="eastAsia" w:ascii="宋体" w:hAnsi="宋体" w:eastAsia="宋体" w:cs="宋体"/>
              <w:snapToGrid/>
              <w:color w:val="auto"/>
              <w:kern w:val="2"/>
              <w:highlight w:val="none"/>
            </w:rPr>
            <w:t>16.1  发包人违约</w:t>
          </w:r>
          <w:r>
            <w:rPr>
              <w:color w:val="auto"/>
              <w:highlight w:val="none"/>
            </w:rPr>
            <w:tab/>
          </w:r>
          <w:r>
            <w:rPr>
              <w:color w:val="auto"/>
              <w:highlight w:val="none"/>
            </w:rPr>
            <w:fldChar w:fldCharType="begin"/>
          </w:r>
          <w:r>
            <w:rPr>
              <w:color w:val="auto"/>
              <w:highlight w:val="none"/>
            </w:rPr>
            <w:instrText xml:space="preserve"> PAGEREF _Toc15597 \h </w:instrText>
          </w:r>
          <w:r>
            <w:rPr>
              <w:color w:val="auto"/>
              <w:highlight w:val="none"/>
            </w:rPr>
            <w:fldChar w:fldCharType="separate"/>
          </w:r>
          <w:r>
            <w:rPr>
              <w:color w:val="auto"/>
              <w:highlight w:val="none"/>
            </w:rPr>
            <w:t>91</w:t>
          </w:r>
          <w:r>
            <w:rPr>
              <w:color w:val="auto"/>
              <w:highlight w:val="none"/>
            </w:rPr>
            <w:fldChar w:fldCharType="end"/>
          </w:r>
          <w:r>
            <w:rPr>
              <w:color w:val="auto"/>
              <w:highlight w:val="none"/>
            </w:rPr>
            <w:fldChar w:fldCharType="end"/>
          </w:r>
        </w:p>
        <w:p w14:paraId="15276BA9">
          <w:pPr>
            <w:pStyle w:val="9"/>
            <w:tabs>
              <w:tab w:val="right" w:leader="dot" w:pos="9073"/>
            </w:tabs>
            <w:rPr>
              <w:color w:val="auto"/>
              <w:highlight w:val="none"/>
            </w:rPr>
          </w:pPr>
          <w:r>
            <w:rPr>
              <w:color w:val="auto"/>
              <w:highlight w:val="none"/>
            </w:rPr>
            <w:fldChar w:fldCharType="begin"/>
          </w:r>
          <w:r>
            <w:rPr>
              <w:color w:val="auto"/>
              <w:highlight w:val="none"/>
            </w:rPr>
            <w:instrText xml:space="preserve"> HYPERLINK \l "_Toc20993" </w:instrText>
          </w:r>
          <w:r>
            <w:rPr>
              <w:color w:val="auto"/>
              <w:highlight w:val="none"/>
            </w:rPr>
            <w:fldChar w:fldCharType="separate"/>
          </w:r>
          <w:r>
            <w:rPr>
              <w:rFonts w:hint="eastAsia" w:ascii="宋体" w:hAnsi="宋体" w:eastAsia="宋体" w:cs="宋体"/>
              <w:snapToGrid/>
              <w:color w:val="auto"/>
              <w:kern w:val="2"/>
              <w:highlight w:val="none"/>
            </w:rPr>
            <w:t>16.2  承包人违约</w:t>
          </w:r>
          <w:r>
            <w:rPr>
              <w:color w:val="auto"/>
              <w:highlight w:val="none"/>
            </w:rPr>
            <w:tab/>
          </w:r>
          <w:r>
            <w:rPr>
              <w:color w:val="auto"/>
              <w:highlight w:val="none"/>
            </w:rPr>
            <w:fldChar w:fldCharType="begin"/>
          </w:r>
          <w:r>
            <w:rPr>
              <w:color w:val="auto"/>
              <w:highlight w:val="none"/>
            </w:rPr>
            <w:instrText xml:space="preserve"> PAGEREF _Toc20993 \h </w:instrText>
          </w:r>
          <w:r>
            <w:rPr>
              <w:color w:val="auto"/>
              <w:highlight w:val="none"/>
            </w:rPr>
            <w:fldChar w:fldCharType="separate"/>
          </w:r>
          <w:r>
            <w:rPr>
              <w:color w:val="auto"/>
              <w:highlight w:val="none"/>
            </w:rPr>
            <w:t>92</w:t>
          </w:r>
          <w:r>
            <w:rPr>
              <w:color w:val="auto"/>
              <w:highlight w:val="none"/>
            </w:rPr>
            <w:fldChar w:fldCharType="end"/>
          </w:r>
          <w:r>
            <w:rPr>
              <w:color w:val="auto"/>
              <w:highlight w:val="none"/>
            </w:rPr>
            <w:fldChar w:fldCharType="end"/>
          </w:r>
        </w:p>
        <w:p w14:paraId="7210AA01">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"_Toc11865" </w:instrText>
          </w:r>
          <w:r>
            <w:rPr>
              <w:color w:val="auto"/>
              <w:highlight w:val="none"/>
            </w:rPr>
            <w:fldChar w:fldCharType="separate"/>
          </w:r>
          <w:r>
            <w:rPr>
              <w:rFonts w:hint="eastAsia" w:ascii="宋体" w:hAnsi="宋体" w:eastAsia="宋体"/>
              <w:bCs/>
              <w:snapToGrid/>
              <w:color w:val="auto"/>
              <w:kern w:val="2"/>
              <w:highlight w:val="none"/>
            </w:rPr>
            <w:t>17. 不可抗力</w:t>
          </w:r>
          <w:r>
            <w:rPr>
              <w:color w:val="auto"/>
              <w:highlight w:val="none"/>
            </w:rPr>
            <w:tab/>
          </w:r>
          <w:r>
            <w:rPr>
              <w:color w:val="auto"/>
              <w:highlight w:val="none"/>
            </w:rPr>
            <w:fldChar w:fldCharType="begin"/>
          </w:r>
          <w:r>
            <w:rPr>
              <w:color w:val="auto"/>
              <w:highlight w:val="none"/>
            </w:rPr>
            <w:instrText xml:space="preserve"> PAGEREF _Toc11865 \h </w:instrText>
          </w:r>
          <w:r>
            <w:rPr>
              <w:color w:val="auto"/>
              <w:highlight w:val="none"/>
            </w:rPr>
            <w:fldChar w:fldCharType="separate"/>
          </w:r>
          <w:r>
            <w:rPr>
              <w:color w:val="auto"/>
              <w:highlight w:val="none"/>
            </w:rPr>
            <w:t>96</w:t>
          </w:r>
          <w:r>
            <w:rPr>
              <w:color w:val="auto"/>
              <w:highlight w:val="none"/>
            </w:rPr>
            <w:fldChar w:fldCharType="end"/>
          </w:r>
          <w:r>
            <w:rPr>
              <w:color w:val="auto"/>
              <w:highlight w:val="none"/>
            </w:rPr>
            <w:fldChar w:fldCharType="end"/>
          </w:r>
        </w:p>
        <w:p w14:paraId="48D6008B">
          <w:pPr>
            <w:pStyle w:val="14"/>
            <w:tabs>
              <w:tab w:val="right" w:leader="dot" w:pos="9073"/>
            </w:tabs>
            <w:rPr>
              <w:color w:val="auto"/>
              <w:highlight w:val="none"/>
            </w:rPr>
          </w:pPr>
          <w:r>
            <w:rPr>
              <w:color w:val="auto"/>
              <w:highlight w:val="none"/>
            </w:rPr>
            <w:fldChar w:fldCharType="begin"/>
          </w:r>
          <w:r>
            <w:rPr>
              <w:color w:val="auto"/>
              <w:highlight w:val="none"/>
            </w:rPr>
            <w:instrText xml:space="preserve"> HYPERLINK \l "_Toc29190" </w:instrText>
          </w:r>
          <w:r>
            <w:rPr>
              <w:color w:val="auto"/>
              <w:highlight w:val="none"/>
            </w:rPr>
            <w:fldChar w:fldCharType="separate"/>
          </w:r>
          <w:r>
            <w:rPr>
              <w:rFonts w:hint="eastAsia" w:ascii="宋体" w:hAnsi="宋体" w:eastAsia="宋体"/>
              <w:bCs/>
              <w:snapToGrid/>
              <w:color w:val="auto"/>
              <w:kern w:val="2"/>
              <w:highlight w:val="none"/>
            </w:rPr>
            <w:t>18. 保险</w:t>
          </w:r>
          <w:r>
            <w:rPr>
              <w:color w:val="auto"/>
              <w:highlight w:val="none"/>
            </w:rPr>
            <w:tab/>
          </w:r>
          <w:r>
            <w:rPr>
              <w:color w:val="auto"/>
              <w:highlight w:val="none"/>
            </w:rPr>
            <w:fldChar w:fldCharType="begin"/>
          </w:r>
          <w:r>
            <w:rPr>
              <w:color w:val="auto"/>
              <w:highlight w:val="none"/>
            </w:rPr>
            <w:instrText xml:space="preserve"> PAGEREF _Toc29190 \h </w:instrText>
          </w:r>
          <w:r>
            <w:rPr>
              <w:color w:val="auto"/>
              <w:highlight w:val="none"/>
            </w:rPr>
            <w:fldChar w:fldCharType="separate"/>
          </w:r>
          <w:r>
            <w:rPr>
              <w:color w:val="auto"/>
              <w:highlight w:val="none"/>
            </w:rPr>
            <w:t>96</w:t>
          </w:r>
          <w:r>
            <w:rPr>
              <w:color w:val="auto"/>
              <w:highlight w:val="none"/>
            </w:rPr>
            <w:fldChar w:fldCharType="end"/>
          </w:r>
          <w:r>
            <w:rPr>
              <w:color w:val="auto"/>
              <w:highlight w:val="none"/>
            </w:rPr>
            <w:fldChar w:fldCharType="end"/>
          </w:r>
        </w:p>
        <w:p w14:paraId="3BE4F225">
          <w:pPr>
            <w:pStyle w:val="9"/>
            <w:tabs>
              <w:tab w:val="right" w:leader="dot" w:pos="9073"/>
            </w:tabs>
            <w:ind w:left="0" w:leftChars="0" w:firstLine="420" w:firstLineChars="200"/>
            <w:rPr>
              <w:color w:val="auto"/>
              <w:highlight w:val="none"/>
            </w:rPr>
          </w:pPr>
          <w:r>
            <w:rPr>
              <w:color w:val="auto"/>
              <w:highlight w:val="none"/>
            </w:rPr>
            <w:fldChar w:fldCharType="begin"/>
          </w:r>
          <w:r>
            <w:rPr>
              <w:color w:val="auto"/>
              <w:highlight w:val="none"/>
            </w:rPr>
            <w:instrText xml:space="preserve"> HYPERLINK \l "_Toc23187" </w:instrText>
          </w:r>
          <w:r>
            <w:rPr>
              <w:color w:val="auto"/>
              <w:highlight w:val="none"/>
            </w:rPr>
            <w:fldChar w:fldCharType="separate"/>
          </w:r>
          <w:r>
            <w:rPr>
              <w:rFonts w:hint="eastAsia" w:ascii="宋体" w:hAnsi="宋体" w:eastAsia="宋体"/>
              <w:bCs/>
              <w:snapToGrid/>
              <w:color w:val="auto"/>
              <w:kern w:val="2"/>
              <w:highlight w:val="none"/>
            </w:rPr>
            <w:t>20. 争议解决</w:t>
          </w:r>
          <w:r>
            <w:rPr>
              <w:color w:val="auto"/>
              <w:highlight w:val="none"/>
            </w:rPr>
            <w:tab/>
          </w:r>
          <w:r>
            <w:rPr>
              <w:color w:val="auto"/>
              <w:highlight w:val="none"/>
            </w:rPr>
            <w:fldChar w:fldCharType="begin"/>
          </w:r>
          <w:r>
            <w:rPr>
              <w:color w:val="auto"/>
              <w:highlight w:val="none"/>
            </w:rPr>
            <w:instrText xml:space="preserve"> PAGEREF _Toc23187 \h </w:instrText>
          </w:r>
          <w:r>
            <w:rPr>
              <w:color w:val="auto"/>
              <w:highlight w:val="none"/>
            </w:rPr>
            <w:fldChar w:fldCharType="separate"/>
          </w:r>
          <w:r>
            <w:rPr>
              <w:color w:val="auto"/>
              <w:highlight w:val="none"/>
            </w:rPr>
            <w:t>97</w:t>
          </w:r>
          <w:r>
            <w:rPr>
              <w:color w:val="auto"/>
              <w:highlight w:val="none"/>
            </w:rPr>
            <w:fldChar w:fldCharType="end"/>
          </w:r>
          <w:r>
            <w:rPr>
              <w:color w:val="auto"/>
              <w:highlight w:val="none"/>
            </w:rPr>
            <w:fldChar w:fldCharType="end"/>
          </w:r>
        </w:p>
        <w:p w14:paraId="376B4451">
          <w:pPr>
            <w:pStyle w:val="13"/>
            <w:tabs>
              <w:tab w:val="right" w:leader="dot" w:pos="9073"/>
            </w:tabs>
            <w:ind w:firstLine="420" w:firstLineChars="200"/>
            <w:rPr>
              <w:color w:val="auto"/>
              <w:highlight w:val="none"/>
            </w:rPr>
          </w:pPr>
          <w:r>
            <w:rPr>
              <w:color w:val="auto"/>
              <w:highlight w:val="none"/>
            </w:rPr>
            <w:fldChar w:fldCharType="begin"/>
          </w:r>
          <w:r>
            <w:rPr>
              <w:color w:val="auto"/>
              <w:highlight w:val="none"/>
            </w:rPr>
            <w:instrText xml:space="preserve"> HYPERLINK \l "_Toc24256" </w:instrText>
          </w:r>
          <w:r>
            <w:rPr>
              <w:color w:val="auto"/>
              <w:highlight w:val="none"/>
            </w:rPr>
            <w:fldChar w:fldCharType="separate"/>
          </w:r>
          <w:r>
            <w:rPr>
              <w:rFonts w:hint="eastAsia" w:ascii="宋体" w:hAnsi="宋体" w:eastAsia="宋体" w:cs="宋体"/>
              <w:color w:val="auto"/>
              <w:szCs w:val="24"/>
              <w:highlight w:val="none"/>
            </w:rPr>
            <w:t>附件 1：工程质量保修书</w:t>
          </w:r>
          <w:r>
            <w:rPr>
              <w:color w:val="auto"/>
              <w:highlight w:val="none"/>
            </w:rPr>
            <w:tab/>
          </w:r>
          <w:r>
            <w:rPr>
              <w:color w:val="auto"/>
              <w:highlight w:val="none"/>
            </w:rPr>
            <w:fldChar w:fldCharType="begin"/>
          </w:r>
          <w:r>
            <w:rPr>
              <w:color w:val="auto"/>
              <w:highlight w:val="none"/>
            </w:rPr>
            <w:instrText xml:space="preserve"> PAGEREF _Toc24256 \h </w:instrText>
          </w:r>
          <w:r>
            <w:rPr>
              <w:color w:val="auto"/>
              <w:highlight w:val="none"/>
            </w:rPr>
            <w:fldChar w:fldCharType="separate"/>
          </w:r>
          <w:r>
            <w:rPr>
              <w:color w:val="auto"/>
              <w:highlight w:val="none"/>
            </w:rPr>
            <w:t>98</w:t>
          </w:r>
          <w:r>
            <w:rPr>
              <w:color w:val="auto"/>
              <w:highlight w:val="none"/>
            </w:rPr>
            <w:fldChar w:fldCharType="end"/>
          </w:r>
          <w:r>
            <w:rPr>
              <w:color w:val="auto"/>
              <w:highlight w:val="none"/>
            </w:rPr>
            <w:fldChar w:fldCharType="end"/>
          </w:r>
        </w:p>
        <w:p w14:paraId="4CA656DF">
          <w:pPr>
            <w:pStyle w:val="13"/>
            <w:tabs>
              <w:tab w:val="right" w:leader="dot" w:pos="9073"/>
            </w:tabs>
            <w:ind w:firstLine="420" w:firstLineChars="200"/>
            <w:rPr>
              <w:color w:val="auto"/>
              <w:highlight w:val="none"/>
            </w:rPr>
          </w:pPr>
          <w:r>
            <w:rPr>
              <w:color w:val="auto"/>
              <w:highlight w:val="none"/>
            </w:rPr>
            <w:fldChar w:fldCharType="begin"/>
          </w:r>
          <w:r>
            <w:rPr>
              <w:color w:val="auto"/>
              <w:highlight w:val="none"/>
            </w:rPr>
            <w:instrText xml:space="preserve"> HYPERLINK \l "_Toc24745" </w:instrText>
          </w:r>
          <w:r>
            <w:rPr>
              <w:color w:val="auto"/>
              <w:highlight w:val="none"/>
            </w:rPr>
            <w:fldChar w:fldCharType="separate"/>
          </w:r>
          <w:r>
            <w:rPr>
              <w:rFonts w:hint="eastAsia" w:ascii="宋体" w:hAnsi="宋体" w:eastAsia="宋体" w:cs="宋体"/>
              <w:color w:val="auto"/>
              <w:szCs w:val="24"/>
              <w:highlight w:val="none"/>
            </w:rPr>
            <w:t>附件 2：阳光合作协议</w:t>
          </w:r>
          <w:r>
            <w:rPr>
              <w:color w:val="auto"/>
              <w:highlight w:val="none"/>
            </w:rPr>
            <w:tab/>
          </w:r>
          <w:r>
            <w:rPr>
              <w:color w:val="auto"/>
              <w:highlight w:val="none"/>
            </w:rPr>
            <w:fldChar w:fldCharType="begin"/>
          </w:r>
          <w:r>
            <w:rPr>
              <w:color w:val="auto"/>
              <w:highlight w:val="none"/>
            </w:rPr>
            <w:instrText xml:space="preserve"> PAGEREF _Toc24745 \h </w:instrText>
          </w:r>
          <w:r>
            <w:rPr>
              <w:color w:val="auto"/>
              <w:highlight w:val="none"/>
            </w:rPr>
            <w:fldChar w:fldCharType="separate"/>
          </w:r>
          <w:r>
            <w:rPr>
              <w:color w:val="auto"/>
              <w:highlight w:val="none"/>
            </w:rPr>
            <w:t>100</w:t>
          </w:r>
          <w:r>
            <w:rPr>
              <w:color w:val="auto"/>
              <w:highlight w:val="none"/>
            </w:rPr>
            <w:fldChar w:fldCharType="end"/>
          </w:r>
          <w:r>
            <w:rPr>
              <w:color w:val="auto"/>
              <w:highlight w:val="none"/>
            </w:rPr>
            <w:fldChar w:fldCharType="end"/>
          </w:r>
        </w:p>
        <w:p w14:paraId="247B4721">
          <w:pPr>
            <w:pStyle w:val="13"/>
            <w:tabs>
              <w:tab w:val="right" w:leader="dot" w:pos="9073"/>
            </w:tabs>
            <w:rPr>
              <w:color w:val="auto"/>
              <w:highlight w:val="none"/>
            </w:rPr>
          </w:pPr>
        </w:p>
        <w:p w14:paraId="4A7EF8EE">
          <w:pPr>
            <w:rPr>
              <w:rFonts w:ascii="宋体" w:hAnsi="宋体" w:eastAsia="宋体" w:cs="宋体"/>
              <w:color w:val="auto"/>
              <w:highlight w:val="none"/>
            </w:rPr>
            <w:sectPr>
              <w:footerReference r:id="rId5" w:type="default"/>
              <w:pgSz w:w="11907" w:h="16839"/>
              <w:pgMar w:top="1417" w:right="1417" w:bottom="1417" w:left="1417" w:header="0" w:footer="992" w:gutter="0"/>
              <w:cols w:space="0" w:num="1"/>
            </w:sectPr>
          </w:pPr>
          <w:r>
            <w:rPr>
              <w:rFonts w:ascii="宋体" w:hAnsi="宋体" w:eastAsia="宋体" w:cs="宋体"/>
              <w:color w:val="auto"/>
              <w:highlight w:val="none"/>
            </w:rPr>
            <w:fldChar w:fldCharType="end"/>
          </w:r>
        </w:p>
      </w:sdtContent>
    </w:sdt>
    <w:p w14:paraId="0FFD691E">
      <w:pPr>
        <w:numPr>
          <w:ilvl w:val="0"/>
          <w:numId w:val="1"/>
        </w:numPr>
        <w:spacing w:before="162" w:line="219" w:lineRule="auto"/>
        <w:ind w:left="2988"/>
        <w:outlineLvl w:val="0"/>
        <w:rPr>
          <w:rFonts w:ascii="宋体" w:hAnsi="宋体" w:eastAsia="宋体" w:cs="宋体"/>
          <w:b/>
          <w:bCs/>
          <w:color w:val="auto"/>
          <w:spacing w:val="-1"/>
          <w:sz w:val="30"/>
          <w:szCs w:val="30"/>
          <w:highlight w:val="none"/>
        </w:rPr>
      </w:pPr>
      <w:bookmarkStart w:id="40" w:name="_Toc6340"/>
      <w:bookmarkStart w:id="41" w:name="_Toc13401"/>
      <w:bookmarkStart w:id="42" w:name="_Toc6334"/>
      <w:bookmarkStart w:id="43" w:name="_Toc27684"/>
      <w:bookmarkStart w:id="44" w:name="_Toc9787"/>
      <w:r>
        <w:rPr>
          <w:rFonts w:hint="eastAsia" w:ascii="宋体" w:hAnsi="宋体" w:eastAsia="宋体" w:cs="宋体"/>
          <w:b/>
          <w:bCs/>
          <w:color w:val="auto"/>
          <w:spacing w:val="-1"/>
          <w:sz w:val="30"/>
          <w:szCs w:val="30"/>
          <w:highlight w:val="none"/>
        </w:rPr>
        <w:t>合同协议书</w:t>
      </w:r>
      <w:bookmarkEnd w:id="40"/>
      <w:bookmarkEnd w:id="41"/>
      <w:bookmarkEnd w:id="42"/>
      <w:bookmarkEnd w:id="43"/>
      <w:bookmarkEnd w:id="44"/>
    </w:p>
    <w:p w14:paraId="10CF49C7">
      <w:pPr>
        <w:pStyle w:val="5"/>
        <w:rPr>
          <w:color w:val="auto"/>
          <w:highlight w:val="none"/>
        </w:rPr>
      </w:pPr>
    </w:p>
    <w:p w14:paraId="5C0FA640">
      <w:pPr>
        <w:widowControl w:val="0"/>
        <w:kinsoku/>
        <w:autoSpaceDE/>
        <w:autoSpaceDN/>
        <w:adjustRightInd/>
        <w:snapToGrid/>
        <w:spacing w:line="360" w:lineRule="auto"/>
        <w:jc w:val="both"/>
        <w:textAlignment w:val="auto"/>
        <w:rPr>
          <w:rFonts w:ascii="宋体" w:hAnsi="宋体" w:eastAsia="宋体" w:cs="宋体"/>
          <w:b/>
          <w:snapToGrid/>
          <w:color w:val="auto"/>
          <w:kern w:val="2"/>
          <w:highlight w:val="none"/>
        </w:rPr>
      </w:pPr>
      <w:bookmarkStart w:id="45" w:name="_bookmark2"/>
      <w:bookmarkEnd w:id="45"/>
      <w:bookmarkStart w:id="46" w:name="_Toc23712"/>
      <w:bookmarkStart w:id="47" w:name="_Toc8609"/>
      <w:bookmarkStart w:id="48" w:name="_Toc25851"/>
      <w:bookmarkStart w:id="49" w:name="_Toc20522"/>
      <w:bookmarkStart w:id="50" w:name="_Toc29993"/>
      <w:r>
        <w:rPr>
          <w:rFonts w:hint="eastAsia" w:ascii="宋体" w:hAnsi="宋体" w:eastAsia="宋体" w:cs="宋体"/>
          <w:b/>
          <w:snapToGrid/>
          <w:color w:val="auto"/>
          <w:kern w:val="2"/>
          <w:highlight w:val="none"/>
        </w:rPr>
        <w:t>发包人(全称)：</w:t>
      </w:r>
      <w:bookmarkEnd w:id="46"/>
      <w:bookmarkEnd w:id="47"/>
      <w:bookmarkEnd w:id="48"/>
      <w:bookmarkEnd w:id="49"/>
      <w:bookmarkEnd w:id="50"/>
      <w:r>
        <w:rPr>
          <w:rFonts w:hint="eastAsia" w:ascii="宋体" w:hAnsi="宋体" w:eastAsia="宋体" w:cs="宋体"/>
          <w:b/>
          <w:snapToGrid/>
          <w:color w:val="auto"/>
          <w:kern w:val="2"/>
          <w:highlight w:val="none"/>
          <w:u w:val="single"/>
        </w:rPr>
        <w:t>东莞市安居建设投资有限公司</w:t>
      </w:r>
    </w:p>
    <w:p w14:paraId="6A4CFDA2">
      <w:pPr>
        <w:widowControl w:val="0"/>
        <w:kinsoku/>
        <w:autoSpaceDE/>
        <w:autoSpaceDN/>
        <w:adjustRightInd/>
        <w:snapToGrid/>
        <w:spacing w:line="360" w:lineRule="auto"/>
        <w:jc w:val="both"/>
        <w:textAlignment w:val="auto"/>
        <w:rPr>
          <w:rFonts w:ascii="宋体" w:hAnsi="宋体" w:eastAsia="宋体" w:cs="宋体"/>
          <w:b/>
          <w:snapToGrid/>
          <w:color w:val="auto"/>
          <w:kern w:val="2"/>
          <w:highlight w:val="none"/>
        </w:rPr>
      </w:pPr>
      <w:bookmarkStart w:id="51" w:name="_Toc66"/>
      <w:bookmarkStart w:id="52" w:name="_Toc4249"/>
      <w:bookmarkStart w:id="53" w:name="_Toc1621"/>
      <w:bookmarkStart w:id="54" w:name="_Toc23339"/>
      <w:r>
        <w:rPr>
          <w:rFonts w:hint="eastAsia" w:ascii="宋体" w:hAnsi="宋体" w:eastAsia="宋体" w:cs="宋体"/>
          <w:b/>
          <w:snapToGrid/>
          <w:color w:val="auto"/>
          <w:kern w:val="2"/>
          <w:highlight w:val="none"/>
        </w:rPr>
        <w:t>承包人(全称)：</w:t>
      </w:r>
      <w:bookmarkEnd w:id="51"/>
      <w:bookmarkEnd w:id="52"/>
      <w:bookmarkEnd w:id="53"/>
      <w:bookmarkEnd w:id="54"/>
      <w:r>
        <w:rPr>
          <w:rFonts w:hint="eastAsia" w:ascii="宋体" w:hAnsi="宋体" w:eastAsia="宋体" w:cs="宋体"/>
          <w:b/>
          <w:snapToGrid/>
          <w:color w:val="auto"/>
          <w:kern w:val="2"/>
          <w:highlight w:val="none"/>
          <w:u w:val="single"/>
        </w:rPr>
        <w:t xml:space="preserve">                       </w:t>
      </w:r>
      <w:r>
        <w:rPr>
          <w:rFonts w:hint="eastAsia" w:ascii="宋体" w:hAnsi="宋体" w:eastAsia="宋体" w:cs="宋体"/>
          <w:b/>
          <w:snapToGrid/>
          <w:color w:val="auto"/>
          <w:kern w:val="2"/>
          <w:highlight w:val="none"/>
        </w:rPr>
        <w:t xml:space="preserve">                            </w:t>
      </w:r>
    </w:p>
    <w:p w14:paraId="01C40454">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根据《中华人民共和国民法典》、《中华人民共和国建筑法》及有关法律规定， 遵循平等、自愿、公平和诚实信用的原则， 双方就</w:t>
      </w:r>
      <w:r>
        <w:rPr>
          <w:rFonts w:hint="eastAsia" w:ascii="宋体" w:hAnsi="宋体" w:eastAsia="宋体" w:cs="宋体"/>
          <w:snapToGrid/>
          <w:color w:val="auto"/>
          <w:kern w:val="2"/>
          <w:highlight w:val="none"/>
          <w:u w:val="single"/>
        </w:rPr>
        <w:t xml:space="preserve"> </w:t>
      </w:r>
      <w:r>
        <w:rPr>
          <w:rFonts w:hint="eastAsia" w:ascii="宋体" w:hAnsi="宋体" w:eastAsia="宋体" w:cs="宋体"/>
          <w:bCs/>
          <w:snapToGrid/>
          <w:color w:val="auto"/>
          <w:kern w:val="2"/>
          <w:highlight w:val="none"/>
          <w:u w:val="single"/>
          <w:lang w:eastAsia="zh-CN"/>
        </w:rPr>
        <w:t>东城街道堑头社区居民委员会堑头路13号危旧房改造工程</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及有关事项协商一致，共同达成如下协议：</w:t>
      </w:r>
    </w:p>
    <w:p w14:paraId="01F0735F">
      <w:pPr>
        <w:pStyle w:val="7"/>
        <w:rPr>
          <w:color w:val="auto"/>
          <w:highlight w:val="none"/>
        </w:rPr>
      </w:pPr>
    </w:p>
    <w:p w14:paraId="6974B026">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sz w:val="21"/>
          <w:szCs w:val="21"/>
          <w:highlight w:val="none"/>
        </w:rPr>
      </w:pPr>
      <w:bookmarkStart w:id="55" w:name="_bookmark3"/>
      <w:bookmarkEnd w:id="55"/>
      <w:bookmarkStart w:id="56" w:name="_Toc32422"/>
      <w:bookmarkStart w:id="57" w:name="_Toc14330"/>
      <w:bookmarkStart w:id="58" w:name="_Toc7611"/>
      <w:bookmarkStart w:id="59" w:name="_Toc23831"/>
      <w:bookmarkStart w:id="60" w:name="_Toc13094"/>
      <w:r>
        <w:rPr>
          <w:rFonts w:hint="eastAsia" w:ascii="宋体" w:hAnsi="宋体" w:eastAsia="宋体"/>
          <w:b/>
          <w:bCs/>
          <w:snapToGrid/>
          <w:color w:val="auto"/>
          <w:kern w:val="2"/>
          <w:sz w:val="21"/>
          <w:szCs w:val="21"/>
          <w:highlight w:val="none"/>
        </w:rPr>
        <w:t>一、工程概况</w:t>
      </w:r>
      <w:bookmarkEnd w:id="56"/>
      <w:bookmarkEnd w:id="57"/>
      <w:bookmarkEnd w:id="58"/>
      <w:bookmarkEnd w:id="59"/>
      <w:bookmarkEnd w:id="60"/>
    </w:p>
    <w:p w14:paraId="61654562">
      <w:pPr>
        <w:widowControl w:val="0"/>
        <w:kinsoku/>
        <w:autoSpaceDE/>
        <w:autoSpaceDN/>
        <w:adjustRightInd/>
        <w:snapToGrid/>
        <w:spacing w:line="360" w:lineRule="auto"/>
        <w:ind w:firstLine="411" w:firstLineChars="196"/>
        <w:jc w:val="both"/>
        <w:textAlignment w:val="auto"/>
        <w:rPr>
          <w:rFonts w:hint="eastAsia" w:ascii="宋体" w:hAnsi="宋体" w:eastAsia="宋体" w:cs="宋体"/>
          <w:bCs/>
          <w:snapToGrid/>
          <w:color w:val="auto"/>
          <w:kern w:val="2"/>
          <w:highlight w:val="none"/>
          <w:u w:val="single"/>
          <w:lang w:eastAsia="zh-CN"/>
        </w:rPr>
      </w:pPr>
      <w:r>
        <w:rPr>
          <w:rFonts w:hint="eastAsia" w:ascii="宋体" w:hAnsi="宋体" w:eastAsia="宋体" w:cs="宋体"/>
          <w:bCs/>
          <w:snapToGrid/>
          <w:color w:val="auto"/>
          <w:kern w:val="2"/>
          <w:highlight w:val="none"/>
        </w:rPr>
        <w:t>1.工程名称</w:t>
      </w:r>
      <w:r>
        <w:rPr>
          <w:rFonts w:hint="eastAsia" w:ascii="宋体" w:hAnsi="宋体" w:eastAsia="宋体" w:cs="宋体"/>
          <w:bCs/>
          <w:snapToGrid/>
          <w:color w:val="auto"/>
          <w:kern w:val="2"/>
          <w:highlight w:val="none"/>
          <w:u w:val="single"/>
        </w:rPr>
        <w:t>：</w:t>
      </w:r>
      <w:r>
        <w:rPr>
          <w:rFonts w:hint="eastAsia" w:ascii="宋体" w:hAnsi="宋体" w:eastAsia="宋体" w:cs="宋体"/>
          <w:bCs/>
          <w:snapToGrid/>
          <w:color w:val="auto"/>
          <w:kern w:val="2"/>
          <w:highlight w:val="none"/>
          <w:u w:val="single"/>
          <w:lang w:eastAsia="zh-CN"/>
        </w:rPr>
        <w:t>东城街道堑头社区居民委员会堑头路13号危旧房改造工程</w:t>
      </w:r>
    </w:p>
    <w:p w14:paraId="2F6A3AB6">
      <w:pPr>
        <w:widowControl w:val="0"/>
        <w:kinsoku/>
        <w:autoSpaceDE/>
        <w:autoSpaceDN/>
        <w:adjustRightInd/>
        <w:snapToGrid/>
        <w:spacing w:line="360" w:lineRule="auto"/>
        <w:ind w:firstLine="411" w:firstLineChars="196"/>
        <w:jc w:val="both"/>
        <w:textAlignment w:val="auto"/>
        <w:rPr>
          <w:rFonts w:hint="eastAsia" w:ascii="宋体" w:hAnsi="宋体" w:eastAsia="宋体" w:cs="宋体"/>
          <w:bCs/>
          <w:snapToGrid/>
          <w:color w:val="auto"/>
          <w:kern w:val="2"/>
          <w:highlight w:val="none"/>
          <w:u w:val="single"/>
        </w:rPr>
      </w:pPr>
      <w:r>
        <w:rPr>
          <w:rFonts w:hint="eastAsia" w:ascii="宋体" w:hAnsi="宋体" w:eastAsia="宋体" w:cs="宋体"/>
          <w:bCs/>
          <w:snapToGrid/>
          <w:color w:val="auto"/>
          <w:kern w:val="2"/>
          <w:highlight w:val="none"/>
        </w:rPr>
        <w:t>2.工程地点：</w:t>
      </w:r>
      <w:r>
        <w:rPr>
          <w:rFonts w:hint="eastAsia" w:ascii="宋体" w:hAnsi="宋体" w:eastAsia="宋体" w:cs="宋体"/>
          <w:bCs/>
          <w:snapToGrid/>
          <w:color w:val="auto"/>
          <w:kern w:val="2"/>
          <w:highlight w:val="none"/>
          <w:u w:val="single"/>
        </w:rPr>
        <w:t xml:space="preserve"> 东莞市</w:t>
      </w:r>
      <w:r>
        <w:rPr>
          <w:rFonts w:hint="eastAsia" w:ascii="宋体" w:hAnsi="宋体" w:eastAsia="宋体" w:cs="宋体"/>
          <w:bCs/>
          <w:snapToGrid/>
          <w:color w:val="auto"/>
          <w:kern w:val="2"/>
          <w:highlight w:val="none"/>
          <w:u w:val="single"/>
          <w:lang w:val="en-US" w:eastAsia="zh-CN"/>
        </w:rPr>
        <w:t>东城</w:t>
      </w:r>
      <w:r>
        <w:rPr>
          <w:rFonts w:hint="eastAsia" w:ascii="宋体" w:hAnsi="宋体" w:eastAsia="宋体" w:cs="宋体"/>
          <w:bCs/>
          <w:snapToGrid/>
          <w:color w:val="auto"/>
          <w:kern w:val="2"/>
          <w:highlight w:val="none"/>
          <w:u w:val="single"/>
        </w:rPr>
        <w:t>街道</w:t>
      </w:r>
    </w:p>
    <w:p w14:paraId="0E50300E">
      <w:pPr>
        <w:widowControl w:val="0"/>
        <w:kinsoku/>
        <w:autoSpaceDE/>
        <w:autoSpaceDN/>
        <w:adjustRightInd/>
        <w:snapToGrid/>
        <w:spacing w:line="360" w:lineRule="auto"/>
        <w:ind w:firstLine="411" w:firstLineChars="196"/>
        <w:jc w:val="both"/>
        <w:textAlignment w:val="auto"/>
        <w:rPr>
          <w:rFonts w:ascii="宋体" w:hAnsi="宋体" w:eastAsia="宋体" w:cs="宋体"/>
          <w:bCs/>
          <w:snapToGrid/>
          <w:color w:val="auto"/>
          <w:kern w:val="2"/>
          <w:highlight w:val="none"/>
        </w:rPr>
      </w:pPr>
      <w:r>
        <w:rPr>
          <w:rFonts w:hint="eastAsia" w:ascii="宋体" w:hAnsi="宋体" w:eastAsia="宋体" w:cs="宋体"/>
          <w:bCs/>
          <w:snapToGrid/>
          <w:color w:val="auto"/>
          <w:kern w:val="2"/>
          <w:highlight w:val="none"/>
        </w:rPr>
        <w:t>3. 工程立项批准文号：</w:t>
      </w:r>
      <w:r>
        <w:rPr>
          <w:rFonts w:hint="eastAsia" w:ascii="宋体" w:hAnsi="宋体" w:eastAsia="宋体" w:cs="宋体"/>
          <w:bCs/>
          <w:snapToGrid/>
          <w:color w:val="auto"/>
          <w:kern w:val="2"/>
          <w:highlight w:val="none"/>
          <w:u w:val="single"/>
          <w:lang w:eastAsia="zh-CN"/>
        </w:rPr>
        <w:t>2508-441900-04-05-639546</w:t>
      </w:r>
      <w:r>
        <w:rPr>
          <w:rFonts w:hint="eastAsia" w:ascii="宋体" w:hAnsi="宋体" w:eastAsia="宋体" w:cs="宋体"/>
          <w:bCs/>
          <w:snapToGrid/>
          <w:color w:val="auto"/>
          <w:kern w:val="2"/>
          <w:highlight w:val="none"/>
        </w:rPr>
        <w:t>。</w:t>
      </w:r>
    </w:p>
    <w:p w14:paraId="65CE357F">
      <w:pPr>
        <w:widowControl w:val="0"/>
        <w:kinsoku/>
        <w:autoSpaceDE/>
        <w:autoSpaceDN/>
        <w:adjustRightInd/>
        <w:snapToGrid/>
        <w:spacing w:line="360" w:lineRule="auto"/>
        <w:ind w:firstLine="411" w:firstLineChars="196"/>
        <w:jc w:val="both"/>
        <w:textAlignment w:val="auto"/>
        <w:rPr>
          <w:rFonts w:ascii="宋体" w:hAnsi="宋体" w:eastAsia="宋体" w:cs="宋体"/>
          <w:bCs/>
          <w:snapToGrid/>
          <w:color w:val="auto"/>
          <w:kern w:val="2"/>
          <w:highlight w:val="none"/>
        </w:rPr>
      </w:pPr>
      <w:bookmarkStart w:id="61" w:name="_Toc7303"/>
      <w:bookmarkStart w:id="62" w:name="_Toc30978"/>
      <w:bookmarkStart w:id="63" w:name="_Toc24842"/>
      <w:r>
        <w:rPr>
          <w:rFonts w:hint="eastAsia" w:ascii="宋体" w:hAnsi="宋体" w:eastAsia="宋体" w:cs="宋体"/>
          <w:bCs/>
          <w:snapToGrid/>
          <w:color w:val="auto"/>
          <w:kern w:val="2"/>
          <w:highlight w:val="none"/>
        </w:rPr>
        <w:t>4. 资金来源：</w:t>
      </w:r>
      <w:r>
        <w:rPr>
          <w:rFonts w:hint="eastAsia" w:ascii="宋体" w:hAnsi="宋体" w:eastAsia="宋体" w:cs="宋体"/>
          <w:bCs/>
          <w:snapToGrid/>
          <w:color w:val="auto"/>
          <w:kern w:val="2"/>
          <w:highlight w:val="none"/>
          <w:u w:val="single"/>
        </w:rPr>
        <w:t xml:space="preserve"> 企业自筹。</w:t>
      </w:r>
      <w:bookmarkEnd w:id="61"/>
      <w:bookmarkEnd w:id="62"/>
      <w:bookmarkEnd w:id="63"/>
    </w:p>
    <w:p w14:paraId="3FC08409">
      <w:pPr>
        <w:widowControl w:val="0"/>
        <w:kinsoku/>
        <w:autoSpaceDE/>
        <w:autoSpaceDN/>
        <w:adjustRightInd/>
        <w:snapToGrid/>
        <w:spacing w:line="360" w:lineRule="auto"/>
        <w:ind w:firstLine="411" w:firstLineChars="196"/>
        <w:jc w:val="both"/>
        <w:textAlignment w:val="auto"/>
        <w:rPr>
          <w:rFonts w:ascii="宋体" w:hAnsi="宋体" w:eastAsia="宋体" w:cs="宋体"/>
          <w:bCs/>
          <w:snapToGrid/>
          <w:color w:val="auto"/>
          <w:kern w:val="2"/>
          <w:highlight w:val="none"/>
        </w:rPr>
      </w:pPr>
      <w:r>
        <w:rPr>
          <w:rFonts w:hint="eastAsia" w:ascii="宋体" w:hAnsi="宋体" w:eastAsia="宋体" w:cs="宋体"/>
          <w:bCs/>
          <w:snapToGrid/>
          <w:color w:val="auto"/>
          <w:kern w:val="2"/>
          <w:highlight w:val="none"/>
        </w:rPr>
        <w:t xml:space="preserve">5.工程内容： </w:t>
      </w:r>
      <w:r>
        <w:rPr>
          <w:rFonts w:hint="eastAsia" w:ascii="宋体" w:hAnsi="宋体" w:eastAsia="宋体" w:cs="宋体"/>
          <w:bCs/>
          <w:snapToGrid/>
          <w:color w:val="auto"/>
          <w:kern w:val="2"/>
          <w:highlight w:val="none"/>
          <w:u w:val="single"/>
          <w:lang w:eastAsia="zh-CN"/>
        </w:rPr>
        <w:t>东城街道堑头社区居民委员会堑头路13号危旧房改造工程</w:t>
      </w:r>
      <w:r>
        <w:rPr>
          <w:rFonts w:hint="eastAsia" w:ascii="宋体" w:hAnsi="宋体" w:eastAsia="宋体" w:cs="宋体"/>
          <w:bCs/>
          <w:snapToGrid/>
          <w:color w:val="auto"/>
          <w:kern w:val="2"/>
          <w:highlight w:val="none"/>
        </w:rPr>
        <w:t xml:space="preserve">。 </w:t>
      </w:r>
    </w:p>
    <w:p w14:paraId="0B16BC2E">
      <w:pPr>
        <w:kinsoku/>
        <w:autoSpaceDE/>
        <w:autoSpaceDN/>
        <w:adjustRightInd/>
        <w:snapToGrid/>
        <w:spacing w:line="360" w:lineRule="auto"/>
        <w:ind w:firstLine="420" w:firstLineChars="200"/>
        <w:jc w:val="both"/>
        <w:textAlignment w:val="auto"/>
        <w:rPr>
          <w:rFonts w:ascii="宋体" w:hAnsi="宋体" w:cs="宋体" w:eastAsiaTheme="minorEastAsia"/>
          <w:bCs/>
          <w:snapToGrid/>
          <w:color w:val="auto"/>
          <w:kern w:val="2"/>
          <w:highlight w:val="none"/>
        </w:rPr>
      </w:pPr>
      <w:r>
        <w:rPr>
          <w:rFonts w:hint="eastAsia" w:ascii="宋体" w:hAnsi="宋体" w:eastAsia="宋体" w:cs="宋体"/>
          <w:bCs/>
          <w:snapToGrid/>
          <w:color w:val="auto"/>
          <w:kern w:val="2"/>
          <w:highlight w:val="none"/>
        </w:rPr>
        <w:t>工程规模：</w:t>
      </w:r>
      <w:r>
        <w:rPr>
          <w:rFonts w:hint="eastAsia" w:ascii="华文宋体" w:hAnsi="华文宋体" w:eastAsia="华文宋体" w:cs="华文宋体"/>
          <w:color w:val="auto"/>
          <w:sz w:val="21"/>
          <w:szCs w:val="21"/>
          <w:highlight w:val="none"/>
          <w:u w:val="single"/>
          <w:lang w:val="en-US" w:eastAsia="zh-CN"/>
        </w:rPr>
        <w:t>堑头路13号，对以上建筑城市危旧房改造，建筑总面积约1490.6㎡</w:t>
      </w:r>
      <w:r>
        <w:rPr>
          <w:rFonts w:hint="eastAsia" w:ascii="华文宋体" w:hAnsi="华文宋体" w:eastAsia="华文宋体" w:cs="华文宋体"/>
          <w:color w:val="auto"/>
          <w:highlight w:val="none"/>
          <w:u w:val="single"/>
        </w:rPr>
        <w:t>。</w:t>
      </w:r>
    </w:p>
    <w:p w14:paraId="75774FF3">
      <w:pPr>
        <w:spacing w:line="360" w:lineRule="auto"/>
        <w:ind w:firstLine="420" w:firstLineChars="200"/>
        <w:rPr>
          <w:rFonts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工程承包范围：</w:t>
      </w:r>
      <w:r>
        <w:rPr>
          <w:rFonts w:hint="eastAsia" w:ascii="宋体" w:hAnsi="宋体" w:cs="宋体"/>
          <w:color w:val="auto"/>
          <w:szCs w:val="21"/>
          <w:highlight w:val="none"/>
        </w:rPr>
        <w:t>按招标图纸及工程量清单所含内容，主要包括但不限于：建筑工程、结构工程、给排水工程等。注：</w:t>
      </w:r>
      <w:r>
        <w:rPr>
          <w:rFonts w:hint="eastAsia" w:ascii="宋体" w:hAnsi="宋体"/>
          <w:color w:val="auto"/>
          <w:szCs w:val="21"/>
          <w:highlight w:val="none"/>
          <w:u w:val="single"/>
          <w:lang w:eastAsia="zh-CN"/>
        </w:rPr>
        <w:t>以上</w:t>
      </w:r>
      <w:r>
        <w:rPr>
          <w:rFonts w:hint="eastAsia" w:ascii="宋体" w:hAnsi="宋体"/>
          <w:color w:val="auto"/>
          <w:szCs w:val="21"/>
          <w:highlight w:val="none"/>
          <w:u w:val="single"/>
          <w:lang w:val="en-US" w:eastAsia="zh-CN"/>
        </w:rPr>
        <w:t>采购</w:t>
      </w:r>
      <w:r>
        <w:rPr>
          <w:rFonts w:hint="eastAsia" w:ascii="宋体" w:hAnsi="宋体"/>
          <w:color w:val="auto"/>
          <w:szCs w:val="21"/>
          <w:highlight w:val="none"/>
          <w:u w:val="single"/>
          <w:lang w:eastAsia="zh-CN"/>
        </w:rPr>
        <w:t>范围未尽事宜，详见竞争性谈判文件第</w:t>
      </w:r>
      <w:r>
        <w:rPr>
          <w:rFonts w:hint="eastAsia" w:ascii="宋体" w:hAnsi="宋体"/>
          <w:color w:val="auto"/>
          <w:szCs w:val="21"/>
          <w:highlight w:val="none"/>
          <w:u w:val="single"/>
          <w:lang w:val="en-US" w:eastAsia="zh-CN"/>
        </w:rPr>
        <w:t>四</w:t>
      </w:r>
      <w:r>
        <w:rPr>
          <w:rFonts w:hint="eastAsia" w:ascii="宋体" w:hAnsi="宋体"/>
          <w:color w:val="auto"/>
          <w:szCs w:val="21"/>
          <w:highlight w:val="none"/>
          <w:u w:val="single"/>
          <w:lang w:eastAsia="zh-CN"/>
        </w:rPr>
        <w:t>章《</w:t>
      </w:r>
      <w:r>
        <w:rPr>
          <w:rFonts w:hint="eastAsia" w:ascii="宋体" w:hAnsi="宋体"/>
          <w:color w:val="auto"/>
          <w:szCs w:val="21"/>
          <w:highlight w:val="none"/>
          <w:u w:val="single"/>
          <w:lang w:val="en-US" w:eastAsia="zh-CN"/>
        </w:rPr>
        <w:t>用户需求书/技术规范书</w:t>
      </w:r>
      <w:r>
        <w:rPr>
          <w:rFonts w:hint="eastAsia" w:ascii="宋体" w:hAnsi="宋体"/>
          <w:color w:val="auto"/>
          <w:szCs w:val="21"/>
          <w:highlight w:val="none"/>
          <w:u w:val="single"/>
          <w:lang w:eastAsia="zh-CN"/>
        </w:rPr>
        <w:t>》</w:t>
      </w:r>
      <w:r>
        <w:rPr>
          <w:rFonts w:hint="eastAsia" w:ascii="华文宋体" w:hAnsi="华文宋体" w:eastAsia="华文宋体" w:cs="华文宋体"/>
          <w:b w:val="0"/>
          <w:bCs w:val="0"/>
          <w:color w:val="auto"/>
          <w:sz w:val="21"/>
          <w:szCs w:val="21"/>
          <w:highlight w:val="none"/>
          <w:u w:val="single"/>
        </w:rPr>
        <w:t xml:space="preserve"> </w:t>
      </w:r>
      <w:bookmarkStart w:id="64" w:name="_Toc31571"/>
    </w:p>
    <w:p w14:paraId="2FDCF775">
      <w:pPr>
        <w:rPr>
          <w:color w:val="auto"/>
          <w:highlight w:val="none"/>
        </w:rPr>
      </w:pPr>
    </w:p>
    <w:p w14:paraId="6C048C0B">
      <w:pPr>
        <w:pStyle w:val="22"/>
        <w:widowControl w:val="0"/>
        <w:numPr>
          <w:ilvl w:val="0"/>
          <w:numId w:val="2"/>
        </w:numPr>
        <w:kinsoku/>
        <w:autoSpaceDE/>
        <w:autoSpaceDN/>
        <w:adjustRightInd/>
        <w:snapToGrid/>
        <w:spacing w:line="360" w:lineRule="auto"/>
        <w:jc w:val="both"/>
        <w:textAlignment w:val="auto"/>
        <w:outlineLvl w:val="1"/>
        <w:rPr>
          <w:rFonts w:ascii="宋体" w:hAnsi="宋体" w:eastAsia="宋体"/>
          <w:b/>
          <w:bCs/>
          <w:snapToGrid/>
          <w:color w:val="auto"/>
          <w:kern w:val="2"/>
          <w:sz w:val="21"/>
          <w:szCs w:val="21"/>
          <w:highlight w:val="none"/>
        </w:rPr>
      </w:pPr>
      <w:bookmarkStart w:id="65" w:name="_Toc30342"/>
      <w:bookmarkStart w:id="66" w:name="_Toc24741"/>
      <w:bookmarkStart w:id="67" w:name="_Toc5212"/>
      <w:bookmarkStart w:id="68" w:name="_Toc14449"/>
      <w:r>
        <w:rPr>
          <w:rFonts w:hint="eastAsia" w:ascii="宋体" w:hAnsi="宋体" w:eastAsia="宋体"/>
          <w:b/>
          <w:bCs/>
          <w:snapToGrid/>
          <w:color w:val="auto"/>
          <w:kern w:val="2"/>
          <w:sz w:val="21"/>
          <w:szCs w:val="21"/>
          <w:highlight w:val="none"/>
        </w:rPr>
        <w:t>合同工期</w:t>
      </w:r>
      <w:bookmarkEnd w:id="64"/>
      <w:bookmarkEnd w:id="65"/>
      <w:bookmarkEnd w:id="66"/>
      <w:bookmarkEnd w:id="67"/>
      <w:bookmarkEnd w:id="68"/>
    </w:p>
    <w:p w14:paraId="1EBEF9BF">
      <w:pPr>
        <w:pStyle w:val="22"/>
        <w:widowControl w:val="0"/>
        <w:numPr>
          <w:ilvl w:val="255"/>
          <w:numId w:val="0"/>
        </w:numPr>
        <w:kinsoku/>
        <w:autoSpaceDE/>
        <w:autoSpaceDN/>
        <w:adjustRightInd/>
        <w:snapToGrid/>
        <w:spacing w:line="360" w:lineRule="auto"/>
        <w:jc w:val="both"/>
        <w:textAlignment w:val="auto"/>
        <w:outlineLvl w:val="9"/>
        <w:rPr>
          <w:rFonts w:ascii="宋体" w:hAnsi="宋体" w:eastAsia="宋体"/>
          <w:b/>
          <w:bCs/>
          <w:snapToGrid/>
          <w:color w:val="auto"/>
          <w:kern w:val="2"/>
          <w:sz w:val="21"/>
          <w:szCs w:val="21"/>
          <w:highlight w:val="none"/>
        </w:rPr>
      </w:pPr>
      <w:r>
        <w:rPr>
          <w:rFonts w:hint="eastAsia" w:ascii="宋体" w:hAnsi="宋体" w:eastAsia="宋体"/>
          <w:b/>
          <w:bCs/>
          <w:snapToGrid/>
          <w:color w:val="auto"/>
          <w:kern w:val="2"/>
          <w:sz w:val="21"/>
          <w:szCs w:val="21"/>
          <w:highlight w:val="none"/>
        </w:rPr>
        <w:t xml:space="preserve">    </w:t>
      </w:r>
      <w:bookmarkStart w:id="69" w:name="_Toc16542"/>
      <w:bookmarkStart w:id="70" w:name="_Toc7551"/>
      <w:r>
        <w:rPr>
          <w:rFonts w:hint="eastAsia" w:ascii="宋体" w:hAnsi="宋体" w:eastAsia="宋体"/>
          <w:b/>
          <w:bCs/>
          <w:snapToGrid/>
          <w:color w:val="auto"/>
          <w:kern w:val="2"/>
          <w:sz w:val="21"/>
          <w:szCs w:val="21"/>
          <w:highlight w:val="none"/>
        </w:rPr>
        <w:t>总工期为</w:t>
      </w:r>
      <w:r>
        <w:rPr>
          <w:rFonts w:hint="eastAsia" w:ascii="宋体" w:hAnsi="宋体" w:eastAsia="宋体"/>
          <w:b/>
          <w:bCs/>
          <w:snapToGrid/>
          <w:color w:val="auto"/>
          <w:kern w:val="2"/>
          <w:sz w:val="21"/>
          <w:szCs w:val="21"/>
          <w:highlight w:val="none"/>
          <w:u w:val="single"/>
        </w:rPr>
        <w:t xml:space="preserve"> </w:t>
      </w:r>
      <w:r>
        <w:rPr>
          <w:rFonts w:hint="eastAsia" w:ascii="宋体" w:hAnsi="宋体" w:eastAsia="宋体"/>
          <w:b/>
          <w:bCs/>
          <w:snapToGrid/>
          <w:color w:val="auto"/>
          <w:kern w:val="2"/>
          <w:sz w:val="21"/>
          <w:szCs w:val="21"/>
          <w:highlight w:val="none"/>
          <w:u w:val="single"/>
          <w:lang w:val="en-US" w:eastAsia="zh-CN"/>
        </w:rPr>
        <w:t>124</w:t>
      </w:r>
      <w:bookmarkStart w:id="1441" w:name="_GoBack"/>
      <w:bookmarkEnd w:id="1441"/>
      <w:r>
        <w:rPr>
          <w:rFonts w:hint="eastAsia" w:ascii="宋体" w:hAnsi="宋体" w:eastAsia="宋体"/>
          <w:b/>
          <w:bCs/>
          <w:snapToGrid/>
          <w:color w:val="auto"/>
          <w:kern w:val="2"/>
          <w:sz w:val="21"/>
          <w:szCs w:val="21"/>
          <w:highlight w:val="none"/>
          <w:u w:val="single"/>
        </w:rPr>
        <w:t xml:space="preserve"> </w:t>
      </w:r>
      <w:r>
        <w:rPr>
          <w:rFonts w:hint="eastAsia" w:ascii="宋体" w:hAnsi="宋体" w:eastAsia="宋体"/>
          <w:b/>
          <w:bCs/>
          <w:snapToGrid/>
          <w:color w:val="auto"/>
          <w:kern w:val="2"/>
          <w:sz w:val="21"/>
          <w:szCs w:val="21"/>
          <w:highlight w:val="none"/>
        </w:rPr>
        <w:t>日历天，暂定开工日期为</w:t>
      </w:r>
      <w:r>
        <w:rPr>
          <w:rFonts w:hint="eastAsia" w:ascii="宋体" w:hAnsi="宋体" w:eastAsia="宋体"/>
          <w:b/>
          <w:bCs/>
          <w:snapToGrid/>
          <w:color w:val="auto"/>
          <w:kern w:val="2"/>
          <w:sz w:val="21"/>
          <w:szCs w:val="21"/>
          <w:highlight w:val="none"/>
          <w:u w:val="single"/>
        </w:rPr>
        <w:t xml:space="preserve">     年   月    日</w:t>
      </w:r>
      <w:r>
        <w:rPr>
          <w:rFonts w:hint="eastAsia" w:ascii="宋体" w:hAnsi="宋体" w:eastAsia="宋体"/>
          <w:b/>
          <w:bCs/>
          <w:snapToGrid/>
          <w:color w:val="auto"/>
          <w:kern w:val="2"/>
          <w:sz w:val="21"/>
          <w:szCs w:val="21"/>
          <w:highlight w:val="none"/>
        </w:rPr>
        <w:t>，要求总包完成节点如下：</w:t>
      </w:r>
      <w:bookmarkEnd w:id="69"/>
      <w:bookmarkEnd w:id="70"/>
    </w:p>
    <w:p w14:paraId="3E3E028A">
      <w:pPr>
        <w:widowControl w:val="0"/>
        <w:kinsoku/>
        <w:autoSpaceDE/>
        <w:autoSpaceDN/>
        <w:adjustRightInd/>
        <w:snapToGrid/>
        <w:spacing w:line="360" w:lineRule="auto"/>
        <w:ind w:firstLine="411" w:firstLineChars="196"/>
        <w:jc w:val="both"/>
        <w:textAlignment w:val="auto"/>
        <w:rPr>
          <w:rFonts w:ascii="宋体" w:hAnsi="宋体" w:eastAsia="宋体" w:cs="宋体"/>
          <w:bCs/>
          <w:snapToGrid/>
          <w:color w:val="auto"/>
          <w:kern w:val="2"/>
          <w:highlight w:val="none"/>
        </w:rPr>
      </w:pPr>
      <w:r>
        <w:rPr>
          <w:rFonts w:hint="eastAsia" w:ascii="宋体" w:hAnsi="宋体" w:eastAsia="宋体" w:cs="宋体"/>
          <w:bCs/>
          <w:snapToGrid/>
          <w:color w:val="auto"/>
          <w:kern w:val="2"/>
          <w:highlight w:val="none"/>
        </w:rPr>
        <w:t>工期总日历天数与根据前述计划开竣工日期计算的工期天数不一致的，以工期总日历天数为准。(合同工期相较于定额工期有所缩减，缩减工期所增加投入的费用由承包单位在报价中综合考虑，发包人均不另计算或补偿费用)</w:t>
      </w:r>
    </w:p>
    <w:p w14:paraId="001A1E78">
      <w:pPr>
        <w:widowControl w:val="0"/>
        <w:kinsoku/>
        <w:autoSpaceDE/>
        <w:autoSpaceDN/>
        <w:adjustRightInd/>
        <w:snapToGrid/>
        <w:spacing w:line="360" w:lineRule="auto"/>
        <w:ind w:firstLine="411" w:firstLineChars="196"/>
        <w:jc w:val="both"/>
        <w:textAlignment w:val="auto"/>
        <w:rPr>
          <w:rFonts w:ascii="宋体" w:hAnsi="宋体" w:eastAsia="宋体" w:cs="宋体"/>
          <w:bCs/>
          <w:snapToGrid/>
          <w:color w:val="auto"/>
          <w:kern w:val="2"/>
          <w:highlight w:val="none"/>
        </w:rPr>
      </w:pPr>
      <w:r>
        <w:rPr>
          <w:rFonts w:hint="eastAsia" w:ascii="宋体" w:hAnsi="宋体" w:eastAsia="宋体" w:cs="宋体"/>
          <w:bCs/>
          <w:snapToGrid/>
          <w:color w:val="auto"/>
          <w:kern w:val="2"/>
          <w:highlight w:val="none"/>
        </w:rPr>
        <w:t xml:space="preserve">合同工期中已包括所有法定节假日（春节期间持续施工）、中高考，以及当地重要政府会议和重大活动以及政府规定的不可进行夜间施工、交通管制、施工限制等因素对工期的影响。 </w:t>
      </w:r>
    </w:p>
    <w:p w14:paraId="5D5BD0D5">
      <w:pPr>
        <w:pStyle w:val="8"/>
        <w:ind w:firstLine="0"/>
        <w:rPr>
          <w:rFonts w:ascii="宋体" w:hAnsi="宋体" w:eastAsia="宋体" w:cs="宋体"/>
          <w:color w:val="auto"/>
          <w:highlight w:val="none"/>
        </w:rPr>
      </w:pPr>
    </w:p>
    <w:p w14:paraId="06E7A5A1">
      <w:pPr>
        <w:pStyle w:val="22"/>
        <w:widowControl w:val="0"/>
        <w:kinsoku/>
        <w:autoSpaceDE/>
        <w:autoSpaceDN/>
        <w:adjustRightInd/>
        <w:snapToGrid/>
        <w:spacing w:line="360" w:lineRule="auto"/>
        <w:jc w:val="both"/>
        <w:textAlignment w:val="auto"/>
        <w:outlineLvl w:val="1"/>
        <w:rPr>
          <w:rFonts w:ascii="宋体" w:hAnsi="宋体" w:eastAsia="Arial" w:cs="Arial"/>
          <w:color w:val="auto"/>
          <w:sz w:val="21"/>
          <w:szCs w:val="21"/>
          <w:highlight w:val="none"/>
          <w:u w:val="single"/>
        </w:rPr>
      </w:pPr>
      <w:bookmarkStart w:id="71" w:name="_bookmark5"/>
      <w:bookmarkEnd w:id="71"/>
      <w:bookmarkStart w:id="72" w:name="_Toc14372"/>
      <w:bookmarkStart w:id="73" w:name="_Toc16223"/>
      <w:bookmarkStart w:id="74" w:name="_Toc24305"/>
      <w:bookmarkStart w:id="75" w:name="_Toc9636"/>
      <w:bookmarkStart w:id="76" w:name="_Toc18971"/>
      <w:r>
        <w:rPr>
          <w:rFonts w:hint="eastAsia" w:ascii="宋体" w:hAnsi="宋体" w:eastAsia="宋体"/>
          <w:b/>
          <w:bCs/>
          <w:snapToGrid/>
          <w:color w:val="auto"/>
          <w:kern w:val="2"/>
          <w:sz w:val="21"/>
          <w:szCs w:val="21"/>
          <w:highlight w:val="none"/>
        </w:rPr>
        <w:t>三、质量、安全标准</w:t>
      </w:r>
      <w:bookmarkEnd w:id="72"/>
      <w:bookmarkEnd w:id="73"/>
      <w:bookmarkEnd w:id="74"/>
      <w:bookmarkEnd w:id="75"/>
      <w:bookmarkEnd w:id="76"/>
    </w:p>
    <w:p w14:paraId="056FF344">
      <w:pPr>
        <w:widowControl w:val="0"/>
        <w:kinsoku/>
        <w:autoSpaceDE/>
        <w:autoSpaceDN/>
        <w:adjustRightInd/>
        <w:snapToGrid/>
        <w:spacing w:line="360" w:lineRule="auto"/>
        <w:ind w:firstLine="420" w:firstLineChars="200"/>
        <w:jc w:val="both"/>
        <w:textAlignment w:val="auto"/>
        <w:rPr>
          <w:rFonts w:ascii="宋体" w:hAnsi="宋体"/>
          <w:color w:val="auto"/>
          <w:highlight w:val="none"/>
          <w:u w:val="single"/>
        </w:rPr>
      </w:pPr>
      <w:r>
        <w:rPr>
          <w:rFonts w:hint="eastAsia" w:ascii="宋体" w:hAnsi="宋体"/>
          <w:color w:val="auto"/>
          <w:highlight w:val="none"/>
        </w:rPr>
        <w:t>工程质量：</w:t>
      </w:r>
      <w:r>
        <w:rPr>
          <w:rFonts w:hint="eastAsia" w:ascii="宋体" w:hAnsi="宋体"/>
          <w:color w:val="auto"/>
          <w:highlight w:val="none"/>
          <w:u w:val="single"/>
        </w:rPr>
        <w:t>达到国家或行业质量检验评定的合格标准。</w:t>
      </w:r>
    </w:p>
    <w:p w14:paraId="1A84FD22">
      <w:pPr>
        <w:ind w:firstLine="420" w:firstLineChars="200"/>
        <w:rPr>
          <w:rFonts w:ascii="宋体" w:hAnsi="宋体" w:eastAsia="宋体" w:cs="宋体"/>
          <w:snapToGrid/>
          <w:color w:val="auto"/>
          <w:kern w:val="2"/>
          <w:highlight w:val="none"/>
        </w:rPr>
      </w:pPr>
      <w:bookmarkStart w:id="77" w:name="_bookmark6"/>
      <w:bookmarkEnd w:id="77"/>
      <w:bookmarkStart w:id="78" w:name="_Toc28610"/>
      <w:r>
        <w:rPr>
          <w:rFonts w:hint="eastAsia" w:ascii="宋体" w:hAnsi="宋体" w:eastAsia="宋体" w:cs="宋体"/>
          <w:snapToGrid/>
          <w:color w:val="auto"/>
          <w:kern w:val="2"/>
          <w:highlight w:val="none"/>
        </w:rPr>
        <w:t>安全目标：</w:t>
      </w:r>
      <w:r>
        <w:rPr>
          <w:rFonts w:hint="eastAsia" w:ascii="宋体" w:hAnsi="宋体"/>
          <w:color w:val="auto"/>
          <w:highlight w:val="none"/>
          <w:u w:val="single"/>
        </w:rPr>
        <w:t>严格执行有关安全生产的法律法规和规章制度，确保项目建设期内无重大安全事故</w:t>
      </w:r>
      <w:r>
        <w:rPr>
          <w:rFonts w:hint="eastAsia" w:ascii="宋体" w:hAnsi="宋体" w:eastAsia="宋体" w:cs="宋体"/>
          <w:snapToGrid/>
          <w:color w:val="auto"/>
          <w:kern w:val="2"/>
          <w:highlight w:val="none"/>
        </w:rPr>
        <w:t>。</w:t>
      </w:r>
    </w:p>
    <w:p w14:paraId="6BC652DD">
      <w:pPr>
        <w:ind w:firstLine="420" w:firstLineChars="200"/>
        <w:rPr>
          <w:rFonts w:ascii="宋体" w:hAnsi="宋体" w:eastAsia="宋体" w:cs="宋体"/>
          <w:snapToGrid/>
          <w:color w:val="auto"/>
          <w:kern w:val="2"/>
          <w:highlight w:val="none"/>
        </w:rPr>
      </w:pPr>
    </w:p>
    <w:p w14:paraId="3BFAE606">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sz w:val="21"/>
          <w:szCs w:val="21"/>
          <w:highlight w:val="none"/>
        </w:rPr>
      </w:pPr>
      <w:bookmarkStart w:id="79" w:name="_Toc19905"/>
      <w:bookmarkStart w:id="80" w:name="_Toc31369"/>
      <w:bookmarkStart w:id="81" w:name="_Toc1727"/>
      <w:bookmarkStart w:id="82" w:name="_Toc1731"/>
      <w:r>
        <w:rPr>
          <w:rFonts w:hint="eastAsia" w:ascii="宋体" w:hAnsi="宋体" w:eastAsia="宋体"/>
          <w:b/>
          <w:bCs/>
          <w:snapToGrid/>
          <w:color w:val="auto"/>
          <w:kern w:val="2"/>
          <w:sz w:val="21"/>
          <w:szCs w:val="21"/>
          <w:highlight w:val="none"/>
        </w:rPr>
        <w:t>四、签约合同价与合同价格形式</w:t>
      </w:r>
      <w:bookmarkEnd w:id="78"/>
      <w:bookmarkEnd w:id="79"/>
      <w:bookmarkEnd w:id="80"/>
      <w:bookmarkEnd w:id="81"/>
      <w:bookmarkEnd w:id="82"/>
    </w:p>
    <w:p w14:paraId="5F4B64D7">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bookmarkStart w:id="83" w:name="_Toc26490"/>
      <w:bookmarkStart w:id="84" w:name="_Toc32525"/>
      <w:bookmarkStart w:id="85" w:name="_Toc20774"/>
      <w:bookmarkStart w:id="86" w:name="_Toc5302"/>
      <w:bookmarkStart w:id="87" w:name="_Toc18401"/>
      <w:r>
        <w:rPr>
          <w:rFonts w:hint="eastAsia" w:ascii="宋体" w:hAnsi="宋体" w:eastAsia="宋体" w:cs="宋体"/>
          <w:snapToGrid/>
          <w:color w:val="auto"/>
          <w:kern w:val="2"/>
          <w:highlight w:val="none"/>
        </w:rPr>
        <w:t>1.签约合同价为：</w:t>
      </w:r>
      <w:bookmarkEnd w:id="83"/>
      <w:bookmarkEnd w:id="84"/>
      <w:bookmarkEnd w:id="85"/>
      <w:bookmarkEnd w:id="86"/>
      <w:bookmarkEnd w:id="87"/>
    </w:p>
    <w:p w14:paraId="2B9DCD35">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人民币(大写)</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元)；增值税率为</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%，税金金额￥</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元， 不含税合同总价款为￥</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元。</w:t>
      </w:r>
    </w:p>
    <w:p w14:paraId="64148E49">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其中：</w:t>
      </w:r>
    </w:p>
    <w:p w14:paraId="4430A973">
      <w:pPr>
        <w:widowControl w:val="0"/>
        <w:kinsoku/>
        <w:autoSpaceDE/>
        <w:autoSpaceDN/>
        <w:adjustRightInd/>
        <w:snapToGrid/>
        <w:spacing w:line="360" w:lineRule="auto"/>
        <w:ind w:firstLine="422" w:firstLineChars="200"/>
        <w:jc w:val="both"/>
        <w:textAlignment w:val="auto"/>
        <w:rPr>
          <w:rFonts w:ascii="宋体" w:hAnsi="宋体" w:eastAsia="宋体" w:cs="宋体"/>
          <w:b/>
          <w:bCs/>
          <w:snapToGrid/>
          <w:color w:val="auto"/>
          <w:kern w:val="2"/>
          <w:highlight w:val="none"/>
        </w:rPr>
      </w:pPr>
      <w:r>
        <w:rPr>
          <w:rFonts w:hint="eastAsia" w:ascii="宋体" w:hAnsi="宋体" w:eastAsia="宋体" w:cs="宋体"/>
          <w:b/>
          <w:bCs/>
          <w:snapToGrid/>
          <w:color w:val="auto"/>
          <w:kern w:val="2"/>
          <w:highlight w:val="none"/>
        </w:rPr>
        <w:t>(1) 单列部分的：</w:t>
      </w:r>
    </w:p>
    <w:p w14:paraId="10B4A6AA">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安全生产措施单列费：</w:t>
      </w:r>
    </w:p>
    <w:p w14:paraId="35389509">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人民币(大写)</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元)；</w:t>
      </w:r>
    </w:p>
    <w:p w14:paraId="18A98A98">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(2) </w:t>
      </w:r>
      <w:r>
        <w:rPr>
          <w:rFonts w:hint="eastAsia" w:ascii="宋体" w:hAnsi="宋体" w:eastAsia="宋体" w:cs="宋体"/>
          <w:color w:val="auto"/>
          <w:highlight w:val="none"/>
        </w:rPr>
        <w:t>定额工日工资</w:t>
      </w:r>
      <w:r>
        <w:rPr>
          <w:rFonts w:hint="eastAsia" w:ascii="宋体" w:hAnsi="宋体" w:eastAsia="宋体" w:cs="宋体"/>
          <w:snapToGrid/>
          <w:color w:val="auto"/>
          <w:kern w:val="2"/>
          <w:highlight w:val="none"/>
        </w:rPr>
        <w:t>总额：</w:t>
      </w:r>
    </w:p>
    <w:p w14:paraId="315CE3BE">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人民币(大写)</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元)；</w:t>
      </w:r>
    </w:p>
    <w:p w14:paraId="1EF3CC70">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u w:val="single"/>
        </w:rPr>
      </w:pPr>
      <w:bookmarkStart w:id="88" w:name="_Toc27754"/>
      <w:bookmarkStart w:id="89" w:name="_Toc4953"/>
      <w:bookmarkStart w:id="90" w:name="_Toc15724"/>
      <w:bookmarkStart w:id="91" w:name="_Toc22516"/>
      <w:bookmarkStart w:id="92" w:name="_Toc16800"/>
      <w:r>
        <w:rPr>
          <w:rFonts w:hint="eastAsia" w:ascii="宋体" w:hAnsi="宋体" w:eastAsia="宋体" w:cs="宋体"/>
          <w:snapToGrid/>
          <w:color w:val="auto"/>
          <w:kern w:val="2"/>
          <w:highlight w:val="none"/>
        </w:rPr>
        <w:t>2. 合同价格形式：</w:t>
      </w:r>
      <w:r>
        <w:rPr>
          <w:rFonts w:hint="eastAsia" w:ascii="宋体" w:hAnsi="宋体" w:eastAsia="宋体" w:cs="宋体"/>
          <w:snapToGrid/>
          <w:color w:val="auto"/>
          <w:kern w:val="2"/>
          <w:highlight w:val="none"/>
          <w:u w:val="single"/>
        </w:rPr>
        <w:t xml:space="preserve">  固定总价，双方一致同意本合同结算价最终以发包人审定价格为准</w:t>
      </w:r>
      <w:r>
        <w:rPr>
          <w:rFonts w:hint="eastAsia" w:ascii="宋体" w:hAnsi="宋体" w:eastAsia="宋体" w:cs="宋体"/>
          <w:snapToGrid/>
          <w:color w:val="auto"/>
          <w:kern w:val="2"/>
          <w:highlight w:val="none"/>
        </w:rPr>
        <w:t>。</w:t>
      </w:r>
      <w:bookmarkEnd w:id="88"/>
      <w:bookmarkEnd w:id="89"/>
      <w:bookmarkEnd w:id="90"/>
      <w:bookmarkEnd w:id="91"/>
      <w:bookmarkEnd w:id="92"/>
    </w:p>
    <w:p w14:paraId="0A12E5AF">
      <w:pPr>
        <w:rPr>
          <w:color w:val="auto"/>
          <w:highlight w:val="none"/>
        </w:rPr>
      </w:pPr>
      <w:bookmarkStart w:id="93" w:name="_Toc25626"/>
    </w:p>
    <w:p w14:paraId="63A7560F">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sz w:val="21"/>
          <w:szCs w:val="21"/>
          <w:highlight w:val="none"/>
        </w:rPr>
      </w:pPr>
      <w:bookmarkStart w:id="94" w:name="_Toc17254"/>
      <w:bookmarkStart w:id="95" w:name="_Toc22568"/>
      <w:bookmarkStart w:id="96" w:name="_Toc656"/>
      <w:bookmarkStart w:id="97" w:name="_Toc26108"/>
      <w:r>
        <w:rPr>
          <w:rFonts w:hint="eastAsia" w:ascii="宋体" w:hAnsi="宋体" w:eastAsia="宋体"/>
          <w:b/>
          <w:bCs/>
          <w:snapToGrid/>
          <w:color w:val="auto"/>
          <w:kern w:val="2"/>
          <w:sz w:val="21"/>
          <w:szCs w:val="21"/>
          <w:highlight w:val="none"/>
        </w:rPr>
        <w:t>五、项目经理</w:t>
      </w:r>
      <w:bookmarkEnd w:id="93"/>
      <w:bookmarkEnd w:id="94"/>
      <w:bookmarkEnd w:id="95"/>
      <w:bookmarkEnd w:id="96"/>
      <w:bookmarkEnd w:id="97"/>
    </w:p>
    <w:p w14:paraId="5338CC7F">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承包人项目经理： 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，等级：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，证号：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(注：项目经理即为承包人投标时满足招标文件项目负责人要求的项目负责人) 。</w:t>
      </w:r>
    </w:p>
    <w:p w14:paraId="14B9BCB9">
      <w:pPr>
        <w:rPr>
          <w:color w:val="auto"/>
          <w:highlight w:val="none"/>
        </w:rPr>
      </w:pPr>
      <w:bookmarkStart w:id="98" w:name="_bookmark8"/>
      <w:bookmarkEnd w:id="98"/>
      <w:bookmarkStart w:id="99" w:name="_Toc4350"/>
    </w:p>
    <w:p w14:paraId="7A99B0FD">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sz w:val="21"/>
          <w:szCs w:val="21"/>
          <w:highlight w:val="none"/>
        </w:rPr>
      </w:pPr>
      <w:bookmarkStart w:id="100" w:name="_Toc25418"/>
      <w:bookmarkStart w:id="101" w:name="_Toc11329"/>
      <w:bookmarkStart w:id="102" w:name="_Toc6718"/>
      <w:bookmarkStart w:id="103" w:name="_Toc13871"/>
      <w:r>
        <w:rPr>
          <w:rFonts w:hint="eastAsia" w:ascii="宋体" w:hAnsi="宋体" w:eastAsia="宋体"/>
          <w:b/>
          <w:bCs/>
          <w:snapToGrid/>
          <w:color w:val="auto"/>
          <w:kern w:val="2"/>
          <w:sz w:val="21"/>
          <w:szCs w:val="21"/>
          <w:highlight w:val="none"/>
        </w:rPr>
        <w:t>六、合同文件构成</w:t>
      </w:r>
      <w:bookmarkEnd w:id="99"/>
      <w:bookmarkEnd w:id="100"/>
      <w:bookmarkEnd w:id="101"/>
      <w:bookmarkEnd w:id="102"/>
      <w:bookmarkEnd w:id="103"/>
    </w:p>
    <w:p w14:paraId="2C48B63D">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本协议书与下列文件一起构成合同文件：</w:t>
      </w:r>
    </w:p>
    <w:p w14:paraId="5F6D16C2">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 中标通知书(如果有) ；</w:t>
      </w:r>
    </w:p>
    <w:p w14:paraId="4FD670B8">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 投标函及其附录(如果有)；</w:t>
      </w:r>
    </w:p>
    <w:p w14:paraId="19174A89">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(3) 专用合同条款及其附件；</w:t>
      </w:r>
    </w:p>
    <w:p w14:paraId="0621E87D">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(4) 通用合同条款；</w:t>
      </w:r>
    </w:p>
    <w:p w14:paraId="6FFF96BB">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(5) 招标文件、补充通知(补遗书)、招标会议纪要及附件；</w:t>
      </w:r>
    </w:p>
    <w:p w14:paraId="64893385">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(6) 技术标准和要求；</w:t>
      </w:r>
    </w:p>
    <w:p w14:paraId="1F22C3F0">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(7) 图纸；</w:t>
      </w:r>
    </w:p>
    <w:p w14:paraId="315E4DF9">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(8) 合同清单或预算书；</w:t>
      </w:r>
    </w:p>
    <w:p w14:paraId="6FF1B249">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(9) 其他合同文件。</w:t>
      </w:r>
    </w:p>
    <w:p w14:paraId="5D8260F4">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在合同订立及履行过程中形成的与合同有关的文件均构成合同文件组成部分。</w:t>
      </w:r>
    </w:p>
    <w:p w14:paraId="287DF385">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上述各项合同文件包括合同当事人就该项合同文件所作出的补充和修改，属于同一类内容的文件，应以最新签署的为准。专用合同条款及其附件须经合同当事人签字</w:t>
      </w:r>
      <w:bookmarkStart w:id="104" w:name="_bookmark9"/>
      <w:bookmarkEnd w:id="104"/>
      <w:r>
        <w:rPr>
          <w:rFonts w:hint="eastAsia" w:ascii="宋体" w:hAnsi="宋体" w:eastAsia="宋体" w:cs="宋体"/>
          <w:snapToGrid/>
          <w:color w:val="auto"/>
          <w:kern w:val="2"/>
          <w:highlight w:val="none"/>
        </w:rPr>
        <w:t>或盖章。</w:t>
      </w:r>
    </w:p>
    <w:p w14:paraId="024A2BA0">
      <w:pPr>
        <w:rPr>
          <w:color w:val="auto"/>
          <w:highlight w:val="none"/>
        </w:rPr>
      </w:pPr>
      <w:bookmarkStart w:id="105" w:name="_Toc4811"/>
    </w:p>
    <w:p w14:paraId="3EBB6DB7">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sz w:val="21"/>
          <w:szCs w:val="21"/>
          <w:highlight w:val="none"/>
        </w:rPr>
      </w:pPr>
      <w:bookmarkStart w:id="106" w:name="_Toc11945"/>
      <w:bookmarkStart w:id="107" w:name="_Toc19018"/>
      <w:bookmarkStart w:id="108" w:name="_Toc11813"/>
      <w:bookmarkStart w:id="109" w:name="_Toc13705"/>
      <w:r>
        <w:rPr>
          <w:rFonts w:hint="eastAsia" w:ascii="宋体" w:hAnsi="宋体" w:eastAsia="宋体"/>
          <w:b/>
          <w:bCs/>
          <w:snapToGrid/>
          <w:color w:val="auto"/>
          <w:kern w:val="2"/>
          <w:sz w:val="21"/>
          <w:szCs w:val="21"/>
          <w:highlight w:val="none"/>
        </w:rPr>
        <w:t>七、承诺</w:t>
      </w:r>
      <w:bookmarkEnd w:id="105"/>
      <w:bookmarkEnd w:id="106"/>
      <w:bookmarkEnd w:id="107"/>
      <w:bookmarkEnd w:id="108"/>
      <w:bookmarkEnd w:id="109"/>
    </w:p>
    <w:p w14:paraId="25AE2A42">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1.发包人承诺按照法律规定履行项目审批手续、筹集工程建设资金并按照合同约定的期限和方式支付合同价款。</w:t>
      </w:r>
    </w:p>
    <w:p w14:paraId="3E6D020D">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2.承包人承诺按照法律规定及合同约定组织完成工程施工，确保工程质量和安全，不进行转包及违法分包，并在缺陷责任期及保修期内承担相应的工程维修责任。</w:t>
      </w:r>
    </w:p>
    <w:p w14:paraId="4D729B32">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3.发包人和承包人通过招投标形式签订合同的，双方理解并承诺不再就同一工程另行签订与合同实质性内容相背离的协议。</w:t>
      </w:r>
    </w:p>
    <w:p w14:paraId="1AA64AB8">
      <w:pPr>
        <w:rPr>
          <w:color w:val="auto"/>
          <w:highlight w:val="none"/>
        </w:rPr>
      </w:pPr>
      <w:bookmarkStart w:id="110" w:name="_bookmark10"/>
      <w:bookmarkEnd w:id="110"/>
      <w:bookmarkStart w:id="111" w:name="_Toc25514"/>
    </w:p>
    <w:p w14:paraId="01270D9F">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sz w:val="21"/>
          <w:szCs w:val="21"/>
          <w:highlight w:val="none"/>
        </w:rPr>
      </w:pPr>
      <w:bookmarkStart w:id="112" w:name="_Toc12746"/>
      <w:bookmarkStart w:id="113" w:name="_Toc217"/>
      <w:bookmarkStart w:id="114" w:name="_Toc3457"/>
      <w:bookmarkStart w:id="115" w:name="_Toc15833"/>
      <w:r>
        <w:rPr>
          <w:rFonts w:hint="eastAsia" w:ascii="宋体" w:hAnsi="宋体" w:eastAsia="宋体"/>
          <w:b/>
          <w:bCs/>
          <w:snapToGrid/>
          <w:color w:val="auto"/>
          <w:kern w:val="2"/>
          <w:sz w:val="21"/>
          <w:szCs w:val="21"/>
          <w:highlight w:val="none"/>
        </w:rPr>
        <w:t>八、词语含义</w:t>
      </w:r>
      <w:bookmarkEnd w:id="111"/>
      <w:bookmarkEnd w:id="112"/>
      <w:bookmarkEnd w:id="113"/>
      <w:bookmarkEnd w:id="114"/>
      <w:bookmarkEnd w:id="115"/>
    </w:p>
    <w:p w14:paraId="718B4AF1">
      <w:pPr>
        <w:spacing w:before="304" w:line="360" w:lineRule="auto"/>
        <w:ind w:right="1442" w:firstLine="420" w:firstLineChars="200"/>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本协议书中词语含义与第二部分通用合同条款中赋予的含义相同。</w:t>
      </w:r>
    </w:p>
    <w:p w14:paraId="73C7D406">
      <w:pPr>
        <w:spacing w:before="304" w:line="360" w:lineRule="auto"/>
        <w:ind w:right="1442"/>
        <w:outlineLvl w:val="1"/>
        <w:rPr>
          <w:rFonts w:ascii="宋体" w:hAnsi="宋体" w:eastAsia="宋体" w:cs="宋体"/>
          <w:color w:val="auto"/>
          <w:sz w:val="24"/>
          <w:szCs w:val="24"/>
          <w:highlight w:val="none"/>
        </w:rPr>
      </w:pPr>
      <w:bookmarkStart w:id="116" w:name="_bookmark11"/>
      <w:bookmarkEnd w:id="116"/>
      <w:bookmarkStart w:id="117" w:name="_Toc25245"/>
      <w:bookmarkStart w:id="118" w:name="_Toc24359"/>
      <w:bookmarkStart w:id="119" w:name="_Toc15414"/>
      <w:bookmarkStart w:id="120" w:name="_Toc10592"/>
      <w:bookmarkStart w:id="121" w:name="_Toc24566"/>
      <w:r>
        <w:rPr>
          <w:rFonts w:hint="eastAsia" w:ascii="宋体" w:hAnsi="宋体" w:eastAsia="宋体" w:cs="宋体"/>
          <w:b/>
          <w:bCs/>
          <w:snapToGrid/>
          <w:color w:val="auto"/>
          <w:kern w:val="2"/>
          <w:highlight w:val="none"/>
        </w:rPr>
        <w:t>九、签订时间</w:t>
      </w:r>
      <w:bookmarkEnd w:id="117"/>
      <w:bookmarkEnd w:id="118"/>
      <w:bookmarkEnd w:id="119"/>
      <w:bookmarkEnd w:id="120"/>
      <w:bookmarkEnd w:id="121"/>
    </w:p>
    <w:p w14:paraId="561B7EA8">
      <w:pPr>
        <w:spacing w:before="304" w:line="360" w:lineRule="auto"/>
        <w:ind w:left="475" w:right="1442" w:firstLine="11"/>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本合同于</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年</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月</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日签订。</w:t>
      </w:r>
    </w:p>
    <w:p w14:paraId="4C43200E">
      <w:pPr>
        <w:rPr>
          <w:color w:val="auto"/>
          <w:highlight w:val="none"/>
        </w:rPr>
      </w:pPr>
      <w:bookmarkStart w:id="122" w:name="_bookmark12"/>
      <w:bookmarkEnd w:id="122"/>
      <w:bookmarkStart w:id="123" w:name="_Toc3987"/>
    </w:p>
    <w:p w14:paraId="08BD4CFB">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sz w:val="21"/>
          <w:szCs w:val="21"/>
          <w:highlight w:val="none"/>
        </w:rPr>
      </w:pPr>
      <w:bookmarkStart w:id="124" w:name="_Toc1078"/>
      <w:bookmarkStart w:id="125" w:name="_Toc18063"/>
      <w:bookmarkStart w:id="126" w:name="_Toc5029"/>
      <w:bookmarkStart w:id="127" w:name="_Toc17072"/>
      <w:r>
        <w:rPr>
          <w:rFonts w:hint="eastAsia" w:ascii="宋体" w:hAnsi="宋体" w:eastAsia="宋体"/>
          <w:b/>
          <w:bCs/>
          <w:snapToGrid/>
          <w:color w:val="auto"/>
          <w:kern w:val="2"/>
          <w:sz w:val="21"/>
          <w:szCs w:val="21"/>
          <w:highlight w:val="none"/>
        </w:rPr>
        <w:t>十、签订地点</w:t>
      </w:r>
      <w:bookmarkEnd w:id="123"/>
      <w:bookmarkEnd w:id="124"/>
      <w:bookmarkEnd w:id="125"/>
      <w:bookmarkEnd w:id="126"/>
      <w:bookmarkEnd w:id="127"/>
    </w:p>
    <w:p w14:paraId="28D726FA">
      <w:pPr>
        <w:spacing w:line="360" w:lineRule="auto"/>
        <w:ind w:firstLine="420" w:firstLineChars="200"/>
        <w:rPr>
          <w:rFonts w:ascii="宋体" w:hAnsi="宋体" w:cs="宋体"/>
          <w:bCs/>
          <w:color w:val="auto"/>
          <w:highlight w:val="none"/>
        </w:rPr>
      </w:pPr>
      <w:bookmarkStart w:id="128" w:name="_bookmark13"/>
      <w:bookmarkEnd w:id="128"/>
      <w:r>
        <w:rPr>
          <w:rFonts w:hint="eastAsia" w:ascii="宋体" w:hAnsi="宋体" w:cs="宋体"/>
          <w:bCs/>
          <w:color w:val="auto"/>
          <w:highlight w:val="none"/>
        </w:rPr>
        <w:t>本合同在</w:t>
      </w:r>
      <w:r>
        <w:rPr>
          <w:rFonts w:hint="eastAsia" w:ascii="宋体" w:hAnsi="宋体" w:eastAsia="宋体" w:cs="宋体"/>
          <w:bCs/>
          <w:color w:val="auto"/>
          <w:highlight w:val="none"/>
          <w:u w:val="single"/>
        </w:rPr>
        <w:t xml:space="preserve">  </w:t>
      </w:r>
      <w:r>
        <w:rPr>
          <w:rFonts w:hint="eastAsia" w:ascii="宋体" w:hAnsi="宋体" w:cs="宋体"/>
          <w:bCs/>
          <w:color w:val="auto"/>
          <w:highlight w:val="none"/>
          <w:u w:val="single"/>
        </w:rPr>
        <w:t>东莞市</w:t>
      </w:r>
      <w:r>
        <w:rPr>
          <w:rFonts w:hint="eastAsia" w:ascii="宋体" w:hAnsi="宋体" w:eastAsia="宋体" w:cs="宋体"/>
          <w:bCs/>
          <w:color w:val="auto"/>
          <w:highlight w:val="none"/>
          <w:u w:val="single"/>
        </w:rPr>
        <w:t xml:space="preserve">   </w:t>
      </w:r>
      <w:r>
        <w:rPr>
          <w:rFonts w:hint="eastAsia" w:ascii="宋体" w:hAnsi="宋体" w:cs="宋体"/>
          <w:bCs/>
          <w:color w:val="auto"/>
          <w:highlight w:val="none"/>
        </w:rPr>
        <w:t>签订。</w:t>
      </w:r>
    </w:p>
    <w:p w14:paraId="0507C27C">
      <w:pPr>
        <w:rPr>
          <w:color w:val="auto"/>
          <w:highlight w:val="none"/>
        </w:rPr>
      </w:pPr>
      <w:bookmarkStart w:id="129" w:name="_Toc3606"/>
    </w:p>
    <w:p w14:paraId="46A70D8C">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sz w:val="21"/>
          <w:szCs w:val="21"/>
          <w:highlight w:val="none"/>
        </w:rPr>
      </w:pPr>
      <w:bookmarkStart w:id="130" w:name="_Toc13516"/>
      <w:bookmarkStart w:id="131" w:name="_Toc17649"/>
      <w:bookmarkStart w:id="132" w:name="_Toc10050"/>
      <w:bookmarkStart w:id="133" w:name="_Toc18474"/>
      <w:r>
        <w:rPr>
          <w:rFonts w:hint="eastAsia" w:ascii="宋体" w:hAnsi="宋体" w:eastAsia="宋体"/>
          <w:b/>
          <w:bCs/>
          <w:snapToGrid/>
          <w:color w:val="auto"/>
          <w:kern w:val="2"/>
          <w:sz w:val="21"/>
          <w:szCs w:val="21"/>
          <w:highlight w:val="none"/>
        </w:rPr>
        <w:t>十一、补充协议</w:t>
      </w:r>
      <w:bookmarkEnd w:id="129"/>
      <w:bookmarkEnd w:id="130"/>
      <w:bookmarkEnd w:id="131"/>
      <w:bookmarkEnd w:id="132"/>
      <w:bookmarkEnd w:id="133"/>
    </w:p>
    <w:p w14:paraId="4529E2AD">
      <w:pPr>
        <w:spacing w:line="360" w:lineRule="auto"/>
        <w:ind w:firstLine="420" w:firstLineChars="200"/>
        <w:rPr>
          <w:rFonts w:ascii="宋体" w:hAnsi="宋体" w:cs="宋体"/>
          <w:b/>
          <w:bCs/>
          <w:color w:val="auto"/>
          <w:highlight w:val="none"/>
        </w:rPr>
      </w:pPr>
      <w:bookmarkStart w:id="134" w:name="_bookmark14"/>
      <w:bookmarkEnd w:id="134"/>
      <w:r>
        <w:rPr>
          <w:rFonts w:hint="eastAsia" w:ascii="宋体" w:hAnsi="宋体" w:cs="宋体"/>
          <w:bCs/>
          <w:color w:val="auto"/>
          <w:highlight w:val="none"/>
        </w:rPr>
        <w:t>合同未尽事宜，合同当事人另行签订补充协议，补充协议是合同的组成部分。</w:t>
      </w:r>
    </w:p>
    <w:p w14:paraId="32BD27EF">
      <w:pPr>
        <w:spacing w:before="304" w:line="360" w:lineRule="auto"/>
        <w:ind w:right="179"/>
        <w:outlineLvl w:val="1"/>
        <w:rPr>
          <w:rFonts w:ascii="宋体" w:hAnsi="宋体" w:eastAsia="宋体" w:cs="宋体"/>
          <w:color w:val="auto"/>
          <w:sz w:val="24"/>
          <w:szCs w:val="24"/>
          <w:highlight w:val="none"/>
        </w:rPr>
      </w:pPr>
      <w:bookmarkStart w:id="135" w:name="_Toc19888"/>
      <w:bookmarkStart w:id="136" w:name="_Toc3735"/>
      <w:bookmarkStart w:id="137" w:name="_Toc14826"/>
      <w:bookmarkStart w:id="138" w:name="_Toc14971"/>
      <w:bookmarkStart w:id="139" w:name="_Toc5595"/>
      <w:r>
        <w:rPr>
          <w:rFonts w:hint="eastAsia" w:ascii="宋体" w:hAnsi="宋体" w:eastAsia="宋体" w:cs="宋体"/>
          <w:b/>
          <w:bCs/>
          <w:snapToGrid/>
          <w:color w:val="auto"/>
          <w:kern w:val="2"/>
          <w:highlight w:val="none"/>
        </w:rPr>
        <w:t>十二、合同生效</w:t>
      </w:r>
      <w:bookmarkEnd w:id="135"/>
      <w:bookmarkEnd w:id="136"/>
      <w:bookmarkEnd w:id="137"/>
      <w:bookmarkEnd w:id="138"/>
      <w:bookmarkEnd w:id="139"/>
    </w:p>
    <w:p w14:paraId="0FE08DA6">
      <w:pPr>
        <w:spacing w:line="360" w:lineRule="auto"/>
        <w:ind w:left="469" w:right="1142" w:firstLine="14"/>
        <w:rPr>
          <w:rFonts w:ascii="宋体" w:hAnsi="宋体" w:eastAsia="宋体" w:cs="宋体"/>
          <w:color w:val="auto"/>
          <w:sz w:val="24"/>
          <w:szCs w:val="24"/>
          <w:highlight w:val="none"/>
        </w:rPr>
      </w:pPr>
      <w:r>
        <w:rPr>
          <w:rFonts w:hint="eastAsia" w:ascii="宋体" w:hAnsi="宋体" w:cs="宋体"/>
          <w:bCs/>
          <w:color w:val="auto"/>
          <w:highlight w:val="none"/>
        </w:rPr>
        <w:t>本合同</w:t>
      </w:r>
      <w:r>
        <w:rPr>
          <w:rFonts w:hint="eastAsia" w:ascii="宋体" w:hAnsi="宋体" w:eastAsia="宋体" w:cs="宋体"/>
          <w:bCs/>
          <w:color w:val="auto"/>
          <w:highlight w:val="none"/>
          <w:u w:val="single"/>
        </w:rPr>
        <w:t xml:space="preserve">   </w:t>
      </w:r>
      <w:r>
        <w:rPr>
          <w:rFonts w:hint="eastAsia" w:ascii="宋体" w:hAnsi="宋体" w:cs="宋体"/>
          <w:bCs/>
          <w:color w:val="auto"/>
          <w:highlight w:val="none"/>
          <w:u w:val="single"/>
        </w:rPr>
        <w:t>经双方签字盖章， 并且</w:t>
      </w:r>
      <w:r>
        <w:rPr>
          <w:rFonts w:hint="eastAsia" w:ascii="宋体" w:hAnsi="宋体" w:eastAsia="宋体" w:cs="宋体"/>
          <w:bCs/>
          <w:color w:val="auto"/>
          <w:highlight w:val="none"/>
          <w:u w:val="single"/>
        </w:rPr>
        <w:t>发包人</w:t>
      </w:r>
      <w:r>
        <w:rPr>
          <w:rFonts w:hint="eastAsia" w:ascii="宋体" w:hAnsi="宋体" w:cs="宋体"/>
          <w:bCs/>
          <w:color w:val="auto"/>
          <w:highlight w:val="none"/>
          <w:u w:val="single"/>
        </w:rPr>
        <w:t>收到</w:t>
      </w:r>
      <w:r>
        <w:rPr>
          <w:rFonts w:hint="eastAsia" w:ascii="宋体" w:hAnsi="宋体" w:eastAsia="宋体" w:cs="宋体"/>
          <w:bCs/>
          <w:color w:val="auto"/>
          <w:highlight w:val="none"/>
          <w:u w:val="single"/>
        </w:rPr>
        <w:t>承包人</w:t>
      </w:r>
      <w:r>
        <w:rPr>
          <w:rFonts w:hint="eastAsia" w:ascii="宋体" w:hAnsi="宋体" w:cs="宋体"/>
          <w:bCs/>
          <w:color w:val="auto"/>
          <w:highlight w:val="none"/>
          <w:u w:val="single"/>
        </w:rPr>
        <w:t>提供的履约</w:t>
      </w:r>
      <w:r>
        <w:rPr>
          <w:rFonts w:hint="eastAsia" w:ascii="宋体" w:hAnsi="宋体" w:eastAsia="宋体" w:cs="宋体"/>
          <w:bCs/>
          <w:color w:val="auto"/>
          <w:highlight w:val="none"/>
          <w:u w:val="single"/>
        </w:rPr>
        <w:t>担保</w:t>
      </w:r>
      <w:r>
        <w:rPr>
          <w:rFonts w:hint="eastAsia" w:ascii="宋体" w:hAnsi="宋体" w:cs="宋体"/>
          <w:bCs/>
          <w:color w:val="auto"/>
          <w:highlight w:val="none"/>
          <w:u w:val="single"/>
        </w:rPr>
        <w:t>后</w:t>
      </w:r>
      <w:r>
        <w:rPr>
          <w:rFonts w:hint="eastAsia" w:ascii="宋体" w:hAnsi="宋体" w:eastAsia="宋体" w:cs="宋体"/>
          <w:bCs/>
          <w:color w:val="auto"/>
          <w:highlight w:val="none"/>
          <w:u w:val="single"/>
        </w:rPr>
        <w:t xml:space="preserve">  </w:t>
      </w:r>
      <w:r>
        <w:rPr>
          <w:rFonts w:hint="eastAsia" w:ascii="宋体" w:hAnsi="宋体" w:cs="宋体"/>
          <w:bCs/>
          <w:color w:val="auto"/>
          <w:highlight w:val="none"/>
        </w:rPr>
        <w:t>生效。</w:t>
      </w:r>
      <w:r>
        <w:rPr>
          <w:rFonts w:hint="eastAsia" w:ascii="宋体" w:hAnsi="宋体" w:eastAsia="宋体" w:cs="宋体"/>
          <w:color w:val="auto"/>
          <w:sz w:val="24"/>
          <w:szCs w:val="24"/>
          <w:highlight w:val="none"/>
        </w:rPr>
        <w:t xml:space="preserve"> </w:t>
      </w:r>
      <w:bookmarkStart w:id="140" w:name="_bookmark15"/>
      <w:bookmarkEnd w:id="140"/>
    </w:p>
    <w:p w14:paraId="12F5D8C2">
      <w:pPr>
        <w:rPr>
          <w:color w:val="auto"/>
          <w:highlight w:val="none"/>
        </w:rPr>
      </w:pPr>
      <w:bookmarkStart w:id="141" w:name="_Toc31811"/>
    </w:p>
    <w:p w14:paraId="31514DA3">
      <w:pPr>
        <w:spacing w:line="360" w:lineRule="auto"/>
        <w:ind w:right="1142"/>
        <w:outlineLvl w:val="1"/>
        <w:rPr>
          <w:rFonts w:ascii="宋体" w:hAnsi="宋体" w:eastAsia="宋体" w:cs="宋体"/>
          <w:color w:val="auto"/>
          <w:sz w:val="24"/>
          <w:szCs w:val="24"/>
          <w:highlight w:val="none"/>
        </w:rPr>
      </w:pPr>
      <w:bookmarkStart w:id="142" w:name="_Toc13585"/>
      <w:bookmarkStart w:id="143" w:name="_Toc5508"/>
      <w:bookmarkStart w:id="144" w:name="_Toc21708"/>
      <w:bookmarkStart w:id="145" w:name="_Toc21310"/>
      <w:r>
        <w:rPr>
          <w:rFonts w:hint="eastAsia" w:ascii="宋体" w:hAnsi="宋体" w:eastAsia="宋体" w:cs="宋体"/>
          <w:b/>
          <w:bCs/>
          <w:snapToGrid/>
          <w:color w:val="auto"/>
          <w:kern w:val="2"/>
          <w:highlight w:val="none"/>
        </w:rPr>
        <w:t>十三、合同份数</w:t>
      </w:r>
      <w:bookmarkEnd w:id="141"/>
      <w:bookmarkEnd w:id="142"/>
      <w:bookmarkEnd w:id="143"/>
      <w:bookmarkEnd w:id="144"/>
      <w:bookmarkEnd w:id="145"/>
    </w:p>
    <w:p w14:paraId="2B2ED755">
      <w:pPr>
        <w:spacing w:before="2" w:line="360" w:lineRule="auto"/>
        <w:ind w:firstLine="483"/>
        <w:rPr>
          <w:rFonts w:ascii="宋体" w:hAnsi="宋体" w:eastAsia="宋体" w:cs="宋体"/>
          <w:color w:val="auto"/>
          <w:sz w:val="24"/>
          <w:szCs w:val="24"/>
          <w:highlight w:val="none"/>
        </w:rPr>
      </w:pPr>
      <w:r>
        <w:rPr>
          <w:rFonts w:hint="eastAsia" w:ascii="宋体" w:hAnsi="宋体" w:cs="宋体"/>
          <w:bCs/>
          <w:color w:val="auto"/>
          <w:highlight w:val="none"/>
        </w:rPr>
        <w:t>本合同正本一式</w:t>
      </w:r>
      <w:r>
        <w:rPr>
          <w:rFonts w:hint="eastAsia" w:ascii="宋体" w:hAnsi="宋体" w:cs="宋体"/>
          <w:bCs/>
          <w:color w:val="auto"/>
          <w:highlight w:val="none"/>
          <w:u w:val="single"/>
        </w:rPr>
        <w:t>叁份</w:t>
      </w:r>
      <w:r>
        <w:rPr>
          <w:rFonts w:hint="eastAsia" w:ascii="宋体" w:hAnsi="宋体" w:cs="宋体"/>
          <w:bCs/>
          <w:color w:val="auto"/>
          <w:highlight w:val="none"/>
        </w:rPr>
        <w:t>，发包人及承包人各持</w:t>
      </w:r>
      <w:r>
        <w:rPr>
          <w:rFonts w:hint="eastAsia" w:ascii="宋体" w:hAnsi="宋体" w:cs="宋体"/>
          <w:bCs/>
          <w:color w:val="auto"/>
          <w:highlight w:val="none"/>
          <w:u w:val="single"/>
        </w:rPr>
        <w:t>壹</w:t>
      </w:r>
      <w:r>
        <w:rPr>
          <w:rFonts w:hint="eastAsia" w:ascii="宋体" w:hAnsi="宋体" w:cs="宋体"/>
          <w:bCs/>
          <w:color w:val="auto"/>
          <w:highlight w:val="none"/>
        </w:rPr>
        <w:t>份，建设主管部门持</w:t>
      </w:r>
      <w:r>
        <w:rPr>
          <w:rFonts w:hint="eastAsia" w:ascii="宋体" w:hAnsi="宋体" w:cs="宋体"/>
          <w:bCs/>
          <w:color w:val="auto"/>
          <w:highlight w:val="none"/>
          <w:u w:val="single"/>
        </w:rPr>
        <w:t>壹</w:t>
      </w:r>
      <w:r>
        <w:rPr>
          <w:rFonts w:hint="eastAsia" w:ascii="宋体" w:hAnsi="宋体" w:cs="宋体"/>
          <w:bCs/>
          <w:color w:val="auto"/>
          <w:highlight w:val="none"/>
        </w:rPr>
        <w:t>份；副本一式</w:t>
      </w:r>
      <w:r>
        <w:rPr>
          <w:rFonts w:hint="eastAsia" w:ascii="宋体" w:hAnsi="宋体" w:eastAsia="宋体" w:cs="宋体"/>
          <w:bCs/>
          <w:color w:val="auto"/>
          <w:highlight w:val="none"/>
          <w:u w:val="single"/>
        </w:rPr>
        <w:t>壹</w:t>
      </w:r>
      <w:r>
        <w:rPr>
          <w:rFonts w:hint="eastAsia" w:ascii="宋体" w:hAnsi="宋体" w:cs="宋体"/>
          <w:bCs/>
          <w:color w:val="auto"/>
          <w:highlight w:val="none"/>
          <w:u w:val="single"/>
        </w:rPr>
        <w:t>拾伍</w:t>
      </w:r>
      <w:r>
        <w:rPr>
          <w:rFonts w:hint="eastAsia" w:ascii="宋体" w:hAnsi="宋体" w:cs="宋体"/>
          <w:bCs/>
          <w:color w:val="auto"/>
          <w:highlight w:val="none"/>
        </w:rPr>
        <w:t>份，发包人持</w:t>
      </w:r>
      <w:r>
        <w:rPr>
          <w:rFonts w:hint="eastAsia" w:ascii="宋体" w:hAnsi="宋体" w:eastAsia="宋体" w:cs="宋体"/>
          <w:bCs/>
          <w:color w:val="auto"/>
          <w:highlight w:val="none"/>
          <w:u w:val="single"/>
        </w:rPr>
        <w:t>柒</w:t>
      </w:r>
      <w:r>
        <w:rPr>
          <w:rFonts w:hint="eastAsia" w:ascii="宋体" w:hAnsi="宋体" w:cs="宋体"/>
          <w:bCs/>
          <w:color w:val="auto"/>
          <w:highlight w:val="none"/>
        </w:rPr>
        <w:t>份，承包人持</w:t>
      </w:r>
      <w:r>
        <w:rPr>
          <w:rFonts w:hint="eastAsia" w:ascii="宋体" w:hAnsi="宋体" w:eastAsia="宋体" w:cs="宋体"/>
          <w:bCs/>
          <w:color w:val="auto"/>
          <w:highlight w:val="none"/>
          <w:u w:val="single"/>
        </w:rPr>
        <w:t>陆</w:t>
      </w:r>
      <w:r>
        <w:rPr>
          <w:rFonts w:hint="eastAsia" w:ascii="宋体" w:hAnsi="宋体" w:cs="宋体"/>
          <w:bCs/>
          <w:color w:val="auto"/>
          <w:highlight w:val="none"/>
        </w:rPr>
        <w:t>份，市公共资源交易中心、招标代理机构各持</w:t>
      </w:r>
      <w:r>
        <w:rPr>
          <w:rFonts w:hint="eastAsia" w:ascii="宋体" w:hAnsi="宋体" w:cs="宋体"/>
          <w:bCs/>
          <w:color w:val="auto"/>
          <w:highlight w:val="none"/>
          <w:u w:val="single"/>
        </w:rPr>
        <w:t>壹</w:t>
      </w:r>
      <w:r>
        <w:rPr>
          <w:rFonts w:hint="eastAsia" w:ascii="宋体" w:hAnsi="宋体" w:cs="宋体"/>
          <w:bCs/>
          <w:color w:val="auto"/>
          <w:highlight w:val="none"/>
        </w:rPr>
        <w:t>份。</w:t>
      </w:r>
    </w:p>
    <w:p w14:paraId="62BF3EF6">
      <w:pPr>
        <w:rPr>
          <w:rFonts w:ascii="宋体" w:hAnsi="宋体" w:eastAsia="宋体" w:cs="宋体"/>
          <w:color w:val="auto"/>
          <w:highlight w:val="none"/>
        </w:rPr>
      </w:pPr>
    </w:p>
    <w:p w14:paraId="0BFBF519">
      <w:pPr>
        <w:rPr>
          <w:rFonts w:ascii="宋体" w:hAnsi="宋体" w:eastAsia="宋体" w:cs="宋体"/>
          <w:color w:val="auto"/>
          <w:highlight w:val="none"/>
        </w:rPr>
      </w:pPr>
    </w:p>
    <w:p w14:paraId="40E7E91D">
      <w:pPr>
        <w:spacing w:line="360" w:lineRule="auto"/>
        <w:ind w:firstLine="315" w:firstLineChars="150"/>
        <w:rPr>
          <w:rFonts w:ascii="宋体" w:hAnsi="宋体" w:eastAsia="宋体" w:cs="宋体"/>
          <w:color w:val="auto"/>
          <w:highlight w:val="none"/>
        </w:rPr>
      </w:pPr>
      <w:r>
        <w:rPr>
          <w:rFonts w:hint="eastAsia" w:ascii="宋体" w:hAnsi="宋体" w:eastAsia="宋体" w:cs="宋体"/>
          <w:color w:val="auto"/>
          <w:highlight w:val="none"/>
        </w:rPr>
        <w:t>发包人：（盖章）                            承包人：（盖章）</w:t>
      </w:r>
    </w:p>
    <w:p w14:paraId="05F2AA90">
      <w:pPr>
        <w:pStyle w:val="5"/>
        <w:rPr>
          <w:color w:val="auto"/>
          <w:highlight w:val="none"/>
        </w:rPr>
      </w:pPr>
    </w:p>
    <w:p w14:paraId="51D4B740">
      <w:pPr>
        <w:spacing w:line="360" w:lineRule="auto"/>
        <w:ind w:firstLine="315" w:firstLineChars="150"/>
        <w:rPr>
          <w:rFonts w:ascii="宋体" w:hAnsi="宋体" w:eastAsia="宋体" w:cs="宋体"/>
          <w:color w:val="auto"/>
          <w:highlight w:val="none"/>
        </w:rPr>
      </w:pPr>
      <w:r>
        <w:rPr>
          <w:rFonts w:hint="eastAsia" w:ascii="宋体" w:hAnsi="宋体" w:eastAsia="宋体" w:cs="宋体"/>
          <w:color w:val="auto"/>
          <w:highlight w:val="none"/>
        </w:rPr>
        <w:t xml:space="preserve">法定代表人或其委托代理人：                  法定代表人或其委托代理人：  </w:t>
      </w:r>
    </w:p>
    <w:p w14:paraId="1C62FBA4">
      <w:pPr>
        <w:tabs>
          <w:tab w:val="left" w:pos="4410"/>
        </w:tabs>
        <w:spacing w:line="360" w:lineRule="auto"/>
        <w:ind w:firstLine="315" w:firstLineChars="150"/>
        <w:rPr>
          <w:rFonts w:ascii="宋体" w:hAnsi="宋体" w:eastAsia="宋体" w:cs="宋体"/>
          <w:color w:val="auto"/>
          <w:highlight w:val="none"/>
        </w:rPr>
      </w:pPr>
      <w:r>
        <w:rPr>
          <w:rFonts w:hint="eastAsia" w:ascii="宋体" w:hAnsi="宋体" w:eastAsia="宋体" w:cs="宋体"/>
          <w:color w:val="auto"/>
          <w:highlight w:val="none"/>
        </w:rPr>
        <w:t>（签字）                                    （签字）</w:t>
      </w:r>
    </w:p>
    <w:p w14:paraId="18D5C334">
      <w:pPr>
        <w:pStyle w:val="5"/>
        <w:rPr>
          <w:color w:val="auto"/>
          <w:highlight w:val="none"/>
        </w:rPr>
      </w:pPr>
    </w:p>
    <w:p w14:paraId="3C111155">
      <w:pPr>
        <w:tabs>
          <w:tab w:val="left" w:pos="4410"/>
        </w:tabs>
        <w:spacing w:line="360" w:lineRule="auto"/>
        <w:ind w:firstLine="315" w:firstLineChars="150"/>
        <w:rPr>
          <w:rFonts w:ascii="宋体" w:hAnsi="宋体" w:eastAsia="宋体" w:cs="宋体"/>
          <w:color w:val="auto"/>
          <w:highlight w:val="none"/>
        </w:rPr>
      </w:pPr>
      <w:r>
        <w:rPr>
          <w:rFonts w:hint="eastAsia" w:ascii="宋体" w:hAnsi="宋体" w:eastAsia="宋体" w:cs="宋体"/>
          <w:color w:val="auto"/>
          <w:highlight w:val="none"/>
        </w:rPr>
        <w:t xml:space="preserve">组织机构代码：                        组织机构代码：                     </w:t>
      </w:r>
    </w:p>
    <w:p w14:paraId="421AEB0C">
      <w:pPr>
        <w:tabs>
          <w:tab w:val="left" w:pos="4410"/>
        </w:tabs>
        <w:spacing w:line="360" w:lineRule="auto"/>
        <w:ind w:firstLine="315" w:firstLineChars="150"/>
        <w:rPr>
          <w:rFonts w:ascii="宋体" w:hAnsi="宋体" w:eastAsia="宋体" w:cs="宋体"/>
          <w:color w:val="auto"/>
          <w:highlight w:val="none"/>
        </w:rPr>
      </w:pPr>
      <w:r>
        <w:rPr>
          <w:rFonts w:hint="eastAsia" w:ascii="宋体" w:hAnsi="宋体" w:eastAsia="宋体" w:cs="宋体"/>
          <w:color w:val="auto"/>
          <w:highlight w:val="none"/>
        </w:rPr>
        <w:t xml:space="preserve">纳税人识别码：                              纳税人识别码：                          </w:t>
      </w:r>
    </w:p>
    <w:p w14:paraId="147C4687">
      <w:pPr>
        <w:tabs>
          <w:tab w:val="left" w:pos="4410"/>
        </w:tabs>
        <w:spacing w:line="360" w:lineRule="auto"/>
        <w:ind w:firstLine="315" w:firstLineChars="150"/>
        <w:rPr>
          <w:rFonts w:ascii="宋体" w:hAnsi="宋体" w:eastAsia="宋体" w:cs="宋体"/>
          <w:color w:val="auto"/>
          <w:highlight w:val="none"/>
        </w:rPr>
      </w:pPr>
      <w:r>
        <w:rPr>
          <w:rFonts w:hint="eastAsia" w:ascii="宋体" w:hAnsi="宋体" w:eastAsia="宋体" w:cs="宋体"/>
          <w:color w:val="auto"/>
          <w:highlight w:val="none"/>
        </w:rPr>
        <w:t xml:space="preserve">地    址：                    地    址：             </w:t>
      </w:r>
    </w:p>
    <w:p w14:paraId="4F83138A">
      <w:pPr>
        <w:spacing w:line="360" w:lineRule="auto"/>
        <w:ind w:firstLine="315" w:firstLineChars="150"/>
        <w:rPr>
          <w:rFonts w:ascii="宋体" w:hAnsi="宋体" w:eastAsia="宋体" w:cs="宋体"/>
          <w:color w:val="auto"/>
          <w:highlight w:val="none"/>
        </w:rPr>
      </w:pPr>
      <w:r>
        <w:rPr>
          <w:rFonts w:hint="eastAsia" w:ascii="宋体" w:hAnsi="宋体" w:eastAsia="宋体" w:cs="宋体"/>
          <w:color w:val="auto"/>
          <w:highlight w:val="none"/>
        </w:rPr>
        <w:t xml:space="preserve">邮政编码：                      邮政编码：             </w:t>
      </w:r>
    </w:p>
    <w:p w14:paraId="141CF75B">
      <w:pPr>
        <w:spacing w:line="360" w:lineRule="auto"/>
        <w:ind w:firstLine="315" w:firstLineChars="150"/>
        <w:rPr>
          <w:rFonts w:ascii="宋体" w:hAnsi="宋体" w:eastAsia="宋体" w:cs="宋体"/>
          <w:color w:val="auto"/>
          <w:highlight w:val="none"/>
        </w:rPr>
      </w:pPr>
      <w:r>
        <w:rPr>
          <w:rFonts w:hint="eastAsia" w:ascii="宋体" w:hAnsi="宋体" w:eastAsia="宋体" w:cs="宋体"/>
          <w:color w:val="auto"/>
          <w:highlight w:val="none"/>
        </w:rPr>
        <w:t xml:space="preserve">法定代表人：                              法定代表人：                        </w:t>
      </w:r>
    </w:p>
    <w:p w14:paraId="2437601A">
      <w:pPr>
        <w:spacing w:line="360" w:lineRule="auto"/>
        <w:ind w:firstLine="315" w:firstLineChars="150"/>
        <w:rPr>
          <w:rFonts w:ascii="宋体" w:hAnsi="宋体" w:eastAsia="宋体" w:cs="宋体"/>
          <w:color w:val="auto"/>
          <w:highlight w:val="none"/>
        </w:rPr>
      </w:pPr>
      <w:r>
        <w:rPr>
          <w:rFonts w:hint="eastAsia" w:ascii="宋体" w:hAnsi="宋体" w:eastAsia="宋体" w:cs="宋体"/>
          <w:color w:val="auto"/>
          <w:highlight w:val="none"/>
        </w:rPr>
        <w:t xml:space="preserve">委托代理人：                            委托代理人：                       </w:t>
      </w:r>
    </w:p>
    <w:p w14:paraId="652953C3">
      <w:pPr>
        <w:spacing w:line="360" w:lineRule="auto"/>
        <w:ind w:firstLine="315" w:firstLineChars="150"/>
        <w:rPr>
          <w:rFonts w:ascii="宋体" w:hAnsi="宋体" w:eastAsia="宋体" w:cs="宋体"/>
          <w:color w:val="auto"/>
          <w:highlight w:val="none"/>
        </w:rPr>
      </w:pPr>
      <w:r>
        <w:rPr>
          <w:rFonts w:hint="eastAsia" w:ascii="宋体" w:hAnsi="宋体" w:eastAsia="宋体" w:cs="宋体"/>
          <w:color w:val="auto"/>
          <w:highlight w:val="none"/>
        </w:rPr>
        <w:t xml:space="preserve">电    话：                              电    话：              </w:t>
      </w:r>
    </w:p>
    <w:p w14:paraId="2D65968F">
      <w:pPr>
        <w:spacing w:line="360" w:lineRule="auto"/>
        <w:ind w:firstLine="315" w:firstLineChars="150"/>
        <w:rPr>
          <w:rFonts w:ascii="宋体" w:hAnsi="宋体" w:eastAsia="宋体" w:cs="宋体"/>
          <w:color w:val="auto"/>
          <w:highlight w:val="none"/>
        </w:rPr>
      </w:pPr>
      <w:r>
        <w:rPr>
          <w:rFonts w:hint="eastAsia" w:ascii="宋体" w:hAnsi="宋体" w:eastAsia="宋体" w:cs="宋体"/>
          <w:color w:val="auto"/>
          <w:highlight w:val="none"/>
        </w:rPr>
        <w:t xml:space="preserve">传    真：                                传    真：             </w:t>
      </w:r>
    </w:p>
    <w:p w14:paraId="719F5F7F">
      <w:pPr>
        <w:spacing w:line="360" w:lineRule="auto"/>
        <w:ind w:firstLine="315" w:firstLineChars="150"/>
        <w:rPr>
          <w:rFonts w:ascii="宋体" w:hAnsi="宋体" w:eastAsia="宋体" w:cs="宋体"/>
          <w:color w:val="auto"/>
          <w:highlight w:val="none"/>
        </w:rPr>
      </w:pPr>
      <w:r>
        <w:rPr>
          <w:rFonts w:hint="eastAsia" w:ascii="宋体" w:hAnsi="宋体" w:eastAsia="宋体" w:cs="宋体"/>
          <w:color w:val="auto"/>
          <w:highlight w:val="none"/>
        </w:rPr>
        <w:t xml:space="preserve">电子信箱：                                  电子信箱：             </w:t>
      </w:r>
    </w:p>
    <w:p w14:paraId="1356A149">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开户银行：                   开户银行： </w:t>
      </w:r>
    </w:p>
    <w:p w14:paraId="1B5493DA">
      <w:pPr>
        <w:spacing w:line="360" w:lineRule="auto"/>
        <w:ind w:firstLine="420" w:firstLineChars="200"/>
        <w:rPr>
          <w:rFonts w:ascii="宋体" w:hAnsi="宋体" w:eastAsia="宋体" w:cs="宋体"/>
          <w:color w:val="auto"/>
          <w:highlight w:val="none"/>
        </w:rPr>
        <w:sectPr>
          <w:footerReference r:id="rId6" w:type="default"/>
          <w:pgSz w:w="11907" w:h="16839"/>
          <w:pgMar w:top="1429" w:right="1417" w:bottom="1157" w:left="1417" w:header="0" w:footer="992" w:gutter="0"/>
          <w:cols w:space="0" w:num="1"/>
        </w:sectPr>
      </w:pPr>
      <w:r>
        <w:rPr>
          <w:rFonts w:hint="eastAsia" w:ascii="宋体" w:hAnsi="宋体" w:eastAsia="宋体" w:cs="宋体"/>
          <w:color w:val="auto"/>
          <w:highlight w:val="none"/>
        </w:rPr>
        <w:t xml:space="preserve">账    号：                     账    号： </w:t>
      </w:r>
    </w:p>
    <w:p w14:paraId="25DC694B">
      <w:pPr>
        <w:spacing w:before="161" w:line="220" w:lineRule="auto"/>
        <w:ind w:left="2831"/>
        <w:outlineLvl w:val="0"/>
        <w:rPr>
          <w:rFonts w:ascii="宋体" w:hAnsi="宋体" w:eastAsia="宋体" w:cs="宋体"/>
          <w:b/>
          <w:bCs/>
          <w:color w:val="auto"/>
          <w:sz w:val="30"/>
          <w:szCs w:val="30"/>
          <w:highlight w:val="none"/>
        </w:rPr>
      </w:pPr>
      <w:bookmarkStart w:id="146" w:name="_Toc5784"/>
      <w:bookmarkStart w:id="147" w:name="_Toc28648"/>
      <w:bookmarkStart w:id="148" w:name="_Toc32334"/>
      <w:bookmarkStart w:id="149" w:name="_Toc28334"/>
      <w:bookmarkStart w:id="150" w:name="_Toc16932"/>
      <w:r>
        <w:rPr>
          <w:rFonts w:hint="eastAsia" w:ascii="宋体" w:hAnsi="宋体" w:eastAsia="宋体" w:cs="宋体"/>
          <w:b/>
          <w:bCs/>
          <w:color w:val="auto"/>
          <w:spacing w:val="-2"/>
          <w:sz w:val="30"/>
          <w:szCs w:val="30"/>
          <w:highlight w:val="none"/>
        </w:rPr>
        <w:t>第</w:t>
      </w:r>
      <w:r>
        <w:rPr>
          <w:rFonts w:hint="eastAsia" w:ascii="宋体" w:hAnsi="宋体" w:eastAsia="宋体" w:cs="宋体"/>
          <w:b/>
          <w:bCs/>
          <w:color w:val="auto"/>
          <w:spacing w:val="-1"/>
          <w:sz w:val="30"/>
          <w:szCs w:val="30"/>
          <w:highlight w:val="none"/>
        </w:rPr>
        <w:t>二部分 通用合同条款</w:t>
      </w:r>
      <w:bookmarkEnd w:id="146"/>
      <w:bookmarkEnd w:id="147"/>
      <w:bookmarkEnd w:id="148"/>
      <w:bookmarkEnd w:id="149"/>
      <w:bookmarkEnd w:id="150"/>
    </w:p>
    <w:p w14:paraId="0C56A1CE">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151" w:name="_bookmark16"/>
      <w:bookmarkEnd w:id="151"/>
      <w:bookmarkStart w:id="152" w:name="_bookmark17"/>
      <w:bookmarkEnd w:id="152"/>
      <w:bookmarkStart w:id="153" w:name="_Toc29689"/>
      <w:bookmarkStart w:id="154" w:name="_Toc6644"/>
      <w:bookmarkStart w:id="155" w:name="_Toc26287"/>
      <w:bookmarkStart w:id="156" w:name="_Toc91"/>
      <w:bookmarkStart w:id="157" w:name="_Toc26037"/>
      <w:r>
        <w:rPr>
          <w:rFonts w:hint="eastAsia" w:ascii="宋体" w:hAnsi="宋体" w:eastAsia="宋体" w:cs="宋体"/>
          <w:snapToGrid/>
          <w:color w:val="auto"/>
          <w:kern w:val="2"/>
          <w:sz w:val="21"/>
          <w:szCs w:val="21"/>
          <w:highlight w:val="none"/>
        </w:rPr>
        <w:t>1.  一般约定</w:t>
      </w:r>
      <w:bookmarkEnd w:id="153"/>
      <w:bookmarkEnd w:id="154"/>
      <w:bookmarkEnd w:id="155"/>
      <w:bookmarkEnd w:id="156"/>
      <w:bookmarkEnd w:id="157"/>
    </w:p>
    <w:p w14:paraId="539F7CA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158" w:name="_bookmark18"/>
      <w:bookmarkEnd w:id="158"/>
      <w:bookmarkStart w:id="159" w:name="_Toc31378"/>
      <w:bookmarkStart w:id="160" w:name="_Toc22441"/>
      <w:bookmarkStart w:id="161" w:name="_Toc31595"/>
      <w:bookmarkStart w:id="162" w:name="_Toc29958"/>
      <w:bookmarkStart w:id="163" w:name="_Toc13055"/>
      <w:r>
        <w:rPr>
          <w:rFonts w:hint="eastAsia" w:ascii="宋体" w:hAnsi="宋体" w:eastAsia="宋体" w:cs="宋体"/>
          <w:b w:val="0"/>
          <w:bCs w:val="0"/>
          <w:snapToGrid/>
          <w:color w:val="auto"/>
          <w:kern w:val="2"/>
          <w:sz w:val="21"/>
          <w:szCs w:val="21"/>
          <w:highlight w:val="none"/>
        </w:rPr>
        <w:t>1.1 词语定义与解释</w:t>
      </w:r>
      <w:bookmarkEnd w:id="159"/>
      <w:bookmarkEnd w:id="160"/>
      <w:bookmarkEnd w:id="161"/>
      <w:bookmarkEnd w:id="162"/>
      <w:bookmarkEnd w:id="163"/>
    </w:p>
    <w:p w14:paraId="6E91731C">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合同协议书、通用合同条款、专用合同条款中的下列词语具有本款所赋予的含义：</w:t>
      </w:r>
    </w:p>
    <w:p w14:paraId="302571EE">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 合同</w:t>
      </w:r>
    </w:p>
    <w:p w14:paraId="680B5D2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1.1.1.1 合同：是指根据法律规定和合同当事人约定具有约束力的文件，构成合同的文件包括合同协议书、中标通知书(如果有) 、投标函及其附录(如果有) 、专用合同条款及其附件、通用合同条款、技术标准和要求、图纸、经修正的已标价工程量清单或预算书以及其他合同文件。</w:t>
      </w:r>
    </w:p>
    <w:p w14:paraId="4E8C03B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1.1.1.2 合同协议书：是指构成合同的由发包人和承包人共同签署的称为“合同协议书”的书面文件。</w:t>
      </w:r>
    </w:p>
    <w:p w14:paraId="74EE754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1.1.1.3 中标通知书：是指构成合同的由发包人通知承包人中标的书面文件。</w:t>
      </w:r>
    </w:p>
    <w:p w14:paraId="17FD6CE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1.1.1.4 投标函：是指构成合同的由承包人填写并签署的用于投标的称为“投标函”的文件。</w:t>
      </w:r>
    </w:p>
    <w:p w14:paraId="51D4E71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1.1.1.5 投标函附录：是指构成合同的附在投标函后的称为“投标函附录”的文件。</w:t>
      </w:r>
    </w:p>
    <w:p w14:paraId="03758E7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1.1.1.6 技术标准和要求：是指构成合同的施工应当遵守的或指导施工的国家、行业或地方的技术标准和要求，以及合同约定的技术标准和要求。</w:t>
      </w:r>
    </w:p>
    <w:p w14:paraId="3C77A24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1.1.1.7 图纸：是指构成合同的图纸，包括由发包人按照合同约定提供或经发包人批准的设计文件、 施工图、鸟瞰图及模型等，以及在合同履行过程中形成的图纸文件。图纸应当按照法律规定审查合格。</w:t>
      </w:r>
    </w:p>
    <w:p w14:paraId="3628F50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1.1.1.8 已标价工程量清单：是指承包人在投标时提交的由其填报的已标明投标总价、合价及其综合单价，可以体现承包人所报合同总价的详细构成及综合单价分析（如果有）的工程量清单，包括其说明和表格。</w:t>
      </w:r>
    </w:p>
    <w:p w14:paraId="4F11C2A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1.1.1.9 预算书：是指构成合同的由承包人按照发包人规定的格式和要求编制的工程预算文件。</w:t>
      </w:r>
    </w:p>
    <w:p w14:paraId="5A5A4AE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1.1.1.10 其他合同文件：是指经合同当事人约定的与工程施工有关的具有合同约束力的文件或书面协议。合同当事人可以在专用合同条款中进行约定。</w:t>
      </w:r>
    </w:p>
    <w:p w14:paraId="64609FD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1.1.1.11合同清单：又称经修正的已标价工程量清单，是指构成合同文件组成部分，承包人所填报并获得发包人确认的已标明投标总价、合价及其综合单价，以及澄清或说明修正价格的已标价工程量清单，用以说明承包人所报合同总价的详细构成及综合单价分析，包括其说明和表格。</w:t>
      </w:r>
    </w:p>
    <w:p w14:paraId="069E2D8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1.1.2 合同当事人及其他相关方</w:t>
      </w:r>
    </w:p>
    <w:p w14:paraId="7B8FDEE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color w:val="auto"/>
          <w:sz w:val="24"/>
          <w:szCs w:val="24"/>
          <w:highlight w:val="none"/>
        </w:rPr>
      </w:pPr>
      <w:r>
        <w:rPr>
          <w:rFonts w:hint="eastAsia" w:ascii="宋体" w:hAnsi="宋体" w:eastAsia="宋体" w:cs="宋体"/>
          <w:b w:val="0"/>
          <w:bCs w:val="0"/>
          <w:snapToGrid/>
          <w:color w:val="auto"/>
          <w:kern w:val="2"/>
          <w:sz w:val="21"/>
          <w:szCs w:val="21"/>
          <w:highlight w:val="none"/>
        </w:rPr>
        <w:t>1.1.2.1 合同当事人：是指发包人和(或)承包人。</w:t>
      </w:r>
    </w:p>
    <w:p w14:paraId="3BFEA72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1.1.2.2 发包人：是指与承包人签订合同协议书的当事人及取得该当事人资格的合法继承人。</w:t>
      </w:r>
    </w:p>
    <w:p w14:paraId="6DB8A9A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1.1.2.3 承包人：是指与发包人签订合同协议书的，具有相应工程施工承包资质的当事人及取得该当事人资格的合法继承人。</w:t>
      </w:r>
    </w:p>
    <w:p w14:paraId="037EE9E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1.1.2.4 监理人：是指在专用合同条款中指明的，受发包人委托按照法律规定进行工程监督管理的法人或其他组织。</w:t>
      </w:r>
    </w:p>
    <w:p w14:paraId="464F847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1.1.2.5 设计人：是指在专用合同条款中指明的，受发包人委托负责工程设计并具备相应工程设计资质的法人或其他组织。</w:t>
      </w:r>
    </w:p>
    <w:p w14:paraId="29A7BF7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1.1.2.6 分包人：是指按照法律规定和合同约定，分包部分工程或工作，并与承包人签订分包合同的具有相应资质的法人。</w:t>
      </w:r>
    </w:p>
    <w:p w14:paraId="09D0372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1.1.2.7 发包人代表：是指由发包人任命并派驻施工现场在发包人授权范围内行使发包人权利的人。</w:t>
      </w:r>
    </w:p>
    <w:p w14:paraId="1B227F7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1.1.2.8 项目经理：是指由承包人任命并派驻施工现场，在承包人授权范围内负责合同履行， 且按照法律规定具有相应资格的项目负责人。</w:t>
      </w:r>
    </w:p>
    <w:p w14:paraId="3765081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1.1.2.9 总监理工程师：是指由监理人任命并派驻施工现场进行工程监理的总负责人。</w:t>
      </w:r>
    </w:p>
    <w:p w14:paraId="62EA1AE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1.1.3 工程和设备</w:t>
      </w:r>
    </w:p>
    <w:p w14:paraId="6861D0F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1.1.3.1 工程：是指与合同协议书中工程承包范围对应的永久工程和(或)临时工程。</w:t>
      </w:r>
    </w:p>
    <w:p w14:paraId="692051F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1.1.3.2 永久工程：是指按合同约定建造并移交给发包人的工程，包括工程设备。</w:t>
      </w:r>
    </w:p>
    <w:p w14:paraId="51601D6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1.1.3.3 临时工程：是指为完成合同约定的永久工程所修建的各类临时性工程，不包括施工设备。</w:t>
      </w:r>
    </w:p>
    <w:p w14:paraId="3AD9F5F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1.1.3.4 单位工程：是指在合同协议书中指明的，具备独立施工条件并能形成独立使用功能的永久工程。</w:t>
      </w:r>
    </w:p>
    <w:p w14:paraId="78F57F3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1.1.3.5 工程设备：是指构成永久工程的机电设备、金属结构设备、仪器及其他类似的设备和装置。</w:t>
      </w:r>
    </w:p>
    <w:p w14:paraId="3803DB1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1.1.3.6 施工设备：是指为完成合同约定的各项工作所需的设备、器具和其他物品，但不包括工程设备、临时工程和材料。</w:t>
      </w:r>
    </w:p>
    <w:p w14:paraId="57DE380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1.1.3.7 施工现场：是指用于工程施工的场所，以及在专用合同条款中指明作为施工场所组成部分的其他场所，包括永久占地和临时占地。</w:t>
      </w:r>
    </w:p>
    <w:p w14:paraId="13C5829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1.1.3.8 临时设施：是指为完成合同约定的各项工作所服务的临时性生产和生活设施。</w:t>
      </w:r>
    </w:p>
    <w:p w14:paraId="015EBAD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1.1.3.9 永久占地：是指专用合同条款中指明为实施工程需永久占用的土地。</w:t>
      </w:r>
    </w:p>
    <w:p w14:paraId="619A768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1.1.3.10 临时占地：是指专用合同条款中指明为实施工程需要临时占用的土地。</w:t>
      </w:r>
    </w:p>
    <w:p w14:paraId="1864BE76">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1.1.4 日期和期限</w:t>
      </w:r>
    </w:p>
    <w:p w14:paraId="1D6E5C8F">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1.1.4.1 开工日期：包括计划开工日期和实际开工日期。计划开工日期是指合同协议书约定的开工日期；实际开工日期是指监理人按照第 7.3.2 项〔开工通知〕约定发出的符合法律规定的开工通知中载明的开工日期。</w:t>
      </w:r>
    </w:p>
    <w:p w14:paraId="256CA52C">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1.1.4.2 竣工日期：包括计划竣工日期和实际竣工日期。计划竣工日期是指合同协议书约定的竣工日期；实际竣工日期按照第 13.2.3 项〔竣工日期〕的约定确定。</w:t>
      </w:r>
    </w:p>
    <w:p w14:paraId="3EF54D93">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1.1.4.3 工期：是指在合同协议书约定的承包人完成工程所需的期限，包括按照合同约定所作的期限变更。</w:t>
      </w:r>
    </w:p>
    <w:p w14:paraId="722559CB">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1.1.4.4 缺陷责任期：是指承包人按照合同约定承担缺陷修复义务，且发包人预留质量保证金 (已缴纳履约保证金的除外) 的期限，自工程实际竣工日期起计算。</w:t>
      </w:r>
    </w:p>
    <w:p w14:paraId="0248F6C9">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1.1.4.5 保修期：是指承包人按照合同约定对工程承担保修责任的期限，从工程竣工验收合格之日起计算。</w:t>
      </w:r>
    </w:p>
    <w:p w14:paraId="6CC64359">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1.1.4.6 基准日期：招标发包的工程以投标截止日前 28 天的日期为基准日期，直接发包的工程以合同签订日前 28 天的日期为基准日期。</w:t>
      </w:r>
    </w:p>
    <w:p w14:paraId="7C55ACCE">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1.1.4.7 天：除特别指明外，均指日历天。合同中按天计算时间的，开始当天不计入，从次日开始计算，期限最后一天的截止时间为当天 24:00 时。</w:t>
      </w:r>
    </w:p>
    <w:p w14:paraId="54BBF89B">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1.1.5 合同价格和费用</w:t>
      </w:r>
    </w:p>
    <w:p w14:paraId="4B0BB65B">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1.1.5.1 签约合同价：是指发包人和承包人在合同协议书中确定的总金额，包括安全生产措施费等。</w:t>
      </w:r>
    </w:p>
    <w:p w14:paraId="10628990">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1.1.5.2 合同价格：是指发包人用于支付承包人按照合同约定完成承包范围内全部工作的金额，包括合同履行过程中按合同约定发生的价格变化。</w:t>
      </w:r>
    </w:p>
    <w:p w14:paraId="4E3FA0E5">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1.1.5.3 费用：是指为履行合同所发生的或将要发生的所有必需的开支，包括管理费和应分摊的其他费用，但不包括利润。</w:t>
      </w:r>
    </w:p>
    <w:p w14:paraId="7A4E4918">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1.1.5.4 暂估价：是指发包人在工程量清单或预算书中提供的用于支付必然发生但暂时不能确定价格的材料、工程设备的单价、专业工程以及服务工作的金额。</w:t>
      </w:r>
    </w:p>
    <w:p w14:paraId="0D98C26D">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 以及发生的索赔、现场签证确认等的费用。</w:t>
      </w:r>
    </w:p>
    <w:p w14:paraId="363B3847">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1.1.5.6 计日工：是指合同履行过程中，承包人完成发包人提出的零星工作或需要采用计日工计价的变更工作时，按合同中约定的单价计价的一种方式。</w:t>
      </w:r>
    </w:p>
    <w:p w14:paraId="01892FED">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1.1.5.7 质量保证金：是指按照第 15.3 款〔质量保证金〕约定承包人用于保证其在缺陷责任期内履行缺陷修补义务的担保。</w:t>
      </w:r>
    </w:p>
    <w:p w14:paraId="7124F5AE">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1.1.5.8 总价项目：是指在现行国家、行业以及地方的计量规则中无工程量计算规则，在已标价工程量清单或预算书中以总价或以费率形式计算的项目。</w:t>
      </w:r>
    </w:p>
    <w:p w14:paraId="0E59574D">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1.1.5.9 新增工程/额外工作：是指发包人要求并获得承包人接受的、不属于合同约定工程范围及（或）其完工交付要求范围，且无需另行办理行政或规划审批的实体工程，也可称为额外工作。</w:t>
      </w:r>
    </w:p>
    <w:p w14:paraId="5489DD54">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1.1.6 其他</w:t>
      </w:r>
    </w:p>
    <w:p w14:paraId="04E6F373">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1.1.6.1 书面形式：是指合同文件、信函、电报、传真等可以有形地表现所载内</w:t>
      </w:r>
      <w:bookmarkStart w:id="164" w:name="_bookmark19"/>
      <w:bookmarkEnd w:id="164"/>
      <w:r>
        <w:rPr>
          <w:rFonts w:hint="eastAsia" w:ascii="宋体" w:hAnsi="宋体" w:eastAsia="宋体" w:cs="宋体"/>
          <w:b w:val="0"/>
          <w:bCs w:val="0"/>
          <w:snapToGrid/>
          <w:color w:val="auto"/>
          <w:kern w:val="2"/>
          <w:sz w:val="21"/>
          <w:szCs w:val="21"/>
          <w:highlight w:val="none"/>
        </w:rPr>
        <w:t>容的形式。</w:t>
      </w:r>
    </w:p>
    <w:p w14:paraId="17C0AF07">
      <w:pPr>
        <w:pStyle w:val="3"/>
        <w:widowControl w:val="0"/>
        <w:kinsoku/>
        <w:autoSpaceDE/>
        <w:autoSpaceDN/>
        <w:adjustRightInd/>
        <w:snapToGrid/>
        <w:spacing w:before="120" w:after="120" w:line="380" w:lineRule="exact"/>
        <w:jc w:val="both"/>
        <w:textAlignment w:val="auto"/>
        <w:rPr>
          <w:rFonts w:ascii="宋体" w:hAnsi="宋体" w:eastAsia="宋体" w:cs="宋体"/>
          <w:snapToGrid/>
          <w:color w:val="auto"/>
          <w:kern w:val="2"/>
          <w:sz w:val="21"/>
          <w:szCs w:val="21"/>
          <w:highlight w:val="none"/>
        </w:rPr>
      </w:pPr>
      <w:bookmarkStart w:id="165" w:name="_Toc29713"/>
      <w:bookmarkStart w:id="166" w:name="_Toc13484"/>
      <w:bookmarkStart w:id="167" w:name="_Toc42"/>
      <w:bookmarkStart w:id="168" w:name="_Toc22785"/>
      <w:bookmarkStart w:id="169" w:name="_Toc25232"/>
      <w:r>
        <w:rPr>
          <w:rFonts w:hint="eastAsia" w:ascii="宋体" w:hAnsi="宋体" w:eastAsia="宋体" w:cs="宋体"/>
          <w:snapToGrid/>
          <w:color w:val="auto"/>
          <w:kern w:val="2"/>
          <w:sz w:val="21"/>
          <w:szCs w:val="21"/>
          <w:highlight w:val="none"/>
        </w:rPr>
        <w:t>1.2 语言文字</w:t>
      </w:r>
      <w:bookmarkEnd w:id="165"/>
      <w:bookmarkEnd w:id="166"/>
      <w:bookmarkEnd w:id="167"/>
      <w:bookmarkEnd w:id="168"/>
      <w:bookmarkEnd w:id="169"/>
    </w:p>
    <w:p w14:paraId="4B3462B4">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合同以中国的汉语简体文字编写、解释和说明。合同当事人在专用合同条款中约定使用两种以上语言时，汉语为优先解释和说明合同的语言。</w:t>
      </w:r>
    </w:p>
    <w:p w14:paraId="21E5CADE">
      <w:pPr>
        <w:pStyle w:val="3"/>
        <w:widowControl w:val="0"/>
        <w:kinsoku/>
        <w:autoSpaceDE/>
        <w:autoSpaceDN/>
        <w:adjustRightInd/>
        <w:snapToGrid/>
        <w:spacing w:before="120" w:after="120" w:line="380" w:lineRule="exact"/>
        <w:jc w:val="both"/>
        <w:textAlignment w:val="auto"/>
        <w:rPr>
          <w:rFonts w:ascii="宋体" w:hAnsi="宋体" w:eastAsia="宋体" w:cs="宋体"/>
          <w:snapToGrid/>
          <w:color w:val="auto"/>
          <w:kern w:val="2"/>
          <w:sz w:val="21"/>
          <w:szCs w:val="21"/>
          <w:highlight w:val="none"/>
        </w:rPr>
      </w:pPr>
      <w:bookmarkStart w:id="170" w:name="_bookmark20"/>
      <w:bookmarkEnd w:id="170"/>
      <w:bookmarkStart w:id="171" w:name="_Toc28122"/>
      <w:bookmarkStart w:id="172" w:name="_Toc22270"/>
      <w:bookmarkStart w:id="173" w:name="_Toc22427"/>
      <w:bookmarkStart w:id="174" w:name="_Toc17472"/>
      <w:bookmarkStart w:id="175" w:name="_Toc7532"/>
      <w:r>
        <w:rPr>
          <w:rFonts w:hint="eastAsia" w:ascii="宋体" w:hAnsi="宋体" w:eastAsia="宋体" w:cs="宋体"/>
          <w:snapToGrid/>
          <w:color w:val="auto"/>
          <w:kern w:val="2"/>
          <w:sz w:val="21"/>
          <w:szCs w:val="21"/>
          <w:highlight w:val="none"/>
        </w:rPr>
        <w:t>1.3 法律</w:t>
      </w:r>
      <w:bookmarkEnd w:id="171"/>
      <w:bookmarkEnd w:id="172"/>
      <w:bookmarkEnd w:id="173"/>
      <w:bookmarkEnd w:id="174"/>
      <w:bookmarkEnd w:id="175"/>
    </w:p>
    <w:p w14:paraId="1B8F7CBB">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合同所称法律是指中华人民共和国法律、行政法规、部门规章，以及工程所在地的地方性法规、自治条例、单行条例和地方政府规章等。</w:t>
      </w:r>
    </w:p>
    <w:p w14:paraId="56D4D1A6">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 xml:space="preserve">合同当事人可以在专用合同条款中约定合同适用的其他规范性文件。 </w:t>
      </w:r>
      <w:bookmarkStart w:id="176" w:name="_bookmark21"/>
      <w:bookmarkEnd w:id="176"/>
    </w:p>
    <w:p w14:paraId="0F23BAF0">
      <w:pPr>
        <w:pStyle w:val="4"/>
        <w:widowControl w:val="0"/>
        <w:kinsoku/>
        <w:autoSpaceDE/>
        <w:autoSpaceDN/>
        <w:adjustRightInd/>
        <w:snapToGrid/>
        <w:spacing w:before="120" w:after="120" w:line="380" w:lineRule="exact"/>
        <w:jc w:val="both"/>
        <w:textAlignment w:val="auto"/>
        <w:rPr>
          <w:rFonts w:ascii="宋体" w:hAnsi="宋体" w:eastAsia="宋体" w:cs="宋体"/>
          <w:b w:val="0"/>
          <w:bCs w:val="0"/>
          <w:snapToGrid/>
          <w:color w:val="auto"/>
          <w:kern w:val="2"/>
          <w:sz w:val="21"/>
          <w:szCs w:val="21"/>
          <w:highlight w:val="none"/>
        </w:rPr>
      </w:pPr>
      <w:bookmarkStart w:id="177" w:name="_Toc5417"/>
      <w:bookmarkStart w:id="178" w:name="_Toc6315"/>
      <w:bookmarkStart w:id="179" w:name="_Toc10349"/>
      <w:bookmarkStart w:id="180" w:name="_Toc8348"/>
      <w:bookmarkStart w:id="181" w:name="_Toc22479"/>
      <w:r>
        <w:rPr>
          <w:rFonts w:hint="eastAsia" w:ascii="宋体" w:hAnsi="宋体" w:eastAsia="宋体" w:cs="宋体"/>
          <w:snapToGrid/>
          <w:color w:val="auto"/>
          <w:kern w:val="2"/>
          <w:sz w:val="21"/>
          <w:szCs w:val="21"/>
          <w:highlight w:val="none"/>
        </w:rPr>
        <w:t>1.4  标准和规范</w:t>
      </w:r>
      <w:bookmarkEnd w:id="177"/>
      <w:bookmarkEnd w:id="178"/>
      <w:bookmarkEnd w:id="179"/>
      <w:bookmarkEnd w:id="180"/>
      <w:bookmarkEnd w:id="181"/>
    </w:p>
    <w:p w14:paraId="24A39029">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1.4.1 适用于工程的国家标准、行业标准、工程所在地的地方性标准，以及相应的规范、规程等，合同当事人有特别要求的，应在专用合同条款中约定。</w:t>
      </w:r>
    </w:p>
    <w:p w14:paraId="6C5DD3A5">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1.4.2 发包人要求使用国外标准、规范的，发包人负责提供原文版本和中文译本，并在专用合同条款中约定提供标准规范的名称、份数和时间。</w:t>
      </w:r>
    </w:p>
    <w:p w14:paraId="627BBB57">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358B8E0E">
      <w:pPr>
        <w:pStyle w:val="3"/>
        <w:widowControl w:val="0"/>
        <w:kinsoku/>
        <w:autoSpaceDE/>
        <w:autoSpaceDN/>
        <w:adjustRightInd/>
        <w:snapToGrid/>
        <w:spacing w:before="120" w:after="120" w:line="380" w:lineRule="exact"/>
        <w:jc w:val="both"/>
        <w:textAlignment w:val="auto"/>
        <w:rPr>
          <w:rFonts w:ascii="宋体" w:hAnsi="宋体" w:eastAsia="宋体" w:cs="宋体"/>
          <w:snapToGrid/>
          <w:color w:val="auto"/>
          <w:kern w:val="2"/>
          <w:sz w:val="21"/>
          <w:szCs w:val="21"/>
          <w:highlight w:val="none"/>
        </w:rPr>
      </w:pPr>
      <w:bookmarkStart w:id="182" w:name="_bookmark22"/>
      <w:bookmarkEnd w:id="182"/>
      <w:bookmarkStart w:id="183" w:name="_Toc11439"/>
      <w:bookmarkStart w:id="184" w:name="_Toc16287"/>
      <w:bookmarkStart w:id="185" w:name="_Toc12899"/>
      <w:bookmarkStart w:id="186" w:name="_Toc308"/>
      <w:bookmarkStart w:id="187" w:name="_Toc13713"/>
      <w:r>
        <w:rPr>
          <w:rFonts w:hint="eastAsia" w:ascii="宋体" w:hAnsi="宋体" w:eastAsia="宋体" w:cs="宋体"/>
          <w:snapToGrid/>
          <w:color w:val="auto"/>
          <w:kern w:val="2"/>
          <w:sz w:val="21"/>
          <w:szCs w:val="21"/>
          <w:highlight w:val="none"/>
        </w:rPr>
        <w:t>1.5  合同文件的优先顺序</w:t>
      </w:r>
      <w:bookmarkEnd w:id="183"/>
      <w:bookmarkEnd w:id="184"/>
      <w:bookmarkEnd w:id="185"/>
      <w:bookmarkEnd w:id="186"/>
      <w:bookmarkEnd w:id="187"/>
    </w:p>
    <w:p w14:paraId="1E72A08E">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组成合同的各项文件应互相解释，互为说明。除专用合同条款另有约定外，解释合同文件的优先顺序如下：</w:t>
      </w:r>
    </w:p>
    <w:p w14:paraId="300B974F">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 合同协议书；</w:t>
      </w:r>
    </w:p>
    <w:p w14:paraId="0460019C">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 中标通知书(如果有) ；</w:t>
      </w:r>
    </w:p>
    <w:p w14:paraId="48B8C1AE">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 专用合同条款及其附件；</w:t>
      </w:r>
    </w:p>
    <w:p w14:paraId="18C0217B">
      <w:pPr>
        <w:pStyle w:val="4"/>
        <w:widowControl w:val="0"/>
        <w:kinsoku/>
        <w:autoSpaceDE/>
        <w:autoSpaceDN/>
        <w:adjustRightInd/>
        <w:snapToGrid/>
        <w:spacing w:before="120" w:after="120" w:line="38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 通用合同条款；</w:t>
      </w:r>
    </w:p>
    <w:p w14:paraId="471DE382">
      <w:pPr>
        <w:autoSpaceDE/>
        <w:autoSpaceDN/>
        <w:spacing w:line="380" w:lineRule="exact"/>
        <w:ind w:firstLine="420"/>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(5)招标文件、补充通知（补遗书）、招标会议纪要及附件；</w:t>
      </w:r>
    </w:p>
    <w:p w14:paraId="4A73A0D4">
      <w:pPr>
        <w:keepNext/>
        <w:keepLines/>
        <w:widowControl w:val="0"/>
        <w:kinsoku/>
        <w:autoSpaceDE/>
        <w:autoSpaceDN/>
        <w:adjustRightInd/>
        <w:snapToGrid/>
        <w:spacing w:before="120" w:after="120" w:line="380" w:lineRule="exact"/>
        <w:ind w:firstLine="420" w:firstLineChars="200"/>
        <w:jc w:val="both"/>
        <w:textAlignment w:val="auto"/>
        <w:outlineLvl w:val="4"/>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(6) 投标函及其附录(如果有)</w:t>
      </w:r>
    </w:p>
    <w:p w14:paraId="6C99CD59">
      <w:pPr>
        <w:pStyle w:val="5"/>
        <w:ind w:firstLine="420"/>
        <w:rPr>
          <w:color w:val="auto"/>
          <w:highlight w:val="none"/>
        </w:rPr>
      </w:pPr>
    </w:p>
    <w:p w14:paraId="376FF25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 技术标准和要求；</w:t>
      </w:r>
    </w:p>
    <w:p w14:paraId="57E196B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 图纸；</w:t>
      </w:r>
    </w:p>
    <w:p w14:paraId="20C3592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(9) 合同清单或预算书；</w:t>
      </w:r>
    </w:p>
    <w:p w14:paraId="185CB09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(10) 其他合同文件。</w:t>
      </w:r>
    </w:p>
    <w:p w14:paraId="6BBE82A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上述各项合同文件包括合同当事人就该项合同文件所作出的补充和修改，属于同一类内容的文件，应以最新签署的为准。</w:t>
      </w:r>
    </w:p>
    <w:p w14:paraId="6C61A32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在合同订立及履行过程中形成的与合同有关的文件均构成合同文件组成部分，</w:t>
      </w:r>
      <w:bookmarkStart w:id="188" w:name="_bookmark23"/>
      <w:bookmarkEnd w:id="188"/>
      <w:r>
        <w:rPr>
          <w:rFonts w:hint="eastAsia" w:ascii="宋体" w:hAnsi="宋体" w:eastAsia="宋体" w:cs="宋体"/>
          <w:b w:val="0"/>
          <w:bCs w:val="0"/>
          <w:snapToGrid/>
          <w:color w:val="auto"/>
          <w:kern w:val="2"/>
          <w:sz w:val="21"/>
          <w:szCs w:val="21"/>
          <w:highlight w:val="none"/>
        </w:rPr>
        <w:t>并根据其性质确定优先解释顺序。</w:t>
      </w:r>
    </w:p>
    <w:p w14:paraId="13450404">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189" w:name="_Toc31096"/>
      <w:bookmarkStart w:id="190" w:name="_Toc20644"/>
      <w:bookmarkStart w:id="191" w:name="_Toc21505"/>
      <w:bookmarkStart w:id="192" w:name="_Toc27484"/>
      <w:bookmarkStart w:id="193" w:name="_Toc7037"/>
      <w:r>
        <w:rPr>
          <w:rFonts w:hint="eastAsia" w:ascii="宋体" w:hAnsi="宋体" w:eastAsia="宋体" w:cs="宋体"/>
          <w:snapToGrid/>
          <w:color w:val="auto"/>
          <w:kern w:val="2"/>
          <w:sz w:val="21"/>
          <w:szCs w:val="21"/>
          <w:highlight w:val="none"/>
        </w:rPr>
        <w:t>1.6 图纸和承包人文件</w:t>
      </w:r>
      <w:bookmarkEnd w:id="189"/>
      <w:bookmarkEnd w:id="190"/>
      <w:bookmarkEnd w:id="191"/>
      <w:bookmarkEnd w:id="192"/>
      <w:bookmarkEnd w:id="193"/>
    </w:p>
    <w:p w14:paraId="12F28D8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1.6.1 图纸的提供和交底</w:t>
      </w:r>
    </w:p>
    <w:p w14:paraId="36BF72C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发包人应按照专用合同条款约定的期限、数量和内容向承包人免费提供图纸，并组织承包人、监理人和设计人进行图纸会审和设计交底。发包人至迟不得晚于第 7.3.2 项〔开工通知〕载明的开工日期前 14 天向承包人提供图纸。</w:t>
      </w:r>
    </w:p>
    <w:p w14:paraId="77A1FFC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因发包人未按合同约定提供图纸导致承包人费用增加和(或) 工期延误的， 按照第 7.5.1 项〔因发包人原因导致工期延误〕约定办理。</w:t>
      </w:r>
    </w:p>
    <w:p w14:paraId="1F35930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1.6.2 图纸的错误</w:t>
      </w:r>
    </w:p>
    <w:p w14:paraId="631F4D1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1C93D4D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1.6.3 图纸的修改和补充</w:t>
      </w:r>
    </w:p>
    <w:p w14:paraId="3AAF356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6A05AED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1.6.4 承包人文件</w:t>
      </w:r>
    </w:p>
    <w:p w14:paraId="35309DB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承包人应按照专用合同条款的约定提供应当由其编制的与工程施工有关的文件，并按照专用合同条款约定的期限、数量和形式提交监理人，并由监理人报送发包人。</w:t>
      </w:r>
    </w:p>
    <w:p w14:paraId="7282732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除专用合同条款另有约定外，监理人应在收到承包人文件后 7天内审查完毕，监理人对承包人文件有异议的， 承包人应予以修改，并重新报送监理人。监理人的审查并不减轻或免除承包人根据合同约定应当承担的责任。</w:t>
      </w:r>
    </w:p>
    <w:p w14:paraId="276118D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1.6.5 图纸和承包人文件的保管</w:t>
      </w:r>
    </w:p>
    <w:p w14:paraId="6E5BE60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除专用合同条款另有约定外，承包人应在施工现场另外保存一套完整的图纸和承包人文件，供发包人、监理人及有关人员进行工程检查时使用。</w:t>
      </w:r>
    </w:p>
    <w:p w14:paraId="59256E69">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194" w:name="_bookmark24"/>
      <w:bookmarkEnd w:id="194"/>
      <w:bookmarkStart w:id="195" w:name="_Toc10188"/>
      <w:bookmarkStart w:id="196" w:name="_Toc32041"/>
      <w:bookmarkStart w:id="197" w:name="_Toc18378"/>
      <w:bookmarkStart w:id="198" w:name="_Toc16284"/>
      <w:bookmarkStart w:id="199" w:name="_Toc14073"/>
      <w:r>
        <w:rPr>
          <w:rFonts w:hint="eastAsia" w:ascii="宋体" w:hAnsi="宋体" w:eastAsia="宋体" w:cs="宋体"/>
          <w:snapToGrid/>
          <w:color w:val="auto"/>
          <w:kern w:val="2"/>
          <w:sz w:val="21"/>
          <w:szCs w:val="21"/>
          <w:highlight w:val="none"/>
        </w:rPr>
        <w:t>1.7 联络</w:t>
      </w:r>
      <w:bookmarkEnd w:id="195"/>
      <w:bookmarkEnd w:id="196"/>
      <w:bookmarkEnd w:id="197"/>
      <w:bookmarkEnd w:id="198"/>
      <w:bookmarkEnd w:id="199"/>
    </w:p>
    <w:p w14:paraId="47129E0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1.7.1 与合同有关的通知、批准、证明、证书、指示、指令、要求、请求、同意、意见、确定和决定等，均应采用书面形式，并应在合同约定的期限内送达接收人和送 达地点。</w:t>
      </w:r>
    </w:p>
    <w:p w14:paraId="5083D55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1.7.2 发包人和承包人应在专用合同条款中约定各自的送达接收人和送达地点。任何一方合同当事人指定的接收人或送达地点发生变动的，应提前3天以书面形式通知对方。</w:t>
      </w:r>
    </w:p>
    <w:p w14:paraId="0B143C9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1.7.3 发包人和承包人应当及时签收另一方送达至送达地点和指定接收人的来往信函。拒不签收的，由此增加的费用和(或)延误的工期由拒绝接收一方承担。</w:t>
      </w:r>
    </w:p>
    <w:p w14:paraId="51121B2B">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200" w:name="_bookmark25"/>
      <w:bookmarkEnd w:id="200"/>
      <w:bookmarkStart w:id="201" w:name="_Toc2058"/>
      <w:bookmarkStart w:id="202" w:name="_Toc13239"/>
      <w:bookmarkStart w:id="203" w:name="_Toc15017"/>
      <w:bookmarkStart w:id="204" w:name="_Toc16023"/>
      <w:bookmarkStart w:id="205" w:name="_Toc9039"/>
      <w:r>
        <w:rPr>
          <w:rFonts w:hint="eastAsia" w:ascii="宋体" w:hAnsi="宋体" w:eastAsia="宋体" w:cs="宋体"/>
          <w:snapToGrid/>
          <w:color w:val="auto"/>
          <w:kern w:val="2"/>
          <w:sz w:val="21"/>
          <w:szCs w:val="21"/>
          <w:highlight w:val="none"/>
        </w:rPr>
        <w:t>1.8 严禁贿赂</w:t>
      </w:r>
      <w:bookmarkEnd w:id="201"/>
      <w:bookmarkEnd w:id="202"/>
      <w:bookmarkEnd w:id="203"/>
      <w:bookmarkEnd w:id="204"/>
      <w:bookmarkEnd w:id="205"/>
    </w:p>
    <w:p w14:paraId="7618285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合同当事人不得以贿赂或变相贿赂的方式，谋取非法利益或损害对方权益。因一方合同当事人的贿赂造成对方损失的，应赔偿损失，并承担相应的法律责任。</w:t>
      </w:r>
    </w:p>
    <w:p w14:paraId="0B32FA3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09E24848">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206" w:name="_bookmark26"/>
      <w:bookmarkEnd w:id="206"/>
      <w:bookmarkStart w:id="207" w:name="_Toc21564"/>
      <w:bookmarkStart w:id="208" w:name="_Toc3848"/>
      <w:bookmarkStart w:id="209" w:name="_Toc5130"/>
      <w:bookmarkStart w:id="210" w:name="_Toc10038"/>
      <w:bookmarkStart w:id="211" w:name="_Toc26247"/>
      <w:r>
        <w:rPr>
          <w:rFonts w:hint="eastAsia" w:ascii="宋体" w:hAnsi="宋体" w:eastAsia="宋体" w:cs="宋体"/>
          <w:snapToGrid/>
          <w:color w:val="auto"/>
          <w:kern w:val="2"/>
          <w:sz w:val="21"/>
          <w:szCs w:val="21"/>
          <w:highlight w:val="none"/>
        </w:rPr>
        <w:t>1.9 化石、文物</w:t>
      </w:r>
      <w:bookmarkEnd w:id="207"/>
      <w:bookmarkEnd w:id="208"/>
      <w:bookmarkEnd w:id="209"/>
      <w:bookmarkEnd w:id="210"/>
      <w:bookmarkEnd w:id="211"/>
    </w:p>
    <w:p w14:paraId="1C0BC8E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在施工现场发掘的所有文物、古迹以及具有地质研究或考古价值的其他遗迹、化石、钱币或物品属于国家所有。一旦发现上述文物， 承包人应采取合理有效的保护措 施，防止任何人员移动或损坏上述物品，并立即报告有关政府行政管理部门，同时通知监理人。</w:t>
      </w:r>
    </w:p>
    <w:p w14:paraId="6080A02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发包人、监理人和承包人应按有关政府行政管理部门要求采取妥善的保护措施，由此增加的费用和 (或) 延误的工期由发包人承担。</w:t>
      </w:r>
    </w:p>
    <w:p w14:paraId="1F90FAF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承包人发现文物后不及时报告或隐瞒不报，致使文物丢失或损坏的，应赔偿损失，</w:t>
      </w:r>
      <w:bookmarkStart w:id="212" w:name="_bookmark27"/>
      <w:bookmarkEnd w:id="212"/>
      <w:r>
        <w:rPr>
          <w:rFonts w:hint="eastAsia" w:ascii="宋体" w:hAnsi="宋体" w:eastAsia="宋体" w:cs="宋体"/>
          <w:b w:val="0"/>
          <w:bCs w:val="0"/>
          <w:snapToGrid/>
          <w:color w:val="auto"/>
          <w:kern w:val="2"/>
          <w:sz w:val="21"/>
          <w:szCs w:val="21"/>
          <w:highlight w:val="none"/>
        </w:rPr>
        <w:t>并承担相应的法律责任。</w:t>
      </w:r>
    </w:p>
    <w:p w14:paraId="6F5BAB4A">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213" w:name="_Toc12875"/>
      <w:bookmarkStart w:id="214" w:name="_Toc30463"/>
      <w:bookmarkStart w:id="215" w:name="_Toc3010"/>
      <w:bookmarkStart w:id="216" w:name="_Toc19955"/>
      <w:bookmarkStart w:id="217" w:name="_Toc17666"/>
      <w:r>
        <w:rPr>
          <w:rFonts w:hint="eastAsia" w:ascii="宋体" w:hAnsi="宋体" w:eastAsia="宋体" w:cs="宋体"/>
          <w:snapToGrid/>
          <w:color w:val="auto"/>
          <w:kern w:val="2"/>
          <w:sz w:val="21"/>
          <w:szCs w:val="21"/>
          <w:highlight w:val="none"/>
        </w:rPr>
        <w:t>1.10 交通运输</w:t>
      </w:r>
      <w:bookmarkEnd w:id="213"/>
      <w:bookmarkEnd w:id="214"/>
      <w:bookmarkEnd w:id="215"/>
      <w:bookmarkEnd w:id="216"/>
      <w:bookmarkEnd w:id="217"/>
    </w:p>
    <w:p w14:paraId="66F105C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1.10.1 出入现场的权利</w:t>
      </w:r>
    </w:p>
    <w:p w14:paraId="0FA4CDA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0C61107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承包人应在订立合同前查勘施工现场，并根据工程规模及技术参数合理预见工程施工所需的进出施工现场的方式、手段、路径等。因承包人未合理预见所增加的费用 和(或)延误的工期由承包人承担。</w:t>
      </w:r>
    </w:p>
    <w:p w14:paraId="78EA165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1.10.2 场外交通</w:t>
      </w:r>
    </w:p>
    <w:p w14:paraId="7A52CA0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发包人应提供场外交通设施的技术参数和具体条件， 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1E668C4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1.10.3 场内交通</w:t>
      </w:r>
    </w:p>
    <w:p w14:paraId="13C2D5E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6372F31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7707930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场外交通和场内交通的边界由合同当事人在专用合同条款中约定。</w:t>
      </w:r>
    </w:p>
    <w:p w14:paraId="5FA3E8E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 xml:space="preserve"> 1.10.4 超大件和超重件的运输</w:t>
      </w:r>
    </w:p>
    <w:p w14:paraId="2F392E5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7D9965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1.10.5 道路和桥梁的损坏责任</w:t>
      </w:r>
    </w:p>
    <w:p w14:paraId="43B0EBD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因承包人运输造成施工场地内外公共道路和桥梁损坏的，由承包人承担修复损坏的全部费用和可能引起的赔偿。</w:t>
      </w:r>
    </w:p>
    <w:p w14:paraId="0299EB3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1.10.6 水路和航空运输</w:t>
      </w:r>
    </w:p>
    <w:p w14:paraId="23AC542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本款前述各项的内容适用于水路运输和航空运输，其中“道路”一词的涵义包括河道、航线、船闸、机场、码头、堤防以及水路或航空运输中其他相似结构物；“车辆”</w:t>
      </w:r>
      <w:bookmarkStart w:id="218" w:name="_bookmark28"/>
      <w:bookmarkEnd w:id="218"/>
      <w:r>
        <w:rPr>
          <w:rFonts w:hint="eastAsia" w:ascii="宋体" w:hAnsi="宋体" w:eastAsia="宋体" w:cs="宋体"/>
          <w:b w:val="0"/>
          <w:bCs w:val="0"/>
          <w:snapToGrid/>
          <w:color w:val="auto"/>
          <w:kern w:val="2"/>
          <w:sz w:val="21"/>
          <w:szCs w:val="21"/>
          <w:highlight w:val="none"/>
        </w:rPr>
        <w:t>一词的涵义包括船舶和飞机等。</w:t>
      </w:r>
    </w:p>
    <w:p w14:paraId="7048EF30">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219" w:name="_Toc5802"/>
      <w:bookmarkStart w:id="220" w:name="_Toc29886"/>
      <w:bookmarkStart w:id="221" w:name="_Toc21097"/>
      <w:bookmarkStart w:id="222" w:name="_Toc17816"/>
      <w:bookmarkStart w:id="223" w:name="_Toc31655"/>
      <w:r>
        <w:rPr>
          <w:rFonts w:hint="eastAsia" w:ascii="宋体" w:hAnsi="宋体" w:eastAsia="宋体" w:cs="宋体"/>
          <w:snapToGrid/>
          <w:color w:val="auto"/>
          <w:kern w:val="2"/>
          <w:sz w:val="21"/>
          <w:szCs w:val="21"/>
          <w:highlight w:val="none"/>
        </w:rPr>
        <w:t>1.11 知识产权</w:t>
      </w:r>
      <w:bookmarkEnd w:id="219"/>
      <w:bookmarkEnd w:id="220"/>
      <w:bookmarkEnd w:id="221"/>
      <w:bookmarkEnd w:id="222"/>
      <w:bookmarkEnd w:id="223"/>
    </w:p>
    <w:p w14:paraId="560DF8C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1.11.1 除专用合同条款另有约定外，发包人提供给承包人的图纸、发包人为实施工程自行编制或委托编制的技术规范以及反映发包人要求的或其他类似性质的文件 的著作权属于发包人， 承包人可以为实现合同目的而复制、使用此类文件， 但不能用 于与合同无关的其他事项。未经发包人书面同意，承包人不得为了合同以外的目的而 复制、使用上述文件或将之提供给任何第三方。</w:t>
      </w:r>
    </w:p>
    <w:p w14:paraId="10EA95E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1.11.2 除专用合同条款另有约定外，承包人为实施工程所编制的文件，除署名权以外的著作权属于发包人，承包人可因实施工程的运行、调试、维修、改造等目的而复制、使用此类文件， 但不能用于与合同无关的其他事项。未经发包人书面同意，承 包人不得为了合同以外的目的而复制、使用上述文件或将之提供给任何第三方。</w:t>
      </w:r>
    </w:p>
    <w:p w14:paraId="4A2F1EB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1.11.3 合同当事人保证在履行合同过程中不侵犯对方及第三方的知识产权。承包人在使用材料、施工设备、工程设备或采用施工工艺时， 因侵犯他人的专利权或其他知识产权所引起的责任，由承包人承担；因发包人提供的材料、施工设备、工程设备或施工工艺导致侵权的，由发包人承担责任。</w:t>
      </w:r>
    </w:p>
    <w:p w14:paraId="7829B0B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1.11.4 除专用合同条款另有约定外，承包人在合同签订前和签订时已确定采用的专利、专有技术、技术秘密的使用费已包含在签约合同价中。</w:t>
      </w:r>
    </w:p>
    <w:p w14:paraId="7272F2E1">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224" w:name="_bookmark29"/>
      <w:bookmarkEnd w:id="224"/>
      <w:bookmarkStart w:id="225" w:name="_Toc22922"/>
      <w:bookmarkStart w:id="226" w:name="_Toc13360"/>
      <w:bookmarkStart w:id="227" w:name="_Toc23754"/>
      <w:bookmarkStart w:id="228" w:name="_Toc24016"/>
      <w:bookmarkStart w:id="229" w:name="_Toc16218"/>
      <w:r>
        <w:rPr>
          <w:rFonts w:hint="eastAsia" w:ascii="宋体" w:hAnsi="宋体" w:eastAsia="宋体" w:cs="宋体"/>
          <w:snapToGrid/>
          <w:color w:val="auto"/>
          <w:kern w:val="2"/>
          <w:sz w:val="21"/>
          <w:szCs w:val="21"/>
          <w:highlight w:val="none"/>
        </w:rPr>
        <w:t>1.12 保密</w:t>
      </w:r>
      <w:bookmarkEnd w:id="225"/>
      <w:bookmarkEnd w:id="226"/>
      <w:bookmarkEnd w:id="227"/>
      <w:bookmarkEnd w:id="228"/>
      <w:bookmarkEnd w:id="229"/>
    </w:p>
    <w:p w14:paraId="377B361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除法律规定或合同另有约定外，未经发包人同意，承包人不得将发包人提供的图纸、文件以及声明需要保密的资料信息等商业秘密泄露给第三方。</w:t>
      </w:r>
    </w:p>
    <w:p w14:paraId="305D32C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除法律规定或合同另有约定外，未经承包人同意，发包人不得将承包人提供的技术秘密及声明需要保密的资料信息等商业秘密泄露给第三方。</w:t>
      </w:r>
    </w:p>
    <w:p w14:paraId="6043AB68">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230" w:name="_bookmark30"/>
      <w:bookmarkEnd w:id="230"/>
      <w:bookmarkStart w:id="231" w:name="_Toc9258"/>
      <w:bookmarkStart w:id="232" w:name="_Toc14683"/>
      <w:bookmarkStart w:id="233" w:name="_Toc3964"/>
      <w:bookmarkStart w:id="234" w:name="_Toc11268"/>
      <w:bookmarkStart w:id="235" w:name="_Toc16999"/>
      <w:r>
        <w:rPr>
          <w:rFonts w:hint="eastAsia" w:ascii="宋体" w:hAnsi="宋体" w:eastAsia="宋体" w:cs="宋体"/>
          <w:snapToGrid/>
          <w:color w:val="auto"/>
          <w:kern w:val="2"/>
          <w:sz w:val="21"/>
          <w:szCs w:val="21"/>
          <w:highlight w:val="none"/>
        </w:rPr>
        <w:t>1.13 工程量清单缺陷的修正</w:t>
      </w:r>
      <w:bookmarkEnd w:id="231"/>
      <w:bookmarkEnd w:id="232"/>
      <w:bookmarkEnd w:id="233"/>
      <w:bookmarkEnd w:id="234"/>
      <w:bookmarkEnd w:id="235"/>
    </w:p>
    <w:p w14:paraId="6F0591C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工程量清单缺陷是指工程量清单的分部分项工程项目清单所列的清单项目与对应的图纸、合同标准、规范和要求所要求的清单项目在列项、项目特征、工程数量上存在的差异，包括工程量清单多列项、错漏项、项目特征不符、工程数量偏差或其他同类情形。合同当事人可以在专用合同条款中选择以下方式处理工程量清单缺陷事项：</w:t>
      </w:r>
    </w:p>
    <w:p w14:paraId="2E17D5C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1.13.1采用总价合同的，合同价格不因工程量清单缺陷调整。</w:t>
      </w:r>
    </w:p>
    <w:p w14:paraId="7E22F9DA">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236" w:name="_bookmark31"/>
      <w:bookmarkEnd w:id="236"/>
      <w:bookmarkStart w:id="237" w:name="_Toc20883"/>
      <w:bookmarkStart w:id="238" w:name="_Toc2164"/>
      <w:bookmarkStart w:id="239" w:name="_Toc26228"/>
      <w:bookmarkStart w:id="240" w:name="_Toc8483"/>
      <w:bookmarkStart w:id="241" w:name="_Toc4358"/>
      <w:r>
        <w:rPr>
          <w:rFonts w:hint="eastAsia" w:ascii="宋体" w:hAnsi="宋体" w:eastAsia="宋体" w:cs="宋体"/>
          <w:snapToGrid/>
          <w:color w:val="auto"/>
          <w:kern w:val="2"/>
          <w:sz w:val="21"/>
          <w:szCs w:val="21"/>
          <w:highlight w:val="none"/>
        </w:rPr>
        <w:t>2. 发包人</w:t>
      </w:r>
      <w:bookmarkEnd w:id="237"/>
      <w:bookmarkEnd w:id="238"/>
      <w:bookmarkEnd w:id="239"/>
      <w:bookmarkEnd w:id="240"/>
      <w:bookmarkEnd w:id="241"/>
    </w:p>
    <w:p w14:paraId="131D030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242" w:name="_bookmark32"/>
      <w:bookmarkEnd w:id="242"/>
      <w:bookmarkStart w:id="243" w:name="_Toc5723"/>
      <w:bookmarkStart w:id="244" w:name="_Toc29216"/>
      <w:bookmarkStart w:id="245" w:name="_Toc18853"/>
      <w:bookmarkStart w:id="246" w:name="_Toc32619"/>
      <w:bookmarkStart w:id="247" w:name="_Toc12936"/>
      <w:r>
        <w:rPr>
          <w:rFonts w:hint="eastAsia" w:ascii="宋体" w:hAnsi="宋体" w:eastAsia="宋体" w:cs="宋体"/>
          <w:b w:val="0"/>
          <w:bCs w:val="0"/>
          <w:snapToGrid/>
          <w:color w:val="auto"/>
          <w:kern w:val="2"/>
          <w:sz w:val="21"/>
          <w:szCs w:val="21"/>
          <w:highlight w:val="none"/>
        </w:rPr>
        <w:t>2.1 许可或批准</w:t>
      </w:r>
      <w:bookmarkEnd w:id="243"/>
      <w:bookmarkEnd w:id="244"/>
      <w:bookmarkEnd w:id="245"/>
      <w:bookmarkEnd w:id="246"/>
      <w:bookmarkEnd w:id="247"/>
    </w:p>
    <w:p w14:paraId="5D31A12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发包人应遵守法律，并办理法律规定由其办理的许可、批准或备案，包括但不限于建设用地规划许可证、建设工程规划许可证、建设工程施工许可证、施工所需临时 用水、临时用电、中断道路交通、临时占用土地等许可和批准。发包人应协助承包人 办理法律规定的有关施工证件和批件。</w:t>
      </w:r>
    </w:p>
    <w:p w14:paraId="7E3452A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因发包人原因未能及时办理完毕前述许可、批准或备案，由发包人承担由此增加的费用和(或)延误的工期。</w:t>
      </w:r>
    </w:p>
    <w:p w14:paraId="5394E23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248" w:name="_bookmark33"/>
      <w:bookmarkEnd w:id="248"/>
      <w:bookmarkStart w:id="249" w:name="_Toc25657"/>
      <w:bookmarkStart w:id="250" w:name="_Toc7581"/>
      <w:bookmarkStart w:id="251" w:name="_Toc2353"/>
      <w:bookmarkStart w:id="252" w:name="_Toc16607"/>
      <w:bookmarkStart w:id="253" w:name="_Toc4923"/>
      <w:r>
        <w:rPr>
          <w:rFonts w:hint="eastAsia" w:ascii="宋体" w:hAnsi="宋体" w:eastAsia="宋体" w:cs="宋体"/>
          <w:b w:val="0"/>
          <w:bCs w:val="0"/>
          <w:snapToGrid/>
          <w:color w:val="auto"/>
          <w:kern w:val="2"/>
          <w:sz w:val="21"/>
          <w:szCs w:val="21"/>
          <w:highlight w:val="none"/>
        </w:rPr>
        <w:t>2.2  发包人代表</w:t>
      </w:r>
      <w:bookmarkEnd w:id="249"/>
      <w:bookmarkEnd w:id="250"/>
      <w:bookmarkEnd w:id="251"/>
      <w:bookmarkEnd w:id="252"/>
      <w:bookmarkEnd w:id="253"/>
    </w:p>
    <w:p w14:paraId="7C9687E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 7 天书面通知承包人。</w:t>
      </w:r>
    </w:p>
    <w:p w14:paraId="5538C06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发包人代表不能按照合同约定履行其职责及义务，并导致合同无法继续正常履行的，承包人可以要求发包人撤换发包人代表。</w:t>
      </w:r>
    </w:p>
    <w:p w14:paraId="40152C7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不属于法定必须监理的工程，监理人的职权可以由发包人代表或发包人指定的其他人员行使。</w:t>
      </w:r>
    </w:p>
    <w:p w14:paraId="5AF1BF0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254" w:name="_bookmark34"/>
      <w:bookmarkEnd w:id="254"/>
      <w:bookmarkStart w:id="255" w:name="_Toc15681"/>
      <w:bookmarkStart w:id="256" w:name="_Toc31696"/>
      <w:bookmarkStart w:id="257" w:name="_Toc27362"/>
      <w:bookmarkStart w:id="258" w:name="_Toc15459"/>
      <w:bookmarkStart w:id="259" w:name="_Toc16780"/>
      <w:r>
        <w:rPr>
          <w:rFonts w:hint="eastAsia" w:ascii="宋体" w:hAnsi="宋体" w:eastAsia="宋体" w:cs="宋体"/>
          <w:b w:val="0"/>
          <w:bCs w:val="0"/>
          <w:snapToGrid/>
          <w:color w:val="auto"/>
          <w:kern w:val="2"/>
          <w:sz w:val="21"/>
          <w:szCs w:val="21"/>
          <w:highlight w:val="none"/>
        </w:rPr>
        <w:t>2.3  发包人人员</w:t>
      </w:r>
      <w:bookmarkEnd w:id="255"/>
      <w:bookmarkEnd w:id="256"/>
      <w:bookmarkEnd w:id="257"/>
      <w:bookmarkEnd w:id="258"/>
      <w:bookmarkEnd w:id="259"/>
    </w:p>
    <w:p w14:paraId="269C84C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发包人应要求在施工现场的发包人人员遵守法律及有关安全、质量、环境保护、文明施工等规定，并保障承包人免于承受因发包人人员未遵守上述要求给承包人造成的损失和责任。</w:t>
      </w:r>
    </w:p>
    <w:p w14:paraId="12C4AA4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 xml:space="preserve">发包人人员包括发包人代表及其他由发包人派驻施工现场的人员。 </w:t>
      </w:r>
      <w:bookmarkStart w:id="260" w:name="_bookmark35"/>
      <w:bookmarkEnd w:id="260"/>
    </w:p>
    <w:p w14:paraId="2170F3C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261" w:name="_Toc8206"/>
      <w:bookmarkStart w:id="262" w:name="_Toc10179"/>
      <w:bookmarkStart w:id="263" w:name="_Toc7503"/>
      <w:bookmarkStart w:id="264" w:name="_Toc27513"/>
      <w:bookmarkStart w:id="265" w:name="_Toc18300"/>
      <w:r>
        <w:rPr>
          <w:rFonts w:hint="eastAsia" w:ascii="宋体" w:hAnsi="宋体" w:eastAsia="宋体" w:cs="宋体"/>
          <w:b w:val="0"/>
          <w:bCs w:val="0"/>
          <w:snapToGrid/>
          <w:color w:val="auto"/>
          <w:kern w:val="2"/>
          <w:sz w:val="21"/>
          <w:szCs w:val="21"/>
          <w:highlight w:val="none"/>
        </w:rPr>
        <w:t>2.4  施工现场、施工条件和基础资料的提供</w:t>
      </w:r>
      <w:bookmarkEnd w:id="261"/>
      <w:bookmarkEnd w:id="262"/>
      <w:bookmarkEnd w:id="263"/>
      <w:bookmarkEnd w:id="264"/>
      <w:bookmarkEnd w:id="265"/>
    </w:p>
    <w:p w14:paraId="2DABD79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2.4.1  提供施工现场</w:t>
      </w:r>
    </w:p>
    <w:p w14:paraId="524E1FD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除专用合同条款另有约定外，发包人应最迟于开工日期 7 天前向承包人移交施工现场。</w:t>
      </w:r>
    </w:p>
    <w:p w14:paraId="5F971B9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2.4.2  提供施工条件</w:t>
      </w:r>
    </w:p>
    <w:p w14:paraId="01D6458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除专用合同条款另有约定外，发包人应负责提供施工所需要的条件，包括：</w:t>
      </w:r>
    </w:p>
    <w:p w14:paraId="459C2BA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 将施工用水、电力、通讯线路等施工所必需的条件接至施工现场内；</w:t>
      </w:r>
    </w:p>
    <w:p w14:paraId="093CE67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 保证向承包人提供正常施工所需要的进入施工现场的交通条件；</w:t>
      </w:r>
    </w:p>
    <w:p w14:paraId="2D19AFA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 协调处理施工现场周围地下管线和邻近建筑物、构筑物、古树名木的保护工作，并承担相关费用；</w:t>
      </w:r>
    </w:p>
    <w:p w14:paraId="5AE592D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 按照专用合同条款约定应提供的其他设施和条件。</w:t>
      </w:r>
    </w:p>
    <w:p w14:paraId="52579CD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2.4.3  提供基础资料</w:t>
      </w:r>
    </w:p>
    <w:p w14:paraId="75847FB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发包人应当在移交施工现场前向承包人提供施工现场及工程施工所必需的毗邻区域内供水、排水、供电、供气、供热、通信、广播电视等地下管线资料，气象和水文观测资料，地质勘察资料， 相邻建筑物、构筑物和地下工程等有关基础资料，并对所提供资料的真实性、准确性和完整性负责。</w:t>
      </w:r>
    </w:p>
    <w:p w14:paraId="2957FD4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按照法律规定确需在开工后方能提供的基础资料，发包人应尽其努力及时地在相应工程施工前的合理期限内提供，合理期限应以不影响承包人的正常施工为限。</w:t>
      </w:r>
    </w:p>
    <w:p w14:paraId="1D67A58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2.4.4  逾期提供的责任</w:t>
      </w:r>
    </w:p>
    <w:p w14:paraId="1ED6217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因发包人原因未能按合同约定及时向承包人提供施工现场、施工条件、基础资料的，由发包人承担由此增加的费用和(或)延误的工期。</w:t>
      </w:r>
    </w:p>
    <w:p w14:paraId="7692147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266" w:name="_bookmark36"/>
      <w:bookmarkEnd w:id="266"/>
      <w:bookmarkStart w:id="267" w:name="_Toc5446"/>
      <w:bookmarkStart w:id="268" w:name="_Toc11946"/>
      <w:bookmarkStart w:id="269" w:name="_Toc24402"/>
      <w:bookmarkStart w:id="270" w:name="_Toc9684"/>
      <w:bookmarkStart w:id="271" w:name="_Toc17011"/>
      <w:r>
        <w:rPr>
          <w:rFonts w:hint="eastAsia" w:ascii="宋体" w:hAnsi="宋体" w:eastAsia="宋体" w:cs="宋体"/>
          <w:b w:val="0"/>
          <w:bCs w:val="0"/>
          <w:snapToGrid/>
          <w:color w:val="auto"/>
          <w:kern w:val="2"/>
          <w:sz w:val="21"/>
          <w:szCs w:val="21"/>
          <w:highlight w:val="none"/>
        </w:rPr>
        <w:t>2.5  资金来源证明及支付担保</w:t>
      </w:r>
      <w:bookmarkEnd w:id="267"/>
      <w:bookmarkEnd w:id="268"/>
      <w:bookmarkEnd w:id="269"/>
      <w:bookmarkEnd w:id="270"/>
      <w:bookmarkEnd w:id="271"/>
    </w:p>
    <w:p w14:paraId="4F093F9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除专用合同条款另有约定外，发包人应在收到承包人要求提供资金来源证明的书面通知后 28 天内，向承包人提供能够按照合同约定支付合同价款的相应资金来源证明。</w:t>
      </w:r>
    </w:p>
    <w:p w14:paraId="2FACC53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除专用合同条款另有约定外，发包人要求承包人提供履约担保的，发包人应当向承包人提供支付担保。支付担保可以采用银行保函或担保公司担保等形式，具体由合</w:t>
      </w:r>
      <w:bookmarkStart w:id="272" w:name="_bookmark37"/>
      <w:bookmarkEnd w:id="272"/>
      <w:r>
        <w:rPr>
          <w:rFonts w:hint="eastAsia" w:ascii="宋体" w:hAnsi="宋体" w:eastAsia="宋体" w:cs="宋体"/>
          <w:b w:val="0"/>
          <w:bCs w:val="0"/>
          <w:snapToGrid/>
          <w:color w:val="auto"/>
          <w:kern w:val="2"/>
          <w:sz w:val="21"/>
          <w:szCs w:val="21"/>
          <w:highlight w:val="none"/>
        </w:rPr>
        <w:t>同当事人在专用合同条款中约定。</w:t>
      </w:r>
    </w:p>
    <w:p w14:paraId="16B635E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273" w:name="_Toc4575"/>
      <w:bookmarkStart w:id="274" w:name="_Toc23552"/>
      <w:bookmarkStart w:id="275" w:name="_Toc22743"/>
      <w:bookmarkStart w:id="276" w:name="_Toc9679"/>
      <w:bookmarkStart w:id="277" w:name="_Toc20012"/>
      <w:r>
        <w:rPr>
          <w:rFonts w:hint="eastAsia" w:ascii="宋体" w:hAnsi="宋体" w:eastAsia="宋体" w:cs="宋体"/>
          <w:b w:val="0"/>
          <w:bCs w:val="0"/>
          <w:snapToGrid/>
          <w:color w:val="auto"/>
          <w:kern w:val="2"/>
          <w:sz w:val="21"/>
          <w:szCs w:val="21"/>
          <w:highlight w:val="none"/>
        </w:rPr>
        <w:t>2.6  支付合同价款</w:t>
      </w:r>
      <w:bookmarkEnd w:id="273"/>
      <w:bookmarkEnd w:id="274"/>
      <w:bookmarkEnd w:id="275"/>
      <w:bookmarkEnd w:id="276"/>
      <w:bookmarkEnd w:id="277"/>
    </w:p>
    <w:p w14:paraId="1C1C19D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发包人应按合同约定向承包人及时支付合同价款。</w:t>
      </w:r>
    </w:p>
    <w:p w14:paraId="6CF4F0A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278" w:name="_bookmark38"/>
      <w:bookmarkEnd w:id="278"/>
      <w:bookmarkStart w:id="279" w:name="_Toc4863"/>
      <w:bookmarkStart w:id="280" w:name="_Toc31833"/>
      <w:bookmarkStart w:id="281" w:name="_Toc25879"/>
      <w:bookmarkStart w:id="282" w:name="_Toc15160"/>
      <w:bookmarkStart w:id="283" w:name="_Toc32248"/>
      <w:r>
        <w:rPr>
          <w:rFonts w:hint="eastAsia" w:ascii="宋体" w:hAnsi="宋体" w:eastAsia="宋体" w:cs="宋体"/>
          <w:b w:val="0"/>
          <w:bCs w:val="0"/>
          <w:snapToGrid/>
          <w:color w:val="auto"/>
          <w:kern w:val="2"/>
          <w:sz w:val="21"/>
          <w:szCs w:val="21"/>
          <w:highlight w:val="none"/>
        </w:rPr>
        <w:t>2.7  组织竣工验收</w:t>
      </w:r>
      <w:bookmarkEnd w:id="279"/>
      <w:bookmarkEnd w:id="280"/>
      <w:bookmarkEnd w:id="281"/>
      <w:bookmarkEnd w:id="282"/>
      <w:bookmarkEnd w:id="283"/>
    </w:p>
    <w:p w14:paraId="0DDCF81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发包人应按合同约定及时组织竣工验收。</w:t>
      </w:r>
    </w:p>
    <w:p w14:paraId="5860144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284" w:name="_bookmark39"/>
      <w:bookmarkEnd w:id="284"/>
      <w:bookmarkStart w:id="285" w:name="_Toc19445"/>
      <w:bookmarkStart w:id="286" w:name="_Toc28144"/>
      <w:bookmarkStart w:id="287" w:name="_Toc20405"/>
      <w:bookmarkStart w:id="288" w:name="_Toc6781"/>
      <w:bookmarkStart w:id="289" w:name="_Toc6325"/>
      <w:r>
        <w:rPr>
          <w:rFonts w:hint="eastAsia" w:ascii="宋体" w:hAnsi="宋体" w:eastAsia="宋体" w:cs="宋体"/>
          <w:b w:val="0"/>
          <w:bCs w:val="0"/>
          <w:snapToGrid/>
          <w:color w:val="auto"/>
          <w:kern w:val="2"/>
          <w:sz w:val="21"/>
          <w:szCs w:val="21"/>
          <w:highlight w:val="none"/>
        </w:rPr>
        <w:t>2.8  现场统一管理协议</w:t>
      </w:r>
      <w:bookmarkEnd w:id="285"/>
      <w:bookmarkEnd w:id="286"/>
      <w:bookmarkEnd w:id="287"/>
      <w:bookmarkEnd w:id="288"/>
      <w:bookmarkEnd w:id="289"/>
    </w:p>
    <w:p w14:paraId="5DC0094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发包人应与承包人、由发包人直接发包的专业工程的承包人签订施工现场统一管理协议，明确各方的权利义务。施工现场统一管理协议作为专用合同条款的附件。</w:t>
      </w:r>
    </w:p>
    <w:p w14:paraId="6DCAB191">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290" w:name="_bookmark40"/>
      <w:bookmarkEnd w:id="290"/>
      <w:bookmarkStart w:id="291" w:name="_Toc7255"/>
      <w:bookmarkStart w:id="292" w:name="_Toc9727"/>
      <w:bookmarkStart w:id="293" w:name="_Toc6220"/>
      <w:bookmarkStart w:id="294" w:name="_Toc24674"/>
      <w:bookmarkStart w:id="295" w:name="_Toc8396"/>
      <w:r>
        <w:rPr>
          <w:rFonts w:hint="eastAsia" w:ascii="宋体" w:hAnsi="宋体" w:eastAsia="宋体" w:cs="宋体"/>
          <w:snapToGrid/>
          <w:color w:val="auto"/>
          <w:kern w:val="2"/>
          <w:sz w:val="21"/>
          <w:szCs w:val="21"/>
          <w:highlight w:val="none"/>
        </w:rPr>
        <w:t>3.  承包人</w:t>
      </w:r>
      <w:bookmarkEnd w:id="291"/>
      <w:bookmarkEnd w:id="292"/>
      <w:bookmarkEnd w:id="293"/>
      <w:bookmarkEnd w:id="294"/>
      <w:bookmarkEnd w:id="295"/>
    </w:p>
    <w:p w14:paraId="3759B5E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296" w:name="_bookmark41"/>
      <w:bookmarkEnd w:id="296"/>
      <w:bookmarkStart w:id="297" w:name="_Toc25226"/>
      <w:bookmarkStart w:id="298" w:name="_Toc788"/>
      <w:bookmarkStart w:id="299" w:name="_Toc10574"/>
      <w:bookmarkStart w:id="300" w:name="_Toc15727"/>
      <w:bookmarkStart w:id="301" w:name="_Toc32630"/>
      <w:r>
        <w:rPr>
          <w:rFonts w:hint="eastAsia" w:ascii="宋体" w:hAnsi="宋体" w:eastAsia="宋体" w:cs="宋体"/>
          <w:b w:val="0"/>
          <w:bCs w:val="0"/>
          <w:snapToGrid/>
          <w:color w:val="auto"/>
          <w:kern w:val="2"/>
          <w:sz w:val="21"/>
          <w:szCs w:val="21"/>
          <w:highlight w:val="none"/>
        </w:rPr>
        <w:t>3.1  承包人的一般义务</w:t>
      </w:r>
      <w:bookmarkEnd w:id="297"/>
      <w:bookmarkEnd w:id="298"/>
      <w:bookmarkEnd w:id="299"/>
      <w:bookmarkEnd w:id="300"/>
      <w:bookmarkEnd w:id="301"/>
    </w:p>
    <w:p w14:paraId="331BA05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承包人在履行合同过程中应遵守法律和工程建设标准规范，并履行以下义务：</w:t>
      </w:r>
    </w:p>
    <w:p w14:paraId="5FC41BB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 办理法律规定应由承包人办理的许可和批准，并将办理结果书面报送发包人留存；</w:t>
      </w:r>
    </w:p>
    <w:p w14:paraId="5422E7F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 按法律规定和合同约定完成工程，并在保修期内承担保修义务；</w:t>
      </w:r>
    </w:p>
    <w:p w14:paraId="6AECA86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 按法律规定和合同约定采取施工安全和环境保护措施，办理工伤保险，确保工程及人员、材料、设备和设施的安全；</w:t>
      </w:r>
    </w:p>
    <w:p w14:paraId="74409DD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 按合同约定的工作内容和施工进度要求，编制施工组织设计和施工措施计划，并对所有施工作业和施工方法的完备性和安全可靠性负责；</w:t>
      </w:r>
    </w:p>
    <w:p w14:paraId="49EAA0D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 在进行合同约定的各项工作时，不得侵害发包人与他人使用公用道路、水 源、市政管网等公共设施的权利，避免对邻近的公共设施产生干扰。承包人占用或使用他人的施工场地，影响他人作业或生活的，应承担相应责任；</w:t>
      </w:r>
    </w:p>
    <w:p w14:paraId="5587287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 按照第 6.3 款〔环境保护〕约定负责施工场地及其周边环境与生态的保护工作；</w:t>
      </w:r>
    </w:p>
    <w:p w14:paraId="75796E0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 按第 6.1 款〔安全文明施工〕约定采取施工安全措施，确保工程及其人员、材料、设备和设施的安全，防止因工程施工造成的人身伤害和财产损失；</w:t>
      </w:r>
    </w:p>
    <w:p w14:paraId="45A60AE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 将发包人按合同约定支付的各项价款专用于合同工程，且应及时支付其雇用人员工资， 并及时向分包人支付合同价款；</w:t>
      </w:r>
    </w:p>
    <w:p w14:paraId="11606A6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(9) 按照法律规定和合同约定编制竣工资料，完成竣工资料立卷及归档，并按专用合同条款约定的竣工资料的套数、内容、时间等要求移交发包人；</w:t>
      </w:r>
    </w:p>
    <w:p w14:paraId="5EFDAE6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302" w:name="_bookmark42"/>
      <w:bookmarkEnd w:id="302"/>
      <w:r>
        <w:rPr>
          <w:rFonts w:hint="eastAsia" w:ascii="宋体" w:hAnsi="宋体" w:eastAsia="宋体" w:cs="宋体"/>
          <w:b w:val="0"/>
          <w:bCs w:val="0"/>
          <w:snapToGrid/>
          <w:color w:val="auto"/>
          <w:kern w:val="2"/>
          <w:sz w:val="21"/>
          <w:szCs w:val="21"/>
          <w:highlight w:val="none"/>
        </w:rPr>
        <w:t>(10) 应履行的其他义务。</w:t>
      </w:r>
    </w:p>
    <w:p w14:paraId="0AE76AA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303" w:name="_Toc2191"/>
      <w:bookmarkStart w:id="304" w:name="_Toc568"/>
      <w:bookmarkStart w:id="305" w:name="_Toc4071"/>
      <w:bookmarkStart w:id="306" w:name="_Toc12179"/>
      <w:bookmarkStart w:id="307" w:name="_Toc29282"/>
      <w:r>
        <w:rPr>
          <w:rFonts w:hint="eastAsia" w:ascii="宋体" w:hAnsi="宋体" w:eastAsia="宋体" w:cs="宋体"/>
          <w:b w:val="0"/>
          <w:bCs w:val="0"/>
          <w:snapToGrid/>
          <w:color w:val="auto"/>
          <w:kern w:val="2"/>
          <w:sz w:val="21"/>
          <w:szCs w:val="21"/>
          <w:highlight w:val="none"/>
        </w:rPr>
        <w:t>3.2  项目经理</w:t>
      </w:r>
      <w:bookmarkEnd w:id="303"/>
      <w:bookmarkEnd w:id="304"/>
      <w:bookmarkEnd w:id="305"/>
      <w:bookmarkEnd w:id="306"/>
      <w:bookmarkEnd w:id="307"/>
    </w:p>
    <w:p w14:paraId="64A5D3F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 承包人应向发包人提交项目经理与承包人之间的劳动合同，以及承包人为项目经理缴纳社会保 险的有效证明。承包人不提交上述文件的， 项目经理无权履行职责，发包人有权要求 更换项目经理，由此增加的费用和(或)延误的工期由承包人承担。</w:t>
      </w:r>
    </w:p>
    <w:p w14:paraId="699F4F3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4D22E48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承包人违反上述约定的， 应按照专用合同条款的约定，承担违约责任。</w:t>
      </w:r>
    </w:p>
    <w:p w14:paraId="26D3EA6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3.2.2  项目经理按合同约定组织工程实施。在紧急情况下为确保施工安全和人员安全，在无法与发包人代表和总监理工程师及时取得联系时，项目经理有权采取必要 的措施保证与工程有关的人身、财产和工程的安全，但应在 48 小时内向发包人代表和总监理工程师提交书面报告。</w:t>
      </w:r>
    </w:p>
    <w:p w14:paraId="7AAB5CE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3.2.3  承包人需要更换项目经理的，应提前 14 天书面通知发包人和监理人，并征得发包人书面同意。通知中应当载明继任项目经理的注册执业资格、管理经验等资料，继任项目经理继续履行第 3.2.1 项约定的职责。未经发包人书面同意，承包人不得擅自更换项目经理。承包人擅自更换项目经理的，应按照专用合同条款的约定承担违约责任。</w:t>
      </w:r>
    </w:p>
    <w:p w14:paraId="5D60921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3.2.4  发包人有权书面通知承包人更换其认为不称职的项目经理，通知中应当载明要求更换的理由。承包人应在接到更换通知后 14 天内向发包人提出书面的改进报告。发包人收到改进报告后仍要求更换的，承包人应在接到第二次更换通知的 28 天内进行更换，并将新任命的项目经理的注册执业资格、管理经验等资料书面通知发包 人。继任项目经理继续履行第 3.2.1 项约定的职责。承包人无正当理由拒绝更换项目经理的，应按照专用合同条款的约定承担违约责任。</w:t>
      </w:r>
    </w:p>
    <w:p w14:paraId="14398BF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3.2.5  项目经理因特殊情况授权其下属人员履行其某项工作职责的，该下属人员应具备履行相应职责的能力，并应提前 7 天将上述人员的姓名和授权范围书面通知监</w:t>
      </w:r>
      <w:bookmarkStart w:id="308" w:name="_bookmark43"/>
      <w:bookmarkEnd w:id="308"/>
      <w:r>
        <w:rPr>
          <w:rFonts w:hint="eastAsia" w:ascii="宋体" w:hAnsi="宋体" w:eastAsia="宋体" w:cs="宋体"/>
          <w:b w:val="0"/>
          <w:bCs w:val="0"/>
          <w:snapToGrid/>
          <w:color w:val="auto"/>
          <w:kern w:val="2"/>
          <w:sz w:val="21"/>
          <w:szCs w:val="21"/>
          <w:highlight w:val="none"/>
        </w:rPr>
        <w:t>理人，并征得发包人书面同意。</w:t>
      </w:r>
    </w:p>
    <w:p w14:paraId="1DA2BEE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309" w:name="_Toc17262"/>
      <w:bookmarkStart w:id="310" w:name="_Toc2543"/>
      <w:bookmarkStart w:id="311" w:name="_Toc31792"/>
      <w:bookmarkStart w:id="312" w:name="_Toc5562"/>
      <w:bookmarkStart w:id="313" w:name="_Toc4247"/>
      <w:r>
        <w:rPr>
          <w:rFonts w:hint="eastAsia" w:ascii="宋体" w:hAnsi="宋体" w:eastAsia="宋体" w:cs="宋体"/>
          <w:b w:val="0"/>
          <w:bCs w:val="0"/>
          <w:snapToGrid/>
          <w:color w:val="auto"/>
          <w:kern w:val="2"/>
          <w:sz w:val="21"/>
          <w:szCs w:val="21"/>
          <w:highlight w:val="none"/>
        </w:rPr>
        <w:t>3.3  承包人人员</w:t>
      </w:r>
      <w:bookmarkEnd w:id="309"/>
      <w:bookmarkEnd w:id="310"/>
      <w:bookmarkEnd w:id="311"/>
      <w:bookmarkEnd w:id="312"/>
      <w:bookmarkEnd w:id="313"/>
    </w:p>
    <w:p w14:paraId="7FFB65E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3.3.1  除专用合同条款另有约定外，承包人应在接到开工通知后 7 天内，向监理人提交承包人项目管理机构及施工现场人员安排的报告，其内容应包括合同管理、施工、技术、材料、质量、安全、财务等主要施工管理人员名单及其岗位、注册执业资 格等，以及各工种技术工人的安排情况，并同时提交主要施工管理人员与承包人之间的劳动关系证明和缴纳社会保险的有效证明。</w:t>
      </w:r>
    </w:p>
    <w:p w14:paraId="073D5A1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3.3.2  承包人派驻到施工现场的主要施工管理人员应相对稳定。施工过程中如有变动，承包人应及时向监理人提交施工现场人员变动情况的报告。承包人更换主要施 工管理人员时，应提前 7 天书面通知监理人，并征得发包人书面同意。通知中应当载明继任人员的注册执业资格、管理经验等资料。</w:t>
      </w:r>
    </w:p>
    <w:p w14:paraId="0131B97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特殊工种作业人员均应持有相应的资格证明，监理人可以随时检查。</w:t>
      </w:r>
    </w:p>
    <w:p w14:paraId="5CD8D6E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 应按照专用合同条款的约定承担违约责任。</w:t>
      </w:r>
    </w:p>
    <w:p w14:paraId="6184D5D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3.3.4  除专用合同条款另有约定外，承包人的主要施工管理人员离开施工现场每月累计不超过 5 天的，应报监理人同意；离开施工现场每月累计超过 5 天的，应通知监理人，并征得发包人书面同意。主要施工管理人员离开施工现场前应指定一名有经验的人员临时代行其职责，该人员应具备履行相应职责的资格和能力，且应征得监理人或发包人的同意。</w:t>
      </w:r>
    </w:p>
    <w:p w14:paraId="60CE5DA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3.3.5  承包人擅自更换主要施工管理人员，或前述人员未经监理人或发包人同意擅自离开施工现场的，应按照专用合同条款约定承担违约责任。</w:t>
      </w:r>
    </w:p>
    <w:p w14:paraId="15E41E3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314" w:name="_bookmark44"/>
      <w:bookmarkEnd w:id="314"/>
      <w:bookmarkStart w:id="315" w:name="_Toc1020"/>
      <w:bookmarkStart w:id="316" w:name="_Toc3506"/>
      <w:bookmarkStart w:id="317" w:name="_Toc9976"/>
      <w:bookmarkStart w:id="318" w:name="_Toc11660"/>
      <w:bookmarkStart w:id="319" w:name="_Toc17999"/>
      <w:r>
        <w:rPr>
          <w:rFonts w:hint="eastAsia" w:ascii="宋体" w:hAnsi="宋体" w:eastAsia="宋体" w:cs="宋体"/>
          <w:b w:val="0"/>
          <w:bCs w:val="0"/>
          <w:snapToGrid/>
          <w:color w:val="auto"/>
          <w:kern w:val="2"/>
          <w:sz w:val="21"/>
          <w:szCs w:val="21"/>
          <w:highlight w:val="none"/>
        </w:rPr>
        <w:t>3.4  承包人现场查勘</w:t>
      </w:r>
      <w:bookmarkEnd w:id="315"/>
      <w:bookmarkEnd w:id="316"/>
      <w:bookmarkEnd w:id="317"/>
      <w:bookmarkEnd w:id="318"/>
      <w:bookmarkEnd w:id="319"/>
    </w:p>
    <w:p w14:paraId="065FA3C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承包人应对基于发包人按照第 2.4.3 项〔提供基础资料〕提交的基础资料所做出的解释和推断负责，但因基础资料存在错误、遗漏导致承包人解释或推断失实的，由发包人承担责任。</w:t>
      </w:r>
    </w:p>
    <w:p w14:paraId="093CE13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w:t>
      </w:r>
      <w:bookmarkStart w:id="320" w:name="_bookmark45"/>
      <w:bookmarkEnd w:id="320"/>
      <w:r>
        <w:rPr>
          <w:rFonts w:hint="eastAsia" w:ascii="宋体" w:hAnsi="宋体" w:eastAsia="宋体" w:cs="宋体"/>
          <w:b w:val="0"/>
          <w:bCs w:val="0"/>
          <w:snapToGrid/>
          <w:color w:val="auto"/>
          <w:kern w:val="2"/>
          <w:sz w:val="21"/>
          <w:szCs w:val="21"/>
          <w:highlight w:val="none"/>
        </w:rPr>
        <w:t>的费用和(或)延误的工期。</w:t>
      </w:r>
    </w:p>
    <w:p w14:paraId="3002106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321" w:name="_Toc31773"/>
      <w:bookmarkStart w:id="322" w:name="_Toc2682"/>
      <w:bookmarkStart w:id="323" w:name="_Toc11612"/>
      <w:bookmarkStart w:id="324" w:name="_Toc12039"/>
      <w:bookmarkStart w:id="325" w:name="_Toc6734"/>
      <w:r>
        <w:rPr>
          <w:rFonts w:hint="eastAsia" w:ascii="宋体" w:hAnsi="宋体" w:eastAsia="宋体" w:cs="宋体"/>
          <w:b w:val="0"/>
          <w:bCs w:val="0"/>
          <w:snapToGrid/>
          <w:color w:val="auto"/>
          <w:kern w:val="2"/>
          <w:sz w:val="21"/>
          <w:szCs w:val="21"/>
          <w:highlight w:val="none"/>
        </w:rPr>
        <w:t>3.5  分包</w:t>
      </w:r>
      <w:bookmarkEnd w:id="321"/>
      <w:bookmarkEnd w:id="322"/>
      <w:bookmarkEnd w:id="323"/>
      <w:bookmarkEnd w:id="324"/>
      <w:bookmarkEnd w:id="325"/>
    </w:p>
    <w:p w14:paraId="238B272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3.5.1  分包的一般约定</w:t>
      </w:r>
    </w:p>
    <w:p w14:paraId="79A053A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2C29FC0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承包人不得以劳务分包的名义转包或违法分包工程。</w:t>
      </w:r>
    </w:p>
    <w:p w14:paraId="7DC9C2D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3.5.2  分包的确定</w:t>
      </w:r>
    </w:p>
    <w:p w14:paraId="7EE9060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按专用合同条款的约定进行分包，确定分包人。合同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173C161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3.5.3  分包管理</w:t>
      </w:r>
    </w:p>
    <w:p w14:paraId="1CB15EB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承包人应向监理人提交分包人的主要施工管理人员表，并对分包人的施工人员进行实名制管理，包括但不限于进出场管理、登记造册以及各种证照的办理。</w:t>
      </w:r>
    </w:p>
    <w:p w14:paraId="4336121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3.5.4  分包合同价款</w:t>
      </w:r>
    </w:p>
    <w:p w14:paraId="19CDF4D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 除本项第(2)目约定的情况或专用合同条款另有约定外，分包合同价款由承包人与分包人结算，未经承包人同意，发包人不得向分包人支付分包工程价款；</w:t>
      </w:r>
    </w:p>
    <w:p w14:paraId="2A1BE8E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 生效法律文书要求发包人向分包人支付分包合同价款的，发包人有权从应付承包人工程款中扣除该部分款项。</w:t>
      </w:r>
    </w:p>
    <w:p w14:paraId="6E5C588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3.5.5  分包合同权益的转让</w:t>
      </w:r>
    </w:p>
    <w:p w14:paraId="35C87EC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314FAF8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326" w:name="_bookmark46"/>
      <w:bookmarkEnd w:id="326"/>
      <w:bookmarkStart w:id="327" w:name="_Toc19114"/>
      <w:bookmarkStart w:id="328" w:name="_Toc17991"/>
      <w:bookmarkStart w:id="329" w:name="_Toc20963"/>
      <w:bookmarkStart w:id="330" w:name="_Toc15242"/>
      <w:bookmarkStart w:id="331" w:name="_Toc31616"/>
      <w:r>
        <w:rPr>
          <w:rFonts w:hint="eastAsia" w:ascii="宋体" w:hAnsi="宋体" w:eastAsia="宋体" w:cs="宋体"/>
          <w:b w:val="0"/>
          <w:bCs w:val="0"/>
          <w:snapToGrid/>
          <w:color w:val="auto"/>
          <w:kern w:val="2"/>
          <w:sz w:val="21"/>
          <w:szCs w:val="21"/>
          <w:highlight w:val="none"/>
        </w:rPr>
        <w:t>3.6  工程照管与成品、半成品保护</w:t>
      </w:r>
      <w:bookmarkEnd w:id="327"/>
      <w:bookmarkEnd w:id="328"/>
      <w:bookmarkEnd w:id="329"/>
      <w:bookmarkEnd w:id="330"/>
      <w:bookmarkEnd w:id="331"/>
    </w:p>
    <w:p w14:paraId="58BD9AD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 除专用合同条款另有约定外，自发包人向承包人移交施工现场之日起，承包人应负责照管工程及工程相关的材料、工程设备，直到颁发工程接收证书之日止。</w:t>
      </w:r>
    </w:p>
    <w:p w14:paraId="2672861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 在承包人负责照管期间，因承包人原因造成工程、材料、工程设备损坏的，由承包人负责修复或更换，并承担由此增加的费用和(或)延误的工期。</w:t>
      </w:r>
    </w:p>
    <w:p w14:paraId="05C0E47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 对合同内分期完成的成品和半成品，在工程接收证书颁发前，由承包人承担保护责任。因承包人原因造成成品或半成品损坏的，由承包人负责修复或更换，并承担由此增加的费用和(或)延误的工期。</w:t>
      </w:r>
    </w:p>
    <w:p w14:paraId="1F9DA89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332" w:name="_bookmark47"/>
      <w:bookmarkEnd w:id="332"/>
      <w:bookmarkStart w:id="333" w:name="_Toc5835"/>
      <w:bookmarkStart w:id="334" w:name="_Toc27029"/>
      <w:bookmarkStart w:id="335" w:name="_Toc21330"/>
      <w:bookmarkStart w:id="336" w:name="_Toc23533"/>
      <w:bookmarkStart w:id="337" w:name="_Toc16108"/>
      <w:r>
        <w:rPr>
          <w:rFonts w:hint="eastAsia" w:ascii="宋体" w:hAnsi="宋体" w:eastAsia="宋体" w:cs="宋体"/>
          <w:b w:val="0"/>
          <w:bCs w:val="0"/>
          <w:snapToGrid/>
          <w:color w:val="auto"/>
          <w:kern w:val="2"/>
          <w:sz w:val="21"/>
          <w:szCs w:val="21"/>
          <w:highlight w:val="none"/>
        </w:rPr>
        <w:t>3.7  履约担保</w:t>
      </w:r>
      <w:bookmarkEnd w:id="333"/>
      <w:bookmarkEnd w:id="334"/>
      <w:bookmarkEnd w:id="335"/>
      <w:bookmarkEnd w:id="336"/>
      <w:bookmarkEnd w:id="337"/>
    </w:p>
    <w:p w14:paraId="23EE4F0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2CEAE82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因承包人原因导致工期延长的，继续提供履约担保所增加的费用由承包人承担；非因承包人原因导致工期延长的，继续提供履约担保所增加的费用由发包人承担。</w:t>
      </w:r>
    </w:p>
    <w:p w14:paraId="6047D0F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338" w:name="_bookmark48"/>
      <w:bookmarkEnd w:id="338"/>
      <w:bookmarkStart w:id="339" w:name="_Toc19569"/>
      <w:bookmarkStart w:id="340" w:name="_Toc4464"/>
      <w:bookmarkStart w:id="341" w:name="_Toc29237"/>
      <w:bookmarkStart w:id="342" w:name="_Toc20441"/>
      <w:bookmarkStart w:id="343" w:name="_Toc3006"/>
      <w:r>
        <w:rPr>
          <w:rFonts w:hint="eastAsia" w:ascii="宋体" w:hAnsi="宋体" w:eastAsia="宋体" w:cs="宋体"/>
          <w:b w:val="0"/>
          <w:bCs w:val="0"/>
          <w:snapToGrid/>
          <w:color w:val="auto"/>
          <w:kern w:val="2"/>
          <w:sz w:val="21"/>
          <w:szCs w:val="21"/>
          <w:highlight w:val="none"/>
        </w:rPr>
        <w:t>3.8  联合体</w:t>
      </w:r>
      <w:bookmarkEnd w:id="339"/>
      <w:bookmarkEnd w:id="340"/>
      <w:bookmarkEnd w:id="341"/>
      <w:bookmarkEnd w:id="342"/>
      <w:bookmarkEnd w:id="343"/>
    </w:p>
    <w:p w14:paraId="4DB9024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3.8.1  联合体各方应共同与发包人签订合同协议书。联合体各方应为履行合同向发包人承担连带责任。</w:t>
      </w:r>
    </w:p>
    <w:p w14:paraId="48FBAA8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3.8.2  联合体协议经发包人确认后作为合同附件。在履行合同过程中，未经发包人同意，不得修改联合体协议。</w:t>
      </w:r>
    </w:p>
    <w:p w14:paraId="6B0A90F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3.8.3  联合体牵头人负责与发包人和监理人联系，并接受指示，负责组织联合体</w:t>
      </w:r>
      <w:bookmarkStart w:id="344" w:name="_bookmark49"/>
      <w:bookmarkEnd w:id="344"/>
      <w:r>
        <w:rPr>
          <w:rFonts w:hint="eastAsia" w:ascii="宋体" w:hAnsi="宋体" w:eastAsia="宋体" w:cs="宋体"/>
          <w:b w:val="0"/>
          <w:bCs w:val="0"/>
          <w:snapToGrid/>
          <w:color w:val="auto"/>
          <w:kern w:val="2"/>
          <w:sz w:val="21"/>
          <w:szCs w:val="21"/>
          <w:highlight w:val="none"/>
        </w:rPr>
        <w:t>各成员全面履行合同。</w:t>
      </w:r>
    </w:p>
    <w:p w14:paraId="336A2BCC">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345" w:name="_Toc11830"/>
      <w:bookmarkStart w:id="346" w:name="_Toc23705"/>
      <w:bookmarkStart w:id="347" w:name="_Toc2140"/>
      <w:bookmarkStart w:id="348" w:name="_Toc24879"/>
      <w:bookmarkStart w:id="349" w:name="_Toc24344"/>
      <w:r>
        <w:rPr>
          <w:rFonts w:hint="eastAsia" w:ascii="宋体" w:hAnsi="宋体" w:eastAsia="宋体" w:cs="宋体"/>
          <w:snapToGrid/>
          <w:color w:val="auto"/>
          <w:kern w:val="2"/>
          <w:sz w:val="21"/>
          <w:szCs w:val="21"/>
          <w:highlight w:val="none"/>
        </w:rPr>
        <w:t>4.  监理人</w:t>
      </w:r>
      <w:bookmarkEnd w:id="345"/>
      <w:bookmarkEnd w:id="346"/>
      <w:bookmarkEnd w:id="347"/>
      <w:bookmarkEnd w:id="348"/>
      <w:bookmarkEnd w:id="349"/>
      <w:bookmarkStart w:id="350" w:name="_bookmark50"/>
      <w:bookmarkEnd w:id="350"/>
    </w:p>
    <w:p w14:paraId="68BB482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351" w:name="_Toc30309"/>
      <w:bookmarkStart w:id="352" w:name="_Toc19615"/>
      <w:bookmarkStart w:id="353" w:name="_Toc4342"/>
      <w:bookmarkStart w:id="354" w:name="_Toc9139"/>
      <w:bookmarkStart w:id="355" w:name="_Toc21733"/>
      <w:r>
        <w:rPr>
          <w:rFonts w:hint="eastAsia" w:ascii="宋体" w:hAnsi="宋体" w:eastAsia="宋体" w:cs="宋体"/>
          <w:b w:val="0"/>
          <w:bCs w:val="0"/>
          <w:snapToGrid/>
          <w:color w:val="auto"/>
          <w:kern w:val="2"/>
          <w:sz w:val="21"/>
          <w:szCs w:val="21"/>
          <w:highlight w:val="none"/>
        </w:rPr>
        <w:t>4.1 监理人的一般规定</w:t>
      </w:r>
      <w:bookmarkEnd w:id="351"/>
      <w:bookmarkEnd w:id="352"/>
      <w:bookmarkEnd w:id="353"/>
      <w:bookmarkEnd w:id="354"/>
      <w:bookmarkEnd w:id="355"/>
    </w:p>
    <w:p w14:paraId="142886E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1548CB5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除专用合同条款另有约定外，监理人在施工现场的办公场所、生活场所由承包人</w:t>
      </w:r>
      <w:bookmarkStart w:id="356" w:name="_bookmark51"/>
      <w:bookmarkEnd w:id="356"/>
      <w:r>
        <w:rPr>
          <w:rFonts w:hint="eastAsia" w:ascii="宋体" w:hAnsi="宋体" w:eastAsia="宋体" w:cs="宋体"/>
          <w:b w:val="0"/>
          <w:bCs w:val="0"/>
          <w:snapToGrid/>
          <w:color w:val="auto"/>
          <w:kern w:val="2"/>
          <w:sz w:val="21"/>
          <w:szCs w:val="21"/>
          <w:highlight w:val="none"/>
        </w:rPr>
        <w:t>提供，所发生的费用由发包人承担。</w:t>
      </w:r>
    </w:p>
    <w:p w14:paraId="3261E63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357" w:name="_Toc3039"/>
      <w:bookmarkStart w:id="358" w:name="_Toc14258"/>
      <w:bookmarkStart w:id="359" w:name="_Toc29528"/>
      <w:bookmarkStart w:id="360" w:name="_Toc11531"/>
      <w:bookmarkStart w:id="361" w:name="_Toc16925"/>
      <w:r>
        <w:rPr>
          <w:rFonts w:hint="eastAsia" w:ascii="宋体" w:hAnsi="宋体" w:eastAsia="宋体" w:cs="宋体"/>
          <w:b w:val="0"/>
          <w:bCs w:val="0"/>
          <w:snapToGrid/>
          <w:color w:val="auto"/>
          <w:kern w:val="2"/>
          <w:sz w:val="21"/>
          <w:szCs w:val="21"/>
          <w:highlight w:val="none"/>
        </w:rPr>
        <w:t>4.2 监理人员</w:t>
      </w:r>
      <w:bookmarkEnd w:id="357"/>
      <w:bookmarkEnd w:id="358"/>
      <w:bookmarkEnd w:id="359"/>
      <w:bookmarkEnd w:id="360"/>
      <w:bookmarkEnd w:id="361"/>
    </w:p>
    <w:p w14:paraId="3CC18A0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w:t>
      </w:r>
      <w:bookmarkStart w:id="362" w:name="_bookmark52"/>
      <w:bookmarkEnd w:id="362"/>
      <w:r>
        <w:rPr>
          <w:rFonts w:hint="eastAsia" w:ascii="宋体" w:hAnsi="宋体" w:eastAsia="宋体" w:cs="宋体"/>
          <w:b w:val="0"/>
          <w:bCs w:val="0"/>
          <w:snapToGrid/>
          <w:color w:val="auto"/>
          <w:kern w:val="2"/>
          <w:sz w:val="21"/>
          <w:szCs w:val="21"/>
          <w:highlight w:val="none"/>
        </w:rPr>
        <w:t>承包人。</w:t>
      </w:r>
    </w:p>
    <w:p w14:paraId="1E9FD0F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363" w:name="_Toc16323"/>
      <w:bookmarkStart w:id="364" w:name="_Toc27039"/>
      <w:bookmarkStart w:id="365" w:name="_Toc4137"/>
      <w:bookmarkStart w:id="366" w:name="_Toc12953"/>
      <w:bookmarkStart w:id="367" w:name="_Toc23618"/>
      <w:r>
        <w:rPr>
          <w:rFonts w:hint="eastAsia" w:ascii="宋体" w:hAnsi="宋体" w:eastAsia="宋体" w:cs="宋体"/>
          <w:b w:val="0"/>
          <w:bCs w:val="0"/>
          <w:snapToGrid/>
          <w:color w:val="auto"/>
          <w:kern w:val="2"/>
          <w:sz w:val="21"/>
          <w:szCs w:val="21"/>
          <w:highlight w:val="none"/>
        </w:rPr>
        <w:t>4.3 监理人的指示</w:t>
      </w:r>
      <w:bookmarkEnd w:id="363"/>
      <w:bookmarkEnd w:id="364"/>
      <w:bookmarkEnd w:id="365"/>
      <w:bookmarkEnd w:id="366"/>
      <w:bookmarkEnd w:id="367"/>
    </w:p>
    <w:p w14:paraId="7710F0C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293B8ED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20DBAFC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承包人对监理人发出的指示有疑问的，应向监理人提出书面异议，监理人应在48小时内对该指示予以确认、更改或撤销，监理人逾期未回复的，承包人有权拒绝执行上述指示。</w:t>
      </w:r>
    </w:p>
    <w:p w14:paraId="5293E5E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监理人对承包人的任何工作、工程或其采用的材料和工程设备未在约定的或合理期限内提出意见的，视为批准，但不免除或减轻承包人对该工作、工程、材料、工程</w:t>
      </w:r>
      <w:bookmarkStart w:id="368" w:name="_bookmark53"/>
      <w:bookmarkEnd w:id="368"/>
      <w:r>
        <w:rPr>
          <w:rFonts w:hint="eastAsia" w:ascii="宋体" w:hAnsi="宋体" w:eastAsia="宋体" w:cs="宋体"/>
          <w:b w:val="0"/>
          <w:bCs w:val="0"/>
          <w:snapToGrid/>
          <w:color w:val="auto"/>
          <w:kern w:val="2"/>
          <w:sz w:val="21"/>
          <w:szCs w:val="21"/>
          <w:highlight w:val="none"/>
        </w:rPr>
        <w:t>设备等应承担的责任和义务。</w:t>
      </w:r>
    </w:p>
    <w:p w14:paraId="14EF08C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369" w:name="_Toc11426"/>
      <w:bookmarkStart w:id="370" w:name="_Toc22544"/>
      <w:bookmarkStart w:id="371" w:name="_Toc28858"/>
      <w:bookmarkStart w:id="372" w:name="_Toc29652"/>
      <w:bookmarkStart w:id="373" w:name="_Toc13161"/>
      <w:r>
        <w:rPr>
          <w:rFonts w:hint="eastAsia" w:ascii="宋体" w:hAnsi="宋体" w:eastAsia="宋体" w:cs="宋体"/>
          <w:b w:val="0"/>
          <w:bCs w:val="0"/>
          <w:snapToGrid/>
          <w:color w:val="auto"/>
          <w:kern w:val="2"/>
          <w:sz w:val="21"/>
          <w:szCs w:val="21"/>
          <w:highlight w:val="none"/>
        </w:rPr>
        <w:t>4.4  商定或确定</w:t>
      </w:r>
      <w:bookmarkEnd w:id="369"/>
      <w:bookmarkEnd w:id="370"/>
      <w:bookmarkEnd w:id="371"/>
      <w:bookmarkEnd w:id="372"/>
      <w:bookmarkEnd w:id="373"/>
    </w:p>
    <w:p w14:paraId="350AF90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合同当事人进行商定或确定时，总监理工程师应当会同合同当事人尽量通过协商达成一致，不能达成一致的，由总监理工程师按照合同约定审慎做出公正的确定。</w:t>
      </w:r>
    </w:p>
    <w:p w14:paraId="789E5B0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54B134D6">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374" w:name="_bookmark54"/>
      <w:bookmarkEnd w:id="374"/>
      <w:bookmarkStart w:id="375" w:name="_Toc6616"/>
      <w:bookmarkStart w:id="376" w:name="_Toc22574"/>
      <w:bookmarkStart w:id="377" w:name="_Toc28509"/>
      <w:bookmarkStart w:id="378" w:name="_Toc15580"/>
      <w:bookmarkStart w:id="379" w:name="_Toc22849"/>
      <w:r>
        <w:rPr>
          <w:rFonts w:hint="eastAsia" w:ascii="宋体" w:hAnsi="宋体" w:eastAsia="宋体" w:cs="宋体"/>
          <w:snapToGrid/>
          <w:color w:val="auto"/>
          <w:kern w:val="2"/>
          <w:sz w:val="21"/>
          <w:szCs w:val="21"/>
          <w:highlight w:val="none"/>
        </w:rPr>
        <w:t>5.  工程质量</w:t>
      </w:r>
      <w:bookmarkEnd w:id="375"/>
      <w:bookmarkEnd w:id="376"/>
      <w:bookmarkEnd w:id="377"/>
      <w:bookmarkEnd w:id="378"/>
      <w:bookmarkEnd w:id="379"/>
    </w:p>
    <w:p w14:paraId="65718F0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380" w:name="_bookmark55"/>
      <w:bookmarkEnd w:id="380"/>
      <w:bookmarkStart w:id="381" w:name="_Toc1263"/>
      <w:bookmarkStart w:id="382" w:name="_Toc7040"/>
      <w:bookmarkStart w:id="383" w:name="_Toc593"/>
      <w:bookmarkStart w:id="384" w:name="_Toc3285"/>
      <w:bookmarkStart w:id="385" w:name="_Toc14311"/>
      <w:r>
        <w:rPr>
          <w:rFonts w:hint="eastAsia" w:ascii="宋体" w:hAnsi="宋体" w:eastAsia="宋体" w:cs="宋体"/>
          <w:b w:val="0"/>
          <w:bCs w:val="0"/>
          <w:snapToGrid/>
          <w:color w:val="auto"/>
          <w:kern w:val="2"/>
          <w:sz w:val="21"/>
          <w:szCs w:val="21"/>
          <w:highlight w:val="none"/>
        </w:rPr>
        <w:t>5.1 质量要求</w:t>
      </w:r>
      <w:bookmarkEnd w:id="381"/>
      <w:bookmarkEnd w:id="382"/>
      <w:bookmarkEnd w:id="383"/>
      <w:bookmarkEnd w:id="384"/>
      <w:bookmarkEnd w:id="385"/>
    </w:p>
    <w:p w14:paraId="0AEECC2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5.1.1  工程质量标准必须符合现行国家有关工程施工质量验收规范和标准的要求。有关工程质量的特殊标准或要求由合同当事人在专用合同条款中约定。</w:t>
      </w:r>
    </w:p>
    <w:p w14:paraId="386A0F8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5.1.2  因发包人原因造成工程质量未达到合同约定标准的，由发包人承担由此增加的费用和(或)延误的工期。</w:t>
      </w:r>
    </w:p>
    <w:p w14:paraId="43D15F8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5.1.3  因承包人原因造成工程质量未达到合同约定标准的，发包人有权要求承包人返工直至工程质量达到合同约定的标准为止，并由承包人承担由此增加的费用和</w:t>
      </w:r>
      <w:bookmarkStart w:id="386" w:name="_bookmark56"/>
      <w:bookmarkEnd w:id="386"/>
      <w:r>
        <w:rPr>
          <w:rFonts w:hint="eastAsia" w:ascii="宋体" w:hAnsi="宋体" w:eastAsia="宋体" w:cs="宋体"/>
          <w:b w:val="0"/>
          <w:bCs w:val="0"/>
          <w:snapToGrid/>
          <w:color w:val="auto"/>
          <w:kern w:val="2"/>
          <w:sz w:val="21"/>
          <w:szCs w:val="21"/>
          <w:highlight w:val="none"/>
        </w:rPr>
        <w:t>(或)延误的工期。</w:t>
      </w:r>
    </w:p>
    <w:p w14:paraId="03CA97A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387" w:name="_Toc12041"/>
      <w:bookmarkStart w:id="388" w:name="_Toc677"/>
      <w:bookmarkStart w:id="389" w:name="_Toc16814"/>
      <w:bookmarkStart w:id="390" w:name="_Toc1624"/>
      <w:bookmarkStart w:id="391" w:name="_Toc22412"/>
      <w:r>
        <w:rPr>
          <w:rFonts w:hint="eastAsia" w:ascii="宋体" w:hAnsi="宋体" w:eastAsia="宋体" w:cs="宋体"/>
          <w:b w:val="0"/>
          <w:bCs w:val="0"/>
          <w:snapToGrid/>
          <w:color w:val="auto"/>
          <w:kern w:val="2"/>
          <w:sz w:val="21"/>
          <w:szCs w:val="21"/>
          <w:highlight w:val="none"/>
        </w:rPr>
        <w:t>5.2 质量保证措施</w:t>
      </w:r>
      <w:bookmarkEnd w:id="387"/>
      <w:bookmarkEnd w:id="388"/>
      <w:bookmarkEnd w:id="389"/>
      <w:bookmarkEnd w:id="390"/>
      <w:bookmarkEnd w:id="391"/>
    </w:p>
    <w:p w14:paraId="256AAC0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5.2.1  发包人的质量管理</w:t>
      </w:r>
    </w:p>
    <w:p w14:paraId="6A014D1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 xml:space="preserve">发包人应按照法律规定及合同约定完成与工程质量有关的各项工作。 </w:t>
      </w:r>
    </w:p>
    <w:p w14:paraId="10C466C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5.2.2  承包人的质量管理</w:t>
      </w:r>
    </w:p>
    <w:p w14:paraId="11DD57F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2FD4853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对施工人员进行质量教育和技术培训，定期考核施工人员的劳动技能，严格执行施工规范和操作规程。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0CD879D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5.2.3  监理人的质量检查和检验</w:t>
      </w:r>
    </w:p>
    <w:p w14:paraId="70E329E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2DFF3E0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73DF47A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392" w:name="_bookmark57"/>
      <w:bookmarkEnd w:id="392"/>
      <w:bookmarkStart w:id="393" w:name="_Toc7259"/>
      <w:bookmarkStart w:id="394" w:name="_Toc738"/>
      <w:bookmarkStart w:id="395" w:name="_Toc176"/>
      <w:bookmarkStart w:id="396" w:name="_Toc32304"/>
      <w:bookmarkStart w:id="397" w:name="_Toc405"/>
      <w:r>
        <w:rPr>
          <w:rFonts w:hint="eastAsia" w:ascii="宋体" w:hAnsi="宋体" w:eastAsia="宋体" w:cs="宋体"/>
          <w:b w:val="0"/>
          <w:bCs w:val="0"/>
          <w:snapToGrid/>
          <w:color w:val="auto"/>
          <w:kern w:val="2"/>
          <w:sz w:val="21"/>
          <w:szCs w:val="21"/>
          <w:highlight w:val="none"/>
        </w:rPr>
        <w:t>5.3  隐蔽工程检查</w:t>
      </w:r>
      <w:bookmarkEnd w:id="393"/>
      <w:bookmarkEnd w:id="394"/>
      <w:bookmarkEnd w:id="395"/>
      <w:bookmarkEnd w:id="396"/>
      <w:bookmarkEnd w:id="397"/>
    </w:p>
    <w:p w14:paraId="67A9EC5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5.3.1 承包人自检</w:t>
      </w:r>
    </w:p>
    <w:p w14:paraId="013996D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承包人应当对工程隐蔽部位进行自检，并经自检确认是否具备覆盖条件。</w:t>
      </w:r>
    </w:p>
    <w:p w14:paraId="620A4AE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5.3.2 检查程序</w:t>
      </w:r>
    </w:p>
    <w:p w14:paraId="1AA249F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61C41F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6F5ECAF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7576241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5.3.3  重新检查</w:t>
      </w:r>
    </w:p>
    <w:p w14:paraId="2362172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经检查证明工程质量不符合合同要求的，由此增加的费用和(或)延误的工期由承包人承担。</w:t>
      </w:r>
    </w:p>
    <w:p w14:paraId="28FC96B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5.3.4  承包人私自覆盖</w:t>
      </w:r>
    </w:p>
    <w:p w14:paraId="3BD8A4D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承包人未通知监理人到场检查，私自将工程隐蔽部位覆盖的，监理人有权指示承包人钻孔探测或揭开检查，无论工程隐蔽部位质量是否合格，由此增加的费用和(或)</w:t>
      </w:r>
      <w:bookmarkStart w:id="398" w:name="_bookmark58"/>
      <w:bookmarkEnd w:id="398"/>
      <w:r>
        <w:rPr>
          <w:rFonts w:hint="eastAsia" w:ascii="宋体" w:hAnsi="宋体" w:eastAsia="宋体" w:cs="宋体"/>
          <w:b w:val="0"/>
          <w:bCs w:val="0"/>
          <w:snapToGrid/>
          <w:color w:val="auto"/>
          <w:kern w:val="2"/>
          <w:sz w:val="21"/>
          <w:szCs w:val="21"/>
          <w:highlight w:val="none"/>
        </w:rPr>
        <w:t>延误的工期均由承包人承担。</w:t>
      </w:r>
    </w:p>
    <w:p w14:paraId="666AAA1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399" w:name="_Toc31317"/>
      <w:bookmarkStart w:id="400" w:name="_Toc17945"/>
      <w:bookmarkStart w:id="401" w:name="_Toc32218"/>
      <w:bookmarkStart w:id="402" w:name="_Toc17531"/>
      <w:bookmarkStart w:id="403" w:name="_Toc9090"/>
      <w:r>
        <w:rPr>
          <w:rFonts w:hint="eastAsia" w:ascii="宋体" w:hAnsi="宋体" w:eastAsia="宋体" w:cs="宋体"/>
          <w:b w:val="0"/>
          <w:bCs w:val="0"/>
          <w:snapToGrid/>
          <w:color w:val="auto"/>
          <w:kern w:val="2"/>
          <w:sz w:val="21"/>
          <w:szCs w:val="21"/>
          <w:highlight w:val="none"/>
        </w:rPr>
        <w:t>5.4 不合格工程的处理</w:t>
      </w:r>
      <w:bookmarkEnd w:id="399"/>
      <w:bookmarkEnd w:id="400"/>
      <w:bookmarkEnd w:id="401"/>
      <w:bookmarkEnd w:id="402"/>
      <w:bookmarkEnd w:id="403"/>
    </w:p>
    <w:p w14:paraId="0E4758F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2CBFB7A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5.4.2  因发包人原因造成工程不合格的，由此增加的费用和(或)延误的工期由</w:t>
      </w:r>
      <w:bookmarkStart w:id="404" w:name="_bookmark59"/>
      <w:bookmarkEnd w:id="404"/>
      <w:r>
        <w:rPr>
          <w:rFonts w:hint="eastAsia" w:ascii="宋体" w:hAnsi="宋体" w:eastAsia="宋体" w:cs="宋体"/>
          <w:b w:val="0"/>
          <w:bCs w:val="0"/>
          <w:snapToGrid/>
          <w:color w:val="auto"/>
          <w:kern w:val="2"/>
          <w:sz w:val="21"/>
          <w:szCs w:val="21"/>
          <w:highlight w:val="none"/>
        </w:rPr>
        <w:t>发包人承担。</w:t>
      </w:r>
    </w:p>
    <w:p w14:paraId="65C88F6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405" w:name="_Toc11088"/>
      <w:bookmarkStart w:id="406" w:name="_Toc21574"/>
      <w:bookmarkStart w:id="407" w:name="_Toc17914"/>
      <w:bookmarkStart w:id="408" w:name="_Toc13565"/>
      <w:bookmarkStart w:id="409" w:name="_Toc17090"/>
      <w:r>
        <w:rPr>
          <w:rFonts w:hint="eastAsia" w:ascii="宋体" w:hAnsi="宋体" w:eastAsia="宋体" w:cs="宋体"/>
          <w:b w:val="0"/>
          <w:bCs w:val="0"/>
          <w:snapToGrid/>
          <w:color w:val="auto"/>
          <w:kern w:val="2"/>
          <w:sz w:val="21"/>
          <w:szCs w:val="21"/>
          <w:highlight w:val="none"/>
        </w:rPr>
        <w:t>5.5  质量争议检测</w:t>
      </w:r>
      <w:bookmarkEnd w:id="405"/>
      <w:bookmarkEnd w:id="406"/>
      <w:bookmarkEnd w:id="407"/>
      <w:bookmarkEnd w:id="408"/>
      <w:bookmarkEnd w:id="409"/>
    </w:p>
    <w:p w14:paraId="6DD63FD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合同当事人对工程质量有争议的，由双方协商确定的工程质量检测机构鉴定，由此产生的费用及因此造成的损失，由责任方承担。</w:t>
      </w:r>
    </w:p>
    <w:p w14:paraId="2D522EF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合同当事人均有责任的，由双方根据其责任分别承担。合同当事人无法达成一致的，</w:t>
      </w:r>
      <w:bookmarkStart w:id="410" w:name="_bookmark60"/>
      <w:bookmarkEnd w:id="410"/>
      <w:r>
        <w:rPr>
          <w:rFonts w:hint="eastAsia" w:ascii="宋体" w:hAnsi="宋体" w:eastAsia="宋体" w:cs="宋体"/>
          <w:b w:val="0"/>
          <w:bCs w:val="0"/>
          <w:snapToGrid/>
          <w:color w:val="auto"/>
          <w:kern w:val="2"/>
          <w:sz w:val="21"/>
          <w:szCs w:val="21"/>
          <w:highlight w:val="none"/>
        </w:rPr>
        <w:t>按照第4.4款〔商定或确定〕执行。</w:t>
      </w:r>
    </w:p>
    <w:p w14:paraId="07F98E6E">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411" w:name="_Toc21927"/>
      <w:bookmarkStart w:id="412" w:name="_Toc1800"/>
      <w:bookmarkStart w:id="413" w:name="_Toc19273"/>
      <w:bookmarkStart w:id="414" w:name="_Toc18431"/>
      <w:bookmarkStart w:id="415" w:name="_Toc18089"/>
      <w:r>
        <w:rPr>
          <w:rFonts w:hint="eastAsia" w:ascii="宋体" w:hAnsi="宋体" w:eastAsia="宋体" w:cs="宋体"/>
          <w:snapToGrid/>
          <w:color w:val="auto"/>
          <w:kern w:val="2"/>
          <w:sz w:val="21"/>
          <w:szCs w:val="21"/>
          <w:highlight w:val="none"/>
        </w:rPr>
        <w:t>6.  安全文明施工与环境保护</w:t>
      </w:r>
      <w:bookmarkEnd w:id="411"/>
      <w:bookmarkEnd w:id="412"/>
      <w:bookmarkEnd w:id="413"/>
      <w:bookmarkEnd w:id="414"/>
      <w:bookmarkEnd w:id="415"/>
    </w:p>
    <w:p w14:paraId="382E9CA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416" w:name="_bookmark61"/>
      <w:bookmarkEnd w:id="416"/>
      <w:bookmarkStart w:id="417" w:name="_Toc9967"/>
      <w:bookmarkStart w:id="418" w:name="_Toc30312"/>
      <w:bookmarkStart w:id="419" w:name="_Toc10266"/>
      <w:bookmarkStart w:id="420" w:name="_Toc1768"/>
      <w:bookmarkStart w:id="421" w:name="_Toc18161"/>
      <w:r>
        <w:rPr>
          <w:rFonts w:hint="eastAsia" w:ascii="宋体" w:hAnsi="宋体" w:eastAsia="宋体" w:cs="宋体"/>
          <w:b w:val="0"/>
          <w:bCs w:val="0"/>
          <w:snapToGrid/>
          <w:color w:val="auto"/>
          <w:kern w:val="2"/>
          <w:sz w:val="21"/>
          <w:szCs w:val="21"/>
          <w:highlight w:val="none"/>
        </w:rPr>
        <w:t>6.1 安全文明施工</w:t>
      </w:r>
      <w:bookmarkEnd w:id="417"/>
      <w:bookmarkEnd w:id="418"/>
      <w:bookmarkEnd w:id="419"/>
      <w:bookmarkEnd w:id="420"/>
      <w:bookmarkEnd w:id="421"/>
    </w:p>
    <w:p w14:paraId="6CB6119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6.1.1 安全生产要求</w:t>
      </w:r>
    </w:p>
    <w:p w14:paraId="26DA160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6237BDB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在施工过程中，如遇到突发的地质变动、事先未知的地下施工障碍等影响施工安全的紧急情况，承包人应及时报告监理人和发包人，发包人应当及时下令停工并报政府有关行政管理部门采取应急措施。</w:t>
      </w:r>
    </w:p>
    <w:p w14:paraId="4C21F7E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因安全生产需要暂停施工的，按照第7.8款〔暂停施工〕的约定执行。</w:t>
      </w:r>
    </w:p>
    <w:p w14:paraId="18ADDDF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6.1.2  安全生产保证措施</w:t>
      </w:r>
    </w:p>
    <w:p w14:paraId="3FFFCD3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78145C7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6.1.3 特别安全生产事项</w:t>
      </w:r>
    </w:p>
    <w:p w14:paraId="534B591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7132749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承包人在动力设备、输电线路、地下管道、密封防震车间、易燃易爆地段以及临街交通要道附近施工时，施工开始前应向发包人和监理人提出安全防护措施，经发包人认可后实施。</w:t>
      </w:r>
    </w:p>
    <w:p w14:paraId="0D3FDAD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3441DFF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需单独编制危险性较大分部分项专项工程施工方案的，及要求进行专家论证的超过一定规模的危险性较大的分部分项工程，承包人应及时编制和组织论证。</w:t>
      </w:r>
    </w:p>
    <w:p w14:paraId="72945C1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6.1.4  治安保卫</w:t>
      </w:r>
    </w:p>
    <w:p w14:paraId="0E05944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除专用合同条款另有约定外，发包人应与当地公安部门协商，在现场建立治安管理机构或联防组织，统一管理施工场地的治安保卫事项，履行合同工程的治安保卫职责。</w:t>
      </w:r>
    </w:p>
    <w:p w14:paraId="6F7AEAB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发包人和承包人除应协助现场治安管理机构或联防组织维护施工场地的社会治安外，还应做好包括生活区在内的各自管辖区的治安保卫工作。</w:t>
      </w:r>
    </w:p>
    <w:p w14:paraId="369F8DF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4A8E2F0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6.1.5  文明施工</w:t>
      </w:r>
    </w:p>
    <w:p w14:paraId="0642CC7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5702A6F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0A45775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6.1.6  安全生产措施费</w:t>
      </w:r>
    </w:p>
    <w:p w14:paraId="0FCB308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安全生产措施费由发包人承担，发包人不得以任何形式扣减该部分费用。因基准日期后合同所适用的法律或政府有关规定发生变化，增加的安全生产措施费由发包人承担。</w:t>
      </w:r>
    </w:p>
    <w:p w14:paraId="455466D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3B4578D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发包人应在开工后28天内预付安全生产措施费总额的50%，其余部分与进度款同期支付。发包人逾期支付安全生产措施费超过7天的，承包人有权向发包人发出要求预付的催告通知，发包人收到通知后7天内仍未支付的，承包人有权暂停施工，并按第16.1.1项〔发包人违约的情形〕执行。</w:t>
      </w:r>
    </w:p>
    <w:p w14:paraId="3035D0B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对安全生产措施费应专款专用，承包人应在财务账目中单独列项备查，不得挪作他用，否则发包人有权责令其限期改正；逾期未改正的，可以责令其暂停施工，由此增加的费用和(或)延误的工期由承包人承担。</w:t>
      </w:r>
    </w:p>
    <w:p w14:paraId="7810839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6.1.7  紧急情况处理</w:t>
      </w:r>
    </w:p>
    <w:p w14:paraId="7E7ABA5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19DFE2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6.1.8  事故处理</w:t>
      </w:r>
    </w:p>
    <w:p w14:paraId="3903C0F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D58FB1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6.1.9  安全生产责任</w:t>
      </w:r>
    </w:p>
    <w:p w14:paraId="4B79519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6.1.9.1  发包人的安全责任</w:t>
      </w:r>
    </w:p>
    <w:p w14:paraId="1420B39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发包人应负责赔偿以下各种情况造成的损失：</w:t>
      </w:r>
    </w:p>
    <w:p w14:paraId="2662986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(1)工程或工程的任何部分对土地的占用所造成的第三者财产损失；</w:t>
      </w:r>
    </w:p>
    <w:p w14:paraId="792D5E7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(2)由于发包人原因在施工场地及其毗邻地带造成的第三者人身伤亡和财产损失；</w:t>
      </w:r>
    </w:p>
    <w:p w14:paraId="7F10F73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(3)由于发包人原因对承包人、监理人造成的人员人身伤亡和财产损失；</w:t>
      </w:r>
    </w:p>
    <w:p w14:paraId="6D1CBB9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(4)由于发包人原因造成的发包人自身人员的人身伤害以及财产损失。</w:t>
      </w:r>
    </w:p>
    <w:p w14:paraId="2052945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6.1.9.2  承包人的安全责任</w:t>
      </w:r>
    </w:p>
    <w:p w14:paraId="17AA3A6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由于承包人原因在施工场地内及其毗邻地带造成的发包人、监理人以及第三者人员伤亡和财产损失，由承包人负责赔偿。</w:t>
      </w:r>
    </w:p>
    <w:p w14:paraId="4A36CB7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422" w:name="_bookmark62"/>
      <w:bookmarkEnd w:id="422"/>
      <w:bookmarkStart w:id="423" w:name="_Toc18845"/>
      <w:bookmarkStart w:id="424" w:name="_Toc16060"/>
      <w:bookmarkStart w:id="425" w:name="_Toc24089"/>
      <w:bookmarkStart w:id="426" w:name="_Toc18605"/>
      <w:bookmarkStart w:id="427" w:name="_Toc10371"/>
      <w:r>
        <w:rPr>
          <w:rFonts w:hint="eastAsia" w:ascii="宋体" w:hAnsi="宋体" w:eastAsia="宋体" w:cs="宋体"/>
          <w:b w:val="0"/>
          <w:bCs w:val="0"/>
          <w:snapToGrid/>
          <w:color w:val="auto"/>
          <w:kern w:val="2"/>
          <w:sz w:val="21"/>
          <w:szCs w:val="21"/>
          <w:highlight w:val="none"/>
        </w:rPr>
        <w:t>6.2  职业健康</w:t>
      </w:r>
      <w:bookmarkEnd w:id="423"/>
      <w:bookmarkEnd w:id="424"/>
      <w:bookmarkEnd w:id="425"/>
      <w:bookmarkEnd w:id="426"/>
      <w:bookmarkEnd w:id="427"/>
    </w:p>
    <w:p w14:paraId="4BC9089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6.2.1  劳动保护</w:t>
      </w:r>
    </w:p>
    <w:p w14:paraId="1932551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592F75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1A1F709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承包人应按法律规定安排工作时间，保证其雇佣人员享有休息和休假的权利。因工程施工的特殊需要占用休假日或延长工作时间的，应不超过法律规定的限度，并按法律规定给予补休或付酬。6.2.2  生活条件</w:t>
      </w:r>
    </w:p>
    <w:p w14:paraId="4A78DE2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在远离城镇的施工场地，还应配备必要的伤病防治和急救的医务人员与医疗设施。</w:t>
      </w:r>
    </w:p>
    <w:p w14:paraId="2055FC8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428" w:name="_bookmark63"/>
      <w:bookmarkEnd w:id="428"/>
      <w:bookmarkStart w:id="429" w:name="_Toc16583"/>
      <w:bookmarkStart w:id="430" w:name="_Toc5125"/>
      <w:bookmarkStart w:id="431" w:name="_Toc24323"/>
      <w:bookmarkStart w:id="432" w:name="_Toc3070"/>
      <w:bookmarkStart w:id="433" w:name="_Toc24391"/>
      <w:r>
        <w:rPr>
          <w:rFonts w:hint="eastAsia" w:ascii="宋体" w:hAnsi="宋体" w:eastAsia="宋体" w:cs="宋体"/>
          <w:b w:val="0"/>
          <w:bCs w:val="0"/>
          <w:snapToGrid/>
          <w:color w:val="auto"/>
          <w:kern w:val="2"/>
          <w:sz w:val="21"/>
          <w:szCs w:val="21"/>
          <w:highlight w:val="none"/>
        </w:rPr>
        <w:t>6.3  环境保护</w:t>
      </w:r>
      <w:bookmarkEnd w:id="429"/>
      <w:bookmarkEnd w:id="430"/>
      <w:bookmarkEnd w:id="431"/>
      <w:bookmarkEnd w:id="432"/>
      <w:bookmarkEnd w:id="433"/>
    </w:p>
    <w:p w14:paraId="5DD138E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4BFC70E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承包人应当承担因其原因引起的环境污染侵权损害赔偿责任，因上述环境污染引起纠纷而导致暂停施工的，由此增加的费用和(或)延误的工期由承包人承担。</w:t>
      </w:r>
    </w:p>
    <w:p w14:paraId="60BA1947">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434" w:name="_bookmark64"/>
      <w:bookmarkEnd w:id="434"/>
      <w:bookmarkStart w:id="435" w:name="_Toc29825"/>
      <w:bookmarkStart w:id="436" w:name="_Toc2739"/>
      <w:bookmarkStart w:id="437" w:name="_Toc27025"/>
      <w:bookmarkStart w:id="438" w:name="_Toc30622"/>
      <w:bookmarkStart w:id="439" w:name="_Toc156"/>
      <w:r>
        <w:rPr>
          <w:rFonts w:hint="eastAsia" w:ascii="宋体" w:hAnsi="宋体" w:eastAsia="宋体" w:cs="宋体"/>
          <w:snapToGrid/>
          <w:color w:val="auto"/>
          <w:kern w:val="2"/>
          <w:sz w:val="21"/>
          <w:szCs w:val="21"/>
          <w:highlight w:val="none"/>
        </w:rPr>
        <w:t>7.  工期和进度</w:t>
      </w:r>
      <w:bookmarkEnd w:id="435"/>
      <w:bookmarkEnd w:id="436"/>
      <w:bookmarkEnd w:id="437"/>
      <w:bookmarkEnd w:id="438"/>
      <w:bookmarkEnd w:id="439"/>
    </w:p>
    <w:p w14:paraId="5BE0BE3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440" w:name="_bookmark65"/>
      <w:bookmarkEnd w:id="440"/>
      <w:bookmarkStart w:id="441" w:name="_Toc10296"/>
      <w:bookmarkStart w:id="442" w:name="_Toc18513"/>
      <w:bookmarkStart w:id="443" w:name="_Toc9074"/>
      <w:bookmarkStart w:id="444" w:name="_Toc16549"/>
      <w:bookmarkStart w:id="445" w:name="_Toc15559"/>
      <w:r>
        <w:rPr>
          <w:rFonts w:hint="eastAsia" w:ascii="宋体" w:hAnsi="宋体" w:eastAsia="宋体" w:cs="宋体"/>
          <w:b w:val="0"/>
          <w:bCs w:val="0"/>
          <w:snapToGrid/>
          <w:color w:val="auto"/>
          <w:kern w:val="2"/>
          <w:sz w:val="21"/>
          <w:szCs w:val="21"/>
          <w:highlight w:val="none"/>
        </w:rPr>
        <w:t>7.1 施工组织设计</w:t>
      </w:r>
      <w:bookmarkEnd w:id="441"/>
      <w:bookmarkEnd w:id="442"/>
      <w:bookmarkEnd w:id="443"/>
      <w:bookmarkEnd w:id="444"/>
      <w:bookmarkEnd w:id="445"/>
    </w:p>
    <w:p w14:paraId="4ECB417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7.1.1  施工组织设计的内容</w:t>
      </w:r>
    </w:p>
    <w:p w14:paraId="6F59CAB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施工组织设计应包含以下内容：</w:t>
      </w:r>
    </w:p>
    <w:p w14:paraId="2A3D214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(1)施工方案；</w:t>
      </w:r>
    </w:p>
    <w:p w14:paraId="5C96B5D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(2)施工现场平面布置图；</w:t>
      </w:r>
    </w:p>
    <w:p w14:paraId="1E90C2C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(3)施工进度计划和保证措施；</w:t>
      </w:r>
    </w:p>
    <w:p w14:paraId="3EC557B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(4)劳动力及材料供应计划；</w:t>
      </w:r>
    </w:p>
    <w:p w14:paraId="342E256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(5)施工机械设备的选用；</w:t>
      </w:r>
    </w:p>
    <w:p w14:paraId="0FA7324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(6)质量保证体系及措施；</w:t>
      </w:r>
    </w:p>
    <w:p w14:paraId="64F9023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(7)安全生产、文明施工措施；</w:t>
      </w:r>
    </w:p>
    <w:p w14:paraId="6AE074E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(8)环境保护、成本控制措施；</w:t>
      </w:r>
    </w:p>
    <w:p w14:paraId="5B18823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 xml:space="preserve">(9) 合同当事人约定的其他内容。 </w:t>
      </w:r>
    </w:p>
    <w:p w14:paraId="1131CE8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7.1.2  施工组织设计的提交和修改</w:t>
      </w:r>
    </w:p>
    <w:p w14:paraId="2F89F3C4">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31ED3D5D">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bookmarkStart w:id="446" w:name="_Toc23273"/>
      <w:bookmarkStart w:id="447" w:name="_Toc1509"/>
      <w:bookmarkStart w:id="448" w:name="_Toc4403"/>
      <w:bookmarkStart w:id="449" w:name="_Toc13832"/>
      <w:bookmarkStart w:id="450" w:name="_Toc30945"/>
      <w:r>
        <w:rPr>
          <w:rFonts w:hint="eastAsia" w:ascii="宋体" w:hAnsi="宋体" w:eastAsia="宋体" w:cs="宋体"/>
          <w:snapToGrid/>
          <w:color w:val="auto"/>
          <w:kern w:val="2"/>
          <w:highlight w:val="none"/>
        </w:rPr>
        <w:t>施工进度计划的编制和修改按照第7.2款〔施工进度计划〕执行。</w:t>
      </w:r>
      <w:bookmarkEnd w:id="446"/>
      <w:bookmarkEnd w:id="447"/>
      <w:bookmarkEnd w:id="448"/>
      <w:bookmarkEnd w:id="449"/>
      <w:bookmarkEnd w:id="450"/>
      <w:bookmarkStart w:id="451" w:name="_bookmark66"/>
      <w:bookmarkEnd w:id="451"/>
    </w:p>
    <w:p w14:paraId="574D890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452" w:name="_Toc22666"/>
      <w:bookmarkStart w:id="453" w:name="_Toc20245"/>
      <w:bookmarkStart w:id="454" w:name="_Toc17638"/>
      <w:bookmarkStart w:id="455" w:name="_Toc29360"/>
      <w:bookmarkStart w:id="456" w:name="_Toc26475"/>
      <w:r>
        <w:rPr>
          <w:rFonts w:hint="eastAsia" w:ascii="宋体" w:hAnsi="宋体" w:eastAsia="宋体" w:cs="宋体"/>
          <w:b w:val="0"/>
          <w:bCs w:val="0"/>
          <w:snapToGrid/>
          <w:color w:val="auto"/>
          <w:kern w:val="2"/>
          <w:sz w:val="21"/>
          <w:szCs w:val="21"/>
          <w:highlight w:val="none"/>
        </w:rPr>
        <w:t>7.2  施工进度计划</w:t>
      </w:r>
      <w:bookmarkEnd w:id="452"/>
      <w:bookmarkEnd w:id="453"/>
      <w:bookmarkEnd w:id="454"/>
      <w:bookmarkEnd w:id="455"/>
      <w:bookmarkEnd w:id="456"/>
    </w:p>
    <w:p w14:paraId="2C36DC2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7.2.1  施工进度计划的编制</w:t>
      </w:r>
    </w:p>
    <w:p w14:paraId="64C7335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43C28E7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7.2.2  施工进度计划的修订</w:t>
      </w:r>
    </w:p>
    <w:p w14:paraId="064A9F4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339E908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457" w:name="_bookmark67"/>
      <w:bookmarkEnd w:id="457"/>
      <w:bookmarkStart w:id="458" w:name="_Toc2884"/>
      <w:bookmarkStart w:id="459" w:name="_Toc11484"/>
      <w:bookmarkStart w:id="460" w:name="_Toc19693"/>
      <w:bookmarkStart w:id="461" w:name="_Toc13567"/>
      <w:bookmarkStart w:id="462" w:name="_Toc15204"/>
      <w:r>
        <w:rPr>
          <w:rFonts w:hint="eastAsia" w:ascii="宋体" w:hAnsi="宋体" w:eastAsia="宋体" w:cs="宋体"/>
          <w:b w:val="0"/>
          <w:bCs w:val="0"/>
          <w:snapToGrid/>
          <w:color w:val="auto"/>
          <w:kern w:val="2"/>
          <w:sz w:val="21"/>
          <w:szCs w:val="21"/>
          <w:highlight w:val="none"/>
        </w:rPr>
        <w:t>7.3  开工</w:t>
      </w:r>
      <w:bookmarkEnd w:id="458"/>
      <w:bookmarkEnd w:id="459"/>
      <w:bookmarkEnd w:id="460"/>
      <w:bookmarkEnd w:id="461"/>
      <w:bookmarkEnd w:id="462"/>
    </w:p>
    <w:p w14:paraId="6568DEF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7.3.1  开工准备</w:t>
      </w:r>
    </w:p>
    <w:p w14:paraId="188CF44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2CB3D2C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除专用合同条款另有约定外，合同当事人应按约定完成开工准备工作。</w:t>
      </w:r>
    </w:p>
    <w:p w14:paraId="1D98BBD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7.3.2  开工通知</w:t>
      </w:r>
    </w:p>
    <w:p w14:paraId="7266EF5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36C7184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DE1520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463" w:name="_bookmark68"/>
      <w:bookmarkEnd w:id="463"/>
      <w:bookmarkStart w:id="464" w:name="_Toc6567"/>
      <w:bookmarkStart w:id="465" w:name="_Toc15870"/>
      <w:bookmarkStart w:id="466" w:name="_Toc2123"/>
      <w:bookmarkStart w:id="467" w:name="_Toc30431"/>
      <w:bookmarkStart w:id="468" w:name="_Toc7241"/>
      <w:r>
        <w:rPr>
          <w:rFonts w:hint="eastAsia" w:ascii="宋体" w:hAnsi="宋体" w:eastAsia="宋体" w:cs="宋体"/>
          <w:b w:val="0"/>
          <w:bCs w:val="0"/>
          <w:snapToGrid/>
          <w:color w:val="auto"/>
          <w:kern w:val="2"/>
          <w:sz w:val="21"/>
          <w:szCs w:val="21"/>
          <w:highlight w:val="none"/>
        </w:rPr>
        <w:t>7.4 测量放线</w:t>
      </w:r>
      <w:bookmarkEnd w:id="464"/>
      <w:bookmarkEnd w:id="465"/>
      <w:bookmarkEnd w:id="466"/>
      <w:bookmarkEnd w:id="467"/>
      <w:bookmarkEnd w:id="468"/>
    </w:p>
    <w:p w14:paraId="2A11788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5046578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5676CD1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E9E538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施工过程中对施工现场内水准点等测量标志物的保护工作由承包人负责。</w:t>
      </w:r>
    </w:p>
    <w:p w14:paraId="0CBAE51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469" w:name="_bookmark69"/>
      <w:bookmarkEnd w:id="469"/>
      <w:bookmarkStart w:id="470" w:name="_Toc18898"/>
      <w:bookmarkStart w:id="471" w:name="_Toc14942"/>
      <w:bookmarkStart w:id="472" w:name="_Toc28933"/>
      <w:bookmarkStart w:id="473" w:name="_Toc30973"/>
      <w:bookmarkStart w:id="474" w:name="_Toc28624"/>
      <w:r>
        <w:rPr>
          <w:rFonts w:hint="eastAsia" w:ascii="宋体" w:hAnsi="宋体" w:eastAsia="宋体" w:cs="宋体"/>
          <w:b w:val="0"/>
          <w:bCs w:val="0"/>
          <w:snapToGrid/>
          <w:color w:val="auto"/>
          <w:kern w:val="2"/>
          <w:sz w:val="21"/>
          <w:szCs w:val="21"/>
          <w:highlight w:val="none"/>
        </w:rPr>
        <w:t>7.5  工期延误</w:t>
      </w:r>
      <w:bookmarkEnd w:id="470"/>
      <w:bookmarkEnd w:id="471"/>
      <w:bookmarkEnd w:id="472"/>
      <w:bookmarkEnd w:id="473"/>
      <w:bookmarkEnd w:id="474"/>
    </w:p>
    <w:p w14:paraId="0AA914E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7.5.1  因发包人原因导致工期延误</w:t>
      </w:r>
    </w:p>
    <w:p w14:paraId="7E68220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在合同履行过程中，因下列情况导致工期延误和(或)费用增加的，由发包人承担由此延误的工期和(或)增加的费用：</w:t>
      </w:r>
    </w:p>
    <w:p w14:paraId="5FDC64E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(1)发包人未能按合同约定提供图纸或所提供图纸不符合合同约定的；</w:t>
      </w:r>
    </w:p>
    <w:p w14:paraId="396B2C8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(2)发包人未能按合同约定提供施工现场、施工条件、基础资料、许可、批准等开工条件的；</w:t>
      </w:r>
    </w:p>
    <w:p w14:paraId="57947E0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(3)发包人提供的测量基准点、基准线和水准点及其书面资料存在错误或疏漏的；</w:t>
      </w:r>
    </w:p>
    <w:p w14:paraId="04C6151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(4)发包人未能在计划开工日期之日起7天内同意下达开工通知的；</w:t>
      </w:r>
    </w:p>
    <w:p w14:paraId="0584A90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(5)发包人未能按合同约定日期支付工程预付款、进度款或竣工结算款的；</w:t>
      </w:r>
    </w:p>
    <w:p w14:paraId="4DEF851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(6)监理人未按合同约定发出指示、批准等文件的；</w:t>
      </w:r>
    </w:p>
    <w:p w14:paraId="6EEED31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(7)专用合同条款中约定的其他情形。</w:t>
      </w:r>
    </w:p>
    <w:p w14:paraId="760A036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727480D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7.5.2  因承包人原因导致工期延误</w:t>
      </w:r>
    </w:p>
    <w:p w14:paraId="020B027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因承包人原因造成工期延误的，可以在专用合同条款中约定逾期竣工违约金的计算方法和逾期竣工违约金的上限。承包人支付逾期竣工违约金后，不免除承包人继续</w:t>
      </w:r>
      <w:bookmarkStart w:id="475" w:name="_bookmark70"/>
      <w:bookmarkEnd w:id="475"/>
      <w:r>
        <w:rPr>
          <w:rFonts w:hint="eastAsia" w:ascii="宋体" w:hAnsi="宋体" w:eastAsia="宋体" w:cs="宋体"/>
          <w:b w:val="0"/>
          <w:bCs w:val="0"/>
          <w:snapToGrid/>
          <w:color w:val="auto"/>
          <w:kern w:val="2"/>
          <w:sz w:val="21"/>
          <w:szCs w:val="21"/>
          <w:highlight w:val="none"/>
        </w:rPr>
        <w:t>完成工程及修补缺陷的义务。</w:t>
      </w:r>
    </w:p>
    <w:p w14:paraId="12CA046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476" w:name="_Toc24705"/>
      <w:bookmarkStart w:id="477" w:name="_Toc5253"/>
      <w:bookmarkStart w:id="478" w:name="_Toc15415"/>
      <w:bookmarkStart w:id="479" w:name="_Toc18038"/>
      <w:bookmarkStart w:id="480" w:name="_Toc13151"/>
      <w:r>
        <w:rPr>
          <w:rFonts w:hint="eastAsia" w:ascii="宋体" w:hAnsi="宋体" w:eastAsia="宋体" w:cs="宋体"/>
          <w:b w:val="0"/>
          <w:bCs w:val="0"/>
          <w:snapToGrid/>
          <w:color w:val="auto"/>
          <w:kern w:val="2"/>
          <w:sz w:val="21"/>
          <w:szCs w:val="21"/>
          <w:highlight w:val="none"/>
        </w:rPr>
        <w:t>7.6  不利物质条件</w:t>
      </w:r>
      <w:bookmarkEnd w:id="476"/>
      <w:bookmarkEnd w:id="477"/>
      <w:bookmarkEnd w:id="478"/>
      <w:bookmarkEnd w:id="479"/>
      <w:bookmarkEnd w:id="480"/>
    </w:p>
    <w:p w14:paraId="7DF94ED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21911EE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w:t>
      </w:r>
      <w:bookmarkStart w:id="481" w:name="_bookmark71"/>
      <w:bookmarkEnd w:id="481"/>
      <w:r>
        <w:rPr>
          <w:rFonts w:hint="eastAsia" w:ascii="宋体" w:hAnsi="宋体" w:eastAsia="宋体" w:cs="宋体"/>
          <w:b w:val="0"/>
          <w:bCs w:val="0"/>
          <w:snapToGrid/>
          <w:color w:val="auto"/>
          <w:kern w:val="2"/>
          <w:sz w:val="21"/>
          <w:szCs w:val="21"/>
          <w:highlight w:val="none"/>
        </w:rPr>
        <w:t>担。</w:t>
      </w:r>
    </w:p>
    <w:p w14:paraId="0B85D48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482" w:name="_Toc30051"/>
      <w:bookmarkStart w:id="483" w:name="_Toc2198"/>
      <w:bookmarkStart w:id="484" w:name="_Toc709"/>
      <w:bookmarkStart w:id="485" w:name="_Toc25305"/>
      <w:bookmarkStart w:id="486" w:name="_Toc19080"/>
      <w:r>
        <w:rPr>
          <w:rFonts w:hint="eastAsia" w:ascii="宋体" w:hAnsi="宋体" w:eastAsia="宋体" w:cs="宋体"/>
          <w:b w:val="0"/>
          <w:bCs w:val="0"/>
          <w:snapToGrid/>
          <w:color w:val="auto"/>
          <w:kern w:val="2"/>
          <w:sz w:val="21"/>
          <w:szCs w:val="21"/>
          <w:highlight w:val="none"/>
        </w:rPr>
        <w:t>7.7  异常恶劣的气候条件</w:t>
      </w:r>
      <w:bookmarkEnd w:id="482"/>
      <w:bookmarkEnd w:id="483"/>
      <w:bookmarkEnd w:id="484"/>
      <w:bookmarkEnd w:id="485"/>
      <w:bookmarkEnd w:id="486"/>
    </w:p>
    <w:p w14:paraId="47E4303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567726C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w:t>
      </w:r>
      <w:bookmarkStart w:id="487" w:name="_bookmark72"/>
      <w:bookmarkEnd w:id="487"/>
      <w:r>
        <w:rPr>
          <w:rFonts w:hint="eastAsia" w:ascii="宋体" w:hAnsi="宋体" w:eastAsia="宋体" w:cs="宋体"/>
          <w:b w:val="0"/>
          <w:bCs w:val="0"/>
          <w:snapToGrid/>
          <w:color w:val="auto"/>
          <w:kern w:val="2"/>
          <w:sz w:val="21"/>
          <w:szCs w:val="21"/>
          <w:highlight w:val="none"/>
        </w:rPr>
        <w:t>人承担。</w:t>
      </w:r>
    </w:p>
    <w:p w14:paraId="0998C7D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488" w:name="_Toc25738"/>
      <w:bookmarkStart w:id="489" w:name="_Toc6234"/>
      <w:bookmarkStart w:id="490" w:name="_Toc21920"/>
      <w:bookmarkStart w:id="491" w:name="_Toc682"/>
      <w:bookmarkStart w:id="492" w:name="_Toc5638"/>
      <w:r>
        <w:rPr>
          <w:rFonts w:hint="eastAsia" w:ascii="宋体" w:hAnsi="宋体" w:eastAsia="宋体" w:cs="宋体"/>
          <w:b w:val="0"/>
          <w:bCs w:val="0"/>
          <w:snapToGrid/>
          <w:color w:val="auto"/>
          <w:kern w:val="2"/>
          <w:sz w:val="21"/>
          <w:szCs w:val="21"/>
          <w:highlight w:val="none"/>
        </w:rPr>
        <w:t>7.8  暂停施工</w:t>
      </w:r>
      <w:bookmarkEnd w:id="488"/>
      <w:bookmarkEnd w:id="489"/>
      <w:bookmarkEnd w:id="490"/>
      <w:bookmarkEnd w:id="491"/>
      <w:bookmarkEnd w:id="492"/>
    </w:p>
    <w:p w14:paraId="5FEF706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7.8.1 发包人原因引起的暂停施工</w:t>
      </w:r>
    </w:p>
    <w:p w14:paraId="6A6B4A5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因发包人原因引起暂停施工的，监理人经发包人同意后，应及时下达暂停施工指示。情况紧急且监理人未及时下达暂停施工指示的，按照第7.8.4项〔紧急情况下的暂停施工〕执行。</w:t>
      </w:r>
    </w:p>
    <w:p w14:paraId="4001277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因发包人原因引起的暂停施工，发包人应承担由此增加的费用和(或)延误的工期。</w:t>
      </w:r>
    </w:p>
    <w:p w14:paraId="095D70C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7.8.2  承包人原因引起的暂停施工</w:t>
      </w:r>
    </w:p>
    <w:p w14:paraId="3C7F11A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5FDE7C7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7.8.3  指示暂停施工</w:t>
      </w:r>
    </w:p>
    <w:p w14:paraId="631E738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监理人认为有必要时，并经发包人批准后，可向承包人作出暂停施工的指示，承包人应按监理人指示暂停施工。</w:t>
      </w:r>
    </w:p>
    <w:p w14:paraId="3BBDC1B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7.8.4  紧急情况下的暂停施工</w:t>
      </w:r>
    </w:p>
    <w:p w14:paraId="20794A6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BCEE34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7.8.5  暂停施工后的复工</w:t>
      </w:r>
    </w:p>
    <w:p w14:paraId="726BBF2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7D1C053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承包人无故拖延和拒绝复工的，承包人承担由此增加的费用和(或)延误的工期；因发包人原因无法按时复工的，按照第7.5.1项〔因发包人原因导致工期延误〕约定办理。</w:t>
      </w:r>
    </w:p>
    <w:p w14:paraId="289EB45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7.8.6  暂停施工持续56天以上</w:t>
      </w:r>
    </w:p>
    <w:p w14:paraId="7446C71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06B63C3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3EB8C4A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7.8.7  暂停施工期间的工程照管</w:t>
      </w:r>
    </w:p>
    <w:p w14:paraId="2A8E69E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暂停施工期间，承包人应负责妥善照管工程并提供安全保障，由此增加的费用由责任方承担。</w:t>
      </w:r>
    </w:p>
    <w:p w14:paraId="38D8A39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7.8.8  暂停施工的措施</w:t>
      </w:r>
    </w:p>
    <w:p w14:paraId="7485CB7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暂停施工期间，发包人和承包人均应采取必要的措施确保工程质量及安全，防止</w:t>
      </w:r>
      <w:bookmarkStart w:id="493" w:name="_bookmark73"/>
      <w:bookmarkEnd w:id="493"/>
      <w:r>
        <w:rPr>
          <w:rFonts w:hint="eastAsia" w:ascii="宋体" w:hAnsi="宋体" w:eastAsia="宋体" w:cs="宋体"/>
          <w:b w:val="0"/>
          <w:bCs w:val="0"/>
          <w:snapToGrid/>
          <w:color w:val="auto"/>
          <w:kern w:val="2"/>
          <w:sz w:val="21"/>
          <w:szCs w:val="21"/>
          <w:highlight w:val="none"/>
        </w:rPr>
        <w:t>因暂停施工扩大损失。</w:t>
      </w:r>
    </w:p>
    <w:p w14:paraId="4889BDB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494" w:name="_Toc10069"/>
      <w:bookmarkStart w:id="495" w:name="_Toc14337"/>
      <w:bookmarkStart w:id="496" w:name="_Toc5711"/>
      <w:bookmarkStart w:id="497" w:name="_Toc5291"/>
      <w:bookmarkStart w:id="498" w:name="_Toc2083"/>
      <w:r>
        <w:rPr>
          <w:rFonts w:hint="eastAsia" w:ascii="宋体" w:hAnsi="宋体" w:eastAsia="宋体" w:cs="宋体"/>
          <w:b w:val="0"/>
          <w:bCs w:val="0"/>
          <w:snapToGrid/>
          <w:color w:val="auto"/>
          <w:kern w:val="2"/>
          <w:sz w:val="21"/>
          <w:szCs w:val="21"/>
          <w:highlight w:val="none"/>
        </w:rPr>
        <w:t>7.9 提前竣工</w:t>
      </w:r>
      <w:bookmarkEnd w:id="494"/>
      <w:bookmarkEnd w:id="495"/>
      <w:bookmarkEnd w:id="496"/>
      <w:bookmarkEnd w:id="497"/>
      <w:bookmarkEnd w:id="498"/>
    </w:p>
    <w:p w14:paraId="3F1D643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0F8D9A0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7.9.2  发包人要求承包人提前竣工，或承包人提出提前竣工的建议能够给发包人带来效益的，合同当事人可以在专用合同条款中约定提前竣工的奖励。</w:t>
      </w:r>
    </w:p>
    <w:p w14:paraId="657E9F66">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499" w:name="_bookmark74"/>
      <w:bookmarkEnd w:id="499"/>
      <w:bookmarkStart w:id="500" w:name="_bookmark75"/>
      <w:bookmarkEnd w:id="500"/>
      <w:bookmarkStart w:id="501" w:name="_Toc15988"/>
      <w:bookmarkStart w:id="502" w:name="_Toc19818"/>
      <w:bookmarkStart w:id="503" w:name="_Toc28435"/>
      <w:bookmarkStart w:id="504" w:name="_Toc23952"/>
      <w:bookmarkStart w:id="505" w:name="_Toc17138"/>
      <w:r>
        <w:rPr>
          <w:rFonts w:hint="eastAsia" w:ascii="宋体" w:hAnsi="宋体" w:eastAsia="宋体" w:cs="宋体"/>
          <w:snapToGrid/>
          <w:color w:val="auto"/>
          <w:kern w:val="2"/>
          <w:sz w:val="21"/>
          <w:szCs w:val="21"/>
          <w:highlight w:val="none"/>
        </w:rPr>
        <w:t>8.  材料与设备</w:t>
      </w:r>
      <w:bookmarkEnd w:id="501"/>
      <w:bookmarkEnd w:id="502"/>
      <w:bookmarkEnd w:id="503"/>
      <w:bookmarkEnd w:id="504"/>
      <w:bookmarkEnd w:id="505"/>
    </w:p>
    <w:p w14:paraId="79E3513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506" w:name="_Toc17443"/>
      <w:bookmarkStart w:id="507" w:name="_Toc11758"/>
      <w:bookmarkStart w:id="508" w:name="_Toc5592"/>
      <w:bookmarkStart w:id="509" w:name="_Toc27901"/>
      <w:bookmarkStart w:id="510" w:name="_Toc16907"/>
      <w:r>
        <w:rPr>
          <w:rFonts w:hint="eastAsia" w:ascii="宋体" w:hAnsi="宋体" w:eastAsia="宋体" w:cs="宋体"/>
          <w:b w:val="0"/>
          <w:bCs w:val="0"/>
          <w:snapToGrid/>
          <w:color w:val="auto"/>
          <w:kern w:val="2"/>
          <w:sz w:val="21"/>
          <w:szCs w:val="21"/>
          <w:highlight w:val="none"/>
        </w:rPr>
        <w:t>8.1 发包人供应材料与工程设备</w:t>
      </w:r>
      <w:bookmarkEnd w:id="506"/>
      <w:bookmarkEnd w:id="507"/>
      <w:bookmarkEnd w:id="508"/>
      <w:bookmarkEnd w:id="509"/>
      <w:bookmarkEnd w:id="510"/>
    </w:p>
    <w:p w14:paraId="080B018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发包人自行供应材料、工程设备的，应在签订合同时在专用合同条款的附件《发包人供应材料设备一览表》中明确材料、工程设备的品种、规格、型号、数量、单价、质量等级和送达地点。</w:t>
      </w:r>
    </w:p>
    <w:p w14:paraId="2327EE2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41D5CBD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511" w:name="_bookmark76"/>
      <w:bookmarkEnd w:id="511"/>
      <w:bookmarkStart w:id="512" w:name="_Toc691"/>
      <w:bookmarkStart w:id="513" w:name="_Toc325"/>
      <w:bookmarkStart w:id="514" w:name="_Toc25639"/>
      <w:bookmarkStart w:id="515" w:name="_Toc3865"/>
      <w:bookmarkStart w:id="516" w:name="_Toc15021"/>
      <w:r>
        <w:rPr>
          <w:rFonts w:hint="eastAsia" w:ascii="宋体" w:hAnsi="宋体" w:eastAsia="宋体" w:cs="宋体"/>
          <w:b w:val="0"/>
          <w:bCs w:val="0"/>
          <w:snapToGrid/>
          <w:color w:val="auto"/>
          <w:kern w:val="2"/>
          <w:sz w:val="21"/>
          <w:szCs w:val="21"/>
          <w:highlight w:val="none"/>
        </w:rPr>
        <w:t>8.2 承包人采购材料与工程设备</w:t>
      </w:r>
      <w:bookmarkEnd w:id="512"/>
      <w:bookmarkEnd w:id="513"/>
      <w:bookmarkEnd w:id="514"/>
      <w:bookmarkEnd w:id="515"/>
      <w:bookmarkEnd w:id="516"/>
    </w:p>
    <w:p w14:paraId="4101178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w:t>
      </w:r>
      <w:bookmarkStart w:id="517" w:name="_bookmark77"/>
      <w:bookmarkEnd w:id="517"/>
      <w:r>
        <w:rPr>
          <w:rFonts w:hint="eastAsia" w:ascii="宋体" w:hAnsi="宋体" w:eastAsia="宋体" w:cs="宋体"/>
          <w:b w:val="0"/>
          <w:bCs w:val="0"/>
          <w:snapToGrid/>
          <w:color w:val="auto"/>
          <w:kern w:val="2"/>
          <w:sz w:val="21"/>
          <w:szCs w:val="21"/>
          <w:highlight w:val="none"/>
        </w:rPr>
        <w:t>供应商的，承包人有权拒绝，并由发包人承担相应责任。</w:t>
      </w:r>
    </w:p>
    <w:p w14:paraId="30FB20B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518" w:name="_Toc26677"/>
      <w:bookmarkStart w:id="519" w:name="_Toc18464"/>
      <w:bookmarkStart w:id="520" w:name="_Toc26648"/>
      <w:bookmarkStart w:id="521" w:name="_Toc12822"/>
      <w:bookmarkStart w:id="522" w:name="_Toc17320"/>
      <w:r>
        <w:rPr>
          <w:rFonts w:hint="eastAsia" w:ascii="宋体" w:hAnsi="宋体" w:eastAsia="宋体" w:cs="宋体"/>
          <w:b w:val="0"/>
          <w:bCs w:val="0"/>
          <w:snapToGrid/>
          <w:color w:val="auto"/>
          <w:kern w:val="2"/>
          <w:sz w:val="21"/>
          <w:szCs w:val="21"/>
          <w:highlight w:val="none"/>
        </w:rPr>
        <w:t>8.3 材料与工程设备的接收与拒收</w:t>
      </w:r>
      <w:bookmarkEnd w:id="518"/>
      <w:bookmarkEnd w:id="519"/>
      <w:bookmarkEnd w:id="520"/>
      <w:bookmarkEnd w:id="521"/>
      <w:bookmarkEnd w:id="522"/>
    </w:p>
    <w:p w14:paraId="13BF9D3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4D99F08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发包人提供的材料和工程设备的规格、数量或质量不符合合同约定的，或因发包人原因导致交货日期延误或交货地点变更等情况的，按照第16.1款〔发包人违约〕约定办理。</w:t>
      </w:r>
    </w:p>
    <w:p w14:paraId="51C9086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36E7F22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w:t>
      </w:r>
      <w:bookmarkStart w:id="523" w:name="_bookmark78"/>
      <w:bookmarkEnd w:id="523"/>
      <w:r>
        <w:rPr>
          <w:rFonts w:hint="eastAsia" w:ascii="宋体" w:hAnsi="宋体" w:eastAsia="宋体" w:cs="宋体"/>
          <w:b w:val="0"/>
          <w:bCs w:val="0"/>
          <w:snapToGrid/>
          <w:color w:val="auto"/>
          <w:kern w:val="2"/>
          <w:sz w:val="21"/>
          <w:szCs w:val="21"/>
          <w:highlight w:val="none"/>
        </w:rPr>
        <w:t>人承担。</w:t>
      </w:r>
    </w:p>
    <w:p w14:paraId="3A80C73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524" w:name="_Toc10126"/>
      <w:bookmarkStart w:id="525" w:name="_Toc24216"/>
      <w:bookmarkStart w:id="526" w:name="_Toc5652"/>
      <w:bookmarkStart w:id="527" w:name="_Toc25773"/>
      <w:bookmarkStart w:id="528" w:name="_Toc17045"/>
      <w:r>
        <w:rPr>
          <w:rFonts w:hint="eastAsia" w:ascii="宋体" w:hAnsi="宋体" w:eastAsia="宋体" w:cs="宋体"/>
          <w:b w:val="0"/>
          <w:bCs w:val="0"/>
          <w:snapToGrid/>
          <w:color w:val="auto"/>
          <w:kern w:val="2"/>
          <w:sz w:val="21"/>
          <w:szCs w:val="21"/>
          <w:highlight w:val="none"/>
        </w:rPr>
        <w:t>8.4 材料与工程设备的保管与使用</w:t>
      </w:r>
      <w:bookmarkEnd w:id="524"/>
      <w:bookmarkEnd w:id="525"/>
      <w:bookmarkEnd w:id="526"/>
      <w:bookmarkEnd w:id="527"/>
      <w:bookmarkEnd w:id="528"/>
    </w:p>
    <w:p w14:paraId="5570840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8.4.1  发包人供应材料与工程设备的保管与使用</w:t>
      </w:r>
    </w:p>
    <w:p w14:paraId="75E3B96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供应的材料和工程设备，承包人清点后由承包人妥善保管，保管费用由发包人承担，但合同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7A7D2A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发包人供应的材料和工程设备使用前，由承包人负责检验，检验费用由发包人承担，不合格的不得使用。</w:t>
      </w:r>
    </w:p>
    <w:p w14:paraId="06A7557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8.4.2  承包人采购材料与工程设备的保管与使用</w:t>
      </w:r>
    </w:p>
    <w:p w14:paraId="037052B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5BF7639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发包人或监理人发现承包人使用不符合设计或有关标准要求的材料和工程设备时，有权要求承包人进行修复、拆除或重新采购，由此增加的费用和(或)延误的工</w:t>
      </w:r>
      <w:bookmarkStart w:id="529" w:name="_bookmark79"/>
      <w:bookmarkEnd w:id="529"/>
      <w:r>
        <w:rPr>
          <w:rFonts w:hint="eastAsia" w:ascii="宋体" w:hAnsi="宋体" w:eastAsia="宋体" w:cs="宋体"/>
          <w:b w:val="0"/>
          <w:bCs w:val="0"/>
          <w:snapToGrid/>
          <w:color w:val="auto"/>
          <w:kern w:val="2"/>
          <w:sz w:val="21"/>
          <w:szCs w:val="21"/>
          <w:highlight w:val="none"/>
        </w:rPr>
        <w:t>期，由承包人承担。</w:t>
      </w:r>
    </w:p>
    <w:p w14:paraId="4EF99F7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530" w:name="_Toc14328"/>
      <w:bookmarkStart w:id="531" w:name="_Toc32233"/>
      <w:bookmarkStart w:id="532" w:name="_Toc13532"/>
      <w:bookmarkStart w:id="533" w:name="_Toc3981"/>
      <w:bookmarkStart w:id="534" w:name="_Toc9331"/>
      <w:r>
        <w:rPr>
          <w:rFonts w:hint="eastAsia" w:ascii="宋体" w:hAnsi="宋体" w:eastAsia="宋体" w:cs="宋体"/>
          <w:b w:val="0"/>
          <w:bCs w:val="0"/>
          <w:snapToGrid/>
          <w:color w:val="auto"/>
          <w:kern w:val="2"/>
          <w:sz w:val="21"/>
          <w:szCs w:val="21"/>
          <w:highlight w:val="none"/>
        </w:rPr>
        <w:t>8.5 禁止使用不合格的材料和工程设备</w:t>
      </w:r>
      <w:bookmarkEnd w:id="530"/>
      <w:bookmarkEnd w:id="531"/>
      <w:bookmarkEnd w:id="532"/>
      <w:bookmarkEnd w:id="533"/>
      <w:bookmarkEnd w:id="534"/>
    </w:p>
    <w:p w14:paraId="77B1EF9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8.5.1  监理人有权拒绝承包人提供的不合格材料或工程设备，并要求承包人立即进行更换。监理人应在更换后再次进行检查和检验，由此增加的费用和(或)延误的工期由承包人承担。</w:t>
      </w:r>
    </w:p>
    <w:p w14:paraId="773C1FE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8.5.2  监理人发现承包人使用了不合格的材料和工程设备，承包人应按照监理人的指示立即改正，并禁止在工程中继续使用不合格的材料和工程设备。</w:t>
      </w:r>
    </w:p>
    <w:p w14:paraId="06E9E94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8.5.3  发包人提供的材料或工程设备不符合合同要求的，承包人有权拒绝，并可要求发包人更换，由此增加的费用和(或)延误的工期由发包人承担。</w:t>
      </w:r>
    </w:p>
    <w:p w14:paraId="26DA27A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535" w:name="_Toc4150"/>
      <w:bookmarkStart w:id="536" w:name="_Toc2986"/>
      <w:bookmarkStart w:id="537" w:name="_Toc10138"/>
      <w:bookmarkStart w:id="538" w:name="_Toc13555"/>
      <w:bookmarkStart w:id="539" w:name="_Toc15360"/>
      <w:r>
        <w:rPr>
          <w:rFonts w:hint="eastAsia" w:ascii="宋体" w:hAnsi="宋体" w:eastAsia="宋体" w:cs="宋体"/>
          <w:b w:val="0"/>
          <w:bCs w:val="0"/>
          <w:snapToGrid/>
          <w:color w:val="auto"/>
          <w:kern w:val="2"/>
          <w:sz w:val="21"/>
          <w:szCs w:val="21"/>
          <w:highlight w:val="none"/>
        </w:rPr>
        <w:t>8.6  样品</w:t>
      </w:r>
      <w:bookmarkEnd w:id="535"/>
      <w:bookmarkEnd w:id="536"/>
      <w:bookmarkEnd w:id="537"/>
      <w:bookmarkEnd w:id="538"/>
      <w:bookmarkEnd w:id="539"/>
    </w:p>
    <w:p w14:paraId="24146DC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8.6.1   样品的报送与封存</w:t>
      </w:r>
    </w:p>
    <w:p w14:paraId="7882C7F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需要承包人报送样品的材料或工程设备，样品的种类、名称、规格、数量等要求均应在专用合同条款中约定。样品的报送程序如下：</w:t>
      </w:r>
    </w:p>
    <w:p w14:paraId="6863896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192EB4E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2739DD1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(3)经发包人和监理人审批确认的样品应按约定的方法封样，封存的样品作为检验工程相关部分的标准之一。承包人在施工过程中不得使用与样品不符的材料或工程设备。</w:t>
      </w:r>
    </w:p>
    <w:p w14:paraId="3FC09F0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4DB35D8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8.6.2  样品的保管</w:t>
      </w:r>
    </w:p>
    <w:p w14:paraId="38E9120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经批准的样品应由监理人负责封存于现场，承包人应在现场为保存样品提供适当</w:t>
      </w:r>
      <w:bookmarkStart w:id="540" w:name="_bookmark81"/>
      <w:bookmarkEnd w:id="540"/>
      <w:r>
        <w:rPr>
          <w:rFonts w:hint="eastAsia" w:ascii="宋体" w:hAnsi="宋体" w:eastAsia="宋体" w:cs="宋体"/>
          <w:b w:val="0"/>
          <w:bCs w:val="0"/>
          <w:snapToGrid/>
          <w:color w:val="auto"/>
          <w:kern w:val="2"/>
          <w:sz w:val="21"/>
          <w:szCs w:val="21"/>
          <w:highlight w:val="none"/>
        </w:rPr>
        <w:t>和固定的场所并保持适当和良好的存储环境条件。</w:t>
      </w:r>
    </w:p>
    <w:p w14:paraId="3871BF6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541" w:name="_Toc17497"/>
      <w:bookmarkStart w:id="542" w:name="_Toc30345"/>
      <w:bookmarkStart w:id="543" w:name="_Toc16461"/>
      <w:bookmarkStart w:id="544" w:name="_Toc28023"/>
      <w:bookmarkStart w:id="545" w:name="_Toc8973"/>
      <w:r>
        <w:rPr>
          <w:rFonts w:hint="eastAsia" w:ascii="宋体" w:hAnsi="宋体" w:eastAsia="宋体" w:cs="宋体"/>
          <w:b w:val="0"/>
          <w:bCs w:val="0"/>
          <w:snapToGrid/>
          <w:color w:val="auto"/>
          <w:kern w:val="2"/>
          <w:sz w:val="21"/>
          <w:szCs w:val="21"/>
          <w:highlight w:val="none"/>
        </w:rPr>
        <w:t>8.7材料与工程设备的替代</w:t>
      </w:r>
      <w:bookmarkEnd w:id="541"/>
      <w:bookmarkEnd w:id="542"/>
      <w:bookmarkEnd w:id="543"/>
      <w:bookmarkEnd w:id="544"/>
      <w:bookmarkEnd w:id="545"/>
    </w:p>
    <w:p w14:paraId="223ECEC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8.7.1出现下列情况需要使用替代材料和工程设备的，承包人应按照第8.7.2项约定的程序执行：</w:t>
      </w:r>
    </w:p>
    <w:p w14:paraId="519AA6D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(1)基准日期后生效的法律规定禁止使用的；</w:t>
      </w:r>
    </w:p>
    <w:p w14:paraId="403CE44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(2)发包人要求使用替代品的；</w:t>
      </w:r>
    </w:p>
    <w:p w14:paraId="5598699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(3)因其他原因必须使用替代品的。</w:t>
      </w:r>
    </w:p>
    <w:p w14:paraId="0057D51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8.7.2承包人应在使用替代材料和工程设备28天前书面通知监理人，并附下列文件：</w:t>
      </w:r>
    </w:p>
    <w:p w14:paraId="246E037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(1)被替代的材料和工程设备的名称、数量、规格、型号、品牌、性能、价格及其他相关资料；</w:t>
      </w:r>
    </w:p>
    <w:p w14:paraId="3E1180E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(2)替代品的名称、数量、规格、型号、品牌、性能、价格及其他相关资料；</w:t>
      </w:r>
    </w:p>
    <w:p w14:paraId="5019ADE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(3)替代品与被替代产品之间的差异以及使用替代品可能对工程产生的影响；</w:t>
      </w:r>
    </w:p>
    <w:p w14:paraId="3B0DBA6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(4)替代品与被替代产品的价格差异；</w:t>
      </w:r>
    </w:p>
    <w:p w14:paraId="15B80B1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(5)使用替代品的理由和原因说明；</w:t>
      </w:r>
    </w:p>
    <w:p w14:paraId="0E6A3C0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(6)监理人要求的其他文件。</w:t>
      </w:r>
    </w:p>
    <w:p w14:paraId="112C384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监理人应在收到通知后14天内向承包人发出经发包人签认的书面指示；监理人逾期发出书面指示的，视为发包人和监理人同意使用替代品。</w:t>
      </w:r>
    </w:p>
    <w:p w14:paraId="6536302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8.7.3发包人认可使用替代材料和工程设备的，替代材料和工程设备的价格，按照合同清单或预算书相同项目的价格认定；无相同项目的，参考相似项目价格认定；既无相同项目也无相似项目的，按照合理的成本与利润构成的原则，由合同</w:t>
      </w:r>
      <w:bookmarkStart w:id="546" w:name="_bookmark82"/>
      <w:bookmarkEnd w:id="546"/>
      <w:r>
        <w:rPr>
          <w:rFonts w:hint="eastAsia" w:ascii="宋体" w:hAnsi="宋体" w:eastAsia="宋体" w:cs="宋体"/>
          <w:b w:val="0"/>
          <w:bCs w:val="0"/>
          <w:snapToGrid/>
          <w:color w:val="auto"/>
          <w:kern w:val="2"/>
          <w:sz w:val="21"/>
          <w:szCs w:val="21"/>
          <w:highlight w:val="none"/>
        </w:rPr>
        <w:t>当事人按照第4.4款〔商定或确定〕确定价格。</w:t>
      </w:r>
    </w:p>
    <w:p w14:paraId="62F13E5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547" w:name="_Toc28370"/>
      <w:bookmarkStart w:id="548" w:name="_Toc597"/>
      <w:bookmarkStart w:id="549" w:name="_Toc28074"/>
      <w:bookmarkStart w:id="550" w:name="_Toc17321"/>
      <w:bookmarkStart w:id="551" w:name="_Toc11864"/>
      <w:r>
        <w:rPr>
          <w:rFonts w:hint="eastAsia" w:ascii="宋体" w:hAnsi="宋体" w:eastAsia="宋体" w:cs="宋体"/>
          <w:b w:val="0"/>
          <w:bCs w:val="0"/>
          <w:snapToGrid/>
          <w:color w:val="auto"/>
          <w:kern w:val="2"/>
          <w:sz w:val="21"/>
          <w:szCs w:val="21"/>
          <w:highlight w:val="none"/>
        </w:rPr>
        <w:t>8.8施工设备和临时设施</w:t>
      </w:r>
      <w:bookmarkEnd w:id="547"/>
      <w:bookmarkEnd w:id="548"/>
      <w:bookmarkEnd w:id="549"/>
      <w:bookmarkEnd w:id="550"/>
      <w:bookmarkEnd w:id="551"/>
    </w:p>
    <w:p w14:paraId="3FE4B40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8.8.1承包人提供的施工设备和临时设施</w:t>
      </w:r>
    </w:p>
    <w:p w14:paraId="168CA06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6777433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除专用合同条款另有约定外，承包人应自行承担修建临时设施的费用，需要临时占地的，应由发包人办理申请手续并承担相应费用。</w:t>
      </w:r>
    </w:p>
    <w:p w14:paraId="01D9FDB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8.8.2发包人提供的施工设备和临时设施</w:t>
      </w:r>
    </w:p>
    <w:p w14:paraId="7F16D27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发包人提供的施工设备或临时设施在专用合同条款中约定。</w:t>
      </w:r>
    </w:p>
    <w:p w14:paraId="017B9BC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8.8.3要求承包人增加或更换施工设备</w:t>
      </w:r>
    </w:p>
    <w:p w14:paraId="2806F53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承包人使用的施工设备不能满足合同进度计划和(或)质量要求时，监理人有权要求承包人增加或更换施工设备，承包人应及时增加或更换，由此增加的费用和(或)</w:t>
      </w:r>
      <w:bookmarkStart w:id="552" w:name="_bookmark83"/>
      <w:bookmarkEnd w:id="552"/>
      <w:r>
        <w:rPr>
          <w:rFonts w:hint="eastAsia" w:ascii="宋体" w:hAnsi="宋体" w:eastAsia="宋体" w:cs="宋体"/>
          <w:b w:val="0"/>
          <w:bCs w:val="0"/>
          <w:snapToGrid/>
          <w:color w:val="auto"/>
          <w:kern w:val="2"/>
          <w:sz w:val="21"/>
          <w:szCs w:val="21"/>
          <w:highlight w:val="none"/>
        </w:rPr>
        <w:t>延误的工期由承包人承担。</w:t>
      </w:r>
    </w:p>
    <w:p w14:paraId="0F91436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553" w:name="_Toc16074"/>
      <w:bookmarkStart w:id="554" w:name="_Toc17992"/>
      <w:bookmarkStart w:id="555" w:name="_Toc2966"/>
      <w:bookmarkStart w:id="556" w:name="_Toc21804"/>
      <w:bookmarkStart w:id="557" w:name="_Toc16118"/>
      <w:r>
        <w:rPr>
          <w:rFonts w:hint="eastAsia" w:ascii="宋体" w:hAnsi="宋体" w:eastAsia="宋体" w:cs="宋体"/>
          <w:b w:val="0"/>
          <w:bCs w:val="0"/>
          <w:snapToGrid/>
          <w:color w:val="auto"/>
          <w:kern w:val="2"/>
          <w:sz w:val="21"/>
          <w:szCs w:val="21"/>
          <w:highlight w:val="none"/>
        </w:rPr>
        <w:t>8.9材料与设备专用要求</w:t>
      </w:r>
      <w:bookmarkEnd w:id="553"/>
      <w:bookmarkEnd w:id="554"/>
      <w:bookmarkEnd w:id="555"/>
      <w:bookmarkEnd w:id="556"/>
      <w:bookmarkEnd w:id="557"/>
    </w:p>
    <w:p w14:paraId="0131D4C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w:t>
      </w:r>
      <w:bookmarkStart w:id="558" w:name="_bookmark84"/>
      <w:bookmarkEnd w:id="558"/>
      <w:r>
        <w:rPr>
          <w:rFonts w:hint="eastAsia" w:ascii="宋体" w:hAnsi="宋体" w:eastAsia="宋体" w:cs="宋体"/>
          <w:b w:val="0"/>
          <w:bCs w:val="0"/>
          <w:snapToGrid/>
          <w:color w:val="auto"/>
          <w:kern w:val="2"/>
          <w:sz w:val="21"/>
          <w:szCs w:val="21"/>
          <w:highlight w:val="none"/>
        </w:rPr>
        <w:t>的施工设备和其他物品。</w:t>
      </w:r>
    </w:p>
    <w:p w14:paraId="5EB5DC7D">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559" w:name="_Toc17857"/>
      <w:bookmarkStart w:id="560" w:name="_Toc16995"/>
      <w:bookmarkStart w:id="561" w:name="_Toc23131"/>
      <w:bookmarkStart w:id="562" w:name="_Toc31082"/>
      <w:bookmarkStart w:id="563" w:name="_Toc5735"/>
      <w:r>
        <w:rPr>
          <w:rFonts w:hint="eastAsia" w:ascii="宋体" w:hAnsi="宋体" w:eastAsia="宋体" w:cs="宋体"/>
          <w:snapToGrid/>
          <w:color w:val="auto"/>
          <w:kern w:val="2"/>
          <w:sz w:val="21"/>
          <w:szCs w:val="21"/>
          <w:highlight w:val="none"/>
        </w:rPr>
        <w:t>9.试验与检验</w:t>
      </w:r>
      <w:bookmarkEnd w:id="559"/>
      <w:bookmarkEnd w:id="560"/>
      <w:bookmarkEnd w:id="561"/>
      <w:bookmarkEnd w:id="562"/>
      <w:bookmarkEnd w:id="563"/>
    </w:p>
    <w:p w14:paraId="30D040A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564" w:name="_bookmark85"/>
      <w:bookmarkEnd w:id="564"/>
      <w:bookmarkStart w:id="565" w:name="_Toc2448"/>
      <w:bookmarkStart w:id="566" w:name="_Toc20028"/>
      <w:bookmarkStart w:id="567" w:name="_Toc4131"/>
      <w:bookmarkStart w:id="568" w:name="_Toc14591"/>
      <w:bookmarkStart w:id="569" w:name="_Toc12858"/>
      <w:r>
        <w:rPr>
          <w:rFonts w:hint="eastAsia" w:ascii="宋体" w:hAnsi="宋体" w:eastAsia="宋体" w:cs="宋体"/>
          <w:b w:val="0"/>
          <w:bCs w:val="0"/>
          <w:snapToGrid/>
          <w:color w:val="auto"/>
          <w:kern w:val="2"/>
          <w:sz w:val="21"/>
          <w:szCs w:val="21"/>
          <w:highlight w:val="none"/>
        </w:rPr>
        <w:t>9.1试验设备与试验人员</w:t>
      </w:r>
      <w:bookmarkEnd w:id="565"/>
      <w:bookmarkEnd w:id="566"/>
      <w:bookmarkEnd w:id="567"/>
      <w:bookmarkEnd w:id="568"/>
      <w:bookmarkEnd w:id="569"/>
    </w:p>
    <w:p w14:paraId="29F67DE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9.1.1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266AF79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9.1.2承包人应按专用合同条款的约定提供试验设备、取样装置、试验场所和试验条件，并向监理人提交相应进场计划表。</w:t>
      </w:r>
    </w:p>
    <w:p w14:paraId="031E425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承包人配置的试验设备要符合相应试验规程的要求并经过具有资质的检测单位检测，且在正式使用该试验设备前，需要经过监理人与承包人共同校定。</w:t>
      </w:r>
    </w:p>
    <w:p w14:paraId="01CB9B3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9.1.3承包人应向监理人提交试验人员的名单及其岗位、资格等证明资料，试验人员必须能够熟练进行相应的检测试验，承包人对试验人员的试验程序和试验结果的</w:t>
      </w:r>
      <w:bookmarkStart w:id="570" w:name="_bookmark86"/>
      <w:bookmarkEnd w:id="570"/>
      <w:r>
        <w:rPr>
          <w:rFonts w:hint="eastAsia" w:ascii="宋体" w:hAnsi="宋体" w:eastAsia="宋体" w:cs="宋体"/>
          <w:b w:val="0"/>
          <w:bCs w:val="0"/>
          <w:snapToGrid/>
          <w:color w:val="auto"/>
          <w:kern w:val="2"/>
          <w:sz w:val="21"/>
          <w:szCs w:val="21"/>
          <w:highlight w:val="none"/>
        </w:rPr>
        <w:t>正确性负责。</w:t>
      </w:r>
    </w:p>
    <w:p w14:paraId="21FA65A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571" w:name="_Toc15515"/>
      <w:bookmarkStart w:id="572" w:name="_Toc15392"/>
      <w:bookmarkStart w:id="573" w:name="_Toc1653"/>
      <w:bookmarkStart w:id="574" w:name="_Toc30375"/>
      <w:bookmarkStart w:id="575" w:name="_Toc11650"/>
      <w:r>
        <w:rPr>
          <w:rFonts w:hint="eastAsia" w:ascii="宋体" w:hAnsi="宋体" w:eastAsia="宋体" w:cs="宋体"/>
          <w:b w:val="0"/>
          <w:bCs w:val="0"/>
          <w:snapToGrid/>
          <w:color w:val="auto"/>
          <w:kern w:val="2"/>
          <w:sz w:val="21"/>
          <w:szCs w:val="21"/>
          <w:highlight w:val="none"/>
        </w:rPr>
        <w:t>9.2取样</w:t>
      </w:r>
      <w:bookmarkEnd w:id="571"/>
      <w:bookmarkEnd w:id="572"/>
      <w:bookmarkEnd w:id="573"/>
      <w:bookmarkEnd w:id="574"/>
      <w:bookmarkEnd w:id="575"/>
    </w:p>
    <w:p w14:paraId="0D65820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试验属于自检性质的，承包人可以单独取样。试验属于监理人抽检性质的，可由监理人取样，也可由承包人的试验人员在监理人的监督下取样。</w:t>
      </w:r>
    </w:p>
    <w:p w14:paraId="76F28E8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576" w:name="_bookmark87"/>
      <w:bookmarkEnd w:id="576"/>
      <w:bookmarkStart w:id="577" w:name="_Toc15266"/>
      <w:bookmarkStart w:id="578" w:name="_Toc28864"/>
      <w:bookmarkStart w:id="579" w:name="_Toc27556"/>
      <w:bookmarkStart w:id="580" w:name="_Toc13403"/>
      <w:bookmarkStart w:id="581" w:name="_Toc9907"/>
      <w:r>
        <w:rPr>
          <w:rFonts w:hint="eastAsia" w:ascii="宋体" w:hAnsi="宋体" w:eastAsia="宋体" w:cs="宋体"/>
          <w:b w:val="0"/>
          <w:bCs w:val="0"/>
          <w:snapToGrid/>
          <w:color w:val="auto"/>
          <w:kern w:val="2"/>
          <w:sz w:val="21"/>
          <w:szCs w:val="21"/>
          <w:highlight w:val="none"/>
        </w:rPr>
        <w:t>9.3材料、工程设备和工程的试验和检验</w:t>
      </w:r>
      <w:bookmarkEnd w:id="577"/>
      <w:bookmarkEnd w:id="578"/>
      <w:bookmarkEnd w:id="579"/>
      <w:bookmarkEnd w:id="580"/>
      <w:bookmarkEnd w:id="581"/>
    </w:p>
    <w:p w14:paraId="5294C21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57D3A1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00D784E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2D6EAAE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582" w:name="_bookmark88"/>
      <w:bookmarkEnd w:id="582"/>
      <w:bookmarkStart w:id="583" w:name="_Toc8640"/>
      <w:bookmarkStart w:id="584" w:name="_Toc14095"/>
      <w:bookmarkStart w:id="585" w:name="_Toc1003"/>
      <w:bookmarkStart w:id="586" w:name="_Toc14917"/>
      <w:bookmarkStart w:id="587" w:name="_Toc27774"/>
      <w:r>
        <w:rPr>
          <w:rFonts w:hint="eastAsia" w:ascii="宋体" w:hAnsi="宋体" w:eastAsia="宋体" w:cs="宋体"/>
          <w:b w:val="0"/>
          <w:bCs w:val="0"/>
          <w:snapToGrid/>
          <w:color w:val="auto"/>
          <w:kern w:val="2"/>
          <w:sz w:val="21"/>
          <w:szCs w:val="21"/>
          <w:highlight w:val="none"/>
        </w:rPr>
        <w:t>9.4现场工艺试验</w:t>
      </w:r>
      <w:bookmarkEnd w:id="583"/>
      <w:bookmarkEnd w:id="584"/>
      <w:bookmarkEnd w:id="585"/>
      <w:bookmarkEnd w:id="586"/>
      <w:bookmarkEnd w:id="587"/>
    </w:p>
    <w:p w14:paraId="3610830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承包人应按合同约定或监理人指示进行现场工艺试验。对大型的现场工艺试验，监理人认为必要时，承包人应根据监理人提出的工艺试验要求，编制工艺试验措施计</w:t>
      </w:r>
      <w:bookmarkStart w:id="588" w:name="_bookmark89"/>
      <w:bookmarkEnd w:id="588"/>
      <w:r>
        <w:rPr>
          <w:rFonts w:hint="eastAsia" w:ascii="宋体" w:hAnsi="宋体" w:eastAsia="宋体" w:cs="宋体"/>
          <w:b w:val="0"/>
          <w:bCs w:val="0"/>
          <w:snapToGrid/>
          <w:color w:val="auto"/>
          <w:kern w:val="2"/>
          <w:sz w:val="21"/>
          <w:szCs w:val="21"/>
          <w:highlight w:val="none"/>
        </w:rPr>
        <w:t>划，报送监理人审查。</w:t>
      </w:r>
    </w:p>
    <w:p w14:paraId="4B3FB63A">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589" w:name="_Toc4429"/>
      <w:bookmarkStart w:id="590" w:name="_Toc9022"/>
      <w:bookmarkStart w:id="591" w:name="_Toc7392"/>
      <w:bookmarkStart w:id="592" w:name="_Toc3273"/>
      <w:bookmarkStart w:id="593" w:name="_Toc348"/>
      <w:r>
        <w:rPr>
          <w:rFonts w:hint="eastAsia" w:ascii="宋体" w:hAnsi="宋体" w:eastAsia="宋体" w:cs="宋体"/>
          <w:snapToGrid/>
          <w:color w:val="auto"/>
          <w:kern w:val="2"/>
          <w:sz w:val="21"/>
          <w:szCs w:val="21"/>
          <w:highlight w:val="none"/>
        </w:rPr>
        <w:t>10.变更</w:t>
      </w:r>
      <w:bookmarkEnd w:id="589"/>
      <w:bookmarkEnd w:id="590"/>
      <w:bookmarkEnd w:id="591"/>
      <w:bookmarkEnd w:id="592"/>
      <w:bookmarkEnd w:id="593"/>
    </w:p>
    <w:p w14:paraId="4E4FE46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594" w:name="_bookmark90"/>
      <w:bookmarkEnd w:id="594"/>
      <w:bookmarkStart w:id="595" w:name="_Toc24328"/>
      <w:bookmarkStart w:id="596" w:name="_Toc19674"/>
      <w:bookmarkStart w:id="597" w:name="_Toc18035"/>
      <w:bookmarkStart w:id="598" w:name="_Toc8163"/>
      <w:bookmarkStart w:id="599" w:name="_Toc4281"/>
      <w:r>
        <w:rPr>
          <w:rFonts w:hint="eastAsia" w:ascii="宋体" w:hAnsi="宋体" w:eastAsia="宋体" w:cs="宋体"/>
          <w:b w:val="0"/>
          <w:bCs w:val="0"/>
          <w:snapToGrid/>
          <w:color w:val="auto"/>
          <w:kern w:val="2"/>
          <w:sz w:val="21"/>
          <w:szCs w:val="21"/>
          <w:highlight w:val="none"/>
        </w:rPr>
        <w:t>10.1变更的范围</w:t>
      </w:r>
      <w:bookmarkEnd w:id="595"/>
      <w:bookmarkEnd w:id="596"/>
      <w:bookmarkEnd w:id="597"/>
      <w:bookmarkEnd w:id="598"/>
      <w:bookmarkEnd w:id="599"/>
    </w:p>
    <w:p w14:paraId="71433B1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除专用合同条款另有约定外，合同履行过程中发生以下情形的，应按照本条约定进行变更：</w:t>
      </w:r>
    </w:p>
    <w:p w14:paraId="6D9526D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(1)增加或减少合同中任何工作，或追加额外的工作；</w:t>
      </w:r>
    </w:p>
    <w:p w14:paraId="6BFDBC8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(2)取消合同中任何工作，但转由他人实施的工作除外；</w:t>
      </w:r>
    </w:p>
    <w:p w14:paraId="2F642FF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(3)改变合同中任何工作的质量标准或其他特性；</w:t>
      </w:r>
    </w:p>
    <w:p w14:paraId="767DDA8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(4)改变工程的基线、标高、位置和尺寸；</w:t>
      </w:r>
    </w:p>
    <w:p w14:paraId="12F8CB6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(5)改变工程的时间安排或实施顺序。</w:t>
      </w:r>
    </w:p>
    <w:p w14:paraId="2C9E261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600" w:name="_bookmark91"/>
      <w:bookmarkEnd w:id="600"/>
      <w:bookmarkStart w:id="601" w:name="_Toc26422"/>
      <w:bookmarkStart w:id="602" w:name="_Toc12113"/>
      <w:bookmarkStart w:id="603" w:name="_Toc13752"/>
      <w:bookmarkStart w:id="604" w:name="_Toc2326"/>
      <w:bookmarkStart w:id="605" w:name="_Toc15710"/>
      <w:r>
        <w:rPr>
          <w:rFonts w:hint="eastAsia" w:ascii="宋体" w:hAnsi="宋体" w:eastAsia="宋体" w:cs="宋体"/>
          <w:b w:val="0"/>
          <w:bCs w:val="0"/>
          <w:snapToGrid/>
          <w:color w:val="auto"/>
          <w:kern w:val="2"/>
          <w:sz w:val="21"/>
          <w:szCs w:val="21"/>
          <w:highlight w:val="none"/>
        </w:rPr>
        <w:t>10.2变更权</w:t>
      </w:r>
      <w:bookmarkEnd w:id="601"/>
      <w:bookmarkEnd w:id="602"/>
      <w:bookmarkEnd w:id="603"/>
      <w:bookmarkEnd w:id="604"/>
      <w:bookmarkEnd w:id="605"/>
    </w:p>
    <w:p w14:paraId="210F9EB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DC90F2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涉及设计变更的，应由设计人提供变更后的图纸和说明。如变更超过原设计标准或批准的建设规模时，发包人应及时办理规划、设计变更等审批手续。</w:t>
      </w:r>
    </w:p>
    <w:p w14:paraId="6CF549D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606" w:name="_bookmark92"/>
      <w:bookmarkEnd w:id="606"/>
      <w:bookmarkStart w:id="607" w:name="_Toc15155"/>
      <w:bookmarkStart w:id="608" w:name="_Toc7211"/>
      <w:bookmarkStart w:id="609" w:name="_Toc15466"/>
      <w:bookmarkStart w:id="610" w:name="_Toc9820"/>
      <w:bookmarkStart w:id="611" w:name="_Toc22916"/>
      <w:r>
        <w:rPr>
          <w:rFonts w:hint="eastAsia" w:ascii="宋体" w:hAnsi="宋体" w:eastAsia="宋体" w:cs="宋体"/>
          <w:b w:val="0"/>
          <w:bCs w:val="0"/>
          <w:snapToGrid/>
          <w:color w:val="auto"/>
          <w:kern w:val="2"/>
          <w:sz w:val="21"/>
          <w:szCs w:val="21"/>
          <w:highlight w:val="none"/>
        </w:rPr>
        <w:t>10.3变更程序</w:t>
      </w:r>
      <w:bookmarkEnd w:id="607"/>
      <w:bookmarkEnd w:id="608"/>
      <w:bookmarkEnd w:id="609"/>
      <w:bookmarkEnd w:id="610"/>
      <w:bookmarkEnd w:id="611"/>
    </w:p>
    <w:p w14:paraId="1500780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10.3.1发包人提出变更</w:t>
      </w:r>
    </w:p>
    <w:p w14:paraId="09CD5A9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发包人提出变更的，应通过监理人向承包人发出变更指示，变更指示应说明计划变更的工程范围和变更的内容。</w:t>
      </w:r>
    </w:p>
    <w:p w14:paraId="24BDABE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10.3.2监理人提出变更建议</w:t>
      </w:r>
    </w:p>
    <w:p w14:paraId="576603D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31D4FE2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10.3.3 变更执行</w:t>
      </w:r>
    </w:p>
    <w:p w14:paraId="3D39062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6A5E5C5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612" w:name="_bookmark93"/>
      <w:bookmarkEnd w:id="612"/>
      <w:bookmarkStart w:id="613" w:name="_Toc9353"/>
      <w:bookmarkStart w:id="614" w:name="_Toc26055"/>
      <w:bookmarkStart w:id="615" w:name="_Toc9055"/>
      <w:bookmarkStart w:id="616" w:name="_Toc12477"/>
      <w:bookmarkStart w:id="617" w:name="_Toc2010"/>
      <w:r>
        <w:rPr>
          <w:rFonts w:hint="eastAsia" w:ascii="宋体" w:hAnsi="宋体" w:eastAsia="宋体" w:cs="宋体"/>
          <w:b w:val="0"/>
          <w:bCs w:val="0"/>
          <w:snapToGrid/>
          <w:color w:val="auto"/>
          <w:kern w:val="2"/>
          <w:sz w:val="21"/>
          <w:szCs w:val="21"/>
          <w:highlight w:val="none"/>
        </w:rPr>
        <w:t>10.4变更估价</w:t>
      </w:r>
      <w:bookmarkEnd w:id="613"/>
      <w:bookmarkEnd w:id="614"/>
      <w:bookmarkEnd w:id="615"/>
      <w:bookmarkEnd w:id="616"/>
      <w:bookmarkEnd w:id="617"/>
    </w:p>
    <w:p w14:paraId="7DDEF25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10.4.1变更估价原则</w:t>
      </w:r>
    </w:p>
    <w:p w14:paraId="7FC9735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除专用合同条款另有约定外，变更估价按照本款约定处理：</w:t>
      </w:r>
    </w:p>
    <w:p w14:paraId="4D1CA42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(1)合同清单或预算书有相同项目的，按照相同项目单价认定；</w:t>
      </w:r>
    </w:p>
    <w:p w14:paraId="7FC4734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(2)合同清单或预算书中无相同项目，但有类似项目的，参照类似项目的单价认定；</w:t>
      </w:r>
    </w:p>
    <w:p w14:paraId="6984267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变更导致实际完成的变更工程量与合同清单或预算书中列明的该项目工程量的变化幅度超过15%的，或合同清单或预算书中无相同项目及类似项目单价的，按照合理的成本与利润构成的原则，由合同当事人按照第4.4款〔商定或确定〕确定变更工作的单价。</w:t>
      </w:r>
    </w:p>
    <w:p w14:paraId="797DB87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10.4.2变更估价程序</w:t>
      </w:r>
    </w:p>
    <w:p w14:paraId="00848D5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5EBD37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618" w:name="_Toc17675"/>
      <w:bookmarkStart w:id="619" w:name="_Toc31078"/>
      <w:bookmarkStart w:id="620" w:name="_Toc22093"/>
      <w:bookmarkStart w:id="621" w:name="_Toc3898"/>
      <w:bookmarkStart w:id="622" w:name="_Toc28442"/>
      <w:r>
        <w:rPr>
          <w:rFonts w:hint="eastAsia" w:ascii="宋体" w:hAnsi="宋体" w:eastAsia="宋体" w:cs="宋体"/>
          <w:b w:val="0"/>
          <w:bCs w:val="0"/>
          <w:snapToGrid/>
          <w:color w:val="auto"/>
          <w:kern w:val="2"/>
          <w:sz w:val="21"/>
          <w:szCs w:val="21"/>
          <w:highlight w:val="none"/>
        </w:rPr>
        <w:t>因变更引起的价格调整应计入最近一期的进度款中支付。</w:t>
      </w:r>
      <w:bookmarkEnd w:id="618"/>
      <w:bookmarkEnd w:id="619"/>
      <w:bookmarkEnd w:id="620"/>
      <w:bookmarkEnd w:id="621"/>
      <w:bookmarkEnd w:id="622"/>
    </w:p>
    <w:p w14:paraId="04CD01A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623" w:name="_bookmark94"/>
      <w:bookmarkEnd w:id="623"/>
      <w:bookmarkStart w:id="624" w:name="_Toc6221"/>
      <w:bookmarkStart w:id="625" w:name="_Toc32145"/>
      <w:bookmarkStart w:id="626" w:name="_Toc17756"/>
      <w:bookmarkStart w:id="627" w:name="_Toc23748"/>
      <w:bookmarkStart w:id="628" w:name="_Toc25382"/>
      <w:r>
        <w:rPr>
          <w:rFonts w:hint="eastAsia" w:ascii="宋体" w:hAnsi="宋体" w:eastAsia="宋体" w:cs="宋体"/>
          <w:b w:val="0"/>
          <w:bCs w:val="0"/>
          <w:snapToGrid/>
          <w:color w:val="auto"/>
          <w:kern w:val="2"/>
          <w:sz w:val="21"/>
          <w:szCs w:val="21"/>
          <w:highlight w:val="none"/>
        </w:rPr>
        <w:t>10.5承包人的合理化建议</w:t>
      </w:r>
      <w:bookmarkEnd w:id="624"/>
      <w:bookmarkEnd w:id="625"/>
      <w:bookmarkEnd w:id="626"/>
      <w:bookmarkEnd w:id="627"/>
      <w:bookmarkEnd w:id="628"/>
    </w:p>
    <w:p w14:paraId="250E6A0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承包人提出合理化建议的，应向监理人提交合理化建议说明，说明建议的内容和理由，以及实施该建议对合同价格和工期的影响。</w:t>
      </w:r>
    </w:p>
    <w:p w14:paraId="240666D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53BF870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合理化建议降低了合同价格或者提高了工程经济效益的，发包人可对承包人给予奖励，奖励的方法和金额在专用合同条款中约定。</w:t>
      </w:r>
    </w:p>
    <w:p w14:paraId="32FA591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629" w:name="_bookmark95"/>
      <w:bookmarkEnd w:id="629"/>
      <w:bookmarkStart w:id="630" w:name="_Toc14703"/>
      <w:bookmarkStart w:id="631" w:name="_Toc21452"/>
      <w:bookmarkStart w:id="632" w:name="_Toc25947"/>
      <w:bookmarkStart w:id="633" w:name="_Toc13020"/>
      <w:bookmarkStart w:id="634" w:name="_Toc16791"/>
      <w:r>
        <w:rPr>
          <w:rFonts w:hint="eastAsia" w:ascii="宋体" w:hAnsi="宋体" w:eastAsia="宋体" w:cs="宋体"/>
          <w:b w:val="0"/>
          <w:bCs w:val="0"/>
          <w:snapToGrid/>
          <w:color w:val="auto"/>
          <w:kern w:val="2"/>
          <w:sz w:val="21"/>
          <w:szCs w:val="21"/>
          <w:highlight w:val="none"/>
        </w:rPr>
        <w:t>10.6变更引起的工期调整</w:t>
      </w:r>
      <w:bookmarkEnd w:id="630"/>
      <w:bookmarkEnd w:id="631"/>
      <w:bookmarkEnd w:id="632"/>
      <w:bookmarkEnd w:id="633"/>
      <w:bookmarkEnd w:id="634"/>
    </w:p>
    <w:p w14:paraId="1BF6892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因变更引起工期变化的，合同当事人均可要求调整合同工期，由合同当事人按照第4.4款〔商定或确定〕并参考工程所在地的工期定额标准确定增减工期天数。</w:t>
      </w:r>
    </w:p>
    <w:p w14:paraId="421E90C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635" w:name="_bookmark96"/>
      <w:bookmarkEnd w:id="635"/>
      <w:bookmarkStart w:id="636" w:name="_Toc390"/>
      <w:bookmarkStart w:id="637" w:name="_Toc950"/>
      <w:bookmarkStart w:id="638" w:name="_Toc25843"/>
      <w:bookmarkStart w:id="639" w:name="_Toc6536"/>
      <w:bookmarkStart w:id="640" w:name="_Toc31934"/>
      <w:r>
        <w:rPr>
          <w:rFonts w:hint="eastAsia" w:ascii="宋体" w:hAnsi="宋体" w:eastAsia="宋体" w:cs="宋体"/>
          <w:b w:val="0"/>
          <w:bCs w:val="0"/>
          <w:snapToGrid/>
          <w:color w:val="auto"/>
          <w:kern w:val="2"/>
          <w:sz w:val="21"/>
          <w:szCs w:val="21"/>
          <w:highlight w:val="none"/>
        </w:rPr>
        <w:t>10.7暂估价</w:t>
      </w:r>
      <w:bookmarkEnd w:id="636"/>
      <w:bookmarkEnd w:id="637"/>
      <w:bookmarkEnd w:id="638"/>
      <w:bookmarkEnd w:id="639"/>
      <w:bookmarkEnd w:id="640"/>
    </w:p>
    <w:p w14:paraId="2821019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暂估价专业分包工程、服务、材料和工程设备的明细由合同当事人在专用合同条款中约定。</w:t>
      </w:r>
    </w:p>
    <w:p w14:paraId="4D43890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10.7.1依法必须招标的暂估价项目</w:t>
      </w:r>
    </w:p>
    <w:p w14:paraId="0407E5A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对于依法必须招标的暂估价项目，采取以下第1种方式确定。合同当事人也可以在专用合同条款中选择其他招标方式。</w:t>
      </w:r>
    </w:p>
    <w:p w14:paraId="3155C26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第1种方式：对于依法必须招标的暂估价项目，由承包人招标，对该暂估价项目的确认和批准按照以下约定执行：</w:t>
      </w:r>
    </w:p>
    <w:p w14:paraId="6541EC5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A8C448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承包人应当根据施工进度计划，提前14天将招标文件通过监理人报送发包人审批，发包人应当在收到承包人报送的相关文件后7天内完成审批或提出修改意见；发包人有权确定最高投标限价并按照法律规定参加评标；</w:t>
      </w:r>
    </w:p>
    <w:p w14:paraId="6A64800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5CE7368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B73B7E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10.7.2不属于依法必须招标的暂估价项目</w:t>
      </w:r>
    </w:p>
    <w:p w14:paraId="1E748E1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除专用合同条款另有约定外，对于不属于依法必须招标的暂估价项目，采取以下第1种方式确定：</w:t>
      </w:r>
    </w:p>
    <w:p w14:paraId="3DB7929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第1种方式：对于不属于依法必须招标的暂估价项目，按本项约定确认和批准：</w:t>
      </w:r>
    </w:p>
    <w:p w14:paraId="0940F1C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2B08BF33">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bookmarkStart w:id="641" w:name="_Toc20005"/>
      <w:bookmarkStart w:id="642" w:name="_Toc22278"/>
      <w:bookmarkStart w:id="643" w:name="_Toc25840"/>
      <w:bookmarkStart w:id="644" w:name="_Toc8623"/>
      <w:bookmarkStart w:id="645" w:name="_Toc21701"/>
      <w:r>
        <w:rPr>
          <w:rFonts w:hint="eastAsia" w:ascii="宋体" w:hAnsi="宋体" w:eastAsia="宋体" w:cs="宋体"/>
          <w:snapToGrid/>
          <w:color w:val="auto"/>
          <w:kern w:val="2"/>
          <w:highlight w:val="none"/>
        </w:rPr>
        <w:t>(2)发包人认为承包人确定的供应商、分包人无法满足工程质量或合同要求的，</w:t>
      </w:r>
      <w:bookmarkEnd w:id="641"/>
      <w:bookmarkEnd w:id="642"/>
      <w:bookmarkEnd w:id="643"/>
      <w:bookmarkEnd w:id="644"/>
      <w:bookmarkEnd w:id="645"/>
    </w:p>
    <w:p w14:paraId="73D62725">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bookmarkStart w:id="646" w:name="_Toc4814"/>
      <w:bookmarkStart w:id="647" w:name="_Toc10957"/>
      <w:bookmarkStart w:id="648" w:name="_Toc17858"/>
      <w:bookmarkStart w:id="649" w:name="_Toc30490"/>
      <w:bookmarkStart w:id="650" w:name="_Toc5550"/>
      <w:r>
        <w:rPr>
          <w:rFonts w:hint="eastAsia" w:ascii="宋体" w:hAnsi="宋体" w:eastAsia="宋体" w:cs="宋体"/>
          <w:snapToGrid/>
          <w:color w:val="auto"/>
          <w:kern w:val="2"/>
          <w:highlight w:val="none"/>
        </w:rPr>
        <w:t>发包人可以要求承包人重新确定暂估价项目的供应商、分包人;</w:t>
      </w:r>
      <w:bookmarkEnd w:id="646"/>
      <w:bookmarkEnd w:id="647"/>
      <w:bookmarkEnd w:id="648"/>
      <w:bookmarkEnd w:id="649"/>
      <w:bookmarkEnd w:id="650"/>
    </w:p>
    <w:p w14:paraId="44CC5938">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bookmarkStart w:id="651" w:name="_Toc16779"/>
      <w:bookmarkStart w:id="652" w:name="_Toc14249"/>
      <w:bookmarkStart w:id="653" w:name="_Toc25670"/>
      <w:bookmarkStart w:id="654" w:name="_Toc25611"/>
      <w:bookmarkStart w:id="655" w:name="_Toc20827"/>
      <w:r>
        <w:rPr>
          <w:rFonts w:hint="eastAsia" w:ascii="宋体" w:hAnsi="宋体" w:eastAsia="宋体" w:cs="宋体"/>
          <w:snapToGrid/>
          <w:color w:val="auto"/>
          <w:kern w:val="2"/>
          <w:highlight w:val="none"/>
        </w:rPr>
        <w:t>(3)承包人应当在签订暂估价合同后7天内，将暂估价合同副本报送发包人留存。</w:t>
      </w:r>
      <w:bookmarkEnd w:id="651"/>
      <w:bookmarkEnd w:id="652"/>
      <w:bookmarkEnd w:id="653"/>
      <w:bookmarkEnd w:id="654"/>
      <w:bookmarkEnd w:id="655"/>
    </w:p>
    <w:p w14:paraId="768B3A6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第2种方式：承包人按照第10.7.1项〔依法必须招标的暂估价项目〕约定的第1种方式确定暂估价项目。</w:t>
      </w:r>
    </w:p>
    <w:p w14:paraId="018B7BEC">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bookmarkStart w:id="656" w:name="_Toc4890"/>
      <w:bookmarkStart w:id="657" w:name="_Toc29523"/>
      <w:bookmarkStart w:id="658" w:name="_Toc22244"/>
      <w:bookmarkStart w:id="659" w:name="_Toc21563"/>
      <w:bookmarkStart w:id="660" w:name="_Toc24863"/>
      <w:r>
        <w:rPr>
          <w:rFonts w:hint="eastAsia" w:ascii="宋体" w:hAnsi="宋体" w:eastAsia="宋体" w:cs="宋体"/>
          <w:snapToGrid/>
          <w:color w:val="auto"/>
          <w:kern w:val="2"/>
          <w:highlight w:val="none"/>
        </w:rPr>
        <w:t>第3种方式：承包人直接实施的暂估价项目</w:t>
      </w:r>
      <w:bookmarkEnd w:id="656"/>
      <w:bookmarkEnd w:id="657"/>
      <w:bookmarkEnd w:id="658"/>
      <w:bookmarkEnd w:id="659"/>
      <w:bookmarkEnd w:id="660"/>
    </w:p>
    <w:p w14:paraId="10A5265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承包人具备实施暂估价项目的资格和条件的，经发包人和承包人协商一致后，可由承包人自行实施暂估价项目，合同当事人可以在专用合同条款约定具体事项。</w:t>
      </w:r>
    </w:p>
    <w:p w14:paraId="4B8D310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10.7.3因发包人原因导致暂估价合同订立和履行迟延的，由此增加的费用和(或)延误的工期由发包人承担。因承包人原因导致暂估价合同订立和履行迟延的，由此增加的费用和(或)延误的工期由承包人承担。</w:t>
      </w:r>
    </w:p>
    <w:p w14:paraId="408EAA7C">
      <w:pPr>
        <w:widowControl w:val="0"/>
        <w:kinsoku/>
        <w:autoSpaceDE/>
        <w:autoSpaceDN/>
        <w:adjustRightInd/>
        <w:snapToGrid/>
        <w:spacing w:before="120" w:after="120" w:line="360" w:lineRule="auto"/>
        <w:ind w:firstLine="420" w:firstLineChars="200"/>
        <w:jc w:val="both"/>
        <w:textAlignment w:val="auto"/>
        <w:outlineLvl w:val="1"/>
        <w:rPr>
          <w:rFonts w:ascii="宋体" w:hAnsi="宋体" w:eastAsia="宋体" w:cs="宋体"/>
          <w:snapToGrid/>
          <w:color w:val="auto"/>
          <w:kern w:val="2"/>
          <w:highlight w:val="none"/>
        </w:rPr>
      </w:pPr>
      <w:bookmarkStart w:id="661" w:name="_bookmark97"/>
      <w:bookmarkEnd w:id="661"/>
      <w:bookmarkStart w:id="662" w:name="_Toc11021"/>
      <w:bookmarkStart w:id="663" w:name="_Toc2365"/>
      <w:bookmarkStart w:id="664" w:name="_Toc7289"/>
      <w:bookmarkStart w:id="665" w:name="_Toc16823"/>
      <w:bookmarkStart w:id="666" w:name="_Toc21386"/>
      <w:r>
        <w:rPr>
          <w:rFonts w:hint="eastAsia" w:ascii="宋体" w:hAnsi="宋体" w:eastAsia="宋体" w:cs="宋体"/>
          <w:snapToGrid/>
          <w:color w:val="auto"/>
          <w:kern w:val="2"/>
          <w:highlight w:val="none"/>
        </w:rPr>
        <w:t>10.8暂列金额</w:t>
      </w:r>
      <w:bookmarkEnd w:id="662"/>
      <w:bookmarkEnd w:id="663"/>
      <w:bookmarkEnd w:id="664"/>
      <w:bookmarkEnd w:id="665"/>
      <w:bookmarkEnd w:id="666"/>
    </w:p>
    <w:p w14:paraId="26A3816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暂列金额应按照发包人的要求使用，发包人的要求应通过监理人发出。合同当事人可以在专用合同条款中协商确定有关事项。</w:t>
      </w:r>
    </w:p>
    <w:p w14:paraId="4C1BF29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667" w:name="_bookmark98"/>
      <w:bookmarkEnd w:id="667"/>
      <w:bookmarkStart w:id="668" w:name="_Toc21977"/>
      <w:bookmarkStart w:id="669" w:name="_Toc19893"/>
      <w:bookmarkStart w:id="670" w:name="_Toc20258"/>
      <w:bookmarkStart w:id="671" w:name="_Toc22009"/>
      <w:bookmarkStart w:id="672" w:name="_Toc11011"/>
      <w:r>
        <w:rPr>
          <w:rFonts w:hint="eastAsia" w:ascii="宋体" w:hAnsi="宋体" w:eastAsia="宋体" w:cs="宋体"/>
          <w:b w:val="0"/>
          <w:bCs w:val="0"/>
          <w:snapToGrid/>
          <w:color w:val="auto"/>
          <w:kern w:val="2"/>
          <w:sz w:val="21"/>
          <w:szCs w:val="21"/>
          <w:highlight w:val="none"/>
        </w:rPr>
        <w:t>10.9计日工</w:t>
      </w:r>
      <w:bookmarkEnd w:id="668"/>
      <w:bookmarkEnd w:id="669"/>
      <w:bookmarkEnd w:id="670"/>
      <w:bookmarkEnd w:id="671"/>
      <w:bookmarkEnd w:id="672"/>
    </w:p>
    <w:p w14:paraId="5889715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需要采用计日工方式的，经发包人同意后，由监理人通知承包人以计日工计价方式实施相应的工作，其价款按列入合同清单或预算书中的计日工计价项目及其单价进行计算；合同清单或预算书中无相应的计日工单价的，按照合理的成本与利润构成的原则，由合同当事人按照第4.4款〔商定或确定〕确定计日工的单价。</w:t>
      </w:r>
    </w:p>
    <w:p w14:paraId="177AD45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采用计日工计价的任何一项工作，承包人应在该项工作实施过程中，每天提交以下报表和有关凭证报送监理人审查：</w:t>
      </w:r>
    </w:p>
    <w:p w14:paraId="3194091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673" w:name="_Toc5464"/>
      <w:bookmarkStart w:id="674" w:name="_Toc32074"/>
      <w:bookmarkStart w:id="675" w:name="_Toc20773"/>
      <w:bookmarkStart w:id="676" w:name="_Toc10661"/>
      <w:bookmarkStart w:id="677" w:name="_Toc26211"/>
      <w:r>
        <w:rPr>
          <w:rFonts w:hint="eastAsia" w:ascii="宋体" w:hAnsi="宋体" w:eastAsia="宋体" w:cs="宋体"/>
          <w:b w:val="0"/>
          <w:bCs w:val="0"/>
          <w:snapToGrid/>
          <w:color w:val="auto"/>
          <w:kern w:val="2"/>
          <w:sz w:val="21"/>
          <w:szCs w:val="21"/>
          <w:highlight w:val="none"/>
        </w:rPr>
        <w:t>(1)工作名称、内容和数量；</w:t>
      </w:r>
      <w:bookmarkEnd w:id="673"/>
      <w:bookmarkEnd w:id="674"/>
      <w:bookmarkEnd w:id="675"/>
      <w:bookmarkEnd w:id="676"/>
      <w:bookmarkEnd w:id="677"/>
    </w:p>
    <w:p w14:paraId="51A4C37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678" w:name="_Toc3207"/>
      <w:bookmarkStart w:id="679" w:name="_Toc6632"/>
      <w:bookmarkStart w:id="680" w:name="_Toc29693"/>
      <w:bookmarkStart w:id="681" w:name="_Toc19784"/>
      <w:bookmarkStart w:id="682" w:name="_Toc4058"/>
      <w:r>
        <w:rPr>
          <w:rFonts w:hint="eastAsia" w:ascii="宋体" w:hAnsi="宋体" w:eastAsia="宋体" w:cs="宋体"/>
          <w:b w:val="0"/>
          <w:bCs w:val="0"/>
          <w:snapToGrid/>
          <w:color w:val="auto"/>
          <w:kern w:val="2"/>
          <w:sz w:val="21"/>
          <w:szCs w:val="21"/>
          <w:highlight w:val="none"/>
        </w:rPr>
        <w:t>(2)投入该工作的所有人员的姓名、专业、工种、级别和耗用工时；</w:t>
      </w:r>
      <w:bookmarkEnd w:id="678"/>
      <w:bookmarkEnd w:id="679"/>
      <w:bookmarkEnd w:id="680"/>
      <w:bookmarkEnd w:id="681"/>
      <w:bookmarkEnd w:id="682"/>
    </w:p>
    <w:p w14:paraId="403145F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683" w:name="_Toc10961"/>
      <w:bookmarkStart w:id="684" w:name="_Toc19044"/>
      <w:bookmarkStart w:id="685" w:name="_Toc9501"/>
      <w:bookmarkStart w:id="686" w:name="_Toc30866"/>
      <w:bookmarkStart w:id="687" w:name="_Toc31453"/>
      <w:r>
        <w:rPr>
          <w:rFonts w:hint="eastAsia" w:ascii="宋体" w:hAnsi="宋体" w:eastAsia="宋体" w:cs="宋体"/>
          <w:b w:val="0"/>
          <w:bCs w:val="0"/>
          <w:snapToGrid/>
          <w:color w:val="auto"/>
          <w:kern w:val="2"/>
          <w:sz w:val="21"/>
          <w:szCs w:val="21"/>
          <w:highlight w:val="none"/>
        </w:rPr>
        <w:t>(3)投入该工作的材料类别和数量；</w:t>
      </w:r>
      <w:bookmarkEnd w:id="683"/>
      <w:bookmarkEnd w:id="684"/>
      <w:bookmarkEnd w:id="685"/>
      <w:bookmarkEnd w:id="686"/>
      <w:bookmarkEnd w:id="687"/>
    </w:p>
    <w:p w14:paraId="4F5E5D8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688" w:name="_Toc12639"/>
      <w:bookmarkStart w:id="689" w:name="_Toc22110"/>
      <w:bookmarkStart w:id="690" w:name="_Toc20134"/>
      <w:bookmarkStart w:id="691" w:name="_Toc22938"/>
      <w:bookmarkStart w:id="692" w:name="_Toc29324"/>
      <w:r>
        <w:rPr>
          <w:rFonts w:hint="eastAsia" w:ascii="宋体" w:hAnsi="宋体" w:eastAsia="宋体" w:cs="宋体"/>
          <w:b w:val="0"/>
          <w:bCs w:val="0"/>
          <w:snapToGrid/>
          <w:color w:val="auto"/>
          <w:kern w:val="2"/>
          <w:sz w:val="21"/>
          <w:szCs w:val="21"/>
          <w:highlight w:val="none"/>
        </w:rPr>
        <w:t>(4)投入该工作的施工设备型号、台数和耗用台时；</w:t>
      </w:r>
      <w:bookmarkEnd w:id="688"/>
      <w:bookmarkEnd w:id="689"/>
      <w:bookmarkEnd w:id="690"/>
      <w:bookmarkEnd w:id="691"/>
      <w:bookmarkEnd w:id="692"/>
    </w:p>
    <w:p w14:paraId="3CF53CB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693" w:name="_Toc22854"/>
      <w:bookmarkStart w:id="694" w:name="_Toc5561"/>
      <w:bookmarkStart w:id="695" w:name="_Toc24197"/>
      <w:bookmarkStart w:id="696" w:name="_Toc919"/>
      <w:bookmarkStart w:id="697" w:name="_Toc2254"/>
      <w:r>
        <w:rPr>
          <w:rFonts w:hint="eastAsia" w:ascii="宋体" w:hAnsi="宋体" w:eastAsia="宋体" w:cs="宋体"/>
          <w:b w:val="0"/>
          <w:bCs w:val="0"/>
          <w:snapToGrid/>
          <w:color w:val="auto"/>
          <w:kern w:val="2"/>
          <w:sz w:val="21"/>
          <w:szCs w:val="21"/>
          <w:highlight w:val="none"/>
        </w:rPr>
        <w:t>(5)其他有关资料和凭证。</w:t>
      </w:r>
      <w:bookmarkEnd w:id="693"/>
      <w:bookmarkEnd w:id="694"/>
      <w:bookmarkEnd w:id="695"/>
      <w:bookmarkEnd w:id="696"/>
      <w:bookmarkEnd w:id="697"/>
    </w:p>
    <w:p w14:paraId="318D809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计日工由承包人汇总后，列入最近一期进度付款申请单，由监理人审查并经发包</w:t>
      </w:r>
      <w:bookmarkStart w:id="698" w:name="_bookmark99"/>
      <w:bookmarkEnd w:id="698"/>
      <w:r>
        <w:rPr>
          <w:rFonts w:hint="eastAsia" w:ascii="宋体" w:hAnsi="宋体" w:eastAsia="宋体" w:cs="宋体"/>
          <w:b w:val="0"/>
          <w:bCs w:val="0"/>
          <w:snapToGrid/>
          <w:color w:val="auto"/>
          <w:kern w:val="2"/>
          <w:sz w:val="21"/>
          <w:szCs w:val="21"/>
          <w:highlight w:val="none"/>
        </w:rPr>
        <w:t>人批准后列入进度付款。</w:t>
      </w:r>
    </w:p>
    <w:p w14:paraId="50957732">
      <w:pPr>
        <w:pStyle w:val="3"/>
        <w:widowControl w:val="0"/>
        <w:kinsoku/>
        <w:autoSpaceDE/>
        <w:autoSpaceDN/>
        <w:adjustRightInd/>
        <w:snapToGrid/>
        <w:spacing w:before="120" w:after="120" w:line="360" w:lineRule="auto"/>
        <w:ind w:firstLine="422" w:firstLineChars="200"/>
        <w:jc w:val="both"/>
        <w:textAlignment w:val="auto"/>
        <w:rPr>
          <w:rFonts w:ascii="宋体" w:hAnsi="宋体" w:eastAsia="宋体" w:cs="宋体"/>
          <w:snapToGrid/>
          <w:color w:val="auto"/>
          <w:kern w:val="2"/>
          <w:sz w:val="21"/>
          <w:szCs w:val="21"/>
          <w:highlight w:val="none"/>
        </w:rPr>
      </w:pPr>
      <w:bookmarkStart w:id="699" w:name="_bookmark100"/>
      <w:bookmarkEnd w:id="699"/>
      <w:bookmarkStart w:id="700" w:name="_Toc22160"/>
      <w:bookmarkStart w:id="701" w:name="_Toc9148"/>
      <w:bookmarkStart w:id="702" w:name="_Toc13924"/>
      <w:bookmarkStart w:id="703" w:name="_Toc8850"/>
      <w:bookmarkStart w:id="704" w:name="_Toc11026"/>
      <w:r>
        <w:rPr>
          <w:rFonts w:hint="eastAsia" w:ascii="宋体" w:hAnsi="宋体" w:eastAsia="宋体" w:cs="宋体"/>
          <w:snapToGrid/>
          <w:color w:val="auto"/>
          <w:kern w:val="2"/>
          <w:sz w:val="21"/>
          <w:szCs w:val="21"/>
          <w:highlight w:val="none"/>
        </w:rPr>
        <w:t>10.10 新增工程</w:t>
      </w:r>
    </w:p>
    <w:p w14:paraId="1DF51245">
      <w:pPr>
        <w:pStyle w:val="3"/>
        <w:widowControl w:val="0"/>
        <w:kinsoku/>
        <w:autoSpaceDE/>
        <w:autoSpaceDN/>
        <w:adjustRightInd/>
        <w:snapToGrid/>
        <w:spacing w:before="120" w:after="120" w:line="360" w:lineRule="auto"/>
        <w:ind w:firstLine="422" w:firstLineChars="200"/>
        <w:jc w:val="both"/>
        <w:textAlignment w:val="auto"/>
        <w:rPr>
          <w:rFonts w:ascii="宋体" w:hAnsi="宋体" w:eastAsia="宋体" w:cs="宋体"/>
          <w:snapToGrid/>
          <w:color w:val="auto"/>
          <w:kern w:val="2"/>
          <w:sz w:val="21"/>
          <w:szCs w:val="21"/>
          <w:highlight w:val="none"/>
        </w:rPr>
      </w:pPr>
      <w:r>
        <w:rPr>
          <w:rFonts w:ascii="宋体" w:hAnsi="宋体" w:eastAsia="宋体" w:cs="宋体"/>
          <w:snapToGrid/>
          <w:color w:val="auto"/>
          <w:kern w:val="2"/>
          <w:sz w:val="21"/>
          <w:szCs w:val="21"/>
          <w:highlight w:val="none"/>
        </w:rPr>
        <w:t>除专用合同条款另有约定外，承包人同意按发包人要求完成新增工程，亦即合同额外工作，且前述新增工程并非需要重新办理立项或类似审批程序的，合同当事人可按以下约定实施</w:t>
      </w:r>
      <w:r>
        <w:rPr>
          <w:rFonts w:hint="eastAsia" w:ascii="宋体" w:hAnsi="宋体" w:eastAsia="宋体" w:cs="宋体"/>
          <w:snapToGrid/>
          <w:color w:val="auto"/>
          <w:kern w:val="2"/>
          <w:sz w:val="21"/>
          <w:szCs w:val="21"/>
          <w:highlight w:val="none"/>
        </w:rPr>
        <w:t>：</w:t>
      </w:r>
    </w:p>
    <w:p w14:paraId="0F65926C">
      <w:pPr>
        <w:pStyle w:val="3"/>
        <w:widowControl w:val="0"/>
        <w:kinsoku/>
        <w:autoSpaceDE/>
        <w:autoSpaceDN/>
        <w:adjustRightInd/>
        <w:snapToGrid/>
        <w:spacing w:before="120" w:after="120" w:line="360" w:lineRule="auto"/>
        <w:ind w:firstLine="422" w:firstLineChars="200"/>
        <w:jc w:val="both"/>
        <w:textAlignment w:val="auto"/>
        <w:rPr>
          <w:rFonts w:ascii="宋体" w:hAnsi="宋体" w:eastAsia="宋体" w:cs="宋体"/>
          <w:snapToGrid/>
          <w:color w:val="auto"/>
          <w:kern w:val="2"/>
          <w:sz w:val="21"/>
          <w:szCs w:val="21"/>
          <w:highlight w:val="none"/>
        </w:rPr>
      </w:pPr>
      <w:r>
        <w:rPr>
          <w:rFonts w:ascii="宋体" w:hAnsi="宋体" w:eastAsia="宋体" w:cs="宋体"/>
          <w:snapToGrid/>
          <w:color w:val="auto"/>
          <w:kern w:val="2"/>
          <w:sz w:val="21"/>
          <w:szCs w:val="21"/>
          <w:highlight w:val="none"/>
        </w:rPr>
        <w:t>(1)新增工程价格可结合国家及行业工程量计算标准与市场水平重新协商确定新增工程的计量与计价规则</w:t>
      </w:r>
      <w:r>
        <w:rPr>
          <w:rFonts w:hint="eastAsia" w:ascii="宋体" w:hAnsi="宋体" w:eastAsia="宋体" w:cs="宋体"/>
          <w:snapToGrid/>
          <w:color w:val="auto"/>
          <w:kern w:val="2"/>
          <w:sz w:val="21"/>
          <w:szCs w:val="21"/>
          <w:highlight w:val="none"/>
        </w:rPr>
        <w:t>：</w:t>
      </w:r>
    </w:p>
    <w:p w14:paraId="2906B2D9">
      <w:pPr>
        <w:pStyle w:val="3"/>
        <w:widowControl w:val="0"/>
        <w:kinsoku/>
        <w:autoSpaceDE/>
        <w:autoSpaceDN/>
        <w:adjustRightInd/>
        <w:snapToGrid/>
        <w:spacing w:before="120" w:after="120" w:line="360" w:lineRule="auto"/>
        <w:ind w:firstLine="422" w:firstLineChars="200"/>
        <w:jc w:val="both"/>
        <w:textAlignment w:val="auto"/>
        <w:rPr>
          <w:rFonts w:ascii="宋体" w:hAnsi="宋体" w:eastAsia="宋体" w:cs="宋体"/>
          <w:snapToGrid/>
          <w:color w:val="auto"/>
          <w:kern w:val="2"/>
          <w:sz w:val="21"/>
          <w:szCs w:val="21"/>
          <w:highlight w:val="none"/>
        </w:rPr>
      </w:pPr>
      <w:r>
        <w:rPr>
          <w:rFonts w:ascii="宋体" w:hAnsi="宋体" w:eastAsia="宋体" w:cs="宋体"/>
          <w:snapToGrid/>
          <w:color w:val="auto"/>
          <w:kern w:val="2"/>
          <w:sz w:val="21"/>
          <w:szCs w:val="21"/>
          <w:highlight w:val="none"/>
        </w:rPr>
        <w:t>(2)承包人应在收到新增工程实施指令后7天内将其实施新增工程的施工组织设计或实施方案、施工进度计划、费用报价(包括分部分项工程项目清单及措施项目清单等)提交发包人审核，发包人应在收到承包人提交资料后28天内完成审核</w:t>
      </w:r>
      <w:r>
        <w:rPr>
          <w:rFonts w:hint="eastAsia" w:ascii="宋体" w:hAnsi="宋体" w:eastAsia="宋体" w:cs="宋体"/>
          <w:snapToGrid/>
          <w:color w:val="auto"/>
          <w:kern w:val="2"/>
          <w:sz w:val="21"/>
          <w:szCs w:val="21"/>
          <w:highlight w:val="none"/>
        </w:rPr>
        <w:t>：</w:t>
      </w:r>
    </w:p>
    <w:p w14:paraId="3FA02921">
      <w:pPr>
        <w:pStyle w:val="3"/>
        <w:widowControl w:val="0"/>
        <w:kinsoku/>
        <w:autoSpaceDE/>
        <w:autoSpaceDN/>
        <w:adjustRightInd/>
        <w:snapToGrid/>
        <w:spacing w:before="120" w:after="120" w:line="360" w:lineRule="auto"/>
        <w:ind w:firstLine="422" w:firstLineChars="200"/>
        <w:jc w:val="both"/>
        <w:textAlignment w:val="auto"/>
        <w:rPr>
          <w:rFonts w:ascii="宋体" w:hAnsi="宋体" w:eastAsia="宋体" w:cs="宋体"/>
          <w:snapToGrid/>
          <w:color w:val="auto"/>
          <w:kern w:val="2"/>
          <w:sz w:val="21"/>
          <w:szCs w:val="21"/>
          <w:highlight w:val="none"/>
        </w:rPr>
      </w:pPr>
      <w:r>
        <w:rPr>
          <w:rFonts w:ascii="宋体" w:hAnsi="宋体" w:eastAsia="宋体" w:cs="宋体"/>
          <w:snapToGrid/>
          <w:color w:val="auto"/>
          <w:kern w:val="2"/>
          <w:sz w:val="21"/>
          <w:szCs w:val="21"/>
          <w:highlight w:val="none"/>
        </w:rPr>
        <w:t>(3)合同当事人可在协商确定了新增工程的合同工期、合同单价、合同总价，并签订新增工程合同或补充协议后实施新增工程，不能达成一致的，承包人有权拒绝实施新增工程</w:t>
      </w:r>
      <w:r>
        <w:rPr>
          <w:rFonts w:hint="eastAsia" w:ascii="宋体" w:hAnsi="宋体" w:eastAsia="宋体" w:cs="宋体"/>
          <w:snapToGrid/>
          <w:color w:val="auto"/>
          <w:kern w:val="2"/>
          <w:sz w:val="21"/>
          <w:szCs w:val="21"/>
          <w:highlight w:val="none"/>
        </w:rPr>
        <w:t>；</w:t>
      </w:r>
    </w:p>
    <w:p w14:paraId="4056EBC7">
      <w:pPr>
        <w:pStyle w:val="3"/>
        <w:widowControl w:val="0"/>
        <w:kinsoku/>
        <w:autoSpaceDE/>
        <w:autoSpaceDN/>
        <w:adjustRightInd/>
        <w:snapToGrid/>
        <w:spacing w:before="120" w:after="120" w:line="360" w:lineRule="auto"/>
        <w:ind w:firstLine="422" w:firstLineChars="200"/>
        <w:jc w:val="both"/>
        <w:textAlignment w:val="auto"/>
        <w:rPr>
          <w:rFonts w:ascii="宋体" w:hAnsi="宋体" w:eastAsia="宋体" w:cs="宋体"/>
          <w:snapToGrid/>
          <w:color w:val="auto"/>
          <w:kern w:val="2"/>
          <w:sz w:val="21"/>
          <w:szCs w:val="21"/>
          <w:highlight w:val="none"/>
        </w:rPr>
      </w:pPr>
      <w:r>
        <w:rPr>
          <w:rFonts w:ascii="宋体" w:hAnsi="宋体" w:eastAsia="宋体" w:cs="宋体"/>
          <w:snapToGrid/>
          <w:color w:val="auto"/>
          <w:kern w:val="2"/>
          <w:sz w:val="21"/>
          <w:szCs w:val="21"/>
          <w:highlight w:val="none"/>
        </w:rPr>
        <w:t>(4)除专用合同条款另有约定外，新增工程不应影响合同约定的工期、缺陷责任期、进度款支付、施工过程结算及支付、竣工结算及支付等。</w:t>
      </w:r>
    </w:p>
    <w:p w14:paraId="1FE4C025">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r>
        <w:rPr>
          <w:rFonts w:hint="eastAsia" w:ascii="宋体" w:hAnsi="宋体" w:eastAsia="宋体" w:cs="宋体"/>
          <w:snapToGrid/>
          <w:color w:val="auto"/>
          <w:kern w:val="2"/>
          <w:sz w:val="21"/>
          <w:szCs w:val="21"/>
          <w:highlight w:val="none"/>
        </w:rPr>
        <w:t>11.价格调整</w:t>
      </w:r>
      <w:bookmarkEnd w:id="700"/>
      <w:bookmarkEnd w:id="701"/>
      <w:bookmarkEnd w:id="702"/>
      <w:bookmarkEnd w:id="703"/>
      <w:bookmarkEnd w:id="704"/>
    </w:p>
    <w:p w14:paraId="204F999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705" w:name="_Toc25985"/>
      <w:bookmarkStart w:id="706" w:name="_Toc17736"/>
      <w:bookmarkStart w:id="707" w:name="_Toc20557"/>
      <w:bookmarkStart w:id="708" w:name="_Toc14187"/>
      <w:bookmarkStart w:id="709" w:name="_Toc15332"/>
      <w:r>
        <w:rPr>
          <w:rFonts w:hint="eastAsia" w:ascii="宋体" w:hAnsi="宋体" w:eastAsia="宋体" w:cs="宋体"/>
          <w:b w:val="0"/>
          <w:bCs w:val="0"/>
          <w:snapToGrid/>
          <w:color w:val="auto"/>
          <w:kern w:val="2"/>
          <w:sz w:val="21"/>
          <w:szCs w:val="21"/>
          <w:highlight w:val="none"/>
        </w:rPr>
        <w:t>11.1市场价格波动引起的调整</w:t>
      </w:r>
      <w:bookmarkEnd w:id="705"/>
      <w:bookmarkEnd w:id="706"/>
      <w:bookmarkEnd w:id="707"/>
      <w:bookmarkEnd w:id="708"/>
      <w:bookmarkEnd w:id="709"/>
    </w:p>
    <w:p w14:paraId="10DB57B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除专用合同条款另有约定外，市场价格波动超过合同当事人约定的范围，合同价格应当调整。合同当事人可以在专用合同条款中约定选择以下一种方式对合同价格进行调整：</w:t>
      </w:r>
    </w:p>
    <w:p w14:paraId="4B308D1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第1种方式：采用价格指数进行价格调整。</w:t>
      </w:r>
    </w:p>
    <w:p w14:paraId="61DF4CF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(1)价格调整公式</w:t>
      </w:r>
    </w:p>
    <w:p w14:paraId="4D4B8DA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因人工、材料和设备等价格波动影响合同价格时，根据专用合同条款中约定的数</w:t>
      </w:r>
    </w:p>
    <w:p w14:paraId="3EA0834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据，按以下公式计算差额并调整合同价格：</w:t>
      </w:r>
    </w:p>
    <w:p w14:paraId="7055E01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AP=P0</w:t>
      </w:r>
      <w:r>
        <w:rPr>
          <w:rFonts w:hint="eastAsia" w:ascii="宋体" w:hAnsi="宋体" w:eastAsia="宋体" w:cs="宋体"/>
          <w:b w:val="0"/>
          <w:bCs w:val="0"/>
          <w:snapToGrid/>
          <w:color w:val="auto"/>
          <w:kern w:val="2"/>
          <w:sz w:val="21"/>
          <w:szCs w:val="21"/>
          <w:highlight w:val="none"/>
        </w:rPr>
        <w:drawing>
          <wp:inline distT="0" distB="0" distL="0" distR="0">
            <wp:extent cx="71755" cy="488950"/>
            <wp:effectExtent l="0" t="0" r="0" b="0"/>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11"/>
                    <a:stretch>
                      <a:fillRect/>
                    </a:stretch>
                  </pic:blipFill>
                  <pic:spPr>
                    <a:xfrm>
                      <a:off x="0" y="0"/>
                      <a:ext cx="72149" cy="489013"/>
                    </a:xfrm>
                    <a:prstGeom prst="rect">
                      <a:avLst/>
                    </a:prstGeom>
                  </pic:spPr>
                </pic:pic>
              </a:graphicData>
            </a:graphic>
          </wp:inline>
        </w:drawing>
      </w:r>
      <w:r>
        <w:rPr>
          <w:rFonts w:hint="eastAsia" w:ascii="宋体" w:hAnsi="宋体" w:eastAsia="宋体" w:cs="宋体"/>
          <w:b w:val="0"/>
          <w:bCs w:val="0"/>
          <w:snapToGrid/>
          <w:color w:val="auto"/>
          <w:kern w:val="2"/>
          <w:sz w:val="21"/>
          <w:szCs w:val="21"/>
          <w:highlight w:val="none"/>
        </w:rPr>
        <w:t>A+</w:t>
      </w:r>
      <w:r>
        <w:rPr>
          <w:rFonts w:hint="eastAsia" w:ascii="宋体" w:hAnsi="宋体" w:eastAsia="宋体" w:cs="宋体"/>
          <w:b w:val="0"/>
          <w:bCs w:val="0"/>
          <w:snapToGrid/>
          <w:color w:val="auto"/>
          <w:kern w:val="2"/>
          <w:sz w:val="21"/>
          <w:szCs w:val="21"/>
          <w:highlight w:val="none"/>
        </w:rPr>
        <w:drawing>
          <wp:inline distT="0" distB="0" distL="0" distR="0">
            <wp:extent cx="74295" cy="4572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2"/>
                    <a:stretch>
                      <a:fillRect/>
                    </a:stretch>
                  </pic:blipFill>
                  <pic:spPr>
                    <a:xfrm>
                      <a:off x="0" y="0"/>
                      <a:ext cx="74404" cy="457834"/>
                    </a:xfrm>
                    <a:prstGeom prst="rect">
                      <a:avLst/>
                    </a:prstGeom>
                  </pic:spPr>
                </pic:pic>
              </a:graphicData>
            </a:graphic>
          </wp:inline>
        </w:drawing>
      </w:r>
      <w:r>
        <w:rPr>
          <w:rFonts w:hint="eastAsia" w:ascii="宋体" w:hAnsi="宋体" w:eastAsia="宋体" w:cs="宋体"/>
          <w:b w:val="0"/>
          <w:bCs w:val="0"/>
          <w:snapToGrid/>
          <w:color w:val="auto"/>
          <w:kern w:val="2"/>
          <w:sz w:val="21"/>
          <w:szCs w:val="21"/>
          <w:highlight w:val="none"/>
        </w:rPr>
        <w:t>B1</w:t>
      </w:r>
      <w:r>
        <w:rPr>
          <w:rFonts w:hint="eastAsia" w:ascii="宋体" w:hAnsi="宋体" w:eastAsia="宋体" w:cs="宋体"/>
          <w:b w:val="0"/>
          <w:bCs w:val="0"/>
          <w:snapToGrid/>
          <w:color w:val="auto"/>
          <w:kern w:val="2"/>
          <w:sz w:val="21"/>
          <w:szCs w:val="21"/>
          <w:highlight w:val="none"/>
        </w:rPr>
        <w:drawing>
          <wp:inline distT="0" distB="0" distL="0" distR="0">
            <wp:extent cx="229870" cy="384175"/>
            <wp:effectExtent l="0" t="0" r="0" b="0"/>
            <wp:docPr id="3" name="IM 3"/>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13"/>
                    <a:stretch>
                      <a:fillRect/>
                    </a:stretch>
                  </pic:blipFill>
                  <pic:spPr>
                    <a:xfrm>
                      <a:off x="0" y="0"/>
                      <a:ext cx="230162" cy="384594"/>
                    </a:xfrm>
                    <a:prstGeom prst="rect">
                      <a:avLst/>
                    </a:prstGeom>
                  </pic:spPr>
                </pic:pic>
              </a:graphicData>
            </a:graphic>
          </wp:inline>
        </w:drawing>
      </w:r>
      <w:r>
        <w:rPr>
          <w:rFonts w:hint="eastAsia" w:ascii="宋体" w:hAnsi="宋体" w:eastAsia="宋体" w:cs="宋体"/>
          <w:b w:val="0"/>
          <w:bCs w:val="0"/>
          <w:snapToGrid/>
          <w:color w:val="auto"/>
          <w:kern w:val="2"/>
          <w:sz w:val="21"/>
          <w:szCs w:val="21"/>
          <w:highlight w:val="none"/>
        </w:rPr>
        <w:t>+B2</w:t>
      </w:r>
      <w:r>
        <w:rPr>
          <w:rFonts w:hint="eastAsia" w:ascii="宋体" w:hAnsi="宋体" w:eastAsia="宋体" w:cs="宋体"/>
          <w:b w:val="0"/>
          <w:bCs w:val="0"/>
          <w:snapToGrid/>
          <w:color w:val="auto"/>
          <w:kern w:val="2"/>
          <w:sz w:val="21"/>
          <w:szCs w:val="21"/>
          <w:highlight w:val="none"/>
        </w:rPr>
        <w:drawing>
          <wp:inline distT="0" distB="0" distL="0" distR="0">
            <wp:extent cx="233045" cy="38417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4"/>
                    <a:stretch>
                      <a:fillRect/>
                    </a:stretch>
                  </pic:blipFill>
                  <pic:spPr>
                    <a:xfrm>
                      <a:off x="0" y="0"/>
                      <a:ext cx="233543" cy="384594"/>
                    </a:xfrm>
                    <a:prstGeom prst="rect">
                      <a:avLst/>
                    </a:prstGeom>
                  </pic:spPr>
                </pic:pic>
              </a:graphicData>
            </a:graphic>
          </wp:inline>
        </w:drawing>
      </w:r>
      <w:r>
        <w:rPr>
          <w:rFonts w:hint="eastAsia" w:ascii="宋体" w:hAnsi="宋体" w:eastAsia="宋体" w:cs="宋体"/>
          <w:b w:val="0"/>
          <w:bCs w:val="0"/>
          <w:snapToGrid/>
          <w:color w:val="auto"/>
          <w:kern w:val="2"/>
          <w:sz w:val="21"/>
          <w:szCs w:val="21"/>
          <w:highlight w:val="none"/>
        </w:rPr>
        <w:t>+B3</w:t>
      </w:r>
      <w:r>
        <w:rPr>
          <w:rFonts w:hint="eastAsia" w:ascii="宋体" w:hAnsi="宋体" w:eastAsia="宋体" w:cs="宋体"/>
          <w:b w:val="0"/>
          <w:bCs w:val="0"/>
          <w:snapToGrid/>
          <w:color w:val="auto"/>
          <w:kern w:val="2"/>
          <w:sz w:val="21"/>
          <w:szCs w:val="21"/>
          <w:highlight w:val="none"/>
        </w:rPr>
        <w:drawing>
          <wp:inline distT="0" distB="0" distL="0" distR="0">
            <wp:extent cx="229870" cy="384175"/>
            <wp:effectExtent l="0" t="0" r="0" b="0"/>
            <wp:docPr id="5" name="IM 5"/>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15"/>
                    <a:stretch>
                      <a:fillRect/>
                    </a:stretch>
                  </pic:blipFill>
                  <pic:spPr>
                    <a:xfrm>
                      <a:off x="0" y="0"/>
                      <a:ext cx="230287" cy="384593"/>
                    </a:xfrm>
                    <a:prstGeom prst="rect">
                      <a:avLst/>
                    </a:prstGeom>
                  </pic:spPr>
                </pic:pic>
              </a:graphicData>
            </a:graphic>
          </wp:inline>
        </w:drawing>
      </w:r>
      <w:r>
        <w:rPr>
          <w:rFonts w:hint="eastAsia" w:ascii="宋体" w:hAnsi="宋体" w:eastAsia="宋体" w:cs="宋体"/>
          <w:b w:val="0"/>
          <w:bCs w:val="0"/>
          <w:snapToGrid/>
          <w:color w:val="auto"/>
          <w:kern w:val="2"/>
          <w:sz w:val="21"/>
          <w:szCs w:val="21"/>
          <w:highlight w:val="none"/>
        </w:rPr>
        <w:t>+…+Bn</w:t>
      </w:r>
      <w:r>
        <w:rPr>
          <w:rFonts w:hint="eastAsia" w:ascii="宋体" w:hAnsi="宋体" w:eastAsia="宋体" w:cs="宋体"/>
          <w:b w:val="0"/>
          <w:bCs w:val="0"/>
          <w:snapToGrid/>
          <w:color w:val="auto"/>
          <w:kern w:val="2"/>
          <w:sz w:val="21"/>
          <w:szCs w:val="21"/>
          <w:highlight w:val="none"/>
        </w:rPr>
        <w:drawing>
          <wp:inline distT="0" distB="0" distL="0" distR="0">
            <wp:extent cx="238760" cy="40640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6"/>
                    <a:stretch>
                      <a:fillRect/>
                    </a:stretch>
                  </pic:blipFill>
                  <pic:spPr>
                    <a:xfrm>
                      <a:off x="0" y="0"/>
                      <a:ext cx="239130" cy="406688"/>
                    </a:xfrm>
                    <a:prstGeom prst="rect">
                      <a:avLst/>
                    </a:prstGeom>
                  </pic:spPr>
                </pic:pic>
              </a:graphicData>
            </a:graphic>
          </wp:inline>
        </w:drawing>
      </w:r>
      <w:r>
        <w:rPr>
          <w:rFonts w:hint="eastAsia" w:ascii="宋体" w:hAnsi="宋体" w:eastAsia="宋体" w:cs="宋体"/>
          <w:b w:val="0"/>
          <w:bCs w:val="0"/>
          <w:snapToGrid/>
          <w:color w:val="auto"/>
          <w:kern w:val="2"/>
          <w:sz w:val="21"/>
          <w:szCs w:val="21"/>
          <w:highlight w:val="none"/>
        </w:rPr>
        <w:drawing>
          <wp:inline distT="0" distB="0" distL="0" distR="0">
            <wp:extent cx="81915" cy="457200"/>
            <wp:effectExtent l="0" t="0" r="0" b="0"/>
            <wp:docPr id="7" name="IM 7"/>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17"/>
                    <a:stretch>
                      <a:fillRect/>
                    </a:stretch>
                  </pic:blipFill>
                  <pic:spPr>
                    <a:xfrm>
                      <a:off x="0" y="0"/>
                      <a:ext cx="81920" cy="457834"/>
                    </a:xfrm>
                    <a:prstGeom prst="rect">
                      <a:avLst/>
                    </a:prstGeom>
                  </pic:spPr>
                </pic:pic>
              </a:graphicData>
            </a:graphic>
          </wp:inline>
        </w:drawing>
      </w:r>
      <w:r>
        <w:rPr>
          <w:rFonts w:hint="eastAsia" w:ascii="宋体" w:hAnsi="宋体" w:eastAsia="宋体" w:cs="宋体"/>
          <w:b w:val="0"/>
          <w:bCs w:val="0"/>
          <w:snapToGrid/>
          <w:color w:val="auto"/>
          <w:kern w:val="2"/>
          <w:sz w:val="21"/>
          <w:szCs w:val="21"/>
          <w:highlight w:val="none"/>
        </w:rPr>
        <w:t>-1</w:t>
      </w:r>
      <w:r>
        <w:rPr>
          <w:rFonts w:hint="eastAsia" w:ascii="宋体" w:hAnsi="宋体" w:eastAsia="宋体" w:cs="宋体"/>
          <w:b w:val="0"/>
          <w:bCs w:val="0"/>
          <w:snapToGrid/>
          <w:color w:val="auto"/>
          <w:kern w:val="2"/>
          <w:sz w:val="21"/>
          <w:szCs w:val="21"/>
          <w:highlight w:val="none"/>
        </w:rPr>
        <w:drawing>
          <wp:inline distT="0" distB="0" distL="0" distR="0">
            <wp:extent cx="68580" cy="48895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8"/>
                    <a:stretch>
                      <a:fillRect/>
                    </a:stretch>
                  </pic:blipFill>
                  <pic:spPr>
                    <a:xfrm>
                      <a:off x="0" y="0"/>
                      <a:ext cx="68956" cy="489012"/>
                    </a:xfrm>
                    <a:prstGeom prst="rect">
                      <a:avLst/>
                    </a:prstGeom>
                  </pic:spPr>
                </pic:pic>
              </a:graphicData>
            </a:graphic>
          </wp:inline>
        </w:drawing>
      </w:r>
    </w:p>
    <w:p w14:paraId="36D196B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公式中：ΔP——需调整的价格差额；</w:t>
      </w:r>
    </w:p>
    <w:p w14:paraId="4076E45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P0——约定的付款证书中承包人应得到的已完成工程量的金额。此项金额应不包括价格调整、不计质量保证金的扣留和支付、预付款的支付和扣回。约定的变更及其他金额已按现行价格计价的，也不计在内；</w:t>
      </w:r>
    </w:p>
    <w:p w14:paraId="6805220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A——定值权重(即不调部分的权重)；</w:t>
      </w:r>
    </w:p>
    <w:p w14:paraId="49638A1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B1;B2;B3......Bn——各可调因子的变值权重(即可调部分的权重)，为各可调因子在签约合同价中所占的比例；</w:t>
      </w:r>
    </w:p>
    <w:p w14:paraId="7EB2068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Ft1;Ft2;Ft3......Ftn——各可调因子的现行价格指数，指约定的付款证书相关周期最后一天的前42天的各可调因子的价格指数；</w:t>
      </w:r>
    </w:p>
    <w:p w14:paraId="09EC121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F01;F02;F03......F0n——各可调因子的基本价格指数，指基准日期的各可调因子</w:t>
      </w:r>
    </w:p>
    <w:p w14:paraId="1969939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的价格指数。</w:t>
      </w:r>
    </w:p>
    <w:p w14:paraId="57AA838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39FDEC0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(2)暂时确定调整差额</w:t>
      </w:r>
    </w:p>
    <w:p w14:paraId="5054F33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在计算调整差额时无现行价格指数的，合同当事人同意暂用前次价格指数计算。实际价格指数有调整的，合同当事人进行相应调整。</w:t>
      </w:r>
    </w:p>
    <w:p w14:paraId="6B9B17B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(3)权重的调整</w:t>
      </w:r>
    </w:p>
    <w:p w14:paraId="22170A7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因变更导致合同约定的权重不合理时，按照第4.4款〔商定或确定〕执行。</w:t>
      </w:r>
    </w:p>
    <w:p w14:paraId="1A78CDC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(4)因承包人原因工期延误后的价格调整</w:t>
      </w:r>
    </w:p>
    <w:p w14:paraId="220197F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745694C6">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第2种方式：采用造价信息进行价格调整。</w:t>
      </w:r>
    </w:p>
    <w:p w14:paraId="328F6ED4">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1A45767B">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4913F32F">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(2)材料、工程设备价格变化的价款调整按照发包人提供的基准价格，按以下</w:t>
      </w:r>
    </w:p>
    <w:p w14:paraId="0A4BF956">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风险范围规定执行:</w:t>
      </w:r>
    </w:p>
    <w:p w14:paraId="25478254">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①承包人在合同清单或预算书中载明材料单价低于基准价格的：除专用合同条款另有约定外，合同履行期间材料单价涨幅以基准价格为基础超过5%时，或材料单价跌幅以在合同清单或预算书中载明材料单价为基础超过5%时，其超过部分据实调整。</w:t>
      </w:r>
    </w:p>
    <w:p w14:paraId="20B0991A">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②承包人在合同清单或预算书中载明材料单价高于基准价格的：除专用合同条款另有约定外，合同履行期间材料单价跌幅以基准价格为基础超过5%时，材料单价涨幅以在合同清单或预算书中载明材料单价为基础超过5%时，其超过部分据实调整。</w:t>
      </w:r>
    </w:p>
    <w:p w14:paraId="01CC3B15">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③承包人在合同清单或预算书中载明材料单价等于基准价格的：除专用合同条款另有约定外，合同履行期间材料单价涨跌幅以基准价格为基础超过±5%时，其超过部分据实调整。</w:t>
      </w:r>
    </w:p>
    <w:p w14:paraId="3F5C7DBC">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50D95FA7">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2299E254">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(3)施工机械台班单价或施工机械使用费发生变化超过省级或行业建设主管部门或其授权的工程造价管理机构规定的范围时，按规定调整合同价格。</w:t>
      </w:r>
    </w:p>
    <w:p w14:paraId="178B002A">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第3种方式：专用合同条款约定的其他方式。</w:t>
      </w:r>
    </w:p>
    <w:p w14:paraId="419F3555">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bookmarkStart w:id="710" w:name="_bookmark101"/>
      <w:bookmarkEnd w:id="710"/>
      <w:bookmarkStart w:id="711" w:name="_Toc28820"/>
      <w:bookmarkStart w:id="712" w:name="_Toc13844"/>
      <w:bookmarkStart w:id="713" w:name="_Toc24462"/>
      <w:bookmarkStart w:id="714" w:name="_Toc18312"/>
      <w:bookmarkStart w:id="715" w:name="_Toc16822"/>
      <w:r>
        <w:rPr>
          <w:rFonts w:hint="eastAsia" w:ascii="宋体" w:hAnsi="宋体" w:eastAsia="宋体" w:cs="宋体"/>
          <w:b w:val="0"/>
          <w:bCs w:val="0"/>
          <w:snapToGrid/>
          <w:color w:val="auto"/>
          <w:kern w:val="2"/>
          <w:sz w:val="21"/>
          <w:szCs w:val="21"/>
          <w:highlight w:val="none"/>
        </w:rPr>
        <w:t>11.2法律变化引起的调整</w:t>
      </w:r>
      <w:bookmarkEnd w:id="711"/>
      <w:bookmarkEnd w:id="712"/>
      <w:bookmarkEnd w:id="713"/>
      <w:bookmarkEnd w:id="714"/>
      <w:bookmarkEnd w:id="715"/>
    </w:p>
    <w:p w14:paraId="62037C31">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2D72DEE9">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因法律变化引起的合同价格和工期调整，合同当事人无法达成一致的，由总监理工程师按第4.4款〔商定或确定〕的约定处理。</w:t>
      </w:r>
    </w:p>
    <w:p w14:paraId="440026F3">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因承包人原因造成工期延误，在工期延误期间出现法律变化的，由此增加的费用</w:t>
      </w:r>
      <w:bookmarkStart w:id="716" w:name="_bookmark102"/>
      <w:bookmarkEnd w:id="716"/>
      <w:r>
        <w:rPr>
          <w:rFonts w:hint="eastAsia" w:ascii="宋体" w:hAnsi="宋体" w:eastAsia="宋体" w:cs="宋体"/>
          <w:b w:val="0"/>
          <w:bCs w:val="0"/>
          <w:snapToGrid/>
          <w:color w:val="auto"/>
          <w:kern w:val="2"/>
          <w:sz w:val="21"/>
          <w:szCs w:val="21"/>
          <w:highlight w:val="none"/>
        </w:rPr>
        <w:t>和(或)延误的工期由承包人承担。</w:t>
      </w:r>
    </w:p>
    <w:p w14:paraId="63623BD9">
      <w:pPr>
        <w:pStyle w:val="3"/>
        <w:widowControl w:val="0"/>
        <w:kinsoku/>
        <w:autoSpaceDE/>
        <w:autoSpaceDN/>
        <w:adjustRightInd/>
        <w:snapToGrid/>
        <w:spacing w:before="120" w:after="120" w:line="420" w:lineRule="exact"/>
        <w:jc w:val="both"/>
        <w:textAlignment w:val="auto"/>
        <w:rPr>
          <w:rFonts w:ascii="宋体" w:hAnsi="宋体" w:eastAsia="宋体" w:cs="宋体"/>
          <w:snapToGrid/>
          <w:color w:val="auto"/>
          <w:kern w:val="2"/>
          <w:sz w:val="21"/>
          <w:szCs w:val="21"/>
          <w:highlight w:val="none"/>
        </w:rPr>
      </w:pPr>
      <w:bookmarkStart w:id="717" w:name="_Toc31996"/>
      <w:bookmarkStart w:id="718" w:name="_Toc22545"/>
      <w:bookmarkStart w:id="719" w:name="_Toc19954"/>
      <w:bookmarkStart w:id="720" w:name="_Toc19180"/>
      <w:bookmarkStart w:id="721" w:name="_Toc3853"/>
      <w:r>
        <w:rPr>
          <w:rFonts w:hint="eastAsia" w:ascii="宋体" w:hAnsi="宋体" w:eastAsia="宋体" w:cs="宋体"/>
          <w:snapToGrid/>
          <w:color w:val="auto"/>
          <w:kern w:val="2"/>
          <w:sz w:val="21"/>
          <w:szCs w:val="21"/>
          <w:highlight w:val="none"/>
        </w:rPr>
        <w:t>12.合同价格、计量与支付</w:t>
      </w:r>
      <w:bookmarkEnd w:id="717"/>
      <w:bookmarkEnd w:id="718"/>
      <w:bookmarkEnd w:id="719"/>
      <w:bookmarkEnd w:id="720"/>
      <w:bookmarkEnd w:id="721"/>
    </w:p>
    <w:p w14:paraId="1291F7BC">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bookmarkStart w:id="722" w:name="_bookmark103"/>
      <w:bookmarkEnd w:id="722"/>
      <w:bookmarkStart w:id="723" w:name="_Toc28923"/>
      <w:bookmarkStart w:id="724" w:name="_Toc22474"/>
      <w:bookmarkStart w:id="725" w:name="_Toc26804"/>
      <w:bookmarkStart w:id="726" w:name="_Toc24230"/>
      <w:bookmarkStart w:id="727" w:name="_Toc1251"/>
      <w:r>
        <w:rPr>
          <w:rFonts w:hint="eastAsia" w:ascii="宋体" w:hAnsi="宋体" w:eastAsia="宋体" w:cs="宋体"/>
          <w:b w:val="0"/>
          <w:bCs w:val="0"/>
          <w:snapToGrid/>
          <w:color w:val="auto"/>
          <w:kern w:val="2"/>
          <w:sz w:val="21"/>
          <w:szCs w:val="21"/>
          <w:highlight w:val="none"/>
        </w:rPr>
        <w:t>12.1合同价格形式</w:t>
      </w:r>
      <w:bookmarkEnd w:id="723"/>
      <w:bookmarkEnd w:id="724"/>
      <w:bookmarkEnd w:id="725"/>
      <w:bookmarkEnd w:id="726"/>
      <w:bookmarkEnd w:id="727"/>
    </w:p>
    <w:p w14:paraId="00B723C0">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bookmarkStart w:id="728" w:name="_Toc5479"/>
      <w:bookmarkStart w:id="729" w:name="_Toc13735"/>
      <w:bookmarkStart w:id="730" w:name="_Toc22694"/>
      <w:bookmarkStart w:id="731" w:name="_Toc13619"/>
      <w:bookmarkStart w:id="732" w:name="_Toc6711"/>
      <w:r>
        <w:rPr>
          <w:rFonts w:hint="eastAsia" w:ascii="宋体" w:hAnsi="宋体" w:eastAsia="宋体" w:cs="宋体"/>
          <w:b w:val="0"/>
          <w:bCs w:val="0"/>
          <w:snapToGrid/>
          <w:color w:val="auto"/>
          <w:kern w:val="2"/>
          <w:sz w:val="21"/>
          <w:szCs w:val="21"/>
          <w:highlight w:val="none"/>
        </w:rPr>
        <w:t>发包人和承包人应在合同协议书中选择下列一种合同价格形式：1.单价合同</w:t>
      </w:r>
      <w:bookmarkEnd w:id="728"/>
      <w:bookmarkEnd w:id="729"/>
      <w:bookmarkEnd w:id="730"/>
      <w:bookmarkEnd w:id="731"/>
      <w:bookmarkEnd w:id="732"/>
    </w:p>
    <w:p w14:paraId="193851E1">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3DFAC5A3">
      <w:pPr>
        <w:pStyle w:val="4"/>
        <w:widowControl w:val="0"/>
        <w:kinsoku/>
        <w:autoSpaceDE/>
        <w:autoSpaceDN/>
        <w:adjustRightInd/>
        <w:snapToGrid/>
        <w:spacing w:before="120" w:after="120" w:line="420" w:lineRule="exact"/>
        <w:ind w:firstLine="420" w:firstLineChars="200"/>
        <w:jc w:val="both"/>
        <w:textAlignment w:val="auto"/>
        <w:rPr>
          <w:rFonts w:ascii="宋体" w:hAnsi="宋体" w:eastAsia="宋体" w:cs="宋体"/>
          <w:b w:val="0"/>
          <w:bCs w:val="0"/>
          <w:snapToGrid/>
          <w:color w:val="auto"/>
          <w:kern w:val="2"/>
          <w:sz w:val="21"/>
          <w:szCs w:val="21"/>
          <w:highlight w:val="none"/>
        </w:rPr>
      </w:pPr>
      <w:bookmarkStart w:id="733" w:name="_Toc7771"/>
      <w:bookmarkStart w:id="734" w:name="_Toc9625"/>
      <w:bookmarkStart w:id="735" w:name="_Toc22871"/>
      <w:bookmarkStart w:id="736" w:name="_Toc700"/>
      <w:bookmarkStart w:id="737" w:name="_Toc11839"/>
      <w:r>
        <w:rPr>
          <w:rFonts w:hint="eastAsia" w:ascii="宋体" w:hAnsi="宋体" w:eastAsia="宋体" w:cs="宋体"/>
          <w:b w:val="0"/>
          <w:bCs w:val="0"/>
          <w:snapToGrid/>
          <w:color w:val="auto"/>
          <w:kern w:val="2"/>
          <w:sz w:val="21"/>
          <w:szCs w:val="21"/>
          <w:highlight w:val="none"/>
        </w:rPr>
        <w:t>2.总价合同</w:t>
      </w:r>
      <w:bookmarkEnd w:id="733"/>
      <w:bookmarkEnd w:id="734"/>
      <w:bookmarkEnd w:id="735"/>
      <w:bookmarkEnd w:id="736"/>
      <w:bookmarkEnd w:id="737"/>
    </w:p>
    <w:p w14:paraId="37EF3D4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总价合同是指合同当事人约定以施工图、合同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74351E4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738" w:name="_Toc1317"/>
      <w:bookmarkStart w:id="739" w:name="_Toc24926"/>
      <w:bookmarkStart w:id="740" w:name="_Toc10426"/>
      <w:bookmarkStart w:id="741" w:name="_Toc30316"/>
      <w:bookmarkStart w:id="742" w:name="_Toc24098"/>
      <w:r>
        <w:rPr>
          <w:rFonts w:hint="eastAsia" w:ascii="宋体" w:hAnsi="宋体" w:eastAsia="宋体" w:cs="宋体"/>
          <w:b w:val="0"/>
          <w:bCs w:val="0"/>
          <w:snapToGrid/>
          <w:color w:val="auto"/>
          <w:kern w:val="2"/>
          <w:sz w:val="21"/>
          <w:szCs w:val="21"/>
          <w:highlight w:val="none"/>
        </w:rPr>
        <w:t>3.其它价格形式</w:t>
      </w:r>
      <w:bookmarkEnd w:id="738"/>
      <w:bookmarkEnd w:id="739"/>
      <w:bookmarkEnd w:id="740"/>
      <w:bookmarkEnd w:id="741"/>
      <w:bookmarkEnd w:id="742"/>
    </w:p>
    <w:p w14:paraId="61EB78B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743" w:name="_Toc32025"/>
      <w:bookmarkStart w:id="744" w:name="_Toc607"/>
      <w:bookmarkStart w:id="745" w:name="_Toc15779"/>
      <w:bookmarkStart w:id="746" w:name="_Toc28233"/>
      <w:bookmarkStart w:id="747" w:name="_Toc11403"/>
      <w:r>
        <w:rPr>
          <w:rFonts w:hint="eastAsia" w:ascii="宋体" w:hAnsi="宋体" w:eastAsia="宋体" w:cs="宋体"/>
          <w:b w:val="0"/>
          <w:bCs w:val="0"/>
          <w:snapToGrid/>
          <w:color w:val="auto"/>
          <w:kern w:val="2"/>
          <w:sz w:val="21"/>
          <w:szCs w:val="21"/>
          <w:highlight w:val="none"/>
        </w:rPr>
        <w:t>合同当事人可在专用合同条款中约定其他合同价格形式。</w:t>
      </w:r>
      <w:bookmarkEnd w:id="743"/>
      <w:bookmarkEnd w:id="744"/>
      <w:bookmarkEnd w:id="745"/>
      <w:bookmarkEnd w:id="746"/>
      <w:bookmarkEnd w:id="747"/>
    </w:p>
    <w:p w14:paraId="30F3EF0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748" w:name="_bookmark104"/>
      <w:bookmarkEnd w:id="748"/>
      <w:bookmarkStart w:id="749" w:name="_Toc15976"/>
      <w:bookmarkStart w:id="750" w:name="_Toc9316"/>
      <w:bookmarkStart w:id="751" w:name="_Toc14137"/>
      <w:bookmarkStart w:id="752" w:name="_Toc14082"/>
      <w:bookmarkStart w:id="753" w:name="_Toc20303"/>
      <w:r>
        <w:rPr>
          <w:rFonts w:hint="eastAsia" w:ascii="宋体" w:hAnsi="宋体" w:eastAsia="宋体" w:cs="宋体"/>
          <w:b w:val="0"/>
          <w:bCs w:val="0"/>
          <w:snapToGrid/>
          <w:color w:val="auto"/>
          <w:kern w:val="2"/>
          <w:sz w:val="21"/>
          <w:szCs w:val="21"/>
          <w:highlight w:val="none"/>
        </w:rPr>
        <w:t>12.2预付款</w:t>
      </w:r>
      <w:bookmarkEnd w:id="749"/>
      <w:bookmarkEnd w:id="750"/>
      <w:bookmarkEnd w:id="751"/>
      <w:bookmarkEnd w:id="752"/>
      <w:bookmarkEnd w:id="753"/>
    </w:p>
    <w:p w14:paraId="4E2EE8A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12.2.1预付款的支付</w:t>
      </w:r>
    </w:p>
    <w:p w14:paraId="528DE22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预付款的支付按照专用合同条款约定执行，但至迟应在开工通知载明的开工日期7天前支付。预付款应当用于材料、工程设备、施工设备的采购及修建临时工程、组织施工队伍进场等。</w:t>
      </w:r>
    </w:p>
    <w:p w14:paraId="4EB46A1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除专用合同条款另有约定外，预付款在进度付款中同比例扣回。在颁发工程接收证书前，提前解除合同的，尚未扣完的预付款应与合同价款一并结算。</w:t>
      </w:r>
    </w:p>
    <w:p w14:paraId="64E3903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发包人逾期支付预付款超过7天的，承包人有权向发包人发出要求预付的催告通知，发包人收到通知后7天内仍未支付的，承包人有权暂停施工，并按第16.1.1项〔发包人违约的情形〕执行。</w:t>
      </w:r>
    </w:p>
    <w:p w14:paraId="2F6FE30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12.2.2预付款担保</w:t>
      </w:r>
    </w:p>
    <w:p w14:paraId="4E7B2A1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193ED89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发包人在工程款中逐期扣回预付款后，预付款担保额度应相应减少，但剩余的预付款担保金额不得低于未被扣回的预付款金额。</w:t>
      </w:r>
    </w:p>
    <w:p w14:paraId="3E86447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754" w:name="_bookmark105"/>
      <w:bookmarkEnd w:id="754"/>
      <w:bookmarkStart w:id="755" w:name="_Toc20680"/>
      <w:bookmarkStart w:id="756" w:name="_Toc30757"/>
      <w:bookmarkStart w:id="757" w:name="_Toc18343"/>
      <w:bookmarkStart w:id="758" w:name="_Toc4246"/>
      <w:bookmarkStart w:id="759" w:name="_Toc14615"/>
      <w:r>
        <w:rPr>
          <w:rFonts w:hint="eastAsia" w:ascii="宋体" w:hAnsi="宋体" w:eastAsia="宋体" w:cs="宋体"/>
          <w:b w:val="0"/>
          <w:bCs w:val="0"/>
          <w:snapToGrid/>
          <w:color w:val="auto"/>
          <w:kern w:val="2"/>
          <w:sz w:val="21"/>
          <w:szCs w:val="21"/>
          <w:highlight w:val="none"/>
        </w:rPr>
        <w:t>12.3计量</w:t>
      </w:r>
      <w:bookmarkEnd w:id="755"/>
      <w:bookmarkEnd w:id="756"/>
      <w:bookmarkEnd w:id="757"/>
      <w:bookmarkEnd w:id="758"/>
      <w:bookmarkEnd w:id="759"/>
    </w:p>
    <w:p w14:paraId="2B343AE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12.3.1计量原则</w:t>
      </w:r>
    </w:p>
    <w:p w14:paraId="185BE13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工程量计量按照合同约定的工程量计算规则、图纸及变更指示等进行计量。工程量计算规则应以相关的国家标准、行业标准等为依据，由合同当事人在专用合同条款中约定。</w:t>
      </w:r>
    </w:p>
    <w:p w14:paraId="451166E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12.3.2计量周期</w:t>
      </w:r>
    </w:p>
    <w:p w14:paraId="02CAD60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除专用合同条款另有约定外，工程量的计量按月进行。</w:t>
      </w:r>
    </w:p>
    <w:p w14:paraId="15B44C3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12.3.3单价合同的计量</w:t>
      </w:r>
    </w:p>
    <w:p w14:paraId="775E2B9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除专用合同条款另有约定外，单价合同的计量按照本项约定执行：</w:t>
      </w:r>
    </w:p>
    <w:p w14:paraId="2711760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(1)承包人应于每月25日向监理人报送上月20日至当月19日已完成的工程量报告，并附具进度付款申请单、已完成工程量报表和有关资料。</w:t>
      </w:r>
    </w:p>
    <w:p w14:paraId="5361948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0F2B2B0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(3)监理人未在收到承包人提交的工程量报表后的7天内完成审核的，承包人报送的工程量报告中的工程量视为承包人实际完成的工程量，据此计算工程价款。</w:t>
      </w:r>
    </w:p>
    <w:p w14:paraId="4F0C2A6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12.3.4总价合同的计量</w:t>
      </w:r>
    </w:p>
    <w:p w14:paraId="45D7971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除专用合同条款另有约定外，按月计量支付的总价合同，按照本项约定执行：</w:t>
      </w:r>
    </w:p>
    <w:p w14:paraId="6870120A">
      <w:pPr>
        <w:pStyle w:val="4"/>
        <w:widowControl w:val="0"/>
        <w:numPr>
          <w:ilvl w:val="0"/>
          <w:numId w:val="3"/>
        </w:numPr>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承包人应于每月25日向监理人报送上月20日至当月19日已完成的工程量报告，并附具进度付款申请单、已完成工程量报表和有关资料。</w:t>
      </w:r>
    </w:p>
    <w:p w14:paraId="7B1103E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2331417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(3)监理人未在收到承包人提交的工程量报表后的7天内完成复核的，承包人提交的工程量报告中的工程量视为承包人实际完成的工程量。</w:t>
      </w:r>
    </w:p>
    <w:p w14:paraId="428254F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12.3.5总价合同采用支付分解表计量支付的，可以按照第12.3.4项〔总价合同的计量〕约定进行计量，但合同价款按照支付分解表进行支付。</w:t>
      </w:r>
    </w:p>
    <w:p w14:paraId="224B2A8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12.3.6其他价格形式合同的计量</w:t>
      </w:r>
    </w:p>
    <w:p w14:paraId="2711E55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760" w:name="_Toc25088"/>
      <w:bookmarkStart w:id="761" w:name="_Toc3672"/>
      <w:bookmarkStart w:id="762" w:name="_Toc8716"/>
      <w:bookmarkStart w:id="763" w:name="_Toc29140"/>
      <w:bookmarkStart w:id="764" w:name="_Toc9824"/>
      <w:r>
        <w:rPr>
          <w:rFonts w:hint="eastAsia" w:ascii="宋体" w:hAnsi="宋体" w:eastAsia="宋体" w:cs="宋体"/>
          <w:b w:val="0"/>
          <w:bCs w:val="0"/>
          <w:snapToGrid/>
          <w:color w:val="auto"/>
          <w:kern w:val="2"/>
          <w:sz w:val="21"/>
          <w:szCs w:val="21"/>
          <w:highlight w:val="none"/>
        </w:rPr>
        <w:t>合同当事人可在专用合同条款中约定其他价格形式合同的计量方式和程序。</w:t>
      </w:r>
      <w:bookmarkEnd w:id="760"/>
      <w:bookmarkEnd w:id="761"/>
      <w:bookmarkEnd w:id="762"/>
      <w:bookmarkEnd w:id="763"/>
      <w:bookmarkEnd w:id="764"/>
    </w:p>
    <w:p w14:paraId="0043479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765" w:name="_bookmark106"/>
      <w:bookmarkEnd w:id="765"/>
      <w:bookmarkStart w:id="766" w:name="_Toc19467"/>
      <w:bookmarkStart w:id="767" w:name="_Toc901"/>
      <w:bookmarkStart w:id="768" w:name="_Toc743"/>
      <w:bookmarkStart w:id="769" w:name="_Toc888"/>
      <w:bookmarkStart w:id="770" w:name="_Toc9926"/>
      <w:r>
        <w:rPr>
          <w:rFonts w:hint="eastAsia" w:ascii="宋体" w:hAnsi="宋体" w:eastAsia="宋体" w:cs="宋体"/>
          <w:b w:val="0"/>
          <w:bCs w:val="0"/>
          <w:snapToGrid/>
          <w:color w:val="auto"/>
          <w:kern w:val="2"/>
          <w:sz w:val="21"/>
          <w:szCs w:val="21"/>
          <w:highlight w:val="none"/>
        </w:rPr>
        <w:t>12.4工程进度款支付</w:t>
      </w:r>
      <w:bookmarkEnd w:id="766"/>
      <w:bookmarkEnd w:id="767"/>
      <w:bookmarkEnd w:id="768"/>
      <w:bookmarkEnd w:id="769"/>
      <w:bookmarkEnd w:id="770"/>
    </w:p>
    <w:p w14:paraId="4941B9D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12.4.1付款周期</w:t>
      </w:r>
    </w:p>
    <w:p w14:paraId="0096F69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除专用合同条款另有约定外，付款周期应按照第12.3.2项〔计量周期〕的约定与计量周期保持一致。</w:t>
      </w:r>
    </w:p>
    <w:p w14:paraId="10C11BE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12.4.2进度付款申请单的编制</w:t>
      </w:r>
    </w:p>
    <w:p w14:paraId="4464052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除专用合同条款另有约定外，进度付款申请单应包括下列内容：</w:t>
      </w:r>
    </w:p>
    <w:p w14:paraId="53767C9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(1)截至本次付款周期已完成工作对应的金额；</w:t>
      </w:r>
    </w:p>
    <w:p w14:paraId="540A979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(2)根据第10条〔变更〕应增加和扣减的变更金额；</w:t>
      </w:r>
    </w:p>
    <w:p w14:paraId="2C3CD05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(3)根据第12.2款〔预付款〕约定应支付的预付款和扣减的返还预付款；</w:t>
      </w:r>
    </w:p>
    <w:p w14:paraId="3E235BA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(4)根据第15.3款〔质量保证金〕约定应扣减的质量保证金；</w:t>
      </w:r>
    </w:p>
    <w:p w14:paraId="03CADC4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(5)根据第19条〔索赔〕应增加和扣减的索赔金额；</w:t>
      </w:r>
    </w:p>
    <w:p w14:paraId="373ED1A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(6)对已签发的进度款支付证书中出现错误的修正，应在本次进度付款中支付或扣除的金额；</w:t>
      </w:r>
    </w:p>
    <w:p w14:paraId="0AA9463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(7)根据合同约定应增加和扣减的其他金额。</w:t>
      </w:r>
    </w:p>
    <w:p w14:paraId="4306F1A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12.4.3进度付款申请单的提交</w:t>
      </w:r>
    </w:p>
    <w:p w14:paraId="148C312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(1)单价合同进度付款申请单的提交</w:t>
      </w:r>
    </w:p>
    <w:p w14:paraId="43FA72D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6209A3D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(2)总价合同进度付款申请单的提交</w:t>
      </w:r>
    </w:p>
    <w:p w14:paraId="2D5DA31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总价合同按月计量支付的，承包人按照第12.3.4项〔总价合同的计量〕约定的时间按月向监理人提交进度付款申请单，并附上已完成工程量报表和有关资料。</w:t>
      </w:r>
    </w:p>
    <w:p w14:paraId="77BDA01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总价合同按支付分解表支付的，承包人应按照第12.4.6项〔支付分解表〕及第12.4.2项〔进度付款申请单的编制〕的约定向监理人提交进度付款申请单。</w:t>
      </w:r>
    </w:p>
    <w:p w14:paraId="7F408E4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(3)其他价格形式合同的进度付款申请单的提交</w:t>
      </w:r>
    </w:p>
    <w:p w14:paraId="77E5DC3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合同当事人可在专用合同条款中约定其他价格形式合同的进度付款申请单的编制和提交程序。</w:t>
      </w:r>
    </w:p>
    <w:p w14:paraId="1301B78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12.4.4进度款审核和支付</w:t>
      </w:r>
    </w:p>
    <w:p w14:paraId="1787352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52E2E5C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3A9F2B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7A368BE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(3)发包人签发进度款支付证书或临时进度款支付证书，不表明发包人已同意、批准或接受了承包人完成的相应部分的工作。</w:t>
      </w:r>
    </w:p>
    <w:p w14:paraId="1F65AD2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12.4.5进度付款的修正</w:t>
      </w:r>
    </w:p>
    <w:p w14:paraId="20553ED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在对已签发的进度款支付证书进行阶段汇总和复核中发现错误、遗漏或重复的，发包人和承包人均有权提出修正申请。经发包人和承包人同意的修正，应在下期进度付款中支付或扣除。</w:t>
      </w:r>
    </w:p>
    <w:p w14:paraId="7383091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12.4.6支付分解表</w:t>
      </w:r>
    </w:p>
    <w:p w14:paraId="7B172AB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771" w:name="_Toc16868"/>
      <w:bookmarkStart w:id="772" w:name="_Toc29236"/>
      <w:bookmarkStart w:id="773" w:name="_Toc12475"/>
      <w:bookmarkStart w:id="774" w:name="_Toc29870"/>
      <w:bookmarkStart w:id="775" w:name="_Toc161"/>
      <w:r>
        <w:rPr>
          <w:rFonts w:hint="eastAsia" w:ascii="宋体" w:hAnsi="宋体" w:eastAsia="宋体" w:cs="宋体"/>
          <w:b w:val="0"/>
          <w:bCs w:val="0"/>
          <w:snapToGrid/>
          <w:color w:val="auto"/>
          <w:kern w:val="2"/>
          <w:sz w:val="21"/>
          <w:szCs w:val="21"/>
          <w:highlight w:val="none"/>
        </w:rPr>
        <w:t>1.支付分解表的编制要求</w:t>
      </w:r>
      <w:bookmarkEnd w:id="771"/>
      <w:bookmarkEnd w:id="772"/>
      <w:bookmarkEnd w:id="773"/>
      <w:bookmarkEnd w:id="774"/>
      <w:bookmarkEnd w:id="775"/>
    </w:p>
    <w:p w14:paraId="3F83223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(1)支付分解表中所列的每期付款金额，应为第12.4.2项〔进度付款申请单的编制〕第(1)目的估算金额；</w:t>
      </w:r>
    </w:p>
    <w:p w14:paraId="71D47B0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(2)实际进度与施工进度计划不一致的，合同当事人可按照第4.4款〔商定或确定〕修改支付分解表；</w:t>
      </w:r>
    </w:p>
    <w:p w14:paraId="5569468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(3)不采用支付分解表的，承包人应向发包人和监理人提交按季度编制的支付估算分解表，用于支付参考。</w:t>
      </w:r>
    </w:p>
    <w:p w14:paraId="5A84090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776" w:name="_Toc411"/>
      <w:bookmarkStart w:id="777" w:name="_Toc13387"/>
      <w:bookmarkStart w:id="778" w:name="_Toc27094"/>
      <w:bookmarkStart w:id="779" w:name="_Toc2899"/>
      <w:bookmarkStart w:id="780" w:name="_Toc1024"/>
      <w:r>
        <w:rPr>
          <w:rFonts w:hint="eastAsia" w:ascii="宋体" w:hAnsi="宋体" w:eastAsia="宋体" w:cs="宋体"/>
          <w:b w:val="0"/>
          <w:bCs w:val="0"/>
          <w:snapToGrid/>
          <w:color w:val="auto"/>
          <w:kern w:val="2"/>
          <w:sz w:val="21"/>
          <w:szCs w:val="21"/>
          <w:highlight w:val="none"/>
        </w:rPr>
        <w:t>2.总价合同支付分解表的编制与审批</w:t>
      </w:r>
      <w:bookmarkEnd w:id="776"/>
      <w:bookmarkEnd w:id="777"/>
      <w:bookmarkEnd w:id="778"/>
      <w:bookmarkEnd w:id="779"/>
      <w:bookmarkEnd w:id="780"/>
    </w:p>
    <w:p w14:paraId="6EDDD9F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0BCED95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(2)监理人应在收到支付分解表后7天内完成审核并报送发包人。发包人应在收到经监理人审核的支付分解表后7天内完成审批，经发包人批准的支付分解表为有约束力的支付分解表。</w:t>
      </w:r>
    </w:p>
    <w:p w14:paraId="7FA7AB5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(3)发包人逾期未完成支付分解表审批的，也未及时要求承包人进行修正和提供补充资料的，则承包人提交的支付分解表视为已经获得发包人批准。</w:t>
      </w:r>
    </w:p>
    <w:p w14:paraId="7693267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781" w:name="_Toc2599"/>
      <w:bookmarkStart w:id="782" w:name="_Toc10560"/>
      <w:bookmarkStart w:id="783" w:name="_Toc11603"/>
      <w:bookmarkStart w:id="784" w:name="_Toc16484"/>
      <w:bookmarkStart w:id="785" w:name="_Toc20033"/>
      <w:r>
        <w:rPr>
          <w:rFonts w:hint="eastAsia" w:ascii="宋体" w:hAnsi="宋体" w:eastAsia="宋体" w:cs="宋体"/>
          <w:b w:val="0"/>
          <w:bCs w:val="0"/>
          <w:snapToGrid/>
          <w:color w:val="auto"/>
          <w:kern w:val="2"/>
          <w:sz w:val="21"/>
          <w:szCs w:val="21"/>
          <w:highlight w:val="none"/>
        </w:rPr>
        <w:t>3.单价合同的总价项目支付分解表的编制与审批</w:t>
      </w:r>
      <w:bookmarkEnd w:id="781"/>
      <w:bookmarkEnd w:id="782"/>
      <w:bookmarkEnd w:id="783"/>
      <w:bookmarkEnd w:id="784"/>
      <w:bookmarkEnd w:id="785"/>
    </w:p>
    <w:p w14:paraId="638ECF1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4371FF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786" w:name="_bookmark107"/>
      <w:bookmarkEnd w:id="786"/>
      <w:bookmarkStart w:id="787" w:name="_Toc16128"/>
      <w:bookmarkStart w:id="788" w:name="_Toc20610"/>
      <w:bookmarkStart w:id="789" w:name="_Toc10969"/>
      <w:bookmarkStart w:id="790" w:name="_Toc11248"/>
      <w:bookmarkStart w:id="791" w:name="_Toc14023"/>
      <w:r>
        <w:rPr>
          <w:rFonts w:hint="eastAsia" w:ascii="宋体" w:hAnsi="宋体" w:eastAsia="宋体" w:cs="宋体"/>
          <w:b w:val="0"/>
          <w:bCs w:val="0"/>
          <w:snapToGrid/>
          <w:color w:val="auto"/>
          <w:kern w:val="2"/>
          <w:sz w:val="21"/>
          <w:szCs w:val="21"/>
          <w:highlight w:val="none"/>
        </w:rPr>
        <w:t>12.5支付账户</w:t>
      </w:r>
      <w:bookmarkEnd w:id="787"/>
      <w:bookmarkEnd w:id="788"/>
      <w:bookmarkEnd w:id="789"/>
      <w:bookmarkEnd w:id="790"/>
      <w:bookmarkEnd w:id="791"/>
    </w:p>
    <w:p w14:paraId="67CC5AE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792" w:name="_Toc9120"/>
      <w:bookmarkStart w:id="793" w:name="_Toc24336"/>
      <w:bookmarkStart w:id="794" w:name="_Toc12434"/>
      <w:bookmarkStart w:id="795" w:name="_Toc13376"/>
      <w:bookmarkStart w:id="796" w:name="_Toc7366"/>
      <w:r>
        <w:rPr>
          <w:rFonts w:hint="eastAsia" w:ascii="宋体" w:hAnsi="宋体" w:eastAsia="宋体" w:cs="宋体"/>
          <w:b w:val="0"/>
          <w:bCs w:val="0"/>
          <w:snapToGrid/>
          <w:color w:val="auto"/>
          <w:kern w:val="2"/>
          <w:sz w:val="21"/>
          <w:szCs w:val="21"/>
          <w:highlight w:val="none"/>
        </w:rPr>
        <w:t>发包人应将合同价款支付至合同协议书中约定的承包人账户。</w:t>
      </w:r>
      <w:bookmarkEnd w:id="792"/>
      <w:bookmarkEnd w:id="793"/>
      <w:bookmarkEnd w:id="794"/>
      <w:bookmarkEnd w:id="795"/>
      <w:bookmarkEnd w:id="796"/>
    </w:p>
    <w:p w14:paraId="02FD5943">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797" w:name="_bookmark108"/>
      <w:bookmarkEnd w:id="797"/>
      <w:bookmarkStart w:id="798" w:name="_Toc28508"/>
      <w:bookmarkStart w:id="799" w:name="_Toc14589"/>
      <w:bookmarkStart w:id="800" w:name="_Toc25037"/>
      <w:bookmarkStart w:id="801" w:name="_Toc12005"/>
      <w:bookmarkStart w:id="802" w:name="_Toc20519"/>
      <w:r>
        <w:rPr>
          <w:rFonts w:hint="eastAsia" w:ascii="宋体" w:hAnsi="宋体" w:eastAsia="宋体" w:cs="宋体"/>
          <w:snapToGrid/>
          <w:color w:val="auto"/>
          <w:kern w:val="2"/>
          <w:sz w:val="21"/>
          <w:szCs w:val="21"/>
          <w:highlight w:val="none"/>
        </w:rPr>
        <w:t>13.验收和工程试车</w:t>
      </w:r>
      <w:bookmarkEnd w:id="798"/>
      <w:bookmarkEnd w:id="799"/>
      <w:bookmarkEnd w:id="800"/>
      <w:bookmarkEnd w:id="801"/>
      <w:bookmarkEnd w:id="802"/>
    </w:p>
    <w:p w14:paraId="5FFD2D7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803" w:name="_bookmark109"/>
      <w:bookmarkEnd w:id="803"/>
      <w:bookmarkStart w:id="804" w:name="_Toc8047"/>
      <w:bookmarkStart w:id="805" w:name="_Toc21784"/>
      <w:bookmarkStart w:id="806" w:name="_Toc20622"/>
      <w:bookmarkStart w:id="807" w:name="_Toc16031"/>
      <w:bookmarkStart w:id="808" w:name="_Toc4570"/>
      <w:r>
        <w:rPr>
          <w:rFonts w:hint="eastAsia" w:ascii="宋体" w:hAnsi="宋体" w:eastAsia="宋体" w:cs="宋体"/>
          <w:b w:val="0"/>
          <w:bCs w:val="0"/>
          <w:snapToGrid/>
          <w:color w:val="auto"/>
          <w:kern w:val="2"/>
          <w:sz w:val="21"/>
          <w:szCs w:val="21"/>
          <w:highlight w:val="none"/>
        </w:rPr>
        <w:t>13.1分部分项工程验收</w:t>
      </w:r>
      <w:bookmarkEnd w:id="804"/>
      <w:bookmarkEnd w:id="805"/>
      <w:bookmarkEnd w:id="806"/>
      <w:bookmarkEnd w:id="807"/>
      <w:bookmarkEnd w:id="808"/>
    </w:p>
    <w:p w14:paraId="78DE134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13.1.1分部分项工程质量应符合国家有关工程施工验收规范、标准及合同约定，承包人应按照施工组织设计的要求完成分部分项工程施工。</w:t>
      </w:r>
    </w:p>
    <w:p w14:paraId="3B67295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13.1.2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0FD6254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分部分项工程的验收资料应当作为竣工资料的组成部分。</w:t>
      </w:r>
    </w:p>
    <w:p w14:paraId="1425DEE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809" w:name="_bookmark110"/>
      <w:bookmarkEnd w:id="809"/>
      <w:bookmarkStart w:id="810" w:name="_Toc5767"/>
      <w:bookmarkStart w:id="811" w:name="_Toc28222"/>
      <w:bookmarkStart w:id="812" w:name="_Toc21928"/>
      <w:bookmarkStart w:id="813" w:name="_Toc15451"/>
      <w:bookmarkStart w:id="814" w:name="_Toc28030"/>
      <w:r>
        <w:rPr>
          <w:rFonts w:hint="eastAsia" w:ascii="宋体" w:hAnsi="宋体" w:eastAsia="宋体" w:cs="宋体"/>
          <w:b w:val="0"/>
          <w:bCs w:val="0"/>
          <w:snapToGrid/>
          <w:color w:val="auto"/>
          <w:kern w:val="2"/>
          <w:sz w:val="21"/>
          <w:szCs w:val="21"/>
          <w:highlight w:val="none"/>
        </w:rPr>
        <w:t>13.2竣工验收</w:t>
      </w:r>
      <w:bookmarkEnd w:id="810"/>
      <w:bookmarkEnd w:id="811"/>
      <w:bookmarkEnd w:id="812"/>
      <w:bookmarkEnd w:id="813"/>
      <w:bookmarkEnd w:id="814"/>
    </w:p>
    <w:p w14:paraId="4838135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13.2.1竣工验收条件</w:t>
      </w:r>
    </w:p>
    <w:p w14:paraId="58E1F78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工程具备以下条件的，承包人可以申请竣工验收：</w:t>
      </w:r>
    </w:p>
    <w:p w14:paraId="1E478CE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(1)除发包人同意的甩项工作和缺陷修补工作外，合同范围内的全部工程以及有关工作，包括合同要求的试验、试运行以及检验均已完成，并符合合同要求；</w:t>
      </w:r>
    </w:p>
    <w:p w14:paraId="4EEBD2E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(2)已按合同约定编制了甩项工作和缺陷修补工作清单以及相应的施工计划；</w:t>
      </w:r>
    </w:p>
    <w:p w14:paraId="64385D3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(3)已按合同约定的内容和份数备齐竣工资料。</w:t>
      </w:r>
    </w:p>
    <w:p w14:paraId="2090378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13.2.2竣工验收程序</w:t>
      </w:r>
    </w:p>
    <w:p w14:paraId="183C620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除专用合同条款另有约定外，承包人申请竣工验收的，应当按照以下程序进行：</w:t>
      </w:r>
    </w:p>
    <w:p w14:paraId="3FA0866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5BC5EB5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23376C6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(3)竣工验收合格的，发包人应在验收合格后14天内向承包人签发工程接收证书。发包人无正当理由逾期不颁发工程接收证书的，自验收合格后第15天起视为已颁发工程接收证书。</w:t>
      </w:r>
    </w:p>
    <w:p w14:paraId="2895EB8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70F991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10C7BB7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282E95A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13.2.3竣工日期</w:t>
      </w:r>
    </w:p>
    <w:p w14:paraId="7B36A69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53D52D8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13.2.4拒绝接收全部或部分工程</w:t>
      </w:r>
    </w:p>
    <w:p w14:paraId="0FB5CF3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26AA7FD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13.2.5移交、接收全部与部分工程</w:t>
      </w:r>
    </w:p>
    <w:p w14:paraId="5714E04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除专用合同条款另有约定外，合同当事人应当在颁发工程接收证书后7天内完成工程的移交。</w:t>
      </w:r>
    </w:p>
    <w:p w14:paraId="23D19F3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69391AB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承包人无正当理由不移交工程的，承包人应承担工程照管、成品保护、保管等与工程有关的各项费用，合同当事人可以在专用合同条款中另行约定承包人无正当理由</w:t>
      </w:r>
      <w:bookmarkStart w:id="815" w:name="_bookmark111"/>
      <w:bookmarkEnd w:id="815"/>
      <w:r>
        <w:rPr>
          <w:rFonts w:hint="eastAsia" w:ascii="宋体" w:hAnsi="宋体" w:eastAsia="宋体" w:cs="宋体"/>
          <w:b w:val="0"/>
          <w:bCs w:val="0"/>
          <w:snapToGrid/>
          <w:color w:val="auto"/>
          <w:kern w:val="2"/>
          <w:sz w:val="21"/>
          <w:szCs w:val="21"/>
          <w:highlight w:val="none"/>
        </w:rPr>
        <w:t>不移交工程的违约责任。</w:t>
      </w:r>
    </w:p>
    <w:p w14:paraId="5406B3A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816" w:name="_Toc26749"/>
      <w:bookmarkStart w:id="817" w:name="_Toc24895"/>
      <w:bookmarkStart w:id="818" w:name="_Toc10429"/>
      <w:bookmarkStart w:id="819" w:name="_Toc28877"/>
      <w:bookmarkStart w:id="820" w:name="_Toc26125"/>
      <w:r>
        <w:rPr>
          <w:rFonts w:hint="eastAsia" w:ascii="宋体" w:hAnsi="宋体" w:eastAsia="宋体" w:cs="宋体"/>
          <w:b w:val="0"/>
          <w:bCs w:val="0"/>
          <w:snapToGrid/>
          <w:color w:val="auto"/>
          <w:kern w:val="2"/>
          <w:sz w:val="21"/>
          <w:szCs w:val="21"/>
          <w:highlight w:val="none"/>
        </w:rPr>
        <w:t>13.3工程试车</w:t>
      </w:r>
      <w:bookmarkEnd w:id="816"/>
      <w:bookmarkEnd w:id="817"/>
      <w:bookmarkEnd w:id="818"/>
      <w:bookmarkEnd w:id="819"/>
      <w:bookmarkEnd w:id="820"/>
    </w:p>
    <w:p w14:paraId="10DFABF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13.3.1试车程序</w:t>
      </w:r>
    </w:p>
    <w:p w14:paraId="5E5664B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工程需要试车的，除专用合同条款另有约定外，试车内容应与承包人承包范围相一致，试车费用由承包人承担。工程试车应按如下程序进行：</w:t>
      </w:r>
    </w:p>
    <w:p w14:paraId="373A069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9F9D34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7A1D7DB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4303929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13.3.2试车中的责任</w:t>
      </w:r>
    </w:p>
    <w:p w14:paraId="6DB246C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58227C8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59EB042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13.3.3投料试车</w:t>
      </w:r>
    </w:p>
    <w:p w14:paraId="7BF448F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如需进行投料试车的，发包人应在工程竣工验收后组织投料试车。发包人要求在工程竣工验收前进行或需要承包人配合时，应征得承包人同意，并在专用合同条款中约定有关事项。</w:t>
      </w:r>
    </w:p>
    <w:p w14:paraId="37345C1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w:t>
      </w:r>
      <w:bookmarkStart w:id="821" w:name="_bookmark112"/>
      <w:bookmarkEnd w:id="821"/>
      <w:r>
        <w:rPr>
          <w:rFonts w:hint="eastAsia" w:ascii="宋体" w:hAnsi="宋体" w:eastAsia="宋体" w:cs="宋体"/>
          <w:b w:val="0"/>
          <w:bCs w:val="0"/>
          <w:snapToGrid/>
          <w:color w:val="auto"/>
          <w:kern w:val="2"/>
          <w:sz w:val="21"/>
          <w:szCs w:val="21"/>
          <w:highlight w:val="none"/>
        </w:rPr>
        <w:t>人承担。</w:t>
      </w:r>
    </w:p>
    <w:p w14:paraId="32CFAC0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822" w:name="_Toc23209"/>
      <w:bookmarkStart w:id="823" w:name="_Toc30032"/>
      <w:bookmarkStart w:id="824" w:name="_Toc15447"/>
      <w:bookmarkStart w:id="825" w:name="_Toc24965"/>
      <w:bookmarkStart w:id="826" w:name="_Toc1121"/>
      <w:r>
        <w:rPr>
          <w:rFonts w:hint="eastAsia" w:ascii="宋体" w:hAnsi="宋体" w:eastAsia="宋体" w:cs="宋体"/>
          <w:b w:val="0"/>
          <w:bCs w:val="0"/>
          <w:snapToGrid/>
          <w:color w:val="auto"/>
          <w:kern w:val="2"/>
          <w:sz w:val="21"/>
          <w:szCs w:val="21"/>
          <w:highlight w:val="none"/>
        </w:rPr>
        <w:t>13.4提前交付单位工程的验收</w:t>
      </w:r>
      <w:bookmarkEnd w:id="822"/>
      <w:bookmarkEnd w:id="823"/>
      <w:bookmarkEnd w:id="824"/>
      <w:bookmarkEnd w:id="825"/>
      <w:bookmarkEnd w:id="826"/>
    </w:p>
    <w:p w14:paraId="65AE5BE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13.4.1发包人需要在工程竣工前使用单位工程的，或承包人提出提前交付已经竣</w:t>
      </w:r>
    </w:p>
    <w:p w14:paraId="0F91362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工的单位工程且经发包人同意的，可进行单位工程验收，验收的程序按照第13.2款〔竣工验收〕的约定进行。</w:t>
      </w:r>
    </w:p>
    <w:p w14:paraId="6B29895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6F18DC1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13.4.2发包人要求在工程竣工前交付单位工程，由此导致承包人费用增加和(或)工期延误的，由发包人承担由此增加的费用和(或)延误的工期。</w:t>
      </w:r>
    </w:p>
    <w:p w14:paraId="0AE1024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827" w:name="_Toc4334"/>
      <w:bookmarkStart w:id="828" w:name="_Toc22434"/>
      <w:bookmarkStart w:id="829" w:name="_Toc14479"/>
      <w:bookmarkStart w:id="830" w:name="_Toc4232"/>
      <w:bookmarkStart w:id="831" w:name="_Toc6840"/>
      <w:r>
        <w:rPr>
          <w:rFonts w:hint="eastAsia" w:ascii="宋体" w:hAnsi="宋体" w:eastAsia="宋体" w:cs="宋体"/>
          <w:b w:val="0"/>
          <w:bCs w:val="0"/>
          <w:snapToGrid/>
          <w:color w:val="auto"/>
          <w:kern w:val="2"/>
          <w:sz w:val="21"/>
          <w:szCs w:val="21"/>
          <w:highlight w:val="none"/>
        </w:rPr>
        <w:t>13.5施工期运行</w:t>
      </w:r>
      <w:bookmarkEnd w:id="827"/>
      <w:bookmarkEnd w:id="828"/>
      <w:bookmarkEnd w:id="829"/>
      <w:bookmarkEnd w:id="830"/>
      <w:bookmarkEnd w:id="831"/>
    </w:p>
    <w:p w14:paraId="35B45D7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13.5.1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328E73F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13.5.2在施工期运行中发现工程或工程设备损坏或存在缺陷的，由承包人按第15.2款〔缺陷责任期〕约定进行修复。</w:t>
      </w:r>
      <w:bookmarkStart w:id="832" w:name="_bookmark114"/>
      <w:bookmarkEnd w:id="832"/>
    </w:p>
    <w:p w14:paraId="181A828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833" w:name="_Toc18475"/>
      <w:bookmarkStart w:id="834" w:name="_Toc19641"/>
      <w:bookmarkStart w:id="835" w:name="_Toc14577"/>
      <w:bookmarkStart w:id="836" w:name="_Toc1329"/>
      <w:bookmarkStart w:id="837" w:name="_Toc30111"/>
      <w:r>
        <w:rPr>
          <w:rFonts w:hint="eastAsia" w:ascii="宋体" w:hAnsi="宋体" w:eastAsia="宋体" w:cs="宋体"/>
          <w:b w:val="0"/>
          <w:bCs w:val="0"/>
          <w:snapToGrid/>
          <w:color w:val="auto"/>
          <w:kern w:val="2"/>
          <w:sz w:val="21"/>
          <w:szCs w:val="21"/>
          <w:highlight w:val="none"/>
        </w:rPr>
        <w:t>13.6竣工退场</w:t>
      </w:r>
      <w:bookmarkEnd w:id="833"/>
      <w:bookmarkEnd w:id="834"/>
      <w:bookmarkEnd w:id="835"/>
      <w:bookmarkEnd w:id="836"/>
      <w:bookmarkEnd w:id="837"/>
    </w:p>
    <w:p w14:paraId="1E60FA6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13.6.1竣工退场</w:t>
      </w:r>
    </w:p>
    <w:p w14:paraId="33CE976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颁发工程接收证书后，承包人应按以下要求对施工现场进行清理：</w:t>
      </w:r>
    </w:p>
    <w:p w14:paraId="1C87BE4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(1)施工现场内残留的垃圾已全部清除出场；</w:t>
      </w:r>
    </w:p>
    <w:p w14:paraId="6D9F7F6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(2)临时工程已拆除，场地已进行清理、平整或复原；</w:t>
      </w:r>
    </w:p>
    <w:p w14:paraId="4EAAE65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(3)按合同约定应撤离的人员、承包人施工设备和剩余的材料，包括废弃的施工设备和材料，已按计划撤离施工现场；</w:t>
      </w:r>
    </w:p>
    <w:p w14:paraId="0502242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(4)施工现场周边及其附近道路、河道的施工堆积物，已全部清理；</w:t>
      </w:r>
    </w:p>
    <w:p w14:paraId="0749E58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(5)施工现场其他场地清理工作已全部完成。</w:t>
      </w:r>
    </w:p>
    <w:p w14:paraId="1990A3B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6179121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13.6.2地表还原</w:t>
      </w:r>
    </w:p>
    <w:p w14:paraId="2BCC42A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承包人应按发包人要求恢复临时占地及清理场地，承包人未按发包人的要求恢复临时占地，或者场地清理未达到合同约定要求的，发包人有权委托其他人恢复或清理，</w:t>
      </w:r>
      <w:bookmarkStart w:id="838" w:name="_bookmark115"/>
      <w:bookmarkEnd w:id="838"/>
      <w:r>
        <w:rPr>
          <w:rFonts w:hint="eastAsia" w:ascii="宋体" w:hAnsi="宋体" w:eastAsia="宋体" w:cs="宋体"/>
          <w:b w:val="0"/>
          <w:bCs w:val="0"/>
          <w:snapToGrid/>
          <w:color w:val="auto"/>
          <w:kern w:val="2"/>
          <w:sz w:val="21"/>
          <w:szCs w:val="21"/>
          <w:highlight w:val="none"/>
        </w:rPr>
        <w:t>所发生的费用由承包人承担。</w:t>
      </w:r>
    </w:p>
    <w:p w14:paraId="7A6040E1">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839" w:name="_Toc17979"/>
      <w:bookmarkStart w:id="840" w:name="_Toc20264"/>
      <w:bookmarkStart w:id="841" w:name="_Toc17719"/>
      <w:bookmarkStart w:id="842" w:name="_Toc12419"/>
      <w:bookmarkStart w:id="843" w:name="_Toc19686"/>
      <w:r>
        <w:rPr>
          <w:rFonts w:hint="eastAsia" w:ascii="宋体" w:hAnsi="宋体" w:eastAsia="宋体" w:cs="宋体"/>
          <w:snapToGrid/>
          <w:color w:val="auto"/>
          <w:kern w:val="2"/>
          <w:sz w:val="21"/>
          <w:szCs w:val="21"/>
          <w:highlight w:val="none"/>
        </w:rPr>
        <w:t>14.过程结算与竣工结算</w:t>
      </w:r>
      <w:bookmarkEnd w:id="839"/>
      <w:bookmarkEnd w:id="840"/>
      <w:bookmarkEnd w:id="841"/>
      <w:bookmarkEnd w:id="842"/>
      <w:bookmarkEnd w:id="843"/>
    </w:p>
    <w:p w14:paraId="326734C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844" w:name="_bookmark116"/>
      <w:bookmarkEnd w:id="844"/>
      <w:bookmarkStart w:id="845" w:name="_Toc23185"/>
      <w:bookmarkStart w:id="846" w:name="_Toc3688"/>
      <w:bookmarkStart w:id="847" w:name="_Toc10109"/>
      <w:bookmarkStart w:id="848" w:name="_Toc26554"/>
      <w:bookmarkStart w:id="849" w:name="_Toc30669"/>
      <w:r>
        <w:rPr>
          <w:rFonts w:hint="eastAsia" w:ascii="宋体" w:hAnsi="宋体" w:eastAsia="宋体" w:cs="宋体"/>
          <w:b w:val="0"/>
          <w:bCs w:val="0"/>
          <w:snapToGrid/>
          <w:color w:val="auto"/>
          <w:kern w:val="2"/>
          <w:sz w:val="21"/>
          <w:szCs w:val="21"/>
          <w:highlight w:val="none"/>
        </w:rPr>
        <w:t>14.1 过程结算与支付</w:t>
      </w:r>
    </w:p>
    <w:p w14:paraId="7716DCA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14.1.1 过程结算是指合同当事人根据约定的节点和周期，对施工过程中已完工程进行当期合同价格的计算、调整、确认及支付的活动。除专用合同条款另有约定外，过程结算的周期及节点可以按月，也可以按照约定的里程碑开展，一般最小过程结算周期间隔可以为月，最长过程结算周期不超过六个月，</w:t>
      </w:r>
    </w:p>
    <w:p w14:paraId="0451F7D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14.1.2 过程结算的里程碑事件或结算周期，又称过程结算周期，与第 12.4款〔工程进度款支付】约定进度款申请与支付周期一致的，该周期的过程结算与进度款支付审核结果具有同等效力，不再重复进行进度款计量与审核。</w:t>
      </w:r>
    </w:p>
    <w:p w14:paraId="4A1235C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过程结算周期与进度款周期不一致的，在后的过程结算可以调整在先的进度款审核结果，除专用合同条款另有约定外，具体程序如下:</w:t>
      </w:r>
    </w:p>
    <w:p w14:paraId="13A4399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(1)承包人应按照专用合同条款约定的过程结算周期，向监理人提交过程结算报告，并附具已完成工程量报表和有关资料。过程结算所需资料在专用合同条款中具体约定;</w:t>
      </w:r>
    </w:p>
    <w:p w14:paraId="60DE6E2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(2)监理人应在收到承包人提交的过程结算报告后14天内完成审查并报送发包人，发包人应在收到后 14天内完成审批并签发过程结算支付证书;</w:t>
      </w:r>
    </w:p>
    <w:p w14:paraId="7D4D232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(3)发包人收到过程结算报告后28天内未完成审批且未提出异议的，视为认可承包人提交的过程结算报告，无正当理由发包人不应拒收过程结算报告:</w:t>
      </w:r>
    </w:p>
    <w:p w14:paraId="070C1F8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合同当事人对过程结算有争议的，按照第4.4款〔商定或确定〕执行，任何一方合同当事人仍有异议的，按照第20条〔争议解决〕约定处理，争议解决后计入当期过程结算款或进度款支付，对无争议部分可以先行办理结算。</w:t>
      </w:r>
    </w:p>
    <w:p w14:paraId="2B7255B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14.1.3 过程结算的修正</w:t>
      </w:r>
    </w:p>
    <w:p w14:paraId="47E6897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(1)除专用合同条款另有约定外，经合同当事人确认的过程结算文件是竣工结算文件的组成部分，竣工结算时原则上不再重复审核。</w:t>
      </w:r>
    </w:p>
    <w:p w14:paraId="7D56B0A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合同当事人可以在合同专用条款中约定应修正过程结算支付证书的情形，如过程结算金额存在计算错误、遗漏或重复等，经复核应予修正的，发包人和承包人均有权提出修正申请。经发包人和承包人同意的修正，应在下期进度付款或过程结算付款中支付或扣除。</w:t>
      </w:r>
    </w:p>
    <w:p w14:paraId="38D2F50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14.2竣工结算申请</w:t>
      </w:r>
      <w:bookmarkEnd w:id="845"/>
      <w:bookmarkEnd w:id="846"/>
      <w:bookmarkEnd w:id="847"/>
      <w:bookmarkEnd w:id="848"/>
      <w:bookmarkEnd w:id="849"/>
    </w:p>
    <w:p w14:paraId="51EF941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04A20E4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除专用合同条款另有约定外，竣工结算申请单应包括以下内容：</w:t>
      </w:r>
    </w:p>
    <w:p w14:paraId="1584884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(1)竣工结算合同价格；</w:t>
      </w:r>
    </w:p>
    <w:p w14:paraId="55E01B5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(2)发包人已支付承包人的款项；</w:t>
      </w:r>
    </w:p>
    <w:p w14:paraId="33879C5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(3)应扣留的质量保证金。已缴纳履约保证金的或提供其他工程质量担保方式的除外；</w:t>
      </w:r>
    </w:p>
    <w:p w14:paraId="7E07860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(4)发包人应支付承包人的合同价款。</w:t>
      </w:r>
    </w:p>
    <w:p w14:paraId="09C44B2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850" w:name="_bookmark117"/>
      <w:bookmarkEnd w:id="850"/>
      <w:bookmarkStart w:id="851" w:name="_Toc16455"/>
      <w:bookmarkStart w:id="852" w:name="_Toc29295"/>
      <w:bookmarkStart w:id="853" w:name="_Toc22771"/>
      <w:bookmarkStart w:id="854" w:name="_Toc12048"/>
      <w:bookmarkStart w:id="855" w:name="_Toc25365"/>
      <w:r>
        <w:rPr>
          <w:rFonts w:hint="eastAsia" w:ascii="宋体" w:hAnsi="宋体" w:eastAsia="宋体" w:cs="宋体"/>
          <w:b w:val="0"/>
          <w:bCs w:val="0"/>
          <w:snapToGrid/>
          <w:color w:val="auto"/>
          <w:kern w:val="2"/>
          <w:sz w:val="21"/>
          <w:szCs w:val="21"/>
          <w:highlight w:val="none"/>
        </w:rPr>
        <w:t>14.3竣工结算审核</w:t>
      </w:r>
      <w:bookmarkEnd w:id="851"/>
      <w:bookmarkEnd w:id="852"/>
      <w:bookmarkEnd w:id="853"/>
      <w:bookmarkEnd w:id="854"/>
      <w:bookmarkEnd w:id="855"/>
    </w:p>
    <w:p w14:paraId="2A33AD1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231A168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393122D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除专用合同条款另有约定外，发包人应在签发竣工付款证书后的14天内，完成对承包人的竣工付款。发包人逾期支付的，按照中国人民银行发布的同期同类贷款基准利率支付违约金；逾期支付超过56天的，按照中国人民银行发布的同期同类贷款基准利率的两倍支付违约金。</w:t>
      </w:r>
    </w:p>
    <w:p w14:paraId="024D63E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w:t>
      </w:r>
      <w:bookmarkStart w:id="856" w:name="_bookmark118"/>
      <w:bookmarkEnd w:id="856"/>
      <w:r>
        <w:rPr>
          <w:rFonts w:hint="eastAsia" w:ascii="宋体" w:hAnsi="宋体" w:eastAsia="宋体" w:cs="宋体"/>
          <w:b w:val="0"/>
          <w:bCs w:val="0"/>
          <w:snapToGrid/>
          <w:color w:val="auto"/>
          <w:kern w:val="2"/>
          <w:sz w:val="21"/>
          <w:szCs w:val="21"/>
          <w:highlight w:val="none"/>
        </w:rPr>
        <w:t>异议的，视为认可发包人的审批结果。</w:t>
      </w:r>
    </w:p>
    <w:p w14:paraId="7D8F594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857" w:name="_Toc21001"/>
      <w:bookmarkStart w:id="858" w:name="_Toc27365"/>
      <w:bookmarkStart w:id="859" w:name="_Toc15828"/>
      <w:bookmarkStart w:id="860" w:name="_Toc17121"/>
      <w:bookmarkStart w:id="861" w:name="_Toc23983"/>
      <w:r>
        <w:rPr>
          <w:rFonts w:hint="eastAsia" w:ascii="宋体" w:hAnsi="宋体" w:eastAsia="宋体" w:cs="宋体"/>
          <w:b w:val="0"/>
          <w:bCs w:val="0"/>
          <w:snapToGrid/>
          <w:color w:val="auto"/>
          <w:kern w:val="2"/>
          <w:sz w:val="21"/>
          <w:szCs w:val="21"/>
          <w:highlight w:val="none"/>
        </w:rPr>
        <w:t>14.4甩项竣工协议</w:t>
      </w:r>
      <w:bookmarkEnd w:id="857"/>
      <w:bookmarkEnd w:id="858"/>
      <w:bookmarkEnd w:id="859"/>
      <w:bookmarkEnd w:id="860"/>
      <w:bookmarkEnd w:id="861"/>
    </w:p>
    <w:p w14:paraId="04F4A5A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31FDF8C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862" w:name="_bookmark119"/>
      <w:bookmarkEnd w:id="862"/>
      <w:bookmarkStart w:id="863" w:name="_Toc30611"/>
      <w:bookmarkStart w:id="864" w:name="_Toc11798"/>
      <w:bookmarkStart w:id="865" w:name="_Toc30538"/>
      <w:bookmarkStart w:id="866" w:name="_Toc17729"/>
      <w:bookmarkStart w:id="867" w:name="_Toc13069"/>
      <w:r>
        <w:rPr>
          <w:rFonts w:hint="eastAsia" w:ascii="宋体" w:hAnsi="宋体" w:eastAsia="宋体" w:cs="宋体"/>
          <w:b w:val="0"/>
          <w:bCs w:val="0"/>
          <w:snapToGrid/>
          <w:color w:val="auto"/>
          <w:kern w:val="2"/>
          <w:sz w:val="21"/>
          <w:szCs w:val="21"/>
          <w:highlight w:val="none"/>
        </w:rPr>
        <w:t>14.5最终结清</w:t>
      </w:r>
      <w:bookmarkEnd w:id="863"/>
      <w:bookmarkEnd w:id="864"/>
      <w:bookmarkEnd w:id="865"/>
      <w:bookmarkEnd w:id="866"/>
      <w:bookmarkEnd w:id="867"/>
    </w:p>
    <w:p w14:paraId="458CE97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14.5.1最终结清申请单</w:t>
      </w:r>
    </w:p>
    <w:p w14:paraId="3D71642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(1)除专用合同条款另有约定外，承包人应在缺陷责任期终止证书颁发后7天内，按专用合同条款约定的份数向发包人提交最终结清申请单，并提供相关证明材料。</w:t>
      </w:r>
    </w:p>
    <w:p w14:paraId="3A3AE51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除专用合同条款另有约定外，最终结清申请单应列明质量保证金、应扣除的质量保证金、缺陷责任期内发生的增减费用。</w:t>
      </w:r>
    </w:p>
    <w:p w14:paraId="4B6CF9C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(2)发包人对最终结清申请单内容有异议的，有权要求承包人进行修正和提供补充资料，承包人应向发包人提交修正后的最终结清申请单。</w:t>
      </w:r>
    </w:p>
    <w:p w14:paraId="02E5D1B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14.5.2最终结清证书和支付</w:t>
      </w:r>
    </w:p>
    <w:p w14:paraId="6B63DC7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0D18E77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7B39E6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(3)承包人对发包人颁发的最终结清证书有异议的，按第20条〔争议解决〕的</w:t>
      </w:r>
      <w:bookmarkStart w:id="868" w:name="_bookmark120"/>
      <w:bookmarkEnd w:id="868"/>
      <w:r>
        <w:rPr>
          <w:rFonts w:hint="eastAsia" w:ascii="宋体" w:hAnsi="宋体" w:eastAsia="宋体" w:cs="宋体"/>
          <w:b w:val="0"/>
          <w:bCs w:val="0"/>
          <w:snapToGrid/>
          <w:color w:val="auto"/>
          <w:kern w:val="2"/>
          <w:sz w:val="21"/>
          <w:szCs w:val="21"/>
          <w:highlight w:val="none"/>
        </w:rPr>
        <w:t>约定办理。</w:t>
      </w:r>
    </w:p>
    <w:p w14:paraId="53CEC636">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869" w:name="_Toc17329"/>
      <w:bookmarkStart w:id="870" w:name="_Toc24560"/>
      <w:bookmarkStart w:id="871" w:name="_Toc5727"/>
      <w:bookmarkStart w:id="872" w:name="_Toc7967"/>
      <w:bookmarkStart w:id="873" w:name="_Toc8330"/>
      <w:r>
        <w:rPr>
          <w:rFonts w:hint="eastAsia" w:ascii="宋体" w:hAnsi="宋体" w:eastAsia="宋体" w:cs="宋体"/>
          <w:snapToGrid/>
          <w:color w:val="auto"/>
          <w:kern w:val="2"/>
          <w:sz w:val="21"/>
          <w:szCs w:val="21"/>
          <w:highlight w:val="none"/>
        </w:rPr>
        <w:t>15.缺陷责任与保修</w:t>
      </w:r>
      <w:bookmarkEnd w:id="869"/>
      <w:bookmarkEnd w:id="870"/>
      <w:bookmarkEnd w:id="871"/>
      <w:bookmarkEnd w:id="872"/>
      <w:bookmarkEnd w:id="873"/>
    </w:p>
    <w:p w14:paraId="0605C10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874" w:name="_bookmark121"/>
      <w:bookmarkEnd w:id="874"/>
      <w:bookmarkStart w:id="875" w:name="_Toc27863"/>
      <w:bookmarkStart w:id="876" w:name="_Toc31263"/>
      <w:bookmarkStart w:id="877" w:name="_Toc20619"/>
      <w:bookmarkStart w:id="878" w:name="_Toc406"/>
      <w:bookmarkStart w:id="879" w:name="_Toc24495"/>
      <w:r>
        <w:rPr>
          <w:rFonts w:hint="eastAsia" w:ascii="宋体" w:hAnsi="宋体" w:eastAsia="宋体" w:cs="宋体"/>
          <w:b w:val="0"/>
          <w:bCs w:val="0"/>
          <w:snapToGrid/>
          <w:color w:val="auto"/>
          <w:kern w:val="2"/>
          <w:sz w:val="21"/>
          <w:szCs w:val="21"/>
          <w:highlight w:val="none"/>
        </w:rPr>
        <w:t>15.1工程保修的原则</w:t>
      </w:r>
      <w:bookmarkEnd w:id="875"/>
      <w:bookmarkEnd w:id="876"/>
      <w:bookmarkEnd w:id="877"/>
      <w:bookmarkEnd w:id="878"/>
      <w:bookmarkEnd w:id="879"/>
    </w:p>
    <w:p w14:paraId="643C62D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在工程移交发包人后，因承包人原因产生的质量缺陷，承包人应承担质量缺陷责任和保修义务。缺陷责任期届满，承包人仍应按合同约定的工程各部位保修年限承担</w:t>
      </w:r>
      <w:bookmarkStart w:id="880" w:name="_bookmark122"/>
      <w:bookmarkEnd w:id="880"/>
      <w:r>
        <w:rPr>
          <w:rFonts w:hint="eastAsia" w:ascii="宋体" w:hAnsi="宋体" w:eastAsia="宋体" w:cs="宋体"/>
          <w:b w:val="0"/>
          <w:bCs w:val="0"/>
          <w:snapToGrid/>
          <w:color w:val="auto"/>
          <w:kern w:val="2"/>
          <w:sz w:val="21"/>
          <w:szCs w:val="21"/>
          <w:highlight w:val="none"/>
        </w:rPr>
        <w:t>保修义务。</w:t>
      </w:r>
    </w:p>
    <w:p w14:paraId="13463D1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881" w:name="_Toc21591"/>
      <w:bookmarkStart w:id="882" w:name="_Toc14592"/>
      <w:bookmarkStart w:id="883" w:name="_Toc1284"/>
      <w:bookmarkStart w:id="884" w:name="_Toc32301"/>
      <w:bookmarkStart w:id="885" w:name="_Toc6110"/>
      <w:r>
        <w:rPr>
          <w:rFonts w:hint="eastAsia" w:ascii="宋体" w:hAnsi="宋体" w:eastAsia="宋体" w:cs="宋体"/>
          <w:b w:val="0"/>
          <w:bCs w:val="0"/>
          <w:snapToGrid/>
          <w:color w:val="auto"/>
          <w:kern w:val="2"/>
          <w:sz w:val="21"/>
          <w:szCs w:val="21"/>
          <w:highlight w:val="none"/>
        </w:rPr>
        <w:t>15.2缺陷责任期</w:t>
      </w:r>
      <w:bookmarkEnd w:id="881"/>
      <w:bookmarkEnd w:id="882"/>
      <w:bookmarkEnd w:id="883"/>
      <w:bookmarkEnd w:id="884"/>
      <w:bookmarkEnd w:id="885"/>
    </w:p>
    <w:p w14:paraId="013AB90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15.2.1缺陷责任期从工程通过竣工验收之日起计算，合同当事人应在专用合同条款约定缺陷责任期的具体期限，但该期限最长不超过24个月。</w:t>
      </w:r>
    </w:p>
    <w:p w14:paraId="41F1300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68F05F4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0682AFE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由他人原因造成的缺陷，发包人负责组织维修，承包人不承担费用，且发包人不得从保证金中扣除费用。</w:t>
      </w:r>
    </w:p>
    <w:p w14:paraId="7E86F8C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15.2.3任何一项缺陷或损坏修复后，经检查证明其影响了工程或工程设备的使用性能，承包人应重新进行合同约定的试验和试运行，试验和试运行的全部费用应由责任方承担。</w:t>
      </w:r>
    </w:p>
    <w:p w14:paraId="5A3BE35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15.2.4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w:t>
      </w:r>
      <w:bookmarkStart w:id="886" w:name="_bookmark123"/>
      <w:bookmarkEnd w:id="886"/>
      <w:r>
        <w:rPr>
          <w:rFonts w:hint="eastAsia" w:ascii="宋体" w:hAnsi="宋体" w:eastAsia="宋体" w:cs="宋体"/>
          <w:b w:val="0"/>
          <w:bCs w:val="0"/>
          <w:snapToGrid/>
          <w:color w:val="auto"/>
          <w:kern w:val="2"/>
          <w:sz w:val="21"/>
          <w:szCs w:val="21"/>
          <w:highlight w:val="none"/>
        </w:rPr>
        <w:t>责任期终止证书。</w:t>
      </w:r>
    </w:p>
    <w:p w14:paraId="47E8D89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887" w:name="_Toc30164"/>
      <w:bookmarkStart w:id="888" w:name="_Toc275"/>
      <w:bookmarkStart w:id="889" w:name="_Toc28829"/>
      <w:bookmarkStart w:id="890" w:name="_Toc22670"/>
      <w:bookmarkStart w:id="891" w:name="_Toc20379"/>
      <w:r>
        <w:rPr>
          <w:rFonts w:hint="eastAsia" w:ascii="宋体" w:hAnsi="宋体" w:eastAsia="宋体" w:cs="宋体"/>
          <w:b w:val="0"/>
          <w:bCs w:val="0"/>
          <w:snapToGrid/>
          <w:color w:val="auto"/>
          <w:kern w:val="2"/>
          <w:sz w:val="21"/>
          <w:szCs w:val="21"/>
          <w:highlight w:val="none"/>
        </w:rPr>
        <w:t>15.3质量保证金</w:t>
      </w:r>
      <w:bookmarkEnd w:id="887"/>
      <w:bookmarkEnd w:id="888"/>
      <w:bookmarkEnd w:id="889"/>
      <w:bookmarkEnd w:id="890"/>
      <w:bookmarkEnd w:id="891"/>
    </w:p>
    <w:p w14:paraId="04C74D7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经合同当事人协商一致扣留质量保证金的，应在专用合同条款中予以明确。</w:t>
      </w:r>
    </w:p>
    <w:p w14:paraId="17A936F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在工程项目竣工前，承包人已经提供履约担保的，发包人不得同时预留工程质量保证金。</w:t>
      </w:r>
    </w:p>
    <w:p w14:paraId="0267FC0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15.3.1承包人提供质量保证金的方式</w:t>
      </w:r>
    </w:p>
    <w:p w14:paraId="25A4FB4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承包人提供质量保证金有以下三种方式：</w:t>
      </w:r>
    </w:p>
    <w:p w14:paraId="7CC0852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(1)质量保证金保函；</w:t>
      </w:r>
    </w:p>
    <w:p w14:paraId="2BA7E32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(2)相应比例的工程款；</w:t>
      </w:r>
    </w:p>
    <w:p w14:paraId="1CDF6CE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(3)双方约定的其他方式。</w:t>
      </w:r>
    </w:p>
    <w:p w14:paraId="2F2C00D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除专用合同条款另有约定外，质量保证金原则上采用上述第(1)种方式。</w:t>
      </w:r>
    </w:p>
    <w:p w14:paraId="5691C43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15.3.2质量保证金的扣留</w:t>
      </w:r>
    </w:p>
    <w:p w14:paraId="49A8B42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质量保证金的扣留有以下三种方式：</w:t>
      </w:r>
    </w:p>
    <w:p w14:paraId="027A5BE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(1)在支付工程进度款时逐次扣留，在此情形下，质量保证金的计算基数不包括预付款的支付、扣回以及价格调整的金额；</w:t>
      </w:r>
    </w:p>
    <w:p w14:paraId="1F527CC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(2)工程竣工结算时一次性扣留质量保证金；</w:t>
      </w:r>
    </w:p>
    <w:p w14:paraId="4A52600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(3)双方约定的其他扣留方式。</w:t>
      </w:r>
    </w:p>
    <w:p w14:paraId="2F3C9D7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除专用合同条款另有约定外，质量保证金的扣留原则上采用上述第(1)种方式。</w:t>
      </w:r>
    </w:p>
    <w:p w14:paraId="736A256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04A64CC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15.3.3质量保证金的退还</w:t>
      </w:r>
    </w:p>
    <w:p w14:paraId="4F3238A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缺陷责任期内，承包人认真履行合同约定的责任，到期后，承包人可向发包人申请返还保证金。</w:t>
      </w:r>
    </w:p>
    <w:p w14:paraId="7C3A59D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5B022B0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发包人和承包人对保证金预留、返还以及工程维修质量、费用有争议的，按本合同第20条约定的争议和纠纷解决程序处理。</w:t>
      </w:r>
    </w:p>
    <w:p w14:paraId="714290F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892" w:name="_bookmark124"/>
      <w:bookmarkEnd w:id="892"/>
      <w:bookmarkStart w:id="893" w:name="_Toc26993"/>
      <w:bookmarkStart w:id="894" w:name="_Toc11644"/>
      <w:bookmarkStart w:id="895" w:name="_Toc3595"/>
      <w:bookmarkStart w:id="896" w:name="_Toc12592"/>
      <w:bookmarkStart w:id="897" w:name="_Toc19072"/>
      <w:r>
        <w:rPr>
          <w:rFonts w:hint="eastAsia" w:ascii="宋体" w:hAnsi="宋体" w:eastAsia="宋体" w:cs="宋体"/>
          <w:b w:val="0"/>
          <w:bCs w:val="0"/>
          <w:snapToGrid/>
          <w:color w:val="auto"/>
          <w:kern w:val="2"/>
          <w:sz w:val="21"/>
          <w:szCs w:val="21"/>
          <w:highlight w:val="none"/>
        </w:rPr>
        <w:t>15.4保修</w:t>
      </w:r>
      <w:bookmarkEnd w:id="893"/>
      <w:bookmarkEnd w:id="894"/>
      <w:bookmarkEnd w:id="895"/>
      <w:bookmarkEnd w:id="896"/>
      <w:bookmarkEnd w:id="897"/>
    </w:p>
    <w:p w14:paraId="7631A49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15.4.1保修责任</w:t>
      </w:r>
    </w:p>
    <w:p w14:paraId="001A223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0273E5D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发包人未经竣工验收擅自使用工程的，保修期自转移占有之日起算。15.4.2修复费用</w:t>
      </w:r>
    </w:p>
    <w:p w14:paraId="4AC4838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保修期内，修复的费用按照以下约定处理：</w:t>
      </w:r>
    </w:p>
    <w:p w14:paraId="3BEDEF1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(1)保修期内，因承包人原因造成工程的缺陷、损坏，承包人应负责修复，并承担修复的费用以及因工程的缺陷、损坏造成的人身伤害和财产损失；</w:t>
      </w:r>
    </w:p>
    <w:p w14:paraId="2DCEFD8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(2)保修期内，因发包人使用不当造成工程的缺陷、损坏，可以委托承包人修复，但发包人应承担修复的费用，并支付承包人合理利润；</w:t>
      </w:r>
    </w:p>
    <w:p w14:paraId="78EF3C9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(3)因其他原因造成工程的缺陷、损坏，可以委托承包人修复，发包人应承担修复的费用，因工程的缺陷、损坏造成的人身伤害和财产损失由责任方承担。</w:t>
      </w:r>
    </w:p>
    <w:p w14:paraId="622B949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15.4.3修复通知</w:t>
      </w:r>
    </w:p>
    <w:p w14:paraId="50A192A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C008D8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15.4.4未能修复</w:t>
      </w:r>
    </w:p>
    <w:p w14:paraId="373FEC5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5894F24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15.4.5承包人出入权</w:t>
      </w:r>
    </w:p>
    <w:p w14:paraId="055F5BD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08B4AF93">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898" w:name="_bookmark125"/>
      <w:bookmarkEnd w:id="898"/>
      <w:bookmarkStart w:id="899" w:name="_Toc32466"/>
      <w:bookmarkStart w:id="900" w:name="_Toc27543"/>
      <w:bookmarkStart w:id="901" w:name="_Toc6257"/>
      <w:bookmarkStart w:id="902" w:name="_Toc30592"/>
      <w:bookmarkStart w:id="903" w:name="_Toc13598"/>
      <w:r>
        <w:rPr>
          <w:rFonts w:hint="eastAsia" w:ascii="宋体" w:hAnsi="宋体" w:eastAsia="宋体" w:cs="宋体"/>
          <w:snapToGrid/>
          <w:color w:val="auto"/>
          <w:kern w:val="2"/>
          <w:sz w:val="21"/>
          <w:szCs w:val="21"/>
          <w:highlight w:val="none"/>
        </w:rPr>
        <w:t>16.违约</w:t>
      </w:r>
      <w:bookmarkEnd w:id="899"/>
      <w:bookmarkEnd w:id="900"/>
      <w:bookmarkEnd w:id="901"/>
      <w:bookmarkEnd w:id="902"/>
      <w:bookmarkEnd w:id="903"/>
    </w:p>
    <w:p w14:paraId="4DB3FBA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904" w:name="_bookmark126"/>
      <w:bookmarkEnd w:id="904"/>
      <w:bookmarkStart w:id="905" w:name="_Toc13552"/>
      <w:bookmarkStart w:id="906" w:name="_Toc3649"/>
      <w:bookmarkStart w:id="907" w:name="_Toc2625"/>
      <w:bookmarkStart w:id="908" w:name="_Toc4679"/>
      <w:bookmarkStart w:id="909" w:name="_Toc23421"/>
      <w:r>
        <w:rPr>
          <w:rFonts w:hint="eastAsia" w:ascii="宋体" w:hAnsi="宋体" w:eastAsia="宋体" w:cs="宋体"/>
          <w:b w:val="0"/>
          <w:bCs w:val="0"/>
          <w:snapToGrid/>
          <w:color w:val="auto"/>
          <w:kern w:val="2"/>
          <w:sz w:val="21"/>
          <w:szCs w:val="21"/>
          <w:highlight w:val="none"/>
        </w:rPr>
        <w:t>16.1发包人违约</w:t>
      </w:r>
      <w:bookmarkEnd w:id="905"/>
      <w:bookmarkEnd w:id="906"/>
      <w:bookmarkEnd w:id="907"/>
      <w:bookmarkEnd w:id="908"/>
      <w:bookmarkEnd w:id="909"/>
    </w:p>
    <w:p w14:paraId="0C70903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16.1.1发包人违约的情形</w:t>
      </w:r>
    </w:p>
    <w:p w14:paraId="37D088E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在合同履行过程中发生的下列情形，属于发包人违约：</w:t>
      </w:r>
    </w:p>
    <w:p w14:paraId="6F6BC5B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(1)因发包人原因未能在计划开工日期前7天内下达开工通知的；</w:t>
      </w:r>
    </w:p>
    <w:p w14:paraId="3D72571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(2)因发包人原因未能按合同约定支付合同价款的；</w:t>
      </w:r>
    </w:p>
    <w:p w14:paraId="08220EB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(3)发包人违反第10.1款〔变更的范围〕第(2)项约定，自行实施被取消的工作或转由他人实施的；</w:t>
      </w:r>
    </w:p>
    <w:p w14:paraId="5069FB1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(4)发包人提供的材料、工程设备的规格、数量或质量不符合合同约定，或因发包人原因导致交货日期延误或交货地点变更等情况的；</w:t>
      </w:r>
    </w:p>
    <w:p w14:paraId="3A03023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(5)因发包人违反合同约定造成暂停施工的；</w:t>
      </w:r>
    </w:p>
    <w:p w14:paraId="350B383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(6)发包人无正当理由没有在约定期限内发出复工指示，导致承包人无法复工的；</w:t>
      </w:r>
    </w:p>
    <w:p w14:paraId="4045813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(7)发包人明确表示或者以其行为表明不履行合同主要义务的；</w:t>
      </w:r>
    </w:p>
    <w:p w14:paraId="65620D4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(8)发包人未能按照合同约定履行其他义务的。</w:t>
      </w:r>
    </w:p>
    <w:p w14:paraId="1867C57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4A93D58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16.1.2发包人违约的责任</w:t>
      </w:r>
    </w:p>
    <w:p w14:paraId="3418348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发包人应承担因其违约给承包人增加的费用和(或)延误的工期。此外，合同当事人可在专用合同条款中另行约定发包人违约责任的承担方式和计算方法。</w:t>
      </w:r>
    </w:p>
    <w:p w14:paraId="6246868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16.1.3因发包人违约解除合同</w:t>
      </w:r>
    </w:p>
    <w:p w14:paraId="16C3926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w:t>
      </w:r>
    </w:p>
    <w:p w14:paraId="361E1DE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16.1.4因发包人违约解除合同后的付款</w:t>
      </w:r>
    </w:p>
    <w:p w14:paraId="1D1B49B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承包人按照本款约定解除合同的，发包人应在解除合同后28天内支付下列款项，并解除履约担保：</w:t>
      </w:r>
    </w:p>
    <w:p w14:paraId="3D78590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(1)合同解除前所完成工作的价款；</w:t>
      </w:r>
    </w:p>
    <w:p w14:paraId="7122C11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(2)承包人为工程施工订购并已付款的材料、工程设备和其他物品的价款；</w:t>
      </w:r>
    </w:p>
    <w:p w14:paraId="50DB521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(3)承包人撤离施工现场以及遣散承包人人员的款项；</w:t>
      </w:r>
    </w:p>
    <w:p w14:paraId="038747D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(4)按照合同约定在合同解除前应支付的违约金；</w:t>
      </w:r>
    </w:p>
    <w:p w14:paraId="1E5FA47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(5)按照合同约定应当支付给承包人的其他款项；</w:t>
      </w:r>
    </w:p>
    <w:p w14:paraId="136D139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(6)按照合同约定应退还的质量保证金；</w:t>
      </w:r>
    </w:p>
    <w:p w14:paraId="158E208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(7)因解除合同给承包人造成的损失。</w:t>
      </w:r>
    </w:p>
    <w:p w14:paraId="46DB535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910" w:name="_Toc29774"/>
      <w:bookmarkStart w:id="911" w:name="_Toc24248"/>
      <w:bookmarkStart w:id="912" w:name="_Toc18602"/>
      <w:bookmarkStart w:id="913" w:name="_Toc9433"/>
      <w:bookmarkStart w:id="914" w:name="_Toc30362"/>
      <w:r>
        <w:rPr>
          <w:rFonts w:hint="eastAsia" w:ascii="宋体" w:hAnsi="宋体" w:eastAsia="宋体" w:cs="宋体"/>
          <w:b w:val="0"/>
          <w:bCs w:val="0"/>
          <w:snapToGrid/>
          <w:color w:val="auto"/>
          <w:kern w:val="2"/>
          <w:sz w:val="21"/>
          <w:szCs w:val="21"/>
          <w:highlight w:val="none"/>
        </w:rPr>
        <w:t>合同当事人未能就解除合同后的结清达成一致的，按照第20条〔争议解决〕的约定处理。</w:t>
      </w:r>
      <w:bookmarkEnd w:id="910"/>
      <w:bookmarkEnd w:id="911"/>
      <w:bookmarkEnd w:id="912"/>
      <w:bookmarkEnd w:id="913"/>
      <w:bookmarkEnd w:id="914"/>
    </w:p>
    <w:p w14:paraId="7F88A36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承包人应妥善做好已完工程和与工程有关的已购材料、工程设备的保护和移交工作，并将施工设备和人员撤出施工现场，发包人应为承包人撤出提供必要条件。</w:t>
      </w:r>
    </w:p>
    <w:p w14:paraId="0C7D581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915" w:name="_bookmark127"/>
      <w:bookmarkEnd w:id="915"/>
      <w:bookmarkStart w:id="916" w:name="_Toc26149"/>
      <w:bookmarkStart w:id="917" w:name="_Toc11376"/>
      <w:bookmarkStart w:id="918" w:name="_Toc24618"/>
      <w:bookmarkStart w:id="919" w:name="_Toc20635"/>
      <w:bookmarkStart w:id="920" w:name="_Toc2950"/>
      <w:r>
        <w:rPr>
          <w:rFonts w:hint="eastAsia" w:ascii="宋体" w:hAnsi="宋体" w:eastAsia="宋体" w:cs="宋体"/>
          <w:b w:val="0"/>
          <w:bCs w:val="0"/>
          <w:snapToGrid/>
          <w:color w:val="auto"/>
          <w:kern w:val="2"/>
          <w:sz w:val="21"/>
          <w:szCs w:val="21"/>
          <w:highlight w:val="none"/>
        </w:rPr>
        <w:t>16.2承包人违约</w:t>
      </w:r>
      <w:bookmarkEnd w:id="916"/>
      <w:bookmarkEnd w:id="917"/>
      <w:bookmarkEnd w:id="918"/>
      <w:bookmarkEnd w:id="919"/>
      <w:bookmarkEnd w:id="920"/>
    </w:p>
    <w:p w14:paraId="71D2FC4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16.2.1承包人违约的情形</w:t>
      </w:r>
    </w:p>
    <w:p w14:paraId="0A86A52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在合同履行过程中发生的下列情形，属于承包人违约：</w:t>
      </w:r>
    </w:p>
    <w:p w14:paraId="5AEDE5E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(1)承包人违反合同约定进行转包或违法分包的；</w:t>
      </w:r>
    </w:p>
    <w:p w14:paraId="0F61336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(2)承包人违反合同约定采购和使用不合格的材料和工程设备的；</w:t>
      </w:r>
    </w:p>
    <w:p w14:paraId="01E43F6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(3)因承包人原因导致工程质量不符合合同要求的；</w:t>
      </w:r>
    </w:p>
    <w:p w14:paraId="2377410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(4)承包人违反第8.9款〔材料与设备专用要求〕的约定，未经批准，私自将已按照合同约定进入施工现场的材料或设备撤离施工现场的；</w:t>
      </w:r>
    </w:p>
    <w:p w14:paraId="67A441E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(5)承包人未能按施工进度计划及时完成合同约定的工作，造成工期延误的；</w:t>
      </w:r>
    </w:p>
    <w:p w14:paraId="294C1B3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(6)承包人在缺陷责任期及保修期内，未能在合理期限对工程缺陷进行修复，或拒绝按发包人要求进行修复的；</w:t>
      </w:r>
    </w:p>
    <w:p w14:paraId="4CE57FE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(7)承包人明确表示或者以其行为表明不履行合同主要义务的；</w:t>
      </w:r>
    </w:p>
    <w:p w14:paraId="3BC1640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(8)承包人未能按照合同约定履行其他义务的。</w:t>
      </w:r>
    </w:p>
    <w:p w14:paraId="26CF66E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承包人发生除本项第(7)目约定以外的其他违约情况时，监理人可向承包人发出整改通知，要求其在指定的期限内改正。</w:t>
      </w:r>
    </w:p>
    <w:p w14:paraId="5B859A1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16.2.2承包人违约的责任</w:t>
      </w:r>
    </w:p>
    <w:p w14:paraId="29A617F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承包人应承担因其违约行为而增加的费用和(或)延误的工期。此外，合同当事人可在专用合同条款中另行约定承包人违约责任的承担方式和计算方法。</w:t>
      </w:r>
    </w:p>
    <w:p w14:paraId="16DAACD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16.2.3因承包人违约解除合同</w:t>
      </w:r>
    </w:p>
    <w:p w14:paraId="51914E4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6000E5E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16.2.4因承包人违约解除合同后的处理</w:t>
      </w:r>
    </w:p>
    <w:p w14:paraId="04D7DD2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因承包人原因导致合同解除的，则合同当事人应在合同解除后28天内完成估价、付款和清算，并按以下约定执行：</w:t>
      </w:r>
    </w:p>
    <w:p w14:paraId="248A2BB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(1)合同解除后，按第4.4款〔商定或确定〕商定或确定承包人实际完成工作对应的合同价款，以及承包人已提供的材料、工程设备、施工设备和临时工程等的价值；</w:t>
      </w:r>
    </w:p>
    <w:p w14:paraId="770C919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(2)合同解除后，承包人应支付的违约金；</w:t>
      </w:r>
    </w:p>
    <w:p w14:paraId="466F60B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(3)合同解除后，因解除合同给发包人造成的损失；</w:t>
      </w:r>
    </w:p>
    <w:p w14:paraId="1B98A8D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(4)合同解除后，承包人应按照发包人要求和监理人的指示完成现场的清理和撤离；</w:t>
      </w:r>
    </w:p>
    <w:p w14:paraId="2D8048F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(5)发包人和承包人应在合同解除后进行清算，出具最终结清付款证书，结清全部款项。</w:t>
      </w:r>
    </w:p>
    <w:p w14:paraId="59A1C63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6B2F1A2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16.2.5采购合同权益转让</w:t>
      </w:r>
    </w:p>
    <w:p w14:paraId="7C49091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53D5818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921" w:name="_bookmark128"/>
      <w:bookmarkEnd w:id="921"/>
      <w:bookmarkStart w:id="922" w:name="_Toc19441"/>
      <w:bookmarkStart w:id="923" w:name="_Toc7720"/>
      <w:bookmarkStart w:id="924" w:name="_Toc6924"/>
      <w:bookmarkStart w:id="925" w:name="_Toc11202"/>
      <w:bookmarkStart w:id="926" w:name="_Toc14121"/>
      <w:r>
        <w:rPr>
          <w:rFonts w:hint="eastAsia" w:ascii="宋体" w:hAnsi="宋体" w:eastAsia="宋体" w:cs="宋体"/>
          <w:b w:val="0"/>
          <w:bCs w:val="0"/>
          <w:snapToGrid/>
          <w:color w:val="auto"/>
          <w:kern w:val="2"/>
          <w:sz w:val="21"/>
          <w:szCs w:val="21"/>
          <w:highlight w:val="none"/>
        </w:rPr>
        <w:t>16.3第三人造成的违约</w:t>
      </w:r>
      <w:bookmarkEnd w:id="922"/>
      <w:bookmarkEnd w:id="923"/>
      <w:bookmarkEnd w:id="924"/>
      <w:bookmarkEnd w:id="925"/>
      <w:bookmarkEnd w:id="926"/>
    </w:p>
    <w:p w14:paraId="18DCBA5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在履行合同过程中，一方当事人因第三人的原因造成违约的，应当向对方当事人承担违约责任。一方当事人和第三人之间的纠纷，依照法律规定或者按照约定解决。</w:t>
      </w:r>
    </w:p>
    <w:p w14:paraId="41F8F218">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927" w:name="_bookmark129"/>
      <w:bookmarkEnd w:id="927"/>
      <w:bookmarkStart w:id="928" w:name="_Toc17465"/>
      <w:bookmarkStart w:id="929" w:name="_Toc12978"/>
      <w:bookmarkStart w:id="930" w:name="_Toc15960"/>
      <w:bookmarkStart w:id="931" w:name="_Toc13287"/>
      <w:bookmarkStart w:id="932" w:name="_Toc9931"/>
      <w:r>
        <w:rPr>
          <w:rFonts w:hint="eastAsia" w:ascii="宋体" w:hAnsi="宋体" w:eastAsia="宋体" w:cs="宋体"/>
          <w:snapToGrid/>
          <w:color w:val="auto"/>
          <w:kern w:val="2"/>
          <w:sz w:val="21"/>
          <w:szCs w:val="21"/>
          <w:highlight w:val="none"/>
        </w:rPr>
        <w:t>17.不可抗力</w:t>
      </w:r>
      <w:bookmarkEnd w:id="928"/>
      <w:bookmarkEnd w:id="929"/>
      <w:bookmarkEnd w:id="930"/>
      <w:bookmarkEnd w:id="931"/>
      <w:bookmarkEnd w:id="932"/>
    </w:p>
    <w:p w14:paraId="4E74006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933" w:name="_bookmark130"/>
      <w:bookmarkEnd w:id="933"/>
      <w:bookmarkStart w:id="934" w:name="_Toc25550"/>
      <w:bookmarkStart w:id="935" w:name="_Toc10535"/>
      <w:bookmarkStart w:id="936" w:name="_Toc25166"/>
      <w:bookmarkStart w:id="937" w:name="_Toc21937"/>
      <w:bookmarkStart w:id="938" w:name="_Toc20829"/>
      <w:r>
        <w:rPr>
          <w:rFonts w:hint="eastAsia" w:ascii="宋体" w:hAnsi="宋体" w:eastAsia="宋体" w:cs="宋体"/>
          <w:b w:val="0"/>
          <w:bCs w:val="0"/>
          <w:snapToGrid/>
          <w:color w:val="auto"/>
          <w:kern w:val="2"/>
          <w:sz w:val="21"/>
          <w:szCs w:val="21"/>
          <w:highlight w:val="none"/>
        </w:rPr>
        <w:t>17.1不可抗力的确认</w:t>
      </w:r>
      <w:bookmarkEnd w:id="934"/>
      <w:bookmarkEnd w:id="935"/>
      <w:bookmarkEnd w:id="936"/>
      <w:bookmarkEnd w:id="937"/>
      <w:bookmarkEnd w:id="938"/>
    </w:p>
    <w:p w14:paraId="0388D17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600DF3A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w:t>
      </w:r>
      <w:bookmarkStart w:id="939" w:name="_bookmark131"/>
      <w:bookmarkEnd w:id="939"/>
      <w:r>
        <w:rPr>
          <w:rFonts w:hint="eastAsia" w:ascii="宋体" w:hAnsi="宋体" w:eastAsia="宋体" w:cs="宋体"/>
          <w:b w:val="0"/>
          <w:bCs w:val="0"/>
          <w:snapToGrid/>
          <w:color w:val="auto"/>
          <w:kern w:val="2"/>
          <w:sz w:val="21"/>
          <w:szCs w:val="21"/>
          <w:highlight w:val="none"/>
        </w:rPr>
        <w:t>20条〔争议解决〕的约定处理。</w:t>
      </w:r>
    </w:p>
    <w:p w14:paraId="23C2F87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940" w:name="_Toc18395"/>
      <w:bookmarkStart w:id="941" w:name="_Toc4451"/>
      <w:bookmarkStart w:id="942" w:name="_Toc13113"/>
      <w:bookmarkStart w:id="943" w:name="_Toc19259"/>
      <w:bookmarkStart w:id="944" w:name="_Toc30348"/>
      <w:r>
        <w:rPr>
          <w:rFonts w:hint="eastAsia" w:ascii="宋体" w:hAnsi="宋体" w:eastAsia="宋体" w:cs="宋体"/>
          <w:b w:val="0"/>
          <w:bCs w:val="0"/>
          <w:snapToGrid/>
          <w:color w:val="auto"/>
          <w:kern w:val="2"/>
          <w:sz w:val="21"/>
          <w:szCs w:val="21"/>
          <w:highlight w:val="none"/>
        </w:rPr>
        <w:t>17.2不可抗力的通知</w:t>
      </w:r>
      <w:bookmarkEnd w:id="940"/>
      <w:bookmarkEnd w:id="941"/>
      <w:bookmarkEnd w:id="942"/>
      <w:bookmarkEnd w:id="943"/>
      <w:bookmarkEnd w:id="944"/>
    </w:p>
    <w:p w14:paraId="28F22F0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合同一方当事人遇到不可抗力事件，使其履行合同义务受到阻碍时，应立即通知合同另一方当事人和监理人，书面说明不可抗力和受阻碍的详细情况，并提供必要的证明。</w:t>
      </w:r>
    </w:p>
    <w:p w14:paraId="6B841AF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不可抗力持续发生的，合同一方当事人应及时向合同另一方当事人和监理人提交中间报告，说明不可抗力和履行合同受阻的情况，并于不可抗力事件结束后28天内</w:t>
      </w:r>
      <w:bookmarkStart w:id="945" w:name="_bookmark132"/>
      <w:bookmarkEnd w:id="945"/>
      <w:r>
        <w:rPr>
          <w:rFonts w:hint="eastAsia" w:ascii="宋体" w:hAnsi="宋体" w:eastAsia="宋体" w:cs="宋体"/>
          <w:b w:val="0"/>
          <w:bCs w:val="0"/>
          <w:snapToGrid/>
          <w:color w:val="auto"/>
          <w:kern w:val="2"/>
          <w:sz w:val="21"/>
          <w:szCs w:val="21"/>
          <w:highlight w:val="none"/>
        </w:rPr>
        <w:t>提交最终报告及有关资料。</w:t>
      </w:r>
    </w:p>
    <w:p w14:paraId="00FDF8E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946" w:name="_Toc2846"/>
      <w:bookmarkStart w:id="947" w:name="_Toc32029"/>
      <w:bookmarkStart w:id="948" w:name="_Toc31125"/>
      <w:bookmarkStart w:id="949" w:name="_Toc24930"/>
      <w:bookmarkStart w:id="950" w:name="_Toc21174"/>
      <w:r>
        <w:rPr>
          <w:rFonts w:hint="eastAsia" w:ascii="宋体" w:hAnsi="宋体" w:eastAsia="宋体" w:cs="宋体"/>
          <w:b w:val="0"/>
          <w:bCs w:val="0"/>
          <w:snapToGrid/>
          <w:color w:val="auto"/>
          <w:kern w:val="2"/>
          <w:sz w:val="21"/>
          <w:szCs w:val="21"/>
          <w:highlight w:val="none"/>
        </w:rPr>
        <w:t>17.3不可抗力后果的承担</w:t>
      </w:r>
      <w:bookmarkEnd w:id="946"/>
      <w:bookmarkEnd w:id="947"/>
      <w:bookmarkEnd w:id="948"/>
      <w:bookmarkEnd w:id="949"/>
      <w:bookmarkEnd w:id="950"/>
    </w:p>
    <w:p w14:paraId="4E27A90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17.3.1不可抗力引起的后果及造成的损失由合同当事人按照法律规定及合同约定各自承担。不可抗力发生前已完成的工程应当按照合同约定进行计量支付。</w:t>
      </w:r>
    </w:p>
    <w:p w14:paraId="6A37246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17.3.2不可抗力导致的人员伤亡、财产损失、费用增加和(或)工期延误等后果，由合同当事人按以下原则承担：</w:t>
      </w:r>
    </w:p>
    <w:p w14:paraId="7623E1F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(1)永久工程、已运至施工现场的材料和工程设备的损坏，以及因工程损坏造成的第三人人员伤亡和财产损失由发包人承担；</w:t>
      </w:r>
    </w:p>
    <w:p w14:paraId="42D9A3C2">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(2)承包人施工设备的损坏由承包人承担；</w:t>
      </w:r>
    </w:p>
    <w:p w14:paraId="7AD35BE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(3)发包人和承包人承担各自人员伤亡和财产的损失；</w:t>
      </w:r>
    </w:p>
    <w:p w14:paraId="097B104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10CB6E8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(5)因不可抗力引起或将引起工期延误，发包人要求赶工的，由此增加的赶工费用由发包人承担；</w:t>
      </w:r>
    </w:p>
    <w:p w14:paraId="15FE539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(6)承包人在停工期间按照发包人要求照管、清理和修复工程的费用由发包人承担。</w:t>
      </w:r>
    </w:p>
    <w:p w14:paraId="07FD564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不可抗力发生后，合同当事人均应采取措施尽量避免和减少损失的扩大，任何一方当事人没有采取有效措施导致损失扩大的，应对扩大的损失承担责任。</w:t>
      </w:r>
    </w:p>
    <w:p w14:paraId="43FEF9E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951" w:name="_Toc18036"/>
      <w:bookmarkStart w:id="952" w:name="_Toc29284"/>
      <w:bookmarkStart w:id="953" w:name="_Toc30610"/>
      <w:bookmarkStart w:id="954" w:name="_Toc8841"/>
      <w:bookmarkStart w:id="955" w:name="_Toc27745"/>
      <w:r>
        <w:rPr>
          <w:rFonts w:hint="eastAsia" w:ascii="宋体" w:hAnsi="宋体" w:eastAsia="宋体" w:cs="宋体"/>
          <w:b w:val="0"/>
          <w:bCs w:val="0"/>
          <w:snapToGrid/>
          <w:color w:val="auto"/>
          <w:kern w:val="2"/>
          <w:sz w:val="21"/>
          <w:szCs w:val="21"/>
          <w:highlight w:val="none"/>
        </w:rPr>
        <w:t>因合同一方迟延履行合同义务，在迟延履行期间遭遇不可抗力的，不免除其违约责任。</w:t>
      </w:r>
      <w:bookmarkEnd w:id="951"/>
      <w:bookmarkEnd w:id="952"/>
      <w:bookmarkEnd w:id="953"/>
      <w:bookmarkEnd w:id="954"/>
      <w:bookmarkEnd w:id="955"/>
    </w:p>
    <w:p w14:paraId="142015F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956" w:name="_bookmark133"/>
      <w:bookmarkEnd w:id="956"/>
      <w:bookmarkStart w:id="957" w:name="_Toc22795"/>
      <w:bookmarkStart w:id="958" w:name="_Toc11973"/>
      <w:bookmarkStart w:id="959" w:name="_Toc23235"/>
      <w:bookmarkStart w:id="960" w:name="_Toc2501"/>
      <w:bookmarkStart w:id="961" w:name="_Toc26975"/>
      <w:r>
        <w:rPr>
          <w:rFonts w:hint="eastAsia" w:ascii="宋体" w:hAnsi="宋体" w:eastAsia="宋体" w:cs="宋体"/>
          <w:b w:val="0"/>
          <w:bCs w:val="0"/>
          <w:snapToGrid/>
          <w:color w:val="auto"/>
          <w:kern w:val="2"/>
          <w:sz w:val="21"/>
          <w:szCs w:val="21"/>
          <w:highlight w:val="none"/>
        </w:rPr>
        <w:t>17.4因不可抗力解除合同</w:t>
      </w:r>
      <w:bookmarkEnd w:id="957"/>
      <w:bookmarkEnd w:id="958"/>
      <w:bookmarkEnd w:id="959"/>
      <w:bookmarkEnd w:id="960"/>
      <w:bookmarkEnd w:id="961"/>
    </w:p>
    <w:p w14:paraId="4A4E3C1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1346E5D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(1)合同解除前承包人已完成工作的价款；</w:t>
      </w:r>
    </w:p>
    <w:p w14:paraId="6A37E4D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(2)承包人为工程订购的并已交付给承包人，或承包人有责任接受交付的材料、工程设备和其他物品的价款；</w:t>
      </w:r>
    </w:p>
    <w:p w14:paraId="3F63129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(3)发包人要求承包人退货或解除订货合同而产生的费用，或因不能退货或解除合同而产生的损失；</w:t>
      </w:r>
    </w:p>
    <w:p w14:paraId="004DC12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(4)承包人撤离施工现场以及遣散承包人人员的费用；</w:t>
      </w:r>
    </w:p>
    <w:p w14:paraId="1A484BB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(5)按照合同约定在合同解除前应支付给承包人的其他款项；</w:t>
      </w:r>
    </w:p>
    <w:p w14:paraId="5587486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(6)扣减承包人按照合同约定应向发包人支付的款项；</w:t>
      </w:r>
    </w:p>
    <w:p w14:paraId="455525E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(7)双方商定或确定的其他款项。</w:t>
      </w:r>
    </w:p>
    <w:p w14:paraId="6E64B68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除专用合同条款另有约定外，合同解除后，发包人应在商定或确定上述款项后28天内完成上述款项的支付。</w:t>
      </w:r>
    </w:p>
    <w:p w14:paraId="79382E60">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962" w:name="_bookmark134"/>
      <w:bookmarkEnd w:id="962"/>
      <w:bookmarkStart w:id="963" w:name="_Toc30913"/>
      <w:bookmarkStart w:id="964" w:name="_Toc24481"/>
      <w:bookmarkStart w:id="965" w:name="_Toc111"/>
      <w:bookmarkStart w:id="966" w:name="_Toc7039"/>
      <w:bookmarkStart w:id="967" w:name="_Toc27243"/>
      <w:r>
        <w:rPr>
          <w:rFonts w:hint="eastAsia" w:ascii="宋体" w:hAnsi="宋体" w:eastAsia="宋体" w:cs="宋体"/>
          <w:snapToGrid/>
          <w:color w:val="auto"/>
          <w:kern w:val="2"/>
          <w:sz w:val="21"/>
          <w:szCs w:val="21"/>
          <w:highlight w:val="none"/>
        </w:rPr>
        <w:t>18.保险</w:t>
      </w:r>
      <w:bookmarkEnd w:id="963"/>
      <w:bookmarkEnd w:id="964"/>
      <w:bookmarkEnd w:id="965"/>
      <w:bookmarkEnd w:id="966"/>
      <w:bookmarkEnd w:id="967"/>
    </w:p>
    <w:p w14:paraId="4BC5279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968" w:name="_bookmark135"/>
      <w:bookmarkEnd w:id="968"/>
      <w:bookmarkStart w:id="969" w:name="_Toc11627"/>
      <w:bookmarkStart w:id="970" w:name="_Toc22029"/>
      <w:bookmarkStart w:id="971" w:name="_Toc9857"/>
      <w:bookmarkStart w:id="972" w:name="_Toc17758"/>
      <w:bookmarkStart w:id="973" w:name="_Toc833"/>
      <w:r>
        <w:rPr>
          <w:rFonts w:hint="eastAsia" w:ascii="宋体" w:hAnsi="宋体" w:eastAsia="宋体" w:cs="宋体"/>
          <w:b w:val="0"/>
          <w:bCs w:val="0"/>
          <w:snapToGrid/>
          <w:color w:val="auto"/>
          <w:kern w:val="2"/>
          <w:sz w:val="21"/>
          <w:szCs w:val="21"/>
          <w:highlight w:val="none"/>
        </w:rPr>
        <w:t>18.1工程保险</w:t>
      </w:r>
      <w:bookmarkEnd w:id="969"/>
      <w:bookmarkEnd w:id="970"/>
      <w:bookmarkEnd w:id="971"/>
      <w:bookmarkEnd w:id="972"/>
      <w:bookmarkEnd w:id="973"/>
    </w:p>
    <w:p w14:paraId="2E04E79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除专用合同条款另有约定外，发包人应投保建筑工程一切险或安装工程一切险；发包人委托承包人投保的，因投保产生的保险费和其他相关费用由发包人承担。</w:t>
      </w:r>
    </w:p>
    <w:p w14:paraId="5395400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974" w:name="_bookmark136"/>
      <w:bookmarkEnd w:id="974"/>
      <w:bookmarkStart w:id="975" w:name="_Toc25385"/>
      <w:bookmarkStart w:id="976" w:name="_Toc31610"/>
      <w:bookmarkStart w:id="977" w:name="_Toc17623"/>
      <w:bookmarkStart w:id="978" w:name="_Toc2610"/>
      <w:bookmarkStart w:id="979" w:name="_Toc598"/>
      <w:r>
        <w:rPr>
          <w:rFonts w:hint="eastAsia" w:ascii="宋体" w:hAnsi="宋体" w:eastAsia="宋体" w:cs="宋体"/>
          <w:b w:val="0"/>
          <w:bCs w:val="0"/>
          <w:snapToGrid/>
          <w:color w:val="auto"/>
          <w:kern w:val="2"/>
          <w:sz w:val="21"/>
          <w:szCs w:val="21"/>
          <w:highlight w:val="none"/>
        </w:rPr>
        <w:t>18.2工伤保险</w:t>
      </w:r>
      <w:bookmarkEnd w:id="975"/>
      <w:bookmarkEnd w:id="976"/>
      <w:bookmarkEnd w:id="977"/>
      <w:bookmarkEnd w:id="978"/>
      <w:bookmarkEnd w:id="979"/>
    </w:p>
    <w:p w14:paraId="4A7AE52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18.2.1发包人应依照法律规定参加工伤保险，并为在施工现场的全部员工办理工伤保险，缴纳工伤保险费，并要求监理人及由发包人为履行合同聘请的第三方依法参加工伤保险。</w:t>
      </w:r>
    </w:p>
    <w:p w14:paraId="7F5731F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18.2.2承包人应依照法律规定参加工伤保险，并为其履行合同的全部员工办理工伤保险，缴纳工伤保险费，并要求分包人及由承包人为履行合同聘请的第三方依法参</w:t>
      </w:r>
      <w:bookmarkStart w:id="980" w:name="_bookmark137"/>
      <w:bookmarkEnd w:id="980"/>
      <w:r>
        <w:rPr>
          <w:rFonts w:hint="eastAsia" w:ascii="宋体" w:hAnsi="宋体" w:eastAsia="宋体" w:cs="宋体"/>
          <w:b w:val="0"/>
          <w:bCs w:val="0"/>
          <w:snapToGrid/>
          <w:color w:val="auto"/>
          <w:kern w:val="2"/>
          <w:sz w:val="21"/>
          <w:szCs w:val="21"/>
          <w:highlight w:val="none"/>
        </w:rPr>
        <w:t>加工伤保险。</w:t>
      </w:r>
    </w:p>
    <w:p w14:paraId="262B05C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981" w:name="_Toc29276"/>
      <w:bookmarkStart w:id="982" w:name="_Toc26240"/>
      <w:bookmarkStart w:id="983" w:name="_Toc1185"/>
      <w:bookmarkStart w:id="984" w:name="_Toc23016"/>
      <w:bookmarkStart w:id="985" w:name="_Toc1102"/>
      <w:r>
        <w:rPr>
          <w:rFonts w:hint="eastAsia" w:ascii="宋体" w:hAnsi="宋体" w:eastAsia="宋体" w:cs="宋体"/>
          <w:b w:val="0"/>
          <w:bCs w:val="0"/>
          <w:snapToGrid/>
          <w:color w:val="auto"/>
          <w:kern w:val="2"/>
          <w:sz w:val="21"/>
          <w:szCs w:val="21"/>
          <w:highlight w:val="none"/>
        </w:rPr>
        <w:t>18.3其他保险</w:t>
      </w:r>
      <w:bookmarkEnd w:id="981"/>
      <w:bookmarkEnd w:id="982"/>
      <w:bookmarkEnd w:id="983"/>
      <w:bookmarkEnd w:id="984"/>
      <w:bookmarkEnd w:id="985"/>
    </w:p>
    <w:p w14:paraId="14843DF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承包人须为其施工现场的全部人员办理意外伤害保险并支付保险费，包括其员工及为履行合同聘请的第三方的人员，具体事项由合同当事人在专用合同条款约定。除专用合同条款另有约定外，承包人应为其施工设备等办理财产保险。</w:t>
      </w:r>
    </w:p>
    <w:p w14:paraId="3C24C60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986" w:name="_bookmark138"/>
      <w:bookmarkEnd w:id="986"/>
      <w:bookmarkStart w:id="987" w:name="_Toc8080"/>
      <w:bookmarkStart w:id="988" w:name="_Toc15028"/>
      <w:bookmarkStart w:id="989" w:name="_Toc10811"/>
      <w:bookmarkStart w:id="990" w:name="_Toc2632"/>
      <w:bookmarkStart w:id="991" w:name="_Toc28977"/>
      <w:r>
        <w:rPr>
          <w:rFonts w:hint="eastAsia" w:ascii="宋体" w:hAnsi="宋体" w:eastAsia="宋体" w:cs="宋体"/>
          <w:b w:val="0"/>
          <w:bCs w:val="0"/>
          <w:snapToGrid/>
          <w:color w:val="auto"/>
          <w:kern w:val="2"/>
          <w:sz w:val="21"/>
          <w:szCs w:val="21"/>
          <w:highlight w:val="none"/>
        </w:rPr>
        <w:t>18.4持续保险</w:t>
      </w:r>
      <w:bookmarkEnd w:id="987"/>
      <w:bookmarkEnd w:id="988"/>
      <w:bookmarkEnd w:id="989"/>
      <w:bookmarkEnd w:id="990"/>
      <w:bookmarkEnd w:id="991"/>
    </w:p>
    <w:p w14:paraId="1742BA1C">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合同当事人应与保险人保持联系，使保险人能够随时了解工程实施中的变动，并</w:t>
      </w:r>
      <w:bookmarkStart w:id="992" w:name="_bookmark139"/>
      <w:bookmarkEnd w:id="992"/>
      <w:r>
        <w:rPr>
          <w:rFonts w:hint="eastAsia" w:ascii="宋体" w:hAnsi="宋体" w:eastAsia="宋体" w:cs="宋体"/>
          <w:b w:val="0"/>
          <w:bCs w:val="0"/>
          <w:snapToGrid/>
          <w:color w:val="auto"/>
          <w:kern w:val="2"/>
          <w:sz w:val="21"/>
          <w:szCs w:val="21"/>
          <w:highlight w:val="none"/>
        </w:rPr>
        <w:t>确保按保险合同条款要求持续保险。</w:t>
      </w:r>
    </w:p>
    <w:p w14:paraId="265459B3">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993" w:name="_Toc11827"/>
      <w:bookmarkStart w:id="994" w:name="_Toc13371"/>
      <w:bookmarkStart w:id="995" w:name="_Toc15213"/>
      <w:bookmarkStart w:id="996" w:name="_Toc22858"/>
      <w:bookmarkStart w:id="997" w:name="_Toc11377"/>
      <w:r>
        <w:rPr>
          <w:rFonts w:hint="eastAsia" w:ascii="宋体" w:hAnsi="宋体" w:eastAsia="宋体" w:cs="宋体"/>
          <w:b w:val="0"/>
          <w:bCs w:val="0"/>
          <w:snapToGrid/>
          <w:color w:val="auto"/>
          <w:kern w:val="2"/>
          <w:sz w:val="21"/>
          <w:szCs w:val="21"/>
          <w:highlight w:val="none"/>
        </w:rPr>
        <w:t>18.5保险凭证</w:t>
      </w:r>
      <w:bookmarkEnd w:id="993"/>
      <w:bookmarkEnd w:id="994"/>
      <w:bookmarkEnd w:id="995"/>
      <w:bookmarkEnd w:id="996"/>
      <w:bookmarkEnd w:id="997"/>
    </w:p>
    <w:p w14:paraId="2C4CD4D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合同当事人应及时向另一方当事人提交其已投保的各项保险的凭证和保险单复</w:t>
      </w:r>
      <w:bookmarkStart w:id="998" w:name="_bookmark140"/>
      <w:bookmarkEnd w:id="998"/>
      <w:r>
        <w:rPr>
          <w:rFonts w:hint="eastAsia" w:ascii="宋体" w:hAnsi="宋体" w:eastAsia="宋体" w:cs="宋体"/>
          <w:b w:val="0"/>
          <w:bCs w:val="0"/>
          <w:snapToGrid/>
          <w:color w:val="auto"/>
          <w:kern w:val="2"/>
          <w:sz w:val="21"/>
          <w:szCs w:val="21"/>
          <w:highlight w:val="none"/>
        </w:rPr>
        <w:t>印件。</w:t>
      </w:r>
    </w:p>
    <w:p w14:paraId="1CCA2CF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999" w:name="_Toc17132"/>
      <w:bookmarkStart w:id="1000" w:name="_Toc16328"/>
      <w:bookmarkStart w:id="1001" w:name="_Toc5482"/>
      <w:bookmarkStart w:id="1002" w:name="_Toc12574"/>
      <w:bookmarkStart w:id="1003" w:name="_Toc27373"/>
      <w:r>
        <w:rPr>
          <w:rFonts w:hint="eastAsia" w:ascii="宋体" w:hAnsi="宋体" w:eastAsia="宋体" w:cs="宋体"/>
          <w:b w:val="0"/>
          <w:bCs w:val="0"/>
          <w:snapToGrid/>
          <w:color w:val="auto"/>
          <w:kern w:val="2"/>
          <w:sz w:val="21"/>
          <w:szCs w:val="21"/>
          <w:highlight w:val="none"/>
        </w:rPr>
        <w:t>18.6未按约定投保的补救</w:t>
      </w:r>
      <w:bookmarkEnd w:id="999"/>
      <w:bookmarkEnd w:id="1000"/>
      <w:bookmarkEnd w:id="1001"/>
      <w:bookmarkEnd w:id="1002"/>
      <w:bookmarkEnd w:id="1003"/>
    </w:p>
    <w:p w14:paraId="0BD4D986">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18.6.1发包人未按合同约定办理保险，或未能使保险持续有效的，则承包人可代为办理，所需费用由发包人承担。发包人未按合同约定办理保险，导致未能得到足额赔偿的，由发包人负责补足。</w:t>
      </w:r>
    </w:p>
    <w:p w14:paraId="3E436EB5">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18.6.2承包人未按合同约定办理保险，或未能使保险持续有效的，则发包人可代为办理，所需费用由承包人承担。承包人未按合同约定办理保险，导致未能得到足额</w:t>
      </w:r>
      <w:bookmarkStart w:id="1004" w:name="_bookmark141"/>
      <w:bookmarkEnd w:id="1004"/>
      <w:r>
        <w:rPr>
          <w:rFonts w:hint="eastAsia" w:ascii="宋体" w:hAnsi="宋体" w:eastAsia="宋体" w:cs="宋体"/>
          <w:b w:val="0"/>
          <w:bCs w:val="0"/>
          <w:snapToGrid/>
          <w:color w:val="auto"/>
          <w:kern w:val="2"/>
          <w:sz w:val="21"/>
          <w:szCs w:val="21"/>
          <w:highlight w:val="none"/>
        </w:rPr>
        <w:t>赔偿的，由承包人负责补足。</w:t>
      </w:r>
    </w:p>
    <w:p w14:paraId="16C7065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1005" w:name="_Toc12529"/>
      <w:bookmarkStart w:id="1006" w:name="_Toc3985"/>
      <w:bookmarkStart w:id="1007" w:name="_Toc2906"/>
      <w:bookmarkStart w:id="1008" w:name="_Toc21015"/>
      <w:bookmarkStart w:id="1009" w:name="_Toc19491"/>
      <w:r>
        <w:rPr>
          <w:rFonts w:hint="eastAsia" w:ascii="宋体" w:hAnsi="宋体" w:eastAsia="宋体" w:cs="宋体"/>
          <w:b w:val="0"/>
          <w:bCs w:val="0"/>
          <w:snapToGrid/>
          <w:color w:val="auto"/>
          <w:kern w:val="2"/>
          <w:sz w:val="21"/>
          <w:szCs w:val="21"/>
          <w:highlight w:val="none"/>
        </w:rPr>
        <w:t>18.7通知义务</w:t>
      </w:r>
      <w:bookmarkEnd w:id="1005"/>
      <w:bookmarkEnd w:id="1006"/>
      <w:bookmarkEnd w:id="1007"/>
      <w:bookmarkEnd w:id="1008"/>
      <w:bookmarkEnd w:id="1009"/>
    </w:p>
    <w:p w14:paraId="762A247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54CFB85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保险事故发生时，投保人应按照保险合同规定的条件和期限及时向保险人报告。发包人和承包人应当在知道保险事故发生后及时通知对方。</w:t>
      </w:r>
    </w:p>
    <w:p w14:paraId="226F6DD2">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1010" w:name="_bookmark142"/>
      <w:bookmarkEnd w:id="1010"/>
      <w:bookmarkStart w:id="1011" w:name="_Toc8721"/>
      <w:bookmarkStart w:id="1012" w:name="_Toc7060"/>
      <w:bookmarkStart w:id="1013" w:name="_Toc29714"/>
      <w:bookmarkStart w:id="1014" w:name="_Toc8712"/>
      <w:bookmarkStart w:id="1015" w:name="_Toc28620"/>
      <w:r>
        <w:rPr>
          <w:rFonts w:hint="eastAsia" w:ascii="宋体" w:hAnsi="宋体" w:eastAsia="宋体" w:cs="宋体"/>
          <w:snapToGrid/>
          <w:color w:val="auto"/>
          <w:kern w:val="2"/>
          <w:sz w:val="21"/>
          <w:szCs w:val="21"/>
          <w:highlight w:val="none"/>
        </w:rPr>
        <w:t>19.索赔</w:t>
      </w:r>
      <w:bookmarkEnd w:id="1011"/>
      <w:bookmarkEnd w:id="1012"/>
      <w:bookmarkEnd w:id="1013"/>
      <w:bookmarkEnd w:id="1014"/>
      <w:bookmarkEnd w:id="1015"/>
    </w:p>
    <w:p w14:paraId="20BC0F0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1016" w:name="_bookmark143"/>
      <w:bookmarkEnd w:id="1016"/>
      <w:bookmarkStart w:id="1017" w:name="_Toc4891"/>
      <w:bookmarkStart w:id="1018" w:name="_Toc4006"/>
      <w:bookmarkStart w:id="1019" w:name="_Toc6481"/>
      <w:bookmarkStart w:id="1020" w:name="_Toc26974"/>
      <w:bookmarkStart w:id="1021" w:name="_Toc18811"/>
      <w:r>
        <w:rPr>
          <w:rFonts w:hint="eastAsia" w:ascii="宋体" w:hAnsi="宋体" w:eastAsia="宋体" w:cs="宋体"/>
          <w:b w:val="0"/>
          <w:bCs w:val="0"/>
          <w:snapToGrid/>
          <w:color w:val="auto"/>
          <w:kern w:val="2"/>
          <w:sz w:val="21"/>
          <w:szCs w:val="21"/>
          <w:highlight w:val="none"/>
        </w:rPr>
        <w:t>19.1承包人的索赔</w:t>
      </w:r>
      <w:bookmarkEnd w:id="1017"/>
      <w:bookmarkEnd w:id="1018"/>
      <w:bookmarkEnd w:id="1019"/>
      <w:bookmarkEnd w:id="1020"/>
      <w:bookmarkEnd w:id="1021"/>
    </w:p>
    <w:p w14:paraId="4BDDE04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根据合同约定，承包人认为有权得到追加付款和(或)延长工期的，应按以下程序向发包人提出索赔：</w:t>
      </w:r>
    </w:p>
    <w:p w14:paraId="011E68A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69F59A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4B2CAD01">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(3)索赔事件具有持续影响的，承包人应按合理时间间隔继续递交延续索赔通知，说明持续影响的实际情况和记录，列出累计的追加付款金额和(或)工期延长天数；</w:t>
      </w:r>
    </w:p>
    <w:p w14:paraId="6695EACB">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(4)在索赔事件影响结束后28天内，承包人应向监理人递交最终索赔报告，说明最终要求索赔的追加付款金额和(或)延长的工期，并附必要的记录和证明材料。</w:t>
      </w:r>
    </w:p>
    <w:p w14:paraId="7624D1CA">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1022" w:name="_bookmark144"/>
      <w:bookmarkEnd w:id="1022"/>
      <w:bookmarkStart w:id="1023" w:name="_Toc28700"/>
      <w:bookmarkStart w:id="1024" w:name="_Toc24500"/>
      <w:bookmarkStart w:id="1025" w:name="_Toc3220"/>
      <w:bookmarkStart w:id="1026" w:name="_Toc23330"/>
      <w:bookmarkStart w:id="1027" w:name="_Toc20926"/>
      <w:r>
        <w:rPr>
          <w:rFonts w:hint="eastAsia" w:ascii="宋体" w:hAnsi="宋体" w:eastAsia="宋体" w:cs="宋体"/>
          <w:b w:val="0"/>
          <w:bCs w:val="0"/>
          <w:snapToGrid/>
          <w:color w:val="auto"/>
          <w:kern w:val="2"/>
          <w:sz w:val="21"/>
          <w:szCs w:val="21"/>
          <w:highlight w:val="none"/>
        </w:rPr>
        <w:t>19.2对承包人索赔的处理</w:t>
      </w:r>
      <w:bookmarkEnd w:id="1023"/>
      <w:bookmarkEnd w:id="1024"/>
      <w:bookmarkEnd w:id="1025"/>
      <w:bookmarkEnd w:id="1026"/>
      <w:bookmarkEnd w:id="1027"/>
    </w:p>
    <w:p w14:paraId="3A3578EF">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对承包人索赔的处理如下：</w:t>
      </w:r>
    </w:p>
    <w:p w14:paraId="1C38CF8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(1)监理人应在收到索赔报告后14天内完成审查并报送发包人。监理人对索赔报告存在异议的，有权要求承包人提交全部原始记录副本；</w:t>
      </w:r>
    </w:p>
    <w:p w14:paraId="232D5C0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(2)发包人应在监理人收到索赔报告或有关索赔的进一步证明材料后的28天内，由监理人向承包人出具经发包人签认的索赔处理结果。发包人逾期答复的，则视为认可承包人的索赔要求；</w:t>
      </w:r>
    </w:p>
    <w:p w14:paraId="1EF4A54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(3)承包人接受索赔处理结果的，索赔款项在当期进度款中进行支付；承包人不接受索赔处理结果的，按照第20条〔争议解决〕约定处理。</w:t>
      </w:r>
    </w:p>
    <w:p w14:paraId="185597F9">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1028" w:name="_bookmark145"/>
      <w:bookmarkEnd w:id="1028"/>
      <w:bookmarkStart w:id="1029" w:name="_Toc12238"/>
      <w:bookmarkStart w:id="1030" w:name="_Toc18611"/>
      <w:bookmarkStart w:id="1031" w:name="_Toc26128"/>
      <w:bookmarkStart w:id="1032" w:name="_Toc6571"/>
      <w:bookmarkStart w:id="1033" w:name="_Toc24961"/>
      <w:r>
        <w:rPr>
          <w:rFonts w:hint="eastAsia" w:ascii="宋体" w:hAnsi="宋体" w:eastAsia="宋体" w:cs="宋体"/>
          <w:b w:val="0"/>
          <w:bCs w:val="0"/>
          <w:snapToGrid/>
          <w:color w:val="auto"/>
          <w:kern w:val="2"/>
          <w:sz w:val="21"/>
          <w:szCs w:val="21"/>
          <w:highlight w:val="none"/>
        </w:rPr>
        <w:t>19.3发包人的索赔</w:t>
      </w:r>
      <w:bookmarkEnd w:id="1029"/>
      <w:bookmarkEnd w:id="1030"/>
      <w:bookmarkEnd w:id="1031"/>
      <w:bookmarkEnd w:id="1032"/>
      <w:bookmarkEnd w:id="1033"/>
    </w:p>
    <w:p w14:paraId="64214E5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根据合同约定，发包人认为有权得到赔付金额和(或)延长缺陷责任期的，监理人应向承包人发出通知并附有详细的证明。</w:t>
      </w:r>
    </w:p>
    <w:p w14:paraId="45FE0C9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w:t>
      </w:r>
      <w:bookmarkStart w:id="1034" w:name="_bookmark146"/>
      <w:bookmarkEnd w:id="1034"/>
      <w:r>
        <w:rPr>
          <w:rFonts w:hint="eastAsia" w:ascii="宋体" w:hAnsi="宋体" w:eastAsia="宋体" w:cs="宋体"/>
          <w:b w:val="0"/>
          <w:bCs w:val="0"/>
          <w:snapToGrid/>
          <w:color w:val="auto"/>
          <w:kern w:val="2"/>
          <w:sz w:val="21"/>
          <w:szCs w:val="21"/>
          <w:highlight w:val="none"/>
        </w:rPr>
        <w:t>监理人向承包人正式递交索赔报告。</w:t>
      </w:r>
    </w:p>
    <w:p w14:paraId="403D8DF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1035" w:name="_Toc20449"/>
      <w:bookmarkStart w:id="1036" w:name="_Toc5559"/>
      <w:bookmarkStart w:id="1037" w:name="_Toc10362"/>
      <w:bookmarkStart w:id="1038" w:name="_Toc17372"/>
      <w:bookmarkStart w:id="1039" w:name="_Toc6402"/>
      <w:r>
        <w:rPr>
          <w:rFonts w:hint="eastAsia" w:ascii="宋体" w:hAnsi="宋体" w:eastAsia="宋体" w:cs="宋体"/>
          <w:b w:val="0"/>
          <w:bCs w:val="0"/>
          <w:snapToGrid/>
          <w:color w:val="auto"/>
          <w:kern w:val="2"/>
          <w:sz w:val="21"/>
          <w:szCs w:val="21"/>
          <w:highlight w:val="none"/>
        </w:rPr>
        <w:t>19.4对发包人索赔的处理</w:t>
      </w:r>
      <w:bookmarkEnd w:id="1035"/>
      <w:bookmarkEnd w:id="1036"/>
      <w:bookmarkEnd w:id="1037"/>
      <w:bookmarkEnd w:id="1038"/>
      <w:bookmarkEnd w:id="1039"/>
    </w:p>
    <w:p w14:paraId="5CFC77C8">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对发包人索赔的处理如下：</w:t>
      </w:r>
    </w:p>
    <w:p w14:paraId="7BC7397E">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(1)承包人收到发包人提交的索赔报告后，应及时审查索赔报告的内容、查验发包人证明材料；</w:t>
      </w:r>
    </w:p>
    <w:p w14:paraId="2BDDB7B7">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(2)承包人应在收到索赔报告或有关索赔的进一步证明材料后28天内，将索赔处理结果答复发包人。如果承包人未在上述期限内作出答复的，则视为对发包人索赔要求的认可；</w:t>
      </w:r>
    </w:p>
    <w:p w14:paraId="729C7D8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(3)承包人接受索赔处理结果的，发包人可从应支付给承包人的合同价款中扣除赔付的金额或延长缺陷责任期；发包人不接受索赔处理结果的，按第20条〔争议</w:t>
      </w:r>
      <w:bookmarkStart w:id="1040" w:name="_bookmark147"/>
      <w:bookmarkEnd w:id="1040"/>
      <w:r>
        <w:rPr>
          <w:rFonts w:hint="eastAsia" w:ascii="宋体" w:hAnsi="宋体" w:eastAsia="宋体" w:cs="宋体"/>
          <w:b w:val="0"/>
          <w:bCs w:val="0"/>
          <w:snapToGrid/>
          <w:color w:val="auto"/>
          <w:kern w:val="2"/>
          <w:sz w:val="21"/>
          <w:szCs w:val="21"/>
          <w:highlight w:val="none"/>
        </w:rPr>
        <w:t>解决〕约定处理。</w:t>
      </w:r>
    </w:p>
    <w:p w14:paraId="7363748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1041" w:name="_Toc12809"/>
      <w:bookmarkStart w:id="1042" w:name="_Toc25336"/>
      <w:bookmarkStart w:id="1043" w:name="_Toc20456"/>
      <w:bookmarkStart w:id="1044" w:name="_Toc23401"/>
      <w:bookmarkStart w:id="1045" w:name="_Toc2972"/>
      <w:r>
        <w:rPr>
          <w:rFonts w:hint="eastAsia" w:ascii="宋体" w:hAnsi="宋体" w:eastAsia="宋体" w:cs="宋体"/>
          <w:b w:val="0"/>
          <w:bCs w:val="0"/>
          <w:snapToGrid/>
          <w:color w:val="auto"/>
          <w:kern w:val="2"/>
          <w:sz w:val="21"/>
          <w:szCs w:val="21"/>
          <w:highlight w:val="none"/>
        </w:rPr>
        <w:t>19.5提出索赔的期限</w:t>
      </w:r>
      <w:bookmarkEnd w:id="1041"/>
      <w:bookmarkEnd w:id="1042"/>
      <w:bookmarkEnd w:id="1043"/>
      <w:bookmarkEnd w:id="1044"/>
      <w:bookmarkEnd w:id="1045"/>
    </w:p>
    <w:p w14:paraId="21BA9254">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(1)承包人按第14.2款〔竣工结算审核〕约定接收竣工付款证书后，应被视为已无权再提出在工程接收证书颁发前所发生的任何索赔。</w:t>
      </w:r>
    </w:p>
    <w:p w14:paraId="269A50A0">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(2)承包人按第14.4款〔最终结清〕提交的最终结清申请单中，只限于提出工程接收证书颁发后发生的索赔。提出索赔的期限自接受最终结清证书时终止。</w:t>
      </w:r>
    </w:p>
    <w:p w14:paraId="328288FC">
      <w:pPr>
        <w:pStyle w:val="3"/>
        <w:widowControl w:val="0"/>
        <w:kinsoku/>
        <w:autoSpaceDE/>
        <w:autoSpaceDN/>
        <w:adjustRightInd/>
        <w:snapToGrid/>
        <w:spacing w:before="120" w:after="120" w:line="360" w:lineRule="auto"/>
        <w:jc w:val="both"/>
        <w:textAlignment w:val="auto"/>
        <w:rPr>
          <w:rFonts w:ascii="宋体" w:hAnsi="宋体" w:eastAsia="宋体" w:cs="宋体"/>
          <w:snapToGrid/>
          <w:color w:val="auto"/>
          <w:kern w:val="2"/>
          <w:sz w:val="21"/>
          <w:szCs w:val="21"/>
          <w:highlight w:val="none"/>
        </w:rPr>
      </w:pPr>
      <w:bookmarkStart w:id="1046" w:name="_bookmark148"/>
      <w:bookmarkEnd w:id="1046"/>
      <w:bookmarkStart w:id="1047" w:name="_Toc10771"/>
      <w:bookmarkStart w:id="1048" w:name="_Toc16795"/>
      <w:bookmarkStart w:id="1049" w:name="_Toc12240"/>
      <w:bookmarkStart w:id="1050" w:name="_Toc31434"/>
      <w:bookmarkStart w:id="1051" w:name="_Toc16271"/>
      <w:r>
        <w:rPr>
          <w:rFonts w:hint="eastAsia" w:ascii="宋体" w:hAnsi="宋体" w:eastAsia="宋体" w:cs="宋体"/>
          <w:snapToGrid/>
          <w:color w:val="auto"/>
          <w:kern w:val="2"/>
          <w:sz w:val="21"/>
          <w:szCs w:val="21"/>
          <w:highlight w:val="none"/>
        </w:rPr>
        <w:t>20.争议解决</w:t>
      </w:r>
      <w:bookmarkEnd w:id="1047"/>
      <w:bookmarkEnd w:id="1048"/>
      <w:bookmarkEnd w:id="1049"/>
      <w:bookmarkEnd w:id="1050"/>
      <w:bookmarkEnd w:id="1051"/>
    </w:p>
    <w:p w14:paraId="712455BD">
      <w:pPr>
        <w:pStyle w:val="4"/>
        <w:widowControl w:val="0"/>
        <w:kinsoku/>
        <w:autoSpaceDE/>
        <w:autoSpaceDN/>
        <w:adjustRightInd/>
        <w:snapToGrid/>
        <w:spacing w:before="120" w:after="120" w:line="360"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1052" w:name="_bookmark149"/>
      <w:bookmarkEnd w:id="1052"/>
      <w:bookmarkStart w:id="1053" w:name="_Toc20503"/>
      <w:bookmarkStart w:id="1054" w:name="_Toc13377"/>
      <w:bookmarkStart w:id="1055" w:name="_Toc8131"/>
      <w:bookmarkStart w:id="1056" w:name="_Toc15571"/>
      <w:bookmarkStart w:id="1057" w:name="_Toc16970"/>
      <w:r>
        <w:rPr>
          <w:rFonts w:hint="eastAsia" w:ascii="宋体" w:hAnsi="宋体" w:eastAsia="宋体" w:cs="宋体"/>
          <w:b w:val="0"/>
          <w:bCs w:val="0"/>
          <w:snapToGrid/>
          <w:color w:val="auto"/>
          <w:kern w:val="2"/>
          <w:sz w:val="21"/>
          <w:szCs w:val="21"/>
          <w:highlight w:val="none"/>
        </w:rPr>
        <w:t>20.1和解</w:t>
      </w:r>
      <w:bookmarkEnd w:id="1053"/>
      <w:bookmarkEnd w:id="1054"/>
      <w:bookmarkEnd w:id="1055"/>
      <w:bookmarkEnd w:id="1056"/>
      <w:bookmarkEnd w:id="1057"/>
    </w:p>
    <w:p w14:paraId="6B000AF3">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合同当事人可以就争议自行和解，自行和解达成协议的经双方签字并盖章后作为合同补充文件，双方均应遵照执行。</w:t>
      </w:r>
    </w:p>
    <w:p w14:paraId="3D3320CA">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1058" w:name="_bookmark150"/>
      <w:bookmarkEnd w:id="1058"/>
      <w:bookmarkStart w:id="1059" w:name="_Toc24427"/>
      <w:bookmarkStart w:id="1060" w:name="_Toc13307"/>
      <w:bookmarkStart w:id="1061" w:name="_Toc2998"/>
      <w:bookmarkStart w:id="1062" w:name="_Toc10412"/>
      <w:bookmarkStart w:id="1063" w:name="_Toc4474"/>
      <w:r>
        <w:rPr>
          <w:rFonts w:hint="eastAsia" w:ascii="宋体" w:hAnsi="宋体" w:eastAsia="宋体" w:cs="宋体"/>
          <w:b w:val="0"/>
          <w:bCs w:val="0"/>
          <w:snapToGrid/>
          <w:color w:val="auto"/>
          <w:kern w:val="2"/>
          <w:sz w:val="21"/>
          <w:szCs w:val="21"/>
          <w:highlight w:val="none"/>
        </w:rPr>
        <w:t>20.2调解</w:t>
      </w:r>
      <w:bookmarkEnd w:id="1059"/>
      <w:bookmarkEnd w:id="1060"/>
      <w:bookmarkEnd w:id="1061"/>
      <w:bookmarkEnd w:id="1062"/>
      <w:bookmarkEnd w:id="1063"/>
    </w:p>
    <w:p w14:paraId="4F713274">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合同当事人可以就争议请求建设行政主管部门、行业协会或其他第三方进行调解，调解达成协议的，经双方签字并盖章后作为合同补充文件，双方均应遵照执行。</w:t>
      </w:r>
    </w:p>
    <w:p w14:paraId="7C557A45">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1064" w:name="_bookmark151"/>
      <w:bookmarkEnd w:id="1064"/>
      <w:bookmarkStart w:id="1065" w:name="_Toc15555"/>
      <w:bookmarkStart w:id="1066" w:name="_Toc16238"/>
      <w:bookmarkStart w:id="1067" w:name="_Toc28158"/>
      <w:bookmarkStart w:id="1068" w:name="_Toc28462"/>
      <w:bookmarkStart w:id="1069" w:name="_Toc27660"/>
      <w:r>
        <w:rPr>
          <w:rFonts w:hint="eastAsia" w:ascii="宋体" w:hAnsi="宋体" w:eastAsia="宋体" w:cs="宋体"/>
          <w:b w:val="0"/>
          <w:bCs w:val="0"/>
          <w:snapToGrid/>
          <w:color w:val="auto"/>
          <w:kern w:val="2"/>
          <w:sz w:val="21"/>
          <w:szCs w:val="21"/>
          <w:highlight w:val="none"/>
        </w:rPr>
        <w:t>20.3争议评审</w:t>
      </w:r>
      <w:bookmarkEnd w:id="1065"/>
      <w:bookmarkEnd w:id="1066"/>
      <w:bookmarkEnd w:id="1067"/>
      <w:bookmarkEnd w:id="1068"/>
      <w:bookmarkEnd w:id="1069"/>
    </w:p>
    <w:p w14:paraId="698560A6">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合同当事人在专用合同条款中约定采取争议评审方式解决争议以及评审规则，并按下列约定执行：</w:t>
      </w:r>
    </w:p>
    <w:p w14:paraId="2103A573">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20.3.1争议评审小组的确定</w:t>
      </w:r>
    </w:p>
    <w:p w14:paraId="69C72878">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合同当事人可以共同选择一名或三名争议评审员，组成争议评审小组。除专用合同条款另有约定外，合同当事人应当自合同签订后28天内，或者争议发生后14天内，选定争议评审员。</w:t>
      </w:r>
    </w:p>
    <w:p w14:paraId="22D4649A">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6566847D">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除专用合同条款另有约定外，评审员报酬由发包人和承包人各承担一半。20.3.2争议评审小组的决定</w:t>
      </w:r>
    </w:p>
    <w:p w14:paraId="0DF2FD79">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087BD2BE">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20.3.3争议评审小组决定的效力</w:t>
      </w:r>
    </w:p>
    <w:p w14:paraId="49BD94D3">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争议评审小组作出的书面决定经合同当事人签字确认后，对双方具有约束力，双方应遵照执行。</w:t>
      </w:r>
    </w:p>
    <w:p w14:paraId="685B34ED">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任何一方当事人不接受争议评审小组决定或不履行争议评审小组决定的，双方可</w:t>
      </w:r>
      <w:bookmarkStart w:id="1070" w:name="_bookmark152"/>
      <w:bookmarkEnd w:id="1070"/>
      <w:r>
        <w:rPr>
          <w:rFonts w:hint="eastAsia" w:ascii="宋体" w:hAnsi="宋体" w:eastAsia="宋体" w:cs="宋体"/>
          <w:b w:val="0"/>
          <w:bCs w:val="0"/>
          <w:snapToGrid/>
          <w:color w:val="auto"/>
          <w:kern w:val="2"/>
          <w:sz w:val="21"/>
          <w:szCs w:val="21"/>
          <w:highlight w:val="none"/>
        </w:rPr>
        <w:t>选择采用其他争议解决方式。</w:t>
      </w:r>
    </w:p>
    <w:p w14:paraId="3B4D98B0">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1071" w:name="_Toc31228"/>
      <w:bookmarkStart w:id="1072" w:name="_Toc27662"/>
      <w:bookmarkStart w:id="1073" w:name="_Toc3552"/>
      <w:bookmarkStart w:id="1074" w:name="_Toc32432"/>
      <w:bookmarkStart w:id="1075" w:name="_Toc7253"/>
      <w:r>
        <w:rPr>
          <w:rFonts w:hint="eastAsia" w:ascii="宋体" w:hAnsi="宋体" w:eastAsia="宋体" w:cs="宋体"/>
          <w:b w:val="0"/>
          <w:bCs w:val="0"/>
          <w:snapToGrid/>
          <w:color w:val="auto"/>
          <w:kern w:val="2"/>
          <w:sz w:val="21"/>
          <w:szCs w:val="21"/>
          <w:highlight w:val="none"/>
        </w:rPr>
        <w:t>20.4仲裁或诉讼</w:t>
      </w:r>
      <w:bookmarkEnd w:id="1071"/>
      <w:bookmarkEnd w:id="1072"/>
      <w:bookmarkEnd w:id="1073"/>
      <w:bookmarkEnd w:id="1074"/>
      <w:bookmarkEnd w:id="1075"/>
    </w:p>
    <w:p w14:paraId="43E75768">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因合同及合同有关事项产生的争议，合同当事人可以在专用合同条款中约定以下一种方式解决争议：</w:t>
      </w:r>
    </w:p>
    <w:p w14:paraId="553DA71C">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(1)向约定的仲裁委员会申请仲裁；</w:t>
      </w:r>
    </w:p>
    <w:p w14:paraId="00E993FA">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1076" w:name="_bookmark153"/>
      <w:bookmarkEnd w:id="1076"/>
      <w:r>
        <w:rPr>
          <w:rFonts w:hint="eastAsia" w:ascii="宋体" w:hAnsi="宋体" w:eastAsia="宋体" w:cs="宋体"/>
          <w:b w:val="0"/>
          <w:bCs w:val="0"/>
          <w:snapToGrid/>
          <w:color w:val="auto"/>
          <w:kern w:val="2"/>
          <w:sz w:val="21"/>
          <w:szCs w:val="21"/>
          <w:highlight w:val="none"/>
        </w:rPr>
        <w:t>(2)向有管辖权的人民法院起诉。</w:t>
      </w:r>
    </w:p>
    <w:p w14:paraId="2DEF9DD7">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bookmarkStart w:id="1077" w:name="_Toc30963"/>
      <w:bookmarkStart w:id="1078" w:name="_Toc21511"/>
      <w:bookmarkStart w:id="1079" w:name="_Toc14616"/>
      <w:bookmarkStart w:id="1080" w:name="_Toc32597"/>
      <w:bookmarkStart w:id="1081" w:name="_Toc31770"/>
      <w:r>
        <w:rPr>
          <w:rFonts w:hint="eastAsia" w:ascii="宋体" w:hAnsi="宋体" w:eastAsia="宋体" w:cs="宋体"/>
          <w:b w:val="0"/>
          <w:bCs w:val="0"/>
          <w:snapToGrid/>
          <w:color w:val="auto"/>
          <w:kern w:val="2"/>
          <w:sz w:val="21"/>
          <w:szCs w:val="21"/>
          <w:highlight w:val="none"/>
        </w:rPr>
        <w:t>20.5争议解决条款效力</w:t>
      </w:r>
      <w:bookmarkEnd w:id="1077"/>
      <w:bookmarkEnd w:id="1078"/>
      <w:bookmarkEnd w:id="1079"/>
      <w:bookmarkEnd w:id="1080"/>
      <w:bookmarkEnd w:id="1081"/>
    </w:p>
    <w:p w14:paraId="0E5FB029">
      <w:pPr>
        <w:pStyle w:val="4"/>
        <w:widowControl w:val="0"/>
        <w:kinsoku/>
        <w:autoSpaceDE/>
        <w:autoSpaceDN/>
        <w:adjustRightInd/>
        <w:snapToGrid/>
        <w:spacing w:before="120" w:after="120" w:line="336" w:lineRule="auto"/>
        <w:ind w:firstLine="420" w:firstLineChars="200"/>
        <w:jc w:val="both"/>
        <w:textAlignment w:val="auto"/>
        <w:rPr>
          <w:rFonts w:ascii="宋体" w:hAnsi="宋体" w:eastAsia="宋体" w:cs="宋体"/>
          <w:b w:val="0"/>
          <w:bCs w:val="0"/>
          <w:snapToGrid/>
          <w:color w:val="auto"/>
          <w:kern w:val="2"/>
          <w:sz w:val="21"/>
          <w:szCs w:val="21"/>
          <w:highlight w:val="none"/>
        </w:rPr>
      </w:pPr>
      <w:r>
        <w:rPr>
          <w:rFonts w:hint="eastAsia" w:ascii="宋体" w:hAnsi="宋体" w:eastAsia="宋体" w:cs="宋体"/>
          <w:b w:val="0"/>
          <w:bCs w:val="0"/>
          <w:snapToGrid/>
          <w:color w:val="auto"/>
          <w:kern w:val="2"/>
          <w:sz w:val="21"/>
          <w:szCs w:val="21"/>
          <w:highlight w:val="none"/>
        </w:rPr>
        <w:t>合同有关争议解决的条款独立存在，合同的变更、解除、终止、无效或者被撤销均不影响其效力。</w:t>
      </w:r>
    </w:p>
    <w:p w14:paraId="48257A48">
      <w:pPr>
        <w:rPr>
          <w:rFonts w:ascii="宋体" w:hAnsi="宋体" w:eastAsia="宋体" w:cs="宋体"/>
          <w:color w:val="auto"/>
          <w:spacing w:val="-2"/>
          <w:sz w:val="30"/>
          <w:szCs w:val="30"/>
          <w:highlight w:val="none"/>
        </w:rPr>
      </w:pPr>
      <w:r>
        <w:rPr>
          <w:rFonts w:hint="eastAsia" w:ascii="宋体" w:hAnsi="宋体" w:eastAsia="宋体" w:cs="宋体"/>
          <w:color w:val="auto"/>
          <w:spacing w:val="-2"/>
          <w:sz w:val="30"/>
          <w:szCs w:val="30"/>
          <w:highlight w:val="none"/>
        </w:rPr>
        <w:br w:type="page"/>
      </w:r>
    </w:p>
    <w:p w14:paraId="7640EC9F">
      <w:pPr>
        <w:spacing w:before="161" w:line="220" w:lineRule="auto"/>
        <w:ind w:left="2831"/>
        <w:outlineLvl w:val="0"/>
        <w:rPr>
          <w:rFonts w:ascii="宋体" w:hAnsi="宋体" w:eastAsia="宋体" w:cs="宋体"/>
          <w:b/>
          <w:bCs/>
          <w:color w:val="auto"/>
          <w:sz w:val="30"/>
          <w:szCs w:val="30"/>
          <w:highlight w:val="none"/>
        </w:rPr>
      </w:pPr>
      <w:bookmarkStart w:id="1082" w:name="_Toc22973"/>
      <w:bookmarkStart w:id="1083" w:name="_Toc25335"/>
      <w:bookmarkStart w:id="1084" w:name="_Toc23508"/>
      <w:bookmarkStart w:id="1085" w:name="_Toc25590"/>
      <w:bookmarkStart w:id="1086" w:name="_Toc13051"/>
      <w:r>
        <w:rPr>
          <w:rFonts w:hint="eastAsia" w:ascii="宋体" w:hAnsi="宋体" w:eastAsia="宋体" w:cs="宋体"/>
          <w:b/>
          <w:bCs/>
          <w:color w:val="auto"/>
          <w:spacing w:val="-2"/>
          <w:sz w:val="30"/>
          <w:szCs w:val="30"/>
          <w:highlight w:val="none"/>
        </w:rPr>
        <w:t>第</w:t>
      </w:r>
      <w:r>
        <w:rPr>
          <w:rFonts w:hint="eastAsia" w:ascii="宋体" w:hAnsi="宋体" w:eastAsia="宋体" w:cs="宋体"/>
          <w:b/>
          <w:bCs/>
          <w:color w:val="auto"/>
          <w:spacing w:val="-1"/>
          <w:sz w:val="30"/>
          <w:szCs w:val="30"/>
          <w:highlight w:val="none"/>
        </w:rPr>
        <w:t>三部分 专用合同条款</w:t>
      </w:r>
      <w:bookmarkEnd w:id="1082"/>
      <w:bookmarkEnd w:id="1083"/>
      <w:bookmarkEnd w:id="1084"/>
      <w:bookmarkEnd w:id="1085"/>
      <w:bookmarkEnd w:id="1086"/>
    </w:p>
    <w:p w14:paraId="558C0C12">
      <w:pPr>
        <w:spacing w:line="245" w:lineRule="auto"/>
        <w:rPr>
          <w:rFonts w:ascii="宋体" w:hAnsi="宋体" w:eastAsia="宋体" w:cs="宋体"/>
          <w:color w:val="auto"/>
          <w:highlight w:val="none"/>
        </w:rPr>
      </w:pPr>
    </w:p>
    <w:p w14:paraId="31E4E12D">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087" w:name="_bookmark154"/>
      <w:bookmarkEnd w:id="1087"/>
      <w:bookmarkStart w:id="1088" w:name="_bookmark155"/>
      <w:bookmarkEnd w:id="1088"/>
      <w:bookmarkStart w:id="1089" w:name="_Toc26726"/>
      <w:bookmarkStart w:id="1090" w:name="_Toc1837"/>
      <w:bookmarkStart w:id="1091" w:name="_Toc10280"/>
      <w:bookmarkStart w:id="1092" w:name="_Toc21429"/>
      <w:bookmarkStart w:id="1093" w:name="_Toc11521"/>
      <w:r>
        <w:rPr>
          <w:rFonts w:hint="eastAsia" w:ascii="宋体" w:hAnsi="宋体" w:eastAsia="宋体"/>
          <w:b/>
          <w:bCs/>
          <w:snapToGrid/>
          <w:color w:val="auto"/>
          <w:kern w:val="2"/>
          <w:highlight w:val="none"/>
        </w:rPr>
        <w:t>1. 一般约定</w:t>
      </w:r>
      <w:bookmarkEnd w:id="1089"/>
      <w:bookmarkEnd w:id="1090"/>
      <w:bookmarkEnd w:id="1091"/>
      <w:bookmarkEnd w:id="1092"/>
      <w:bookmarkEnd w:id="1093"/>
    </w:p>
    <w:p w14:paraId="2086EC8A">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bookmarkStart w:id="1094" w:name="_bookmark156"/>
      <w:bookmarkEnd w:id="1094"/>
      <w:r>
        <w:rPr>
          <w:rFonts w:hint="eastAsia" w:ascii="宋体" w:hAnsi="宋体" w:eastAsia="宋体" w:cs="宋体"/>
          <w:snapToGrid/>
          <w:color w:val="auto"/>
          <w:kern w:val="2"/>
          <w:highlight w:val="none"/>
        </w:rPr>
        <w:t>1.1  词语定义</w:t>
      </w:r>
    </w:p>
    <w:p w14:paraId="0A3DA868">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 合同</w:t>
      </w:r>
    </w:p>
    <w:p w14:paraId="7B4C7D42">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1.1.1.10 其他合同文件包括：</w:t>
      </w:r>
      <w:r>
        <w:rPr>
          <w:rFonts w:hint="eastAsia" w:ascii="宋体" w:hAnsi="宋体" w:eastAsia="宋体" w:cs="宋体"/>
          <w:color w:val="auto"/>
          <w:spacing w:val="-2"/>
          <w:sz w:val="24"/>
          <w:szCs w:val="24"/>
          <w:highlight w:val="none"/>
        </w:rPr>
        <w:t xml:space="preserve"> </w:t>
      </w:r>
      <w:r>
        <w:rPr>
          <w:rFonts w:hint="eastAsia" w:ascii="宋体" w:hAnsi="宋体" w:eastAsia="宋体" w:cs="宋体"/>
          <w:snapToGrid/>
          <w:color w:val="auto"/>
          <w:kern w:val="2"/>
          <w:highlight w:val="none"/>
          <w:u w:val="single"/>
        </w:rPr>
        <w:t>履行本合同的相关补充协议、招标文件、招标补充通知书(补遗书) 、招标会议纪要及附件、经双方认可的投标文件</w:t>
      </w:r>
      <w:r>
        <w:rPr>
          <w:rFonts w:hint="eastAsia" w:ascii="宋体" w:hAnsi="宋体" w:eastAsia="宋体" w:cs="宋体"/>
          <w:snapToGrid/>
          <w:color w:val="auto"/>
          <w:kern w:val="2"/>
          <w:highlight w:val="none"/>
        </w:rPr>
        <w:t>。</w:t>
      </w:r>
    </w:p>
    <w:p w14:paraId="35132BA3">
      <w:pPr>
        <w:pStyle w:val="5"/>
        <w:ind w:firstLine="420" w:firstLineChars="200"/>
        <w:rPr>
          <w:color w:val="auto"/>
          <w:highlight w:val="none"/>
        </w:rPr>
      </w:pPr>
    </w:p>
    <w:p w14:paraId="21CB3330">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1.1.2  合同当事人及其他相关方</w:t>
      </w:r>
    </w:p>
    <w:p w14:paraId="28A1B1B1">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1.1.2.4 监理人：</w:t>
      </w:r>
    </w:p>
    <w:p w14:paraId="0A0520AF">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名    称：</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 xml:space="preserve"> ；</w:t>
      </w:r>
    </w:p>
    <w:p w14:paraId="797D77EE">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资质类别和等级：</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48F259A4">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联系电话：</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 xml:space="preserve"> ；</w:t>
      </w:r>
    </w:p>
    <w:p w14:paraId="56E224D7">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电子信箱：</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 xml:space="preserve"> ；</w:t>
      </w:r>
    </w:p>
    <w:p w14:paraId="28667C83">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通信地址：</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21E0A611">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1.1.2.5  设计人：</w:t>
      </w:r>
    </w:p>
    <w:p w14:paraId="4913C192">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名    称：</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43D953EA">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资质类别和等级：</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 xml:space="preserve"> ；</w:t>
      </w:r>
    </w:p>
    <w:p w14:paraId="55B1C9BC">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联系电话：</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 xml:space="preserve"> ；</w:t>
      </w:r>
    </w:p>
    <w:p w14:paraId="05F8DC1C">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电子信箱：</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 xml:space="preserve"> ；</w:t>
      </w:r>
    </w:p>
    <w:p w14:paraId="17703BC5">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通信地址：</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 xml:space="preserve"> 。</w:t>
      </w:r>
    </w:p>
    <w:p w14:paraId="02550E68">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1.1.3  工程和设备</w:t>
      </w:r>
    </w:p>
    <w:p w14:paraId="5DA4971C">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1.1.3.7  作为施工现场组成部分的其他场所包括：按通用合同条款约定。 </w:t>
      </w:r>
    </w:p>
    <w:p w14:paraId="71D03F2F">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1.1.3.9  永久占地包括： 按通用合同条款约定。</w:t>
      </w:r>
    </w:p>
    <w:p w14:paraId="1B99B5DA">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1.1.3.10  临时占地包括： 按通用合同条款约定。</w:t>
      </w:r>
    </w:p>
    <w:p w14:paraId="0B3D9981">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1.1.5 合同价格和费用</w:t>
      </w:r>
    </w:p>
    <w:p w14:paraId="4EC75669">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1.1.5.1  签约合同价：是指发包人和承包人在合同协议书中确定的总金额，包括文明施工措施费、环境保护措施费、临时设施措施费、安全生产措施费、施工升降机安全监控管理系统费、赶工措施费、额外增加的赶工措施费、定额工日工资总额等。</w:t>
      </w:r>
    </w:p>
    <w:p w14:paraId="2E70F507">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1.1.5.2  合同价格：是指发包人用于支付承包人按照合同约定完成承包范围内全部工作及保修的金额，包括合同履行过程中按合同约定发生的价格变化。</w:t>
      </w:r>
    </w:p>
    <w:p w14:paraId="13D8AA73">
      <w:pPr>
        <w:widowControl w:val="0"/>
        <w:kinsoku/>
        <w:autoSpaceDE/>
        <w:autoSpaceDN/>
        <w:adjustRightInd/>
        <w:snapToGrid/>
        <w:spacing w:before="120" w:after="120" w:line="360" w:lineRule="auto"/>
        <w:ind w:firstLine="422" w:firstLineChars="200"/>
        <w:jc w:val="both"/>
        <w:textAlignment w:val="auto"/>
        <w:rPr>
          <w:rFonts w:ascii="宋体" w:hAnsi="宋体" w:eastAsia="宋体" w:cs="宋体"/>
          <w:snapToGrid/>
          <w:color w:val="auto"/>
          <w:kern w:val="2"/>
          <w:highlight w:val="none"/>
        </w:rPr>
      </w:pPr>
      <w:r>
        <w:rPr>
          <w:rFonts w:hint="eastAsia" w:ascii="宋体" w:hAnsi="宋体" w:eastAsia="宋体" w:cs="宋体"/>
          <w:b/>
          <w:bCs/>
          <w:snapToGrid/>
          <w:color w:val="auto"/>
          <w:kern w:val="2"/>
          <w:highlight w:val="none"/>
        </w:rPr>
        <w:t>本款增加</w:t>
      </w:r>
      <w:r>
        <w:rPr>
          <w:rFonts w:ascii="宋体" w:hAnsi="宋体" w:eastAsia="宋体" w:cs="宋体"/>
          <w:b/>
          <w:bCs/>
          <w:snapToGrid/>
          <w:color w:val="auto"/>
          <w:kern w:val="2"/>
          <w:highlight w:val="none"/>
        </w:rPr>
        <w:t>1.1.5.9</w:t>
      </w:r>
      <w:r>
        <w:rPr>
          <w:rFonts w:hint="eastAsia" w:ascii="宋体" w:hAnsi="宋体" w:eastAsia="宋体" w:cs="宋体"/>
          <w:b/>
          <w:bCs/>
          <w:snapToGrid/>
          <w:color w:val="auto"/>
          <w:kern w:val="2"/>
          <w:highlight w:val="none"/>
        </w:rPr>
        <w:t>～</w:t>
      </w:r>
      <w:r>
        <w:rPr>
          <w:rFonts w:ascii="宋体" w:hAnsi="宋体" w:eastAsia="宋体" w:cs="宋体"/>
          <w:b/>
          <w:bCs/>
          <w:snapToGrid/>
          <w:color w:val="auto"/>
          <w:kern w:val="2"/>
          <w:highlight w:val="none"/>
        </w:rPr>
        <w:t>1.1.5.10</w:t>
      </w:r>
      <w:r>
        <w:rPr>
          <w:rFonts w:hint="eastAsia" w:ascii="宋体" w:hAnsi="宋体" w:eastAsia="宋体" w:cs="宋体"/>
          <w:b/>
          <w:bCs/>
          <w:snapToGrid/>
          <w:color w:val="auto"/>
          <w:kern w:val="2"/>
          <w:highlight w:val="none"/>
        </w:rPr>
        <w:t>目</w:t>
      </w:r>
      <w:r>
        <w:rPr>
          <w:rFonts w:ascii="宋体" w:hAnsi="宋体" w:eastAsia="宋体" w:cs="宋体"/>
          <w:b/>
          <w:bCs/>
          <w:snapToGrid/>
          <w:color w:val="auto"/>
          <w:kern w:val="2"/>
          <w:highlight w:val="none"/>
        </w:rPr>
        <w:t>:</w:t>
      </w:r>
    </w:p>
    <w:p w14:paraId="75A4E1DC">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ascii="宋体" w:hAnsi="宋体" w:eastAsia="宋体" w:cs="宋体"/>
          <w:snapToGrid/>
          <w:color w:val="auto"/>
          <w:kern w:val="2"/>
          <w:highlight w:val="none"/>
        </w:rPr>
        <w:t xml:space="preserve">1.1.5.9 </w:t>
      </w:r>
      <w:r>
        <w:rPr>
          <w:rFonts w:hint="eastAsia" w:ascii="宋体" w:hAnsi="宋体" w:eastAsia="宋体" w:cs="宋体"/>
          <w:snapToGrid/>
          <w:color w:val="auto"/>
          <w:kern w:val="2"/>
          <w:highlight w:val="none"/>
        </w:rPr>
        <w:t>分部分项工程项目费：指为实施、完成并保修永久工程，发生于工程实体项目所需的人工费、材料费、机械使用费、管理费、利润和风险费用。</w:t>
      </w:r>
    </w:p>
    <w:p w14:paraId="4662F76E">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ascii="宋体" w:hAnsi="宋体" w:eastAsia="宋体" w:cs="宋体"/>
          <w:snapToGrid/>
          <w:color w:val="auto"/>
          <w:kern w:val="2"/>
          <w:highlight w:val="none"/>
        </w:rPr>
        <w:t xml:space="preserve">1.1.5.10 </w:t>
      </w:r>
      <w:r>
        <w:rPr>
          <w:rFonts w:hint="eastAsia" w:ascii="宋体" w:hAnsi="宋体" w:eastAsia="宋体" w:cs="宋体"/>
          <w:snapToGrid/>
          <w:color w:val="auto"/>
          <w:kern w:val="2"/>
          <w:highlight w:val="none"/>
        </w:rPr>
        <w:t>措施项目费：指为实施、完成并保修合同工程，发生于合同工程施工准备和施工过程中的技术、生活、安全、环境保护等方面的非工程实体项目费用。</w:t>
      </w:r>
    </w:p>
    <w:p w14:paraId="0CF917C8">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1.1.6 其他</w:t>
      </w:r>
    </w:p>
    <w:p w14:paraId="3633A7AE">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1.1.6.2 中标下浮率= (1－中标价÷经审核的最高投标限价)×100%= </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 xml:space="preserve"> %(备注： 上述公式中的中标价和经审核的最高投标限价均不含安全生产措施单列费)。</w:t>
      </w:r>
    </w:p>
    <w:p w14:paraId="1DBC6B88">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1.1.6.3 安全生产措施费：即招标文件和最高投标限价中提及的“安全生产措施费”。</w:t>
      </w:r>
    </w:p>
    <w:p w14:paraId="5F3CC089">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1.1.6.4 施工标准工期，是依据《广东省建设工程施工标准工期定额》计算确定；标准(定额)工期文件是造价咨询成果文件的一部分。</w:t>
      </w:r>
    </w:p>
    <w:p w14:paraId="366F08F4">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bookmarkStart w:id="1095" w:name="_bookmark157"/>
      <w:bookmarkEnd w:id="1095"/>
      <w:r>
        <w:rPr>
          <w:rFonts w:hint="eastAsia" w:ascii="宋体" w:hAnsi="宋体" w:eastAsia="宋体" w:cs="宋体"/>
          <w:snapToGrid/>
          <w:color w:val="auto"/>
          <w:kern w:val="2"/>
          <w:highlight w:val="none"/>
        </w:rPr>
        <w:t>1.3 法律</w:t>
      </w:r>
    </w:p>
    <w:p w14:paraId="0CED82C4">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适用于合同的其他规范性文件：</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 xml:space="preserve"> 。</w:t>
      </w:r>
    </w:p>
    <w:p w14:paraId="780E5F1F">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bookmarkStart w:id="1096" w:name="_bookmark158"/>
      <w:bookmarkEnd w:id="1096"/>
      <w:r>
        <w:rPr>
          <w:rFonts w:hint="eastAsia" w:ascii="宋体" w:hAnsi="宋体" w:eastAsia="宋体" w:cs="宋体"/>
          <w:snapToGrid/>
          <w:color w:val="auto"/>
          <w:kern w:val="2"/>
          <w:highlight w:val="none"/>
        </w:rPr>
        <w:t>1.4  标准和规范</w:t>
      </w:r>
    </w:p>
    <w:p w14:paraId="34DECC27">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1.4.1 适用于工程的标准规范包括：包括但不限于以下：</w:t>
      </w:r>
    </w:p>
    <w:p w14:paraId="7646868E">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《中华人民共和国建筑法》</w:t>
      </w:r>
    </w:p>
    <w:p w14:paraId="73766F26">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《建筑结构可靠性设计统一标准》（</w:t>
      </w:r>
      <w:r>
        <w:rPr>
          <w:rFonts w:ascii="宋体" w:hAnsi="宋体" w:cs="宋体"/>
          <w:color w:val="auto"/>
          <w:highlight w:val="none"/>
        </w:rPr>
        <w:t>GB 50068-2018</w:t>
      </w:r>
      <w:r>
        <w:rPr>
          <w:rFonts w:hint="eastAsia" w:ascii="宋体" w:hAnsi="宋体" w:eastAsia="宋体" w:cs="宋体"/>
          <w:color w:val="auto"/>
          <w:highlight w:val="none"/>
        </w:rPr>
        <w:t>）</w:t>
      </w:r>
    </w:p>
    <w:p w14:paraId="1C207E59">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《建筑抗震鉴定标准》（</w:t>
      </w:r>
      <w:r>
        <w:rPr>
          <w:rFonts w:ascii="宋体" w:hAnsi="宋体" w:cs="宋体"/>
          <w:color w:val="auto"/>
          <w:highlight w:val="none"/>
        </w:rPr>
        <w:t>GB 50023-2009</w:t>
      </w:r>
      <w:r>
        <w:rPr>
          <w:rFonts w:hint="eastAsia" w:ascii="宋体" w:hAnsi="宋体" w:eastAsia="宋体" w:cs="宋体"/>
          <w:color w:val="auto"/>
          <w:highlight w:val="none"/>
        </w:rPr>
        <w:t>）</w:t>
      </w:r>
    </w:p>
    <w:p w14:paraId="083B49F2">
      <w:pPr>
        <w:widowControl w:val="0"/>
        <w:kinsoku/>
        <w:autoSpaceDE/>
        <w:autoSpaceDN/>
        <w:adjustRightInd/>
        <w:snapToGrid/>
        <w:spacing w:before="120" w:after="120" w:line="360" w:lineRule="auto"/>
        <w:ind w:firstLine="420" w:firstLineChars="200"/>
        <w:jc w:val="both"/>
        <w:textAlignment w:val="auto"/>
        <w:rPr>
          <w:rFonts w:hint="eastAsia" w:ascii="宋体" w:hAnsi="宋体" w:eastAsia="宋体" w:cs="宋体"/>
          <w:snapToGrid/>
          <w:color w:val="auto"/>
          <w:kern w:val="2"/>
          <w:highlight w:val="none"/>
        </w:rPr>
      </w:pPr>
      <w:r>
        <w:rPr>
          <w:rFonts w:hint="eastAsia" w:ascii="宋体" w:hAnsi="宋体" w:eastAsia="宋体" w:cs="宋体"/>
          <w:color w:val="auto"/>
          <w:highlight w:val="none"/>
        </w:rPr>
        <w:t>《既有建筑维护与改造通用规范》（</w:t>
      </w:r>
      <w:r>
        <w:rPr>
          <w:rFonts w:ascii="宋体" w:hAnsi="宋体" w:cs="宋体"/>
          <w:color w:val="auto"/>
          <w:highlight w:val="none"/>
        </w:rPr>
        <w:t>GB 55022-2021</w:t>
      </w:r>
      <w:r>
        <w:rPr>
          <w:rFonts w:hint="eastAsia" w:ascii="宋体" w:hAnsi="宋体" w:eastAsia="宋体" w:cs="宋体"/>
          <w:color w:val="auto"/>
          <w:highlight w:val="none"/>
        </w:rPr>
        <w:t>）</w:t>
      </w:r>
      <w:r>
        <w:rPr>
          <w:rFonts w:hint="eastAsia" w:ascii="宋体" w:hAnsi="宋体" w:cs="宋体"/>
          <w:color w:val="auto"/>
          <w:highlight w:val="none"/>
        </w:rPr>
        <w:t>如有新的文件，以最新的文件要求为准</w:t>
      </w:r>
      <w:r>
        <w:rPr>
          <w:rFonts w:hint="eastAsia" w:ascii="宋体" w:hAnsi="宋体" w:eastAsia="宋体" w:cs="宋体"/>
          <w:snapToGrid/>
          <w:color w:val="auto"/>
          <w:kern w:val="2"/>
          <w:highlight w:val="none"/>
        </w:rPr>
        <w:t>。</w:t>
      </w:r>
    </w:p>
    <w:p w14:paraId="4FA17457">
      <w:pPr>
        <w:widowControl w:val="0"/>
        <w:kinsoku/>
        <w:autoSpaceDE/>
        <w:autoSpaceDN/>
        <w:adjustRightInd/>
        <w:snapToGrid/>
        <w:spacing w:before="120" w:after="120" w:line="360" w:lineRule="auto"/>
        <w:ind w:firstLine="420" w:firstLineChars="200"/>
        <w:jc w:val="both"/>
        <w:textAlignment w:val="auto"/>
        <w:rPr>
          <w:rFonts w:hint="eastAsia" w:ascii="宋体" w:hAnsi="宋体" w:eastAsia="宋体" w:cs="宋体"/>
          <w:snapToGrid/>
          <w:color w:val="auto"/>
          <w:kern w:val="2"/>
          <w:highlight w:val="none"/>
        </w:rPr>
      </w:pPr>
      <w:r>
        <w:rPr>
          <w:rFonts w:hint="eastAsia" w:ascii="宋体" w:hAnsi="宋体" w:eastAsia="宋体" w:cs="宋体"/>
          <w:snapToGrid/>
          <w:color w:val="auto"/>
          <w:kern w:val="2"/>
          <w:highlight w:val="none"/>
        </w:rPr>
        <w:t>在本合同履行期间，如国家、省、市或相关主管部门发布新的法律、法规、规章、规范性文件、技术标准或政策性要求，且新规定适用于本工程或合同相关内容的，双方应遵照执行。</w:t>
      </w:r>
    </w:p>
    <w:p w14:paraId="62E4CFF6">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1.4.2  发包人提供国外标准、规范的名称：</w:t>
      </w:r>
      <w:r>
        <w:rPr>
          <w:rFonts w:hint="eastAsia" w:ascii="宋体" w:hAnsi="宋体" w:eastAsia="宋体" w:cs="宋体"/>
          <w:snapToGrid/>
          <w:color w:val="auto"/>
          <w:kern w:val="2"/>
          <w:highlight w:val="none"/>
          <w:u w:val="single"/>
        </w:rPr>
        <w:t>无</w:t>
      </w:r>
      <w:r>
        <w:rPr>
          <w:rFonts w:hint="eastAsia" w:ascii="宋体" w:hAnsi="宋体" w:eastAsia="宋体" w:cs="宋体"/>
          <w:snapToGrid/>
          <w:color w:val="auto"/>
          <w:kern w:val="2"/>
          <w:highlight w:val="none"/>
        </w:rPr>
        <w:t>；</w:t>
      </w:r>
    </w:p>
    <w:p w14:paraId="6667FD36">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发包人提供国外标准、规范的份数：</w:t>
      </w:r>
      <w:r>
        <w:rPr>
          <w:rFonts w:hint="eastAsia" w:ascii="宋体" w:hAnsi="宋体" w:eastAsia="宋体" w:cs="宋体"/>
          <w:snapToGrid/>
          <w:color w:val="auto"/>
          <w:kern w:val="2"/>
          <w:highlight w:val="none"/>
          <w:u w:val="single"/>
        </w:rPr>
        <w:t xml:space="preserve">   无                </w:t>
      </w:r>
      <w:r>
        <w:rPr>
          <w:rFonts w:hint="eastAsia" w:ascii="宋体" w:hAnsi="宋体" w:eastAsia="宋体" w:cs="宋体"/>
          <w:snapToGrid/>
          <w:color w:val="auto"/>
          <w:kern w:val="2"/>
          <w:highlight w:val="none"/>
        </w:rPr>
        <w:t xml:space="preserve"> ；</w:t>
      </w:r>
    </w:p>
    <w:p w14:paraId="2575BBD2">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发包人提供国外标准、规范的名称：</w:t>
      </w:r>
      <w:r>
        <w:rPr>
          <w:rFonts w:hint="eastAsia" w:ascii="宋体" w:hAnsi="宋体" w:eastAsia="宋体" w:cs="宋体"/>
          <w:snapToGrid/>
          <w:color w:val="auto"/>
          <w:kern w:val="2"/>
          <w:highlight w:val="none"/>
          <w:u w:val="single"/>
        </w:rPr>
        <w:t xml:space="preserve">    无               </w:t>
      </w:r>
      <w:r>
        <w:rPr>
          <w:rFonts w:hint="eastAsia" w:ascii="宋体" w:hAnsi="宋体" w:eastAsia="宋体" w:cs="宋体"/>
          <w:snapToGrid/>
          <w:color w:val="auto"/>
          <w:kern w:val="2"/>
          <w:highlight w:val="none"/>
        </w:rPr>
        <w:t xml:space="preserve"> 。</w:t>
      </w:r>
    </w:p>
    <w:p w14:paraId="760AC243">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1.4.3 发包人对工程的技术标准和功能要求的特殊要求：</w:t>
      </w:r>
      <w:r>
        <w:rPr>
          <w:rFonts w:hint="eastAsia" w:ascii="宋体" w:hAnsi="宋体" w:eastAsia="宋体" w:cs="宋体"/>
          <w:snapToGrid/>
          <w:color w:val="auto"/>
          <w:kern w:val="2"/>
          <w:highlight w:val="none"/>
          <w:u w:val="single"/>
        </w:rPr>
        <w:t xml:space="preserve"> 无  </w:t>
      </w:r>
      <w:r>
        <w:rPr>
          <w:rFonts w:hint="eastAsia" w:ascii="宋体" w:hAnsi="宋体" w:eastAsia="宋体" w:cs="宋体"/>
          <w:snapToGrid/>
          <w:color w:val="auto"/>
          <w:kern w:val="2"/>
          <w:highlight w:val="none"/>
        </w:rPr>
        <w:t xml:space="preserve">。 </w:t>
      </w:r>
      <w:bookmarkStart w:id="1097" w:name="_bookmark159"/>
      <w:bookmarkEnd w:id="1097"/>
    </w:p>
    <w:p w14:paraId="32C26219">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1.5  合同文件的优先顺序</w:t>
      </w:r>
    </w:p>
    <w:p w14:paraId="26DA44A7">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合同文件组成及优先顺序为：</w:t>
      </w:r>
    </w:p>
    <w:p w14:paraId="3DFA3071">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 合同协议书；</w:t>
      </w:r>
    </w:p>
    <w:p w14:paraId="79A567A1">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 中标通知书(如果有) ；</w:t>
      </w:r>
    </w:p>
    <w:p w14:paraId="6FCEBEED">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(3) 专用合同条款及其附件；</w:t>
      </w:r>
    </w:p>
    <w:p w14:paraId="6163437E">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(4) 通用合同条款；</w:t>
      </w:r>
    </w:p>
    <w:p w14:paraId="2DE4CEE3">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(5) 招标文件、补充通知(补遗书)、招标会议纪要及附件；</w:t>
      </w:r>
    </w:p>
    <w:p w14:paraId="6277DCB6">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(6) 投标函及其附录(如果有)；</w:t>
      </w:r>
    </w:p>
    <w:p w14:paraId="12D232E7">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(7) 技术标准和要求；</w:t>
      </w:r>
    </w:p>
    <w:p w14:paraId="61FAD9E9">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(8) 图纸；</w:t>
      </w:r>
    </w:p>
    <w:p w14:paraId="21BACCB4">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(9) </w:t>
      </w:r>
      <w:r>
        <w:rPr>
          <w:rFonts w:hint="eastAsia" w:ascii="宋体" w:hAnsi="宋体" w:eastAsia="宋体" w:cs="宋体"/>
          <w:b/>
          <w:bCs/>
          <w:snapToGrid/>
          <w:color w:val="auto"/>
          <w:kern w:val="2"/>
          <w:highlight w:val="none"/>
        </w:rPr>
        <w:t>合同清单</w:t>
      </w:r>
      <w:r>
        <w:rPr>
          <w:rFonts w:hint="eastAsia" w:ascii="宋体" w:hAnsi="宋体" w:eastAsia="宋体" w:cs="宋体"/>
          <w:snapToGrid/>
          <w:color w:val="auto"/>
          <w:kern w:val="2"/>
          <w:highlight w:val="none"/>
        </w:rPr>
        <w:t>或预算书；</w:t>
      </w:r>
    </w:p>
    <w:p w14:paraId="04D1892D">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bookmarkStart w:id="1098" w:name="_bookmark160"/>
      <w:bookmarkEnd w:id="1098"/>
      <w:r>
        <w:rPr>
          <w:rFonts w:hint="eastAsia" w:ascii="宋体" w:hAnsi="宋体" w:eastAsia="宋体" w:cs="宋体"/>
          <w:snapToGrid/>
          <w:color w:val="auto"/>
          <w:kern w:val="2"/>
          <w:highlight w:val="none"/>
        </w:rPr>
        <w:t>(10) 其他合同文件。</w:t>
      </w:r>
    </w:p>
    <w:p w14:paraId="048EAEC5">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1.6  图纸和承包人文件</w:t>
      </w:r>
    </w:p>
    <w:p w14:paraId="4A7CF796">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1.6.1  图纸的提供</w:t>
      </w:r>
    </w:p>
    <w:p w14:paraId="07F003E9">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发包人向承包人提供图纸的期限：开工前7天内(变更的设计图纸提供的时间：在不影响承包人施工进度的前提下及时提供)；</w:t>
      </w:r>
    </w:p>
    <w:p w14:paraId="57A26650">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发包人向承包人提供图纸的数量：书面版</w:t>
      </w:r>
      <w:r>
        <w:rPr>
          <w:rFonts w:ascii="宋体" w:hAnsi="宋体" w:eastAsia="宋体" w:cs="宋体"/>
          <w:snapToGrid/>
          <w:color w:val="auto"/>
          <w:kern w:val="2"/>
          <w:highlight w:val="none"/>
        </w:rPr>
        <w:t>3</w:t>
      </w:r>
      <w:r>
        <w:rPr>
          <w:rFonts w:hint="eastAsia" w:ascii="宋体" w:hAnsi="宋体" w:eastAsia="宋体" w:cs="宋体"/>
          <w:snapToGrid/>
          <w:color w:val="auto"/>
          <w:kern w:val="2"/>
          <w:highlight w:val="none"/>
        </w:rPr>
        <w:t>套(含要求承包人在施工现场随时保留一整套图纸，以供发包人、监理有关人员查阅)，电子版1套，相关的标准与规范由承包人自行购买，承包人可根据施工需要要求监理人(或发包人)增加提供图纸的份数，费用由承包人承担；</w:t>
      </w:r>
    </w:p>
    <w:p w14:paraId="3F26BD93">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发包人向承包人提供图纸的内容：</w:t>
      </w:r>
      <w:r>
        <w:rPr>
          <w:rFonts w:hint="eastAsia" w:ascii="宋体" w:hAnsi="宋体" w:eastAsia="宋体" w:cs="宋体"/>
          <w:snapToGrid/>
          <w:color w:val="auto"/>
          <w:kern w:val="2"/>
          <w:highlight w:val="none"/>
          <w:u w:val="single"/>
        </w:rPr>
        <w:t xml:space="preserve"> 施工图</w:t>
      </w:r>
      <w:r>
        <w:rPr>
          <w:rFonts w:hint="eastAsia" w:ascii="宋体" w:hAnsi="宋体" w:eastAsia="宋体" w:cs="宋体"/>
          <w:snapToGrid/>
          <w:color w:val="auto"/>
          <w:kern w:val="2"/>
          <w:highlight w:val="none"/>
        </w:rPr>
        <w:t>。</w:t>
      </w:r>
    </w:p>
    <w:p w14:paraId="7EF7686C">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1.6.4  承包人文件</w:t>
      </w:r>
    </w:p>
    <w:p w14:paraId="2B2AA173">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需要由承包人提供的文件，包括：施工组织设计方案，施工组织设计(如须采用较复杂的施工技术的施工方案)，公益宣传广告，交通疏导方案等；</w:t>
      </w:r>
    </w:p>
    <w:p w14:paraId="21A0F6C6">
      <w:pPr>
        <w:widowControl w:val="0"/>
        <w:kinsoku/>
        <w:autoSpaceDE/>
        <w:autoSpaceDN/>
        <w:adjustRightInd/>
        <w:snapToGrid/>
        <w:spacing w:before="120" w:after="120" w:line="360" w:lineRule="auto"/>
        <w:ind w:firstLine="420" w:firstLineChars="200"/>
        <w:jc w:val="both"/>
        <w:textAlignment w:val="auto"/>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承包人提供的文件的期限为：</w:t>
      </w:r>
    </w:p>
    <w:p w14:paraId="107AC258">
      <w:pPr>
        <w:spacing w:before="185" w:line="360" w:lineRule="auto"/>
        <w:ind w:right="79" w:firstLine="420" w:firstLineChars="200"/>
        <w:rPr>
          <w:rFonts w:ascii="宋体" w:hAnsi="宋体" w:eastAsia="宋体" w:cs="宋体"/>
          <w:color w:val="auto"/>
          <w:sz w:val="24"/>
          <w:szCs w:val="24"/>
          <w:highlight w:val="none"/>
        </w:rPr>
      </w:pPr>
      <w:r>
        <w:rPr>
          <w:rFonts w:hint="eastAsia" w:ascii="宋体" w:hAnsi="宋体" w:eastAsia="宋体" w:cs="宋体"/>
          <w:snapToGrid/>
          <w:color w:val="auto"/>
          <w:kern w:val="2"/>
          <w:highlight w:val="none"/>
          <w:u w:val="single"/>
        </w:rPr>
        <w:t>①发包人发出中标通知书后</w:t>
      </w:r>
      <w:r>
        <w:rPr>
          <w:rFonts w:hint="eastAsia" w:ascii="宋体" w:hAnsi="宋体" w:eastAsia="宋体" w:cs="宋体"/>
          <w:snapToGrid/>
          <w:color w:val="auto"/>
          <w:kern w:val="2"/>
          <w:highlight w:val="none"/>
          <w:u w:val="single"/>
          <w:lang w:val="en-US" w:eastAsia="zh-CN"/>
        </w:rPr>
        <w:t>7</w:t>
      </w:r>
      <w:r>
        <w:rPr>
          <w:rFonts w:hint="eastAsia" w:ascii="宋体" w:hAnsi="宋体" w:eastAsia="宋体" w:cs="宋体"/>
          <w:snapToGrid/>
          <w:color w:val="auto"/>
          <w:kern w:val="2"/>
          <w:highlight w:val="none"/>
          <w:u w:val="single"/>
        </w:rPr>
        <w:t>天内，承包人须结合项目实际情况编制施工组织设计方案并报送发包人及监理单位。该施工组织设计方案经发包人代表及监理单位审核确认后，承包人必须按监理单位和发包人确认的施工组织设计方案组织施工，接受监理工程师的检查、监督。</w:t>
      </w:r>
    </w:p>
    <w:p w14:paraId="4B46D1D5">
      <w:pPr>
        <w:spacing w:before="185" w:line="360" w:lineRule="auto"/>
        <w:ind w:left="15" w:right="79" w:firstLine="475"/>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②结合施工现场的实际情况进行施工组织设计(如须采用较复杂的施工技术的施工方案)，施工中因施工组织设计、专项施工方案及施工措施所引起的费用由承包人负责。施工方案需委托相关部门进行论证审查的，其审查费用由承包人承担，因论证审查后需要调整施工方案而导致的措施费和工期的增减由承包人承担。</w:t>
      </w:r>
    </w:p>
    <w:p w14:paraId="1B16DEC3">
      <w:pPr>
        <w:spacing w:before="185" w:line="360" w:lineRule="auto"/>
        <w:ind w:left="15" w:right="79" w:firstLine="475"/>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③承包人在建工程工地管理应符合《建设工程施工现场环境与卫生标准》(JGJ146-2013)要求，加强文明施工和卫生管理宣传工作，积极在围墙、围栏、工棚发布公益宣传广告，悬挂宣传标语等，在工地显著位置按相关部门要求设立广告牌、警示语及宣传画等，该费用由承包人负责。</w:t>
      </w:r>
    </w:p>
    <w:p w14:paraId="322564BC">
      <w:pPr>
        <w:spacing w:before="185" w:line="360" w:lineRule="auto"/>
        <w:ind w:right="79" w:firstLine="420" w:firstLineChars="200"/>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④承包人的交通疏导方案须报当地交管部门审批</w:t>
      </w:r>
      <w:r>
        <w:rPr>
          <w:rFonts w:hint="eastAsia" w:ascii="宋体" w:hAnsi="宋体" w:eastAsia="宋体" w:cs="宋体"/>
          <w:snapToGrid/>
          <w:color w:val="auto"/>
          <w:kern w:val="2"/>
          <w:highlight w:val="none"/>
          <w:u w:val="single"/>
          <w:lang w:eastAsia="zh-CN"/>
        </w:rPr>
        <w:t>（</w:t>
      </w:r>
      <w:r>
        <w:rPr>
          <w:rFonts w:hint="eastAsia" w:ascii="宋体" w:hAnsi="宋体" w:eastAsia="宋体" w:cs="宋体"/>
          <w:snapToGrid/>
          <w:color w:val="auto"/>
          <w:kern w:val="2"/>
          <w:highlight w:val="none"/>
          <w:u w:val="single"/>
          <w:lang w:val="en-US" w:eastAsia="zh-CN"/>
        </w:rPr>
        <w:t>若有需要</w:t>
      </w:r>
      <w:r>
        <w:rPr>
          <w:rFonts w:hint="eastAsia" w:ascii="宋体" w:hAnsi="宋体" w:eastAsia="宋体" w:cs="宋体"/>
          <w:snapToGrid/>
          <w:color w:val="auto"/>
          <w:kern w:val="2"/>
          <w:highlight w:val="none"/>
          <w:u w:val="single"/>
          <w:lang w:eastAsia="zh-CN"/>
        </w:rPr>
        <w:t>）</w:t>
      </w:r>
      <w:r>
        <w:rPr>
          <w:rFonts w:hint="eastAsia" w:ascii="宋体" w:hAnsi="宋体" w:eastAsia="宋体" w:cs="宋体"/>
          <w:snapToGrid/>
          <w:color w:val="auto"/>
          <w:kern w:val="2"/>
          <w:highlight w:val="none"/>
          <w:u w:val="single"/>
        </w:rPr>
        <w:t>，施工期间应严格按照经审批的方案执行</w:t>
      </w:r>
      <w:r>
        <w:rPr>
          <w:rFonts w:hint="eastAsia" w:ascii="宋体" w:hAnsi="宋体" w:eastAsia="宋体" w:cs="宋体"/>
          <w:snapToGrid/>
          <w:color w:val="auto"/>
          <w:kern w:val="2"/>
          <w:highlight w:val="none"/>
          <w:u w:val="single"/>
          <w:lang w:eastAsia="zh-CN"/>
        </w:rPr>
        <w:t>，</w:t>
      </w:r>
      <w:r>
        <w:rPr>
          <w:rFonts w:hint="eastAsia" w:ascii="宋体" w:hAnsi="宋体" w:eastAsia="宋体" w:cs="宋体"/>
          <w:snapToGrid/>
          <w:color w:val="auto"/>
          <w:kern w:val="2"/>
          <w:highlight w:val="none"/>
          <w:u w:val="single"/>
          <w:lang w:val="en-US" w:eastAsia="zh-CN"/>
        </w:rPr>
        <w:t>费用由承包人承担</w:t>
      </w:r>
      <w:r>
        <w:rPr>
          <w:rFonts w:hint="eastAsia" w:ascii="宋体" w:hAnsi="宋体" w:eastAsia="宋体" w:cs="宋体"/>
          <w:snapToGrid/>
          <w:color w:val="auto"/>
          <w:kern w:val="2"/>
          <w:highlight w:val="none"/>
          <w:u w:val="single"/>
        </w:rPr>
        <w:t>。</w:t>
      </w:r>
    </w:p>
    <w:p w14:paraId="1E61A947">
      <w:pPr>
        <w:spacing w:line="360" w:lineRule="auto"/>
        <w:ind w:left="483"/>
        <w:rPr>
          <w:rFonts w:ascii="宋体" w:hAnsi="宋体" w:eastAsia="宋体" w:cs="宋体"/>
          <w:color w:val="auto"/>
          <w:sz w:val="24"/>
          <w:szCs w:val="24"/>
          <w:highlight w:val="none"/>
        </w:rPr>
      </w:pPr>
      <w:r>
        <w:rPr>
          <w:rFonts w:hint="eastAsia" w:ascii="宋体" w:hAnsi="宋体" w:eastAsia="宋体" w:cs="宋体"/>
          <w:snapToGrid/>
          <w:color w:val="auto"/>
          <w:kern w:val="2"/>
          <w:highlight w:val="none"/>
        </w:rPr>
        <w:t>承包人提供的文件的数量为：</w:t>
      </w:r>
      <w:r>
        <w:rPr>
          <w:rFonts w:hint="eastAsia" w:ascii="宋体" w:hAnsi="宋体" w:eastAsia="宋体" w:cs="宋体"/>
          <w:snapToGrid/>
          <w:color w:val="auto"/>
          <w:kern w:val="2"/>
          <w:highlight w:val="none"/>
          <w:u w:val="single"/>
        </w:rPr>
        <w:t>纸质版文件3份、电子版1份；</w:t>
      </w:r>
    </w:p>
    <w:p w14:paraId="2C1573B2">
      <w:pPr>
        <w:spacing w:before="184" w:line="360" w:lineRule="auto"/>
        <w:ind w:firstLine="482"/>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承包人提供的文件的形式为：项目经理签字确认的</w:t>
      </w:r>
      <w:r>
        <w:rPr>
          <w:rFonts w:hint="eastAsia" w:ascii="宋体" w:hAnsi="宋体" w:eastAsia="宋体" w:cs="宋体"/>
          <w:snapToGrid/>
          <w:color w:val="auto"/>
          <w:kern w:val="2"/>
          <w:highlight w:val="none"/>
          <w:u w:val="single"/>
        </w:rPr>
        <w:t>纸质版文件3份、电子版1份</w:t>
      </w:r>
      <w:r>
        <w:rPr>
          <w:rFonts w:hint="eastAsia" w:ascii="宋体" w:hAnsi="宋体" w:eastAsia="宋体" w:cs="宋体"/>
          <w:snapToGrid/>
          <w:color w:val="auto"/>
          <w:kern w:val="2"/>
          <w:highlight w:val="none"/>
        </w:rPr>
        <w:t>；</w:t>
      </w:r>
    </w:p>
    <w:p w14:paraId="5240AB75">
      <w:pPr>
        <w:spacing w:before="1" w:line="360" w:lineRule="auto"/>
        <w:ind w:left="489"/>
        <w:rPr>
          <w:rFonts w:ascii="宋体" w:hAnsi="宋体" w:eastAsia="宋体" w:cs="宋体"/>
          <w:color w:val="auto"/>
          <w:sz w:val="24"/>
          <w:szCs w:val="24"/>
          <w:highlight w:val="none"/>
        </w:rPr>
      </w:pPr>
      <w:r>
        <w:rPr>
          <w:rFonts w:hint="eastAsia" w:ascii="宋体" w:hAnsi="宋体" w:eastAsia="宋体" w:cs="宋体"/>
          <w:snapToGrid/>
          <w:color w:val="auto"/>
          <w:kern w:val="2"/>
          <w:highlight w:val="none"/>
        </w:rPr>
        <w:t>发包人审批承包人文件的期限：</w:t>
      </w:r>
      <w:r>
        <w:rPr>
          <w:rFonts w:hint="eastAsia" w:ascii="宋体" w:hAnsi="宋体" w:eastAsia="宋体" w:cs="宋体"/>
          <w:snapToGrid/>
          <w:color w:val="auto"/>
          <w:kern w:val="2"/>
          <w:highlight w:val="none"/>
          <w:u w:val="single"/>
        </w:rPr>
        <w:t xml:space="preserve">      /    </w:t>
      </w:r>
      <w:r>
        <w:rPr>
          <w:rFonts w:hint="eastAsia" w:ascii="宋体" w:hAnsi="宋体" w:eastAsia="宋体" w:cs="宋体"/>
          <w:color w:val="auto"/>
          <w:spacing w:val="2"/>
          <w:sz w:val="24"/>
          <w:szCs w:val="24"/>
          <w:highlight w:val="none"/>
          <w14:textOutline w14:w="4356" w14:cap="flat" w14:cmpd="sng" w14:algn="ctr">
            <w14:solidFill>
              <w14:srgbClr w14:val="000000"/>
            </w14:solidFill>
            <w14:prstDash w14:val="solid"/>
            <w14:miter w14:val="0"/>
          </w14:textOutline>
        </w:rPr>
        <w:t>。</w:t>
      </w:r>
    </w:p>
    <w:p w14:paraId="1A4CB135">
      <w:pPr>
        <w:spacing w:before="1" w:line="360" w:lineRule="auto"/>
        <w:ind w:left="48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1.6.5  现场图纸准备</w:t>
      </w:r>
    </w:p>
    <w:p w14:paraId="0CC54EB2">
      <w:pPr>
        <w:spacing w:before="1" w:line="360" w:lineRule="auto"/>
        <w:ind w:left="48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关于现场图纸准备的约定：按通用条款执行。</w:t>
      </w:r>
    </w:p>
    <w:p w14:paraId="4CE2D793">
      <w:pPr>
        <w:spacing w:before="1" w:line="360" w:lineRule="auto"/>
        <w:ind w:left="489"/>
        <w:rPr>
          <w:rFonts w:ascii="宋体" w:hAnsi="宋体" w:eastAsia="宋体" w:cs="宋体"/>
          <w:snapToGrid/>
          <w:color w:val="auto"/>
          <w:kern w:val="2"/>
          <w:highlight w:val="none"/>
        </w:rPr>
      </w:pPr>
      <w:bookmarkStart w:id="1099" w:name="_bookmark161"/>
      <w:bookmarkEnd w:id="1099"/>
      <w:r>
        <w:rPr>
          <w:rFonts w:hint="eastAsia" w:ascii="宋体" w:hAnsi="宋体" w:eastAsia="宋体" w:cs="宋体"/>
          <w:snapToGrid/>
          <w:color w:val="auto"/>
          <w:kern w:val="2"/>
          <w:highlight w:val="none"/>
        </w:rPr>
        <w:t>1.7  联络</w:t>
      </w:r>
    </w:p>
    <w:p w14:paraId="1E118ADA">
      <w:pPr>
        <w:spacing w:before="1" w:line="360" w:lineRule="auto"/>
        <w:ind w:firstLine="420" w:firstLineChars="200"/>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1.7.1 发包人和承包人应当在</w:t>
      </w:r>
      <w:r>
        <w:rPr>
          <w:rFonts w:hint="eastAsia" w:ascii="宋体" w:hAnsi="宋体" w:eastAsia="宋体" w:cs="宋体"/>
          <w:snapToGrid/>
          <w:color w:val="auto"/>
          <w:kern w:val="2"/>
          <w:highlight w:val="none"/>
          <w:u w:val="single"/>
        </w:rPr>
        <w:t xml:space="preserve"> 7 </w:t>
      </w:r>
      <w:r>
        <w:rPr>
          <w:rFonts w:hint="eastAsia" w:ascii="宋体" w:hAnsi="宋体" w:eastAsia="宋体" w:cs="宋体"/>
          <w:snapToGrid/>
          <w:color w:val="auto"/>
          <w:kern w:val="2"/>
          <w:highlight w:val="none"/>
        </w:rPr>
        <w:t>天内将与合同有关的通知、批准、证明、证书、指示、指令、要求、请求、同意、意见、确定和决定等书面函件送达对方当事人。</w:t>
      </w:r>
    </w:p>
    <w:p w14:paraId="0A85652B">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1.7.2  发包人接收文件的地点：</w:t>
      </w:r>
      <w:r>
        <w:rPr>
          <w:rFonts w:hint="eastAsia" w:ascii="宋体" w:hAnsi="宋体" w:eastAsia="宋体" w:cs="宋体"/>
          <w:snapToGrid/>
          <w:color w:val="auto"/>
          <w:kern w:val="2"/>
          <w:highlight w:val="none"/>
          <w:u w:val="single"/>
        </w:rPr>
        <w:t xml:space="preserve">                      ；</w:t>
      </w:r>
    </w:p>
    <w:p w14:paraId="1A6E28B7">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发包人指定的接收人为：</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218600A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承包人接收文件的地点：</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575DE45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承包人指定的接收人为：</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07E0D7E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监理人接收文件的地点： </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15A122A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监理人指定的接收人为： </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50146FB3">
      <w:pPr>
        <w:spacing w:line="360" w:lineRule="auto"/>
        <w:ind w:left="4" w:right="3" w:firstLine="479"/>
        <w:rPr>
          <w:rFonts w:ascii="宋体" w:hAnsi="宋体" w:eastAsia="宋体" w:cs="宋体"/>
          <w:snapToGrid/>
          <w:color w:val="auto"/>
          <w:kern w:val="2"/>
          <w:highlight w:val="none"/>
        </w:rPr>
      </w:pPr>
      <w:bookmarkStart w:id="1100" w:name="_bookmark162"/>
      <w:bookmarkEnd w:id="1100"/>
      <w:r>
        <w:rPr>
          <w:rFonts w:hint="eastAsia" w:ascii="宋体" w:hAnsi="宋体" w:eastAsia="宋体" w:cs="宋体"/>
          <w:snapToGrid/>
          <w:color w:val="auto"/>
          <w:kern w:val="2"/>
          <w:highlight w:val="none"/>
        </w:rPr>
        <w:t>1.10  交通运输</w:t>
      </w:r>
    </w:p>
    <w:p w14:paraId="2870A121">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1.10.1  出入现场的权利</w:t>
      </w:r>
    </w:p>
    <w:p w14:paraId="656E730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关于出入现场的权利的约定：</w:t>
      </w:r>
      <w:r>
        <w:rPr>
          <w:rFonts w:hint="eastAsia" w:ascii="宋体" w:hAnsi="宋体" w:eastAsia="宋体" w:cs="宋体"/>
          <w:snapToGrid/>
          <w:color w:val="auto"/>
          <w:kern w:val="2"/>
          <w:highlight w:val="none"/>
          <w:u w:val="single"/>
        </w:rPr>
        <w:t>承包人应根据实施合同工程的需要，负责办理取得出入施工场地的专用和临时道路的通行权，以及取得为实施合同工程所需修建场外设施的有关批准，并承担有关费用。发包人对上述手续的办理给予适当的协助</w:t>
      </w:r>
      <w:r>
        <w:rPr>
          <w:rFonts w:hint="eastAsia" w:ascii="宋体" w:hAnsi="宋体" w:eastAsia="宋体" w:cs="宋体"/>
          <w:snapToGrid/>
          <w:color w:val="auto"/>
          <w:kern w:val="2"/>
          <w:highlight w:val="none"/>
        </w:rPr>
        <w:t>。</w:t>
      </w:r>
    </w:p>
    <w:p w14:paraId="7B1ABB5E">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1.10.2  场外交通</w:t>
      </w:r>
    </w:p>
    <w:p w14:paraId="0E31A0FE">
      <w:pPr>
        <w:spacing w:line="360" w:lineRule="auto"/>
        <w:ind w:right="3" w:firstLine="420" w:firstLineChars="200"/>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自行取得场外交通设施的技术参数和具体条件，遵守有关交通法规，严格按照道路和桥梁的限制荷载行驶，执行有关道路限速、限行、禁止超载的规定，并配合交通管理部门的监督和检查。场外交通设施无法满足工程施工需要的，由承包人负责完善并承担相关费用。承包人修建的临时道路和交通设施应免费提供发包人使用。</w:t>
      </w:r>
    </w:p>
    <w:p w14:paraId="0EBE57E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1.10.3  场内交通</w:t>
      </w:r>
    </w:p>
    <w:p w14:paraId="1A24AA9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关于场外交通和场内交通的边界的约定：</w:t>
      </w:r>
      <w:r>
        <w:rPr>
          <w:rFonts w:hint="eastAsia" w:ascii="宋体" w:hAnsi="宋体" w:eastAsia="宋体" w:cs="宋体"/>
          <w:snapToGrid/>
          <w:color w:val="auto"/>
          <w:kern w:val="2"/>
          <w:highlight w:val="none"/>
          <w:u w:val="single"/>
        </w:rPr>
        <w:t xml:space="preserve"> 本项目施工现场红线为界</w:t>
      </w:r>
      <w:r>
        <w:rPr>
          <w:rFonts w:hint="eastAsia" w:ascii="宋体" w:hAnsi="宋体" w:eastAsia="宋体" w:cs="宋体"/>
          <w:snapToGrid/>
          <w:color w:val="auto"/>
          <w:kern w:val="2"/>
          <w:highlight w:val="none"/>
        </w:rPr>
        <w:t>。</w:t>
      </w:r>
    </w:p>
    <w:p w14:paraId="16929ED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关于发包人向承包人免费提供满足工程施工需要的场内道路和交通设施的约定：</w:t>
      </w:r>
      <w:r>
        <w:rPr>
          <w:rFonts w:hint="eastAsia" w:ascii="宋体" w:hAnsi="宋体" w:eastAsia="宋体" w:cs="宋体"/>
          <w:snapToGrid/>
          <w:color w:val="auto"/>
          <w:kern w:val="2"/>
          <w:highlight w:val="none"/>
          <w:u w:val="single"/>
        </w:rPr>
        <w:t xml:space="preserve"> 无</w:t>
      </w:r>
      <w:r>
        <w:rPr>
          <w:rFonts w:hint="eastAsia" w:ascii="宋体" w:hAnsi="宋体" w:eastAsia="宋体" w:cs="宋体"/>
          <w:snapToGrid/>
          <w:color w:val="auto"/>
          <w:kern w:val="2"/>
          <w:highlight w:val="none"/>
        </w:rPr>
        <w:t>。</w:t>
      </w:r>
    </w:p>
    <w:p w14:paraId="548E3817">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1.10.4 超大件和超重件的运输</w:t>
      </w:r>
    </w:p>
    <w:p w14:paraId="5C609D5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运输超大件或超重件所需的道路和桥梁临时加固改造费用和其他有关费用由</w:t>
      </w:r>
      <w:r>
        <w:rPr>
          <w:rFonts w:hint="eastAsia" w:ascii="宋体" w:hAnsi="宋体" w:eastAsia="宋体" w:cs="宋体"/>
          <w:snapToGrid/>
          <w:color w:val="auto"/>
          <w:kern w:val="2"/>
          <w:highlight w:val="none"/>
          <w:u w:val="single"/>
        </w:rPr>
        <w:t xml:space="preserve"> 承</w:t>
      </w:r>
      <w:bookmarkStart w:id="1101" w:name="_bookmark163"/>
      <w:bookmarkEnd w:id="1101"/>
      <w:r>
        <w:rPr>
          <w:rFonts w:hint="eastAsia" w:ascii="宋体" w:hAnsi="宋体" w:eastAsia="宋体" w:cs="宋体"/>
          <w:snapToGrid/>
          <w:color w:val="auto"/>
          <w:kern w:val="2"/>
          <w:highlight w:val="none"/>
          <w:u w:val="single"/>
        </w:rPr>
        <w:t>包人</w:t>
      </w:r>
      <w:r>
        <w:rPr>
          <w:rFonts w:hint="eastAsia" w:ascii="宋体" w:hAnsi="宋体" w:eastAsia="宋体" w:cs="宋体"/>
          <w:snapToGrid/>
          <w:color w:val="auto"/>
          <w:kern w:val="2"/>
          <w:highlight w:val="none"/>
        </w:rPr>
        <w:t>承担。</w:t>
      </w:r>
    </w:p>
    <w:p w14:paraId="2F86764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  知识产权</w:t>
      </w:r>
    </w:p>
    <w:p w14:paraId="146B49C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1.11.1 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napToGrid/>
          <w:color w:val="auto"/>
          <w:kern w:val="2"/>
          <w:highlight w:val="none"/>
          <w:u w:val="single"/>
        </w:rPr>
        <w:t>按通用条款执行</w:t>
      </w:r>
      <w:r>
        <w:rPr>
          <w:rFonts w:hint="eastAsia" w:ascii="宋体" w:hAnsi="宋体" w:eastAsia="宋体" w:cs="宋体"/>
          <w:snapToGrid/>
          <w:color w:val="auto"/>
          <w:kern w:val="2"/>
          <w:highlight w:val="none"/>
        </w:rPr>
        <w:t>。</w:t>
      </w:r>
    </w:p>
    <w:p w14:paraId="2536AC5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关于发包人提供的上述文件的使用限制的要求：</w:t>
      </w:r>
      <w:r>
        <w:rPr>
          <w:rFonts w:hint="eastAsia" w:ascii="宋体" w:hAnsi="宋体" w:eastAsia="宋体" w:cs="宋体"/>
          <w:snapToGrid/>
          <w:color w:val="auto"/>
          <w:kern w:val="2"/>
          <w:highlight w:val="none"/>
          <w:u w:val="single"/>
        </w:rPr>
        <w:t>按通用条款执行</w:t>
      </w:r>
      <w:r>
        <w:rPr>
          <w:rFonts w:hint="eastAsia" w:ascii="宋体" w:hAnsi="宋体" w:eastAsia="宋体" w:cs="宋体"/>
          <w:snapToGrid/>
          <w:color w:val="auto"/>
          <w:kern w:val="2"/>
          <w:highlight w:val="none"/>
        </w:rPr>
        <w:t>。</w:t>
      </w:r>
    </w:p>
    <w:p w14:paraId="2D5E4A8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1.11.2  关于承包人为实施工程所编制文件的著作权的归属：</w:t>
      </w:r>
      <w:r>
        <w:rPr>
          <w:rFonts w:hint="eastAsia" w:ascii="宋体" w:hAnsi="宋体" w:eastAsia="宋体" w:cs="宋体"/>
          <w:snapToGrid/>
          <w:color w:val="auto"/>
          <w:kern w:val="2"/>
          <w:highlight w:val="none"/>
          <w:u w:val="single"/>
        </w:rPr>
        <w:t xml:space="preserve"> 按通用条款执行</w:t>
      </w:r>
      <w:r>
        <w:rPr>
          <w:rFonts w:hint="eastAsia" w:ascii="宋体" w:hAnsi="宋体" w:eastAsia="宋体" w:cs="宋体"/>
          <w:snapToGrid/>
          <w:color w:val="auto"/>
          <w:kern w:val="2"/>
          <w:highlight w:val="none"/>
        </w:rPr>
        <w:t>。关于承包人提供的上述文件的使用限制的要求：</w:t>
      </w:r>
      <w:r>
        <w:rPr>
          <w:rFonts w:hint="eastAsia" w:ascii="宋体" w:hAnsi="宋体" w:eastAsia="宋体" w:cs="宋体"/>
          <w:snapToGrid/>
          <w:color w:val="auto"/>
          <w:kern w:val="2"/>
          <w:highlight w:val="none"/>
          <w:u w:val="single"/>
        </w:rPr>
        <w:t xml:space="preserve"> 按通用条款执行</w:t>
      </w:r>
      <w:r>
        <w:rPr>
          <w:rFonts w:hint="eastAsia" w:ascii="宋体" w:hAnsi="宋体" w:eastAsia="宋体" w:cs="宋体"/>
          <w:snapToGrid/>
          <w:color w:val="auto"/>
          <w:kern w:val="2"/>
          <w:highlight w:val="none"/>
        </w:rPr>
        <w:t>。</w:t>
      </w:r>
    </w:p>
    <w:p w14:paraId="61D2384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1.11.4  承包人在施工过程中所采用的专利、专有技术、技术秘密的使用费的承担</w:t>
      </w:r>
      <w:bookmarkStart w:id="1102" w:name="_bookmark164"/>
      <w:bookmarkEnd w:id="1102"/>
      <w:r>
        <w:rPr>
          <w:rFonts w:hint="eastAsia" w:ascii="宋体" w:hAnsi="宋体" w:eastAsia="宋体" w:cs="宋体"/>
          <w:snapToGrid/>
          <w:color w:val="auto"/>
          <w:kern w:val="2"/>
          <w:highlight w:val="none"/>
        </w:rPr>
        <w:t>方式：</w:t>
      </w:r>
      <w:r>
        <w:rPr>
          <w:rFonts w:hint="eastAsia" w:ascii="宋体" w:hAnsi="宋体" w:eastAsia="宋体" w:cs="宋体"/>
          <w:snapToGrid/>
          <w:color w:val="auto"/>
          <w:kern w:val="2"/>
          <w:highlight w:val="none"/>
          <w:u w:val="single"/>
        </w:rPr>
        <w:t>按通用条款执行</w:t>
      </w:r>
      <w:r>
        <w:rPr>
          <w:rFonts w:hint="eastAsia" w:ascii="宋体" w:hAnsi="宋体" w:eastAsia="宋体" w:cs="宋体"/>
          <w:snapToGrid/>
          <w:color w:val="auto"/>
          <w:kern w:val="2"/>
          <w:highlight w:val="none"/>
        </w:rPr>
        <w:t>。</w:t>
      </w:r>
    </w:p>
    <w:p w14:paraId="272DAC1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1.13 工程量清单错误的修正</w:t>
      </w:r>
    </w:p>
    <w:p w14:paraId="0A0C55C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出现工程量清单错误时，是否调整合同价格：</w:t>
      </w:r>
      <w:r>
        <w:rPr>
          <w:rFonts w:ascii="宋体" w:hAnsi="宋体" w:eastAsia="宋体" w:cs="宋体"/>
          <w:snapToGrid/>
          <w:color w:val="auto"/>
          <w:kern w:val="2"/>
          <w:highlight w:val="none"/>
          <w:u w:val="single"/>
        </w:rPr>
        <w:t xml:space="preserve">  </w:t>
      </w:r>
      <w:r>
        <w:rPr>
          <w:rFonts w:hint="eastAsia" w:eastAsia="宋体"/>
          <w:color w:val="auto"/>
          <w:szCs w:val="20"/>
          <w:highlight w:val="none"/>
          <w:u w:val="single"/>
        </w:rPr>
        <w:t>如建设单位及发包人提供的工程量清单出现缺项漏项、偏差、计量错误等，均不调整合同价格，承包人投标时应充分考虑，相关费用纳入投标总价一次包干</w:t>
      </w:r>
      <w:r>
        <w:rPr>
          <w:rFonts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1C21DF57">
      <w:pPr>
        <w:pStyle w:val="5"/>
        <w:ind w:firstLine="420" w:firstLineChars="200"/>
        <w:rPr>
          <w:rFonts w:ascii="宋体" w:hAnsi="宋体" w:eastAsia="宋体" w:cs="宋体"/>
          <w:snapToGrid/>
          <w:color w:val="auto"/>
          <w:kern w:val="2"/>
          <w:highlight w:val="none"/>
        </w:rPr>
      </w:pPr>
      <w:r>
        <w:rPr>
          <w:rFonts w:hint="eastAsia" w:eastAsia="宋体"/>
          <w:color w:val="auto"/>
          <w:highlight w:val="none"/>
        </w:rPr>
        <w:t xml:space="preserve">      </w:t>
      </w:r>
      <w:r>
        <w:rPr>
          <w:rFonts w:hint="eastAsia" w:ascii="宋体" w:hAnsi="宋体" w:eastAsia="宋体" w:cs="宋体"/>
          <w:snapToGrid/>
          <w:color w:val="auto"/>
          <w:kern w:val="2"/>
          <w:highlight w:val="none"/>
        </w:rPr>
        <w:t>允许调整合同价格的工程量偏差范围：</w:t>
      </w:r>
      <w:r>
        <w:rPr>
          <w:rFonts w:asciiTheme="minorEastAsia" w:hAnsiTheme="minorEastAsia" w:eastAsiaTheme="minorEastAsia" w:cstheme="minorEastAsia"/>
          <w:b/>
          <w:color w:val="auto"/>
          <w:szCs w:val="21"/>
          <w:highlight w:val="none"/>
          <w:u w:val="single"/>
        </w:rPr>
        <w:t>/</w:t>
      </w:r>
      <w:r>
        <w:rPr>
          <w:rFonts w:hint="eastAsia" w:asciiTheme="minorEastAsia" w:hAnsiTheme="minorEastAsia" w:eastAsiaTheme="minorEastAsia" w:cstheme="minorEastAsia"/>
          <w:snapToGrid/>
          <w:color w:val="auto"/>
          <w:kern w:val="2"/>
          <w:highlight w:val="none"/>
        </w:rPr>
        <w:t>。</w:t>
      </w:r>
    </w:p>
    <w:p w14:paraId="0C14F080">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103" w:name="_bookmark165"/>
      <w:bookmarkEnd w:id="1103"/>
      <w:bookmarkStart w:id="1104" w:name="_Toc2130"/>
      <w:bookmarkStart w:id="1105" w:name="_Toc24466"/>
      <w:bookmarkStart w:id="1106" w:name="_Toc17827"/>
      <w:bookmarkStart w:id="1107" w:name="_Toc14470"/>
      <w:bookmarkStart w:id="1108" w:name="_Toc21262"/>
      <w:r>
        <w:rPr>
          <w:rFonts w:hint="eastAsia" w:ascii="宋体" w:hAnsi="宋体" w:eastAsia="宋体"/>
          <w:b/>
          <w:bCs/>
          <w:snapToGrid/>
          <w:color w:val="auto"/>
          <w:kern w:val="2"/>
          <w:highlight w:val="none"/>
        </w:rPr>
        <w:t>2. 发包人</w:t>
      </w:r>
      <w:bookmarkEnd w:id="1104"/>
      <w:bookmarkEnd w:id="1105"/>
      <w:bookmarkEnd w:id="1106"/>
      <w:bookmarkEnd w:id="1107"/>
      <w:bookmarkEnd w:id="1108"/>
    </w:p>
    <w:p w14:paraId="0DB0534D">
      <w:pPr>
        <w:spacing w:line="360" w:lineRule="auto"/>
        <w:ind w:left="4" w:right="3" w:firstLine="479"/>
        <w:rPr>
          <w:rFonts w:ascii="宋体" w:hAnsi="宋体" w:eastAsia="宋体" w:cs="宋体"/>
          <w:snapToGrid/>
          <w:color w:val="auto"/>
          <w:kern w:val="2"/>
          <w:highlight w:val="none"/>
        </w:rPr>
      </w:pPr>
      <w:bookmarkStart w:id="1109" w:name="_bookmark166"/>
      <w:bookmarkEnd w:id="1109"/>
      <w:r>
        <w:rPr>
          <w:rFonts w:hint="eastAsia" w:ascii="宋体" w:hAnsi="宋体" w:eastAsia="宋体" w:cs="宋体"/>
          <w:snapToGrid/>
          <w:color w:val="auto"/>
          <w:kern w:val="2"/>
          <w:highlight w:val="none"/>
        </w:rPr>
        <w:t>2.2发包人代表</w:t>
      </w:r>
    </w:p>
    <w:p w14:paraId="7948889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发包人代表：</w:t>
      </w:r>
    </w:p>
    <w:p w14:paraId="6D548AB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姓    名：</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06CEAA7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身份证号：</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 xml:space="preserve"> ；</w:t>
      </w:r>
    </w:p>
    <w:p w14:paraId="6CEB5C6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职    务： </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 xml:space="preserve"> ；</w:t>
      </w:r>
    </w:p>
    <w:p w14:paraId="635D1421">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联系电话：</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1D7B272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电子信箱：</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6061B57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通信地址：</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594BF03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发包人对发包人代表的授权范围如下：</w:t>
      </w:r>
      <w:r>
        <w:rPr>
          <w:rFonts w:hint="eastAsia" w:ascii="宋体" w:hAnsi="宋体" w:eastAsia="宋体" w:cs="宋体"/>
          <w:snapToGrid/>
          <w:color w:val="auto"/>
          <w:kern w:val="2"/>
          <w:highlight w:val="none"/>
          <w:u w:val="single"/>
        </w:rPr>
        <w:t>督促指导监理工程师行使职权，协调施工现场各方面的关系，协调工程质量，进度和安全文明施工中存在的问题，解决有关设计和技术签证，办理、签认现场经济技术签证，审核工程进度报表。</w:t>
      </w:r>
      <w:r>
        <w:rPr>
          <w:rFonts w:hint="eastAsia" w:ascii="宋体" w:hAnsi="宋体" w:eastAsia="宋体" w:cs="宋体"/>
          <w:snapToGrid/>
          <w:color w:val="auto"/>
          <w:kern w:val="2"/>
          <w:highlight w:val="none"/>
        </w:rPr>
        <w:t xml:space="preserve">      </w:t>
      </w:r>
    </w:p>
    <w:p w14:paraId="7156611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2.4  施工现场、施工条件和基础资料的提供</w:t>
      </w:r>
    </w:p>
    <w:p w14:paraId="46A2DC0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2.4.1  提供施工现场</w:t>
      </w:r>
    </w:p>
    <w:p w14:paraId="4B590201">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关于发包人移交施工现场的期限要求：</w:t>
      </w:r>
      <w:r>
        <w:rPr>
          <w:rFonts w:hint="eastAsia" w:ascii="宋体" w:hAnsi="宋体" w:eastAsia="宋体" w:cs="宋体"/>
          <w:snapToGrid/>
          <w:color w:val="auto"/>
          <w:kern w:val="2"/>
          <w:highlight w:val="none"/>
          <w:u w:val="single"/>
        </w:rPr>
        <w:t>发包人在能使承包人可以按照计划进度顺利开工的时间内提供。</w:t>
      </w:r>
    </w:p>
    <w:p w14:paraId="799CC62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2.4.2  提供施工条件</w:t>
      </w:r>
    </w:p>
    <w:p w14:paraId="707D7D04">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关于发包人应负责提供施工所需要的条件，包括：</w:t>
      </w:r>
      <w:r>
        <w:rPr>
          <w:rFonts w:hint="eastAsia" w:ascii="宋体" w:hAnsi="宋体" w:eastAsia="宋体" w:cs="宋体"/>
          <w:snapToGrid/>
          <w:color w:val="auto"/>
          <w:kern w:val="2"/>
          <w:highlight w:val="none"/>
          <w:u w:val="single"/>
        </w:rPr>
        <w:t>仅提供工作场地。</w:t>
      </w:r>
    </w:p>
    <w:p w14:paraId="63BE424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2.5  资金来源证明及支付担保</w:t>
      </w:r>
    </w:p>
    <w:p w14:paraId="35D34355">
      <w:pPr>
        <w:spacing w:line="360" w:lineRule="auto"/>
        <w:ind w:right="3" w:firstLine="630" w:firstLineChars="300"/>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发包人提供资金来源证明的期限要求：</w:t>
      </w:r>
      <w:r>
        <w:rPr>
          <w:rFonts w:hint="eastAsia" w:ascii="宋体" w:hAnsi="宋体" w:eastAsia="宋体" w:cs="宋体"/>
          <w:snapToGrid/>
          <w:color w:val="auto"/>
          <w:kern w:val="2"/>
          <w:highlight w:val="none"/>
          <w:u w:val="single"/>
        </w:rPr>
        <w:t>发包人不提供资金来源证明</w:t>
      </w:r>
      <w:r>
        <w:rPr>
          <w:rFonts w:hint="eastAsia" w:ascii="宋体" w:hAnsi="宋体" w:eastAsia="宋体" w:cs="宋体"/>
          <w:snapToGrid/>
          <w:color w:val="auto"/>
          <w:kern w:val="2"/>
          <w:highlight w:val="none"/>
        </w:rPr>
        <w:t>。</w:t>
      </w:r>
    </w:p>
    <w:p w14:paraId="5F59796D">
      <w:pPr>
        <w:spacing w:line="360" w:lineRule="auto"/>
        <w:ind w:right="3" w:firstLine="630" w:firstLineChars="300"/>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发包人是否提供支付担保：</w:t>
      </w:r>
      <w:r>
        <w:rPr>
          <w:rFonts w:hint="eastAsia" w:ascii="宋体" w:hAnsi="宋体" w:eastAsia="宋体" w:cs="宋体"/>
          <w:snapToGrid/>
          <w:color w:val="auto"/>
          <w:kern w:val="2"/>
          <w:highlight w:val="none"/>
          <w:u w:val="single"/>
        </w:rPr>
        <w:t>发包人不另行提供工程款支付保证担保。</w:t>
      </w:r>
      <w:r>
        <w:rPr>
          <w:rFonts w:hint="eastAsia" w:ascii="宋体" w:hAnsi="宋体" w:eastAsia="宋体" w:cs="宋体"/>
          <w:snapToGrid/>
          <w:color w:val="auto"/>
          <w:kern w:val="2"/>
          <w:highlight w:val="none"/>
        </w:rPr>
        <w:t>发包人提供支付担保的形式：</w:t>
      </w:r>
      <w:r>
        <w:rPr>
          <w:rFonts w:hint="eastAsia" w:ascii="宋体" w:hAnsi="宋体" w:eastAsia="宋体" w:cs="宋体"/>
          <w:snapToGrid/>
          <w:color w:val="auto"/>
          <w:kern w:val="2"/>
          <w:highlight w:val="none"/>
          <w:u w:val="single"/>
        </w:rPr>
        <w:t xml:space="preserve"> 无</w:t>
      </w:r>
      <w:r>
        <w:rPr>
          <w:rFonts w:hint="eastAsia" w:ascii="宋体" w:hAnsi="宋体" w:eastAsia="宋体" w:cs="宋体"/>
          <w:snapToGrid/>
          <w:color w:val="auto"/>
          <w:kern w:val="2"/>
          <w:highlight w:val="none"/>
        </w:rPr>
        <w:t>。</w:t>
      </w:r>
    </w:p>
    <w:p w14:paraId="10AC5F78">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110" w:name="_bookmark169"/>
      <w:bookmarkEnd w:id="1110"/>
      <w:bookmarkStart w:id="1111" w:name="_Toc11550"/>
      <w:bookmarkStart w:id="1112" w:name="_Toc7825"/>
      <w:bookmarkStart w:id="1113" w:name="_Toc27206"/>
      <w:bookmarkStart w:id="1114" w:name="_Toc23298"/>
      <w:bookmarkStart w:id="1115" w:name="_Toc22241"/>
      <w:r>
        <w:rPr>
          <w:rFonts w:hint="eastAsia" w:ascii="宋体" w:hAnsi="宋体" w:eastAsia="宋体"/>
          <w:b/>
          <w:bCs/>
          <w:snapToGrid/>
          <w:color w:val="auto"/>
          <w:kern w:val="2"/>
          <w:highlight w:val="none"/>
        </w:rPr>
        <w:t>3. 承包人</w:t>
      </w:r>
      <w:bookmarkEnd w:id="1111"/>
      <w:bookmarkEnd w:id="1112"/>
      <w:bookmarkEnd w:id="1113"/>
      <w:bookmarkEnd w:id="1114"/>
      <w:bookmarkEnd w:id="1115"/>
    </w:p>
    <w:p w14:paraId="4642C685">
      <w:pPr>
        <w:spacing w:line="360" w:lineRule="auto"/>
        <w:ind w:left="4" w:right="3" w:firstLine="479"/>
        <w:rPr>
          <w:rFonts w:ascii="宋体" w:hAnsi="宋体" w:eastAsia="宋体" w:cs="宋体"/>
          <w:snapToGrid/>
          <w:color w:val="auto"/>
          <w:kern w:val="2"/>
          <w:highlight w:val="none"/>
        </w:rPr>
      </w:pPr>
      <w:bookmarkStart w:id="1116" w:name="_bookmark170"/>
      <w:bookmarkEnd w:id="1116"/>
      <w:r>
        <w:rPr>
          <w:rFonts w:hint="eastAsia" w:ascii="宋体" w:hAnsi="宋体" w:eastAsia="宋体" w:cs="宋体"/>
          <w:snapToGrid/>
          <w:color w:val="auto"/>
          <w:kern w:val="2"/>
          <w:highlight w:val="none"/>
        </w:rPr>
        <w:t>3.1  承包人的一般义务</w:t>
      </w:r>
    </w:p>
    <w:p w14:paraId="1736259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 承包人提交的竣工资料的内容：</w:t>
      </w:r>
      <w:r>
        <w:rPr>
          <w:rFonts w:hint="eastAsia" w:ascii="宋体" w:hAnsi="宋体" w:eastAsia="宋体" w:cs="宋体"/>
          <w:snapToGrid/>
          <w:color w:val="auto"/>
          <w:kern w:val="2"/>
          <w:highlight w:val="none"/>
          <w:u w:val="single"/>
        </w:rPr>
        <w:t>承包人向发包人提交完整竣工图纸及竣工图电子文档</w:t>
      </w:r>
      <w:r>
        <w:rPr>
          <w:rFonts w:hint="eastAsia" w:ascii="宋体" w:hAnsi="宋体" w:eastAsia="宋体" w:cs="宋体"/>
          <w:snapToGrid/>
          <w:color w:val="auto"/>
          <w:kern w:val="2"/>
          <w:highlight w:val="none"/>
        </w:rPr>
        <w:t>。</w:t>
      </w:r>
    </w:p>
    <w:p w14:paraId="69A9207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承包人需要提交的竣工资料套数：</w:t>
      </w:r>
      <w:r>
        <w:rPr>
          <w:rFonts w:hint="eastAsia" w:ascii="宋体" w:hAnsi="宋体" w:eastAsia="宋体" w:cs="宋体"/>
          <w:snapToGrid/>
          <w:color w:val="auto"/>
          <w:kern w:val="2"/>
          <w:highlight w:val="none"/>
          <w:u w:val="single"/>
        </w:rPr>
        <w:t xml:space="preserve">    四套    </w:t>
      </w:r>
      <w:r>
        <w:rPr>
          <w:rFonts w:hint="eastAsia" w:ascii="宋体" w:hAnsi="宋体" w:eastAsia="宋体" w:cs="宋体"/>
          <w:snapToGrid/>
          <w:color w:val="auto"/>
          <w:kern w:val="2"/>
          <w:highlight w:val="none"/>
        </w:rPr>
        <w:t>。</w:t>
      </w:r>
    </w:p>
    <w:p w14:paraId="73AB51A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承包人提交的竣工资料的费用承担：</w:t>
      </w:r>
      <w:r>
        <w:rPr>
          <w:rFonts w:hint="eastAsia" w:ascii="宋体" w:hAnsi="宋体" w:eastAsia="宋体" w:cs="宋体"/>
          <w:snapToGrid/>
          <w:color w:val="auto"/>
          <w:kern w:val="2"/>
          <w:highlight w:val="none"/>
          <w:u w:val="single"/>
        </w:rPr>
        <w:t xml:space="preserve">    由承包人承担     </w:t>
      </w:r>
      <w:r>
        <w:rPr>
          <w:rFonts w:hint="eastAsia" w:ascii="宋体" w:hAnsi="宋体" w:eastAsia="宋体" w:cs="宋体"/>
          <w:snapToGrid/>
          <w:color w:val="auto"/>
          <w:kern w:val="2"/>
          <w:highlight w:val="none"/>
        </w:rPr>
        <w:t>。</w:t>
      </w:r>
    </w:p>
    <w:p w14:paraId="16B2617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承包人提交的竣工资料移交时间： </w:t>
      </w:r>
      <w:r>
        <w:rPr>
          <w:rFonts w:hint="eastAsia" w:ascii="宋体" w:hAnsi="宋体" w:eastAsia="宋体" w:cs="宋体"/>
          <w:snapToGrid/>
          <w:color w:val="auto"/>
          <w:kern w:val="2"/>
          <w:highlight w:val="none"/>
          <w:u w:val="single"/>
        </w:rPr>
        <w:t>工程竣工验收合格后半个月内</w:t>
      </w:r>
      <w:r>
        <w:rPr>
          <w:rFonts w:hint="eastAsia" w:ascii="宋体" w:hAnsi="宋体" w:eastAsia="宋体" w:cs="宋体"/>
          <w:snapToGrid/>
          <w:color w:val="auto"/>
          <w:kern w:val="2"/>
          <w:highlight w:val="none"/>
        </w:rPr>
        <w:t>。 承包人提交的竣工资料形式要求：</w:t>
      </w:r>
      <w:r>
        <w:rPr>
          <w:rFonts w:hint="eastAsia" w:ascii="宋体" w:hAnsi="宋体" w:eastAsia="宋体" w:cs="宋体"/>
          <w:snapToGrid/>
          <w:color w:val="auto"/>
          <w:kern w:val="2"/>
          <w:highlight w:val="none"/>
          <w:u w:val="single"/>
        </w:rPr>
        <w:t xml:space="preserve"> 书面及电子文档    </w:t>
      </w:r>
      <w:r>
        <w:rPr>
          <w:rFonts w:hint="eastAsia" w:ascii="宋体" w:hAnsi="宋体" w:eastAsia="宋体" w:cs="宋体"/>
          <w:snapToGrid/>
          <w:color w:val="auto"/>
          <w:kern w:val="2"/>
          <w:highlight w:val="none"/>
        </w:rPr>
        <w:t>。</w:t>
      </w:r>
    </w:p>
    <w:p w14:paraId="33465D3D">
      <w:pPr>
        <w:numPr>
          <w:ilvl w:val="0"/>
          <w:numId w:val="3"/>
        </w:numPr>
        <w:spacing w:line="360" w:lineRule="auto"/>
        <w:ind w:right="3" w:firstLine="420" w:firstLineChars="200"/>
        <w:rPr>
          <w:rFonts w:hint="eastAsia"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 xml:space="preserve">承包人应履行的其他义务：（1） </w:t>
      </w:r>
      <w:r>
        <w:rPr>
          <w:rFonts w:hint="eastAsia" w:ascii="宋体" w:hAnsi="宋体" w:eastAsia="宋体" w:cs="宋体"/>
          <w:snapToGrid/>
          <w:color w:val="auto"/>
          <w:kern w:val="2"/>
          <w:highlight w:val="none"/>
          <w:u w:val="single"/>
        </w:rPr>
        <w:t>本工程现场临电、临水接驳由承包人负责和</w:t>
      </w:r>
      <w:r>
        <w:rPr>
          <w:rFonts w:hint="eastAsia" w:ascii="宋体" w:hAnsi="宋体" w:eastAsia="宋体" w:cs="宋体"/>
          <w:snapToGrid/>
          <w:color w:val="auto"/>
          <w:kern w:val="2"/>
          <w:highlight w:val="none"/>
          <w:u w:val="single"/>
          <w:lang w:val="en-US" w:eastAsia="zh-CN"/>
        </w:rPr>
        <w:t>相关单位和个人</w:t>
      </w:r>
      <w:r>
        <w:rPr>
          <w:rFonts w:hint="eastAsia" w:ascii="宋体" w:hAnsi="宋体" w:eastAsia="宋体" w:cs="宋体"/>
          <w:snapToGrid/>
          <w:color w:val="auto"/>
          <w:kern w:val="2"/>
          <w:highlight w:val="none"/>
          <w:u w:val="single"/>
        </w:rPr>
        <w:t>沟通接通</w:t>
      </w:r>
      <w:r>
        <w:rPr>
          <w:rFonts w:hint="eastAsia" w:ascii="宋体" w:hAnsi="宋体" w:eastAsia="宋体" w:cs="宋体"/>
          <w:snapToGrid/>
          <w:color w:val="auto"/>
          <w:kern w:val="2"/>
          <w:highlight w:val="none"/>
          <w:u w:val="single"/>
          <w:lang w:eastAsia="zh-CN"/>
        </w:rPr>
        <w:t>，</w:t>
      </w:r>
      <w:r>
        <w:rPr>
          <w:rFonts w:hint="eastAsia" w:ascii="宋体" w:hAnsi="宋体" w:eastAsia="宋体" w:cs="宋体"/>
          <w:snapToGrid/>
          <w:color w:val="auto"/>
          <w:kern w:val="2"/>
          <w:highlight w:val="none"/>
          <w:u w:val="single"/>
        </w:rPr>
        <w:t>施工中的水、电费由承包人负责(其中也包括了办公区、生活区及提供给发包人的施工现场办公和生活区等)；由承包人负责准备材料并办理施工许可</w:t>
      </w:r>
      <w:r>
        <w:rPr>
          <w:rFonts w:hint="eastAsia" w:ascii="宋体" w:hAnsi="宋体" w:eastAsia="宋体" w:cs="宋体"/>
          <w:snapToGrid/>
          <w:color w:val="auto"/>
          <w:kern w:val="2"/>
          <w:highlight w:val="none"/>
          <w:u w:val="single"/>
          <w:lang w:val="en-US" w:eastAsia="zh-CN"/>
        </w:rPr>
        <w:t>等所有相关报建手续（具体按照相关部门要求）</w:t>
      </w:r>
      <w:r>
        <w:rPr>
          <w:rFonts w:hint="eastAsia" w:ascii="宋体" w:hAnsi="宋体" w:eastAsia="宋体" w:cs="宋体"/>
          <w:snapToGrid/>
          <w:color w:val="auto"/>
          <w:kern w:val="2"/>
          <w:highlight w:val="none"/>
          <w:u w:val="single"/>
        </w:rPr>
        <w:t>由承包人承担相关费用；做好施工场地周围地形关系问题和做好邻近建筑物、构筑物(包括文物保护建筑)等的保护工作；达到东莞市档案馆的《东莞市城市建设档案管理办法》的移交档案标准；</w:t>
      </w:r>
      <w:r>
        <w:rPr>
          <w:rFonts w:hint="eastAsia" w:ascii="宋体" w:hAnsi="宋体" w:eastAsia="宋体" w:cs="宋体"/>
          <w:snapToGrid/>
          <w:color w:val="auto"/>
          <w:kern w:val="2"/>
          <w:highlight w:val="none"/>
          <w:u w:val="single"/>
          <w:lang w:val="en-US" w:eastAsia="zh-CN"/>
        </w:rPr>
        <w:t>承包方</w:t>
      </w:r>
      <w:r>
        <w:rPr>
          <w:rFonts w:hint="eastAsia" w:ascii="宋体" w:hAnsi="宋体" w:eastAsia="宋体" w:cs="宋体"/>
          <w:snapToGrid/>
          <w:color w:val="auto"/>
          <w:kern w:val="2"/>
          <w:highlight w:val="none"/>
          <w:u w:val="single"/>
        </w:rPr>
        <w:t>工地临时办公、生活用房及其它设施</w:t>
      </w:r>
      <w:r>
        <w:rPr>
          <w:rFonts w:hint="eastAsia" w:ascii="宋体" w:hAnsi="宋体" w:eastAsia="宋体" w:cs="宋体"/>
          <w:snapToGrid/>
          <w:color w:val="auto"/>
          <w:kern w:val="2"/>
          <w:highlight w:val="none"/>
          <w:u w:val="single"/>
          <w:lang w:val="en-US" w:eastAsia="zh-CN"/>
        </w:rPr>
        <w:t>等</w:t>
      </w:r>
      <w:r>
        <w:rPr>
          <w:rFonts w:hint="eastAsia" w:ascii="宋体" w:hAnsi="宋体" w:eastAsia="宋体" w:cs="宋体"/>
          <w:snapToGrid/>
          <w:color w:val="auto"/>
          <w:kern w:val="2"/>
          <w:highlight w:val="none"/>
          <w:u w:val="single"/>
        </w:rPr>
        <w:t>自行解决并须承担相应的</w:t>
      </w:r>
      <w:r>
        <w:rPr>
          <w:rFonts w:hint="eastAsia" w:ascii="宋体" w:hAnsi="宋体" w:eastAsia="宋体" w:cs="宋体"/>
          <w:snapToGrid/>
          <w:color w:val="auto"/>
          <w:kern w:val="2"/>
          <w:highlight w:val="none"/>
          <w:u w:val="single"/>
          <w:lang w:val="en-US" w:eastAsia="zh-CN"/>
        </w:rPr>
        <w:t>费用</w:t>
      </w:r>
      <w:r>
        <w:rPr>
          <w:rFonts w:hint="eastAsia" w:ascii="宋体" w:hAnsi="宋体" w:eastAsia="宋体" w:cs="宋体"/>
          <w:snapToGrid/>
          <w:color w:val="auto"/>
          <w:kern w:val="2"/>
          <w:highlight w:val="none"/>
          <w:u w:val="single"/>
        </w:rPr>
        <w:t>，同时在工地完工时须将</w:t>
      </w:r>
      <w:r>
        <w:rPr>
          <w:rFonts w:hint="eastAsia" w:ascii="宋体" w:hAnsi="宋体" w:eastAsia="宋体" w:cs="宋体"/>
          <w:snapToGrid/>
          <w:color w:val="auto"/>
          <w:kern w:val="2"/>
          <w:highlight w:val="none"/>
          <w:u w:val="single"/>
          <w:lang w:val="en-US" w:eastAsia="zh-CN"/>
        </w:rPr>
        <w:t>现场</w:t>
      </w:r>
      <w:r>
        <w:rPr>
          <w:rFonts w:hint="eastAsia" w:ascii="宋体" w:hAnsi="宋体" w:eastAsia="宋体" w:cs="宋体"/>
          <w:snapToGrid/>
          <w:color w:val="auto"/>
          <w:kern w:val="2"/>
          <w:highlight w:val="none"/>
          <w:u w:val="single"/>
        </w:rPr>
        <w:t>所有设施</w:t>
      </w:r>
      <w:r>
        <w:rPr>
          <w:rFonts w:hint="eastAsia" w:ascii="宋体" w:hAnsi="宋体" w:eastAsia="宋体" w:cs="宋体"/>
          <w:snapToGrid/>
          <w:color w:val="auto"/>
          <w:kern w:val="2"/>
          <w:highlight w:val="none"/>
          <w:u w:val="single"/>
          <w:lang w:val="en-US" w:eastAsia="zh-CN"/>
        </w:rPr>
        <w:t>设备等</w:t>
      </w:r>
      <w:r>
        <w:rPr>
          <w:rFonts w:hint="eastAsia" w:ascii="宋体" w:hAnsi="宋体" w:eastAsia="宋体" w:cs="宋体"/>
          <w:snapToGrid/>
          <w:color w:val="auto"/>
          <w:kern w:val="2"/>
          <w:highlight w:val="none"/>
          <w:u w:val="single"/>
        </w:rPr>
        <w:t>拆除外运，并恢复原貌。（2）所有报建、验收工作等对外协调工作由承包人</w:t>
      </w:r>
      <w:r>
        <w:rPr>
          <w:rFonts w:hint="eastAsia" w:ascii="宋体" w:hAnsi="宋体" w:eastAsia="宋体" w:cs="宋体"/>
          <w:snapToGrid/>
          <w:color w:val="auto"/>
          <w:kern w:val="2"/>
          <w:highlight w:val="none"/>
          <w:u w:val="single"/>
          <w:lang w:val="en-US" w:eastAsia="zh-CN"/>
        </w:rPr>
        <w:t>负责</w:t>
      </w:r>
      <w:r>
        <w:rPr>
          <w:rFonts w:hint="eastAsia" w:ascii="宋体" w:hAnsi="宋体" w:eastAsia="宋体" w:cs="宋体"/>
          <w:snapToGrid/>
          <w:color w:val="auto"/>
          <w:kern w:val="2"/>
          <w:highlight w:val="none"/>
          <w:u w:val="single"/>
        </w:rPr>
        <w:t>完成，发包人</w:t>
      </w:r>
      <w:r>
        <w:rPr>
          <w:rFonts w:hint="eastAsia" w:ascii="宋体" w:hAnsi="宋体" w:eastAsia="宋体" w:cs="宋体"/>
          <w:snapToGrid/>
          <w:color w:val="auto"/>
          <w:kern w:val="2"/>
          <w:highlight w:val="none"/>
          <w:u w:val="single"/>
          <w:lang w:val="en-US" w:eastAsia="zh-CN"/>
        </w:rPr>
        <w:t>可提供</w:t>
      </w:r>
      <w:r>
        <w:rPr>
          <w:rFonts w:hint="eastAsia" w:ascii="宋体" w:hAnsi="宋体" w:eastAsia="宋体" w:cs="宋体"/>
          <w:snapToGrid/>
          <w:color w:val="auto"/>
          <w:kern w:val="2"/>
          <w:highlight w:val="none"/>
          <w:u w:val="single"/>
        </w:rPr>
        <w:t>协助。（3）所有拆除旧物由施工单位自行合法合规处理，并从施工现场清理出场。</w:t>
      </w:r>
      <w:r>
        <w:rPr>
          <w:rFonts w:hint="eastAsia" w:ascii="宋体" w:hAnsi="宋体" w:eastAsia="宋体" w:cs="宋体"/>
          <w:snapToGrid/>
          <w:color w:val="auto"/>
          <w:kern w:val="2"/>
          <w:highlight w:val="none"/>
          <w:u w:val="single"/>
          <w:lang w:eastAsia="zh-CN"/>
        </w:rPr>
        <w:t>（</w:t>
      </w:r>
      <w:r>
        <w:rPr>
          <w:rFonts w:hint="eastAsia" w:ascii="宋体" w:hAnsi="宋体" w:eastAsia="宋体" w:cs="宋体"/>
          <w:snapToGrid/>
          <w:color w:val="auto"/>
          <w:kern w:val="2"/>
          <w:highlight w:val="none"/>
          <w:u w:val="single"/>
          <w:lang w:val="en-US" w:eastAsia="zh-CN"/>
        </w:rPr>
        <w:t>4</w:t>
      </w:r>
      <w:r>
        <w:rPr>
          <w:rFonts w:hint="eastAsia" w:ascii="宋体" w:hAnsi="宋体" w:eastAsia="宋体" w:cs="宋体"/>
          <w:snapToGrid/>
          <w:color w:val="auto"/>
          <w:kern w:val="2"/>
          <w:highlight w:val="none"/>
          <w:u w:val="single"/>
          <w:lang w:eastAsia="zh-CN"/>
        </w:rPr>
        <w:t>）</w:t>
      </w:r>
      <w:r>
        <w:rPr>
          <w:rFonts w:hint="eastAsia" w:ascii="宋体" w:hAnsi="宋体" w:eastAsia="宋体" w:cs="宋体"/>
          <w:snapToGrid/>
          <w:color w:val="auto"/>
          <w:kern w:val="2"/>
          <w:highlight w:val="none"/>
          <w:u w:val="single"/>
        </w:rPr>
        <w:t>施工单位应严格遵守安居公司及东实集团现行及后续更新发布的各项工程管理相关制度和规定，并将其作为本合同履行的依据。</w:t>
      </w:r>
    </w:p>
    <w:p w14:paraId="2BB5D58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3.2  项目经理</w:t>
      </w:r>
    </w:p>
    <w:p w14:paraId="3AD09A6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3.2.1  项目经理：</w:t>
      </w:r>
    </w:p>
    <w:p w14:paraId="0A26EFE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姓    名：</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 xml:space="preserve"> ；</w:t>
      </w:r>
    </w:p>
    <w:p w14:paraId="4B2D565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身份证号：</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4255B64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建造师执业资格等级：</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0AD382F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建造师注册证书号：</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42505C8C">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建造师执业印章号：</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1D6B307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安全生产考核合格证书号：</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2456707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联系电话：</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294CC2A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电子信箱：</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 xml:space="preserve"> ；</w:t>
      </w:r>
    </w:p>
    <w:p w14:paraId="76FE498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通信地址：</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55344765">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承包人对项目经理的授权范围如下：</w:t>
      </w:r>
      <w:r>
        <w:rPr>
          <w:rFonts w:hint="eastAsia" w:ascii="宋体" w:hAnsi="宋体" w:eastAsia="宋体" w:cs="宋体"/>
          <w:snapToGrid/>
          <w:color w:val="auto"/>
          <w:kern w:val="2"/>
          <w:highlight w:val="none"/>
          <w:u w:val="single"/>
        </w:rPr>
        <w:t>承包人代表应代表承包人履行合同规定的职责、行使合同明文约定或必然隐含的权力，对承包人负责。承包人代表在承包人授予职权范围内的工作，承包人应予认可。</w:t>
      </w:r>
    </w:p>
    <w:p w14:paraId="27AF11E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关于项目经理每月在施工现场的时间要求：</w:t>
      </w:r>
      <w:r>
        <w:rPr>
          <w:rFonts w:hint="eastAsia" w:ascii="宋体" w:hAnsi="宋体" w:eastAsia="宋体" w:cs="宋体"/>
          <w:snapToGrid/>
          <w:color w:val="auto"/>
          <w:kern w:val="2"/>
          <w:highlight w:val="none"/>
          <w:u w:val="single"/>
        </w:rPr>
        <w:t xml:space="preserve">   全过程  </w:t>
      </w:r>
      <w:r>
        <w:rPr>
          <w:rFonts w:hint="eastAsia" w:ascii="宋体" w:hAnsi="宋体" w:eastAsia="宋体" w:cs="宋体"/>
          <w:snapToGrid/>
          <w:color w:val="auto"/>
          <w:kern w:val="2"/>
          <w:highlight w:val="none"/>
        </w:rPr>
        <w:t>。</w:t>
      </w:r>
    </w:p>
    <w:p w14:paraId="181172A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承包人未提交劳动合同， 以及没有为项目经理缴纳社会保险证明的违约责任：</w:t>
      </w:r>
      <w:r>
        <w:rPr>
          <w:rFonts w:hint="eastAsia" w:ascii="宋体" w:hAnsi="宋体" w:eastAsia="宋体" w:cs="宋体"/>
          <w:snapToGrid/>
          <w:color w:val="auto"/>
          <w:kern w:val="2"/>
          <w:highlight w:val="none"/>
          <w:u w:val="single"/>
        </w:rPr>
        <w:t>处以</w:t>
      </w:r>
      <w:r>
        <w:rPr>
          <w:rFonts w:ascii="宋体" w:hAnsi="宋体" w:eastAsia="宋体" w:cs="宋体"/>
          <w:snapToGrid/>
          <w:color w:val="auto"/>
          <w:kern w:val="2"/>
          <w:highlight w:val="none"/>
          <w:u w:val="single"/>
        </w:rPr>
        <w:t>2</w:t>
      </w:r>
      <w:r>
        <w:rPr>
          <w:rFonts w:hint="eastAsia" w:ascii="宋体" w:hAnsi="宋体" w:eastAsia="宋体" w:cs="宋体"/>
          <w:snapToGrid/>
          <w:color w:val="auto"/>
          <w:kern w:val="2"/>
          <w:highlight w:val="none"/>
          <w:u w:val="single"/>
        </w:rPr>
        <w:t>000元违约金，责令限期提交劳动合同并补缴社会保险。</w:t>
      </w:r>
    </w:p>
    <w:p w14:paraId="565DF9E7">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项目经理未经批准，擅自离开施工现场的违约责任：</w:t>
      </w:r>
      <w:r>
        <w:rPr>
          <w:rFonts w:hint="eastAsia" w:ascii="宋体" w:hAnsi="宋体" w:eastAsia="宋体" w:cs="宋体"/>
          <w:snapToGrid/>
          <w:color w:val="auto"/>
          <w:kern w:val="2"/>
          <w:highlight w:val="none"/>
          <w:u w:val="single"/>
        </w:rPr>
        <w:t>处以1万元/天违约金，违约金不足以弥补因此给发包人造成的损失的，承包人还应补足。</w:t>
      </w:r>
    </w:p>
    <w:p w14:paraId="4CBA17F0">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3.2.3  承包人擅自更换项目经理的违约责任：承包人拟派驻本项目的项目经理、除发生重病或重伤（持有本市三甲医院证明）两个月以上且不具备民事行为能力的、死亡的情形之一外不得更换。除上述两种情形外，其它更换人员的情形均视为承包人违约，</w:t>
      </w:r>
      <w:r>
        <w:rPr>
          <w:rFonts w:hint="eastAsia" w:ascii="宋体" w:hAnsi="宋体" w:eastAsia="宋体" w:cs="宋体"/>
          <w:snapToGrid/>
          <w:color w:val="auto"/>
          <w:kern w:val="2"/>
          <w:highlight w:val="none"/>
          <w:u w:val="single"/>
        </w:rPr>
        <w:t>处以</w:t>
      </w:r>
      <w:r>
        <w:rPr>
          <w:rFonts w:hint="eastAsia" w:ascii="宋体" w:hAnsi="宋体" w:eastAsia="宋体" w:cs="宋体"/>
          <w:snapToGrid/>
          <w:color w:val="auto"/>
          <w:kern w:val="2"/>
          <w:highlight w:val="none"/>
          <w:u w:val="single"/>
          <w:lang w:val="en-US" w:eastAsia="zh-CN"/>
        </w:rPr>
        <w:t>1</w:t>
      </w:r>
      <w:r>
        <w:rPr>
          <w:rFonts w:hint="eastAsia" w:ascii="宋体" w:hAnsi="宋体" w:eastAsia="宋体" w:cs="宋体"/>
          <w:snapToGrid/>
          <w:color w:val="auto"/>
          <w:kern w:val="2"/>
          <w:highlight w:val="none"/>
          <w:u w:val="single"/>
        </w:rPr>
        <w:t>万元违约金，违约金不足以弥补因此给发包人造成的损失的，承包人还应补足。</w:t>
      </w:r>
      <w:r>
        <w:rPr>
          <w:rFonts w:hint="eastAsia" w:ascii="宋体" w:hAnsi="宋体" w:eastAsia="宋体" w:cs="宋体"/>
          <w:color w:val="auto"/>
          <w:highlight w:val="none"/>
        </w:rPr>
        <w:t>更换上述人员时，替换人员的专业和资格等级不得低于被替换人员。</w:t>
      </w:r>
    </w:p>
    <w:p w14:paraId="1E3221B8">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3.2.4  承包人无正当理由拒绝更换项目经理的违约责任：</w:t>
      </w:r>
      <w:r>
        <w:rPr>
          <w:rFonts w:hint="eastAsia" w:ascii="宋体" w:hAnsi="宋体" w:eastAsia="宋体" w:cs="宋体"/>
          <w:snapToGrid/>
          <w:color w:val="auto"/>
          <w:kern w:val="2"/>
          <w:highlight w:val="none"/>
          <w:u w:val="single"/>
        </w:rPr>
        <w:t>处以</w:t>
      </w:r>
      <w:r>
        <w:rPr>
          <w:rFonts w:hint="eastAsia" w:ascii="宋体" w:hAnsi="宋体" w:eastAsia="宋体" w:cs="宋体"/>
          <w:snapToGrid/>
          <w:color w:val="auto"/>
          <w:kern w:val="2"/>
          <w:highlight w:val="none"/>
          <w:u w:val="single"/>
          <w:lang w:val="en-US" w:eastAsia="zh-CN"/>
        </w:rPr>
        <w:t>1</w:t>
      </w:r>
      <w:r>
        <w:rPr>
          <w:rFonts w:hint="eastAsia" w:ascii="宋体" w:hAnsi="宋体" w:eastAsia="宋体" w:cs="宋体"/>
          <w:snapToGrid/>
          <w:color w:val="auto"/>
          <w:kern w:val="2"/>
          <w:highlight w:val="none"/>
          <w:u w:val="single"/>
        </w:rPr>
        <w:t xml:space="preserve">万元违约金，违约金不足以弥补因此给发包人造成的损失的，承包人还应补足。 </w:t>
      </w:r>
    </w:p>
    <w:p w14:paraId="30C87217">
      <w:pPr>
        <w:spacing w:line="360" w:lineRule="auto"/>
        <w:ind w:left="4" w:right="3" w:firstLine="479"/>
        <w:rPr>
          <w:rFonts w:ascii="宋体" w:hAnsi="宋体" w:eastAsia="宋体" w:cs="宋体"/>
          <w:snapToGrid/>
          <w:color w:val="auto"/>
          <w:kern w:val="2"/>
          <w:highlight w:val="none"/>
        </w:rPr>
      </w:pPr>
      <w:bookmarkStart w:id="1117" w:name="_bookmark172"/>
      <w:bookmarkEnd w:id="1117"/>
      <w:r>
        <w:rPr>
          <w:rFonts w:hint="eastAsia" w:ascii="宋体" w:hAnsi="宋体" w:eastAsia="宋体" w:cs="宋体"/>
          <w:snapToGrid/>
          <w:color w:val="auto"/>
          <w:kern w:val="2"/>
          <w:highlight w:val="none"/>
        </w:rPr>
        <w:t>3.3  承包人人员</w:t>
      </w:r>
    </w:p>
    <w:p w14:paraId="0DB0D42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3.3.1  承包人提交项目管理机构及施工现场管理人员安排报告的期限：</w:t>
      </w:r>
      <w:r>
        <w:rPr>
          <w:rFonts w:hint="eastAsia" w:ascii="宋体" w:hAnsi="宋体" w:eastAsia="宋体" w:cs="宋体"/>
          <w:snapToGrid/>
          <w:color w:val="auto"/>
          <w:kern w:val="2"/>
          <w:highlight w:val="none"/>
          <w:u w:val="single"/>
        </w:rPr>
        <w:t>中标通知书发出</w:t>
      </w:r>
      <w:r>
        <w:rPr>
          <w:rFonts w:hint="eastAsia" w:ascii="宋体" w:hAnsi="宋体" w:eastAsia="宋体" w:cs="宋体"/>
          <w:snapToGrid/>
          <w:color w:val="auto"/>
          <w:kern w:val="2"/>
          <w:highlight w:val="none"/>
          <w:u w:val="single"/>
          <w:lang w:val="en-US" w:eastAsia="zh-CN"/>
        </w:rPr>
        <w:t>7</w:t>
      </w:r>
      <w:r>
        <w:rPr>
          <w:rFonts w:hint="eastAsia" w:ascii="宋体" w:hAnsi="宋体" w:eastAsia="宋体" w:cs="宋体"/>
          <w:snapToGrid/>
          <w:color w:val="auto"/>
          <w:kern w:val="2"/>
          <w:highlight w:val="none"/>
          <w:u w:val="single"/>
        </w:rPr>
        <w:t>日之内，项目管理人员不少于招标文件对人员的要求，同时须与投标文件人员相匹配。承包人如需更换项目负责人和项目主要管理人员，经发包人同意，允许更换。更换后的项目负责人和项目主要管理人员须与投标文件中填报的人员相匹配，并且更换后的人员资格（含技术职称、注册证、执业资格证、上岗证等）不低于投标文件中填报的人员资格要求。</w:t>
      </w:r>
    </w:p>
    <w:p w14:paraId="6195D6CF">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3.3.3  承包人无正当理由拒绝撤换主要施工管理人员的违约责任：</w:t>
      </w:r>
      <w:r>
        <w:rPr>
          <w:rFonts w:hint="eastAsia" w:ascii="宋体" w:hAnsi="宋体" w:eastAsia="宋体" w:cs="宋体"/>
          <w:snapToGrid/>
          <w:color w:val="auto"/>
          <w:kern w:val="2"/>
          <w:highlight w:val="none"/>
          <w:u w:val="single"/>
        </w:rPr>
        <w:t>处以</w:t>
      </w:r>
      <w:r>
        <w:rPr>
          <w:rFonts w:hint="eastAsia" w:ascii="宋体" w:hAnsi="宋体" w:eastAsia="宋体" w:cs="宋体"/>
          <w:snapToGrid/>
          <w:color w:val="auto"/>
          <w:kern w:val="2"/>
          <w:highlight w:val="none"/>
          <w:u w:val="single"/>
          <w:lang w:val="en-US" w:eastAsia="zh-CN"/>
        </w:rPr>
        <w:t>0</w:t>
      </w:r>
      <w:r>
        <w:rPr>
          <w:rFonts w:hint="eastAsia" w:ascii="宋体" w:hAnsi="宋体" w:eastAsia="宋体" w:cs="宋体"/>
          <w:snapToGrid/>
          <w:color w:val="auto"/>
          <w:kern w:val="2"/>
          <w:highlight w:val="none"/>
          <w:u w:val="single"/>
        </w:rPr>
        <w:t>.5万元/人次违约金，违约金不足以弥补因此给发包人造成的损失的，承包人还应补足。</w:t>
      </w:r>
    </w:p>
    <w:p w14:paraId="54848C22">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3.3.4  承包人主要施工管理人员离开施工现场的批准要求：</w:t>
      </w:r>
      <w:r>
        <w:rPr>
          <w:rFonts w:hint="eastAsia" w:ascii="宋体" w:hAnsi="宋体" w:eastAsia="宋体" w:cs="宋体"/>
          <w:snapToGrid/>
          <w:color w:val="auto"/>
          <w:kern w:val="2"/>
          <w:highlight w:val="none"/>
          <w:u w:val="single"/>
        </w:rPr>
        <w:t>由总监理工程师批准，发包人认可后方可离开。</w:t>
      </w:r>
    </w:p>
    <w:p w14:paraId="0F65FA1A">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3.3.5 承包人擅自更换主要施工管理人员的违约责任：</w:t>
      </w:r>
      <w:r>
        <w:rPr>
          <w:rFonts w:hint="eastAsia" w:ascii="宋体" w:hAnsi="宋体" w:eastAsia="宋体" w:cs="宋体"/>
          <w:snapToGrid/>
          <w:color w:val="auto"/>
          <w:kern w:val="2"/>
          <w:highlight w:val="none"/>
          <w:u w:val="single"/>
        </w:rPr>
        <w:t xml:space="preserve">处以 </w:t>
      </w:r>
      <w:r>
        <w:rPr>
          <w:rFonts w:hint="eastAsia" w:ascii="宋体" w:hAnsi="宋体" w:eastAsia="宋体" w:cs="宋体"/>
          <w:snapToGrid/>
          <w:color w:val="auto"/>
          <w:kern w:val="2"/>
          <w:highlight w:val="none"/>
          <w:u w:val="single"/>
          <w:lang w:val="en-US" w:eastAsia="zh-CN"/>
        </w:rPr>
        <w:t>0.3</w:t>
      </w:r>
      <w:r>
        <w:rPr>
          <w:rFonts w:hint="eastAsia" w:ascii="宋体" w:hAnsi="宋体" w:eastAsia="宋体" w:cs="宋体"/>
          <w:snapToGrid/>
          <w:color w:val="auto"/>
          <w:kern w:val="2"/>
          <w:highlight w:val="none"/>
          <w:u w:val="single"/>
        </w:rPr>
        <w:t xml:space="preserve"> 万元/人次违约金，违约金不足以弥补因此给发包人造成的损失的，承包人还应补足。</w:t>
      </w:r>
    </w:p>
    <w:p w14:paraId="3458CB1C">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承包人主要施工管理人员擅自离开施工现场的违约责任： </w:t>
      </w:r>
      <w:r>
        <w:rPr>
          <w:rFonts w:hint="eastAsia" w:ascii="宋体" w:hAnsi="宋体" w:eastAsia="宋体" w:cs="宋体"/>
          <w:snapToGrid/>
          <w:color w:val="auto"/>
          <w:kern w:val="2"/>
          <w:highlight w:val="none"/>
          <w:u w:val="single"/>
        </w:rPr>
        <w:t xml:space="preserve">处以 </w:t>
      </w:r>
      <w:r>
        <w:rPr>
          <w:rFonts w:ascii="宋体" w:hAnsi="宋体" w:eastAsia="宋体" w:cs="宋体"/>
          <w:snapToGrid/>
          <w:color w:val="auto"/>
          <w:kern w:val="2"/>
          <w:highlight w:val="none"/>
          <w:u w:val="single"/>
        </w:rPr>
        <w:t>2</w:t>
      </w:r>
      <w:r>
        <w:rPr>
          <w:rFonts w:hint="eastAsia" w:ascii="宋体" w:hAnsi="宋体" w:eastAsia="宋体" w:cs="宋体"/>
          <w:snapToGrid/>
          <w:color w:val="auto"/>
          <w:kern w:val="2"/>
          <w:highlight w:val="none"/>
          <w:u w:val="single"/>
        </w:rPr>
        <w:t>000元/ (天·人次)违约金， 违约金不足以弥补因此给发包人造成的损失的，承包人还应补足。</w:t>
      </w:r>
    </w:p>
    <w:p w14:paraId="17F5DF27">
      <w:pPr>
        <w:spacing w:line="360" w:lineRule="auto"/>
        <w:ind w:left="4" w:right="3" w:firstLine="479"/>
        <w:rPr>
          <w:rFonts w:ascii="宋体" w:hAnsi="宋体" w:eastAsia="宋体" w:cs="宋体"/>
          <w:snapToGrid/>
          <w:color w:val="auto"/>
          <w:kern w:val="2"/>
          <w:highlight w:val="none"/>
        </w:rPr>
      </w:pPr>
      <w:bookmarkStart w:id="1118" w:name="_bookmark173"/>
      <w:bookmarkEnd w:id="1118"/>
      <w:r>
        <w:rPr>
          <w:rFonts w:hint="eastAsia" w:ascii="宋体" w:hAnsi="宋体" w:eastAsia="宋体" w:cs="宋体"/>
          <w:snapToGrid/>
          <w:color w:val="auto"/>
          <w:kern w:val="2"/>
          <w:highlight w:val="none"/>
        </w:rPr>
        <w:t>3.5  分包</w:t>
      </w:r>
    </w:p>
    <w:p w14:paraId="1BEEB09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3.5.1  分包的一般约定</w:t>
      </w:r>
    </w:p>
    <w:p w14:paraId="2546A1F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禁止分包的工程包括：</w:t>
      </w:r>
      <w:r>
        <w:rPr>
          <w:rFonts w:hint="eastAsia" w:ascii="宋体" w:hAnsi="宋体" w:eastAsia="宋体" w:cs="宋体"/>
          <w:snapToGrid/>
          <w:color w:val="auto"/>
          <w:kern w:val="2"/>
          <w:highlight w:val="none"/>
          <w:u w:val="single"/>
        </w:rPr>
        <w:t>地基与基础工程、工程主体结构、关键性工作。</w:t>
      </w:r>
    </w:p>
    <w:p w14:paraId="2B1F84DE">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 xml:space="preserve">关键性工作的范围：    </w:t>
      </w:r>
      <w:r>
        <w:rPr>
          <w:rFonts w:hint="eastAsia" w:ascii="宋体" w:hAnsi="宋体" w:eastAsia="宋体" w:cs="宋体"/>
          <w:snapToGrid/>
          <w:color w:val="auto"/>
          <w:kern w:val="2"/>
          <w:highlight w:val="none"/>
          <w:lang w:val="en-US" w:eastAsia="zh-CN"/>
        </w:rPr>
        <w:t>/</w:t>
      </w:r>
      <w:r>
        <w:rPr>
          <w:rFonts w:hint="eastAsia" w:ascii="宋体" w:hAnsi="宋体" w:eastAsia="宋体" w:cs="宋体"/>
          <w:snapToGrid/>
          <w:color w:val="auto"/>
          <w:kern w:val="2"/>
          <w:highlight w:val="none"/>
          <w:u w:val="single"/>
        </w:rPr>
        <w:t>。</w:t>
      </w:r>
    </w:p>
    <w:p w14:paraId="3380C29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3.5.2 分包的确定</w:t>
      </w:r>
    </w:p>
    <w:p w14:paraId="15101A4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允许分包的专业工程包括：/</w:t>
      </w:r>
      <w:r>
        <w:rPr>
          <w:rFonts w:hint="eastAsia" w:ascii="宋体" w:hAnsi="宋体" w:eastAsia="宋体" w:cs="宋体"/>
          <w:snapToGrid/>
          <w:color w:val="auto"/>
          <w:kern w:val="2"/>
          <w:highlight w:val="none"/>
          <w:u w:val="single"/>
        </w:rPr>
        <w:t>；</w:t>
      </w:r>
    </w:p>
    <w:p w14:paraId="7D3A074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其他关于分包的约定：</w:t>
      </w:r>
      <w:r>
        <w:rPr>
          <w:rFonts w:hint="eastAsia" w:ascii="宋体" w:hAnsi="宋体" w:eastAsia="宋体" w:cs="宋体"/>
          <w:snapToGrid/>
          <w:color w:val="auto"/>
          <w:kern w:val="2"/>
          <w:highlight w:val="none"/>
          <w:u w:val="single"/>
        </w:rPr>
        <w:t>/。</w:t>
      </w:r>
    </w:p>
    <w:p w14:paraId="1BB7697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3.5.3 分包管理</w:t>
      </w:r>
    </w:p>
    <w:p w14:paraId="1CBA0B0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经发包人同意分包，承包人作为总承包单位的责任有：/</w:t>
      </w:r>
    </w:p>
    <w:p w14:paraId="466F33E1">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3.5.4  分包合同价款</w:t>
      </w:r>
    </w:p>
    <w:p w14:paraId="07AE0CF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关于分包合同价款支付的约定：/</w:t>
      </w:r>
    </w:p>
    <w:p w14:paraId="4A510EA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3.6  工程照管与成品、半成品保护</w:t>
      </w:r>
    </w:p>
    <w:p w14:paraId="72E873DE">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承包人负责照管工程及工程相关的材料、工程设备的起始时间：</w:t>
      </w:r>
      <w:r>
        <w:rPr>
          <w:rFonts w:hint="eastAsia" w:ascii="宋体" w:hAnsi="宋体" w:eastAsia="宋体" w:cs="宋体"/>
          <w:snapToGrid/>
          <w:color w:val="auto"/>
          <w:kern w:val="2"/>
          <w:highlight w:val="none"/>
          <w:u w:val="single"/>
        </w:rPr>
        <w:t>设备进场至验收交付使用前由承包人负责保护、保修，无其它特殊要求的，费用由承包人承担。</w:t>
      </w:r>
    </w:p>
    <w:p w14:paraId="1EF4A0D1">
      <w:pPr>
        <w:spacing w:line="360" w:lineRule="auto"/>
        <w:ind w:left="4" w:right="3" w:firstLine="479"/>
        <w:rPr>
          <w:rFonts w:ascii="宋体" w:hAnsi="宋体" w:eastAsia="宋体" w:cs="宋体"/>
          <w:snapToGrid/>
          <w:color w:val="auto"/>
          <w:kern w:val="2"/>
          <w:highlight w:val="none"/>
        </w:rPr>
      </w:pPr>
      <w:bookmarkStart w:id="1119" w:name="_bookmark175"/>
      <w:bookmarkEnd w:id="1119"/>
      <w:r>
        <w:rPr>
          <w:rFonts w:hint="eastAsia" w:ascii="宋体" w:hAnsi="宋体" w:eastAsia="宋体" w:cs="宋体"/>
          <w:snapToGrid/>
          <w:color w:val="auto"/>
          <w:kern w:val="2"/>
          <w:highlight w:val="none"/>
        </w:rPr>
        <w:t>3.7  履约担保</w:t>
      </w:r>
    </w:p>
    <w:p w14:paraId="6839BA1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承包人是否提供履约担保：</w:t>
      </w:r>
      <w:r>
        <w:rPr>
          <w:rFonts w:hint="eastAsia" w:ascii="宋体" w:hAnsi="宋体" w:eastAsia="宋体" w:cs="宋体"/>
          <w:snapToGrid/>
          <w:color w:val="auto"/>
          <w:kern w:val="2"/>
          <w:highlight w:val="none"/>
          <w:u w:val="single"/>
        </w:rPr>
        <w:t xml:space="preserve">  是 </w:t>
      </w:r>
      <w:r>
        <w:rPr>
          <w:rFonts w:hint="eastAsia" w:ascii="宋体" w:hAnsi="宋体" w:eastAsia="宋体" w:cs="宋体"/>
          <w:snapToGrid/>
          <w:color w:val="auto"/>
          <w:kern w:val="2"/>
          <w:highlight w:val="none"/>
        </w:rPr>
        <w:t>。</w:t>
      </w:r>
    </w:p>
    <w:p w14:paraId="758A902B">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承包人提供履约担保的形式、金额及期限的：履约担保的形式：银行履约保函、担保公司履约担保书、保险公司出具的建筑工程履约保证保险、履约保证金。提供担保的担保机构须已在本市建设行政主管部门备案，并经招标人同意。其中</w:t>
      </w:r>
      <w:r>
        <w:rPr>
          <w:rFonts w:hint="eastAsia" w:ascii="宋体" w:hAnsi="宋体" w:eastAsia="宋体" w:cs="宋体"/>
          <w:snapToGrid/>
          <w:color w:val="auto"/>
          <w:kern w:val="2"/>
          <w:highlight w:val="none"/>
          <w:u w:val="single"/>
        </w:rPr>
        <w:t>出具履约保函的银行必须是支行级或以上银行机构，执行本项时所发生的费用由承包人承担。</w:t>
      </w:r>
    </w:p>
    <w:p w14:paraId="4AA850C1">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履约担保的金额：人民币(大写)</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 (小写)</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元。</w:t>
      </w:r>
    </w:p>
    <w:p w14:paraId="3EEA10F9">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履约担保退还时间的约定：</w:t>
      </w:r>
      <w:r>
        <w:rPr>
          <w:rFonts w:hint="eastAsia" w:ascii="宋体" w:hAnsi="宋体" w:eastAsia="宋体" w:cs="宋体"/>
          <w:snapToGrid/>
          <w:color w:val="auto"/>
          <w:kern w:val="2"/>
          <w:highlight w:val="none"/>
          <w:u w:val="single"/>
        </w:rPr>
        <w:t>履约担保的有效期是从合同签订之日起至工程竣工验收合格并结算经双方签字确定后30日内保持有效。如果承包人提交的履约担保的有效期届满时间先于招标文件、合同文件要求的，承包人应在原提交的履约担保有限期届满前15天内，无条件办理履约担保延期手续，否则视为承包人违约，发包人可在履约担保到期前将担保金额转为现金存入履约保证金账户。若承包人在合同履行过程中出现工程质量事故、工期延误、招标文件及合同条款中约定的违约处置、欠付工人工资、欠付材料款等情况或其他违约情形，发包人有权要求开具履约担保的机构支付相应的违约金、赔偿金等，违约金、赔偿金超过履约担保金额的，承包人还应当对超过部分予</w:t>
      </w:r>
      <w:bookmarkStart w:id="1120" w:name="_bookmark176"/>
      <w:bookmarkEnd w:id="1120"/>
      <w:r>
        <w:rPr>
          <w:rFonts w:hint="eastAsia" w:ascii="宋体" w:hAnsi="宋体" w:eastAsia="宋体" w:cs="宋体"/>
          <w:snapToGrid/>
          <w:color w:val="auto"/>
          <w:kern w:val="2"/>
          <w:highlight w:val="none"/>
          <w:u w:val="single"/>
        </w:rPr>
        <w:t>以赔偿。</w:t>
      </w:r>
    </w:p>
    <w:p w14:paraId="118271DA">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121" w:name="_bookmark177"/>
      <w:bookmarkEnd w:id="1121"/>
      <w:bookmarkStart w:id="1122" w:name="_Toc2821"/>
      <w:bookmarkStart w:id="1123" w:name="_Toc1905"/>
      <w:bookmarkStart w:id="1124" w:name="_Toc8124"/>
      <w:bookmarkStart w:id="1125" w:name="_Toc1034"/>
      <w:bookmarkStart w:id="1126" w:name="_Toc18665"/>
      <w:r>
        <w:rPr>
          <w:rFonts w:hint="eastAsia" w:ascii="宋体" w:hAnsi="宋体" w:eastAsia="宋体"/>
          <w:b/>
          <w:bCs/>
          <w:snapToGrid/>
          <w:color w:val="auto"/>
          <w:kern w:val="2"/>
          <w:highlight w:val="none"/>
        </w:rPr>
        <w:t>4. 监理人</w:t>
      </w:r>
      <w:bookmarkEnd w:id="1122"/>
      <w:bookmarkEnd w:id="1123"/>
      <w:bookmarkEnd w:id="1124"/>
      <w:bookmarkEnd w:id="1125"/>
      <w:bookmarkEnd w:id="1126"/>
    </w:p>
    <w:p w14:paraId="410D2D0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4.1 监理人的一般规定</w:t>
      </w:r>
    </w:p>
    <w:p w14:paraId="055CC6B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关于监理人的监理内容：</w:t>
      </w:r>
      <w:r>
        <w:rPr>
          <w:rFonts w:hint="eastAsia" w:ascii="宋体" w:hAnsi="宋体" w:eastAsia="宋体" w:cs="宋体"/>
          <w:snapToGrid/>
          <w:color w:val="auto"/>
          <w:kern w:val="2"/>
          <w:highlight w:val="none"/>
          <w:u w:val="single"/>
        </w:rPr>
        <w:t xml:space="preserve">详见监理合同 </w:t>
      </w:r>
      <w:r>
        <w:rPr>
          <w:rFonts w:hint="eastAsia" w:ascii="宋体" w:hAnsi="宋体" w:eastAsia="宋体" w:cs="宋体"/>
          <w:snapToGrid/>
          <w:color w:val="auto"/>
          <w:kern w:val="2"/>
          <w:highlight w:val="none"/>
        </w:rPr>
        <w:t>。</w:t>
      </w:r>
    </w:p>
    <w:p w14:paraId="6A6D456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关于监理人的监理权限：</w:t>
      </w:r>
      <w:r>
        <w:rPr>
          <w:rFonts w:hint="eastAsia" w:ascii="宋体" w:hAnsi="宋体" w:eastAsia="宋体" w:cs="宋体"/>
          <w:snapToGrid/>
          <w:color w:val="auto"/>
          <w:kern w:val="2"/>
          <w:highlight w:val="none"/>
          <w:u w:val="single"/>
        </w:rPr>
        <w:t xml:space="preserve"> 详见监理合同</w:t>
      </w:r>
      <w:r>
        <w:rPr>
          <w:rFonts w:hint="eastAsia" w:ascii="宋体" w:hAnsi="宋体" w:eastAsia="宋体" w:cs="宋体"/>
          <w:snapToGrid/>
          <w:color w:val="auto"/>
          <w:kern w:val="2"/>
          <w:highlight w:val="none"/>
        </w:rPr>
        <w:t>。</w:t>
      </w:r>
    </w:p>
    <w:p w14:paraId="41AF52B9">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关于监理人在施工现场的办公场所、生活场所的提供和费用承担的约定：</w:t>
      </w:r>
      <w:r>
        <w:rPr>
          <w:rFonts w:hint="eastAsia" w:ascii="宋体" w:hAnsi="宋体" w:eastAsia="宋体" w:cs="宋体"/>
          <w:snapToGrid/>
          <w:color w:val="auto"/>
          <w:kern w:val="2"/>
          <w:highlight w:val="none"/>
          <w:u w:val="single"/>
        </w:rPr>
        <w:t>/</w:t>
      </w:r>
    </w:p>
    <w:p w14:paraId="3FA0FB3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4.2  监理人员</w:t>
      </w:r>
    </w:p>
    <w:p w14:paraId="6683C18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总监理工程师：</w:t>
      </w:r>
    </w:p>
    <w:p w14:paraId="799A0C4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姓    名：</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71EB870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职    务：</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 xml:space="preserve"> ；</w:t>
      </w:r>
    </w:p>
    <w:p w14:paraId="395DF55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监理工程师执业资格证书号：</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1C616AD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联系电话：</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30352AC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电子信箱：</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1B4850C1">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通信地址：</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 xml:space="preserve"> ；</w:t>
      </w:r>
    </w:p>
    <w:p w14:paraId="5541F48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关于监理人的其他约定：</w:t>
      </w:r>
      <w:r>
        <w:rPr>
          <w:rFonts w:hint="eastAsia" w:ascii="宋体" w:hAnsi="宋体" w:eastAsia="宋体" w:cs="宋体"/>
          <w:snapToGrid/>
          <w:color w:val="auto"/>
          <w:kern w:val="2"/>
          <w:highlight w:val="none"/>
          <w:u w:val="single"/>
        </w:rPr>
        <w:t>具体涉及合同约定的重大变更或合同价款等事项变更(包括但不限于：设计变更、工程量或合同价款的变更、索赔事项、工程款支付事项、工期顺延等)必须经发包人批准，监理单位/监理工程师的相关指令需经发包人审批</w:t>
      </w:r>
      <w:bookmarkStart w:id="1127" w:name="_bookmark179"/>
      <w:bookmarkEnd w:id="1127"/>
      <w:r>
        <w:rPr>
          <w:rFonts w:hint="eastAsia" w:ascii="宋体" w:hAnsi="宋体" w:eastAsia="宋体" w:cs="宋体"/>
          <w:snapToGrid/>
          <w:color w:val="auto"/>
          <w:kern w:val="2"/>
          <w:highlight w:val="none"/>
          <w:u w:val="single"/>
        </w:rPr>
        <w:t>同意后方可发出。</w:t>
      </w:r>
    </w:p>
    <w:p w14:paraId="26B8A9A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4.4商定或确定</w:t>
      </w:r>
    </w:p>
    <w:p w14:paraId="55D9258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在发包人和承包人不能通过协商达成一致意见时，发包人授权监理人对以下事项进行确定：</w:t>
      </w:r>
    </w:p>
    <w:p w14:paraId="2682968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(1) </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 xml:space="preserve"> ；</w:t>
      </w:r>
    </w:p>
    <w:p w14:paraId="72A7CF8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(2) </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w:t>
      </w:r>
    </w:p>
    <w:p w14:paraId="63C3948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(3)</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w:t>
      </w:r>
    </w:p>
    <w:p w14:paraId="27D0DABB">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128" w:name="_bookmark180"/>
      <w:bookmarkEnd w:id="1128"/>
      <w:bookmarkStart w:id="1129" w:name="_Toc16405"/>
      <w:bookmarkStart w:id="1130" w:name="_Toc6938"/>
      <w:bookmarkStart w:id="1131" w:name="_Toc9900"/>
      <w:bookmarkStart w:id="1132" w:name="_Toc19788"/>
      <w:bookmarkStart w:id="1133" w:name="_Toc15998"/>
      <w:r>
        <w:rPr>
          <w:rFonts w:hint="eastAsia" w:ascii="宋体" w:hAnsi="宋体" w:eastAsia="宋体"/>
          <w:b/>
          <w:bCs/>
          <w:snapToGrid/>
          <w:color w:val="auto"/>
          <w:kern w:val="2"/>
          <w:highlight w:val="none"/>
        </w:rPr>
        <w:t>5. 工程质量</w:t>
      </w:r>
      <w:bookmarkEnd w:id="1129"/>
      <w:bookmarkEnd w:id="1130"/>
      <w:bookmarkEnd w:id="1131"/>
      <w:bookmarkEnd w:id="1132"/>
      <w:bookmarkEnd w:id="1133"/>
    </w:p>
    <w:p w14:paraId="1FDF5D81">
      <w:pPr>
        <w:spacing w:line="360" w:lineRule="auto"/>
        <w:ind w:left="4" w:right="3" w:firstLine="479"/>
        <w:rPr>
          <w:rFonts w:ascii="宋体" w:hAnsi="宋体" w:eastAsia="宋体" w:cs="宋体"/>
          <w:snapToGrid/>
          <w:color w:val="auto"/>
          <w:kern w:val="2"/>
          <w:highlight w:val="none"/>
        </w:rPr>
      </w:pPr>
      <w:bookmarkStart w:id="1134" w:name="_bookmark181"/>
      <w:bookmarkEnd w:id="1134"/>
      <w:r>
        <w:rPr>
          <w:rFonts w:hint="eastAsia" w:ascii="宋体" w:hAnsi="宋体" w:eastAsia="宋体" w:cs="宋体"/>
          <w:snapToGrid/>
          <w:color w:val="auto"/>
          <w:kern w:val="2"/>
          <w:highlight w:val="none"/>
        </w:rPr>
        <w:t>5.1  质量要求</w:t>
      </w:r>
    </w:p>
    <w:p w14:paraId="28F0300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5.1.1  特殊质量标准和要求：  </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w:t>
      </w:r>
    </w:p>
    <w:p w14:paraId="5891E379">
      <w:pPr>
        <w:spacing w:line="360" w:lineRule="auto"/>
        <w:ind w:left="4" w:right="3" w:firstLine="479"/>
        <w:rPr>
          <w:rFonts w:ascii="宋体" w:hAnsi="宋体" w:eastAsia="宋体" w:cs="宋体"/>
          <w:snapToGrid/>
          <w:color w:val="auto"/>
          <w:kern w:val="2"/>
          <w:highlight w:val="none"/>
        </w:rPr>
      </w:pPr>
      <w:bookmarkStart w:id="1135" w:name="_bookmark182"/>
      <w:bookmarkEnd w:id="1135"/>
      <w:r>
        <w:rPr>
          <w:rFonts w:hint="eastAsia" w:ascii="宋体" w:hAnsi="宋体" w:eastAsia="宋体" w:cs="宋体"/>
          <w:snapToGrid/>
          <w:color w:val="auto"/>
          <w:kern w:val="2"/>
          <w:highlight w:val="none"/>
        </w:rPr>
        <w:t>关于工程奖项的约定：</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w:t>
      </w:r>
    </w:p>
    <w:p w14:paraId="20A9F2B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5.3  隐蔽工程检查</w:t>
      </w:r>
    </w:p>
    <w:p w14:paraId="6993B3D8">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 xml:space="preserve">5.3.2 承包人提前通知监理人隐蔽工程检查的期限的约定： </w:t>
      </w:r>
      <w:r>
        <w:rPr>
          <w:rFonts w:hint="eastAsia" w:ascii="宋体" w:hAnsi="宋体" w:eastAsia="宋体" w:cs="宋体"/>
          <w:snapToGrid/>
          <w:color w:val="auto"/>
          <w:kern w:val="2"/>
          <w:highlight w:val="none"/>
          <w:u w:val="single"/>
        </w:rPr>
        <w:t>共同检查前48小时书面通知监理人。</w:t>
      </w:r>
    </w:p>
    <w:p w14:paraId="4ED6375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监理人不能按时进行检查时，应提前</w:t>
      </w:r>
      <w:r>
        <w:rPr>
          <w:rFonts w:hint="eastAsia" w:ascii="宋体" w:hAnsi="宋体" w:eastAsia="宋体" w:cs="宋体"/>
          <w:snapToGrid/>
          <w:color w:val="auto"/>
          <w:kern w:val="2"/>
          <w:highlight w:val="none"/>
          <w:u w:val="single"/>
        </w:rPr>
        <w:t>24</w:t>
      </w:r>
      <w:r>
        <w:rPr>
          <w:rFonts w:hint="eastAsia" w:ascii="宋体" w:hAnsi="宋体" w:eastAsia="宋体" w:cs="宋体"/>
          <w:snapToGrid/>
          <w:color w:val="auto"/>
          <w:kern w:val="2"/>
          <w:highlight w:val="none"/>
        </w:rPr>
        <w:t>小时提交书面延期要求。</w:t>
      </w:r>
      <w:bookmarkStart w:id="1136" w:name="_bookmark183"/>
      <w:bookmarkEnd w:id="1136"/>
    </w:p>
    <w:p w14:paraId="27AED80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关于延期最长不得超过： </w:t>
      </w:r>
      <w:r>
        <w:rPr>
          <w:rFonts w:hint="eastAsia" w:ascii="宋体" w:hAnsi="宋体" w:eastAsia="宋体" w:cs="宋体"/>
          <w:snapToGrid/>
          <w:color w:val="auto"/>
          <w:kern w:val="2"/>
          <w:highlight w:val="none"/>
          <w:u w:val="single"/>
        </w:rPr>
        <w:t xml:space="preserve">48 </w:t>
      </w:r>
      <w:r>
        <w:rPr>
          <w:rFonts w:hint="eastAsia" w:ascii="宋体" w:hAnsi="宋体" w:eastAsia="宋体" w:cs="宋体"/>
          <w:snapToGrid/>
          <w:color w:val="auto"/>
          <w:kern w:val="2"/>
          <w:highlight w:val="none"/>
        </w:rPr>
        <w:t>小时。</w:t>
      </w:r>
    </w:p>
    <w:p w14:paraId="60141AB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5.4 不合格工程的处理</w:t>
      </w:r>
    </w:p>
    <w:p w14:paraId="37704D8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本条末尾增加现文：按附件13执行。</w:t>
      </w:r>
    </w:p>
    <w:p w14:paraId="72608B0E">
      <w:pPr>
        <w:spacing w:line="360" w:lineRule="auto"/>
        <w:ind w:left="4" w:right="3" w:firstLine="479"/>
        <w:rPr>
          <w:rFonts w:ascii="宋体" w:hAnsi="宋体" w:eastAsia="宋体" w:cs="宋体"/>
          <w:snapToGrid/>
          <w:color w:val="auto"/>
          <w:kern w:val="2"/>
          <w:highlight w:val="none"/>
        </w:rPr>
      </w:pPr>
      <w:r>
        <w:rPr>
          <w:rFonts w:hint="eastAsia" w:eastAsia="宋体"/>
          <w:color w:val="auto"/>
          <w:highlight w:val="none"/>
        </w:rPr>
        <w:t>如有文件更新按更新的要求为准。</w:t>
      </w:r>
    </w:p>
    <w:p w14:paraId="3E28668D">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137" w:name="_bookmark184"/>
      <w:bookmarkEnd w:id="1137"/>
      <w:bookmarkStart w:id="1138" w:name="_Toc18485"/>
      <w:bookmarkStart w:id="1139" w:name="_Toc12377"/>
      <w:bookmarkStart w:id="1140" w:name="_Toc16460"/>
      <w:bookmarkStart w:id="1141" w:name="_Toc24688"/>
      <w:bookmarkStart w:id="1142" w:name="_Toc20182"/>
      <w:r>
        <w:rPr>
          <w:rFonts w:hint="eastAsia" w:ascii="宋体" w:hAnsi="宋体" w:eastAsia="宋体"/>
          <w:b/>
          <w:bCs/>
          <w:snapToGrid/>
          <w:color w:val="auto"/>
          <w:kern w:val="2"/>
          <w:highlight w:val="none"/>
        </w:rPr>
        <w:t>6. 安全文明施工与环境保护</w:t>
      </w:r>
      <w:bookmarkEnd w:id="1138"/>
      <w:bookmarkEnd w:id="1139"/>
      <w:bookmarkEnd w:id="1140"/>
      <w:bookmarkEnd w:id="1141"/>
      <w:bookmarkEnd w:id="1142"/>
    </w:p>
    <w:p w14:paraId="6F2F6507">
      <w:pPr>
        <w:spacing w:line="360" w:lineRule="auto"/>
        <w:ind w:left="4" w:right="3" w:firstLine="479"/>
        <w:rPr>
          <w:rFonts w:ascii="宋体" w:hAnsi="宋体" w:eastAsia="宋体" w:cs="宋体"/>
          <w:snapToGrid/>
          <w:color w:val="auto"/>
          <w:kern w:val="2"/>
          <w:highlight w:val="none"/>
        </w:rPr>
      </w:pPr>
      <w:bookmarkStart w:id="1143" w:name="_bookmark185"/>
      <w:bookmarkEnd w:id="1143"/>
      <w:r>
        <w:rPr>
          <w:rFonts w:hint="eastAsia" w:ascii="宋体" w:hAnsi="宋体" w:eastAsia="宋体" w:cs="宋体"/>
          <w:snapToGrid/>
          <w:color w:val="auto"/>
          <w:kern w:val="2"/>
          <w:highlight w:val="none"/>
        </w:rPr>
        <w:t>6.1 安全文明施工</w:t>
      </w:r>
    </w:p>
    <w:p w14:paraId="78F322E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6.1.1  项目安全生产的达标目标及相应事项的约定：</w:t>
      </w:r>
      <w:r>
        <w:rPr>
          <w:rFonts w:hint="eastAsia" w:ascii="宋体" w:hAnsi="宋体" w:eastAsia="宋体" w:cs="宋体"/>
          <w:snapToGrid/>
          <w:color w:val="auto"/>
          <w:kern w:val="2"/>
          <w:highlight w:val="none"/>
          <w:u w:val="single"/>
        </w:rPr>
        <w:t>同时尚需符合东莞市关于安全防护、文明施工措施管理的相关规定及按“东莞市建筑工程施工安全标准化工地”标准执行。</w:t>
      </w:r>
    </w:p>
    <w:p w14:paraId="4E2E249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6.1.4  关于治安保卫的特别约定：</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w:t>
      </w:r>
    </w:p>
    <w:p w14:paraId="3EF9ED5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关于编制施工场地治安管理计划的约定：</w:t>
      </w:r>
      <w:r>
        <w:rPr>
          <w:rFonts w:hint="eastAsia" w:ascii="宋体" w:hAnsi="宋体" w:eastAsia="宋体" w:cs="宋体"/>
          <w:snapToGrid/>
          <w:color w:val="auto"/>
          <w:kern w:val="2"/>
          <w:highlight w:val="none"/>
          <w:u w:val="single"/>
        </w:rPr>
        <w:t>由承包人随本合同专用条款第1.6.4项约定的施工组织设计方案一同报送发包人及监理单位，承包人必须按经审核确认后的计划实施，并接受监理工程师的检查、监督。</w:t>
      </w:r>
    </w:p>
    <w:p w14:paraId="2C79B59E">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6.1.5  文明施工</w:t>
      </w:r>
    </w:p>
    <w:p w14:paraId="0DD1B347">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合同当事人对文明施工的要求：</w:t>
      </w:r>
      <w:r>
        <w:rPr>
          <w:rFonts w:hint="eastAsia" w:ascii="宋体" w:hAnsi="宋体" w:eastAsia="宋体" w:cs="宋体"/>
          <w:snapToGrid/>
          <w:color w:val="auto"/>
          <w:kern w:val="2"/>
          <w:highlight w:val="none"/>
          <w:u w:val="single"/>
        </w:rPr>
        <w:t>除合同约定的承包人责任外。</w:t>
      </w:r>
    </w:p>
    <w:p w14:paraId="5C185B9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6.1.6 关于安全生产措施费支付比例和支付期限的约定：</w:t>
      </w:r>
      <w:r>
        <w:rPr>
          <w:rFonts w:hint="eastAsia" w:ascii="宋体" w:hAnsi="宋体" w:eastAsia="宋体" w:cs="宋体"/>
          <w:snapToGrid/>
          <w:color w:val="auto"/>
          <w:kern w:val="2"/>
          <w:highlight w:val="none"/>
          <w:u w:val="single"/>
        </w:rPr>
        <w:t>当工程承包合同签订，</w:t>
      </w:r>
      <w:r>
        <w:rPr>
          <w:rFonts w:hint="eastAsia" w:ascii="宋体" w:hAnsi="宋体"/>
          <w:color w:val="auto"/>
          <w:highlight w:val="none"/>
          <w:u w:val="single"/>
        </w:rPr>
        <w:t>安全生产措施</w:t>
      </w:r>
      <w:r>
        <w:rPr>
          <w:rFonts w:hint="eastAsia" w:ascii="宋体" w:hAnsi="宋体" w:eastAsia="宋体" w:cs="宋体"/>
          <w:snapToGrid/>
          <w:color w:val="auto"/>
          <w:kern w:val="2"/>
          <w:highlight w:val="none"/>
          <w:u w:val="single"/>
        </w:rPr>
        <w:t>验收合格后十五天内，支付</w:t>
      </w:r>
      <w:r>
        <w:rPr>
          <w:rFonts w:hint="eastAsia" w:ascii="宋体" w:hAnsi="宋体"/>
          <w:color w:val="auto"/>
          <w:highlight w:val="none"/>
          <w:u w:val="single"/>
        </w:rPr>
        <w:t>安全生产措施费用</w:t>
      </w:r>
      <w:r>
        <w:rPr>
          <w:rFonts w:hint="eastAsia" w:ascii="宋体" w:hAnsi="宋体" w:eastAsia="宋体" w:cs="宋体"/>
          <w:snapToGrid/>
          <w:color w:val="auto"/>
          <w:kern w:val="2"/>
          <w:highlight w:val="none"/>
          <w:u w:val="single"/>
        </w:rPr>
        <w:t>50%；工程施工计量工程价款达到合同价款的50%后，每次支付进度款时，按当次支付进度款的工程量比例确定</w:t>
      </w:r>
      <w:r>
        <w:rPr>
          <w:rFonts w:hint="eastAsia" w:ascii="宋体" w:hAnsi="宋体"/>
          <w:color w:val="auto"/>
          <w:highlight w:val="none"/>
          <w:u w:val="single"/>
        </w:rPr>
        <w:t>安全生产措施费用</w:t>
      </w:r>
      <w:r>
        <w:rPr>
          <w:rFonts w:hint="eastAsia" w:ascii="宋体" w:hAnsi="宋体" w:eastAsia="宋体" w:cs="宋体"/>
          <w:snapToGrid/>
          <w:color w:val="auto"/>
          <w:kern w:val="2"/>
          <w:highlight w:val="none"/>
          <w:u w:val="single"/>
        </w:rPr>
        <w:t>支付比例，并随进度款支付，</w:t>
      </w:r>
      <w:r>
        <w:rPr>
          <w:rFonts w:hint="eastAsia" w:ascii="宋体" w:hAnsi="宋体"/>
          <w:color w:val="auto"/>
          <w:highlight w:val="none"/>
          <w:u w:val="single"/>
        </w:rPr>
        <w:t>安全生产措施费用</w:t>
      </w:r>
      <w:r>
        <w:rPr>
          <w:rFonts w:hint="eastAsia" w:ascii="宋体" w:hAnsi="宋体" w:eastAsia="宋体" w:cs="宋体"/>
          <w:snapToGrid/>
          <w:color w:val="auto"/>
          <w:kern w:val="2"/>
          <w:highlight w:val="none"/>
          <w:u w:val="single"/>
        </w:rPr>
        <w:t>支付至70%后不再支付；其余30%在安全评价合格后支付。对工程竣工安全评价不合格的工程，</w:t>
      </w:r>
      <w:r>
        <w:rPr>
          <w:rFonts w:hint="eastAsia" w:ascii="宋体" w:hAnsi="宋体"/>
          <w:color w:val="auto"/>
          <w:highlight w:val="none"/>
          <w:u w:val="single"/>
        </w:rPr>
        <w:t>安全生产措施费用</w:t>
      </w:r>
      <w:r>
        <w:rPr>
          <w:rFonts w:hint="eastAsia" w:ascii="宋体" w:hAnsi="宋体" w:eastAsia="宋体" w:cs="宋体"/>
          <w:snapToGrid/>
          <w:color w:val="auto"/>
          <w:kern w:val="2"/>
          <w:highlight w:val="none"/>
          <w:u w:val="single"/>
        </w:rPr>
        <w:t>支付至70%，剩余30%作为违约金。</w:t>
      </w:r>
    </w:p>
    <w:p w14:paraId="411D2AF3">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144" w:name="_bookmark186"/>
      <w:bookmarkEnd w:id="1144"/>
      <w:bookmarkStart w:id="1145" w:name="_Toc29084"/>
      <w:bookmarkStart w:id="1146" w:name="_Toc15789"/>
      <w:bookmarkStart w:id="1147" w:name="_Toc28421"/>
      <w:bookmarkStart w:id="1148" w:name="_Toc839"/>
      <w:bookmarkStart w:id="1149" w:name="_Toc23450"/>
      <w:r>
        <w:rPr>
          <w:rFonts w:hint="eastAsia" w:ascii="宋体" w:hAnsi="宋体" w:eastAsia="宋体"/>
          <w:b/>
          <w:bCs/>
          <w:snapToGrid/>
          <w:color w:val="auto"/>
          <w:kern w:val="2"/>
          <w:highlight w:val="none"/>
        </w:rPr>
        <w:t>7. 工期和进度</w:t>
      </w:r>
      <w:bookmarkEnd w:id="1145"/>
      <w:bookmarkEnd w:id="1146"/>
      <w:bookmarkEnd w:id="1147"/>
      <w:bookmarkEnd w:id="1148"/>
      <w:bookmarkEnd w:id="1149"/>
    </w:p>
    <w:p w14:paraId="66BA88A7">
      <w:pPr>
        <w:spacing w:line="360" w:lineRule="auto"/>
        <w:ind w:left="4" w:right="3" w:firstLine="479"/>
        <w:rPr>
          <w:rFonts w:ascii="宋体" w:hAnsi="宋体" w:eastAsia="宋体" w:cs="宋体"/>
          <w:snapToGrid/>
          <w:color w:val="auto"/>
          <w:kern w:val="2"/>
          <w:highlight w:val="none"/>
        </w:rPr>
      </w:pPr>
      <w:bookmarkStart w:id="1150" w:name="_bookmark187"/>
      <w:bookmarkEnd w:id="1150"/>
      <w:r>
        <w:rPr>
          <w:rFonts w:hint="eastAsia" w:ascii="宋体" w:hAnsi="宋体" w:eastAsia="宋体" w:cs="宋体"/>
          <w:snapToGrid/>
          <w:color w:val="auto"/>
          <w:kern w:val="2"/>
          <w:highlight w:val="none"/>
        </w:rPr>
        <w:t>7.1  施工组织设计</w:t>
      </w:r>
    </w:p>
    <w:p w14:paraId="6BE6519E">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7.1.1  合同当事人约定的施工组织设计应包括的其他内容：</w:t>
      </w:r>
      <w:r>
        <w:rPr>
          <w:rFonts w:hint="eastAsia" w:ascii="宋体" w:hAnsi="宋体" w:eastAsia="宋体" w:cs="宋体"/>
          <w:snapToGrid/>
          <w:color w:val="auto"/>
          <w:kern w:val="2"/>
          <w:highlight w:val="none"/>
          <w:u w:val="single"/>
        </w:rPr>
        <w:t>按通用条款执行</w:t>
      </w:r>
      <w:r>
        <w:rPr>
          <w:rFonts w:hint="eastAsia" w:ascii="宋体" w:hAnsi="宋体" w:eastAsia="宋体" w:cs="宋体"/>
          <w:snapToGrid/>
          <w:color w:val="auto"/>
          <w:kern w:val="2"/>
          <w:highlight w:val="none"/>
        </w:rPr>
        <w:t xml:space="preserve">。 </w:t>
      </w:r>
    </w:p>
    <w:p w14:paraId="4DD21EA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7.1.2  施工组织设计的提交和修改</w:t>
      </w:r>
    </w:p>
    <w:p w14:paraId="2855BF4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承包人提交详细施工组织设计的期限的约定：</w:t>
      </w:r>
      <w:r>
        <w:rPr>
          <w:rFonts w:hint="eastAsia" w:ascii="宋体" w:hAnsi="宋体" w:eastAsia="宋体" w:cs="宋体"/>
          <w:snapToGrid/>
          <w:color w:val="auto"/>
          <w:kern w:val="2"/>
          <w:highlight w:val="none"/>
          <w:u w:val="single"/>
        </w:rPr>
        <w:t>按本合同专用条款第 1.6.4 项约定执行</w:t>
      </w:r>
      <w:r>
        <w:rPr>
          <w:rFonts w:hint="eastAsia" w:ascii="宋体" w:hAnsi="宋体" w:eastAsia="宋体" w:cs="宋体"/>
          <w:snapToGrid/>
          <w:color w:val="auto"/>
          <w:kern w:val="2"/>
          <w:highlight w:val="none"/>
        </w:rPr>
        <w:t>。</w:t>
      </w:r>
    </w:p>
    <w:p w14:paraId="7930FA7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发包人和监理人在收到详细的施工组织设计后确认或提出修改意见的期限：</w:t>
      </w:r>
      <w:r>
        <w:rPr>
          <w:rFonts w:hint="eastAsia" w:ascii="宋体" w:hAnsi="宋体" w:eastAsia="宋体" w:cs="宋体"/>
          <w:snapToGrid/>
          <w:color w:val="auto"/>
          <w:kern w:val="2"/>
          <w:highlight w:val="none"/>
          <w:u w:val="single"/>
        </w:rPr>
        <w:t>收到</w:t>
      </w:r>
      <w:bookmarkStart w:id="1151" w:name="_bookmark188"/>
      <w:bookmarkEnd w:id="1151"/>
      <w:r>
        <w:rPr>
          <w:rFonts w:hint="eastAsia" w:ascii="宋体" w:hAnsi="宋体" w:eastAsia="宋体" w:cs="宋体"/>
          <w:snapToGrid/>
          <w:color w:val="auto"/>
          <w:kern w:val="2"/>
          <w:highlight w:val="none"/>
          <w:u w:val="single"/>
        </w:rPr>
        <w:t>后14天内</w:t>
      </w:r>
      <w:r>
        <w:rPr>
          <w:rFonts w:hint="eastAsia" w:ascii="宋体" w:hAnsi="宋体" w:eastAsia="宋体" w:cs="宋体"/>
          <w:snapToGrid/>
          <w:color w:val="auto"/>
          <w:kern w:val="2"/>
          <w:highlight w:val="none"/>
        </w:rPr>
        <w:t>。</w:t>
      </w:r>
    </w:p>
    <w:p w14:paraId="58EFB5F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7.2  施工进度计划</w:t>
      </w:r>
    </w:p>
    <w:p w14:paraId="78DEAD0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7.2.2  施工进度计划的修订</w:t>
      </w:r>
    </w:p>
    <w:p w14:paraId="5F75D42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发包人和监理人在收到修订的施工进度计划后确认或提出修改意见的期限：</w:t>
      </w:r>
      <w:r>
        <w:rPr>
          <w:rFonts w:hint="eastAsia" w:ascii="宋体" w:hAnsi="宋体" w:eastAsia="宋体" w:cs="宋体"/>
          <w:snapToGrid/>
          <w:color w:val="auto"/>
          <w:kern w:val="2"/>
          <w:highlight w:val="none"/>
          <w:u w:val="single"/>
        </w:rPr>
        <w:t>收到后14天内</w:t>
      </w:r>
      <w:r>
        <w:rPr>
          <w:rFonts w:hint="eastAsia" w:ascii="宋体" w:hAnsi="宋体" w:eastAsia="宋体" w:cs="宋体"/>
          <w:snapToGrid/>
          <w:color w:val="auto"/>
          <w:kern w:val="2"/>
          <w:highlight w:val="none"/>
        </w:rPr>
        <w:t>。</w:t>
      </w:r>
    </w:p>
    <w:p w14:paraId="09DDBB9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7.2.3  施工各阶段节点工期如下：</w:t>
      </w:r>
    </w:p>
    <w:p w14:paraId="45B654D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计划开工日期：</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年</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月</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日 (实际开工时间以发包人或监理单位书面进场通知所载明的时间为准，竣工时间以实际开工时间推定。原则上要求</w:t>
      </w:r>
      <w:r>
        <w:rPr>
          <w:rFonts w:ascii="宋体" w:hAnsi="宋体" w:eastAsia="宋体" w:cs="宋体"/>
          <w:snapToGrid/>
          <w:color w:val="auto"/>
          <w:kern w:val="2"/>
          <w:highlight w:val="none"/>
        </w:rPr>
        <w:t>2026</w:t>
      </w:r>
      <w:r>
        <w:rPr>
          <w:rFonts w:hint="eastAsia" w:ascii="宋体" w:hAnsi="宋体" w:eastAsia="宋体" w:cs="宋体"/>
          <w:snapToGrid/>
          <w:color w:val="auto"/>
          <w:kern w:val="2"/>
          <w:highlight w:val="none"/>
        </w:rPr>
        <w:t>年</w:t>
      </w:r>
      <w:r>
        <w:rPr>
          <w:rFonts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月份完工并竣工验收完成；实际上按发包人要求工期实行。如遇发包人调整建设节奏，或加快/放缓某部分工程工期，或因项目证照问题导致工程停工，承包人不得对发包人进行任何费用索赔；根据发包人开发节奏需要，发包人有权确定工程是否分批、分阶段施工，对前后施工间隔等所造成延误、窝工或赶工等索赔，发包人均不另计算或补偿费用；合同工期相较于定额工期有所缩减，缩减工期所增加投入的费用由承包单位在报价中综合考虑，发包人均不另计算或补偿费用)。</w:t>
      </w:r>
    </w:p>
    <w:p w14:paraId="4F621AF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主要阶段性进度节点要求详见合同第一部分第二节“合同工期”。</w:t>
      </w:r>
    </w:p>
    <w:p w14:paraId="4A540597">
      <w:pPr>
        <w:spacing w:line="360" w:lineRule="auto"/>
        <w:ind w:left="4" w:right="3" w:firstLine="479"/>
        <w:rPr>
          <w:rFonts w:ascii="宋体" w:hAnsi="宋体" w:eastAsia="宋体" w:cs="宋体"/>
          <w:snapToGrid/>
          <w:color w:val="auto"/>
          <w:kern w:val="2"/>
          <w:highlight w:val="none"/>
        </w:rPr>
      </w:pPr>
      <w:bookmarkStart w:id="1152" w:name="_bookmark189"/>
      <w:bookmarkEnd w:id="1152"/>
      <w:r>
        <w:rPr>
          <w:rFonts w:hint="eastAsia" w:ascii="宋体" w:hAnsi="宋体" w:eastAsia="宋体" w:cs="宋体"/>
          <w:snapToGrid/>
          <w:color w:val="auto"/>
          <w:kern w:val="2"/>
          <w:highlight w:val="none"/>
        </w:rPr>
        <w:t>7.3  开工</w:t>
      </w:r>
    </w:p>
    <w:p w14:paraId="0BDEBE6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7.3.1  开工准备</w:t>
      </w:r>
    </w:p>
    <w:p w14:paraId="62F591C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关于承包人提交工程开工报审表的期限： 中标通知书发出 7 天内。</w:t>
      </w:r>
    </w:p>
    <w:p w14:paraId="262D94F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关于发包人应完成的其他开工准备工作及期限：</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w:t>
      </w:r>
    </w:p>
    <w:p w14:paraId="46DD561C">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关于承包人应完成的其他开工准备工作及期限：</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w:t>
      </w:r>
    </w:p>
    <w:p w14:paraId="7BD2AEA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7.3.2 开工通知</w:t>
      </w:r>
    </w:p>
    <w:p w14:paraId="272DD52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因发包人原因造成监理人未能在计划开工日期之日起</w:t>
      </w:r>
      <w:r>
        <w:rPr>
          <w:rFonts w:hint="eastAsia" w:ascii="宋体" w:hAnsi="宋体" w:eastAsia="宋体" w:cs="宋体"/>
          <w:snapToGrid/>
          <w:color w:val="auto"/>
          <w:kern w:val="2"/>
          <w:highlight w:val="none"/>
          <w:u w:val="single"/>
        </w:rPr>
        <w:t xml:space="preserve"> 90 </w:t>
      </w:r>
      <w:r>
        <w:rPr>
          <w:rFonts w:hint="eastAsia" w:ascii="宋体" w:hAnsi="宋体" w:eastAsia="宋体" w:cs="宋体"/>
          <w:snapToGrid/>
          <w:color w:val="auto"/>
          <w:kern w:val="2"/>
          <w:highlight w:val="none"/>
        </w:rPr>
        <w:t>天内发出开工通知的， 承包人有权提出价格调整要求，或者解除合同。</w:t>
      </w:r>
    </w:p>
    <w:p w14:paraId="68BEE6D7">
      <w:pPr>
        <w:spacing w:line="360" w:lineRule="auto"/>
        <w:ind w:left="4" w:right="3" w:firstLine="479"/>
        <w:rPr>
          <w:rFonts w:ascii="宋体" w:hAnsi="宋体" w:eastAsia="宋体" w:cs="宋体"/>
          <w:snapToGrid/>
          <w:color w:val="auto"/>
          <w:kern w:val="2"/>
          <w:highlight w:val="none"/>
        </w:rPr>
      </w:pPr>
      <w:bookmarkStart w:id="1153" w:name="_bookmark190"/>
      <w:bookmarkEnd w:id="1153"/>
      <w:r>
        <w:rPr>
          <w:rFonts w:hint="eastAsia" w:ascii="宋体" w:hAnsi="宋体" w:eastAsia="宋体" w:cs="宋体"/>
          <w:snapToGrid/>
          <w:color w:val="auto"/>
          <w:kern w:val="2"/>
          <w:highlight w:val="none"/>
        </w:rPr>
        <w:t>7.4  测量放线</w:t>
      </w:r>
    </w:p>
    <w:p w14:paraId="3E1B3F01">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7.4.1 发包人通过监理人向承包人提供测量基准点、基准线和水准点及其书面资料的期限：  </w:t>
      </w:r>
      <w:r>
        <w:rPr>
          <w:rFonts w:hint="eastAsia" w:ascii="宋体" w:hAnsi="宋体" w:eastAsia="宋体" w:cs="宋体"/>
          <w:snapToGrid/>
          <w:color w:val="auto"/>
          <w:kern w:val="2"/>
          <w:highlight w:val="none"/>
          <w:u w:val="single"/>
        </w:rPr>
        <w:t>中标通知书发出 7 天内</w:t>
      </w:r>
      <w:r>
        <w:rPr>
          <w:rFonts w:hint="eastAsia" w:ascii="宋体" w:hAnsi="宋体" w:eastAsia="宋体" w:cs="宋体"/>
          <w:snapToGrid/>
          <w:color w:val="auto"/>
          <w:kern w:val="2"/>
          <w:highlight w:val="none"/>
        </w:rPr>
        <w:t>。</w:t>
      </w:r>
      <w:bookmarkStart w:id="1154" w:name="_bookmark191"/>
      <w:bookmarkEnd w:id="1154"/>
    </w:p>
    <w:p w14:paraId="7D32DFE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7.5  工期延误</w:t>
      </w:r>
    </w:p>
    <w:p w14:paraId="52CD610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7.5.1  因发包人原因导致工期延误</w:t>
      </w:r>
    </w:p>
    <w:p w14:paraId="305020C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(7)因发包人原因导致工期延误的其他情形：</w:t>
      </w:r>
      <w:r>
        <w:rPr>
          <w:rFonts w:hint="eastAsia" w:ascii="宋体" w:hAnsi="宋体" w:eastAsia="宋体" w:cs="宋体"/>
          <w:snapToGrid/>
          <w:color w:val="auto"/>
          <w:kern w:val="2"/>
          <w:highlight w:val="none"/>
          <w:u w:val="single"/>
        </w:rPr>
        <w:t>①重大设计变更而影响施工进度；②政策处理问题影响施工进度；③不可抗力。延误工期须在发现后七天内办理签证，逾期不予认可。</w:t>
      </w:r>
    </w:p>
    <w:p w14:paraId="3404AB7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7.5.2  因承包人原因导致工期延误</w:t>
      </w:r>
    </w:p>
    <w:p w14:paraId="1BA39D2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因承包人原因造成工期延误，逾期竣工违约金的计算方法为：</w:t>
      </w:r>
    </w:p>
    <w:p w14:paraId="35FF5FD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本项目总工期为</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日历天，总工期每逾期一日按合同总价的千分之一向发包人支付违约金。本工程竣工日期为竣工备案合格日期。如本合同工程在合同约定的竣工日期未达到验收合格的，视为总工期延期，每延期一天，发包人对承包人处予合同总价千分之一的违约金，如果承包人总工期延期超过一个月，发包人保留提前解除合同并没收全部履约保证金的权利。对于承包单位违约对发包人所造成的直接、间接损失，将作为结算依据，在结算中进行扣减。</w:t>
      </w:r>
    </w:p>
    <w:p w14:paraId="462A380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因承包人原因造成工期延误，逾期竣工违约金的上限：</w:t>
      </w:r>
      <w:r>
        <w:rPr>
          <w:rFonts w:hint="eastAsia" w:ascii="宋体" w:hAnsi="宋体" w:eastAsia="宋体" w:cs="宋体"/>
          <w:snapToGrid/>
          <w:color w:val="auto"/>
          <w:kern w:val="2"/>
          <w:highlight w:val="none"/>
          <w:u w:val="single"/>
        </w:rPr>
        <w:t>不设上限</w:t>
      </w:r>
      <w:r>
        <w:rPr>
          <w:rFonts w:hint="eastAsia" w:ascii="宋体" w:hAnsi="宋体" w:eastAsia="宋体" w:cs="宋体"/>
          <w:snapToGrid/>
          <w:color w:val="auto"/>
          <w:kern w:val="2"/>
          <w:highlight w:val="none"/>
        </w:rPr>
        <w:t>。</w:t>
      </w:r>
      <w:bookmarkStart w:id="1155" w:name="_bookmark192"/>
      <w:bookmarkEnd w:id="1155"/>
    </w:p>
    <w:p w14:paraId="2C23ECBC">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7.6  不利物质条件</w:t>
      </w:r>
    </w:p>
    <w:p w14:paraId="0F12814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不利物质条件的其他情形和有关约定：</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 xml:space="preserve"> 。</w:t>
      </w:r>
    </w:p>
    <w:p w14:paraId="38A59AC5">
      <w:pPr>
        <w:spacing w:line="360" w:lineRule="auto"/>
        <w:ind w:left="4" w:right="3" w:firstLine="479"/>
        <w:rPr>
          <w:rFonts w:ascii="宋体" w:hAnsi="宋体" w:eastAsia="宋体" w:cs="宋体"/>
          <w:snapToGrid/>
          <w:color w:val="auto"/>
          <w:kern w:val="2"/>
          <w:highlight w:val="none"/>
        </w:rPr>
      </w:pPr>
      <w:bookmarkStart w:id="1156" w:name="_bookmark193"/>
      <w:bookmarkEnd w:id="1156"/>
      <w:r>
        <w:rPr>
          <w:rFonts w:hint="eastAsia" w:ascii="宋体" w:hAnsi="宋体" w:eastAsia="宋体" w:cs="宋体"/>
          <w:snapToGrid/>
          <w:color w:val="auto"/>
          <w:kern w:val="2"/>
          <w:highlight w:val="none"/>
        </w:rPr>
        <w:t>7.7 异常恶劣的气候条件</w:t>
      </w:r>
    </w:p>
    <w:p w14:paraId="03BA50C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发包人和承包人同意以下情形视为异常恶劣的气候条件：</w:t>
      </w:r>
    </w:p>
    <w:p w14:paraId="737173B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(1) </w:t>
      </w:r>
      <w:r>
        <w:rPr>
          <w:rFonts w:hint="eastAsia" w:ascii="宋体" w:hAnsi="宋体" w:eastAsia="宋体" w:cs="宋体"/>
          <w:snapToGrid/>
          <w:color w:val="auto"/>
          <w:kern w:val="2"/>
          <w:highlight w:val="none"/>
          <w:u w:val="single"/>
        </w:rPr>
        <w:t>6 级以上的地震</w:t>
      </w:r>
      <w:r>
        <w:rPr>
          <w:rFonts w:hint="eastAsia" w:ascii="宋体" w:hAnsi="宋体" w:eastAsia="宋体" w:cs="宋体"/>
          <w:snapToGrid/>
          <w:color w:val="auto"/>
          <w:kern w:val="2"/>
          <w:highlight w:val="none"/>
        </w:rPr>
        <w:t>；</w:t>
      </w:r>
    </w:p>
    <w:p w14:paraId="1909AE40">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 xml:space="preserve">(2) </w:t>
      </w:r>
      <w:r>
        <w:rPr>
          <w:rFonts w:hint="eastAsia" w:ascii="宋体" w:hAnsi="宋体" w:eastAsia="宋体" w:cs="宋体"/>
          <w:snapToGrid/>
          <w:color w:val="auto"/>
          <w:kern w:val="2"/>
          <w:highlight w:val="none"/>
          <w:u w:val="single"/>
        </w:rPr>
        <w:t>8 级以上的持续 2 天的台风；</w:t>
      </w:r>
    </w:p>
    <w:p w14:paraId="2E815AC4">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 xml:space="preserve">(3) </w:t>
      </w:r>
      <w:r>
        <w:rPr>
          <w:rFonts w:hint="eastAsia" w:ascii="宋体" w:hAnsi="宋体" w:eastAsia="宋体" w:cs="宋体"/>
          <w:snapToGrid/>
          <w:color w:val="auto"/>
          <w:kern w:val="2"/>
          <w:highlight w:val="none"/>
          <w:u w:val="single"/>
        </w:rPr>
        <w:t>250mm 以上的持续 24 小时的大雨、暴雨；</w:t>
      </w:r>
    </w:p>
    <w:p w14:paraId="3074D843">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 xml:space="preserve">(4) </w:t>
      </w:r>
      <w:r>
        <w:rPr>
          <w:rFonts w:hint="eastAsia" w:ascii="宋体" w:hAnsi="宋体" w:eastAsia="宋体" w:cs="宋体"/>
          <w:snapToGrid/>
          <w:color w:val="auto"/>
          <w:kern w:val="2"/>
          <w:highlight w:val="none"/>
          <w:u w:val="single"/>
        </w:rPr>
        <w:t>50 年以上未发生过、持续 2 天的高温天气。</w:t>
      </w:r>
    </w:p>
    <w:p w14:paraId="00C5C76F">
      <w:pPr>
        <w:spacing w:line="360" w:lineRule="auto"/>
        <w:ind w:left="4" w:right="3" w:firstLine="479"/>
        <w:rPr>
          <w:rFonts w:ascii="宋体" w:hAnsi="宋体" w:eastAsia="宋体" w:cs="宋体"/>
          <w:snapToGrid/>
          <w:color w:val="auto"/>
          <w:kern w:val="2"/>
          <w:highlight w:val="none"/>
        </w:rPr>
      </w:pPr>
      <w:bookmarkStart w:id="1157" w:name="_bookmark194"/>
      <w:bookmarkEnd w:id="1157"/>
      <w:r>
        <w:rPr>
          <w:rFonts w:hint="eastAsia" w:ascii="宋体" w:hAnsi="宋体" w:eastAsia="宋体" w:cs="宋体"/>
          <w:snapToGrid/>
          <w:color w:val="auto"/>
          <w:kern w:val="2"/>
          <w:highlight w:val="none"/>
        </w:rPr>
        <w:t>7.9  提前竣工的奖励</w:t>
      </w:r>
    </w:p>
    <w:p w14:paraId="1D881D5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7.9.1 提前竣工的奖励：</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 xml:space="preserve"> 。</w:t>
      </w:r>
    </w:p>
    <w:p w14:paraId="3CB3FF0A">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158" w:name="_bookmark195"/>
      <w:bookmarkEnd w:id="1158"/>
      <w:bookmarkStart w:id="1159" w:name="_bookmark196"/>
      <w:bookmarkEnd w:id="1159"/>
      <w:bookmarkStart w:id="1160" w:name="_Toc2153"/>
      <w:bookmarkStart w:id="1161" w:name="_Toc5403"/>
      <w:bookmarkStart w:id="1162" w:name="_Toc7007"/>
      <w:bookmarkStart w:id="1163" w:name="_Toc7799"/>
      <w:bookmarkStart w:id="1164" w:name="_Toc15179"/>
      <w:r>
        <w:rPr>
          <w:rFonts w:hint="eastAsia" w:ascii="宋体" w:hAnsi="宋体" w:eastAsia="宋体"/>
          <w:b/>
          <w:bCs/>
          <w:snapToGrid/>
          <w:color w:val="auto"/>
          <w:kern w:val="2"/>
          <w:highlight w:val="none"/>
        </w:rPr>
        <w:t>8. 材料与设备</w:t>
      </w:r>
      <w:bookmarkEnd w:id="1160"/>
      <w:bookmarkEnd w:id="1161"/>
      <w:bookmarkEnd w:id="1162"/>
      <w:bookmarkEnd w:id="1163"/>
      <w:bookmarkEnd w:id="1164"/>
    </w:p>
    <w:p w14:paraId="7138CF9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8.1 材料与工程设备的保管与使用</w:t>
      </w:r>
    </w:p>
    <w:p w14:paraId="1254349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8.1.1 发包人供应的材料设备的保管费用的承担：</w:t>
      </w:r>
      <w:r>
        <w:rPr>
          <w:rFonts w:hint="eastAsia" w:ascii="宋体" w:hAnsi="宋体" w:eastAsia="宋体" w:cs="宋体"/>
          <w:snapToGrid/>
          <w:color w:val="auto"/>
          <w:kern w:val="2"/>
          <w:highlight w:val="none"/>
          <w:u w:val="single"/>
        </w:rPr>
        <w:t xml:space="preserve">由承包人承担  </w:t>
      </w:r>
      <w:r>
        <w:rPr>
          <w:rFonts w:hint="eastAsia" w:ascii="宋体" w:hAnsi="宋体" w:eastAsia="宋体" w:cs="宋体"/>
          <w:snapToGrid/>
          <w:color w:val="auto"/>
          <w:kern w:val="2"/>
          <w:highlight w:val="none"/>
        </w:rPr>
        <w:t>。</w:t>
      </w:r>
    </w:p>
    <w:p w14:paraId="4A56B827">
      <w:pPr>
        <w:spacing w:line="360" w:lineRule="auto"/>
        <w:ind w:left="4" w:right="3" w:firstLine="479"/>
        <w:rPr>
          <w:rFonts w:ascii="宋体" w:hAnsi="宋体" w:eastAsia="宋体" w:cs="宋体"/>
          <w:snapToGrid/>
          <w:color w:val="auto"/>
          <w:kern w:val="2"/>
          <w:highlight w:val="none"/>
        </w:rPr>
      </w:pPr>
      <w:bookmarkStart w:id="1165" w:name="_bookmark197"/>
      <w:bookmarkEnd w:id="1165"/>
      <w:r>
        <w:rPr>
          <w:rFonts w:hint="eastAsia" w:ascii="宋体" w:hAnsi="宋体" w:eastAsia="宋体" w:cs="宋体"/>
          <w:snapToGrid/>
          <w:color w:val="auto"/>
          <w:kern w:val="2"/>
          <w:highlight w:val="none"/>
        </w:rPr>
        <w:t>8.6  样品</w:t>
      </w:r>
    </w:p>
    <w:p w14:paraId="1956F54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8.6.1  样品的报送与封存</w:t>
      </w:r>
    </w:p>
    <w:p w14:paraId="05E77B8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需要承包人报送样品的材料或工程设备，样品的种类、名称、规格、数量要求：</w:t>
      </w:r>
      <w:r>
        <w:rPr>
          <w:rFonts w:hint="eastAsia" w:ascii="宋体" w:hAnsi="宋体" w:eastAsia="宋体" w:cs="宋体"/>
          <w:snapToGrid/>
          <w:color w:val="auto"/>
          <w:kern w:val="2"/>
          <w:highlight w:val="none"/>
          <w:u w:val="single"/>
        </w:rPr>
        <w:t xml:space="preserve">/。 </w:t>
      </w:r>
    </w:p>
    <w:p w14:paraId="6CF6175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8.8  施工设备和临时设施</w:t>
      </w:r>
    </w:p>
    <w:p w14:paraId="522AECFC">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8.8.1  承包人提供的施工设备和临时设施</w:t>
      </w:r>
    </w:p>
    <w:p w14:paraId="35DE9E1D">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关于修建临时设施费用承担的约定：</w:t>
      </w:r>
      <w:r>
        <w:rPr>
          <w:rFonts w:hint="eastAsia" w:ascii="宋体" w:hAnsi="宋体" w:eastAsia="宋体" w:cs="宋体"/>
          <w:snapToGrid/>
          <w:color w:val="auto"/>
          <w:kern w:val="2"/>
          <w:highlight w:val="none"/>
          <w:u w:val="single"/>
        </w:rPr>
        <w:t>承包人应自行承担修建临时设施的费用。需要临时占地的，由承包人办理其申请手续，发包人给予协助，相应费用由承包人承担。</w:t>
      </w:r>
    </w:p>
    <w:p w14:paraId="0EDC9607">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正式电梯专人管理开梯及负责，做好成品保护。施工期间的电梯维护费由承包人负责。</w:t>
      </w:r>
    </w:p>
    <w:p w14:paraId="07A63489">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166" w:name="_bookmark199"/>
      <w:bookmarkEnd w:id="1166"/>
      <w:bookmarkStart w:id="1167" w:name="_Toc9117"/>
      <w:bookmarkStart w:id="1168" w:name="_Toc23636"/>
      <w:bookmarkStart w:id="1169" w:name="_Toc26801"/>
      <w:bookmarkStart w:id="1170" w:name="_Toc29296"/>
      <w:bookmarkStart w:id="1171" w:name="_Toc26560"/>
      <w:r>
        <w:rPr>
          <w:rFonts w:hint="eastAsia" w:ascii="宋体" w:hAnsi="宋体" w:eastAsia="宋体"/>
          <w:b/>
          <w:bCs/>
          <w:snapToGrid/>
          <w:color w:val="auto"/>
          <w:kern w:val="2"/>
          <w:highlight w:val="none"/>
        </w:rPr>
        <w:t>9. 试验与检验</w:t>
      </w:r>
      <w:bookmarkEnd w:id="1167"/>
      <w:bookmarkEnd w:id="1168"/>
      <w:bookmarkEnd w:id="1169"/>
      <w:bookmarkEnd w:id="1170"/>
      <w:bookmarkEnd w:id="1171"/>
    </w:p>
    <w:p w14:paraId="6F0EFF5B">
      <w:pPr>
        <w:spacing w:line="360" w:lineRule="auto"/>
        <w:ind w:left="4" w:right="3" w:firstLine="479"/>
        <w:rPr>
          <w:rFonts w:ascii="宋体" w:hAnsi="宋体" w:eastAsia="宋体" w:cs="宋体"/>
          <w:snapToGrid/>
          <w:color w:val="auto"/>
          <w:kern w:val="2"/>
          <w:highlight w:val="none"/>
        </w:rPr>
      </w:pPr>
      <w:bookmarkStart w:id="1172" w:name="_bookmark200"/>
      <w:bookmarkEnd w:id="1172"/>
      <w:r>
        <w:rPr>
          <w:rFonts w:hint="eastAsia" w:ascii="宋体" w:hAnsi="宋体" w:eastAsia="宋体" w:cs="宋体"/>
          <w:snapToGrid/>
          <w:color w:val="auto"/>
          <w:kern w:val="2"/>
          <w:highlight w:val="none"/>
        </w:rPr>
        <w:t>9.1 试验设备与试验人员</w:t>
      </w:r>
    </w:p>
    <w:p w14:paraId="20BAB5A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9.1.2  试验设备</w:t>
      </w:r>
    </w:p>
    <w:p w14:paraId="01BA306B">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施工现场需要配置的试验场所：</w:t>
      </w:r>
      <w:r>
        <w:rPr>
          <w:rFonts w:hint="eastAsia" w:ascii="宋体" w:hAnsi="宋体" w:eastAsia="宋体" w:cs="宋体"/>
          <w:snapToGrid/>
          <w:color w:val="auto"/>
          <w:kern w:val="2"/>
          <w:highlight w:val="none"/>
          <w:u w:val="single"/>
        </w:rPr>
        <w:t>按有关规定执行。</w:t>
      </w:r>
    </w:p>
    <w:p w14:paraId="50F62A9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施工现场需要配备的试验设备：</w:t>
      </w:r>
      <w:r>
        <w:rPr>
          <w:rFonts w:hint="eastAsia" w:ascii="宋体" w:hAnsi="宋体" w:eastAsia="宋体" w:cs="宋体"/>
          <w:snapToGrid/>
          <w:color w:val="auto"/>
          <w:kern w:val="2"/>
          <w:highlight w:val="none"/>
          <w:u w:val="single"/>
        </w:rPr>
        <w:t>按有关规定执行。</w:t>
      </w:r>
    </w:p>
    <w:p w14:paraId="06974C1E">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施工现场需要具备的其他试验条件：</w:t>
      </w:r>
      <w:r>
        <w:rPr>
          <w:rFonts w:hint="eastAsia" w:ascii="宋体" w:hAnsi="宋体" w:eastAsia="宋体" w:cs="宋体"/>
          <w:snapToGrid/>
          <w:color w:val="auto"/>
          <w:kern w:val="2"/>
          <w:highlight w:val="none"/>
          <w:u w:val="single"/>
        </w:rPr>
        <w:t xml:space="preserve">         /                            。</w:t>
      </w:r>
    </w:p>
    <w:p w14:paraId="68D32568">
      <w:pPr>
        <w:pStyle w:val="5"/>
        <w:ind w:firstLine="422" w:firstLineChars="200"/>
        <w:rPr>
          <w:rFonts w:eastAsia="宋体"/>
          <w:b/>
          <w:bCs/>
          <w:color w:val="auto"/>
          <w:highlight w:val="none"/>
        </w:rPr>
      </w:pPr>
      <w:r>
        <w:rPr>
          <w:rFonts w:hint="eastAsia" w:eastAsia="宋体"/>
          <w:b/>
          <w:bCs/>
          <w:color w:val="auto"/>
          <w:highlight w:val="none"/>
        </w:rPr>
        <w:t>本款增加9.3.4项：</w:t>
      </w:r>
    </w:p>
    <w:p w14:paraId="29430C38">
      <w:pPr>
        <w:pStyle w:val="5"/>
        <w:ind w:firstLine="420" w:firstLineChars="200"/>
        <w:rPr>
          <w:rFonts w:eastAsia="宋体"/>
          <w:color w:val="auto"/>
          <w:highlight w:val="none"/>
        </w:rPr>
      </w:pPr>
      <w:r>
        <w:rPr>
          <w:rFonts w:hint="eastAsia" w:eastAsia="宋体"/>
          <w:color w:val="auto"/>
          <w:highlight w:val="none"/>
        </w:rPr>
        <w:t>9.3.4 检测费用按国家或行业相关规定执行。</w:t>
      </w:r>
    </w:p>
    <w:p w14:paraId="41F5FD9D">
      <w:pPr>
        <w:rPr>
          <w:color w:val="auto"/>
          <w:highlight w:val="none"/>
        </w:rPr>
      </w:pPr>
    </w:p>
    <w:p w14:paraId="26EAAD51">
      <w:pPr>
        <w:spacing w:line="360" w:lineRule="auto"/>
        <w:ind w:left="4" w:right="3" w:firstLine="479"/>
        <w:rPr>
          <w:rFonts w:ascii="宋体" w:hAnsi="宋体" w:eastAsia="宋体" w:cs="宋体"/>
          <w:snapToGrid/>
          <w:color w:val="auto"/>
          <w:kern w:val="2"/>
          <w:highlight w:val="none"/>
        </w:rPr>
      </w:pPr>
      <w:bookmarkStart w:id="1173" w:name="_bookmark201"/>
      <w:bookmarkEnd w:id="1173"/>
      <w:r>
        <w:rPr>
          <w:rFonts w:hint="eastAsia" w:ascii="宋体" w:hAnsi="宋体" w:eastAsia="宋体" w:cs="宋体"/>
          <w:snapToGrid/>
          <w:color w:val="auto"/>
          <w:kern w:val="2"/>
          <w:highlight w:val="none"/>
        </w:rPr>
        <w:t>9.4  现场工艺试验</w:t>
      </w:r>
    </w:p>
    <w:p w14:paraId="21577FFD">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现场工艺试验的有关约定：</w:t>
      </w:r>
      <w:r>
        <w:rPr>
          <w:rFonts w:hint="eastAsia" w:ascii="宋体" w:hAnsi="宋体" w:eastAsia="宋体" w:cs="宋体"/>
          <w:snapToGrid/>
          <w:color w:val="auto"/>
          <w:kern w:val="2"/>
          <w:highlight w:val="none"/>
          <w:u w:val="single"/>
        </w:rPr>
        <w:t xml:space="preserve">           /             。</w:t>
      </w:r>
    </w:p>
    <w:p w14:paraId="4AEF2300">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174" w:name="_bookmark202"/>
      <w:bookmarkEnd w:id="1174"/>
      <w:bookmarkStart w:id="1175" w:name="_Toc12793"/>
      <w:bookmarkStart w:id="1176" w:name="_Toc9107"/>
      <w:bookmarkStart w:id="1177" w:name="_Toc1754"/>
      <w:bookmarkStart w:id="1178" w:name="_Toc2001"/>
      <w:bookmarkStart w:id="1179" w:name="_Toc31874"/>
      <w:r>
        <w:rPr>
          <w:rFonts w:hint="eastAsia" w:ascii="宋体" w:hAnsi="宋体" w:eastAsia="宋体"/>
          <w:b/>
          <w:bCs/>
          <w:snapToGrid/>
          <w:color w:val="auto"/>
          <w:kern w:val="2"/>
          <w:highlight w:val="none"/>
        </w:rPr>
        <w:t>10. 变更</w:t>
      </w:r>
      <w:bookmarkEnd w:id="1175"/>
      <w:bookmarkEnd w:id="1176"/>
      <w:bookmarkEnd w:id="1177"/>
      <w:bookmarkEnd w:id="1178"/>
      <w:bookmarkEnd w:id="1179"/>
    </w:p>
    <w:p w14:paraId="4F33710E">
      <w:pPr>
        <w:spacing w:line="360" w:lineRule="auto"/>
        <w:ind w:left="4" w:right="3" w:firstLine="479"/>
        <w:rPr>
          <w:rFonts w:ascii="宋体" w:hAnsi="宋体" w:eastAsia="宋体" w:cs="宋体"/>
          <w:snapToGrid/>
          <w:color w:val="auto"/>
          <w:kern w:val="2"/>
          <w:highlight w:val="none"/>
        </w:rPr>
      </w:pPr>
      <w:bookmarkStart w:id="1180" w:name="_bookmark203"/>
      <w:bookmarkEnd w:id="1180"/>
      <w:r>
        <w:rPr>
          <w:rFonts w:hint="eastAsia" w:ascii="宋体" w:hAnsi="宋体" w:eastAsia="宋体" w:cs="宋体"/>
          <w:snapToGrid/>
          <w:color w:val="auto"/>
          <w:kern w:val="2"/>
          <w:highlight w:val="none"/>
        </w:rPr>
        <w:t>10.1 变更的范围</w:t>
      </w:r>
    </w:p>
    <w:p w14:paraId="5349C37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关于变更的范围的约定：</w:t>
      </w:r>
      <w:r>
        <w:rPr>
          <w:rFonts w:hint="eastAsia" w:ascii="宋体" w:hAnsi="宋体" w:eastAsia="宋体" w:cs="宋体"/>
          <w:snapToGrid/>
          <w:color w:val="auto"/>
          <w:kern w:val="2"/>
          <w:highlight w:val="none"/>
          <w:u w:val="single"/>
        </w:rPr>
        <w:t xml:space="preserve"> 按通用条款执行 。</w:t>
      </w:r>
    </w:p>
    <w:p w14:paraId="7963D614">
      <w:pPr>
        <w:spacing w:line="360" w:lineRule="auto"/>
        <w:ind w:left="4" w:right="3" w:firstLine="479"/>
        <w:rPr>
          <w:rFonts w:ascii="宋体" w:hAnsi="宋体" w:eastAsia="宋体" w:cs="宋体"/>
          <w:snapToGrid/>
          <w:color w:val="auto"/>
          <w:kern w:val="2"/>
          <w:highlight w:val="none"/>
        </w:rPr>
      </w:pPr>
      <w:bookmarkStart w:id="1181" w:name="_bookmark204"/>
      <w:bookmarkEnd w:id="1181"/>
      <w:r>
        <w:rPr>
          <w:rFonts w:hint="eastAsia" w:ascii="宋体" w:hAnsi="宋体" w:eastAsia="宋体" w:cs="宋体"/>
          <w:snapToGrid/>
          <w:color w:val="auto"/>
          <w:kern w:val="2"/>
          <w:highlight w:val="none"/>
        </w:rPr>
        <w:t>10.4  变更估价</w:t>
      </w:r>
    </w:p>
    <w:p w14:paraId="79633B7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10.4.1  变更估价原则</w:t>
      </w:r>
    </w:p>
    <w:p w14:paraId="4ABBBA19">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 xml:space="preserve">关于变更估价的约定: </w:t>
      </w:r>
      <w:r>
        <w:rPr>
          <w:rFonts w:hint="eastAsia" w:ascii="宋体" w:hAnsi="宋体" w:eastAsia="宋体" w:cs="宋体"/>
          <w:snapToGrid/>
          <w:color w:val="auto"/>
          <w:kern w:val="2"/>
          <w:highlight w:val="none"/>
          <w:u w:val="single"/>
        </w:rPr>
        <w:t xml:space="preserve"> 按专用条款 12.1 款的规定执行。</w:t>
      </w:r>
    </w:p>
    <w:p w14:paraId="35ADCE0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变更偏差率约定：变更偏差率=承包人上报金额/发包人审核金额-1，偏差比列超过±20%的，按超报部分金额两倍罚款。</w:t>
      </w:r>
    </w:p>
    <w:p w14:paraId="5D29FCD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10.4.</w:t>
      </w:r>
      <w:r>
        <w:rPr>
          <w:rFonts w:ascii="宋体" w:hAnsi="宋体" w:eastAsia="宋体" w:cs="宋体"/>
          <w:snapToGrid/>
          <w:color w:val="auto"/>
          <w:kern w:val="2"/>
          <w:highlight w:val="none"/>
        </w:rPr>
        <w:t>2</w:t>
      </w:r>
      <w:r>
        <w:rPr>
          <w:rFonts w:hint="eastAsia" w:ascii="宋体" w:hAnsi="宋体" w:eastAsia="宋体" w:cs="宋体"/>
          <w:snapToGrid/>
          <w:color w:val="auto"/>
          <w:kern w:val="2"/>
          <w:highlight w:val="none"/>
        </w:rPr>
        <w:t xml:space="preserve">  变更估价程序</w:t>
      </w:r>
    </w:p>
    <w:p w14:paraId="72EB0626">
      <w:pPr>
        <w:pStyle w:val="7"/>
        <w:spacing w:line="360" w:lineRule="auto"/>
        <w:ind w:firstLine="420" w:firstLineChars="200"/>
        <w:rPr>
          <w:rFonts w:eastAsia="宋体"/>
          <w:color w:val="auto"/>
          <w:highlight w:val="none"/>
        </w:rPr>
      </w:pPr>
      <w:r>
        <w:rPr>
          <w:rFonts w:hint="eastAsia" w:ascii="宋体" w:hAnsi="宋体" w:eastAsia="宋体" w:cs="宋体"/>
          <w:bCs w:val="0"/>
          <w:snapToGrid/>
          <w:color w:val="auto"/>
          <w:kern w:val="2"/>
          <w:sz w:val="21"/>
          <w:highlight w:val="none"/>
        </w:rPr>
        <w:t>关于变更引起的价格调整支付的约定： 按专用条款 12.4.2 款的规定执行。</w:t>
      </w:r>
    </w:p>
    <w:p w14:paraId="3DC946EB">
      <w:pPr>
        <w:spacing w:line="360" w:lineRule="auto"/>
        <w:ind w:left="4" w:right="3" w:firstLine="479"/>
        <w:rPr>
          <w:rFonts w:ascii="宋体" w:hAnsi="宋体" w:eastAsia="宋体" w:cs="宋体"/>
          <w:snapToGrid/>
          <w:color w:val="auto"/>
          <w:kern w:val="2"/>
          <w:highlight w:val="none"/>
        </w:rPr>
      </w:pPr>
      <w:bookmarkStart w:id="1182" w:name="_bookmark205"/>
      <w:bookmarkEnd w:id="1182"/>
      <w:r>
        <w:rPr>
          <w:rFonts w:hint="eastAsia" w:ascii="宋体" w:hAnsi="宋体" w:eastAsia="宋体" w:cs="宋体"/>
          <w:snapToGrid/>
          <w:color w:val="auto"/>
          <w:kern w:val="2"/>
          <w:highlight w:val="none"/>
        </w:rPr>
        <w:t>10.5 承包人的合理化建议</w:t>
      </w:r>
    </w:p>
    <w:p w14:paraId="7C56700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监理人审查承包人合理化建议的期限：</w:t>
      </w:r>
      <w:r>
        <w:rPr>
          <w:rFonts w:hint="eastAsia" w:ascii="宋体" w:hAnsi="宋体" w:eastAsia="宋体" w:cs="宋体"/>
          <w:snapToGrid/>
          <w:color w:val="auto"/>
          <w:kern w:val="2"/>
          <w:highlight w:val="none"/>
          <w:u w:val="single"/>
        </w:rPr>
        <w:t>双方另行确定。</w:t>
      </w:r>
    </w:p>
    <w:p w14:paraId="6A12758F">
      <w:pPr>
        <w:spacing w:line="360" w:lineRule="auto"/>
        <w:ind w:right="3" w:firstLine="420" w:firstLineChars="200"/>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发包人审批承包人合理化建议的期限：</w:t>
      </w:r>
      <w:r>
        <w:rPr>
          <w:rFonts w:hint="eastAsia" w:ascii="宋体" w:hAnsi="宋体" w:eastAsia="宋体" w:cs="宋体"/>
          <w:snapToGrid/>
          <w:color w:val="auto"/>
          <w:kern w:val="2"/>
          <w:highlight w:val="none"/>
          <w:u w:val="single"/>
        </w:rPr>
        <w:t>双方另行确定。</w:t>
      </w:r>
    </w:p>
    <w:p w14:paraId="75CAED51">
      <w:pPr>
        <w:spacing w:line="360" w:lineRule="auto"/>
        <w:ind w:right="3" w:firstLine="420" w:firstLineChars="200"/>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承包人提出的合理化建议降低了合同价格或者提高了工程经济效益的奖励的方</w:t>
      </w:r>
      <w:bookmarkStart w:id="1183" w:name="_bookmark206"/>
      <w:bookmarkEnd w:id="1183"/>
      <w:r>
        <w:rPr>
          <w:rFonts w:hint="eastAsia" w:ascii="宋体" w:hAnsi="宋体" w:eastAsia="宋体" w:cs="宋体"/>
          <w:snapToGrid/>
          <w:color w:val="auto"/>
          <w:kern w:val="2"/>
          <w:highlight w:val="none"/>
        </w:rPr>
        <w:t>法和金额为：</w:t>
      </w:r>
      <w:r>
        <w:rPr>
          <w:rFonts w:hint="eastAsia" w:ascii="宋体" w:hAnsi="宋体" w:eastAsia="宋体" w:cs="宋体"/>
          <w:snapToGrid/>
          <w:color w:val="auto"/>
          <w:kern w:val="2"/>
          <w:highlight w:val="none"/>
          <w:u w:val="single"/>
        </w:rPr>
        <w:t>/ 。</w:t>
      </w:r>
    </w:p>
    <w:p w14:paraId="730BF62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10.7  暂估价 </w:t>
      </w:r>
    </w:p>
    <w:p w14:paraId="66456C6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10.7.1  依法必须招标的暂估价项目</w:t>
      </w:r>
    </w:p>
    <w:p w14:paraId="32D9580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对于依法必须招标的暂估价项目的确认和批准采取第</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 xml:space="preserve">种方式确定。 </w:t>
      </w:r>
    </w:p>
    <w:p w14:paraId="2A8F041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10.7.2  不属于依法必须招标的暂估价项目</w:t>
      </w:r>
    </w:p>
    <w:p w14:paraId="0FB0C36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对于不属于依法必须招标的暂估价项目的确认和批准采取第</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种方式确定。</w:t>
      </w:r>
    </w:p>
    <w:p w14:paraId="5713C8A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第 3 种方式：承包人直接实施的暂估价项目</w:t>
      </w:r>
    </w:p>
    <w:p w14:paraId="03101F6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承包人直接实施的暂估价项目的约定：</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w:t>
      </w:r>
    </w:p>
    <w:p w14:paraId="3E397B3E">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10.7.4 暂估价项目结算原则</w:t>
      </w:r>
    </w:p>
    <w:p w14:paraId="36879C8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u w:val="single"/>
        </w:rPr>
        <w:tab/>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3F8A5703">
      <w:pPr>
        <w:spacing w:line="360" w:lineRule="auto"/>
        <w:ind w:left="4" w:right="3" w:firstLine="479"/>
        <w:rPr>
          <w:rFonts w:ascii="宋体" w:hAnsi="宋体" w:eastAsia="宋体" w:cs="宋体"/>
          <w:snapToGrid/>
          <w:color w:val="auto"/>
          <w:kern w:val="2"/>
          <w:highlight w:val="none"/>
        </w:rPr>
      </w:pPr>
      <w:bookmarkStart w:id="1184" w:name="_bookmark207"/>
      <w:bookmarkEnd w:id="1184"/>
      <w:r>
        <w:rPr>
          <w:rFonts w:hint="eastAsia" w:ascii="宋体" w:hAnsi="宋体" w:eastAsia="宋体" w:cs="宋体"/>
          <w:snapToGrid/>
          <w:color w:val="auto"/>
          <w:kern w:val="2"/>
          <w:highlight w:val="none"/>
        </w:rPr>
        <w:t>10.8  暂列金额</w:t>
      </w:r>
    </w:p>
    <w:p w14:paraId="433A9BE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合同当事人关于暂列金额使用的约定：</w:t>
      </w:r>
      <w:r>
        <w:rPr>
          <w:rFonts w:hint="eastAsia" w:ascii="宋体" w:hAnsi="宋体" w:eastAsia="宋体" w:cs="宋体"/>
          <w:snapToGrid/>
          <w:color w:val="auto"/>
          <w:kern w:val="2"/>
          <w:highlight w:val="none"/>
          <w:u w:val="single"/>
        </w:rPr>
        <w:t xml:space="preserve">  无 </w:t>
      </w:r>
      <w:r>
        <w:rPr>
          <w:rFonts w:hint="eastAsia" w:ascii="宋体" w:hAnsi="宋体" w:eastAsia="宋体" w:cs="宋体"/>
          <w:snapToGrid/>
          <w:color w:val="auto"/>
          <w:kern w:val="2"/>
          <w:highlight w:val="none"/>
        </w:rPr>
        <w:t xml:space="preserve"> 。</w:t>
      </w:r>
    </w:p>
    <w:p w14:paraId="75DF3C8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10.10 新增工程</w:t>
      </w:r>
    </w:p>
    <w:p w14:paraId="4B02F6E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合同当事人关于新增工程的约定：     。</w:t>
      </w:r>
    </w:p>
    <w:p w14:paraId="5C213EAF">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185" w:name="_bookmark209"/>
      <w:bookmarkEnd w:id="1185"/>
      <w:bookmarkStart w:id="1186" w:name="_bookmark208"/>
      <w:bookmarkEnd w:id="1186"/>
      <w:bookmarkStart w:id="1187" w:name="_Toc22533"/>
      <w:bookmarkStart w:id="1188" w:name="_Toc223"/>
      <w:bookmarkStart w:id="1189" w:name="_Toc11044"/>
      <w:bookmarkStart w:id="1190" w:name="_Toc9119"/>
      <w:bookmarkStart w:id="1191" w:name="_Toc11722"/>
      <w:r>
        <w:rPr>
          <w:rFonts w:hint="eastAsia" w:ascii="宋体" w:hAnsi="宋体" w:eastAsia="宋体"/>
          <w:b/>
          <w:bCs/>
          <w:snapToGrid/>
          <w:color w:val="auto"/>
          <w:kern w:val="2"/>
          <w:highlight w:val="none"/>
        </w:rPr>
        <w:t>11. 价格调整</w:t>
      </w:r>
      <w:bookmarkEnd w:id="1187"/>
      <w:bookmarkEnd w:id="1188"/>
      <w:bookmarkEnd w:id="1189"/>
      <w:bookmarkEnd w:id="1190"/>
      <w:bookmarkEnd w:id="1191"/>
    </w:p>
    <w:p w14:paraId="38AC8191">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  市场价格波动引起的调整</w:t>
      </w:r>
    </w:p>
    <w:p w14:paraId="50013B01">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市场价格波动是否调整合同价格的约定：</w:t>
      </w:r>
      <w:r>
        <w:rPr>
          <w:rFonts w:hint="eastAsia" w:ascii="宋体" w:hAnsi="宋体" w:eastAsia="宋体" w:cs="宋体"/>
          <w:snapToGrid/>
          <w:color w:val="auto"/>
          <w:kern w:val="2"/>
          <w:highlight w:val="none"/>
          <w:u w:val="single"/>
        </w:rPr>
        <w:t xml:space="preserve">    是      </w:t>
      </w:r>
      <w:r>
        <w:rPr>
          <w:rFonts w:hint="eastAsia" w:ascii="宋体" w:hAnsi="宋体" w:eastAsia="宋体" w:cs="宋体"/>
          <w:snapToGrid/>
          <w:color w:val="auto"/>
          <w:kern w:val="2"/>
          <w:highlight w:val="none"/>
        </w:rPr>
        <w:t>。</w:t>
      </w:r>
    </w:p>
    <w:p w14:paraId="55F7060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因市场价格波动调整合同价格，采用以下第 </w:t>
      </w:r>
      <w:r>
        <w:rPr>
          <w:rFonts w:hint="eastAsia" w:ascii="宋体" w:hAnsi="宋体" w:eastAsia="宋体" w:cs="宋体"/>
          <w:snapToGrid/>
          <w:color w:val="auto"/>
          <w:kern w:val="2"/>
          <w:highlight w:val="none"/>
          <w:u w:val="single"/>
        </w:rPr>
        <w:t xml:space="preserve">   3     </w:t>
      </w:r>
      <w:r>
        <w:rPr>
          <w:rFonts w:hint="eastAsia" w:ascii="宋体" w:hAnsi="宋体" w:eastAsia="宋体" w:cs="宋体"/>
          <w:snapToGrid/>
          <w:color w:val="auto"/>
          <w:kern w:val="2"/>
          <w:highlight w:val="none"/>
        </w:rPr>
        <w:t>种方式对合同价格进行调整：</w:t>
      </w:r>
    </w:p>
    <w:p w14:paraId="042A712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第 1 种方式：采用价格指数进行价格调整。</w:t>
      </w:r>
    </w:p>
    <w:p w14:paraId="15274AD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关于各可调因子、定值和变值权重，以及基本价格指数及其来源的约定：</w:t>
      </w:r>
      <w:r>
        <w:rPr>
          <w:rFonts w:hint="eastAsia" w:ascii="宋体" w:hAnsi="宋体" w:eastAsia="宋体" w:cs="宋体"/>
          <w:snapToGrid/>
          <w:color w:val="auto"/>
          <w:kern w:val="2"/>
          <w:highlight w:val="none"/>
          <w:u w:val="single"/>
        </w:rPr>
        <w:t xml:space="preserve">    /   ；</w:t>
      </w:r>
    </w:p>
    <w:p w14:paraId="6BA4E9A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第 2 种方式：采用造价信息进行价格调整。</w:t>
      </w:r>
    </w:p>
    <w:p w14:paraId="234A5C8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 关于基准价格的约定：</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w:t>
      </w:r>
    </w:p>
    <w:p w14:paraId="22C7662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专用合同条款①承包人在合同清单或预算书中载明的材料单价低于基准价格的：专用合同条款合同履行期间材料单价涨幅以基准价格为基础超过</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%时， 或材料单价跌幅以合同清单或预算书中载明材料单价为基础超过</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%时，其超过部分据实调整。</w:t>
      </w:r>
    </w:p>
    <w:p w14:paraId="2A22DC9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②承包人在合同清单或预算书中载明的材料单价高于基准价格的：专用合同条款合同履行期间材料单价跌幅以基准价格为基础超过</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%时， 材料单价涨幅以合同清单或预算书中载明材料单价为基础超过</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%时，其超过部分据实调整。</w:t>
      </w:r>
    </w:p>
    <w:p w14:paraId="2D0289C1">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③承包人在合同清单或预算书中载明的材料单价等于基准单价的：专用合同条款合同履行期间材料单价涨跌幅以基准单价为基础超过</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%时，其超过部分据实调整。</w:t>
      </w:r>
    </w:p>
    <w:p w14:paraId="27F4A2B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第 3 种方式：其他价格调整方式： </w:t>
      </w:r>
      <w:r>
        <w:rPr>
          <w:rFonts w:hint="eastAsia" w:ascii="宋体" w:hAnsi="宋体" w:eastAsia="宋体" w:cs="宋体"/>
          <w:snapToGrid/>
          <w:color w:val="auto"/>
          <w:kern w:val="2"/>
          <w:highlight w:val="none"/>
          <w:u w:val="single"/>
        </w:rPr>
        <w:t>物价涨落事件参照《关于市财政投资项目执行新的工料机价格涨落调整方案的请示》(东财[2014]499 号)的相关规定执行</w:t>
      </w:r>
      <w:r>
        <w:rPr>
          <w:rFonts w:hint="eastAsia" w:ascii="宋体" w:hAnsi="宋体" w:eastAsia="宋体" w:cs="宋体"/>
          <w:snapToGrid/>
          <w:color w:val="auto"/>
          <w:kern w:val="2"/>
          <w:highlight w:val="none"/>
        </w:rPr>
        <w:t>。</w:t>
      </w:r>
    </w:p>
    <w:p w14:paraId="4A46C6C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11.1.1 合同履行期间，出现工程造价管理机构发布的人工、材料、施工机械台班价格单价或价格涨落超过合同工程投标当月前 28 天相应单价或价格的情况，且符合第 11.1.2 款规定事件的， 合同双方当事人应调整合同价款。</w:t>
      </w:r>
    </w:p>
    <w:p w14:paraId="3FDE9BE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11.1.2 调整价差条件及计算公式</w:t>
      </w:r>
    </w:p>
    <w:p w14:paraId="017F842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由于非承发包人原因引起合同有效工期内可调整价差的人工、材料、施工机械台班当月信息价 (下称“动态价”) 波动幅度超过投标当月前28天《东莞市工程造价信息》登载价格(下称“基准价”)的5%时，各计量周期内应计付的价格差额以该周期内计量支付完成的合同价款为计算基础，考虑风险系数，按如下公式调整(简称调差公式)：</w:t>
      </w:r>
    </w:p>
    <w:p w14:paraId="0D0877C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∑△Pi=∑ Pi[A+B1× (Fi1/Ti1+Ci1) + B2× (Fi2/Ti2+Ci2) +…+ Bn× (Fin/Tin+ Cin) -1] △Pi—第 i 期需调整的价格差额</w:t>
      </w:r>
    </w:p>
    <w:p w14:paraId="7B5402C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Pi—调整前合同履行期间第i期应支付的完成合同价款(不包括价格调整、不计质量保证金的扣留和支付、预付款的支付和扣回，不含单列部分的安全防护、文明施工措施费及暂定金额)</w:t>
      </w:r>
    </w:p>
    <w:p w14:paraId="7A76E89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A—定值权重(即不调部分的权重)</w:t>
      </w:r>
    </w:p>
    <w:p w14:paraId="2A2942C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B1、B2、…Bn—各可调子项的变值权重(即可调部分的权重)Fi1、Fi2、…Ftn—各可调子项的第i期完成计量现行价格Ti1、Ti2、…Tin—各可调子项的投标当月前28天价格Ci1、Ci2、…Cin—风险系数</w:t>
      </w:r>
    </w:p>
    <w:p w14:paraId="2311962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i—计量支付的期数</w:t>
      </w:r>
    </w:p>
    <w:p w14:paraId="5ED4DA0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11.1.3 各可调工料机子项确定(即可调整工料机范围)： 1、人工(含机械人</w:t>
      </w:r>
    </w:p>
    <w:p w14:paraId="002A41E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工) ；2、水泥；3、砂(含填方用细砂、中粗砂)； 4、石(含碎石、片石、石屑) ； 5、砌块(含煤灰砖、加气砼砖)； 6、沥青； 7、沥青混凝土(含沥青混合料) ；8、 商品混凝土(含各规格型号) ；9、管桩(含方桩) ；10、钢筋(含钢铰线)； 11、 钢材(仅限除钢筋外的钢结构、钢管、钢板桩、型钢、不锈钢管和板) ；12、铜材(含 铜管、铜芯电缆电线)； 13、机械用燃油(含汽油、柴油及重油)。</w:t>
      </w:r>
    </w:p>
    <w:p w14:paraId="0D8F9C7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11.1.4 各可调子项权重 B1、B2、…Bn 和定值权重 A 的确定(权重百分比保留两位小数)：</w:t>
      </w:r>
    </w:p>
    <w:p w14:paraId="1F20946E">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11.1.4.1 权重计算</w:t>
      </w:r>
    </w:p>
    <w:p w14:paraId="2FBA830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11.1.4.1.1 可调子项权重的计算：</w:t>
      </w:r>
    </w:p>
    <w:p w14:paraId="64ADB0A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某可调子项权重=最高投标限价中该可调因子项总造价÷最高投标限价总造价(不含安全生产措施单列费及暂定金额)确定。</w:t>
      </w:r>
    </w:p>
    <w:p w14:paraId="0FB8AA9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举例、如：</w:t>
      </w:r>
    </w:p>
    <w:p w14:paraId="008DB0E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B 人工=最高投标限价中人工费÷最高投标限价(不含安全生产措施单列费及暂定金额) ；</w:t>
      </w:r>
    </w:p>
    <w:p w14:paraId="2369ECF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w:t>
      </w:r>
    </w:p>
    <w:p w14:paraId="5BF41AB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B…=最高投标限价中人工费÷最高投标限价(不含安全生产措施单列费及暂定金额)</w:t>
      </w:r>
    </w:p>
    <w:p w14:paraId="15D07C7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11.1.4.1.2 定值权重(A) 的计算</w:t>
      </w:r>
    </w:p>
    <w:p w14:paraId="00E5AEC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定值权重(A) =1- ∑可调子项总价/上述最高投标限价</w:t>
      </w:r>
    </w:p>
    <w:p w14:paraId="3F9EFC3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11.1.4.1.3 上述可调子项的权重与定值权重之和必须等于 1</w:t>
      </w:r>
    </w:p>
    <w:p w14:paraId="5ED3F9D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11.1.4.2 本工程各可调子项权重和定值权重分别为：</w:t>
      </w:r>
    </w:p>
    <w:p w14:paraId="3C56AC1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a.人工(</w:t>
      </w:r>
      <w:r>
        <w:rPr>
          <w:rFonts w:ascii="宋体" w:hAnsi="宋体" w:eastAsia="宋体" w:cs="宋体"/>
          <w:snapToGrid/>
          <w:color w:val="auto"/>
          <w:kern w:val="2"/>
          <w:highlight w:val="none"/>
        </w:rPr>
        <w:t xml:space="preserve"> </w:t>
      </w:r>
      <w:r>
        <w:rPr>
          <w:rFonts w:hint="eastAsia" w:ascii="宋体" w:hAnsi="宋体" w:eastAsia="宋体" w:cs="宋体"/>
          <w:snapToGrid/>
          <w:color w:val="auto"/>
          <w:kern w:val="2"/>
          <w:highlight w:val="none"/>
        </w:rPr>
        <w:t xml:space="preserve">     ) %；</w:t>
      </w:r>
    </w:p>
    <w:p w14:paraId="49F82F5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b.水泥(     </w:t>
      </w:r>
      <w:r>
        <w:rPr>
          <w:rFonts w:ascii="宋体" w:hAnsi="宋体" w:eastAsia="宋体" w:cs="宋体"/>
          <w:snapToGrid/>
          <w:color w:val="auto"/>
          <w:kern w:val="2"/>
          <w:highlight w:val="none"/>
        </w:rPr>
        <w:t xml:space="preserve"> </w:t>
      </w:r>
      <w:r>
        <w:rPr>
          <w:rFonts w:hint="eastAsia" w:ascii="宋体" w:hAnsi="宋体" w:eastAsia="宋体" w:cs="宋体"/>
          <w:snapToGrid/>
          <w:color w:val="auto"/>
          <w:kern w:val="2"/>
          <w:highlight w:val="none"/>
        </w:rPr>
        <w:t>) %；</w:t>
      </w:r>
    </w:p>
    <w:p w14:paraId="17425677">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c.砂(</w:t>
      </w:r>
      <w:r>
        <w:rPr>
          <w:rFonts w:ascii="宋体" w:hAnsi="宋体" w:eastAsia="宋体" w:cs="宋体"/>
          <w:snapToGrid/>
          <w:color w:val="auto"/>
          <w:kern w:val="2"/>
          <w:highlight w:val="none"/>
        </w:rPr>
        <w:t xml:space="preserve"> </w:t>
      </w:r>
      <w:r>
        <w:rPr>
          <w:rFonts w:hint="eastAsia" w:ascii="宋体" w:hAnsi="宋体" w:eastAsia="宋体" w:cs="宋体"/>
          <w:snapToGrid/>
          <w:color w:val="auto"/>
          <w:kern w:val="2"/>
          <w:highlight w:val="none"/>
        </w:rPr>
        <w:t xml:space="preserve">     ) %；</w:t>
      </w:r>
    </w:p>
    <w:p w14:paraId="18A56E5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d.石(     ) %；</w:t>
      </w:r>
    </w:p>
    <w:p w14:paraId="4D10266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e.砌块(     ) %；</w:t>
      </w:r>
    </w:p>
    <w:p w14:paraId="57CFA8D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f.沥青(     ) %；</w:t>
      </w:r>
    </w:p>
    <w:p w14:paraId="497881B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i.沥青混凝土(    </w:t>
      </w:r>
      <w:r>
        <w:rPr>
          <w:rFonts w:ascii="宋体" w:hAnsi="宋体" w:eastAsia="宋体" w:cs="宋体"/>
          <w:snapToGrid/>
          <w:color w:val="auto"/>
          <w:kern w:val="2"/>
          <w:highlight w:val="none"/>
        </w:rPr>
        <w:t xml:space="preserve"> </w:t>
      </w:r>
      <w:r>
        <w:rPr>
          <w:rFonts w:hint="eastAsia" w:ascii="宋体" w:hAnsi="宋体" w:eastAsia="宋体" w:cs="宋体"/>
          <w:snapToGrid/>
          <w:color w:val="auto"/>
          <w:kern w:val="2"/>
          <w:highlight w:val="none"/>
        </w:rPr>
        <w:t>) %；</w:t>
      </w:r>
    </w:p>
    <w:p w14:paraId="71EA039C">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j.商品混凝土(    </w:t>
      </w:r>
      <w:r>
        <w:rPr>
          <w:rFonts w:ascii="宋体" w:hAnsi="宋体" w:eastAsia="宋体" w:cs="宋体"/>
          <w:snapToGrid/>
          <w:color w:val="auto"/>
          <w:kern w:val="2"/>
          <w:highlight w:val="none"/>
        </w:rPr>
        <w:t xml:space="preserve"> </w:t>
      </w:r>
      <w:r>
        <w:rPr>
          <w:rFonts w:hint="eastAsia" w:ascii="宋体" w:hAnsi="宋体" w:eastAsia="宋体" w:cs="宋体"/>
          <w:snapToGrid/>
          <w:color w:val="auto"/>
          <w:kern w:val="2"/>
          <w:highlight w:val="none"/>
        </w:rPr>
        <w:t>) %；</w:t>
      </w:r>
    </w:p>
    <w:p w14:paraId="13C31A2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k.管桩(</w:t>
      </w:r>
      <w:r>
        <w:rPr>
          <w:rFonts w:ascii="宋体" w:hAnsi="宋体" w:eastAsia="宋体" w:cs="宋体"/>
          <w:snapToGrid/>
          <w:color w:val="auto"/>
          <w:kern w:val="2"/>
          <w:highlight w:val="none"/>
        </w:rPr>
        <w:t xml:space="preserve"> </w:t>
      </w:r>
      <w:r>
        <w:rPr>
          <w:rFonts w:hint="eastAsia" w:ascii="宋体" w:hAnsi="宋体" w:eastAsia="宋体" w:cs="宋体"/>
          <w:snapToGrid/>
          <w:color w:val="auto"/>
          <w:kern w:val="2"/>
          <w:highlight w:val="none"/>
        </w:rPr>
        <w:t xml:space="preserve">   </w:t>
      </w:r>
      <w:r>
        <w:rPr>
          <w:rFonts w:ascii="宋体" w:hAnsi="宋体" w:eastAsia="宋体" w:cs="宋体"/>
          <w:snapToGrid/>
          <w:color w:val="auto"/>
          <w:kern w:val="2"/>
          <w:highlight w:val="none"/>
        </w:rPr>
        <w:t xml:space="preserve"> </w:t>
      </w:r>
      <w:r>
        <w:rPr>
          <w:rFonts w:hint="eastAsia" w:ascii="宋体" w:hAnsi="宋体" w:eastAsia="宋体" w:cs="宋体"/>
          <w:snapToGrid/>
          <w:color w:val="auto"/>
          <w:kern w:val="2"/>
          <w:highlight w:val="none"/>
        </w:rPr>
        <w:t>) %；</w:t>
      </w:r>
    </w:p>
    <w:p w14:paraId="674FA5C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l.钢筋(    </w:t>
      </w:r>
      <w:r>
        <w:rPr>
          <w:rFonts w:ascii="宋体" w:hAnsi="宋体" w:eastAsia="宋体" w:cs="宋体"/>
          <w:snapToGrid/>
          <w:color w:val="auto"/>
          <w:kern w:val="2"/>
          <w:highlight w:val="none"/>
        </w:rPr>
        <w:t xml:space="preserve"> </w:t>
      </w:r>
      <w:r>
        <w:rPr>
          <w:rFonts w:hint="eastAsia" w:ascii="宋体" w:hAnsi="宋体" w:eastAsia="宋体" w:cs="宋体"/>
          <w:snapToGrid/>
          <w:color w:val="auto"/>
          <w:kern w:val="2"/>
          <w:highlight w:val="none"/>
        </w:rPr>
        <w:t>) %；</w:t>
      </w:r>
    </w:p>
    <w:p w14:paraId="7FC7F55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m.钢材(</w:t>
      </w:r>
      <w:r>
        <w:rPr>
          <w:rFonts w:ascii="宋体" w:hAnsi="宋体" w:eastAsia="宋体" w:cs="宋体"/>
          <w:snapToGrid/>
          <w:color w:val="auto"/>
          <w:kern w:val="2"/>
          <w:highlight w:val="none"/>
        </w:rPr>
        <w:t xml:space="preserve"> </w:t>
      </w:r>
      <w:r>
        <w:rPr>
          <w:rFonts w:hint="eastAsia" w:ascii="宋体" w:hAnsi="宋体" w:eastAsia="宋体" w:cs="宋体"/>
          <w:snapToGrid/>
          <w:color w:val="auto"/>
          <w:kern w:val="2"/>
          <w:highlight w:val="none"/>
        </w:rPr>
        <w:t xml:space="preserve">   </w:t>
      </w:r>
      <w:r>
        <w:rPr>
          <w:rFonts w:ascii="宋体" w:hAnsi="宋体" w:eastAsia="宋体" w:cs="宋体"/>
          <w:snapToGrid/>
          <w:color w:val="auto"/>
          <w:kern w:val="2"/>
          <w:highlight w:val="none"/>
        </w:rPr>
        <w:t xml:space="preserve"> </w:t>
      </w:r>
      <w:r>
        <w:rPr>
          <w:rFonts w:hint="eastAsia" w:ascii="宋体" w:hAnsi="宋体" w:eastAsia="宋体" w:cs="宋体"/>
          <w:snapToGrid/>
          <w:color w:val="auto"/>
          <w:kern w:val="2"/>
          <w:highlight w:val="none"/>
        </w:rPr>
        <w:t>) %；</w:t>
      </w:r>
    </w:p>
    <w:p w14:paraId="2DF99D2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n.铜材(电缆等)(    </w:t>
      </w:r>
      <w:r>
        <w:rPr>
          <w:rFonts w:ascii="宋体" w:hAnsi="宋体" w:eastAsia="宋体" w:cs="宋体"/>
          <w:snapToGrid/>
          <w:color w:val="auto"/>
          <w:kern w:val="2"/>
          <w:highlight w:val="none"/>
        </w:rPr>
        <w:t xml:space="preserve"> </w:t>
      </w:r>
      <w:r>
        <w:rPr>
          <w:rFonts w:hint="eastAsia" w:ascii="宋体" w:hAnsi="宋体" w:eastAsia="宋体" w:cs="宋体"/>
          <w:snapToGrid/>
          <w:color w:val="auto"/>
          <w:kern w:val="2"/>
          <w:highlight w:val="none"/>
        </w:rPr>
        <w:t>) %；</w:t>
      </w:r>
    </w:p>
    <w:p w14:paraId="01627FB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o.机械用燃油(    </w:t>
      </w:r>
      <w:r>
        <w:rPr>
          <w:rFonts w:ascii="宋体" w:hAnsi="宋体" w:eastAsia="宋体" w:cs="宋体"/>
          <w:snapToGrid/>
          <w:color w:val="auto"/>
          <w:kern w:val="2"/>
          <w:highlight w:val="none"/>
        </w:rPr>
        <w:t xml:space="preserve"> </w:t>
      </w:r>
      <w:r>
        <w:rPr>
          <w:rFonts w:hint="eastAsia" w:ascii="宋体" w:hAnsi="宋体" w:eastAsia="宋体" w:cs="宋体"/>
          <w:snapToGrid/>
          <w:color w:val="auto"/>
          <w:kern w:val="2"/>
          <w:highlight w:val="none"/>
        </w:rPr>
        <w:t>) %；</w:t>
      </w:r>
    </w:p>
    <w:p w14:paraId="1EC10DDE">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p.定值权重(    </w:t>
      </w:r>
      <w:r>
        <w:rPr>
          <w:rFonts w:ascii="宋体" w:hAnsi="宋体" w:eastAsia="宋体" w:cs="宋体"/>
          <w:snapToGrid/>
          <w:color w:val="auto"/>
          <w:kern w:val="2"/>
          <w:highlight w:val="none"/>
        </w:rPr>
        <w:t xml:space="preserve"> </w:t>
      </w:r>
      <w:r>
        <w:rPr>
          <w:rFonts w:hint="eastAsia" w:ascii="宋体" w:hAnsi="宋体" w:eastAsia="宋体" w:cs="宋体"/>
          <w:snapToGrid/>
          <w:color w:val="auto"/>
          <w:kern w:val="2"/>
          <w:highlight w:val="none"/>
        </w:rPr>
        <w:t>) %。</w:t>
      </w:r>
    </w:p>
    <w:p w14:paraId="64597CD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11.1.5 各可调工料机子项价格 Fi 和 Ti 的确定</w:t>
      </w:r>
    </w:p>
    <w:p w14:paraId="51FF305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各可调工料机子项的第i期完成计量现行价格和投标当月前28天价格应采用《东莞市建设工程造价信息》(简称“造价信息”)公布的相应材料价格，具体如下：</w:t>
      </w:r>
    </w:p>
    <w:p w14:paraId="4BC11E1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11.1.5.1 人工(含机械人工)执行行业主管部门发布的定额动态人工工资单价； </w:t>
      </w:r>
    </w:p>
    <w:p w14:paraId="504B229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11.1.5.2 水泥采用“造价信息”发布的“转窑水泥 42.5 (R)”价格；</w:t>
      </w:r>
    </w:p>
    <w:p w14:paraId="55139CC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11.1.5.3 砂(含填方用细砂、中粗砂)采用“造价信息”发布的“砂(中粗)”价格；</w:t>
      </w:r>
    </w:p>
    <w:p w14:paraId="5BB0BFE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11.1.5.4 石(含碎石、片石、石屑)采用“造价信息”发布的“碎石(普通综合)”价格；</w:t>
      </w:r>
    </w:p>
    <w:p w14:paraId="39B3BD6E">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11.1.5.5 砖(含煤灰砖、加气砼砖)采用“造价信息”发布的“加气砼砖(综合)”价格；</w:t>
      </w:r>
    </w:p>
    <w:p w14:paraId="0BC3F29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11.1.5.6 沥青采用“造价信息”发布的“厂煮(商品)沥青”价格；</w:t>
      </w:r>
    </w:p>
    <w:p w14:paraId="6C420B1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11.1.5.7 沥青混凝土(含各规格型号) 采用“造价信息”发布的“改性沥青砼 (中粒式) SBSAC-20I”价格；</w:t>
      </w:r>
    </w:p>
    <w:p w14:paraId="019669D5">
      <w:pPr>
        <w:spacing w:line="360" w:lineRule="auto"/>
        <w:ind w:left="420" w:leftChars="200" w:right="3" w:firstLine="56" w:firstLineChars="27"/>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11.1.5.8 商品混凝土(含各规格型号) 采用“造价信息”发布的“泵送砼 C25 普通砼”价格；11.1.5.9 管桩(含方桩) 采用“造价信息”发布的“预制管桩 D400*95AB”价格；</w:t>
      </w:r>
    </w:p>
    <w:p w14:paraId="7D4C647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11.1.5.10 钢筋(含钢铰线) 采用“造价信息”发布的“钢筋φ10—φ 14 螺纹”价格；</w:t>
      </w:r>
    </w:p>
    <w:p w14:paraId="75362D8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11.1.5.11 钢材(仅限除钢筋外的钢结构、钢管、钢板桩、型钢、不锈钢管和 板)采用“造价信息”发布的“热扎厚钢板6.0~7.0 厚”价格；</w:t>
      </w:r>
    </w:p>
    <w:p w14:paraId="6F302DD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11.1.5.12 铜材(仅限铜管、铜芯电缆电线) 采用“造价信息”发布的“铜材”价格；</w:t>
      </w:r>
    </w:p>
    <w:p w14:paraId="2945A6B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11.1.5.13 机械用燃油(含汽油、柴油及重油) 采用“造价信息”发布的“柴 油”价格。</w:t>
      </w:r>
    </w:p>
    <w:p w14:paraId="5A642E8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11.1.6 风险系数 Ci 及价格指数 Fi/Ti 的确定</w:t>
      </w:r>
    </w:p>
    <w:p w14:paraId="7212FBA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人工、材料、施工机械台班价格单价或价格涨落 5%内的各自承担风险，不扣不补。具体的风险系数 Ci 及价格指数 Fi/Ti 按如下原则确定：</w:t>
      </w:r>
    </w:p>
    <w:p w14:paraId="5E8EE49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11.1.6.1 当 0.95≤Fi/Ti≤1.05 时， Ci 取值为 0，同时 Fi/Ti 取值为 1。</w:t>
      </w:r>
    </w:p>
    <w:p w14:paraId="058F49E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11.1.6.2 当 Fi/Ti≥1.05 时， Ci 取值为－0.05，同时 Fi/Ti 取值按实际结果计算。</w:t>
      </w:r>
    </w:p>
    <w:p w14:paraId="104E38C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11.1.6.3Fi/Ti≤0.95 时， Ci 取值为+0.05，同时 Fi/Ti 取值按实际结果计算。</w:t>
      </w:r>
    </w:p>
    <w:p w14:paraId="6461D32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 计算细则：</w:t>
      </w:r>
    </w:p>
    <w:p w14:paraId="508FC33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11.1.7.1 调整前合同履行期间第 i 期应支付的完成合同价款 Pi 是指报送给发包人并由发包人、监理单位和施工单位确认的每期计量完成合同工程价款，不包括价 格调整、不计质量保证金的扣留和支付、预付款的支付和扣回。如最终期不进行计量 支付时，由发包人确认该期完成工程造价。</w:t>
      </w:r>
    </w:p>
    <w:p w14:paraId="124E78DE">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11.1.7.2 如工程计量不是按月计量的，以计量周期的月平均价为计算可调工料机子项的现行价格时点。如因征地拆迁或发包人原因造成施工中断的,按实际施工月确定完成工程造价。</w:t>
      </w:r>
    </w:p>
    <w:p w14:paraId="773FB74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11.1.7.3 提供结算资料时必须提供与工程完成进度相符的各期应支付的完成合同价款(即工程计量报表) ，提供的各期应支付的完成合同价款应与报送给发包人 进度支付报表一致。如提供各期完成合同价款总和与合同价不一致时，则按如下方法调整：</w:t>
      </w:r>
    </w:p>
    <w:p w14:paraId="1E0E80C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11.1.7.3.1 上报每期完成合同价款总和大于合同价时，发包人应重新进行核实，凡未进行核实或者核实后仍然大于合同价的，则上报每期完成合同价款乘以相应的折减系数后才能作为价差调整的依据。折减系数=合同价/每期完成合同价款总和，当工程有净减少变更工程的，合同价应减去净减少工程的金额。</w:t>
      </w:r>
    </w:p>
    <w:p w14:paraId="31B7FAB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11.1.7.3.2 上报每期完成合同价款总和少于合同价时，发包人应重新进行核实，凡未进行核实或者核实后仍然少于合同价的，则上报每期完成合同价款作为价差调整的依据。</w:t>
      </w:r>
    </w:p>
    <w:p w14:paraId="103A472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11.1.7.4 工程实施过程中有发生变更时按如下原则调整价差：</w:t>
      </w:r>
    </w:p>
    <w:p w14:paraId="581FE89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11.1.7.4.1 变更工程合同没有适用单价需重新组价的，应按投标当月前28天计价时点计算并按中标下浮率下浮。</w:t>
      </w:r>
    </w:p>
    <w:p w14:paraId="5574455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11.1.7.4.2 变更工程调差以单份审批变更单完成的变更金额计算，可调工料机子项的现行价格时点为变更工程完成当月，如变更工程施工超过1个月，按月平均价计算现行价格。发包人和监理单位必须在变更签证单中注明该变更的施工起止时间。</w:t>
      </w:r>
    </w:p>
    <w:p w14:paraId="28429EB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11.1.7.4.3 当单份变更工程中有增加工程和减少工程的，而且减少工程造价在进度计量时已从合同价扣减的，增加工程的的造价作为该份变更当期应支付的合同价款套用调差公式调整价差；当单份变更工程中有增加工程和减少工程的，而且减少工程造价在进度计量时没有从合同价扣减的，则该份变更的当期应支付的合同价款为增加工程和减少工程相抵后的净增加工程造价。</w:t>
      </w:r>
    </w:p>
    <w:p w14:paraId="076F7A9E">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11.1.7.4.4 工程施工过程中，不属工程变更的费用索赔和代购材料价款不纳入每期应支付合同价款计算调差。</w:t>
      </w:r>
    </w:p>
    <w:p w14:paraId="1F43FA7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11.1.7.5 实际工期超出合同有效工期时，按如下原则处理：</w:t>
      </w:r>
    </w:p>
    <w:p w14:paraId="4432054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11.1.7.5.1 合同有效工期是指合同工期及非施工单位原因造成延误所补偿的工期之和，即合同有效工期=合同工期天数+有效索赔工期天数，从合同约定的开工日期或经监理单位批准的开工日期开始计算。</w:t>
      </w:r>
    </w:p>
    <w:p w14:paraId="000D706C">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11.1.7.5.2 因施工单位原因造成工期延误，实际工期大于合同有效工期的，计算调差的每期应支付完成合同价款只计算至有效工期最后日当月。</w:t>
      </w:r>
    </w:p>
    <w:p w14:paraId="0BC2AED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11.1.7.5.3 合同有效工期外完成工程价款调差原则：按有效工期最后日当月至实体工程完工当月的平均价格作为现行价格，计算合同有效工期外完成工程价款价差，如计算的价差为调增时，不予计算；如计算的价差为调减时，应进行扣减。</w:t>
      </w:r>
    </w:p>
    <w:p w14:paraId="277FAACE">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11.1.7.6 调整价差的申报、审核</w:t>
      </w:r>
    </w:p>
    <w:p w14:paraId="2300365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11.1.7.6.1 承包人于每月 5 日前，将上月份调整价差计算资料(含电子文档)及相关依据报监理工程师审核；</w:t>
      </w:r>
    </w:p>
    <w:p w14:paraId="711243FE">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11.1.7.6.2 监理工程师在 2 个工作日之内完成审核，移交发包人审核；</w:t>
      </w:r>
    </w:p>
    <w:p w14:paraId="6E7BC42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11.1.7.6.3 发包人在 5 个工作日之内完成审核，审核结果作为调整价差支付依据。</w:t>
      </w:r>
    </w:p>
    <w:p w14:paraId="7203ACD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11.1.7.7 按调差公式计算的“需调整价格差额”已包括了税金等按系数计算的间接费用，无需另行计算其他费用。调整价差经发包人审核后，按审核结果在结算完</w:t>
      </w:r>
      <w:bookmarkStart w:id="1192" w:name="_bookmark210"/>
      <w:bookmarkEnd w:id="1192"/>
      <w:r>
        <w:rPr>
          <w:rFonts w:hint="eastAsia" w:ascii="宋体" w:hAnsi="宋体" w:eastAsia="宋体" w:cs="宋体"/>
          <w:snapToGrid/>
          <w:color w:val="auto"/>
          <w:kern w:val="2"/>
          <w:highlight w:val="none"/>
        </w:rPr>
        <w:t>毕后支付。</w:t>
      </w:r>
    </w:p>
    <w:p w14:paraId="3E6406F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11.2 法律变化引起的调整</w:t>
      </w:r>
    </w:p>
    <w:p w14:paraId="7D3A2DA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本条全部删除，本工程后继法律法规变化事件不影响合同价款调整。</w:t>
      </w:r>
    </w:p>
    <w:p w14:paraId="19298F9E">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193" w:name="_bookmark211"/>
      <w:bookmarkEnd w:id="1193"/>
      <w:bookmarkStart w:id="1194" w:name="_Toc2056"/>
      <w:bookmarkStart w:id="1195" w:name="_Toc25501"/>
      <w:bookmarkStart w:id="1196" w:name="_Toc29767"/>
      <w:bookmarkStart w:id="1197" w:name="_Toc15671"/>
      <w:bookmarkStart w:id="1198" w:name="_Toc8649"/>
      <w:r>
        <w:rPr>
          <w:rFonts w:hint="eastAsia" w:ascii="宋体" w:hAnsi="宋体" w:eastAsia="宋体"/>
          <w:b/>
          <w:bCs/>
          <w:snapToGrid/>
          <w:color w:val="auto"/>
          <w:kern w:val="2"/>
          <w:highlight w:val="none"/>
        </w:rPr>
        <w:t>12. 合同价格、计量与支付</w:t>
      </w:r>
      <w:bookmarkEnd w:id="1194"/>
      <w:bookmarkEnd w:id="1195"/>
      <w:bookmarkEnd w:id="1196"/>
      <w:bookmarkEnd w:id="1197"/>
      <w:bookmarkEnd w:id="1198"/>
    </w:p>
    <w:p w14:paraId="2629A25F">
      <w:pPr>
        <w:spacing w:line="360" w:lineRule="auto"/>
        <w:ind w:left="4" w:right="3" w:firstLine="479"/>
        <w:outlineLvl w:val="2"/>
        <w:rPr>
          <w:rFonts w:ascii="宋体" w:hAnsi="宋体" w:eastAsia="宋体" w:cs="宋体"/>
          <w:snapToGrid/>
          <w:color w:val="auto"/>
          <w:kern w:val="2"/>
          <w:highlight w:val="none"/>
        </w:rPr>
      </w:pPr>
      <w:bookmarkStart w:id="1199" w:name="_bookmark212"/>
      <w:bookmarkEnd w:id="1199"/>
      <w:bookmarkStart w:id="1200" w:name="_Toc24460"/>
      <w:bookmarkStart w:id="1201" w:name="_Toc32601"/>
      <w:bookmarkStart w:id="1202" w:name="_Toc25453"/>
      <w:bookmarkStart w:id="1203" w:name="_Toc1134"/>
      <w:r>
        <w:rPr>
          <w:rFonts w:hint="eastAsia" w:ascii="宋体" w:hAnsi="宋体" w:eastAsia="宋体" w:cs="宋体"/>
          <w:snapToGrid/>
          <w:color w:val="auto"/>
          <w:kern w:val="2"/>
          <w:highlight w:val="none"/>
        </w:rPr>
        <w:t>12.1  合同价格形式</w:t>
      </w:r>
      <w:bookmarkEnd w:id="1200"/>
      <w:bookmarkEnd w:id="1201"/>
      <w:bookmarkEnd w:id="1202"/>
      <w:bookmarkEnd w:id="1203"/>
    </w:p>
    <w:p w14:paraId="6DBC9F53">
      <w:pPr>
        <w:spacing w:line="360" w:lineRule="auto"/>
        <w:ind w:left="4" w:right="3" w:firstLine="479"/>
        <w:outlineLvl w:val="2"/>
        <w:rPr>
          <w:rFonts w:ascii="宋体" w:hAnsi="宋体" w:eastAsia="宋体" w:cs="宋体"/>
          <w:snapToGrid/>
          <w:color w:val="auto"/>
          <w:kern w:val="2"/>
          <w:highlight w:val="none"/>
        </w:rPr>
      </w:pPr>
      <w:bookmarkStart w:id="1204" w:name="_Toc3078"/>
      <w:bookmarkStart w:id="1205" w:name="_Toc25618"/>
      <w:bookmarkStart w:id="1206" w:name="_Toc20782"/>
      <w:bookmarkStart w:id="1207" w:name="_Toc18644"/>
      <w:bookmarkStart w:id="1208" w:name="_Toc20807"/>
      <w:r>
        <w:rPr>
          <w:rFonts w:hint="eastAsia" w:ascii="宋体" w:hAnsi="宋体" w:eastAsia="宋体" w:cs="宋体"/>
          <w:snapToGrid/>
          <w:color w:val="auto"/>
          <w:kern w:val="2"/>
          <w:highlight w:val="none"/>
        </w:rPr>
        <w:t>1 、单价合同。</w:t>
      </w:r>
      <w:bookmarkEnd w:id="1204"/>
      <w:bookmarkEnd w:id="1205"/>
      <w:bookmarkEnd w:id="1206"/>
      <w:bookmarkEnd w:id="1207"/>
      <w:bookmarkEnd w:id="1208"/>
    </w:p>
    <w:p w14:paraId="7441F05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综合单价包含的风险范围：</w:t>
      </w:r>
      <w:r>
        <w:rPr>
          <w:rFonts w:hint="eastAsia" w:ascii="宋体" w:hAnsi="宋体" w:eastAsia="宋体" w:cs="宋体"/>
          <w:snapToGrid/>
          <w:color w:val="auto"/>
          <w:kern w:val="2"/>
          <w:highlight w:val="none"/>
          <w:u w:val="single"/>
        </w:rPr>
        <w:t xml:space="preserve">      /             。</w:t>
      </w:r>
    </w:p>
    <w:p w14:paraId="0529E50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风险费用的计算方法</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w:t>
      </w:r>
    </w:p>
    <w:p w14:paraId="691AC94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风险范围以外合同价格的调整方法：</w:t>
      </w:r>
      <w:r>
        <w:rPr>
          <w:rFonts w:hint="eastAsia" w:ascii="宋体" w:hAnsi="宋体" w:eastAsia="宋体" w:cs="宋体"/>
          <w:snapToGrid/>
          <w:color w:val="auto"/>
          <w:kern w:val="2"/>
          <w:highlight w:val="none"/>
          <w:u w:val="single"/>
        </w:rPr>
        <w:t xml:space="preserve">          /                 。</w:t>
      </w:r>
    </w:p>
    <w:p w14:paraId="529DB51D">
      <w:pPr>
        <w:spacing w:line="360" w:lineRule="auto"/>
        <w:ind w:left="4" w:right="3" w:firstLine="479"/>
        <w:outlineLvl w:val="2"/>
        <w:rPr>
          <w:rFonts w:ascii="宋体" w:hAnsi="宋体" w:eastAsia="宋体" w:cs="宋体"/>
          <w:snapToGrid/>
          <w:color w:val="auto"/>
          <w:kern w:val="2"/>
          <w:highlight w:val="none"/>
        </w:rPr>
      </w:pPr>
      <w:bookmarkStart w:id="1209" w:name="_Toc25492"/>
      <w:bookmarkStart w:id="1210" w:name="_Toc20055"/>
      <w:bookmarkStart w:id="1211" w:name="_Toc14928"/>
      <w:bookmarkStart w:id="1212" w:name="_Toc8543"/>
      <w:bookmarkStart w:id="1213" w:name="_Toc22971"/>
      <w:r>
        <w:rPr>
          <w:rFonts w:hint="eastAsia" w:ascii="宋体" w:hAnsi="宋体" w:eastAsia="宋体" w:cs="宋体"/>
          <w:snapToGrid/>
          <w:color w:val="auto"/>
          <w:kern w:val="2"/>
          <w:highlight w:val="none"/>
        </w:rPr>
        <w:t>2 、总价合同。</w:t>
      </w:r>
      <w:bookmarkEnd w:id="1209"/>
      <w:bookmarkEnd w:id="1210"/>
      <w:bookmarkEnd w:id="1211"/>
      <w:bookmarkEnd w:id="1212"/>
      <w:bookmarkEnd w:id="1213"/>
    </w:p>
    <w:p w14:paraId="5B88C4BE">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总价包含的风险范围： </w:t>
      </w:r>
      <w:r>
        <w:rPr>
          <w:rFonts w:hint="eastAsia" w:ascii="宋体" w:hAnsi="宋体" w:eastAsia="宋体" w:cs="宋体"/>
          <w:snapToGrid/>
          <w:color w:val="auto"/>
          <w:kern w:val="2"/>
          <w:highlight w:val="none"/>
          <w:u w:val="single"/>
        </w:rPr>
        <w:t>项目特征描述不符事件；分部分项工程量清单缺项漏项事件；工程变更事件；工程量偏差事件；费用索赔事件；现场签证事件；其他调整因素。</w:t>
      </w:r>
    </w:p>
    <w:p w14:paraId="43EB36E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风险费用的计算方法：</w:t>
      </w:r>
    </w:p>
    <w:p w14:paraId="75BAA7B8">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项目特征描述不符事件：发包人在工程量清单中对项目特征的描述已包含了该项目的主要特征，承包人应按照发包人提供的施工设计图纸中的内容及有关要求实施合同工程。合同履行期间，出现实际施工设计图纸与招标文件提供的工程量清单任一项目特征描述不符，承包人应以实际施工设计图纸为准进行施工，合同价款不作调整。</w:t>
      </w:r>
    </w:p>
    <w:p w14:paraId="4ACC09D3">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分部分项工程量清单缺陷事件：合同履行期间，发包人将不予调整合同价款。</w:t>
      </w:r>
    </w:p>
    <w:p w14:paraId="0CE6262C">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b/>
          <w:bCs/>
          <w:snapToGrid/>
          <w:color w:val="auto"/>
          <w:kern w:val="2"/>
          <w:highlight w:val="none"/>
          <w:u w:val="single"/>
        </w:rPr>
        <w:t>注：</w:t>
      </w:r>
      <w:r>
        <w:rPr>
          <w:rFonts w:hint="eastAsia" w:ascii="宋体" w:hAnsi="宋体" w:eastAsia="宋体" w:cs="宋体"/>
          <w:snapToGrid/>
          <w:color w:val="auto"/>
          <w:kern w:val="2"/>
          <w:highlight w:val="none"/>
          <w:u w:val="single"/>
        </w:rPr>
        <w:t>工程量清单缺陷是指工程量清单的分部分项工程项目清单所列的清单项目与对应的图纸、合同标准、规范和要求所要求的清单项目在列项、项目特征、工程数量上存在的差异，包括工程量清单多列项、错漏项、项目特征不符、工程数量偏差或其他同类情形。</w:t>
      </w:r>
    </w:p>
    <w:p w14:paraId="1968DD6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u w:val="single"/>
        </w:rPr>
        <w:t>工程变更事件：可作为工程变更及签证价款调整的依据：(1)设计单位出具并经发包人确认的设计变更单；(2)发包人下发的工程联系单；(3)承包人上报并经监理及发包人确认的工程联系单</w:t>
      </w:r>
      <w:r>
        <w:rPr>
          <w:rFonts w:hint="eastAsia" w:ascii="宋体" w:hAnsi="宋体" w:eastAsia="宋体" w:cs="宋体"/>
          <w:snapToGrid/>
          <w:color w:val="auto"/>
          <w:kern w:val="2"/>
          <w:highlight w:val="none"/>
        </w:rPr>
        <w:t>。</w:t>
      </w:r>
    </w:p>
    <w:p w14:paraId="20D59AB1">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价款调整的计价方法：工程变更及签证引起工程费用增减经审定后相应调整，调整方式如下：累计调整的工程费用=∑各项工程变更及签证发生的工程签证费用=工程变更及签证工程量*综合单价+税金。投标总价中措施项目费用、其他项目费用为包干价，因此工程变更及签证所发生的通用措施项目以及其他项目费用已全部包含在投标总价的措施项目清单报价中,也不再作为工程变更及签证中管理费、利润、规费和税金的计取基数。税金费率按工程所在地的有关规定计算。综合单价的确认按下列方法进行：(1)清单中有相同综合单价的，按清单中的相同综合单价计算；(2)清单中有类似综合单价的，按类似综合单价计算；(3)清单中没有相同或类似综合单价的，由承包人提出适当的重新组价的综合单价，经监理人和发包人审核确认后执行。</w:t>
      </w:r>
    </w:p>
    <w:p w14:paraId="3F4D1F6F">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工程量及重新组价的综合单价计算的依据：(1)《建设部建筑工程施工发包与承包计价管理办法》；(2)《建设工程工程量清单计价标准》（GB/T 50500-2024）；(3)《广东省建筑与装饰工程综合定额(2018)》；(4)《广东省安装工程综合定额(2018)》；(5)《广东省市政工程综合定额(2018)》；(6)《广东省施工机械台班费用(2018)》；(7)投标当月的东莞工程造价管理信息和东莞市主要建筑材料网上公布价；(8)定额人工单价执行东莞市的相关文件；(9)中标下浮率。(10)工程签证中所发生的零星机械台班按照上述机械台班定额计取，零工和零星机械台班单价为包干价，只计取税金，不再计取其他任何费用。</w:t>
      </w:r>
    </w:p>
    <w:p w14:paraId="3C330E05">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安装定额中的未计价主材单价按照下列方法确定：(1)投标清单中已有相同材料的价格，应按投标清单中已有的材料单价确定；(2)投标清单中只有类似此类材料的价格，经监理人和发包人审核确认后，可参照该单价确定材料价格；(3)投标清单中没有相同或类似于此类材料的价格，可参考东莞市工程造价管理中心发布的工程投标同期的信息指导价确定；(4)若上述方式仍然无法确定此类材料价格时，可经双方共同询价认可后确定。</w:t>
      </w:r>
    </w:p>
    <w:p w14:paraId="5F5B0178">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工程量偏差事件：合同履行期间，出现工程量偏差事件的，合同价款不调整。</w:t>
      </w:r>
    </w:p>
    <w:p w14:paraId="7C0E2DC9">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现场签证事件：现场签证工作完成后的48小时内，合同双方当事人应确认由此引起调整的合同价款，并作为追加合同价款。调整方式按“专用合同中的风险费用的计算方法“工程变更事件”执行。</w:t>
      </w:r>
    </w:p>
    <w:p w14:paraId="0D7D20DE">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其他调整因素：无 。</w:t>
      </w:r>
    </w:p>
    <w:p w14:paraId="48477AAC">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风险范围以外合同价格的调整方法：</w:t>
      </w:r>
      <w:r>
        <w:rPr>
          <w:rFonts w:hint="eastAsia" w:ascii="宋体" w:hAnsi="宋体" w:eastAsia="宋体" w:cs="宋体"/>
          <w:snapToGrid/>
          <w:color w:val="auto"/>
          <w:kern w:val="2"/>
          <w:highlight w:val="none"/>
          <w:u w:val="single"/>
        </w:rPr>
        <w:t xml:space="preserve"> 无。</w:t>
      </w:r>
    </w:p>
    <w:p w14:paraId="2C877CA8">
      <w:pPr>
        <w:spacing w:line="360" w:lineRule="auto"/>
        <w:ind w:left="4" w:right="3" w:firstLine="479"/>
        <w:outlineLvl w:val="2"/>
        <w:rPr>
          <w:rFonts w:ascii="宋体" w:hAnsi="宋体" w:eastAsia="宋体" w:cs="宋体"/>
          <w:snapToGrid/>
          <w:color w:val="auto"/>
          <w:kern w:val="2"/>
          <w:highlight w:val="none"/>
        </w:rPr>
      </w:pPr>
      <w:bookmarkStart w:id="1214" w:name="_bookmark213"/>
      <w:bookmarkEnd w:id="1214"/>
      <w:bookmarkStart w:id="1215" w:name="_Toc7081"/>
      <w:bookmarkStart w:id="1216" w:name="_Toc3946"/>
      <w:bookmarkStart w:id="1217" w:name="_Toc97"/>
      <w:bookmarkStart w:id="1218" w:name="_Toc9495"/>
      <w:bookmarkStart w:id="1219" w:name="_Toc9002"/>
      <w:r>
        <w:rPr>
          <w:rFonts w:hint="eastAsia" w:ascii="宋体" w:hAnsi="宋体" w:eastAsia="宋体" w:cs="宋体"/>
          <w:snapToGrid/>
          <w:color w:val="auto"/>
          <w:kern w:val="2"/>
          <w:highlight w:val="none"/>
        </w:rPr>
        <w:t>3 、其他价格方式：</w:t>
      </w:r>
      <w:r>
        <w:rPr>
          <w:rFonts w:hint="eastAsia" w:ascii="宋体" w:hAnsi="宋体" w:eastAsia="宋体" w:cs="宋体"/>
          <w:snapToGrid/>
          <w:color w:val="auto"/>
          <w:kern w:val="2"/>
          <w:highlight w:val="none"/>
          <w:u w:val="single"/>
        </w:rPr>
        <w:t>/    。</w:t>
      </w:r>
      <w:bookmarkEnd w:id="1215"/>
      <w:bookmarkEnd w:id="1216"/>
      <w:bookmarkEnd w:id="1217"/>
      <w:bookmarkEnd w:id="1218"/>
      <w:bookmarkEnd w:id="1219"/>
    </w:p>
    <w:p w14:paraId="37EEF6F7">
      <w:pPr>
        <w:spacing w:line="360" w:lineRule="auto"/>
        <w:ind w:left="4" w:right="3" w:firstLine="479"/>
        <w:outlineLvl w:val="2"/>
        <w:rPr>
          <w:rFonts w:ascii="宋体" w:hAnsi="宋体" w:eastAsia="宋体" w:cs="宋体"/>
          <w:snapToGrid/>
          <w:color w:val="auto"/>
          <w:kern w:val="2"/>
          <w:highlight w:val="none"/>
        </w:rPr>
      </w:pPr>
      <w:bookmarkStart w:id="1220" w:name="_Toc23611"/>
      <w:bookmarkStart w:id="1221" w:name="_Toc8871"/>
      <w:bookmarkStart w:id="1222" w:name="_Toc14410"/>
      <w:bookmarkStart w:id="1223" w:name="_Toc24269"/>
      <w:r>
        <w:rPr>
          <w:rFonts w:hint="eastAsia" w:ascii="宋体" w:hAnsi="宋体" w:eastAsia="宋体" w:cs="宋体"/>
          <w:snapToGrid/>
          <w:color w:val="auto"/>
          <w:kern w:val="2"/>
          <w:highlight w:val="none"/>
        </w:rPr>
        <w:t>12.2  预付款</w:t>
      </w:r>
      <w:bookmarkEnd w:id="1220"/>
      <w:bookmarkEnd w:id="1221"/>
      <w:bookmarkEnd w:id="1222"/>
      <w:bookmarkEnd w:id="1223"/>
    </w:p>
    <w:p w14:paraId="08715F6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12.2.1  预付款的支付</w:t>
      </w:r>
    </w:p>
    <w:p w14:paraId="60B6B42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预付款支付比例或金额：</w:t>
      </w:r>
      <w:r>
        <w:rPr>
          <w:rFonts w:hint="eastAsia" w:ascii="宋体" w:hAnsi="宋体" w:eastAsia="宋体" w:cs="宋体"/>
          <w:snapToGrid/>
          <w:color w:val="auto"/>
          <w:kern w:val="2"/>
          <w:highlight w:val="none"/>
          <w:u w:val="single"/>
        </w:rPr>
        <w:t xml:space="preserve"> </w:t>
      </w:r>
      <w:r>
        <w:rPr>
          <w:rFonts w:hint="eastAsia" w:ascii="宋体" w:hAnsi="宋体" w:eastAsia="宋体" w:cs="宋体"/>
          <w:b/>
          <w:bCs/>
          <w:snapToGrid/>
          <w:color w:val="auto"/>
          <w:kern w:val="2"/>
          <w:highlight w:val="none"/>
          <w:u w:val="single"/>
        </w:rPr>
        <w:t>无预付款</w:t>
      </w:r>
      <w:r>
        <w:rPr>
          <w:rFonts w:hint="eastAsia" w:ascii="宋体" w:hAnsi="宋体" w:eastAsia="宋体" w:cs="宋体"/>
          <w:snapToGrid/>
          <w:color w:val="auto"/>
          <w:kern w:val="2"/>
          <w:highlight w:val="none"/>
          <w:u w:val="single"/>
        </w:rPr>
        <w:t>。</w:t>
      </w:r>
    </w:p>
    <w:p w14:paraId="5C04831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预付款支付期限： </w:t>
      </w:r>
      <w:r>
        <w:rPr>
          <w:rFonts w:hint="eastAsia" w:ascii="宋体" w:hAnsi="宋体" w:eastAsia="宋体" w:cs="宋体"/>
          <w:snapToGrid/>
          <w:color w:val="auto"/>
          <w:kern w:val="2"/>
          <w:highlight w:val="none"/>
          <w:u w:val="single"/>
        </w:rPr>
        <w:t>/</w:t>
      </w:r>
    </w:p>
    <w:p w14:paraId="3609BE31">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预付款扣回的方式：</w:t>
      </w:r>
      <w:r>
        <w:rPr>
          <w:rFonts w:hint="eastAsia" w:ascii="宋体" w:hAnsi="宋体" w:eastAsia="宋体" w:cs="宋体"/>
          <w:snapToGrid/>
          <w:color w:val="auto"/>
          <w:kern w:val="2"/>
          <w:highlight w:val="none"/>
          <w:u w:val="single"/>
        </w:rPr>
        <w:t>/</w:t>
      </w:r>
    </w:p>
    <w:p w14:paraId="1080387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12.2.2  预付款担保</w:t>
      </w:r>
    </w:p>
    <w:p w14:paraId="62C8C1D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承包人提交预付款担保的期限：</w:t>
      </w:r>
      <w:r>
        <w:rPr>
          <w:rFonts w:hint="eastAsia" w:ascii="宋体" w:hAnsi="宋体" w:eastAsia="宋体" w:cs="宋体"/>
          <w:snapToGrid/>
          <w:color w:val="auto"/>
          <w:kern w:val="2"/>
          <w:highlight w:val="none"/>
          <w:u w:val="single"/>
        </w:rPr>
        <w:t>/。</w:t>
      </w:r>
    </w:p>
    <w:p w14:paraId="43A81067">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预付款担保的形式为：</w:t>
      </w:r>
      <w:r>
        <w:rPr>
          <w:rFonts w:hint="eastAsia" w:ascii="宋体" w:hAnsi="宋体" w:eastAsia="宋体" w:cs="宋体"/>
          <w:snapToGrid/>
          <w:color w:val="auto"/>
          <w:kern w:val="2"/>
          <w:highlight w:val="none"/>
          <w:u w:val="single"/>
        </w:rPr>
        <w:t>/。</w:t>
      </w:r>
    </w:p>
    <w:p w14:paraId="58886C9E">
      <w:pPr>
        <w:spacing w:line="360" w:lineRule="auto"/>
        <w:ind w:left="4" w:right="3" w:firstLine="479"/>
        <w:outlineLvl w:val="2"/>
        <w:rPr>
          <w:rFonts w:ascii="宋体" w:hAnsi="宋体" w:eastAsia="宋体" w:cs="宋体"/>
          <w:snapToGrid/>
          <w:color w:val="auto"/>
          <w:kern w:val="2"/>
          <w:highlight w:val="none"/>
        </w:rPr>
      </w:pPr>
      <w:bookmarkStart w:id="1224" w:name="_bookmark214"/>
      <w:bookmarkEnd w:id="1224"/>
      <w:bookmarkStart w:id="1225" w:name="_Toc26429"/>
      <w:bookmarkStart w:id="1226" w:name="_Toc13072"/>
      <w:bookmarkStart w:id="1227" w:name="_Toc10176"/>
      <w:bookmarkStart w:id="1228" w:name="_Toc26025"/>
      <w:r>
        <w:rPr>
          <w:rFonts w:hint="eastAsia" w:ascii="宋体" w:hAnsi="宋体" w:eastAsia="宋体" w:cs="宋体"/>
          <w:snapToGrid/>
          <w:color w:val="auto"/>
          <w:kern w:val="2"/>
          <w:highlight w:val="none"/>
        </w:rPr>
        <w:t>12.3  计量</w:t>
      </w:r>
      <w:bookmarkEnd w:id="1225"/>
      <w:bookmarkEnd w:id="1226"/>
      <w:bookmarkEnd w:id="1227"/>
      <w:bookmarkEnd w:id="1228"/>
    </w:p>
    <w:p w14:paraId="53C38C4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12.3.1  计量原则</w:t>
      </w:r>
    </w:p>
    <w:p w14:paraId="6E6C33D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工程量计算规则：</w:t>
      </w:r>
      <w:r>
        <w:rPr>
          <w:rFonts w:hint="eastAsia" w:ascii="宋体" w:hAnsi="宋体" w:eastAsia="宋体" w:cs="宋体"/>
          <w:snapToGrid/>
          <w:color w:val="auto"/>
          <w:kern w:val="2"/>
          <w:highlight w:val="none"/>
          <w:u w:val="single"/>
        </w:rPr>
        <w:t xml:space="preserve"> 国家标准《建设工程工程量清单计价标准》、广东省统一工程计价依据或专业部门的工程计价依据以及工程造价管理机构制订的有关计价规定。</w:t>
      </w:r>
    </w:p>
    <w:p w14:paraId="51E9988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12.3.2  计量周期</w:t>
      </w:r>
    </w:p>
    <w:p w14:paraId="53DA736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关于计量周期的约定： </w:t>
      </w:r>
      <w:r>
        <w:rPr>
          <w:rFonts w:hint="eastAsia" w:ascii="宋体" w:hAnsi="宋体" w:eastAsia="宋体" w:cs="宋体"/>
          <w:snapToGrid/>
          <w:color w:val="auto"/>
          <w:kern w:val="2"/>
          <w:highlight w:val="none"/>
          <w:u w:val="single"/>
        </w:rPr>
        <w:t>按通用条款执行。</w:t>
      </w:r>
    </w:p>
    <w:p w14:paraId="788333A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12.3.3  单价合同的计量</w:t>
      </w:r>
    </w:p>
    <w:p w14:paraId="08EF409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关于单价合同计量的约定：</w:t>
      </w:r>
      <w:r>
        <w:rPr>
          <w:rFonts w:hint="eastAsia" w:ascii="宋体" w:hAnsi="宋体" w:eastAsia="宋体" w:cs="宋体"/>
          <w:snapToGrid/>
          <w:color w:val="auto"/>
          <w:kern w:val="2"/>
          <w:highlight w:val="none"/>
          <w:u w:val="single"/>
        </w:rPr>
        <w:t xml:space="preserve">           /      。</w:t>
      </w:r>
    </w:p>
    <w:p w14:paraId="5DB148F7">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12.3.4  总价合同的计量</w:t>
      </w:r>
    </w:p>
    <w:p w14:paraId="2246E731">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关于总价合同计量的约定：</w:t>
      </w:r>
      <w:r>
        <w:rPr>
          <w:rFonts w:hint="eastAsia" w:ascii="宋体" w:hAnsi="宋体" w:eastAsia="宋体" w:cs="宋体"/>
          <w:snapToGrid/>
          <w:color w:val="auto"/>
          <w:kern w:val="2"/>
          <w:highlight w:val="none"/>
          <w:u w:val="single"/>
        </w:rPr>
        <w:t>另对承包人超出施工设计图纸(含设计变更)范围和因承包人原因造成返工的工程量，发包人及监理人均不予计量。</w:t>
      </w:r>
    </w:p>
    <w:p w14:paraId="70F7475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12.3.5 总价合同采用支付分解表计量支付的，是否适用第12.3.4项〔总价合同的计量〕约定进行计量：</w:t>
      </w:r>
      <w:r>
        <w:rPr>
          <w:rFonts w:hint="eastAsia" w:ascii="宋体" w:hAnsi="宋体" w:eastAsia="宋体" w:cs="宋体"/>
          <w:snapToGrid/>
          <w:color w:val="auto"/>
          <w:kern w:val="2"/>
          <w:highlight w:val="none"/>
          <w:u w:val="single"/>
        </w:rPr>
        <w:t xml:space="preserve">              /           。</w:t>
      </w:r>
    </w:p>
    <w:p w14:paraId="09FAB17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12.3.6  其他价格形式合同的计量</w:t>
      </w:r>
    </w:p>
    <w:p w14:paraId="78814E5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其他价格形式的计量方式和程序：</w:t>
      </w:r>
      <w:r>
        <w:rPr>
          <w:rFonts w:hint="eastAsia" w:ascii="宋体" w:hAnsi="宋体" w:eastAsia="宋体" w:cs="宋体"/>
          <w:snapToGrid/>
          <w:color w:val="auto"/>
          <w:kern w:val="2"/>
          <w:highlight w:val="none"/>
          <w:u w:val="single"/>
        </w:rPr>
        <w:t xml:space="preserve">         /        。</w:t>
      </w:r>
    </w:p>
    <w:p w14:paraId="61A5F1B1">
      <w:pPr>
        <w:spacing w:line="360" w:lineRule="auto"/>
        <w:ind w:left="4" w:right="3" w:firstLine="479"/>
        <w:outlineLvl w:val="2"/>
        <w:rPr>
          <w:rFonts w:ascii="宋体" w:hAnsi="宋体" w:eastAsia="宋体" w:cs="宋体"/>
          <w:snapToGrid/>
          <w:color w:val="auto"/>
          <w:kern w:val="2"/>
          <w:highlight w:val="none"/>
        </w:rPr>
      </w:pPr>
      <w:bookmarkStart w:id="1229" w:name="_bookmark215"/>
      <w:bookmarkEnd w:id="1229"/>
      <w:bookmarkStart w:id="1230" w:name="_Toc30076"/>
      <w:bookmarkStart w:id="1231" w:name="_Toc14518"/>
      <w:bookmarkStart w:id="1232" w:name="_Toc26854"/>
      <w:bookmarkStart w:id="1233" w:name="_Toc183"/>
      <w:r>
        <w:rPr>
          <w:rFonts w:hint="eastAsia" w:ascii="宋体" w:hAnsi="宋体" w:eastAsia="宋体" w:cs="宋体"/>
          <w:snapToGrid/>
          <w:color w:val="auto"/>
          <w:kern w:val="2"/>
          <w:highlight w:val="none"/>
        </w:rPr>
        <w:t>12.4  工程进度款支付</w:t>
      </w:r>
      <w:bookmarkEnd w:id="1230"/>
      <w:bookmarkEnd w:id="1231"/>
      <w:bookmarkEnd w:id="1232"/>
      <w:bookmarkEnd w:id="1233"/>
    </w:p>
    <w:p w14:paraId="395A723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12.4.1  付款周期</w:t>
      </w:r>
    </w:p>
    <w:p w14:paraId="5EAB3D6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关于付款周期的约定：</w:t>
      </w:r>
      <w:r>
        <w:rPr>
          <w:rFonts w:hint="eastAsia" w:ascii="宋体" w:hAnsi="宋体" w:eastAsia="宋体" w:cs="宋体"/>
          <w:snapToGrid/>
          <w:color w:val="auto"/>
          <w:kern w:val="2"/>
          <w:highlight w:val="none"/>
          <w:u w:val="single"/>
        </w:rPr>
        <w:t xml:space="preserve"> 按通用条款执行。</w:t>
      </w:r>
    </w:p>
    <w:p w14:paraId="3B7CA56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12.4.2  进度付款申请单的编制</w:t>
      </w:r>
    </w:p>
    <w:p w14:paraId="0DE002DB">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关于进度付款申请单编制的约定：</w:t>
      </w:r>
      <w:r>
        <w:rPr>
          <w:rFonts w:hint="eastAsia" w:ascii="宋体" w:hAnsi="宋体" w:eastAsia="宋体" w:cs="宋体"/>
          <w:snapToGrid/>
          <w:color w:val="auto"/>
          <w:kern w:val="2"/>
          <w:highlight w:val="none"/>
          <w:u w:val="single"/>
        </w:rPr>
        <w:t>工程进度款的支付根据每期计量工程价款的80%进行支付(其中涉及工程变更、市场价格波动、合同双方通过补充协议约定等项目造成的价格调整均不纳入月进度款支付，待上述项目结算完毕后合并入工程总结算支付)。支付至合同价款的80%时(其中涉及工程变更、市场价格波动、合同双方通过补充协议约定等项目造成的价格调整均不纳入月进度款支付，待上述项目结算完毕后合并入工程总结算支付)，不再按进度付款，工程竣工验收合格后，支付至合同价款的85%，并结算审核完毕后支付至工程结算价款的97％，其余工程尾款在工程质保期满后无息付清。</w:t>
      </w:r>
    </w:p>
    <w:p w14:paraId="55840C8E">
      <w:pPr>
        <w:spacing w:line="360" w:lineRule="auto"/>
        <w:ind w:left="4" w:right="3" w:firstLine="479"/>
        <w:jc w:val="both"/>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参照东建[2006]7号文《关于实行定额人工费工资专户支付工人工资的通知》、东建价[2011]2号文《关于调整我市建设工程动态工资的通知》、东建价〔2013〕2号《关于调整我市建设工程动态工资的通知》、《东莞市财政性资金投资基本建设项目工程价款管理办法》(东财[2021]20号)、东建市〔2017〕30号文《关于印发&lt;东莞市建设工程工人工资支付分账管理实施细则&gt;的通知》、东人社发〔2021〕4号《东莞市建设工程领域工人工资支付保证金管理办法》、东建市〔2019〕38 号《广东省建设工程领域工人工资支付专用账户管理办法的通知》等规定，本工程实行定额工日工资专户支付工人工资制度。相关文件如有更新，以最新发布的文件规定为准。</w:t>
      </w:r>
    </w:p>
    <w:p w14:paraId="10DCEDB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按照现行税收政策规定，每次付款前，承包人必须提供合法、有效、与本合同总价款条款中增值税税率一致的增值税专用发票给发包人，否则发包人有权拒绝付款且不构成违约；在发包人除支付质保金(若有)外的最后一期款项前，承包人须连同当期支付款项发票和质保金(若有)发票一并提交给发包人；若后期出现质保问题，按照质保责任和条款，部分或全部扣除质保金(若有)的，不退还相应金额的发票。若合同执行期间，遇国家税务政策调整所引起的合同价格变化，按照不含税价格调整结算价格。</w:t>
      </w:r>
    </w:p>
    <w:p w14:paraId="5FBDD569">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①本工程合同总价已含的定额工日工资总额为: 人民币(大写)</w:t>
      </w:r>
      <w:r>
        <w:rPr>
          <w:rFonts w:hint="eastAsia" w:ascii="宋体" w:hAnsi="宋体" w:eastAsia="宋体" w:cs="宋体"/>
          <w:snapToGrid/>
          <w:color w:val="auto"/>
          <w:kern w:val="2"/>
          <w:highlight w:val="none"/>
          <w:u w:val="single"/>
        </w:rPr>
        <w:t xml:space="preserve">    (¥    元)。</w:t>
      </w:r>
    </w:p>
    <w:p w14:paraId="02FCB99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②承包人在建设项目开工前，在项目所在地商业银行设立工人工资支付专用账户，并在用工之日起15日内为每个工人办理工资个人账户，并建立劳动用工管理台账。</w:t>
      </w:r>
    </w:p>
    <w:p w14:paraId="7D9E438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应通过工人工资支付专用账户支付工人工资，本工程工程进度款中的工人工资部分将拨入工人工资支付专用账户，按工程项目列清，专款专用(说明：承包人必须提交由项目所在地商业银行出具的工人工资支付专用账户的开户证明)。</w:t>
      </w:r>
    </w:p>
    <w:p w14:paraId="4CCC3E6E">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承包人在本项目所在地商业银行设立的本工程的工人工资支付专用账户如下(在合同履行期间不得更改)，一项目一账户，账户名称必须注明工程的项目名称： </w:t>
      </w:r>
    </w:p>
    <w:p w14:paraId="34A46C86">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户名：</w:t>
      </w:r>
      <w:r>
        <w:rPr>
          <w:rFonts w:hint="eastAsia" w:ascii="宋体" w:hAnsi="宋体" w:eastAsia="宋体" w:cs="宋体"/>
          <w:snapToGrid/>
          <w:color w:val="auto"/>
          <w:kern w:val="2"/>
          <w:highlight w:val="none"/>
          <w:u w:val="single"/>
        </w:rPr>
        <w:t xml:space="preserve">                       </w:t>
      </w:r>
    </w:p>
    <w:p w14:paraId="308D0067">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账号：</w:t>
      </w:r>
      <w:r>
        <w:rPr>
          <w:rFonts w:hint="eastAsia" w:ascii="宋体" w:hAnsi="宋体" w:eastAsia="宋体" w:cs="宋体"/>
          <w:snapToGrid/>
          <w:color w:val="auto"/>
          <w:kern w:val="2"/>
          <w:highlight w:val="none"/>
          <w:u w:val="single"/>
        </w:rPr>
        <w:t xml:space="preserve">                       </w:t>
      </w:r>
    </w:p>
    <w:p w14:paraId="63AF8C9D">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开户行：</w:t>
      </w:r>
      <w:r>
        <w:rPr>
          <w:rFonts w:hint="eastAsia" w:ascii="宋体" w:hAnsi="宋体" w:eastAsia="宋体" w:cs="宋体"/>
          <w:snapToGrid/>
          <w:color w:val="auto"/>
          <w:kern w:val="2"/>
          <w:highlight w:val="none"/>
          <w:u w:val="single"/>
        </w:rPr>
        <w:t xml:space="preserve">                     </w:t>
      </w:r>
    </w:p>
    <w:p w14:paraId="0BAD6BA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③本工程拨付工资款项方式为与工程进度款同期支付，且工资款不低于工程进度款的20%，且确保能足额支付工人工资。</w:t>
      </w:r>
    </w:p>
    <w:p w14:paraId="67BEE3E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④工人工资支付及监管按《关于印发&lt;广东省建设工程领域工人工资支付专用账户管理办法&gt;的通知》（粤人社规〔2018〕14号）、《关于在莞承接工程支付工人工资保障措施的补充通知》（东建市〔2012〕32号）、《转发广东省建设工程领域工人工资支付专用账户管理办法的通知》（东建市〔2019〕38号）、《关于印发&lt;东莞市建设工程领域工人工资支付保证金管理办法&gt;的通知》（东人社发〔2021〕4号）等的规定执行。承包人每月发放的工人工资应在工地现场的公示栏上及时公布，公布内容必须包含应发工资和实发工资数额，并由负责人签名，若承包人未按要求公布工人工资的发布情况，发包人有权对承包人处予当月工资总额80%的违约金。承包人每次申请支付工程款前，必须将当月的工人工资支付情况报表上报发包人，否则暂停支付工程款。由于承包人未按发放工人工资的约定和有关规定支付工人工资（包括未足额支付和未及时支付、分包人的工人工资支付等）所造成的一切后果由承包人承担。经发包人及有关行政主管部门查证核实后，发包人有权对承包人处予拖欠工资总额30%的违约金，同时监督承包人全额发放拖欠的工人工资。对于造成严重后果者，报市建设行政主管部门处理，并保留终止合同的权利，同时发包人将追究承包人的违约责任，没收其履约担保。</w:t>
      </w:r>
    </w:p>
    <w:p w14:paraId="13847EF7">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⑤每次申请支付工程款前，必须将当月的工人工资支付情况报表上报发包人，要求支付的工人工资款额不低于完成该工序应支付工资款额的90％，否则暂停支付工程款。</w:t>
      </w:r>
    </w:p>
    <w:p w14:paraId="3FFEB541">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⑥本项目单项变更工程价款的支付条件及比例参照《东莞市财政性资金投资基本建设项目工程价款管理办法》(东财[2021]20号)的有关规定执行，单项变更工程价款是指承包人完成设计人发出的经发包人确认的同一单项工程中由相同变更原因引起的设计变更要完成的工作内容所需追加(或减少)的工程价款。单项变更工程价款，在工程竣工结算时清算。</w:t>
      </w:r>
    </w:p>
    <w:p w14:paraId="5A76568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12.4.3  进度付款申请单的提交</w:t>
      </w:r>
    </w:p>
    <w:p w14:paraId="79085DD7">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 单价合同进度付款申请单提交的约定：</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w:t>
      </w:r>
    </w:p>
    <w:p w14:paraId="3C0EB48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 总价合同进度付款申请单提交的约定：</w:t>
      </w:r>
      <w:r>
        <w:rPr>
          <w:rFonts w:hint="eastAsia" w:ascii="宋体" w:hAnsi="宋体" w:eastAsia="宋体" w:cs="宋体"/>
          <w:snapToGrid/>
          <w:color w:val="auto"/>
          <w:kern w:val="2"/>
          <w:highlight w:val="none"/>
          <w:u w:val="single"/>
        </w:rPr>
        <w:t xml:space="preserve">   按月提交 </w:t>
      </w:r>
      <w:r>
        <w:rPr>
          <w:rFonts w:hint="eastAsia" w:ascii="宋体" w:hAnsi="宋体" w:eastAsia="宋体" w:cs="宋体"/>
          <w:snapToGrid/>
          <w:color w:val="auto"/>
          <w:kern w:val="2"/>
          <w:highlight w:val="none"/>
        </w:rPr>
        <w:t>。</w:t>
      </w:r>
    </w:p>
    <w:p w14:paraId="121347A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(3) 其他价格形式合同进度付款申请单提交的约定：</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 xml:space="preserve">。 </w:t>
      </w:r>
    </w:p>
    <w:p w14:paraId="063EB0CC">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12.4.4  进度款审核和支付</w:t>
      </w:r>
    </w:p>
    <w:p w14:paraId="2E0EB7B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 监理人审查并报送发包人的期限：</w:t>
      </w:r>
      <w:r>
        <w:rPr>
          <w:rFonts w:hint="eastAsia" w:ascii="宋体" w:hAnsi="宋体" w:eastAsia="宋体" w:cs="宋体"/>
          <w:snapToGrid/>
          <w:color w:val="auto"/>
          <w:kern w:val="2"/>
          <w:highlight w:val="none"/>
          <w:u w:val="single"/>
        </w:rPr>
        <w:t>收到申请7天内</w:t>
      </w:r>
      <w:r>
        <w:rPr>
          <w:rFonts w:hint="eastAsia" w:ascii="宋体" w:hAnsi="宋体" w:eastAsia="宋体" w:cs="宋体"/>
          <w:snapToGrid/>
          <w:color w:val="auto"/>
          <w:kern w:val="2"/>
          <w:highlight w:val="none"/>
        </w:rPr>
        <w:t>。</w:t>
      </w:r>
    </w:p>
    <w:p w14:paraId="3AD835E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发包人完成审批并签发进度款支付证书的期限：</w:t>
      </w:r>
      <w:r>
        <w:rPr>
          <w:rFonts w:hint="eastAsia" w:ascii="宋体" w:hAnsi="宋体" w:eastAsia="宋体" w:cs="宋体"/>
          <w:snapToGrid/>
          <w:color w:val="auto"/>
          <w:kern w:val="2"/>
          <w:highlight w:val="none"/>
          <w:u w:val="single"/>
        </w:rPr>
        <w:t>发包人应在监理工程师签发期中支付证书后的28天内完成期中支付证书的审批、签发，并通知监理工程师。</w:t>
      </w:r>
    </w:p>
    <w:p w14:paraId="5B95FBF2">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(2)发包人支付进度款的期限：</w:t>
      </w:r>
      <w:r>
        <w:rPr>
          <w:rFonts w:hint="eastAsia" w:ascii="宋体" w:hAnsi="宋体" w:eastAsia="宋体" w:cs="宋体"/>
          <w:snapToGrid/>
          <w:color w:val="auto"/>
          <w:kern w:val="2"/>
          <w:highlight w:val="none"/>
          <w:u w:val="single"/>
        </w:rPr>
        <w:t>发包人应在进度款支付证书或临时进度款支付证书签发后</w:t>
      </w:r>
      <w:r>
        <w:rPr>
          <w:rFonts w:hint="eastAsia" w:ascii="宋体" w:hAnsi="宋体" w:eastAsia="宋体" w:cs="宋体"/>
          <w:snapToGrid/>
          <w:color w:val="auto"/>
          <w:kern w:val="2"/>
          <w:highlight w:val="none"/>
          <w:u w:val="single"/>
          <w:lang w:val="en-US" w:eastAsia="zh-CN"/>
        </w:rPr>
        <w:t>28</w:t>
      </w:r>
      <w:r>
        <w:rPr>
          <w:rFonts w:hint="eastAsia" w:ascii="宋体" w:hAnsi="宋体" w:eastAsia="宋体" w:cs="宋体"/>
          <w:snapToGrid/>
          <w:color w:val="auto"/>
          <w:kern w:val="2"/>
          <w:highlight w:val="none"/>
          <w:u w:val="single"/>
        </w:rPr>
        <w:t>天内完成支付。</w:t>
      </w:r>
    </w:p>
    <w:p w14:paraId="7D00918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发包人逾期支付进度款的违约金的计算方式：</w:t>
      </w:r>
      <w:r>
        <w:rPr>
          <w:rFonts w:hint="eastAsia" w:ascii="宋体" w:hAnsi="宋体" w:eastAsia="宋体" w:cs="宋体"/>
          <w:snapToGrid/>
          <w:color w:val="auto"/>
          <w:kern w:val="2"/>
          <w:highlight w:val="none"/>
          <w:u w:val="single"/>
        </w:rPr>
        <w:t>不计付违约金。</w:t>
      </w:r>
    </w:p>
    <w:p w14:paraId="268FBE1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12.4.6  支付分解表的编制</w:t>
      </w:r>
    </w:p>
    <w:p w14:paraId="4D8ED66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 、总价合同支付分解表的编制与审批：</w:t>
      </w:r>
      <w:r>
        <w:rPr>
          <w:rFonts w:hint="eastAsia" w:ascii="宋体" w:hAnsi="宋体" w:eastAsia="宋体" w:cs="宋体"/>
          <w:snapToGrid/>
          <w:color w:val="auto"/>
          <w:kern w:val="2"/>
          <w:highlight w:val="none"/>
          <w:u w:val="single"/>
        </w:rPr>
        <w:t xml:space="preserve">            /               。</w:t>
      </w:r>
    </w:p>
    <w:p w14:paraId="6A0D3DF5">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3 、单价合同的总价项目支付分解表的编制与审批：</w:t>
      </w:r>
      <w:r>
        <w:rPr>
          <w:rFonts w:hint="eastAsia" w:ascii="宋体" w:hAnsi="宋体" w:eastAsia="宋体" w:cs="宋体"/>
          <w:snapToGrid/>
          <w:color w:val="auto"/>
          <w:kern w:val="2"/>
          <w:highlight w:val="none"/>
          <w:u w:val="single"/>
        </w:rPr>
        <w:t xml:space="preserve">     /      。</w:t>
      </w:r>
    </w:p>
    <w:p w14:paraId="141FF1EC">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234" w:name="_bookmark216"/>
      <w:bookmarkEnd w:id="1234"/>
      <w:bookmarkStart w:id="1235" w:name="_Toc20183"/>
      <w:bookmarkStart w:id="1236" w:name="_Toc20223"/>
      <w:bookmarkStart w:id="1237" w:name="_Toc29200"/>
      <w:bookmarkStart w:id="1238" w:name="_Toc12914"/>
      <w:bookmarkStart w:id="1239" w:name="_Toc566"/>
      <w:r>
        <w:rPr>
          <w:rFonts w:hint="eastAsia" w:ascii="宋体" w:hAnsi="宋体" w:eastAsia="宋体"/>
          <w:b/>
          <w:bCs/>
          <w:snapToGrid/>
          <w:color w:val="auto"/>
          <w:kern w:val="2"/>
          <w:highlight w:val="none"/>
        </w:rPr>
        <w:t>13. 验收和工程试车</w:t>
      </w:r>
      <w:bookmarkEnd w:id="1235"/>
      <w:bookmarkEnd w:id="1236"/>
      <w:bookmarkEnd w:id="1237"/>
      <w:bookmarkEnd w:id="1238"/>
      <w:bookmarkEnd w:id="1239"/>
    </w:p>
    <w:p w14:paraId="17E5A12A">
      <w:pPr>
        <w:spacing w:line="360" w:lineRule="auto"/>
        <w:ind w:left="4" w:right="3" w:firstLine="479"/>
        <w:rPr>
          <w:rFonts w:ascii="宋体" w:hAnsi="宋体" w:eastAsia="宋体" w:cs="宋体"/>
          <w:snapToGrid/>
          <w:color w:val="auto"/>
          <w:kern w:val="2"/>
          <w:highlight w:val="none"/>
        </w:rPr>
      </w:pPr>
      <w:bookmarkStart w:id="1240" w:name="_bookmark217"/>
      <w:bookmarkEnd w:id="1240"/>
      <w:r>
        <w:rPr>
          <w:rFonts w:hint="eastAsia" w:ascii="宋体" w:hAnsi="宋体" w:eastAsia="宋体" w:cs="宋体"/>
          <w:snapToGrid/>
          <w:color w:val="auto"/>
          <w:kern w:val="2"/>
          <w:highlight w:val="none"/>
        </w:rPr>
        <w:t>13.1  分部分项工程验收</w:t>
      </w:r>
    </w:p>
    <w:p w14:paraId="0A5703F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13.1.2 监理人不能按时进行验收时， 应提前</w:t>
      </w:r>
      <w:r>
        <w:rPr>
          <w:rFonts w:hint="eastAsia" w:ascii="宋体" w:hAnsi="宋体" w:eastAsia="宋体" w:cs="宋体"/>
          <w:snapToGrid/>
          <w:color w:val="auto"/>
          <w:kern w:val="2"/>
          <w:highlight w:val="none"/>
          <w:u w:val="single"/>
        </w:rPr>
        <w:t xml:space="preserve">  24  </w:t>
      </w:r>
      <w:r>
        <w:rPr>
          <w:rFonts w:hint="eastAsia" w:ascii="宋体" w:hAnsi="宋体" w:eastAsia="宋体" w:cs="宋体"/>
          <w:snapToGrid/>
          <w:color w:val="auto"/>
          <w:kern w:val="2"/>
          <w:highlight w:val="none"/>
        </w:rPr>
        <w:t>小时提交书面延期要求。 关于延期最长不得超过：</w:t>
      </w:r>
      <w:r>
        <w:rPr>
          <w:rFonts w:hint="eastAsia" w:ascii="宋体" w:hAnsi="宋体" w:eastAsia="宋体" w:cs="宋体"/>
          <w:snapToGrid/>
          <w:color w:val="auto"/>
          <w:kern w:val="2"/>
          <w:highlight w:val="none"/>
          <w:u w:val="single"/>
        </w:rPr>
        <w:t xml:space="preserve">  48  </w:t>
      </w:r>
      <w:r>
        <w:rPr>
          <w:rFonts w:hint="eastAsia" w:ascii="宋体" w:hAnsi="宋体" w:eastAsia="宋体" w:cs="宋体"/>
          <w:snapToGrid/>
          <w:color w:val="auto"/>
          <w:kern w:val="2"/>
          <w:highlight w:val="none"/>
        </w:rPr>
        <w:t>小时。</w:t>
      </w:r>
    </w:p>
    <w:p w14:paraId="5ECA78D5">
      <w:pPr>
        <w:spacing w:line="360" w:lineRule="auto"/>
        <w:ind w:left="4" w:right="3" w:firstLine="479"/>
        <w:rPr>
          <w:rFonts w:ascii="宋体" w:hAnsi="宋体" w:eastAsia="宋体" w:cs="宋体"/>
          <w:snapToGrid/>
          <w:color w:val="auto"/>
          <w:kern w:val="2"/>
          <w:highlight w:val="none"/>
        </w:rPr>
      </w:pPr>
      <w:bookmarkStart w:id="1241" w:name="_bookmark218"/>
      <w:bookmarkEnd w:id="1241"/>
      <w:r>
        <w:rPr>
          <w:rFonts w:hint="eastAsia" w:ascii="宋体" w:hAnsi="宋体" w:eastAsia="宋体" w:cs="宋体"/>
          <w:snapToGrid/>
          <w:color w:val="auto"/>
          <w:kern w:val="2"/>
          <w:highlight w:val="none"/>
        </w:rPr>
        <w:t>13.2  竣工验收</w:t>
      </w:r>
    </w:p>
    <w:p w14:paraId="71149F0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13.2.2 竣工验收程序</w:t>
      </w:r>
    </w:p>
    <w:p w14:paraId="095384B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关于竣工验收程序的约定：</w:t>
      </w:r>
      <w:r>
        <w:rPr>
          <w:rFonts w:hint="eastAsia" w:ascii="宋体" w:hAnsi="宋体" w:eastAsia="宋体" w:cs="宋体"/>
          <w:snapToGrid/>
          <w:color w:val="auto"/>
          <w:kern w:val="2"/>
          <w:highlight w:val="none"/>
          <w:u w:val="single"/>
        </w:rPr>
        <w:t xml:space="preserve">按通用条款执行  </w:t>
      </w:r>
      <w:r>
        <w:rPr>
          <w:rFonts w:hint="eastAsia" w:ascii="宋体" w:hAnsi="宋体" w:eastAsia="宋体" w:cs="宋体"/>
          <w:snapToGrid/>
          <w:color w:val="auto"/>
          <w:kern w:val="2"/>
          <w:highlight w:val="none"/>
        </w:rPr>
        <w:t>。</w:t>
      </w:r>
    </w:p>
    <w:p w14:paraId="239C232D">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 xml:space="preserve">发包人不按照本项约定组织竣工验收、颁发工程接收证书的违约金的计算方法： </w:t>
      </w:r>
      <w:r>
        <w:rPr>
          <w:rFonts w:hint="eastAsia" w:ascii="宋体" w:hAnsi="宋体" w:eastAsia="宋体" w:cs="宋体"/>
          <w:snapToGrid/>
          <w:color w:val="auto"/>
          <w:kern w:val="2"/>
          <w:highlight w:val="none"/>
          <w:u w:val="single"/>
        </w:rPr>
        <w:t>无。</w:t>
      </w:r>
    </w:p>
    <w:p w14:paraId="77CBB73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13.2.5 移交、接收全部与部分工程</w:t>
      </w:r>
    </w:p>
    <w:p w14:paraId="2481B526">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承包人向发包人移交工程的期限：</w:t>
      </w:r>
      <w:r>
        <w:rPr>
          <w:rFonts w:hint="eastAsia" w:ascii="宋体" w:hAnsi="宋体" w:eastAsia="宋体" w:cs="宋体"/>
          <w:snapToGrid/>
          <w:color w:val="auto"/>
          <w:kern w:val="2"/>
          <w:highlight w:val="none"/>
          <w:u w:val="single"/>
        </w:rPr>
        <w:t xml:space="preserve"> 颁发工程接收证书后 7 天内。</w:t>
      </w:r>
    </w:p>
    <w:p w14:paraId="1BC43332">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发包人未按本合同约定接收全部或部分工程的， 违约金的计算方法为：</w:t>
      </w:r>
      <w:r>
        <w:rPr>
          <w:rFonts w:hint="eastAsia" w:ascii="宋体" w:hAnsi="宋体" w:eastAsia="宋体" w:cs="宋体"/>
          <w:snapToGrid/>
          <w:color w:val="auto"/>
          <w:kern w:val="2"/>
          <w:highlight w:val="none"/>
          <w:u w:val="single"/>
        </w:rPr>
        <w:t xml:space="preserve">      /      。</w:t>
      </w:r>
    </w:p>
    <w:p w14:paraId="605C5998">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承包人未按时移交工程的，违约金的计算方法为：</w:t>
      </w:r>
      <w:r>
        <w:rPr>
          <w:rFonts w:hint="eastAsia" w:ascii="宋体" w:hAnsi="宋体" w:eastAsia="宋体" w:cs="宋体"/>
          <w:snapToGrid/>
          <w:color w:val="auto"/>
          <w:kern w:val="2"/>
          <w:highlight w:val="none"/>
          <w:u w:val="single"/>
        </w:rPr>
        <w:t>承包人逾期撤出现场或交付工程的，每逾期一日应向发包人支付 10000 元的违约金。</w:t>
      </w:r>
    </w:p>
    <w:p w14:paraId="509C007E">
      <w:pPr>
        <w:spacing w:line="360" w:lineRule="auto"/>
        <w:ind w:left="4" w:right="3" w:firstLine="479"/>
        <w:rPr>
          <w:rFonts w:ascii="宋体" w:hAnsi="宋体" w:eastAsia="宋体" w:cs="宋体"/>
          <w:snapToGrid/>
          <w:color w:val="auto"/>
          <w:kern w:val="2"/>
          <w:highlight w:val="none"/>
        </w:rPr>
      </w:pPr>
      <w:bookmarkStart w:id="1242" w:name="_bookmark219"/>
      <w:bookmarkEnd w:id="1242"/>
      <w:r>
        <w:rPr>
          <w:rFonts w:hint="eastAsia" w:ascii="宋体" w:hAnsi="宋体" w:eastAsia="宋体" w:cs="宋体"/>
          <w:snapToGrid/>
          <w:color w:val="auto"/>
          <w:kern w:val="2"/>
          <w:highlight w:val="none"/>
        </w:rPr>
        <w:t>13.3  工程试车</w:t>
      </w:r>
    </w:p>
    <w:p w14:paraId="5FECA0E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13.3.1  试车程序</w:t>
      </w:r>
    </w:p>
    <w:p w14:paraId="53482E2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工程试车内容：</w:t>
      </w:r>
      <w:r>
        <w:rPr>
          <w:rFonts w:hint="eastAsia" w:ascii="宋体" w:hAnsi="宋体" w:eastAsia="宋体" w:cs="宋体"/>
          <w:snapToGrid/>
          <w:color w:val="auto"/>
          <w:kern w:val="2"/>
          <w:highlight w:val="none"/>
          <w:u w:val="single"/>
        </w:rPr>
        <w:t xml:space="preserve">  不需要试车   </w:t>
      </w:r>
      <w:r>
        <w:rPr>
          <w:rFonts w:hint="eastAsia" w:ascii="宋体" w:hAnsi="宋体" w:eastAsia="宋体" w:cs="宋体"/>
          <w:snapToGrid/>
          <w:color w:val="auto"/>
          <w:kern w:val="2"/>
          <w:highlight w:val="none"/>
        </w:rPr>
        <w:t>。</w:t>
      </w:r>
    </w:p>
    <w:p w14:paraId="17B4186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 单机无负荷试车费用由</w:t>
      </w:r>
      <w:r>
        <w:rPr>
          <w:rFonts w:hint="eastAsia" w:ascii="宋体" w:hAnsi="宋体" w:eastAsia="宋体" w:cs="宋体"/>
          <w:snapToGrid/>
          <w:color w:val="auto"/>
          <w:kern w:val="2"/>
          <w:highlight w:val="none"/>
          <w:u w:val="single"/>
        </w:rPr>
        <w:t xml:space="preserve">   承包人</w:t>
      </w:r>
      <w:r>
        <w:rPr>
          <w:rFonts w:hint="eastAsia" w:ascii="宋体" w:hAnsi="宋体" w:eastAsia="宋体" w:cs="宋体"/>
          <w:snapToGrid/>
          <w:color w:val="auto"/>
          <w:kern w:val="2"/>
          <w:highlight w:val="none"/>
        </w:rPr>
        <w:t>承担；</w:t>
      </w:r>
    </w:p>
    <w:p w14:paraId="2E3AB9F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 无负荷联动试车费用由</w:t>
      </w:r>
      <w:r>
        <w:rPr>
          <w:rFonts w:hint="eastAsia" w:ascii="宋体" w:hAnsi="宋体" w:eastAsia="宋体" w:cs="宋体"/>
          <w:snapToGrid/>
          <w:color w:val="auto"/>
          <w:kern w:val="2"/>
          <w:highlight w:val="none"/>
          <w:u w:val="single"/>
        </w:rPr>
        <w:t xml:space="preserve">   承包人</w:t>
      </w:r>
      <w:r>
        <w:rPr>
          <w:rFonts w:hint="eastAsia" w:ascii="宋体" w:hAnsi="宋体" w:eastAsia="宋体" w:cs="宋体"/>
          <w:snapToGrid/>
          <w:color w:val="auto"/>
          <w:kern w:val="2"/>
          <w:highlight w:val="none"/>
        </w:rPr>
        <w:t>承担。</w:t>
      </w:r>
    </w:p>
    <w:p w14:paraId="745B2AFC">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13.3.3  投料试车</w:t>
      </w:r>
    </w:p>
    <w:p w14:paraId="6F4C237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关于投料试车相关事项的约定：</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w:t>
      </w:r>
    </w:p>
    <w:p w14:paraId="44C76F40">
      <w:pPr>
        <w:spacing w:line="360" w:lineRule="auto"/>
        <w:ind w:left="4" w:right="3" w:firstLine="479"/>
        <w:rPr>
          <w:rFonts w:ascii="宋体" w:hAnsi="宋体" w:eastAsia="宋体" w:cs="宋体"/>
          <w:snapToGrid/>
          <w:color w:val="auto"/>
          <w:kern w:val="2"/>
          <w:highlight w:val="none"/>
        </w:rPr>
      </w:pPr>
      <w:bookmarkStart w:id="1243" w:name="_bookmark220"/>
      <w:bookmarkEnd w:id="1243"/>
      <w:r>
        <w:rPr>
          <w:rFonts w:hint="eastAsia" w:ascii="宋体" w:hAnsi="宋体" w:eastAsia="宋体" w:cs="宋体"/>
          <w:snapToGrid/>
          <w:color w:val="auto"/>
          <w:kern w:val="2"/>
          <w:highlight w:val="none"/>
        </w:rPr>
        <w:t>13.6  竣工退场</w:t>
      </w:r>
    </w:p>
    <w:p w14:paraId="2BA8040C">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13.6.1  竣工退场</w:t>
      </w:r>
    </w:p>
    <w:p w14:paraId="36EEDDB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承包人完成竣工退场的期限： </w:t>
      </w:r>
      <w:r>
        <w:rPr>
          <w:rFonts w:hint="eastAsia" w:ascii="宋体" w:hAnsi="宋体" w:eastAsia="宋体" w:cs="宋体"/>
          <w:snapToGrid/>
          <w:color w:val="auto"/>
          <w:kern w:val="2"/>
          <w:highlight w:val="none"/>
          <w:u w:val="single"/>
        </w:rPr>
        <w:t>颁发工程接收证书后 10 天内</w:t>
      </w:r>
      <w:r>
        <w:rPr>
          <w:rFonts w:hint="eastAsia" w:ascii="宋体" w:hAnsi="宋体" w:eastAsia="宋体" w:cs="宋体"/>
          <w:snapToGrid/>
          <w:color w:val="auto"/>
          <w:kern w:val="2"/>
          <w:highlight w:val="none"/>
        </w:rPr>
        <w:t>。</w:t>
      </w:r>
    </w:p>
    <w:p w14:paraId="506D3577">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244" w:name="_Toc4660"/>
      <w:r>
        <w:rPr>
          <w:rFonts w:hint="eastAsia" w:ascii="宋体" w:hAnsi="宋体" w:eastAsia="宋体"/>
          <w:b/>
          <w:bCs/>
          <w:snapToGrid/>
          <w:color w:val="auto"/>
          <w:kern w:val="2"/>
          <w:highlight w:val="none"/>
        </w:rPr>
        <w:t>14. 过程结束和竣工结算</w:t>
      </w:r>
      <w:bookmarkEnd w:id="1244"/>
    </w:p>
    <w:p w14:paraId="286C301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14.1 过程结算与支付</w:t>
      </w:r>
    </w:p>
    <w:p w14:paraId="258D8C1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14.1.1 关于过程结算周期及节点的约定：</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16086A71">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14.1.2 关于过程结算程序的约定：</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68EAEFBC">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过程结算所需资料：</w:t>
      </w:r>
      <w:r>
        <w:rPr>
          <w:rFonts w:hint="eastAsia" w:ascii="宋体" w:hAnsi="宋体" w:eastAsia="宋体" w:cs="宋体"/>
          <w:snapToGrid/>
          <w:color w:val="auto"/>
          <w:kern w:val="2"/>
          <w:highlight w:val="none"/>
          <w:u w:val="single"/>
        </w:rPr>
        <w:t xml:space="preserve">                   </w:t>
      </w:r>
      <w:r>
        <w:rPr>
          <w:rFonts w:hint="eastAsia" w:ascii="宋体" w:hAnsi="宋体" w:eastAsia="宋体" w:cs="宋体"/>
          <w:snapToGrid/>
          <w:color w:val="auto"/>
          <w:kern w:val="2"/>
          <w:highlight w:val="none"/>
        </w:rPr>
        <w:t>。</w:t>
      </w:r>
    </w:p>
    <w:p w14:paraId="6D3A0057">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14.1.3 关于过程结算修正的约定：</w:t>
      </w:r>
    </w:p>
    <w:p w14:paraId="0DFC2A0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存在以下情形之一的，发包人和承包人均有权提出修正申请：</w:t>
      </w:r>
    </w:p>
    <w:p w14:paraId="05C6DB3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(1)存在超过过程结算金额  %的计算错误、遗漏或重复；</w:t>
      </w:r>
    </w:p>
    <w:p w14:paraId="51765217">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(2)</w:t>
      </w:r>
      <w:r>
        <w:rPr>
          <w:rFonts w:hint="eastAsia" w:ascii="宋体" w:hAnsi="宋体" w:eastAsia="宋体" w:cs="宋体"/>
          <w:snapToGrid/>
          <w:color w:val="auto"/>
          <w:kern w:val="2"/>
          <w:highlight w:val="none"/>
          <w:u w:val="single"/>
        </w:rPr>
        <w:t xml:space="preserve">                   ；</w:t>
      </w:r>
    </w:p>
    <w:p w14:paraId="5C63A22E">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(3)                   。</w:t>
      </w:r>
    </w:p>
    <w:p w14:paraId="0A28EDB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14.2  竣工结算申请</w:t>
      </w:r>
    </w:p>
    <w:p w14:paraId="483FC35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承包人提交竣工结算申请单的期限： </w:t>
      </w:r>
      <w:r>
        <w:rPr>
          <w:rFonts w:hint="eastAsia" w:ascii="宋体" w:hAnsi="宋体" w:eastAsia="宋体" w:cs="宋体"/>
          <w:snapToGrid/>
          <w:color w:val="auto"/>
          <w:kern w:val="2"/>
          <w:highlight w:val="none"/>
          <w:u w:val="single"/>
        </w:rPr>
        <w:t>工程竣工验收合格后 28 天内</w:t>
      </w:r>
      <w:r>
        <w:rPr>
          <w:rFonts w:hint="eastAsia" w:ascii="宋体" w:hAnsi="宋体" w:eastAsia="宋体" w:cs="宋体"/>
          <w:snapToGrid/>
          <w:color w:val="auto"/>
          <w:kern w:val="2"/>
          <w:highlight w:val="none"/>
        </w:rPr>
        <w:t xml:space="preserve">。 </w:t>
      </w:r>
    </w:p>
    <w:p w14:paraId="10391B0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竣工结算申请单应包括的内容：</w:t>
      </w:r>
      <w:r>
        <w:rPr>
          <w:rFonts w:hint="eastAsia" w:ascii="宋体" w:hAnsi="宋体" w:eastAsia="宋体" w:cs="宋体"/>
          <w:snapToGrid/>
          <w:color w:val="auto"/>
          <w:kern w:val="2"/>
          <w:highlight w:val="none"/>
          <w:u w:val="single"/>
        </w:rPr>
        <w:t>按通用条款执行。</w:t>
      </w:r>
    </w:p>
    <w:p w14:paraId="5F19063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14.3  竣工结算审核</w:t>
      </w:r>
    </w:p>
    <w:p w14:paraId="08A941F5">
      <w:pPr>
        <w:spacing w:line="360" w:lineRule="auto"/>
        <w:ind w:left="4" w:right="3" w:firstLine="479"/>
        <w:rPr>
          <w:rFonts w:hint="default" w:ascii="宋体" w:hAnsi="宋体" w:eastAsia="宋体" w:cs="宋体"/>
          <w:snapToGrid/>
          <w:color w:val="auto"/>
          <w:kern w:val="2"/>
          <w:highlight w:val="none"/>
          <w:lang w:val="en-US" w:eastAsia="zh-CN"/>
        </w:rPr>
      </w:pPr>
      <w:r>
        <w:rPr>
          <w:rFonts w:hint="eastAsia" w:ascii="宋体" w:hAnsi="宋体" w:eastAsia="宋体" w:cs="宋体"/>
          <w:snapToGrid/>
          <w:color w:val="auto"/>
          <w:kern w:val="2"/>
          <w:highlight w:val="none"/>
        </w:rPr>
        <w:t xml:space="preserve">发包人审批竣工付款申请单的期限： </w:t>
      </w:r>
      <w:r>
        <w:rPr>
          <w:rFonts w:hint="eastAsia" w:ascii="宋体" w:hAnsi="宋体" w:eastAsia="宋体" w:cs="宋体"/>
          <w:snapToGrid/>
          <w:color w:val="auto"/>
          <w:kern w:val="2"/>
          <w:highlight w:val="none"/>
          <w:u w:val="single"/>
        </w:rPr>
        <w:t>本工程竣工结算按如下规定办理：(1)竣工验收合格后28天内，承包人向发包人递交竣工结算报告及完整的结算资料。承包人提交的结算报告应由本单位的注册造价工程师编审，并加盖注册执业专用章。如承包人不具备编制结算报告能力，可委托有规定资质的工程造价咨询机构编制。(2)发包人收到承包人递交的竣工结算报告及结算资料后在《建设工程价款结算暂行办法》(财建〔2004〕369号)规定的时间(对应于500(不含)万元以下、500(含)~2000(不含)万元、2000(含)~5000(不含)万元和5000(含)万元以上的工程竣工结算报告金额，其审查时间分别为从接到竣工结算报告和完整的竣工结算资料之日起20、30、45、60天)内完成核实和评审，给予确认或者提出修改意见。因承包人提供的结算资料不完整需要补充的，审查时间相应顺延。(3)发包人收到竣工结算报告及完整的结算资料后，在本款第(2)点约定期限内，对结算报告及资料没有提出意见，不视为发包人认可承包人提交的竣工结算申请单。(4)承包人如未在规定时间内提供完整的工程竣工结算资料，经发包人书面催促后14天内仍未提供或书面明确答复的，发包人有权根据已有资料单方进行结算，承包人同意认可发包人结算金额，因此所产生的法律责任由承包人负责。(5)承包人对发包人出具的工程竣工结算审核书应在10天内给予确认或提出修改意见。逾期没有提出意见的，则视同认可，可按工程竣工结算审核书所确定的金额支付工程竣工结算价款。(6)发承包双方初步确认工程竣工结算价款后报发包人审核，本项目最终结算价以发包人审定金额为准。发包人根据确认的竣工结算报告向承包人支付工程竣工结算价款，并按工程价款结算总额的3%保留工程质量保证金。(7)根据确认的工程竣工结算审核书，承包人向发包人申请支付工程竣工结算款。发包人应在收到申请后42天内支付结算款。(8)承包人向发包人移交工程的期限为颁发工程接收证书后7天内，将竣工工程交付发包人。承包人如未在规定时间内提供完整的工程竣工结算资料，造成工程竣工结算不能正常进行或工程竣工结算价款不能及时支付，发包人要求交付工程的，承包人应当交付；发包人不要求交付工程的，承包人承担保管责任。(9)发包人、承包人双方对工程竣工结算价款发生争议时，按本合同第20条关于争议的约定处理。</w:t>
      </w:r>
      <w:r>
        <w:rPr>
          <w:rFonts w:hint="eastAsia" w:ascii="宋体" w:hAnsi="宋体" w:eastAsia="宋体" w:cs="宋体"/>
          <w:snapToGrid/>
          <w:color w:val="auto"/>
          <w:kern w:val="2"/>
          <w:highlight w:val="none"/>
          <w:u w:val="single"/>
          <w:lang w:eastAsia="zh-CN"/>
        </w:rPr>
        <w:t>（</w:t>
      </w:r>
      <w:r>
        <w:rPr>
          <w:rFonts w:hint="eastAsia" w:ascii="宋体" w:hAnsi="宋体" w:eastAsia="宋体" w:cs="宋体"/>
          <w:snapToGrid/>
          <w:color w:val="auto"/>
          <w:kern w:val="2"/>
          <w:highlight w:val="none"/>
          <w:u w:val="single"/>
          <w:lang w:val="en-US" w:eastAsia="zh-CN"/>
        </w:rPr>
        <w:t>10</w:t>
      </w:r>
      <w:r>
        <w:rPr>
          <w:rFonts w:hint="eastAsia" w:ascii="宋体" w:hAnsi="宋体" w:eastAsia="宋体" w:cs="宋体"/>
          <w:snapToGrid/>
          <w:color w:val="auto"/>
          <w:kern w:val="2"/>
          <w:highlight w:val="none"/>
          <w:u w:val="single"/>
          <w:lang w:eastAsia="zh-CN"/>
        </w:rPr>
        <w:t>）</w:t>
      </w:r>
      <w:r>
        <w:rPr>
          <w:rFonts w:hint="eastAsia" w:ascii="宋体" w:hAnsi="宋体" w:eastAsia="宋体" w:cs="宋体"/>
          <w:snapToGrid/>
          <w:color w:val="auto"/>
          <w:kern w:val="2"/>
          <w:highlight w:val="none"/>
          <w:u w:val="single"/>
          <w:lang w:val="en-US" w:eastAsia="zh-CN"/>
        </w:rPr>
        <w:t>本项目需要财审，财审时间不包括在以上时间内，均按照顺延处理。</w:t>
      </w:r>
    </w:p>
    <w:p w14:paraId="47B34F1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发包人完成竣工付款的期限：</w:t>
      </w:r>
      <w:r>
        <w:rPr>
          <w:rFonts w:hint="eastAsia" w:ascii="宋体" w:hAnsi="宋体" w:eastAsia="宋体" w:cs="宋体"/>
          <w:snapToGrid/>
          <w:color w:val="auto"/>
          <w:kern w:val="2"/>
          <w:highlight w:val="none"/>
          <w:u w:val="single"/>
        </w:rPr>
        <w:t xml:space="preserve"> 竣工结算报告确认后的 42 天内。</w:t>
      </w:r>
    </w:p>
    <w:p w14:paraId="0FC4D139">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关于竣工付款证书异议部分复核的方式和程序：</w:t>
      </w:r>
      <w:r>
        <w:rPr>
          <w:rFonts w:hint="eastAsia" w:ascii="宋体" w:hAnsi="宋体" w:eastAsia="宋体" w:cs="宋体"/>
          <w:snapToGrid/>
          <w:color w:val="auto"/>
          <w:kern w:val="2"/>
          <w:highlight w:val="none"/>
          <w:u w:val="single"/>
        </w:rPr>
        <w:t xml:space="preserve">       /    。</w:t>
      </w:r>
    </w:p>
    <w:p w14:paraId="340FEF9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14.5  最终结清</w:t>
      </w:r>
    </w:p>
    <w:p w14:paraId="1131ABCE">
      <w:pPr>
        <w:spacing w:line="360" w:lineRule="auto"/>
        <w:ind w:left="4" w:right="3" w:firstLine="479"/>
        <w:outlineLvl w:val="2"/>
        <w:rPr>
          <w:rFonts w:ascii="宋体" w:hAnsi="宋体" w:eastAsia="宋体" w:cs="宋体"/>
          <w:snapToGrid/>
          <w:color w:val="auto"/>
          <w:kern w:val="2"/>
          <w:highlight w:val="none"/>
        </w:rPr>
      </w:pPr>
      <w:bookmarkStart w:id="1245" w:name="_Toc14739"/>
      <w:r>
        <w:rPr>
          <w:rFonts w:hint="eastAsia" w:ascii="宋体" w:hAnsi="宋体" w:eastAsia="宋体" w:cs="宋体"/>
          <w:snapToGrid/>
          <w:color w:val="auto"/>
          <w:kern w:val="2"/>
          <w:highlight w:val="none"/>
        </w:rPr>
        <w:t>14.5.1  最终结清申请单</w:t>
      </w:r>
      <w:bookmarkEnd w:id="1245"/>
    </w:p>
    <w:p w14:paraId="0C36F36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承包人提交最终结清申请单的份数：</w:t>
      </w:r>
      <w:r>
        <w:rPr>
          <w:rFonts w:hint="eastAsia" w:ascii="宋体" w:hAnsi="宋体" w:eastAsia="宋体" w:cs="宋体"/>
          <w:snapToGrid/>
          <w:color w:val="auto"/>
          <w:kern w:val="2"/>
          <w:highlight w:val="none"/>
          <w:u w:val="single"/>
        </w:rPr>
        <w:t xml:space="preserve"> 4 份。</w:t>
      </w:r>
    </w:p>
    <w:p w14:paraId="2A1683D7">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承包人提交最终结算申请单的期限： 缺陷责任期终止证书签发后 14 天内。 </w:t>
      </w:r>
    </w:p>
    <w:p w14:paraId="58FBC356">
      <w:pPr>
        <w:spacing w:line="360" w:lineRule="auto"/>
        <w:ind w:left="4" w:right="3" w:firstLine="479"/>
        <w:outlineLvl w:val="2"/>
        <w:rPr>
          <w:rFonts w:ascii="宋体" w:hAnsi="宋体" w:eastAsia="宋体" w:cs="宋体"/>
          <w:snapToGrid/>
          <w:color w:val="auto"/>
          <w:kern w:val="2"/>
          <w:highlight w:val="none"/>
        </w:rPr>
      </w:pPr>
      <w:bookmarkStart w:id="1246" w:name="_Toc11523"/>
      <w:r>
        <w:rPr>
          <w:rFonts w:hint="eastAsia" w:ascii="宋体" w:hAnsi="宋体" w:eastAsia="宋体" w:cs="宋体"/>
          <w:snapToGrid/>
          <w:color w:val="auto"/>
          <w:kern w:val="2"/>
          <w:highlight w:val="none"/>
        </w:rPr>
        <w:t>14.5.2  最终结清证书和支付</w:t>
      </w:r>
      <w:bookmarkEnd w:id="1246"/>
    </w:p>
    <w:p w14:paraId="012439B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 发包人完成最终结清申请单的审批并颁发最终结清证书的期限：发包人应在收到承包人提交的最终结清申请单后42天内完成审批并向承包人颁发最终结清证书。</w:t>
      </w:r>
    </w:p>
    <w:p w14:paraId="1D389F1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(2)发包人完成支付的期限：发包人应在颁发最终结清证书后42天内完成支付。</w:t>
      </w:r>
    </w:p>
    <w:p w14:paraId="2946C522">
      <w:pPr>
        <w:pStyle w:val="5"/>
        <w:rPr>
          <w:color w:val="auto"/>
          <w:highlight w:val="none"/>
        </w:rPr>
      </w:pPr>
    </w:p>
    <w:p w14:paraId="302912B1">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247" w:name="_bookmark225"/>
      <w:bookmarkEnd w:id="1247"/>
      <w:bookmarkStart w:id="1248" w:name="_bookmark221"/>
      <w:bookmarkEnd w:id="1248"/>
      <w:bookmarkStart w:id="1249" w:name="_Toc9633"/>
      <w:bookmarkStart w:id="1250" w:name="_Toc10108"/>
      <w:bookmarkStart w:id="1251" w:name="_Toc27644"/>
      <w:bookmarkStart w:id="1252" w:name="_Toc21355"/>
      <w:bookmarkStart w:id="1253" w:name="_Toc21305"/>
      <w:r>
        <w:rPr>
          <w:rFonts w:hint="eastAsia" w:ascii="宋体" w:hAnsi="宋体" w:eastAsia="宋体"/>
          <w:b/>
          <w:bCs/>
          <w:snapToGrid/>
          <w:color w:val="auto"/>
          <w:kern w:val="2"/>
          <w:highlight w:val="none"/>
        </w:rPr>
        <w:t>15. 缺陷责任期与保修</w:t>
      </w:r>
      <w:bookmarkEnd w:id="1249"/>
      <w:bookmarkEnd w:id="1250"/>
      <w:bookmarkEnd w:id="1251"/>
      <w:bookmarkEnd w:id="1252"/>
      <w:bookmarkEnd w:id="1253"/>
    </w:p>
    <w:p w14:paraId="21AC888F">
      <w:pPr>
        <w:spacing w:line="360" w:lineRule="auto"/>
        <w:ind w:left="4" w:right="3" w:firstLine="479"/>
        <w:rPr>
          <w:rFonts w:ascii="宋体" w:hAnsi="宋体" w:eastAsia="宋体" w:cs="宋体"/>
          <w:snapToGrid/>
          <w:color w:val="auto"/>
          <w:kern w:val="2"/>
          <w:highlight w:val="none"/>
        </w:rPr>
      </w:pPr>
      <w:bookmarkStart w:id="1254" w:name="_bookmark226"/>
      <w:bookmarkEnd w:id="1254"/>
      <w:r>
        <w:rPr>
          <w:rFonts w:hint="eastAsia" w:ascii="宋体" w:hAnsi="宋体" w:eastAsia="宋体" w:cs="宋体"/>
          <w:snapToGrid/>
          <w:color w:val="auto"/>
          <w:kern w:val="2"/>
          <w:highlight w:val="none"/>
        </w:rPr>
        <w:t>15.2 缺陷责任期</w:t>
      </w:r>
    </w:p>
    <w:p w14:paraId="1C7BB19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缺陷责任期的具体期限：本工程缺陷责任期为自工程竣工验收合格之次日2年；其中：起屋面防水工程、有防水要求的卫生间、房间和外墙面的防渗漏，为</w:t>
      </w:r>
      <w:r>
        <w:rPr>
          <w:rFonts w:ascii="宋体" w:hAnsi="宋体" w:eastAsia="宋体" w:cs="宋体"/>
          <w:snapToGrid/>
          <w:color w:val="auto"/>
          <w:kern w:val="2"/>
          <w:highlight w:val="none"/>
        </w:rPr>
        <w:t>5</w:t>
      </w:r>
      <w:r>
        <w:rPr>
          <w:rFonts w:hint="eastAsia" w:ascii="宋体" w:hAnsi="宋体" w:eastAsia="宋体" w:cs="宋体"/>
          <w:snapToGrid/>
          <w:color w:val="auto"/>
          <w:kern w:val="2"/>
          <w:highlight w:val="none"/>
        </w:rPr>
        <w:t>年；电气管线、给排水管道、设备安装和装修工程，为</w:t>
      </w:r>
      <w:r>
        <w:rPr>
          <w:rFonts w:ascii="宋体" w:hAnsi="宋体" w:eastAsia="宋体" w:cs="宋体"/>
          <w:snapToGrid/>
          <w:color w:val="auto"/>
          <w:kern w:val="2"/>
          <w:highlight w:val="none"/>
        </w:rPr>
        <w:t>2</w:t>
      </w:r>
      <w:r>
        <w:rPr>
          <w:rFonts w:hint="eastAsia" w:ascii="宋体" w:hAnsi="宋体" w:eastAsia="宋体" w:cs="宋体"/>
          <w:snapToGrid/>
          <w:color w:val="auto"/>
          <w:kern w:val="2"/>
          <w:highlight w:val="none"/>
        </w:rPr>
        <w:t>年。</w:t>
      </w:r>
    </w:p>
    <w:p w14:paraId="65077971">
      <w:pPr>
        <w:spacing w:line="360" w:lineRule="auto"/>
        <w:ind w:left="4" w:right="3" w:firstLine="479"/>
        <w:rPr>
          <w:rFonts w:ascii="宋体" w:hAnsi="宋体" w:eastAsia="宋体" w:cs="宋体"/>
          <w:snapToGrid/>
          <w:color w:val="auto"/>
          <w:kern w:val="2"/>
          <w:highlight w:val="none"/>
        </w:rPr>
      </w:pPr>
      <w:bookmarkStart w:id="1255" w:name="_bookmark227"/>
      <w:bookmarkEnd w:id="1255"/>
      <w:r>
        <w:rPr>
          <w:rFonts w:hint="eastAsia" w:ascii="宋体" w:hAnsi="宋体" w:eastAsia="宋体" w:cs="宋体"/>
          <w:snapToGrid/>
          <w:color w:val="auto"/>
          <w:kern w:val="2"/>
          <w:highlight w:val="none"/>
        </w:rPr>
        <w:t>15.3  质量保证金</w:t>
      </w:r>
    </w:p>
    <w:p w14:paraId="27F3751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关于是否扣留质量保证金的约定：</w:t>
      </w:r>
      <w:r>
        <w:rPr>
          <w:rFonts w:hint="eastAsia" w:ascii="宋体" w:hAnsi="宋体" w:eastAsia="宋体" w:cs="宋体"/>
          <w:snapToGrid/>
          <w:color w:val="auto"/>
          <w:kern w:val="2"/>
          <w:highlight w:val="none"/>
          <w:u w:val="single"/>
        </w:rPr>
        <w:t xml:space="preserve"> 是。</w:t>
      </w:r>
    </w:p>
    <w:p w14:paraId="6A84646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以下内容作废：在工程项目竣工前，承包人按专用合同条款第3.7条提供履约担保的，发包人不得同时预留工程质量保证金。</w:t>
      </w:r>
    </w:p>
    <w:p w14:paraId="13E4E311">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15.3.1  承包人提供质量保证金的方式</w:t>
      </w:r>
    </w:p>
    <w:p w14:paraId="012EE91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质量保证金采用以下第</w:t>
      </w:r>
      <w:r>
        <w:rPr>
          <w:rFonts w:hint="eastAsia" w:ascii="宋体" w:hAnsi="宋体" w:eastAsia="宋体" w:cs="宋体"/>
          <w:snapToGrid/>
          <w:color w:val="auto"/>
          <w:kern w:val="2"/>
          <w:highlight w:val="none"/>
          <w:u w:val="single"/>
        </w:rPr>
        <w:t xml:space="preserve">  3  </w:t>
      </w:r>
      <w:r>
        <w:rPr>
          <w:rFonts w:hint="eastAsia" w:ascii="宋体" w:hAnsi="宋体" w:eastAsia="宋体" w:cs="宋体"/>
          <w:snapToGrid/>
          <w:color w:val="auto"/>
          <w:kern w:val="2"/>
          <w:highlight w:val="none"/>
        </w:rPr>
        <w:t>种方式：</w:t>
      </w:r>
    </w:p>
    <w:p w14:paraId="2AFE000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 质量保证金保函， 保证金额为：</w:t>
      </w:r>
      <w:r>
        <w:rPr>
          <w:rFonts w:hint="eastAsia" w:ascii="宋体" w:hAnsi="宋体" w:eastAsia="宋体" w:cs="宋体"/>
          <w:snapToGrid/>
          <w:color w:val="auto"/>
          <w:kern w:val="2"/>
          <w:highlight w:val="none"/>
          <w:u w:val="single"/>
        </w:rPr>
        <w:t xml:space="preserve">               /           ；</w:t>
      </w:r>
    </w:p>
    <w:p w14:paraId="213D4D51">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w:t>
      </w:r>
      <w:r>
        <w:rPr>
          <w:rFonts w:hint="eastAsia" w:ascii="宋体" w:hAnsi="宋体" w:eastAsia="宋体" w:cs="宋体"/>
          <w:snapToGrid/>
          <w:color w:val="auto"/>
          <w:kern w:val="2"/>
          <w:highlight w:val="none"/>
          <w:u w:val="single"/>
        </w:rPr>
        <w:t xml:space="preserve">         /     </w:t>
      </w:r>
      <w:r>
        <w:rPr>
          <w:rFonts w:hint="eastAsia" w:ascii="宋体" w:hAnsi="宋体" w:eastAsia="宋体" w:cs="宋体"/>
          <w:snapToGrid/>
          <w:color w:val="auto"/>
          <w:kern w:val="2"/>
          <w:highlight w:val="none"/>
        </w:rPr>
        <w:t>%的工程款；</w:t>
      </w:r>
    </w:p>
    <w:p w14:paraId="08080D6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(3) 其他方式:</w:t>
      </w:r>
      <w:r>
        <w:rPr>
          <w:rFonts w:hint="eastAsia" w:ascii="宋体" w:hAnsi="宋体" w:eastAsia="宋体" w:cs="宋体"/>
          <w:snapToGrid/>
          <w:color w:val="auto"/>
          <w:kern w:val="2"/>
          <w:highlight w:val="none"/>
          <w:u w:val="single"/>
        </w:rPr>
        <w:t xml:space="preserve"> 3%的结算款  。</w:t>
      </w:r>
      <w:r>
        <w:rPr>
          <w:rFonts w:hint="eastAsia" w:ascii="宋体" w:hAnsi="宋体" w:eastAsia="宋体" w:cs="宋体"/>
          <w:snapToGrid/>
          <w:color w:val="auto"/>
          <w:kern w:val="2"/>
          <w:highlight w:val="none"/>
        </w:rPr>
        <w:t xml:space="preserve"> </w:t>
      </w:r>
    </w:p>
    <w:p w14:paraId="117C9F2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15.3.2  质量保证金的扣留</w:t>
      </w:r>
    </w:p>
    <w:p w14:paraId="704CF33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质量保证金的扣留采取以下第</w:t>
      </w:r>
      <w:r>
        <w:rPr>
          <w:rFonts w:hint="eastAsia" w:ascii="宋体" w:hAnsi="宋体" w:eastAsia="宋体" w:cs="宋体"/>
          <w:snapToGrid/>
          <w:color w:val="auto"/>
          <w:kern w:val="2"/>
          <w:highlight w:val="none"/>
          <w:u w:val="single"/>
        </w:rPr>
        <w:t xml:space="preserve">   2   </w:t>
      </w:r>
      <w:r>
        <w:rPr>
          <w:rFonts w:hint="eastAsia" w:ascii="宋体" w:hAnsi="宋体" w:eastAsia="宋体" w:cs="宋体"/>
          <w:snapToGrid/>
          <w:color w:val="auto"/>
          <w:kern w:val="2"/>
          <w:highlight w:val="none"/>
        </w:rPr>
        <w:t>种方式：</w:t>
      </w:r>
    </w:p>
    <w:p w14:paraId="12BCB66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 在支付工程进度款时逐次扣留，在此情形下，质量保证金的计算基数不包括预付款的支付、扣回以及价格调整的金额；</w:t>
      </w:r>
    </w:p>
    <w:p w14:paraId="30EBFC4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 工程竣工结算时一次性扣留质量保证金；</w:t>
      </w:r>
    </w:p>
    <w:p w14:paraId="587768C4">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(3) 其他扣留方式:</w:t>
      </w:r>
      <w:r>
        <w:rPr>
          <w:rFonts w:hint="eastAsia" w:ascii="宋体" w:hAnsi="宋体" w:eastAsia="宋体" w:cs="宋体"/>
          <w:snapToGrid/>
          <w:color w:val="auto"/>
          <w:kern w:val="2"/>
          <w:highlight w:val="none"/>
          <w:u w:val="single"/>
        </w:rPr>
        <w:t xml:space="preserve">    /  。</w:t>
      </w:r>
    </w:p>
    <w:p w14:paraId="730A1F7C">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关于质量保证金的补充约定：</w:t>
      </w:r>
      <w:r>
        <w:rPr>
          <w:rFonts w:hint="eastAsia" w:ascii="宋体" w:hAnsi="宋体" w:eastAsia="宋体" w:cs="宋体"/>
          <w:snapToGrid/>
          <w:color w:val="auto"/>
          <w:kern w:val="2"/>
          <w:highlight w:val="none"/>
          <w:u w:val="single"/>
        </w:rPr>
        <w:t>承包人在质量保修期正常履行保修工作，发包人在竣工验收合格后满两年、四年、五年时在承包人递交付款申请30天内分别一次性无息支付质量保证金(扣除所有扣款、赔偿款后的费用总额)的60%、20%、20%给</w:t>
      </w:r>
      <w:bookmarkStart w:id="1256" w:name="_bookmark228"/>
      <w:bookmarkEnd w:id="1256"/>
      <w:r>
        <w:rPr>
          <w:rFonts w:hint="eastAsia" w:ascii="宋体" w:hAnsi="宋体" w:eastAsia="宋体" w:cs="宋体"/>
          <w:snapToGrid/>
          <w:color w:val="auto"/>
          <w:kern w:val="2"/>
          <w:highlight w:val="none"/>
          <w:u w:val="single"/>
        </w:rPr>
        <w:t>承包人。</w:t>
      </w:r>
    </w:p>
    <w:p w14:paraId="57AA5F41">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15.4 保修</w:t>
      </w:r>
    </w:p>
    <w:p w14:paraId="5A4E3A5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15.4.1  保修责任</w:t>
      </w:r>
    </w:p>
    <w:p w14:paraId="57C242E1">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工程保修期为：</w:t>
      </w:r>
      <w:r>
        <w:rPr>
          <w:rFonts w:hint="eastAsia" w:ascii="宋体" w:hAnsi="宋体" w:eastAsia="宋体" w:cs="宋体"/>
          <w:snapToGrid/>
          <w:color w:val="auto"/>
          <w:kern w:val="2"/>
          <w:highlight w:val="none"/>
          <w:u w:val="single"/>
        </w:rPr>
        <w:t xml:space="preserve">   详见本合同附件 1  《工程质量保修书》 。</w:t>
      </w:r>
    </w:p>
    <w:p w14:paraId="4585944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15.4.3  修复通知</w:t>
      </w:r>
    </w:p>
    <w:p w14:paraId="0630DD9F">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承包人收到保修通知并到达工程现场的合理时间：</w:t>
      </w:r>
      <w:r>
        <w:rPr>
          <w:rFonts w:hint="eastAsia" w:ascii="宋体" w:hAnsi="宋体" w:eastAsia="宋体" w:cs="宋体"/>
          <w:snapToGrid/>
          <w:color w:val="auto"/>
          <w:kern w:val="2"/>
          <w:highlight w:val="none"/>
          <w:u w:val="single"/>
        </w:rPr>
        <w:t>24小时内。</w:t>
      </w:r>
    </w:p>
    <w:p w14:paraId="75CB93E1">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257" w:name="_bookmark229"/>
      <w:bookmarkEnd w:id="1257"/>
      <w:bookmarkStart w:id="1258" w:name="_Toc3379"/>
      <w:bookmarkStart w:id="1259" w:name="_Toc20631"/>
      <w:bookmarkStart w:id="1260" w:name="_Toc26481"/>
      <w:bookmarkStart w:id="1261" w:name="_Toc24439"/>
      <w:bookmarkStart w:id="1262" w:name="_Toc25642"/>
      <w:r>
        <w:rPr>
          <w:rFonts w:hint="eastAsia" w:ascii="宋体" w:hAnsi="宋体" w:eastAsia="宋体"/>
          <w:b/>
          <w:bCs/>
          <w:snapToGrid/>
          <w:color w:val="auto"/>
          <w:kern w:val="2"/>
          <w:highlight w:val="none"/>
        </w:rPr>
        <w:t>16. 违约</w:t>
      </w:r>
      <w:bookmarkEnd w:id="1258"/>
      <w:bookmarkEnd w:id="1259"/>
      <w:bookmarkEnd w:id="1260"/>
      <w:bookmarkEnd w:id="1261"/>
      <w:bookmarkEnd w:id="1262"/>
    </w:p>
    <w:p w14:paraId="4C484AB6">
      <w:pPr>
        <w:spacing w:line="360" w:lineRule="auto"/>
        <w:ind w:left="4" w:right="3" w:firstLine="479"/>
        <w:outlineLvl w:val="2"/>
        <w:rPr>
          <w:rFonts w:ascii="宋体" w:hAnsi="宋体" w:eastAsia="宋体" w:cs="宋体"/>
          <w:snapToGrid/>
          <w:color w:val="auto"/>
          <w:kern w:val="2"/>
          <w:highlight w:val="none"/>
        </w:rPr>
      </w:pPr>
      <w:bookmarkStart w:id="1263" w:name="_bookmark230"/>
      <w:bookmarkEnd w:id="1263"/>
      <w:bookmarkStart w:id="1264" w:name="_Toc25414"/>
      <w:bookmarkStart w:id="1265" w:name="_Toc1001"/>
      <w:bookmarkStart w:id="1266" w:name="_Toc15597"/>
      <w:bookmarkStart w:id="1267" w:name="_Toc26592"/>
      <w:r>
        <w:rPr>
          <w:rFonts w:hint="eastAsia" w:ascii="宋体" w:hAnsi="宋体" w:eastAsia="宋体" w:cs="宋体"/>
          <w:snapToGrid/>
          <w:color w:val="auto"/>
          <w:kern w:val="2"/>
          <w:highlight w:val="none"/>
        </w:rPr>
        <w:t>16.1  发包人违约</w:t>
      </w:r>
      <w:bookmarkEnd w:id="1264"/>
      <w:bookmarkEnd w:id="1265"/>
      <w:bookmarkEnd w:id="1266"/>
      <w:bookmarkEnd w:id="1267"/>
    </w:p>
    <w:p w14:paraId="57C1107E">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16.1.1 发包人违约的情形</w:t>
      </w:r>
    </w:p>
    <w:p w14:paraId="44F47FCF">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发包人违约的其他情形：</w:t>
      </w:r>
      <w:r>
        <w:rPr>
          <w:rFonts w:hint="eastAsia" w:ascii="宋体" w:hAnsi="宋体" w:eastAsia="宋体" w:cs="宋体"/>
          <w:snapToGrid/>
          <w:color w:val="auto"/>
          <w:kern w:val="2"/>
          <w:highlight w:val="none"/>
          <w:u w:val="single"/>
        </w:rPr>
        <w:t xml:space="preserve">       /                 。</w:t>
      </w:r>
    </w:p>
    <w:p w14:paraId="68D36E3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16.1.2  发包人违约的责任</w:t>
      </w:r>
    </w:p>
    <w:p w14:paraId="6A87450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发包人违约责任的承担方式和计算方法：</w:t>
      </w:r>
    </w:p>
    <w:p w14:paraId="6D2DDBD3">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(1) 因发包人原因未能在计划开工日期前 7 天内下达开工通知的违约责任：</w:t>
      </w:r>
      <w:r>
        <w:rPr>
          <w:rFonts w:hint="eastAsia" w:ascii="宋体" w:hAnsi="宋体" w:eastAsia="宋体" w:cs="宋体"/>
          <w:snapToGrid/>
          <w:color w:val="auto"/>
          <w:kern w:val="2"/>
          <w:highlight w:val="none"/>
          <w:u w:val="single"/>
        </w:rPr>
        <w:t xml:space="preserve"> 不计付违约金 。</w:t>
      </w:r>
    </w:p>
    <w:p w14:paraId="29B49DD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 因发包人原因未能按合同约定支付合同价款的违约责任：</w:t>
      </w:r>
      <w:r>
        <w:rPr>
          <w:rFonts w:hint="eastAsia" w:ascii="宋体" w:hAnsi="宋体" w:eastAsia="宋体" w:cs="宋体"/>
          <w:snapToGrid/>
          <w:color w:val="auto"/>
          <w:kern w:val="2"/>
          <w:highlight w:val="none"/>
          <w:u w:val="single"/>
        </w:rPr>
        <w:t xml:space="preserve"> 不计付违约金。</w:t>
      </w:r>
    </w:p>
    <w:p w14:paraId="4901509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(3) 发包人违反第 10.1 款〔变更的范围〕第(2) 项约定，自行实施被取消的工作或转由他人实施的违约责任：</w:t>
      </w:r>
      <w:r>
        <w:rPr>
          <w:rFonts w:hint="eastAsia" w:ascii="宋体" w:hAnsi="宋体" w:eastAsia="宋体" w:cs="宋体"/>
          <w:snapToGrid/>
          <w:color w:val="auto"/>
          <w:kern w:val="2"/>
          <w:highlight w:val="none"/>
          <w:u w:val="single"/>
        </w:rPr>
        <w:t xml:space="preserve"> 不计付违约金 。</w:t>
      </w:r>
    </w:p>
    <w:p w14:paraId="0B9F2168">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(4) 发包人提供的材料、工程设备的规格、数量或质量不符合合同约定，或因发包人原因导致交货日期延误或交货地点变更等情况的违约责任：</w:t>
      </w:r>
      <w:r>
        <w:rPr>
          <w:rFonts w:hint="eastAsia" w:ascii="宋体" w:hAnsi="宋体" w:eastAsia="宋体" w:cs="宋体"/>
          <w:snapToGrid/>
          <w:color w:val="auto"/>
          <w:kern w:val="2"/>
          <w:highlight w:val="none"/>
          <w:u w:val="single"/>
        </w:rPr>
        <w:t xml:space="preserve">  不计付违约金 。</w:t>
      </w:r>
    </w:p>
    <w:p w14:paraId="40C0866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(5) 因发包人违反合同约定造成暂停施工的违约责任：</w:t>
      </w:r>
      <w:r>
        <w:rPr>
          <w:rFonts w:hint="eastAsia" w:ascii="宋体" w:hAnsi="宋体" w:eastAsia="宋体" w:cs="宋体"/>
          <w:snapToGrid/>
          <w:color w:val="auto"/>
          <w:kern w:val="2"/>
          <w:highlight w:val="none"/>
          <w:u w:val="single"/>
        </w:rPr>
        <w:t xml:space="preserve"> 不计付违约金 。</w:t>
      </w:r>
    </w:p>
    <w:p w14:paraId="1CAD056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(6) 发包人无正当理由没有在约定期限内发出复工指示， 导致承包人无法复工的违约责任：</w:t>
      </w:r>
      <w:r>
        <w:rPr>
          <w:rFonts w:hint="eastAsia" w:ascii="宋体" w:hAnsi="宋体" w:eastAsia="宋体" w:cs="宋体"/>
          <w:snapToGrid/>
          <w:color w:val="auto"/>
          <w:kern w:val="2"/>
          <w:highlight w:val="none"/>
          <w:u w:val="single"/>
        </w:rPr>
        <w:t xml:space="preserve">   不计付违约金 。</w:t>
      </w:r>
    </w:p>
    <w:p w14:paraId="6900F92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(7) 其他：</w:t>
      </w:r>
      <w:r>
        <w:rPr>
          <w:rFonts w:hint="eastAsia" w:ascii="宋体" w:hAnsi="宋体" w:eastAsia="宋体" w:cs="宋体"/>
          <w:snapToGrid/>
          <w:color w:val="auto"/>
          <w:kern w:val="2"/>
          <w:highlight w:val="none"/>
          <w:u w:val="single"/>
        </w:rPr>
        <w:t xml:space="preserve">    /           。</w:t>
      </w:r>
    </w:p>
    <w:p w14:paraId="38D8639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16.1.3  因发包人违约解除合同</w:t>
      </w:r>
    </w:p>
    <w:p w14:paraId="295118E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承包人按 16.1.1 项〔发包人违约的情形〕约定暂停施工满</w:t>
      </w:r>
      <w:r>
        <w:rPr>
          <w:rFonts w:hint="eastAsia" w:ascii="宋体" w:hAnsi="宋体" w:eastAsia="宋体" w:cs="宋体"/>
          <w:snapToGrid/>
          <w:color w:val="auto"/>
          <w:kern w:val="2"/>
          <w:highlight w:val="none"/>
          <w:u w:val="single"/>
        </w:rPr>
        <w:t xml:space="preserve">  60  </w:t>
      </w:r>
      <w:r>
        <w:rPr>
          <w:rFonts w:hint="eastAsia" w:ascii="宋体" w:hAnsi="宋体" w:eastAsia="宋体" w:cs="宋体"/>
          <w:snapToGrid/>
          <w:color w:val="auto"/>
          <w:kern w:val="2"/>
          <w:highlight w:val="none"/>
        </w:rPr>
        <w:t>天后发包人仍不纠正其违约行为并致使合同目的不能实现的，承包人有权解除合同，发包人应承担由此</w:t>
      </w:r>
      <w:bookmarkStart w:id="1268" w:name="_bookmark231"/>
      <w:bookmarkEnd w:id="1268"/>
      <w:r>
        <w:rPr>
          <w:rFonts w:hint="eastAsia" w:ascii="宋体" w:hAnsi="宋体" w:eastAsia="宋体" w:cs="宋体"/>
          <w:snapToGrid/>
          <w:color w:val="auto"/>
          <w:kern w:val="2"/>
          <w:highlight w:val="none"/>
        </w:rPr>
        <w:t>给承包人造成的损失。</w:t>
      </w:r>
    </w:p>
    <w:p w14:paraId="50A50173">
      <w:pPr>
        <w:spacing w:line="360" w:lineRule="auto"/>
        <w:ind w:left="4" w:right="3" w:firstLine="479"/>
        <w:outlineLvl w:val="2"/>
        <w:rPr>
          <w:rFonts w:ascii="宋体" w:hAnsi="宋体" w:eastAsia="宋体" w:cs="宋体"/>
          <w:snapToGrid/>
          <w:color w:val="auto"/>
          <w:kern w:val="2"/>
          <w:highlight w:val="none"/>
        </w:rPr>
      </w:pPr>
      <w:bookmarkStart w:id="1269" w:name="_Toc26297"/>
      <w:bookmarkStart w:id="1270" w:name="_Toc19012"/>
      <w:bookmarkStart w:id="1271" w:name="_Toc23696"/>
      <w:bookmarkStart w:id="1272" w:name="_Toc20993"/>
      <w:r>
        <w:rPr>
          <w:rFonts w:hint="eastAsia" w:ascii="宋体" w:hAnsi="宋体" w:eastAsia="宋体" w:cs="宋体"/>
          <w:snapToGrid/>
          <w:color w:val="auto"/>
          <w:kern w:val="2"/>
          <w:highlight w:val="none"/>
        </w:rPr>
        <w:t>16.2  承包人违约</w:t>
      </w:r>
      <w:bookmarkEnd w:id="1269"/>
      <w:bookmarkEnd w:id="1270"/>
      <w:bookmarkEnd w:id="1271"/>
      <w:bookmarkEnd w:id="1272"/>
    </w:p>
    <w:p w14:paraId="6CFB07E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16.2.1  承包人违约的情形</w:t>
      </w:r>
    </w:p>
    <w:p w14:paraId="28FFAC5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承包人违约的其他情形</w:t>
      </w:r>
      <w:r>
        <w:rPr>
          <w:rFonts w:hint="eastAsia" w:ascii="宋体" w:hAnsi="宋体" w:eastAsia="宋体" w:cs="宋体"/>
          <w:snapToGrid/>
          <w:color w:val="auto"/>
          <w:kern w:val="2"/>
          <w:highlight w:val="none"/>
          <w:u w:val="single"/>
        </w:rPr>
        <w:t>：   详见16.2.2目的规定  。</w:t>
      </w:r>
    </w:p>
    <w:p w14:paraId="673A909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16.2.2 承包人违约的责任</w:t>
      </w:r>
    </w:p>
    <w:p w14:paraId="01C8B02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承包人违约责任的承担方式和计算方法：</w:t>
      </w:r>
    </w:p>
    <w:p w14:paraId="7F916828">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(1) 承包人违反合同约定进行转包的：</w:t>
      </w:r>
      <w:r>
        <w:rPr>
          <w:rFonts w:hint="eastAsia" w:ascii="宋体" w:hAnsi="宋体" w:eastAsia="宋体" w:cs="宋体"/>
          <w:snapToGrid/>
          <w:color w:val="auto"/>
          <w:kern w:val="2"/>
          <w:highlight w:val="none"/>
          <w:u w:val="single"/>
        </w:rPr>
        <w:t>有下述情况之一者，视为转包：履行总承包合同的承包方义务的主体实际发生变更；项目主要技术、管理人员与承包人不存在隶属关系，或承包人为其缴交社保少于约定时限(项目负责人(建造师)、技术负责人、专业负责人需缴纳三年以上、其他主要技术、管理人员需缴纳一年以上)；专业分包工程的分包合同的承包人再次分包的。发包人有权随时要求承包人在三日内提供不存在前述情况的证明文件，承包人未能按时充分提供其不存在转包情形的证明文件，则视为转包。一旦发包人巡检发现有转包行为的，则每次处以总承包合同价的1‰的违约金，并且发包人有权可解除与承包人的施工合同、没收承包人的履约担保、同时要求承包人赔偿由此给发包人造成的直接和间接损失。</w:t>
      </w:r>
    </w:p>
    <w:p w14:paraId="6D5684C6">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承包人违反合同约定进行分包的：发包人可不支付该专业分包工程相应的工程款，并处予该专业分包合同金额3%的违约金。若承包人未经发包人确认擅自确定专业分包单位，则发包人将对所分包工程处予被分包合同金额3%的违约金，情节严重的将上报东莞市建设行政主管部门处理直至追究承包人的法律责任。</w:t>
      </w:r>
    </w:p>
    <w:p w14:paraId="39DD718F">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ab/>
      </w:r>
      <w:r>
        <w:rPr>
          <w:rFonts w:hint="eastAsia" w:ascii="宋体" w:hAnsi="宋体" w:eastAsia="宋体" w:cs="宋体"/>
          <w:snapToGrid/>
          <w:color w:val="auto"/>
          <w:kern w:val="2"/>
          <w:highlight w:val="none"/>
          <w:u w:val="single"/>
        </w:rPr>
        <w:t>(2)承包人违反合同约定采购和使用不合格的材料和工程设备的：承包人购买的所有材料、设备必须符合设计和规范要求，必须向发包人提供厂家批号、出厂合格证、质量检验书等资料证明；在采购供应前，承包人须向发包人提交材料设备采购清单报发包人审查并经批准后方可实施采购，发包人可随时对承包人所购买的材料、设备进行监督、检查。一经查实不符合设计和规范要求发包人可勒令承包人暂停材料和设备的安装和施工，由此产生工程费用一律由承包人自行承担，并将视为承包人违约，发包人对承包人每次处予人民币</w:t>
      </w:r>
      <w:r>
        <w:rPr>
          <w:rFonts w:hint="eastAsia" w:ascii="宋体" w:hAnsi="宋体" w:eastAsia="宋体" w:cs="宋体"/>
          <w:snapToGrid/>
          <w:color w:val="auto"/>
          <w:kern w:val="2"/>
          <w:highlight w:val="none"/>
          <w:u w:val="single"/>
          <w:lang w:val="en-US" w:eastAsia="zh-CN"/>
        </w:rPr>
        <w:t>5</w:t>
      </w:r>
      <w:r>
        <w:rPr>
          <w:rFonts w:hint="eastAsia" w:ascii="宋体" w:hAnsi="宋体" w:eastAsia="宋体" w:cs="宋体"/>
          <w:snapToGrid/>
          <w:color w:val="auto"/>
          <w:kern w:val="2"/>
          <w:highlight w:val="none"/>
          <w:u w:val="single"/>
        </w:rPr>
        <w:t>000元的违约金。发包人有权对承包人的材料供应商所提供的设备材料进行检查，达不到招投标文件中技术参数要求的材料不得进场；对已进场但未达到招投标文件中技术参数要求的材料，该材料将不得使用，对工程中已使用不符合招投标文件中技术参数要求及有关规范标准规定材料的，发包人将有权要求承包人拆除，由此产生工程费用一律由承包人自行承担，工期不予顺延，并处以此项发生工程费用总额的3%或</w:t>
      </w:r>
      <w:r>
        <w:rPr>
          <w:rFonts w:hint="eastAsia" w:ascii="宋体" w:hAnsi="宋体" w:eastAsia="宋体" w:cs="宋体"/>
          <w:snapToGrid/>
          <w:color w:val="auto"/>
          <w:kern w:val="2"/>
          <w:highlight w:val="none"/>
          <w:u w:val="single"/>
          <w:lang w:val="en-US" w:eastAsia="zh-CN"/>
        </w:rPr>
        <w:t>1</w:t>
      </w:r>
      <w:r>
        <w:rPr>
          <w:rFonts w:hint="eastAsia" w:ascii="宋体" w:hAnsi="宋体" w:eastAsia="宋体" w:cs="宋体"/>
          <w:snapToGrid/>
          <w:color w:val="auto"/>
          <w:kern w:val="2"/>
          <w:highlight w:val="none"/>
          <w:u w:val="single"/>
        </w:rPr>
        <w:t>0000元人民币的违约金(按两者中的较大数额执行)以示警告，同时保留追究承包人违约责任的权利。按东莞市住房和城乡建设局要求，对招标工程实行“主材按进场验收”制度，要求承包人必须按招标图纸和施工技术标准施工，不得擅自修改工程设计，不得偷工减料，施工中每批进入工地的建筑材料、设备必须由发包人现场代表和监理工程师签字批准后方可使用并作为结算的依据，未经签字批准使用的，发包人将对承包人每次处予人民币</w:t>
      </w:r>
      <w:r>
        <w:rPr>
          <w:rFonts w:hint="eastAsia" w:ascii="宋体" w:hAnsi="宋体" w:eastAsia="宋体" w:cs="宋体"/>
          <w:snapToGrid/>
          <w:color w:val="auto"/>
          <w:kern w:val="2"/>
          <w:highlight w:val="none"/>
          <w:u w:val="single"/>
          <w:lang w:val="en-US" w:eastAsia="zh-CN"/>
        </w:rPr>
        <w:t>3</w:t>
      </w:r>
      <w:r>
        <w:rPr>
          <w:rFonts w:hint="eastAsia" w:ascii="宋体" w:hAnsi="宋体" w:eastAsia="宋体" w:cs="宋体"/>
          <w:snapToGrid/>
          <w:color w:val="auto"/>
          <w:kern w:val="2"/>
          <w:highlight w:val="none"/>
          <w:u w:val="single"/>
        </w:rPr>
        <w:t>000元的违约金。</w:t>
      </w:r>
    </w:p>
    <w:p w14:paraId="2B2AAAA6">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ab/>
      </w:r>
      <w:r>
        <w:rPr>
          <w:rFonts w:hint="eastAsia" w:ascii="宋体" w:hAnsi="宋体" w:eastAsia="宋体" w:cs="宋体"/>
          <w:snapToGrid/>
          <w:color w:val="auto"/>
          <w:kern w:val="2"/>
          <w:highlight w:val="none"/>
          <w:u w:val="single"/>
        </w:rPr>
        <w:t>(3)因承包人原因导致工程质量、工艺标准不符合合同要求的：合同工程中的任一分部或分项工程，承包人自检合格后，经发包人或监理人预验收出现过程施工工艺、质量不合格视为承包人违约；承包人必须无条件整改至合格，整改不合格的，由发包单位另行委托第三方单位进行整改，结算时按实际整改金额双倍进行扣减。若在工程移交时发现有工程需要保修而承包人未按合同要求履行保修义务的，发包人有权直接委托第三方进行工程保修，费用由承包人承担，发包人有权在承包人剩余工程款内扣除，发包人同时保留按合同有关条款追究承包人违约责任的权利。施工质量安全管理应达到东实集团及安居公司考核要求，月度巡检平均分不应低于</w:t>
      </w:r>
      <w:r>
        <w:rPr>
          <w:rFonts w:hint="eastAsia" w:ascii="宋体" w:hAnsi="宋体" w:eastAsia="宋体" w:cs="宋体"/>
          <w:color w:val="auto"/>
          <w:highlight w:val="none"/>
          <w:u w:val="single"/>
        </w:rPr>
        <w:t>发包人要求的合格分数</w:t>
      </w:r>
      <w:r>
        <w:rPr>
          <w:rFonts w:hint="eastAsia" w:ascii="宋体" w:hAnsi="宋体" w:eastAsia="宋体" w:cs="宋体"/>
          <w:snapToGrid/>
          <w:color w:val="auto"/>
          <w:kern w:val="2"/>
          <w:highlight w:val="none"/>
          <w:u w:val="single"/>
        </w:rPr>
        <w:t>，巡检报告内容必须3天内整改完成并回复，承包人务必服从发包人对于目标分数的调整，对于低于月度巡检平均分，发包人</w:t>
      </w:r>
      <w:r>
        <w:rPr>
          <w:rFonts w:ascii="宋体" w:hAnsi="宋体" w:eastAsia="宋体" w:cs="宋体"/>
          <w:snapToGrid/>
          <w:color w:val="auto"/>
          <w:kern w:val="2"/>
          <w:highlight w:val="none"/>
          <w:u w:val="single"/>
        </w:rPr>
        <w:t>将对</w:t>
      </w:r>
      <w:r>
        <w:rPr>
          <w:rFonts w:hint="eastAsia" w:ascii="宋体" w:hAnsi="宋体" w:eastAsia="宋体" w:cs="宋体"/>
          <w:snapToGrid/>
          <w:color w:val="auto"/>
          <w:kern w:val="2"/>
          <w:highlight w:val="none"/>
          <w:u w:val="single"/>
        </w:rPr>
        <w:t>承包人每次</w:t>
      </w:r>
      <w:r>
        <w:rPr>
          <w:rFonts w:ascii="宋体" w:hAnsi="宋体" w:eastAsia="宋体" w:cs="宋体"/>
          <w:snapToGrid/>
          <w:color w:val="auto"/>
          <w:kern w:val="2"/>
          <w:highlight w:val="none"/>
          <w:u w:val="single"/>
        </w:rPr>
        <w:t>处予</w:t>
      </w:r>
      <w:r>
        <w:rPr>
          <w:rFonts w:hint="eastAsia" w:ascii="宋体" w:hAnsi="宋体" w:eastAsia="宋体" w:cs="宋体"/>
          <w:snapToGrid/>
          <w:color w:val="auto"/>
          <w:kern w:val="2"/>
          <w:highlight w:val="none"/>
          <w:u w:val="single"/>
        </w:rPr>
        <w:t>人民币</w:t>
      </w:r>
      <w:r>
        <w:rPr>
          <w:rFonts w:hint="eastAsia" w:ascii="宋体" w:hAnsi="宋体" w:eastAsia="宋体" w:cs="宋体"/>
          <w:snapToGrid/>
          <w:color w:val="auto"/>
          <w:kern w:val="2"/>
          <w:highlight w:val="none"/>
          <w:u w:val="single"/>
          <w:lang w:val="en-US" w:eastAsia="zh-CN"/>
        </w:rPr>
        <w:t>3</w:t>
      </w:r>
      <w:r>
        <w:rPr>
          <w:rFonts w:hint="eastAsia" w:ascii="宋体" w:hAnsi="宋体" w:eastAsia="宋体" w:cs="宋体"/>
          <w:snapToGrid/>
          <w:color w:val="auto"/>
          <w:kern w:val="2"/>
          <w:highlight w:val="none"/>
          <w:u w:val="single"/>
        </w:rPr>
        <w:t>000元的违约金</w:t>
      </w:r>
      <w:r>
        <w:rPr>
          <w:rFonts w:hint="eastAsia" w:ascii="宋体" w:hAnsi="宋体" w:eastAsia="宋体" w:cs="宋体"/>
          <w:snapToGrid/>
          <w:color w:val="auto"/>
          <w:kern w:val="2"/>
          <w:highlight w:val="none"/>
          <w:u w:val="single"/>
          <w:lang w:eastAsia="zh-CN"/>
        </w:rPr>
        <w:t>；</w:t>
      </w:r>
      <w:r>
        <w:rPr>
          <w:rFonts w:hint="eastAsia" w:ascii="宋体" w:hAnsi="宋体" w:eastAsia="宋体" w:cs="宋体"/>
          <w:snapToGrid/>
          <w:color w:val="auto"/>
          <w:kern w:val="2"/>
          <w:highlight w:val="none"/>
          <w:u w:val="single"/>
          <w:lang w:val="en-US" w:eastAsia="zh-CN"/>
        </w:rPr>
        <w:t>因安居公司工程部、品质监察部等部门巡检出现问题公司通报的，按1000/条索赔违约金</w:t>
      </w:r>
      <w:r>
        <w:rPr>
          <w:rFonts w:hint="eastAsia" w:ascii="宋体" w:hAnsi="宋体" w:eastAsia="宋体" w:cs="宋体"/>
          <w:snapToGrid/>
          <w:color w:val="auto"/>
          <w:kern w:val="2"/>
          <w:highlight w:val="none"/>
          <w:u w:val="single"/>
        </w:rPr>
        <w:t>。现场安全文明施工应执行东实集团及东莞市安居建设投资有限公司的相关规章制度，具体要求详附件《东实集团安全生产管理制度(2020年修订版)东实制〔2020〕12号》、附件《东实集团下属公司安全生产监督管理办法(2020年修订版)东实制〔2020〕15号》、附件《东实集团工程巡检管理流程制度》、东莞市安居建设投资有限公司工程安全、质量管理办法及工程巡检流程。</w:t>
      </w:r>
    </w:p>
    <w:p w14:paraId="0A8AD2B5">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(4)承包人未能按施工进度计划及时完成合同约定的工作，造成工期延误的：详见本合同专用条款7.5.2目的规定；</w:t>
      </w:r>
    </w:p>
    <w:p w14:paraId="4A64186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(5)承包人在缺陷责任期及保修期内，未能在合理期限对工程缺陷进行修复，或拒绝按发包人要求进行修复的：</w:t>
      </w:r>
      <w:r>
        <w:rPr>
          <w:rFonts w:hint="eastAsia" w:ascii="宋体" w:hAnsi="宋体" w:eastAsia="宋体" w:cs="宋体"/>
          <w:snapToGrid/>
          <w:color w:val="auto"/>
          <w:kern w:val="2"/>
          <w:highlight w:val="none"/>
          <w:u w:val="single"/>
        </w:rPr>
        <w:t>发包人有权直接委托第三方进行工程保修，由此产生的费用由承包人承担，该费用在承包人剩余工程款或质保金内扣除，发包人同时保留按合同有关条款追究承包人违约责任的权利。</w:t>
      </w:r>
    </w:p>
    <w:p w14:paraId="3FD12B6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(6)承包人未能履行安全生产管理职责的：</w:t>
      </w:r>
      <w:r>
        <w:rPr>
          <w:rFonts w:hint="eastAsia" w:ascii="宋体" w:hAnsi="宋体" w:eastAsia="宋体" w:cs="宋体"/>
          <w:snapToGrid/>
          <w:color w:val="auto"/>
          <w:kern w:val="2"/>
          <w:highlight w:val="none"/>
          <w:u w:val="single"/>
        </w:rPr>
        <w:t>对工程竣工安全评价不合格的工程，发包人直接不予支付安全防护文明施工措施费用的30%作为承包人的违约金。承包人未能按《东莞市建设工程文明施工管理规定》的要求进行安全文明施工的，发包人(或监理人)将发出书面通知要求整改；整改不合格的视为承包人违约，发包人将对承包人处以该项单列部分的安全文明施工措施费总额3%-5%的违约金。施工现场应制定严格的防火措施及防火应急预案，按消防管理的有关规定配备灭火器材，定期为灭火器材检查更新，如发现灭火器材失效或超过有效期的，发包人将对承包人处以每次人民币20，000元的违约金。在易于发生火灾的地方进行焊接施工时应采取严格的防范措施。承包人可考虑在绝对安全位置设置吸烟区，除此之外，施工现场严禁吸烟，若发现有吸烟者，发包人对承包人每次处以人民币</w:t>
      </w:r>
      <w:r>
        <w:rPr>
          <w:rFonts w:hint="eastAsia" w:ascii="宋体" w:hAnsi="宋体" w:eastAsia="宋体" w:cs="宋体"/>
          <w:snapToGrid/>
          <w:color w:val="auto"/>
          <w:kern w:val="2"/>
          <w:highlight w:val="none"/>
          <w:u w:val="single"/>
          <w:lang w:val="en-US" w:eastAsia="zh-CN"/>
        </w:rPr>
        <w:t>2</w:t>
      </w:r>
      <w:r>
        <w:rPr>
          <w:rFonts w:hint="eastAsia" w:ascii="宋体" w:hAnsi="宋体" w:eastAsia="宋体" w:cs="宋体"/>
          <w:snapToGrid/>
          <w:color w:val="auto"/>
          <w:kern w:val="2"/>
          <w:highlight w:val="none"/>
          <w:u w:val="single"/>
        </w:rPr>
        <w:t>00元的违约金，施工现场若发现烟头，发包人对承包人按每个烟头</w:t>
      </w:r>
      <w:r>
        <w:rPr>
          <w:rFonts w:hint="eastAsia" w:ascii="宋体" w:hAnsi="宋体" w:eastAsia="宋体" w:cs="宋体"/>
          <w:snapToGrid/>
          <w:color w:val="auto"/>
          <w:kern w:val="2"/>
          <w:highlight w:val="none"/>
          <w:u w:val="single"/>
          <w:lang w:val="en-US" w:eastAsia="zh-CN"/>
        </w:rPr>
        <w:t>50</w:t>
      </w:r>
      <w:r>
        <w:rPr>
          <w:rFonts w:hint="eastAsia" w:ascii="宋体" w:hAnsi="宋体" w:eastAsia="宋体" w:cs="宋体"/>
          <w:snapToGrid/>
          <w:color w:val="auto"/>
          <w:kern w:val="2"/>
          <w:highlight w:val="none"/>
          <w:u w:val="single"/>
        </w:rPr>
        <w:t>元处以违约金。</w:t>
      </w:r>
    </w:p>
    <w:p w14:paraId="75D3E6AD">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(7)承包人明确表示或者以其行为表明不履行合同主要义务的：</w:t>
      </w:r>
      <w:r>
        <w:rPr>
          <w:rFonts w:hint="eastAsia" w:ascii="宋体" w:hAnsi="宋体" w:eastAsia="宋体" w:cs="宋体"/>
          <w:snapToGrid/>
          <w:color w:val="auto"/>
          <w:kern w:val="2"/>
          <w:highlight w:val="none"/>
          <w:u w:val="single"/>
        </w:rPr>
        <w:t>发包人有权解除合同，现场的所有材料和工程设备(周转性材料除外)和合同工程，均应认为是发包人的财产。发包人有权留下承包人的任何施工设备、周转性材料，且无需为此支付任何费用，发包人有权自行或委托第三方实施、完成合同工程或其任何部分，直到永久工程完工为止。</w:t>
      </w:r>
    </w:p>
    <w:p w14:paraId="3444F5F3">
      <w:pPr>
        <w:spacing w:line="360" w:lineRule="auto"/>
        <w:ind w:right="3" w:firstLine="420" w:firstLineChars="200"/>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(8)</w:t>
      </w:r>
      <w:r>
        <w:rPr>
          <w:rFonts w:hint="eastAsia" w:ascii="宋体" w:hAnsi="宋体" w:eastAsia="宋体" w:cs="宋体"/>
          <w:snapToGrid/>
          <w:color w:val="auto"/>
          <w:kern w:val="2"/>
          <w:highlight w:val="none"/>
          <w:u w:val="single"/>
        </w:rPr>
        <w:t>承包人因交通疏导方案原因引起交通严重拥堵，造成恶劣社会反响的，发包人对承包人处予10000元/次的违约金。</w:t>
      </w:r>
    </w:p>
    <w:p w14:paraId="40A2849E">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(9)承包人未按合同约定时间办理施工许可：承包人应于合同签订后，按办理施工许可证的要求在发包人规定时间内整理完整的相关资料，在东莞市建设行政主管部门办理合同备案及施工许可</w:t>
      </w:r>
      <w:r>
        <w:rPr>
          <w:rFonts w:hint="eastAsia" w:ascii="宋体" w:hAnsi="宋体" w:eastAsia="宋体" w:cs="宋体"/>
          <w:snapToGrid/>
          <w:color w:val="auto"/>
          <w:kern w:val="2"/>
          <w:highlight w:val="none"/>
          <w:u w:val="single"/>
          <w:lang w:eastAsia="zh-CN"/>
        </w:rPr>
        <w:t>（</w:t>
      </w:r>
      <w:r>
        <w:rPr>
          <w:rFonts w:hint="eastAsia" w:ascii="宋体" w:hAnsi="宋体" w:eastAsia="宋体" w:cs="宋体"/>
          <w:snapToGrid/>
          <w:color w:val="auto"/>
          <w:kern w:val="2"/>
          <w:highlight w:val="none"/>
          <w:u w:val="single"/>
          <w:lang w:val="en-US" w:eastAsia="zh-CN"/>
        </w:rPr>
        <w:t>按实际需要办理</w:t>
      </w:r>
      <w:r>
        <w:rPr>
          <w:rFonts w:hint="eastAsia" w:ascii="宋体" w:hAnsi="宋体" w:eastAsia="宋体" w:cs="宋体"/>
          <w:snapToGrid/>
          <w:color w:val="auto"/>
          <w:kern w:val="2"/>
          <w:highlight w:val="none"/>
          <w:u w:val="single"/>
          <w:lang w:eastAsia="zh-CN"/>
        </w:rPr>
        <w:t>）</w:t>
      </w:r>
      <w:r>
        <w:rPr>
          <w:rFonts w:hint="eastAsia" w:ascii="宋体" w:hAnsi="宋体" w:eastAsia="宋体" w:cs="宋体"/>
          <w:snapToGrid/>
          <w:color w:val="auto"/>
          <w:kern w:val="2"/>
          <w:highlight w:val="none"/>
          <w:u w:val="single"/>
        </w:rPr>
        <w:t>。否则，每延误一天按10000元对承包人处以违约金，同时发包人暂停支付工程预付款及工程进度款。</w:t>
      </w:r>
    </w:p>
    <w:p w14:paraId="156B382C">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(10)要求承包人全部采用符合国家相关标准的阻燃式脚手架(模板)或组合钢模板施工，所采用的材料、设备必须满足国家有关技术操作规程的要求；在正式搭设前必须编制专项施工方案，并附设计计算书报发包人(监理人)批准后，方可组织施工，否则，发包人将对承包人处予人民币</w:t>
      </w:r>
      <w:r>
        <w:rPr>
          <w:rFonts w:hint="eastAsia" w:ascii="宋体" w:hAnsi="宋体" w:eastAsia="宋体" w:cs="宋体"/>
          <w:snapToGrid/>
          <w:color w:val="auto"/>
          <w:kern w:val="2"/>
          <w:highlight w:val="none"/>
          <w:u w:val="single"/>
          <w:lang w:val="en-US" w:eastAsia="zh-CN"/>
        </w:rPr>
        <w:t>2</w:t>
      </w:r>
      <w:r>
        <w:rPr>
          <w:rFonts w:hint="eastAsia" w:ascii="宋体" w:hAnsi="宋体" w:eastAsia="宋体" w:cs="宋体"/>
          <w:snapToGrid/>
          <w:color w:val="auto"/>
          <w:kern w:val="2"/>
          <w:highlight w:val="none"/>
          <w:u w:val="single"/>
        </w:rPr>
        <w:t>000元违约金。</w:t>
      </w:r>
    </w:p>
    <w:p w14:paraId="448C0BEF">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(11)承包人未能使用合格的施工机械设备：承包人在现场配置的各类施工设备在进场、安装、使用前必须按规定向发包人和监理人提交有关证明资料(包括由合法的特种设备检验检测机构出具的设备合格检测报告、机械设备合格证书、安装单位资质证明材料等)，经发包人和监理人批准后，方可组织施工。否则，必须按发包人要求予以更换。严禁使用未经检测或检测不合格的施工机械。承包人应根据施工进度随时增加相关设备，以满足工期的需要，若机械设备未按需要及时进场，经检查核实，每台每天处予</w:t>
      </w:r>
      <w:r>
        <w:rPr>
          <w:rFonts w:hint="eastAsia" w:ascii="宋体" w:hAnsi="宋体" w:eastAsia="宋体" w:cs="宋体"/>
          <w:snapToGrid/>
          <w:color w:val="auto"/>
          <w:kern w:val="2"/>
          <w:highlight w:val="none"/>
          <w:u w:val="single"/>
          <w:lang w:val="en-US" w:eastAsia="zh-CN"/>
        </w:rPr>
        <w:t>2</w:t>
      </w:r>
      <w:r>
        <w:rPr>
          <w:rFonts w:hint="eastAsia" w:ascii="宋体" w:hAnsi="宋体" w:eastAsia="宋体" w:cs="宋体"/>
          <w:snapToGrid/>
          <w:color w:val="auto"/>
          <w:kern w:val="2"/>
          <w:highlight w:val="none"/>
          <w:u w:val="single"/>
        </w:rPr>
        <w:t>000元违约金。</w:t>
      </w:r>
    </w:p>
    <w:p w14:paraId="1309082B">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(12)承包人未能准时、足额发放工人工资的：</w:t>
      </w:r>
      <w:r>
        <w:rPr>
          <w:rFonts w:hint="eastAsia" w:ascii="宋体" w:hAnsi="宋体" w:cs="宋体"/>
          <w:color w:val="auto"/>
          <w:highlight w:val="none"/>
          <w:u w:val="single"/>
        </w:rPr>
        <w:t>承包人支付工人工资应编制工资支付表，如实记录工资支付表，支付时间、支付对象、支付数额等工资支付情况，并保存备查，建设单位及发包人保留随时对承包人的工人工资支付情况进行审查的权利。</w:t>
      </w:r>
      <w:r>
        <w:rPr>
          <w:rFonts w:hint="eastAsia" w:ascii="宋体" w:hAnsi="宋体" w:eastAsia="宋体" w:cs="宋体"/>
          <w:snapToGrid/>
          <w:color w:val="auto"/>
          <w:kern w:val="2"/>
          <w:highlight w:val="none"/>
          <w:u w:val="single"/>
        </w:rPr>
        <w:t>承包人每次申请支付工程款前，必须将当月的工人工资支付情况报表上报发包人，否则暂停支付工程款。由于承包人未按发放工人工资的约定和有关规定支付工人工资(包括未足额支付和未及时支付、分包人的工人工资支付等)所造成的一切后果由承包人承担。经发包人及有关行政主管部门查证核实后，发包人有权对承包人处予拖欠工资总额的30%的违约金，同时监督承包人全额发放拖欠的工人工资，若承包人未能在发包人要求的时限内支付应付的工人工资，发包人有权代为支付所拖欠的工人工资，并从未付工程款中扣除相应款额。对于造成严重后果者，报东莞市建设行政主管部门处理，并保留终止合同的权利，同时发包人将追究承包人的违约责任，没收其履约担保。由于承包人的劳务分包单位没按相关发放工人工资的约定而拖欠或克扣工人工资，造成上访事件或引起劳资纠纷的，经发包人及有关行政主管部门查证核实后，如承包人的劳务分包单位拖欠或克扣工人工资情况属实且无当正理由的，承包人除如数返还被拖欠人工资外，发包人将按照被拖欠人工资总额的30%的违约金对承包人处以违约金。对于后果严重者，报东莞市建设行政主管部门处理，并保留终止合同的权利，同时发包人将追究承包人的违约责任，没收其履约担保金。</w:t>
      </w:r>
    </w:p>
    <w:p w14:paraId="41E651FA">
      <w:pPr>
        <w:spacing w:line="360" w:lineRule="auto"/>
        <w:ind w:left="4" w:right="3" w:firstLine="479"/>
        <w:rPr>
          <w:color w:val="auto"/>
          <w:highlight w:val="none"/>
        </w:rPr>
      </w:pPr>
      <w:r>
        <w:rPr>
          <w:rFonts w:hint="eastAsia" w:ascii="宋体" w:hAnsi="宋体" w:eastAsia="宋体" w:cs="宋体"/>
          <w:snapToGrid/>
          <w:color w:val="auto"/>
          <w:kern w:val="2"/>
          <w:highlight w:val="none"/>
          <w:u w:val="single"/>
        </w:rPr>
        <w:t>(13)由于承包人的原因使其员工(包括承包人使用的劳务分包员工等)引发上访、信访、闹事、围堵、在公共场所非法聚集及其他群体性事件，造成社会影响的，视为承包人违约并由承包人承担相应的后果；承包人每次违约应向发包人支付人民币10000元的违约金。</w:t>
      </w:r>
    </w:p>
    <w:p w14:paraId="59034B3C">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(14)清洁及卫生：施工现场因未清洗造成施工红线范围内场地、外围道路污染的清洁费及因污染环境被罚款的所有费用由承包人自行支付；运输车辆必须按照批准的运输时间、路线和地点进行作业，严禁施工运输车辆超装滥载。车辆装载应确保封盖严实，运送土方、沙石等车辆一律要封盖处理(淤泥必须经过脱水后才可以装车运输，运输淤泥的车辆必须使用防漏、密封型的车箱)，禁止运输过程的抛、洒、滴、漏现象。发现不符合要求的，承包人在接到发包人或监理人的书面通知后，必须立即整改，且发包人对承包人将每次处予人民币</w:t>
      </w:r>
      <w:r>
        <w:rPr>
          <w:rFonts w:hint="eastAsia" w:ascii="宋体" w:hAnsi="宋体" w:eastAsia="宋体" w:cs="宋体"/>
          <w:snapToGrid/>
          <w:color w:val="auto"/>
          <w:kern w:val="2"/>
          <w:highlight w:val="none"/>
          <w:u w:val="single"/>
          <w:lang w:val="en-US" w:eastAsia="zh-CN"/>
        </w:rPr>
        <w:t>1</w:t>
      </w:r>
      <w:r>
        <w:rPr>
          <w:rFonts w:hint="eastAsia" w:ascii="宋体" w:hAnsi="宋体" w:eastAsia="宋体" w:cs="宋体"/>
          <w:snapToGrid/>
          <w:color w:val="auto"/>
          <w:kern w:val="2"/>
          <w:highlight w:val="none"/>
          <w:u w:val="single"/>
        </w:rPr>
        <w:t>000元的违约金，严重者报东莞市建设行政主管部门处理，并保留终止合同的权利。负责施工场地内的清洁及保安。现场清洁及保安由承包人统一负责，各专业分包单位应服从总承包单位的管理，总承包及各专业分包单位必须将每天产生的垃圾收集清运到指定地点后由总承包单位统一负责清运，未能及时处理和清运的，将对总承包单位每天处以</w:t>
      </w:r>
      <w:r>
        <w:rPr>
          <w:rFonts w:hint="eastAsia" w:ascii="宋体" w:hAnsi="宋体" w:eastAsia="宋体" w:cs="宋体"/>
          <w:snapToGrid/>
          <w:color w:val="auto"/>
          <w:kern w:val="2"/>
          <w:highlight w:val="none"/>
          <w:u w:val="single"/>
          <w:lang w:val="en-US" w:eastAsia="zh-CN"/>
        </w:rPr>
        <w:t>1</w:t>
      </w:r>
      <w:r>
        <w:rPr>
          <w:rFonts w:hint="eastAsia" w:ascii="宋体" w:hAnsi="宋体" w:eastAsia="宋体" w:cs="宋体"/>
          <w:snapToGrid/>
          <w:color w:val="auto"/>
          <w:kern w:val="2"/>
          <w:highlight w:val="none"/>
          <w:u w:val="single"/>
        </w:rPr>
        <w:t>000元违约金。总承包单位须负责发包方及监理单位的办公室保洁与安保工作。</w:t>
      </w:r>
    </w:p>
    <w:p w14:paraId="21836EA4">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(15)由于承包人的原因引起各种管线线路、道路和建(构)筑物下沉、开裂及破坏等，由承包人按原样修复且每处对承包人处予3000元人民币的违约金。</w:t>
      </w:r>
    </w:p>
    <w:p w14:paraId="167AB584">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(16)承包人在开挖施工时，发生断水、断电、断气等情况，应立即报相关主管部门进行处理，并采取相应措施保护现场的安全，尽量减少事故面扩大，并配合专业部门的抢修，并对所造成的损失及抢修费用进行赔偿。</w:t>
      </w:r>
    </w:p>
    <w:p w14:paraId="20008D75">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(17)承包人必须对施工日志、施工合同、工程变更签证情况、工地安全检查等进行记录登记并签字，同时将工程资料整理归档，发包人(或监理单位)将定期或不定期对其检查，对未记录及不符合要求的每次处予人民币</w:t>
      </w:r>
      <w:r>
        <w:rPr>
          <w:rFonts w:hint="eastAsia" w:ascii="宋体" w:hAnsi="宋体" w:eastAsia="宋体" w:cs="宋体"/>
          <w:snapToGrid/>
          <w:color w:val="auto"/>
          <w:kern w:val="2"/>
          <w:highlight w:val="none"/>
          <w:u w:val="single"/>
          <w:lang w:val="en-US" w:eastAsia="zh-CN"/>
        </w:rPr>
        <w:t>5</w:t>
      </w:r>
      <w:r>
        <w:rPr>
          <w:rFonts w:hint="eastAsia" w:ascii="宋体" w:hAnsi="宋体" w:eastAsia="宋体" w:cs="宋体"/>
          <w:snapToGrid/>
          <w:color w:val="auto"/>
          <w:kern w:val="2"/>
          <w:highlight w:val="none"/>
          <w:u w:val="single"/>
        </w:rPr>
        <w:t>00元违约金。</w:t>
      </w:r>
    </w:p>
    <w:p w14:paraId="443D971D">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(18)本工程所有需铺设的管道在管道铺设前，基础必须按设计及规范要求通过现场监理和发包人的验收，方能进行管道铺设；所有雨污井必须保证井壁厚度符合要求，内井壁必须按设计要求抹平压光，若每发现一处不合格处予</w:t>
      </w:r>
      <w:r>
        <w:rPr>
          <w:rFonts w:hint="eastAsia" w:ascii="宋体" w:hAnsi="宋体" w:eastAsia="宋体" w:cs="宋体"/>
          <w:snapToGrid/>
          <w:color w:val="auto"/>
          <w:kern w:val="2"/>
          <w:highlight w:val="none"/>
          <w:u w:val="single"/>
          <w:lang w:val="en-US" w:eastAsia="zh-CN"/>
        </w:rPr>
        <w:t>5</w:t>
      </w:r>
      <w:r>
        <w:rPr>
          <w:rFonts w:hint="eastAsia" w:ascii="宋体" w:hAnsi="宋体" w:eastAsia="宋体" w:cs="宋体"/>
          <w:snapToGrid/>
          <w:color w:val="auto"/>
          <w:kern w:val="2"/>
          <w:highlight w:val="none"/>
          <w:u w:val="single"/>
        </w:rPr>
        <w:t>00元违约金。</w:t>
      </w:r>
    </w:p>
    <w:p w14:paraId="653172DD">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(19)如承包人存在偷工减料、不按图施工行为但不违反国家强制性规定且不影响工程质量验收的，发包人将扣除偷工减料、不按图施工部分对应核减金额的工程款，并对承包人进行处罚，违约处罚金额为偷工减料、不按图施工部分对应核减金额；如承包人存在偷工减料、不按图施工行为导致工程质量不符合国家强制性规定或影响工程质量验收的，承包人须无条件免费返工整改至合格，且发包人将对承包人进行处罚，违约处罚金额为偷工减料、不按图施工部分对应核减金额。</w:t>
      </w:r>
    </w:p>
    <w:p w14:paraId="1E588079">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u w:val="single"/>
        </w:rPr>
        <w:t>(20)如承包人未按招投标文件及本合同规定履行其总承包单位的责任和义务的，发包人将按相应条款的规定予以违约处理，并报东莞市建设行政主管部门给予处罚。</w:t>
      </w:r>
    </w:p>
    <w:p w14:paraId="323B9C75">
      <w:pPr>
        <w:spacing w:line="360" w:lineRule="auto"/>
        <w:ind w:left="4" w:right="3" w:firstLine="479"/>
        <w:rPr>
          <w:rFonts w:eastAsia="宋体"/>
          <w:color w:val="auto"/>
          <w:highlight w:val="none"/>
        </w:rPr>
      </w:pPr>
      <w:r>
        <w:rPr>
          <w:rFonts w:hint="eastAsia" w:ascii="宋体" w:hAnsi="宋体" w:eastAsia="宋体" w:cs="宋体"/>
          <w:snapToGrid/>
          <w:color w:val="auto"/>
          <w:kern w:val="2"/>
          <w:highlight w:val="none"/>
          <w:u w:val="single"/>
        </w:rPr>
        <w:t>（21）如本合同相关附件、招标文件约定的违约金标准与本合同专用条款约定不一致的，则以专用条款约定为准；如本合同相关附件、招标文件所列的违约金标准与发包人及其上级单位的安全生产管理制度、质量管理制度、安全巡检制度的规定的违约处罚标准不一致的，则采取“就高从严”的原则确定违约金标准。</w:t>
      </w:r>
    </w:p>
    <w:p w14:paraId="118A505A">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16.2.3  因承包人违约解除合同</w:t>
      </w:r>
    </w:p>
    <w:p w14:paraId="43527A6B">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关于承包人违约解除合同的特别约定：</w:t>
      </w:r>
      <w:r>
        <w:rPr>
          <w:rFonts w:hint="eastAsia" w:ascii="宋体" w:hAnsi="宋体" w:eastAsia="宋体" w:cs="宋体"/>
          <w:snapToGrid/>
          <w:color w:val="auto"/>
          <w:kern w:val="2"/>
          <w:highlight w:val="none"/>
          <w:u w:val="single"/>
        </w:rPr>
        <w:t>发包人暂停向承包人支付任何款额，监理工程师应在合同解除后的28天内核实合同解除时承包人已完成的全部工程款以及已运至现场的材料和工程设备货款，并扣除误期赔偿费(如有)和发包人已支付给承包人的各项款项，同时将结果通知承包人并抄报发包人。合同双方当事人应在收到核实结果后的28天内予以确认或提出意见，并按本合同专用条款中关于结算的有关条款的规定办理结算工程款。如果发包人应扣除的款项超过了应支付的款项，则承包人应在合同解除后的56天内将其差额退还给发包人。</w:t>
      </w:r>
    </w:p>
    <w:p w14:paraId="34E0F5E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发包人继续使用承包人在施工现场的材料、设备、临时工程、承包人文件和由承包人或以其名义编制的其他文件的费用承担方式：</w:t>
      </w:r>
      <w:r>
        <w:rPr>
          <w:rFonts w:hint="eastAsia" w:ascii="宋体" w:hAnsi="宋体" w:eastAsia="宋体" w:cs="宋体"/>
          <w:snapToGrid/>
          <w:color w:val="auto"/>
          <w:kern w:val="2"/>
          <w:highlight w:val="none"/>
          <w:u w:val="single"/>
        </w:rPr>
        <w:t xml:space="preserve"> 发包人无需为此支付任何费用 。</w:t>
      </w:r>
    </w:p>
    <w:p w14:paraId="790E4DD4">
      <w:pPr>
        <w:spacing w:line="360" w:lineRule="auto"/>
        <w:ind w:left="4" w:right="3" w:firstLine="479"/>
        <w:rPr>
          <w:rFonts w:ascii="宋体" w:hAnsi="宋体" w:eastAsia="宋体" w:cs="宋体"/>
          <w:snapToGrid/>
          <w:color w:val="auto"/>
          <w:kern w:val="2"/>
          <w:highlight w:val="none"/>
        </w:rPr>
      </w:pPr>
      <w:bookmarkStart w:id="1273" w:name="_bookmark233"/>
      <w:bookmarkEnd w:id="1273"/>
      <w:bookmarkStart w:id="1274" w:name="_bookmark232"/>
      <w:bookmarkEnd w:id="1274"/>
      <w:r>
        <w:rPr>
          <w:rFonts w:hint="eastAsia" w:ascii="宋体" w:hAnsi="宋体" w:eastAsia="宋体" w:cs="宋体"/>
          <w:snapToGrid/>
          <w:color w:val="auto"/>
          <w:kern w:val="2"/>
          <w:highlight w:val="none"/>
        </w:rPr>
        <w:t>本文末增加 16.4 条款：</w:t>
      </w:r>
    </w:p>
    <w:p w14:paraId="2A0E7942">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16.4 本合同所称损失包括实际损失和合同履行后可以获得的利益、诉讼费以及合理的调查费、律师费等相关法律费用。</w:t>
      </w:r>
    </w:p>
    <w:p w14:paraId="3EC010D2">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275" w:name="_bookmark234"/>
      <w:bookmarkEnd w:id="1275"/>
      <w:bookmarkStart w:id="1276" w:name="_Toc10403"/>
      <w:bookmarkStart w:id="1277" w:name="_Toc11865"/>
      <w:bookmarkStart w:id="1278" w:name="_Toc11488"/>
      <w:bookmarkStart w:id="1279" w:name="_Toc942"/>
      <w:bookmarkStart w:id="1280" w:name="_Toc15331"/>
      <w:r>
        <w:rPr>
          <w:rFonts w:hint="eastAsia" w:ascii="宋体" w:hAnsi="宋体" w:eastAsia="宋体"/>
          <w:b/>
          <w:bCs/>
          <w:snapToGrid/>
          <w:color w:val="auto"/>
          <w:kern w:val="2"/>
          <w:highlight w:val="none"/>
        </w:rPr>
        <w:t>17. 不可抗力</w:t>
      </w:r>
      <w:bookmarkEnd w:id="1276"/>
      <w:bookmarkEnd w:id="1277"/>
      <w:bookmarkEnd w:id="1278"/>
      <w:bookmarkEnd w:id="1279"/>
      <w:bookmarkEnd w:id="1280"/>
    </w:p>
    <w:p w14:paraId="60446AAE">
      <w:pPr>
        <w:spacing w:line="360" w:lineRule="auto"/>
        <w:ind w:left="4" w:right="3" w:firstLine="479"/>
        <w:rPr>
          <w:rFonts w:ascii="宋体" w:hAnsi="宋体" w:eastAsia="宋体" w:cs="宋体"/>
          <w:snapToGrid/>
          <w:color w:val="auto"/>
          <w:kern w:val="2"/>
          <w:highlight w:val="none"/>
        </w:rPr>
      </w:pPr>
      <w:bookmarkStart w:id="1281" w:name="_bookmark235"/>
      <w:bookmarkEnd w:id="1281"/>
      <w:r>
        <w:rPr>
          <w:rFonts w:hint="eastAsia" w:ascii="宋体" w:hAnsi="宋体" w:eastAsia="宋体" w:cs="宋体"/>
          <w:snapToGrid/>
          <w:color w:val="auto"/>
          <w:kern w:val="2"/>
          <w:highlight w:val="none"/>
        </w:rPr>
        <w:t>17.1  不可抗力的确认</w:t>
      </w:r>
    </w:p>
    <w:p w14:paraId="381AA972">
      <w:pPr>
        <w:spacing w:line="360" w:lineRule="auto"/>
        <w:ind w:left="403" w:leftChars="192" w:right="3" w:firstLine="56" w:firstLineChars="27"/>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除通用合同条款约定的不可抗力事件之外，视为不可抗力的其他情形：</w:t>
      </w:r>
      <w:r>
        <w:rPr>
          <w:rFonts w:hint="eastAsia" w:ascii="宋体" w:hAnsi="宋体" w:eastAsia="宋体" w:cs="宋体"/>
          <w:snapToGrid/>
          <w:color w:val="auto"/>
          <w:kern w:val="2"/>
          <w:highlight w:val="none"/>
          <w:u w:val="single"/>
        </w:rPr>
        <w:t xml:space="preserve">       /    。</w:t>
      </w:r>
    </w:p>
    <w:p w14:paraId="468A6A1F">
      <w:pPr>
        <w:spacing w:line="360" w:lineRule="auto"/>
        <w:ind w:left="403" w:leftChars="192" w:right="3" w:firstLine="56" w:firstLineChars="27"/>
        <w:rPr>
          <w:rFonts w:ascii="宋体" w:hAnsi="宋体" w:eastAsia="宋体" w:cs="宋体"/>
          <w:snapToGrid/>
          <w:color w:val="auto"/>
          <w:kern w:val="2"/>
          <w:highlight w:val="none"/>
        </w:rPr>
      </w:pPr>
      <w:bookmarkStart w:id="1282" w:name="_bookmark236"/>
      <w:bookmarkEnd w:id="1282"/>
      <w:r>
        <w:rPr>
          <w:rFonts w:hint="eastAsia" w:ascii="宋体" w:hAnsi="宋体" w:eastAsia="宋体" w:cs="宋体"/>
          <w:snapToGrid/>
          <w:color w:val="auto"/>
          <w:kern w:val="2"/>
          <w:highlight w:val="none"/>
        </w:rPr>
        <w:t>17.4  因不可抗力解除合同</w:t>
      </w:r>
    </w:p>
    <w:p w14:paraId="16C47FC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合同解除后，发包人应在商定或确定发包人应支付款项后</w:t>
      </w:r>
      <w:r>
        <w:rPr>
          <w:rFonts w:hint="eastAsia" w:ascii="宋体" w:hAnsi="宋体" w:eastAsia="宋体" w:cs="宋体"/>
          <w:snapToGrid/>
          <w:color w:val="auto"/>
          <w:kern w:val="2"/>
          <w:highlight w:val="none"/>
          <w:u w:val="single"/>
        </w:rPr>
        <w:t xml:space="preserve">  42   </w:t>
      </w:r>
      <w:r>
        <w:rPr>
          <w:rFonts w:hint="eastAsia" w:ascii="宋体" w:hAnsi="宋体" w:eastAsia="宋体" w:cs="宋体"/>
          <w:snapToGrid/>
          <w:color w:val="auto"/>
          <w:kern w:val="2"/>
          <w:highlight w:val="none"/>
        </w:rPr>
        <w:t>天内完成款项的支付。</w:t>
      </w:r>
    </w:p>
    <w:p w14:paraId="198D478A">
      <w:pPr>
        <w:pStyle w:val="22"/>
        <w:widowControl w:val="0"/>
        <w:kinsoku/>
        <w:autoSpaceDE/>
        <w:autoSpaceDN/>
        <w:adjustRightInd/>
        <w:snapToGrid/>
        <w:spacing w:line="360" w:lineRule="auto"/>
        <w:jc w:val="both"/>
        <w:textAlignment w:val="auto"/>
        <w:outlineLvl w:val="1"/>
        <w:rPr>
          <w:rFonts w:ascii="宋体" w:hAnsi="宋体" w:eastAsia="宋体"/>
          <w:b/>
          <w:bCs/>
          <w:snapToGrid/>
          <w:color w:val="auto"/>
          <w:kern w:val="2"/>
          <w:highlight w:val="none"/>
        </w:rPr>
      </w:pPr>
      <w:bookmarkStart w:id="1283" w:name="_bookmark237"/>
      <w:bookmarkEnd w:id="1283"/>
      <w:bookmarkStart w:id="1284" w:name="_Toc3140"/>
      <w:bookmarkStart w:id="1285" w:name="_Toc22232"/>
      <w:bookmarkStart w:id="1286" w:name="_Toc31583"/>
      <w:bookmarkStart w:id="1287" w:name="_Toc32290"/>
      <w:bookmarkStart w:id="1288" w:name="_Toc29190"/>
      <w:r>
        <w:rPr>
          <w:rFonts w:hint="eastAsia" w:ascii="宋体" w:hAnsi="宋体" w:eastAsia="宋体"/>
          <w:b/>
          <w:bCs/>
          <w:snapToGrid/>
          <w:color w:val="auto"/>
          <w:kern w:val="2"/>
          <w:highlight w:val="none"/>
        </w:rPr>
        <w:t>18. 保险</w:t>
      </w:r>
      <w:bookmarkEnd w:id="1284"/>
      <w:bookmarkEnd w:id="1285"/>
      <w:bookmarkEnd w:id="1286"/>
      <w:bookmarkEnd w:id="1287"/>
      <w:bookmarkEnd w:id="1288"/>
    </w:p>
    <w:p w14:paraId="3516E110">
      <w:pPr>
        <w:spacing w:line="360" w:lineRule="auto"/>
        <w:ind w:left="4" w:right="3" w:firstLine="479"/>
        <w:rPr>
          <w:rFonts w:ascii="宋体" w:hAnsi="宋体" w:eastAsia="宋体" w:cs="宋体"/>
          <w:snapToGrid/>
          <w:color w:val="auto"/>
          <w:kern w:val="2"/>
          <w:highlight w:val="none"/>
        </w:rPr>
      </w:pPr>
      <w:bookmarkStart w:id="1289" w:name="_bookmark238"/>
      <w:bookmarkEnd w:id="1289"/>
      <w:r>
        <w:rPr>
          <w:rFonts w:hint="eastAsia" w:ascii="宋体" w:hAnsi="宋体" w:eastAsia="宋体" w:cs="宋体"/>
          <w:snapToGrid/>
          <w:color w:val="auto"/>
          <w:kern w:val="2"/>
          <w:highlight w:val="none"/>
        </w:rPr>
        <w:t>18.1  工程保险</w:t>
      </w:r>
    </w:p>
    <w:p w14:paraId="74B343D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关于工程保险的特别约定：</w:t>
      </w:r>
      <w:r>
        <w:rPr>
          <w:rFonts w:hint="eastAsia" w:ascii="宋体" w:hAnsi="宋体" w:eastAsia="宋体" w:cs="宋体"/>
          <w:snapToGrid/>
          <w:color w:val="auto"/>
          <w:kern w:val="2"/>
          <w:highlight w:val="none"/>
          <w:u w:val="single"/>
        </w:rPr>
        <w:t>承包人应向合同各方同意的保险人投保建筑工程一切险或安装工程一切险，所需费用由承包人承担，承包人在投标填报投标报价时综合考虑，结算时不予调整。</w:t>
      </w:r>
    </w:p>
    <w:p w14:paraId="1CD6E546">
      <w:pPr>
        <w:spacing w:line="360" w:lineRule="auto"/>
        <w:ind w:left="4" w:right="3" w:firstLine="479"/>
        <w:rPr>
          <w:rFonts w:ascii="宋体" w:hAnsi="宋体" w:eastAsia="宋体" w:cs="宋体"/>
          <w:snapToGrid/>
          <w:color w:val="auto"/>
          <w:kern w:val="2"/>
          <w:highlight w:val="none"/>
        </w:rPr>
      </w:pPr>
      <w:bookmarkStart w:id="1290" w:name="_bookmark239"/>
      <w:bookmarkEnd w:id="1290"/>
      <w:r>
        <w:rPr>
          <w:rFonts w:hint="eastAsia" w:ascii="宋体" w:hAnsi="宋体" w:eastAsia="宋体" w:cs="宋体"/>
          <w:snapToGrid/>
          <w:color w:val="auto"/>
          <w:kern w:val="2"/>
          <w:highlight w:val="none"/>
        </w:rPr>
        <w:t>18.3  其他保险</w:t>
      </w:r>
    </w:p>
    <w:p w14:paraId="47D5D323">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 xml:space="preserve">关于其他保险的约定： </w:t>
      </w:r>
      <w:r>
        <w:rPr>
          <w:rFonts w:hint="eastAsia" w:ascii="宋体" w:hAnsi="宋体" w:eastAsia="宋体" w:cs="宋体"/>
          <w:snapToGrid/>
          <w:color w:val="auto"/>
          <w:kern w:val="2"/>
          <w:highlight w:val="none"/>
          <w:u w:val="single"/>
        </w:rPr>
        <w:t xml:space="preserve">    /      。</w:t>
      </w:r>
    </w:p>
    <w:p w14:paraId="6CF8E3A6">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18.7 通知义务</w:t>
      </w:r>
    </w:p>
    <w:p w14:paraId="122D0E58">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关于变更保险合同时的通知义务的约定</w:t>
      </w:r>
      <w:r>
        <w:rPr>
          <w:rFonts w:hint="eastAsia" w:ascii="宋体" w:hAnsi="宋体" w:eastAsia="宋体" w:cs="宋体"/>
          <w:snapToGrid/>
          <w:color w:val="auto"/>
          <w:kern w:val="2"/>
          <w:highlight w:val="none"/>
          <w:u w:val="single"/>
        </w:rPr>
        <w:t>： 按通用条款执行。</w:t>
      </w:r>
    </w:p>
    <w:p w14:paraId="71D3F124">
      <w:pPr>
        <w:pStyle w:val="22"/>
        <w:widowControl w:val="0"/>
        <w:kinsoku/>
        <w:autoSpaceDE/>
        <w:autoSpaceDN/>
        <w:adjustRightInd/>
        <w:snapToGrid/>
        <w:spacing w:line="360" w:lineRule="auto"/>
        <w:jc w:val="both"/>
        <w:textAlignment w:val="auto"/>
        <w:rPr>
          <w:rFonts w:ascii="宋体" w:hAnsi="宋体" w:eastAsia="宋体"/>
          <w:b/>
          <w:bCs/>
          <w:snapToGrid/>
          <w:color w:val="auto"/>
          <w:kern w:val="2"/>
          <w:highlight w:val="none"/>
        </w:rPr>
      </w:pPr>
      <w:bookmarkStart w:id="1291" w:name="_bookmark241"/>
      <w:bookmarkEnd w:id="1291"/>
      <w:bookmarkStart w:id="1292" w:name="_Toc23187"/>
      <w:bookmarkStart w:id="1293" w:name="_Toc7572"/>
      <w:bookmarkStart w:id="1294" w:name="_Toc23015"/>
      <w:bookmarkStart w:id="1295" w:name="_Toc11572"/>
      <w:bookmarkStart w:id="1296" w:name="_Toc5998"/>
      <w:r>
        <w:rPr>
          <w:rFonts w:hint="eastAsia" w:ascii="宋体" w:hAnsi="宋体" w:eastAsia="宋体"/>
          <w:b/>
          <w:bCs/>
          <w:snapToGrid/>
          <w:color w:val="auto"/>
          <w:kern w:val="2"/>
          <w:highlight w:val="none"/>
        </w:rPr>
        <w:t>20. 争议解决</w:t>
      </w:r>
      <w:bookmarkEnd w:id="1292"/>
      <w:bookmarkEnd w:id="1293"/>
      <w:bookmarkEnd w:id="1294"/>
      <w:bookmarkEnd w:id="1295"/>
      <w:bookmarkEnd w:id="1296"/>
    </w:p>
    <w:p w14:paraId="347875C1">
      <w:pPr>
        <w:spacing w:line="360" w:lineRule="auto"/>
        <w:ind w:left="4" w:right="3" w:firstLine="479"/>
        <w:rPr>
          <w:rFonts w:ascii="宋体" w:hAnsi="宋体" w:eastAsia="宋体" w:cs="宋体"/>
          <w:snapToGrid/>
          <w:color w:val="auto"/>
          <w:kern w:val="2"/>
          <w:highlight w:val="none"/>
        </w:rPr>
      </w:pPr>
      <w:bookmarkStart w:id="1297" w:name="_bookmark242"/>
      <w:bookmarkEnd w:id="1297"/>
      <w:r>
        <w:rPr>
          <w:rFonts w:hint="eastAsia" w:ascii="宋体" w:hAnsi="宋体" w:eastAsia="宋体" w:cs="宋体"/>
          <w:snapToGrid/>
          <w:color w:val="auto"/>
          <w:kern w:val="2"/>
          <w:highlight w:val="none"/>
        </w:rPr>
        <w:t>20.3  争议评审</w:t>
      </w:r>
    </w:p>
    <w:p w14:paraId="6F71D952">
      <w:pPr>
        <w:spacing w:line="360" w:lineRule="auto"/>
        <w:ind w:left="4" w:right="3" w:firstLine="479"/>
        <w:rPr>
          <w:rFonts w:ascii="宋体" w:hAnsi="宋体" w:eastAsia="宋体" w:cs="宋体"/>
          <w:snapToGrid/>
          <w:color w:val="auto"/>
          <w:kern w:val="2"/>
          <w:highlight w:val="none"/>
          <w:u w:val="single"/>
        </w:rPr>
      </w:pPr>
      <w:r>
        <w:rPr>
          <w:rFonts w:hint="eastAsia" w:ascii="宋体" w:hAnsi="宋体" w:eastAsia="宋体" w:cs="宋体"/>
          <w:snapToGrid/>
          <w:color w:val="auto"/>
          <w:kern w:val="2"/>
          <w:highlight w:val="none"/>
        </w:rPr>
        <w:t>合同当事人是否同意将工程争议提交争议评审小组决定：</w:t>
      </w:r>
      <w:r>
        <w:rPr>
          <w:rFonts w:hint="eastAsia" w:ascii="宋体" w:hAnsi="宋体" w:eastAsia="宋体" w:cs="宋体"/>
          <w:snapToGrid/>
          <w:color w:val="auto"/>
          <w:kern w:val="2"/>
          <w:highlight w:val="none"/>
          <w:u w:val="single"/>
        </w:rPr>
        <w:t xml:space="preserve">   /    。</w:t>
      </w:r>
    </w:p>
    <w:p w14:paraId="77DDB89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20.3.1  争议评审小组的确定</w:t>
      </w:r>
    </w:p>
    <w:p w14:paraId="4BF66E2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争议评审小组成员的确定：</w:t>
      </w:r>
      <w:r>
        <w:rPr>
          <w:rFonts w:hint="eastAsia" w:ascii="宋体" w:hAnsi="宋体" w:eastAsia="宋体" w:cs="宋体"/>
          <w:snapToGrid/>
          <w:color w:val="auto"/>
          <w:kern w:val="2"/>
          <w:highlight w:val="none"/>
          <w:u w:val="single"/>
        </w:rPr>
        <w:t xml:space="preserve">    /      。</w:t>
      </w:r>
    </w:p>
    <w:p w14:paraId="7EC2AA7D">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选定争议评审员的期限：</w:t>
      </w:r>
      <w:r>
        <w:rPr>
          <w:rFonts w:hint="eastAsia" w:ascii="宋体" w:hAnsi="宋体" w:eastAsia="宋体" w:cs="宋体"/>
          <w:snapToGrid/>
          <w:color w:val="auto"/>
          <w:kern w:val="2"/>
          <w:highlight w:val="none"/>
          <w:u w:val="single"/>
        </w:rPr>
        <w:t xml:space="preserve">       /      。</w:t>
      </w:r>
    </w:p>
    <w:p w14:paraId="2FFA458C">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争议评审小组成员的报酬承担方式：</w:t>
      </w:r>
      <w:r>
        <w:rPr>
          <w:rFonts w:hint="eastAsia" w:ascii="宋体" w:hAnsi="宋体" w:eastAsia="宋体" w:cs="宋体"/>
          <w:snapToGrid/>
          <w:color w:val="auto"/>
          <w:kern w:val="2"/>
          <w:highlight w:val="none"/>
          <w:u w:val="single"/>
        </w:rPr>
        <w:t xml:space="preserve">       /    。</w:t>
      </w:r>
    </w:p>
    <w:p w14:paraId="4027EFCB">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其他事项的约定：</w:t>
      </w:r>
      <w:r>
        <w:rPr>
          <w:rFonts w:hint="eastAsia" w:ascii="宋体" w:hAnsi="宋体" w:eastAsia="宋体" w:cs="宋体"/>
          <w:snapToGrid/>
          <w:color w:val="auto"/>
          <w:kern w:val="2"/>
          <w:highlight w:val="none"/>
          <w:u w:val="single"/>
        </w:rPr>
        <w:t xml:space="preserve">         /        。</w:t>
      </w:r>
    </w:p>
    <w:p w14:paraId="02D2D80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20.3.2  争议评审小组的决定</w:t>
      </w:r>
    </w:p>
    <w:p w14:paraId="1ABA6FF4">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合同当事人关于本项的约定：</w:t>
      </w:r>
      <w:r>
        <w:rPr>
          <w:rFonts w:hint="eastAsia" w:ascii="宋体" w:hAnsi="宋体" w:eastAsia="宋体" w:cs="宋体"/>
          <w:snapToGrid/>
          <w:color w:val="auto"/>
          <w:kern w:val="2"/>
          <w:highlight w:val="none"/>
          <w:u w:val="single"/>
        </w:rPr>
        <w:t xml:space="preserve">         /    。</w:t>
      </w:r>
    </w:p>
    <w:p w14:paraId="2B9F5048">
      <w:pPr>
        <w:spacing w:line="360" w:lineRule="auto"/>
        <w:ind w:left="4" w:right="3" w:firstLine="479"/>
        <w:rPr>
          <w:rFonts w:ascii="宋体" w:hAnsi="宋体" w:eastAsia="宋体" w:cs="宋体"/>
          <w:snapToGrid/>
          <w:color w:val="auto"/>
          <w:kern w:val="2"/>
          <w:highlight w:val="none"/>
        </w:rPr>
      </w:pPr>
      <w:bookmarkStart w:id="1298" w:name="_bookmark243"/>
      <w:bookmarkEnd w:id="1298"/>
      <w:r>
        <w:rPr>
          <w:rFonts w:hint="eastAsia" w:ascii="宋体" w:hAnsi="宋体" w:eastAsia="宋体" w:cs="宋体"/>
          <w:snapToGrid/>
          <w:color w:val="auto"/>
          <w:kern w:val="2"/>
          <w:highlight w:val="none"/>
        </w:rPr>
        <w:t>20.4  仲裁或诉讼</w:t>
      </w:r>
    </w:p>
    <w:p w14:paraId="07D927E9">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因合同及合同有关事项发生的争议， 按下列第</w:t>
      </w:r>
      <w:r>
        <w:rPr>
          <w:rFonts w:hint="eastAsia" w:ascii="宋体" w:hAnsi="宋体" w:eastAsia="宋体" w:cs="宋体"/>
          <w:snapToGrid/>
          <w:color w:val="auto"/>
          <w:kern w:val="2"/>
          <w:highlight w:val="none"/>
          <w:u w:val="single"/>
        </w:rPr>
        <w:t xml:space="preserve">  2  </w:t>
      </w:r>
      <w:r>
        <w:rPr>
          <w:rFonts w:hint="eastAsia" w:ascii="宋体" w:hAnsi="宋体" w:eastAsia="宋体" w:cs="宋体"/>
          <w:snapToGrid/>
          <w:color w:val="auto"/>
          <w:kern w:val="2"/>
          <w:highlight w:val="none"/>
        </w:rPr>
        <w:t>种方式解决：</w:t>
      </w:r>
    </w:p>
    <w:p w14:paraId="403A1BB1">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(1)向广州 仲裁委员会东莞分会申请仲裁；</w:t>
      </w:r>
    </w:p>
    <w:p w14:paraId="71E1B130">
      <w:pPr>
        <w:spacing w:line="360" w:lineRule="auto"/>
        <w:ind w:left="4" w:right="3" w:firstLine="479"/>
        <w:rPr>
          <w:rFonts w:ascii="宋体" w:hAnsi="宋体" w:eastAsia="宋体" w:cs="宋体"/>
          <w:snapToGrid/>
          <w:color w:val="auto"/>
          <w:kern w:val="2"/>
          <w:highlight w:val="none"/>
        </w:rPr>
      </w:pPr>
      <w:r>
        <w:rPr>
          <w:rFonts w:hint="eastAsia" w:ascii="宋体" w:hAnsi="宋体" w:eastAsia="宋体" w:cs="宋体"/>
          <w:snapToGrid/>
          <w:color w:val="auto"/>
          <w:kern w:val="2"/>
          <w:highlight w:val="none"/>
        </w:rPr>
        <w:t>(2)向</w:t>
      </w:r>
      <w:r>
        <w:rPr>
          <w:rFonts w:hint="eastAsia" w:ascii="宋体" w:hAnsi="宋体" w:eastAsia="宋体" w:cs="宋体"/>
          <w:snapToGrid/>
          <w:color w:val="auto"/>
          <w:kern w:val="2"/>
          <w:highlight w:val="none"/>
          <w:u w:val="single"/>
        </w:rPr>
        <w:t>项目所在地</w:t>
      </w:r>
      <w:r>
        <w:rPr>
          <w:rFonts w:hint="eastAsia" w:ascii="宋体" w:hAnsi="宋体" w:eastAsia="宋体" w:cs="宋体"/>
          <w:snapToGrid/>
          <w:color w:val="auto"/>
          <w:kern w:val="2"/>
          <w:highlight w:val="none"/>
        </w:rPr>
        <w:t>有管辖权的人民法院起诉。</w:t>
      </w:r>
    </w:p>
    <w:p w14:paraId="0DEEF01B">
      <w:pPr>
        <w:pStyle w:val="5"/>
        <w:ind w:firstLine="420" w:firstLineChars="200"/>
        <w:rPr>
          <w:color w:val="auto"/>
          <w:highlight w:val="none"/>
        </w:rPr>
      </w:pPr>
      <w:r>
        <w:rPr>
          <w:rFonts w:hint="eastAsia"/>
          <w:color w:val="auto"/>
          <w:highlight w:val="none"/>
        </w:rPr>
        <w:t>守约方为解决争议所支出的诉讼费、保全费、保险费、律师费等费用由违约方承担。</w:t>
      </w:r>
    </w:p>
    <w:p w14:paraId="5BFDBF3E">
      <w:pPr>
        <w:spacing w:line="360" w:lineRule="auto"/>
        <w:ind w:left="4" w:right="3" w:firstLine="479"/>
        <w:rPr>
          <w:rFonts w:ascii="宋体" w:hAnsi="宋体" w:eastAsia="宋体" w:cs="宋体"/>
          <w:snapToGrid/>
          <w:color w:val="auto"/>
          <w:kern w:val="2"/>
          <w:highlight w:val="none"/>
        </w:rPr>
      </w:pPr>
      <w:bookmarkStart w:id="1299" w:name="_bookmark244"/>
      <w:bookmarkEnd w:id="1299"/>
    </w:p>
    <w:p w14:paraId="40602853">
      <w:pPr>
        <w:pStyle w:val="5"/>
        <w:rPr>
          <w:rFonts w:ascii="宋体" w:hAnsi="宋体" w:eastAsia="宋体" w:cs="宋体"/>
          <w:snapToGrid/>
          <w:color w:val="auto"/>
          <w:kern w:val="2"/>
          <w:highlight w:val="none"/>
        </w:rPr>
      </w:pPr>
    </w:p>
    <w:p w14:paraId="74737338">
      <w:pPr>
        <w:rPr>
          <w:rFonts w:ascii="宋体" w:hAnsi="宋体" w:eastAsia="宋体" w:cs="宋体"/>
          <w:snapToGrid/>
          <w:color w:val="auto"/>
          <w:kern w:val="2"/>
          <w:highlight w:val="none"/>
        </w:rPr>
      </w:pPr>
    </w:p>
    <w:p w14:paraId="4BDD8669">
      <w:pPr>
        <w:rPr>
          <w:color w:val="auto"/>
          <w:highlight w:val="none"/>
        </w:rPr>
      </w:pPr>
    </w:p>
    <w:p w14:paraId="6AB5F833">
      <w:pPr>
        <w:spacing w:line="360" w:lineRule="auto"/>
        <w:ind w:left="4" w:right="3" w:firstLine="479"/>
        <w:rPr>
          <w:rFonts w:ascii="宋体" w:hAnsi="宋体" w:eastAsia="宋体" w:cs="宋体"/>
          <w:snapToGrid/>
          <w:color w:val="auto"/>
          <w:kern w:val="2"/>
          <w:highlight w:val="none"/>
        </w:rPr>
      </w:pPr>
      <w:bookmarkStart w:id="1300" w:name="_bookmark245"/>
      <w:bookmarkEnd w:id="1300"/>
      <w:r>
        <w:rPr>
          <w:rFonts w:hint="eastAsia" w:ascii="宋体" w:hAnsi="宋体" w:eastAsia="宋体" w:cs="宋体"/>
          <w:snapToGrid/>
          <w:color w:val="auto"/>
          <w:kern w:val="2"/>
          <w:highlight w:val="none"/>
        </w:rPr>
        <w:t>专用合同条款附件：</w:t>
      </w:r>
    </w:p>
    <w:p w14:paraId="61855103">
      <w:pPr>
        <w:spacing w:line="360" w:lineRule="auto"/>
        <w:ind w:left="4" w:right="3" w:firstLine="479"/>
        <w:outlineLvl w:val="0"/>
        <w:rPr>
          <w:rFonts w:ascii="宋体" w:hAnsi="宋体" w:eastAsia="宋体" w:cs="宋体"/>
          <w:snapToGrid/>
          <w:color w:val="auto"/>
          <w:kern w:val="2"/>
          <w:highlight w:val="none"/>
        </w:rPr>
      </w:pPr>
      <w:bookmarkStart w:id="1301" w:name="_Toc25391"/>
      <w:bookmarkStart w:id="1302" w:name="_Toc29039"/>
      <w:bookmarkStart w:id="1303" w:name="_Toc3359"/>
      <w:bookmarkStart w:id="1304" w:name="_Toc5460"/>
      <w:r>
        <w:rPr>
          <w:rFonts w:hint="eastAsia" w:ascii="宋体" w:hAnsi="宋体" w:eastAsia="宋体" w:cs="宋体"/>
          <w:snapToGrid/>
          <w:color w:val="auto"/>
          <w:kern w:val="2"/>
          <w:highlight w:val="none"/>
        </w:rPr>
        <w:t>附件 1：工程质量保修书</w:t>
      </w:r>
      <w:bookmarkEnd w:id="1301"/>
      <w:bookmarkEnd w:id="1302"/>
      <w:bookmarkEnd w:id="1303"/>
      <w:bookmarkEnd w:id="1304"/>
    </w:p>
    <w:p w14:paraId="17214149">
      <w:pPr>
        <w:spacing w:line="360" w:lineRule="auto"/>
        <w:ind w:left="4" w:right="3" w:firstLine="479"/>
        <w:outlineLvl w:val="0"/>
        <w:rPr>
          <w:rFonts w:ascii="宋体" w:hAnsi="宋体" w:eastAsia="宋体" w:cs="宋体"/>
          <w:snapToGrid/>
          <w:color w:val="auto"/>
          <w:kern w:val="2"/>
          <w:highlight w:val="none"/>
        </w:rPr>
      </w:pPr>
      <w:bookmarkStart w:id="1305" w:name="_bookmark246"/>
      <w:bookmarkEnd w:id="1305"/>
      <w:bookmarkStart w:id="1306" w:name="_Toc4435"/>
      <w:bookmarkStart w:id="1307" w:name="_Toc28113"/>
      <w:bookmarkStart w:id="1308" w:name="_Toc23576"/>
      <w:bookmarkStart w:id="1309" w:name="_Toc22539"/>
      <w:r>
        <w:rPr>
          <w:rFonts w:hint="eastAsia" w:ascii="宋体" w:hAnsi="宋体" w:eastAsia="宋体" w:cs="宋体"/>
          <w:snapToGrid/>
          <w:color w:val="auto"/>
          <w:kern w:val="2"/>
          <w:highlight w:val="none"/>
        </w:rPr>
        <w:t>附件 2：阳光合作协议</w:t>
      </w:r>
      <w:bookmarkEnd w:id="1306"/>
      <w:bookmarkEnd w:id="1307"/>
      <w:bookmarkEnd w:id="1308"/>
      <w:bookmarkEnd w:id="1309"/>
    </w:p>
    <w:p w14:paraId="5B1E686E">
      <w:pPr>
        <w:spacing w:line="360" w:lineRule="auto"/>
        <w:ind w:left="4" w:right="3" w:firstLine="479"/>
        <w:outlineLvl w:val="0"/>
        <w:rPr>
          <w:rFonts w:ascii="宋体" w:hAnsi="宋体" w:eastAsia="宋体" w:cs="宋体"/>
          <w:snapToGrid/>
          <w:color w:val="auto"/>
          <w:kern w:val="2"/>
          <w:highlight w:val="none"/>
        </w:rPr>
      </w:pPr>
      <w:bookmarkStart w:id="1310" w:name="_bookmark247"/>
      <w:bookmarkEnd w:id="1310"/>
      <w:bookmarkStart w:id="1311" w:name="_Toc14206"/>
      <w:bookmarkStart w:id="1312" w:name="_Toc31174"/>
      <w:bookmarkStart w:id="1313" w:name="_Toc19021"/>
      <w:bookmarkStart w:id="1314" w:name="_Toc18992"/>
      <w:r>
        <w:rPr>
          <w:rFonts w:hint="eastAsia" w:ascii="宋体" w:hAnsi="宋体" w:eastAsia="宋体" w:cs="宋体"/>
          <w:snapToGrid/>
          <w:color w:val="auto"/>
          <w:kern w:val="2"/>
          <w:highlight w:val="none"/>
        </w:rPr>
        <w:t>附件 3：中标通知书</w:t>
      </w:r>
      <w:bookmarkEnd w:id="1311"/>
      <w:bookmarkEnd w:id="1312"/>
      <w:bookmarkEnd w:id="1313"/>
      <w:bookmarkEnd w:id="1314"/>
    </w:p>
    <w:p w14:paraId="36A3D64D">
      <w:pPr>
        <w:spacing w:line="360" w:lineRule="auto"/>
        <w:ind w:left="4" w:right="3" w:firstLine="479"/>
        <w:outlineLvl w:val="0"/>
        <w:rPr>
          <w:rFonts w:ascii="宋体" w:hAnsi="宋体" w:eastAsia="宋体" w:cs="宋体"/>
          <w:snapToGrid/>
          <w:color w:val="auto"/>
          <w:kern w:val="2"/>
          <w:highlight w:val="none"/>
        </w:rPr>
      </w:pPr>
      <w:bookmarkStart w:id="1315" w:name="_bookmark249"/>
      <w:bookmarkEnd w:id="1315"/>
      <w:bookmarkStart w:id="1316" w:name="_bookmark248"/>
      <w:bookmarkEnd w:id="1316"/>
      <w:bookmarkStart w:id="1317" w:name="_Toc1439"/>
      <w:bookmarkStart w:id="1318" w:name="_Toc18866"/>
      <w:bookmarkStart w:id="1319" w:name="_Toc30141"/>
      <w:bookmarkStart w:id="1320" w:name="_Toc26927"/>
      <w:r>
        <w:rPr>
          <w:rFonts w:hint="eastAsia" w:ascii="宋体" w:hAnsi="宋体" w:eastAsia="宋体" w:cs="宋体"/>
          <w:snapToGrid/>
          <w:color w:val="auto"/>
          <w:kern w:val="2"/>
          <w:highlight w:val="none"/>
        </w:rPr>
        <w:t>附件 4：招标文件</w:t>
      </w:r>
      <w:bookmarkEnd w:id="1317"/>
      <w:bookmarkEnd w:id="1318"/>
      <w:bookmarkEnd w:id="1319"/>
      <w:bookmarkEnd w:id="1320"/>
    </w:p>
    <w:p w14:paraId="1D256BEB">
      <w:pPr>
        <w:spacing w:line="360" w:lineRule="auto"/>
        <w:ind w:left="4" w:right="3" w:firstLine="479"/>
        <w:outlineLvl w:val="0"/>
        <w:rPr>
          <w:rFonts w:ascii="宋体" w:hAnsi="宋体" w:eastAsia="宋体" w:cs="宋体"/>
          <w:snapToGrid/>
          <w:color w:val="auto"/>
          <w:kern w:val="2"/>
          <w:highlight w:val="none"/>
        </w:rPr>
      </w:pPr>
      <w:bookmarkStart w:id="1321" w:name="_Toc25943"/>
      <w:bookmarkStart w:id="1322" w:name="_Toc6788"/>
      <w:bookmarkStart w:id="1323" w:name="_Toc1462"/>
      <w:bookmarkStart w:id="1324" w:name="_Toc12214"/>
      <w:r>
        <w:rPr>
          <w:rFonts w:hint="eastAsia" w:ascii="宋体" w:hAnsi="宋体" w:eastAsia="宋体" w:cs="宋体"/>
          <w:snapToGrid/>
          <w:color w:val="auto"/>
          <w:kern w:val="2"/>
          <w:highlight w:val="none"/>
        </w:rPr>
        <w:t>附件 5：投标文件商务、投标函部分(含调整后清单)</w:t>
      </w:r>
      <w:bookmarkEnd w:id="1321"/>
      <w:bookmarkEnd w:id="1322"/>
      <w:bookmarkEnd w:id="1323"/>
      <w:bookmarkEnd w:id="1324"/>
    </w:p>
    <w:p w14:paraId="29EED8D7">
      <w:pPr>
        <w:spacing w:line="360" w:lineRule="auto"/>
        <w:ind w:left="4" w:right="3" w:firstLine="479"/>
        <w:outlineLvl w:val="0"/>
        <w:rPr>
          <w:rFonts w:ascii="宋体" w:hAnsi="宋体" w:eastAsia="宋体" w:cs="宋体"/>
          <w:snapToGrid/>
          <w:color w:val="auto"/>
          <w:kern w:val="2"/>
          <w:highlight w:val="none"/>
        </w:rPr>
      </w:pPr>
      <w:bookmarkStart w:id="1325" w:name="_bookmark250"/>
      <w:bookmarkEnd w:id="1325"/>
      <w:bookmarkStart w:id="1326" w:name="_Toc26257"/>
      <w:bookmarkStart w:id="1327" w:name="_Toc23810"/>
      <w:bookmarkStart w:id="1328" w:name="_Toc192"/>
      <w:bookmarkStart w:id="1329" w:name="_Toc14744"/>
      <w:r>
        <w:rPr>
          <w:rFonts w:hint="eastAsia" w:ascii="宋体" w:hAnsi="宋体" w:eastAsia="宋体" w:cs="宋体"/>
          <w:snapToGrid/>
          <w:color w:val="auto"/>
          <w:kern w:val="2"/>
          <w:highlight w:val="none"/>
        </w:rPr>
        <w:t>附件 6：开户许可证</w:t>
      </w:r>
      <w:bookmarkEnd w:id="1326"/>
      <w:bookmarkEnd w:id="1327"/>
      <w:bookmarkEnd w:id="1328"/>
      <w:bookmarkEnd w:id="1329"/>
    </w:p>
    <w:p w14:paraId="2865AC3A">
      <w:pPr>
        <w:spacing w:line="360" w:lineRule="auto"/>
        <w:ind w:left="4" w:right="3" w:firstLine="479"/>
        <w:outlineLvl w:val="0"/>
        <w:rPr>
          <w:rFonts w:ascii="宋体" w:hAnsi="宋体" w:eastAsia="宋体" w:cs="宋体"/>
          <w:snapToGrid/>
          <w:color w:val="auto"/>
          <w:kern w:val="2"/>
          <w:highlight w:val="none"/>
        </w:rPr>
      </w:pPr>
      <w:bookmarkStart w:id="1330" w:name="_bookmark251"/>
      <w:bookmarkEnd w:id="1330"/>
      <w:bookmarkStart w:id="1331" w:name="_Toc21315"/>
      <w:bookmarkStart w:id="1332" w:name="_Toc17200"/>
      <w:bookmarkStart w:id="1333" w:name="_Toc11634"/>
      <w:bookmarkStart w:id="1334" w:name="_Toc26899"/>
      <w:r>
        <w:rPr>
          <w:rFonts w:hint="eastAsia" w:ascii="宋体" w:hAnsi="宋体" w:eastAsia="宋体" w:cs="宋体"/>
          <w:snapToGrid/>
          <w:color w:val="auto"/>
          <w:kern w:val="2"/>
          <w:highlight w:val="none"/>
        </w:rPr>
        <w:t>附件 7：履约</w:t>
      </w:r>
      <w:bookmarkEnd w:id="1331"/>
      <w:bookmarkEnd w:id="1332"/>
      <w:bookmarkEnd w:id="1333"/>
      <w:bookmarkEnd w:id="1334"/>
      <w:r>
        <w:rPr>
          <w:rFonts w:hint="eastAsia" w:ascii="宋体" w:hAnsi="宋体" w:eastAsia="宋体" w:cs="宋体"/>
          <w:snapToGrid/>
          <w:color w:val="auto"/>
          <w:kern w:val="2"/>
          <w:highlight w:val="none"/>
        </w:rPr>
        <w:t>担保</w:t>
      </w:r>
    </w:p>
    <w:p w14:paraId="708B6260">
      <w:pPr>
        <w:spacing w:line="360" w:lineRule="auto"/>
        <w:ind w:left="4" w:right="3" w:firstLine="479"/>
        <w:outlineLvl w:val="0"/>
        <w:rPr>
          <w:rFonts w:ascii="宋体" w:hAnsi="宋体" w:eastAsia="宋体" w:cs="宋体"/>
          <w:snapToGrid/>
          <w:color w:val="auto"/>
          <w:kern w:val="2"/>
          <w:highlight w:val="none"/>
        </w:rPr>
      </w:pPr>
      <w:bookmarkStart w:id="1335" w:name="_bookmark253"/>
      <w:bookmarkEnd w:id="1335"/>
      <w:bookmarkStart w:id="1336" w:name="_bookmark252"/>
      <w:bookmarkEnd w:id="1336"/>
      <w:bookmarkStart w:id="1337" w:name="_Toc24963"/>
      <w:bookmarkStart w:id="1338" w:name="_Toc24285"/>
      <w:bookmarkStart w:id="1339" w:name="_Toc2081"/>
      <w:bookmarkStart w:id="1340" w:name="_Toc21934"/>
      <w:r>
        <w:rPr>
          <w:rFonts w:hint="eastAsia" w:ascii="宋体" w:hAnsi="宋体" w:eastAsia="宋体" w:cs="宋体"/>
          <w:snapToGrid/>
          <w:color w:val="auto"/>
          <w:kern w:val="2"/>
          <w:highlight w:val="none"/>
        </w:rPr>
        <w:t>附件 8：预付款</w:t>
      </w:r>
      <w:bookmarkEnd w:id="1337"/>
      <w:bookmarkEnd w:id="1338"/>
      <w:bookmarkEnd w:id="1339"/>
      <w:bookmarkEnd w:id="1340"/>
      <w:r>
        <w:rPr>
          <w:rFonts w:hint="eastAsia" w:ascii="宋体" w:hAnsi="宋体" w:eastAsia="宋体" w:cs="宋体"/>
          <w:snapToGrid/>
          <w:color w:val="auto"/>
          <w:kern w:val="2"/>
          <w:highlight w:val="none"/>
        </w:rPr>
        <w:t>担保</w:t>
      </w:r>
    </w:p>
    <w:p w14:paraId="4653ADCE">
      <w:pPr>
        <w:spacing w:line="360" w:lineRule="auto"/>
        <w:ind w:left="4" w:right="3" w:firstLine="479"/>
        <w:outlineLvl w:val="0"/>
        <w:rPr>
          <w:rFonts w:ascii="宋体" w:hAnsi="宋体" w:eastAsia="宋体" w:cs="宋体"/>
          <w:snapToGrid/>
          <w:color w:val="auto"/>
          <w:kern w:val="2"/>
          <w:highlight w:val="none"/>
        </w:rPr>
      </w:pPr>
      <w:bookmarkStart w:id="1341" w:name="_bookmark254"/>
      <w:bookmarkEnd w:id="1341"/>
      <w:bookmarkStart w:id="1342" w:name="_Toc31529"/>
      <w:bookmarkStart w:id="1343" w:name="_Toc24936"/>
      <w:bookmarkStart w:id="1344" w:name="_Toc12614"/>
      <w:bookmarkStart w:id="1345" w:name="_Toc30162"/>
      <w:r>
        <w:rPr>
          <w:rFonts w:hint="eastAsia" w:ascii="宋体" w:hAnsi="宋体" w:eastAsia="宋体" w:cs="宋体"/>
          <w:snapToGrid/>
          <w:color w:val="auto"/>
          <w:kern w:val="2"/>
          <w:highlight w:val="none"/>
        </w:rPr>
        <w:t>附件 9：工人工资账户信息</w:t>
      </w:r>
      <w:bookmarkEnd w:id="1342"/>
      <w:bookmarkEnd w:id="1343"/>
      <w:bookmarkEnd w:id="1344"/>
      <w:bookmarkEnd w:id="1345"/>
    </w:p>
    <w:p w14:paraId="437B31F2">
      <w:pPr>
        <w:spacing w:line="360" w:lineRule="auto"/>
        <w:ind w:left="4" w:right="3" w:firstLine="479"/>
        <w:outlineLvl w:val="0"/>
        <w:rPr>
          <w:rFonts w:ascii="宋体" w:hAnsi="宋体" w:eastAsia="宋体" w:cs="宋体"/>
          <w:snapToGrid/>
          <w:color w:val="auto"/>
          <w:kern w:val="2"/>
          <w:highlight w:val="none"/>
        </w:rPr>
      </w:pPr>
      <w:bookmarkStart w:id="1346" w:name="_bookmark255"/>
      <w:bookmarkEnd w:id="1346"/>
      <w:bookmarkStart w:id="1347" w:name="_Toc10427"/>
      <w:bookmarkStart w:id="1348" w:name="_Toc20579"/>
      <w:bookmarkStart w:id="1349" w:name="_Toc29575"/>
      <w:bookmarkStart w:id="1350" w:name="_Toc7802"/>
      <w:r>
        <w:rPr>
          <w:rFonts w:hint="eastAsia" w:ascii="宋体" w:hAnsi="宋体" w:eastAsia="宋体" w:cs="宋体"/>
          <w:snapToGrid/>
          <w:color w:val="auto"/>
          <w:kern w:val="2"/>
          <w:highlight w:val="none"/>
        </w:rPr>
        <w:t>附件 10：承包人用于本工程施工的机械设备表</w:t>
      </w:r>
      <w:bookmarkEnd w:id="1347"/>
      <w:bookmarkEnd w:id="1348"/>
      <w:bookmarkEnd w:id="1349"/>
      <w:bookmarkEnd w:id="1350"/>
    </w:p>
    <w:p w14:paraId="48313D30">
      <w:pPr>
        <w:spacing w:line="360" w:lineRule="auto"/>
        <w:ind w:left="4" w:right="3" w:firstLine="479"/>
        <w:outlineLvl w:val="0"/>
        <w:rPr>
          <w:rFonts w:ascii="宋体" w:hAnsi="宋体" w:eastAsia="宋体" w:cs="宋体"/>
          <w:snapToGrid/>
          <w:color w:val="auto"/>
          <w:kern w:val="2"/>
          <w:highlight w:val="none"/>
        </w:rPr>
      </w:pPr>
      <w:bookmarkStart w:id="1351" w:name="_bookmark256"/>
      <w:bookmarkEnd w:id="1351"/>
      <w:bookmarkStart w:id="1352" w:name="_Toc4079"/>
      <w:bookmarkStart w:id="1353" w:name="_Toc8260"/>
      <w:bookmarkStart w:id="1354" w:name="_Toc26864"/>
      <w:bookmarkStart w:id="1355" w:name="_Toc2616"/>
      <w:r>
        <w:rPr>
          <w:rFonts w:hint="eastAsia" w:ascii="宋体" w:hAnsi="宋体" w:eastAsia="宋体" w:cs="宋体"/>
          <w:snapToGrid/>
          <w:color w:val="auto"/>
          <w:kern w:val="2"/>
          <w:highlight w:val="none"/>
        </w:rPr>
        <w:t>附件 11：承包人主要施工管理人员表</w:t>
      </w:r>
      <w:bookmarkEnd w:id="1352"/>
      <w:bookmarkEnd w:id="1353"/>
      <w:bookmarkEnd w:id="1354"/>
      <w:bookmarkEnd w:id="1355"/>
    </w:p>
    <w:p w14:paraId="1F729F93">
      <w:pPr>
        <w:kinsoku/>
        <w:autoSpaceDE/>
        <w:autoSpaceDN/>
        <w:adjustRightInd/>
        <w:snapToGrid/>
        <w:spacing w:line="360" w:lineRule="auto"/>
        <w:ind w:left="4" w:right="3" w:firstLine="479"/>
        <w:textAlignment w:val="auto"/>
        <w:outlineLvl w:val="0"/>
        <w:rPr>
          <w:rFonts w:ascii="宋体" w:hAnsi="宋体" w:eastAsia="宋体" w:cs="宋体"/>
          <w:snapToGrid/>
          <w:color w:val="auto"/>
          <w:kern w:val="2"/>
          <w:highlight w:val="none"/>
        </w:rPr>
      </w:pPr>
      <w:bookmarkStart w:id="1356" w:name="_bookmark257"/>
      <w:bookmarkEnd w:id="1356"/>
      <w:bookmarkStart w:id="1357" w:name="_bookmark258"/>
      <w:bookmarkEnd w:id="1357"/>
      <w:bookmarkStart w:id="1358" w:name="_Toc25658"/>
      <w:bookmarkStart w:id="1359" w:name="_Toc8909"/>
      <w:bookmarkStart w:id="1360" w:name="_Toc10847"/>
      <w:bookmarkStart w:id="1361" w:name="_Toc6821"/>
      <w:r>
        <w:rPr>
          <w:rFonts w:hint="eastAsia" w:ascii="宋体" w:hAnsi="宋体" w:eastAsia="宋体" w:cs="宋体"/>
          <w:snapToGrid/>
          <w:color w:val="auto"/>
          <w:kern w:val="2"/>
          <w:highlight w:val="none"/>
        </w:rPr>
        <w:t>附件 12：安全管理协议书</w:t>
      </w:r>
      <w:bookmarkEnd w:id="1358"/>
      <w:bookmarkEnd w:id="1359"/>
      <w:bookmarkEnd w:id="1360"/>
      <w:bookmarkEnd w:id="1361"/>
    </w:p>
    <w:p w14:paraId="0B8AA2FB">
      <w:pPr>
        <w:kinsoku/>
        <w:autoSpaceDE/>
        <w:autoSpaceDN/>
        <w:adjustRightInd/>
        <w:snapToGrid/>
        <w:spacing w:line="360" w:lineRule="auto"/>
        <w:ind w:left="4" w:right="3" w:firstLine="479"/>
        <w:textAlignment w:val="auto"/>
        <w:outlineLvl w:val="0"/>
        <w:rPr>
          <w:rFonts w:ascii="宋体" w:hAnsi="宋体" w:eastAsia="宋体" w:cs="宋体"/>
          <w:snapToGrid/>
          <w:color w:val="auto"/>
          <w:kern w:val="2"/>
          <w:highlight w:val="none"/>
        </w:rPr>
        <w:sectPr>
          <w:footerReference r:id="rId7" w:type="default"/>
          <w:pgSz w:w="11907" w:h="16839"/>
          <w:pgMar w:top="1429" w:right="1417" w:bottom="1157" w:left="1417" w:header="0" w:footer="992" w:gutter="0"/>
          <w:cols w:space="0" w:num="1"/>
        </w:sectPr>
      </w:pPr>
      <w:r>
        <w:rPr>
          <w:rFonts w:hint="eastAsia" w:ascii="宋体" w:hAnsi="宋体" w:eastAsia="宋体" w:cs="宋体"/>
          <w:snapToGrid/>
          <w:color w:val="auto"/>
          <w:kern w:val="2"/>
          <w:highlight w:val="none"/>
        </w:rPr>
        <w:t>附件13：集团相关政策文件</w:t>
      </w:r>
    </w:p>
    <w:p w14:paraId="5F7AFDE6">
      <w:pPr>
        <w:pStyle w:val="2"/>
        <w:rPr>
          <w:rFonts w:ascii="宋体" w:hAnsi="宋体" w:eastAsia="宋体" w:cs="宋体"/>
          <w:color w:val="auto"/>
          <w:sz w:val="24"/>
          <w:szCs w:val="24"/>
          <w:highlight w:val="none"/>
        </w:rPr>
      </w:pPr>
      <w:bookmarkStart w:id="1362" w:name="_bookmark260"/>
      <w:bookmarkEnd w:id="1362"/>
      <w:bookmarkStart w:id="1363" w:name="_bookmark259"/>
      <w:bookmarkEnd w:id="1363"/>
      <w:bookmarkStart w:id="1364" w:name="_Toc24256"/>
      <w:bookmarkStart w:id="1365" w:name="_Toc19331"/>
      <w:bookmarkStart w:id="1366" w:name="_Toc22649"/>
      <w:bookmarkStart w:id="1367" w:name="_Toc18910"/>
      <w:bookmarkStart w:id="1368" w:name="_Toc848"/>
      <w:r>
        <w:rPr>
          <w:rFonts w:hint="eastAsia" w:ascii="宋体" w:hAnsi="宋体" w:eastAsia="宋体" w:cs="宋体"/>
          <w:color w:val="auto"/>
          <w:sz w:val="24"/>
          <w:szCs w:val="24"/>
          <w:highlight w:val="none"/>
        </w:rPr>
        <w:t>附件 1：工程质量保修书</w:t>
      </w:r>
      <w:bookmarkEnd w:id="1364"/>
      <w:bookmarkEnd w:id="1365"/>
      <w:bookmarkEnd w:id="1366"/>
      <w:bookmarkEnd w:id="1367"/>
      <w:bookmarkEnd w:id="1368"/>
    </w:p>
    <w:p w14:paraId="07FDD1C6">
      <w:pPr>
        <w:spacing w:before="224" w:line="219" w:lineRule="auto"/>
        <w:ind w:left="3572"/>
        <w:rPr>
          <w:rFonts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14:textOutline w14:w="4356" w14:cap="flat" w14:cmpd="sng" w14:algn="ctr">
            <w14:solidFill>
              <w14:srgbClr w14:val="000000"/>
            </w14:solidFill>
            <w14:prstDash w14:val="solid"/>
            <w14:miter w14:val="0"/>
          </w14:textOutline>
        </w:rPr>
        <w:t>工程质量保修</w:t>
      </w:r>
      <w:r>
        <w:rPr>
          <w:rFonts w:hint="eastAsia" w:ascii="宋体" w:hAnsi="宋体" w:eastAsia="宋体" w:cs="宋体"/>
          <w:color w:val="auto"/>
          <w:sz w:val="24"/>
          <w:szCs w:val="24"/>
          <w:highlight w:val="none"/>
          <w14:textOutline w14:w="4356" w14:cap="flat" w14:cmpd="sng" w14:algn="ctr">
            <w14:solidFill>
              <w14:srgbClr w14:val="000000"/>
            </w14:solidFill>
            <w14:prstDash w14:val="solid"/>
            <w14:miter w14:val="0"/>
          </w14:textOutline>
        </w:rPr>
        <w:t>书</w:t>
      </w:r>
    </w:p>
    <w:p w14:paraId="72480640">
      <w:pPr>
        <w:spacing w:before="239" w:line="407" w:lineRule="auto"/>
        <w:ind w:left="5"/>
        <w:rPr>
          <w:rFonts w:ascii="宋体" w:hAnsi="宋体" w:eastAsia="宋体" w:cs="宋体"/>
          <w:color w:val="auto"/>
          <w:highlight w:val="none"/>
        </w:rPr>
      </w:pPr>
      <w:r>
        <w:rPr>
          <w:rFonts w:hint="eastAsia" w:ascii="宋体" w:hAnsi="宋体" w:eastAsia="宋体" w:cs="宋体"/>
          <w:color w:val="auto"/>
          <w:spacing w:val="11"/>
          <w:highlight w:val="none"/>
        </w:rPr>
        <w:t>发</w:t>
      </w:r>
      <w:r>
        <w:rPr>
          <w:rFonts w:hint="eastAsia" w:ascii="宋体" w:hAnsi="宋体" w:eastAsia="宋体" w:cs="宋体"/>
          <w:color w:val="auto"/>
          <w:spacing w:val="10"/>
          <w:highlight w:val="none"/>
        </w:rPr>
        <w:t>包人：(全称)</w:t>
      </w:r>
      <w:r>
        <w:rPr>
          <w:rFonts w:hint="eastAsia" w:ascii="宋体" w:hAnsi="宋体" w:eastAsia="宋体" w:cs="宋体"/>
          <w:color w:val="auto"/>
          <w:highlight w:val="none"/>
          <w:u w:val="single"/>
        </w:rPr>
        <w:t xml:space="preserve"> </w:t>
      </w:r>
      <w:r>
        <w:rPr>
          <w:rFonts w:hint="eastAsia" w:ascii="宋体" w:hAnsi="宋体" w:eastAsia="宋体" w:cs="宋体"/>
          <w:color w:val="auto"/>
          <w:spacing w:val="-1"/>
          <w:highlight w:val="none"/>
          <w:u w:val="single"/>
        </w:rPr>
        <w:t xml:space="preserve">东莞市安居建设投资有限公司 </w:t>
      </w:r>
    </w:p>
    <w:p w14:paraId="2FBAC3FD">
      <w:pPr>
        <w:spacing w:line="220" w:lineRule="auto"/>
        <w:ind w:left="1"/>
        <w:rPr>
          <w:rFonts w:ascii="宋体" w:hAnsi="宋体" w:eastAsia="宋体" w:cs="宋体"/>
          <w:color w:val="auto"/>
          <w:highlight w:val="none"/>
        </w:rPr>
      </w:pPr>
      <w:r>
        <w:rPr>
          <w:rFonts w:hint="eastAsia" w:ascii="宋体" w:hAnsi="宋体" w:eastAsia="宋体" w:cs="宋体"/>
          <w:color w:val="auto"/>
          <w:spacing w:val="14"/>
          <w:highlight w:val="none"/>
        </w:rPr>
        <w:t>承</w:t>
      </w:r>
      <w:r>
        <w:rPr>
          <w:rFonts w:hint="eastAsia" w:ascii="宋体" w:hAnsi="宋体" w:eastAsia="宋体" w:cs="宋体"/>
          <w:color w:val="auto"/>
          <w:spacing w:val="10"/>
          <w:highlight w:val="none"/>
        </w:rPr>
        <w:t>包人：(全称)</w:t>
      </w:r>
      <w:r>
        <w:rPr>
          <w:rFonts w:hint="eastAsia" w:ascii="宋体" w:hAnsi="宋体" w:eastAsia="宋体" w:cs="宋体"/>
          <w:color w:val="auto"/>
          <w:highlight w:val="none"/>
          <w:u w:val="single"/>
        </w:rPr>
        <w:t xml:space="preserve">                          </w:t>
      </w:r>
    </w:p>
    <w:p w14:paraId="559E5FEE">
      <w:pPr>
        <w:spacing w:line="272" w:lineRule="auto"/>
        <w:rPr>
          <w:rFonts w:ascii="宋体" w:hAnsi="宋体" w:eastAsia="宋体" w:cs="宋体"/>
          <w:color w:val="auto"/>
          <w:highlight w:val="none"/>
        </w:rPr>
      </w:pPr>
    </w:p>
    <w:p w14:paraId="73A59942">
      <w:pPr>
        <w:spacing w:before="70" w:line="466" w:lineRule="auto"/>
        <w:ind w:left="3" w:firstLine="420"/>
        <w:rPr>
          <w:rFonts w:ascii="宋体" w:hAnsi="宋体" w:eastAsia="宋体" w:cs="宋体"/>
          <w:color w:val="auto"/>
          <w:highlight w:val="none"/>
        </w:rPr>
      </w:pPr>
      <w:r>
        <w:rPr>
          <w:rFonts w:hint="eastAsia" w:ascii="宋体" w:hAnsi="宋体" w:eastAsia="宋体" w:cs="宋体"/>
          <w:color w:val="auto"/>
          <w:spacing w:val="-4"/>
          <w:highlight w:val="none"/>
        </w:rPr>
        <w:t>为</w:t>
      </w:r>
      <w:r>
        <w:rPr>
          <w:rFonts w:hint="eastAsia" w:ascii="宋体" w:hAnsi="宋体" w:eastAsia="宋体" w:cs="宋体"/>
          <w:color w:val="auto"/>
          <w:spacing w:val="-3"/>
          <w:highlight w:val="none"/>
        </w:rPr>
        <w:t>保</w:t>
      </w:r>
      <w:r>
        <w:rPr>
          <w:rFonts w:hint="eastAsia" w:ascii="宋体" w:hAnsi="宋体" w:eastAsia="宋体" w:cs="宋体"/>
          <w:color w:val="auto"/>
          <w:spacing w:val="-2"/>
          <w:highlight w:val="none"/>
        </w:rPr>
        <w:t>证</w:t>
      </w:r>
      <w:r>
        <w:rPr>
          <w:rFonts w:hint="eastAsia" w:ascii="宋体" w:hAnsi="宋体" w:eastAsia="宋体" w:cs="宋体"/>
          <w:color w:val="auto"/>
          <w:spacing w:val="-2"/>
          <w:highlight w:val="none"/>
          <w:u w:val="single"/>
        </w:rPr>
        <w:t xml:space="preserve"> </w:t>
      </w:r>
      <w:r>
        <w:rPr>
          <w:rFonts w:hint="eastAsia" w:ascii="宋体" w:hAnsi="宋体" w:eastAsia="宋体" w:cs="宋体"/>
          <w:color w:val="auto"/>
          <w:spacing w:val="-1"/>
          <w:highlight w:val="none"/>
          <w:u w:val="single"/>
          <w:lang w:eastAsia="zh-CN"/>
        </w:rPr>
        <w:t>东城街道堑头社区居民委员会堑头路13号危旧房改造工程</w:t>
      </w:r>
      <w:r>
        <w:rPr>
          <w:rFonts w:hint="eastAsia" w:ascii="宋体" w:hAnsi="宋体" w:eastAsia="宋体" w:cs="宋体"/>
          <w:color w:val="auto"/>
          <w:spacing w:val="-1"/>
          <w:highlight w:val="none"/>
          <w:u w:val="single"/>
        </w:rPr>
        <w:t xml:space="preserve"> </w:t>
      </w:r>
      <w:r>
        <w:rPr>
          <w:rFonts w:hint="eastAsia" w:ascii="宋体" w:hAnsi="宋体" w:eastAsia="宋体" w:cs="宋体"/>
          <w:color w:val="auto"/>
          <w:spacing w:val="-2"/>
          <w:highlight w:val="none"/>
        </w:rPr>
        <w:t xml:space="preserve"> (工程名称) 在合理使用期限内正常使用，合同双方当事</w:t>
      </w:r>
      <w:r>
        <w:rPr>
          <w:rFonts w:hint="eastAsia" w:ascii="宋体" w:hAnsi="宋体" w:eastAsia="宋体" w:cs="宋体"/>
          <w:color w:val="auto"/>
          <w:spacing w:val="-4"/>
          <w:highlight w:val="none"/>
        </w:rPr>
        <w:t>人根据《中华人民共和国建筑法》、《</w:t>
      </w:r>
      <w:r>
        <w:rPr>
          <w:rFonts w:hint="eastAsia" w:ascii="宋体" w:hAnsi="宋体" w:eastAsia="宋体" w:cs="宋体"/>
          <w:color w:val="auto"/>
          <w:spacing w:val="-2"/>
          <w:highlight w:val="none"/>
        </w:rPr>
        <w:t>建设工程质量管理条例》和《房屋建筑工程质量保修办法》</w:t>
      </w:r>
      <w:r>
        <w:rPr>
          <w:rFonts w:hint="eastAsia" w:ascii="宋体" w:hAnsi="宋体" w:eastAsia="宋体" w:cs="宋体"/>
          <w:color w:val="auto"/>
          <w:highlight w:val="none"/>
        </w:rPr>
        <w:t xml:space="preserve"> </w:t>
      </w:r>
      <w:r>
        <w:rPr>
          <w:rFonts w:hint="eastAsia" w:ascii="宋体" w:hAnsi="宋体" w:eastAsia="宋体" w:cs="宋体"/>
          <w:color w:val="auto"/>
          <w:spacing w:val="-1"/>
          <w:highlight w:val="none"/>
        </w:rPr>
        <w:t>等规定，经</w:t>
      </w:r>
      <w:r>
        <w:rPr>
          <w:rFonts w:hint="eastAsia" w:ascii="宋体" w:hAnsi="宋体" w:eastAsia="宋体" w:cs="宋体"/>
          <w:color w:val="auto"/>
          <w:highlight w:val="none"/>
        </w:rPr>
        <w:t>协商一致，订立本质量保修书。</w:t>
      </w:r>
    </w:p>
    <w:p w14:paraId="1318C818">
      <w:pPr>
        <w:spacing w:line="220" w:lineRule="auto"/>
        <w:ind w:left="17"/>
        <w:outlineLvl w:val="9"/>
        <w:rPr>
          <w:rFonts w:ascii="宋体" w:hAnsi="宋体" w:eastAsia="宋体" w:cs="宋体"/>
          <w:color w:val="auto"/>
          <w:highlight w:val="none"/>
        </w:rPr>
      </w:pPr>
      <w:bookmarkStart w:id="1369" w:name="_bookmark261"/>
      <w:bookmarkEnd w:id="1369"/>
      <w:bookmarkStart w:id="1370" w:name="_Toc24128"/>
      <w:bookmarkStart w:id="1371" w:name="_Toc21380"/>
      <w:bookmarkStart w:id="1372" w:name="_Toc20996"/>
      <w:bookmarkStart w:id="1373" w:name="_Toc6250"/>
      <w:bookmarkStart w:id="1374" w:name="_Toc25890"/>
      <w:r>
        <w:rPr>
          <w:rFonts w:hint="eastAsia" w:ascii="宋体" w:hAnsi="宋体" w:eastAsia="宋体" w:cs="宋体"/>
          <w:color w:val="auto"/>
          <w:spacing w:val="-6"/>
          <w:highlight w:val="none"/>
          <w14:textOutline w14:w="3835" w14:cap="flat" w14:cmpd="sng" w14:algn="ctr">
            <w14:solidFill>
              <w14:srgbClr w14:val="000000"/>
            </w14:solidFill>
            <w14:prstDash w14:val="solid"/>
            <w14:miter w14:val="0"/>
          </w14:textOutline>
        </w:rPr>
        <w:t>1</w:t>
      </w:r>
      <w:r>
        <w:rPr>
          <w:rFonts w:hint="eastAsia" w:ascii="宋体" w:hAnsi="宋体" w:eastAsia="宋体" w:cs="宋体"/>
          <w:color w:val="auto"/>
          <w:spacing w:val="-4"/>
          <w:highlight w:val="none"/>
          <w14:textOutline w14:w="3835" w14:cap="flat" w14:cmpd="sng" w14:algn="ctr">
            <w14:solidFill>
              <w14:srgbClr w14:val="000000"/>
            </w14:solidFill>
            <w14:prstDash w14:val="solid"/>
            <w14:miter w14:val="0"/>
          </w14:textOutline>
        </w:rPr>
        <w:t>．质量保修范围</w:t>
      </w:r>
      <w:bookmarkEnd w:id="1370"/>
      <w:bookmarkEnd w:id="1371"/>
      <w:bookmarkEnd w:id="1372"/>
      <w:bookmarkEnd w:id="1373"/>
      <w:bookmarkEnd w:id="1374"/>
    </w:p>
    <w:p w14:paraId="52C18C2F">
      <w:pPr>
        <w:spacing w:before="281" w:line="457" w:lineRule="auto"/>
        <w:ind w:left="3" w:right="94" w:firstLine="419"/>
        <w:rPr>
          <w:rFonts w:ascii="宋体" w:hAnsi="宋体" w:eastAsia="宋体" w:cs="宋体"/>
          <w:color w:val="auto"/>
          <w:highlight w:val="none"/>
        </w:rPr>
      </w:pPr>
      <w:r>
        <w:rPr>
          <w:rFonts w:hint="eastAsia" w:ascii="宋体" w:hAnsi="宋体" w:eastAsia="宋体" w:cs="宋体"/>
          <w:color w:val="auto"/>
          <w:spacing w:val="-1"/>
          <w:highlight w:val="none"/>
        </w:rPr>
        <w:t>质量保</w:t>
      </w:r>
      <w:r>
        <w:rPr>
          <w:rFonts w:hint="eastAsia" w:ascii="宋体" w:hAnsi="宋体" w:eastAsia="宋体" w:cs="宋体"/>
          <w:color w:val="auto"/>
          <w:highlight w:val="none"/>
        </w:rPr>
        <w:t xml:space="preserve">修范围包括地基基础工程、主体结构工程、屋面防水工程、有防水要求的卫生间、房 </w:t>
      </w:r>
      <w:r>
        <w:rPr>
          <w:rFonts w:hint="eastAsia" w:ascii="宋体" w:hAnsi="宋体" w:eastAsia="宋体" w:cs="宋体"/>
          <w:color w:val="auto"/>
          <w:spacing w:val="-1"/>
          <w:highlight w:val="none"/>
        </w:rPr>
        <w:t>间、外墙</w:t>
      </w:r>
      <w:r>
        <w:rPr>
          <w:rFonts w:hint="eastAsia" w:ascii="宋体" w:hAnsi="宋体" w:eastAsia="宋体" w:cs="宋体"/>
          <w:color w:val="auto"/>
          <w:highlight w:val="none"/>
        </w:rPr>
        <w:t xml:space="preserve">面的防渗漏工程、电气管线工程、给排水管道工程、设备安装工程、装饰装修、工程道 </w:t>
      </w:r>
      <w:r>
        <w:rPr>
          <w:rFonts w:hint="eastAsia" w:ascii="宋体" w:hAnsi="宋体" w:eastAsia="宋体" w:cs="宋体"/>
          <w:color w:val="auto"/>
          <w:spacing w:val="-1"/>
          <w:highlight w:val="none"/>
        </w:rPr>
        <w:t>路、绿化以及双方约定其他项目。具体质量保修范围，合同双方当事人约定如下</w:t>
      </w:r>
      <w:r>
        <w:rPr>
          <w:rFonts w:hint="eastAsia" w:ascii="宋体" w:hAnsi="宋体" w:eastAsia="宋体" w:cs="宋体"/>
          <w:color w:val="auto"/>
          <w:highlight w:val="none"/>
        </w:rPr>
        <w:t>：</w:t>
      </w:r>
    </w:p>
    <w:p w14:paraId="2F75A63B">
      <w:pPr>
        <w:spacing w:before="1" w:line="219" w:lineRule="auto"/>
        <w:ind w:left="437"/>
        <w:rPr>
          <w:rFonts w:ascii="宋体" w:hAnsi="宋体" w:eastAsia="宋体" w:cs="宋体"/>
          <w:color w:val="auto"/>
          <w:highlight w:val="none"/>
        </w:rPr>
      </w:pPr>
      <w:r>
        <w:rPr>
          <w:rFonts w:hint="eastAsia" w:ascii="宋体" w:hAnsi="宋体" w:eastAsia="宋体" w:cs="宋体"/>
          <w:color w:val="auto"/>
          <w:spacing w:val="-2"/>
          <w:highlight w:val="none"/>
        </w:rPr>
        <w:t>1</w:t>
      </w:r>
      <w:r>
        <w:rPr>
          <w:rFonts w:hint="eastAsia" w:ascii="宋体" w:hAnsi="宋体" w:eastAsia="宋体" w:cs="宋体"/>
          <w:color w:val="auto"/>
          <w:spacing w:val="-1"/>
          <w:highlight w:val="none"/>
        </w:rPr>
        <w:t>．</w:t>
      </w:r>
      <w:r>
        <w:rPr>
          <w:rFonts w:hint="eastAsia" w:ascii="宋体" w:hAnsi="宋体" w:eastAsia="宋体" w:cs="宋体"/>
          <w:color w:val="auto"/>
          <w:spacing w:val="-1"/>
          <w:highlight w:val="none"/>
          <w:u w:val="single"/>
        </w:rPr>
        <w:t>具体范围详见本工程合同协议书第二条</w:t>
      </w:r>
      <w:r>
        <w:rPr>
          <w:rFonts w:hint="eastAsia" w:ascii="宋体" w:hAnsi="宋体" w:eastAsia="宋体" w:cs="宋体"/>
          <w:color w:val="auto"/>
          <w:spacing w:val="-1"/>
          <w:highlight w:val="none"/>
        </w:rPr>
        <w:t>；</w:t>
      </w:r>
    </w:p>
    <w:p w14:paraId="76FF4EAD">
      <w:pPr>
        <w:spacing w:before="218" w:line="221" w:lineRule="auto"/>
        <w:ind w:left="424"/>
        <w:rPr>
          <w:rFonts w:ascii="宋体" w:hAnsi="宋体" w:eastAsia="宋体" w:cs="宋体"/>
          <w:color w:val="auto"/>
          <w:highlight w:val="none"/>
        </w:rPr>
      </w:pPr>
      <w:r>
        <w:rPr>
          <w:rFonts w:hint="eastAsia" w:ascii="宋体" w:hAnsi="宋体" w:eastAsia="宋体" w:cs="宋体"/>
          <w:color w:val="auto"/>
          <w:spacing w:val="-1"/>
          <w:highlight w:val="none"/>
        </w:rPr>
        <w:t>2．</w:t>
      </w:r>
      <w:r>
        <w:rPr>
          <w:rFonts w:hint="eastAsia" w:ascii="宋体" w:hAnsi="宋体" w:eastAsia="宋体" w:cs="宋体"/>
          <w:color w:val="auto"/>
          <w:spacing w:val="-1"/>
          <w:highlight w:val="none"/>
          <w:u w:val="single"/>
        </w:rPr>
        <w:t>施工过程的变更</w:t>
      </w:r>
      <w:r>
        <w:rPr>
          <w:rFonts w:hint="eastAsia" w:ascii="宋体" w:hAnsi="宋体" w:eastAsia="宋体" w:cs="宋体"/>
          <w:color w:val="auto"/>
          <w:highlight w:val="none"/>
          <w:u w:val="single"/>
        </w:rPr>
        <w:t>或增减工程</w:t>
      </w:r>
      <w:r>
        <w:rPr>
          <w:rFonts w:hint="eastAsia" w:ascii="宋体" w:hAnsi="宋体" w:eastAsia="宋体" w:cs="宋体"/>
          <w:color w:val="auto"/>
          <w:highlight w:val="none"/>
        </w:rPr>
        <w:t>；</w:t>
      </w:r>
    </w:p>
    <w:p w14:paraId="53A1E201">
      <w:pPr>
        <w:spacing w:before="248" w:line="221" w:lineRule="auto"/>
        <w:ind w:left="425"/>
        <w:rPr>
          <w:rFonts w:ascii="宋体" w:hAnsi="宋体" w:eastAsia="宋体" w:cs="宋体"/>
          <w:color w:val="auto"/>
          <w:highlight w:val="none"/>
        </w:rPr>
      </w:pPr>
      <w:r>
        <w:rPr>
          <w:rFonts w:hint="eastAsia" w:ascii="宋体" w:hAnsi="宋体" w:eastAsia="宋体" w:cs="宋体"/>
          <w:color w:val="auto"/>
          <w:spacing w:val="-1"/>
          <w:highlight w:val="none"/>
        </w:rPr>
        <w:t>3．</w:t>
      </w:r>
      <w:r>
        <w:rPr>
          <w:rFonts w:hint="eastAsia" w:ascii="宋体" w:hAnsi="宋体" w:eastAsia="宋体" w:cs="宋体"/>
          <w:color w:val="auto"/>
          <w:spacing w:val="-1"/>
          <w:highlight w:val="none"/>
          <w:u w:val="single"/>
        </w:rPr>
        <w:t>双方确定的其它工程</w:t>
      </w:r>
      <w:r>
        <w:rPr>
          <w:rFonts w:hint="eastAsia" w:ascii="宋体" w:hAnsi="宋体" w:eastAsia="宋体" w:cs="宋体"/>
          <w:color w:val="auto"/>
          <w:highlight w:val="none"/>
        </w:rPr>
        <w:t>。</w:t>
      </w:r>
    </w:p>
    <w:p w14:paraId="048502EF">
      <w:pPr>
        <w:spacing w:before="278" w:line="221" w:lineRule="auto"/>
        <w:ind w:left="4"/>
        <w:outlineLvl w:val="9"/>
        <w:rPr>
          <w:rFonts w:ascii="宋体" w:hAnsi="宋体" w:eastAsia="宋体" w:cs="宋体"/>
          <w:color w:val="auto"/>
          <w:highlight w:val="none"/>
        </w:rPr>
      </w:pPr>
      <w:bookmarkStart w:id="1375" w:name="_bookmark262"/>
      <w:bookmarkEnd w:id="1375"/>
      <w:bookmarkStart w:id="1376" w:name="_Toc6731"/>
      <w:bookmarkStart w:id="1377" w:name="_Toc27806"/>
      <w:bookmarkStart w:id="1378" w:name="_Toc15109"/>
      <w:bookmarkStart w:id="1379" w:name="_Toc21116"/>
      <w:bookmarkStart w:id="1380" w:name="_Toc23471"/>
      <w:r>
        <w:rPr>
          <w:rFonts w:hint="eastAsia" w:ascii="宋体" w:hAnsi="宋体" w:eastAsia="宋体" w:cs="宋体"/>
          <w:color w:val="auto"/>
          <w:spacing w:val="-1"/>
          <w:highlight w:val="none"/>
          <w14:textOutline w14:w="3835" w14:cap="flat" w14:cmpd="sng" w14:algn="ctr">
            <w14:solidFill>
              <w14:srgbClr w14:val="000000"/>
            </w14:solidFill>
            <w14:prstDash w14:val="solid"/>
            <w14:miter w14:val="0"/>
          </w14:textOutline>
        </w:rPr>
        <w:t>2.</w:t>
      </w:r>
      <w:r>
        <w:rPr>
          <w:rFonts w:hint="eastAsia" w:ascii="宋体" w:hAnsi="宋体" w:eastAsia="宋体" w:cs="宋体"/>
          <w:color w:val="auto"/>
          <w:spacing w:val="-1"/>
          <w:highlight w:val="none"/>
        </w:rPr>
        <w:t xml:space="preserve"> </w:t>
      </w:r>
      <w:r>
        <w:rPr>
          <w:rFonts w:hint="eastAsia" w:ascii="宋体" w:hAnsi="宋体" w:eastAsia="宋体" w:cs="宋体"/>
          <w:color w:val="auto"/>
          <w:highlight w:val="none"/>
          <w14:textOutline w14:w="3835" w14:cap="flat" w14:cmpd="sng" w14:algn="ctr">
            <w14:solidFill>
              <w14:srgbClr w14:val="000000"/>
            </w14:solidFill>
            <w14:prstDash w14:val="solid"/>
            <w14:miter w14:val="0"/>
          </w14:textOutline>
        </w:rPr>
        <w:t>质量保修期</w:t>
      </w:r>
      <w:bookmarkEnd w:id="1376"/>
      <w:bookmarkEnd w:id="1377"/>
      <w:bookmarkEnd w:id="1378"/>
      <w:bookmarkEnd w:id="1379"/>
      <w:bookmarkEnd w:id="1380"/>
    </w:p>
    <w:p w14:paraId="195441A1">
      <w:pPr>
        <w:spacing w:before="281" w:line="466" w:lineRule="auto"/>
        <w:ind w:left="2" w:right="94" w:firstLine="421"/>
        <w:rPr>
          <w:rFonts w:ascii="宋体" w:hAnsi="宋体" w:eastAsia="宋体" w:cs="宋体"/>
          <w:color w:val="auto"/>
          <w:highlight w:val="none"/>
        </w:rPr>
      </w:pPr>
      <w:r>
        <w:rPr>
          <w:rFonts w:hint="eastAsia" w:ascii="宋体" w:hAnsi="宋体" w:eastAsia="宋体" w:cs="宋体"/>
          <w:color w:val="auto"/>
          <w:spacing w:val="-4"/>
          <w:highlight w:val="none"/>
        </w:rPr>
        <w:t>2.1 质量保修期从合同</w:t>
      </w:r>
      <w:r>
        <w:rPr>
          <w:rFonts w:hint="eastAsia" w:ascii="宋体" w:hAnsi="宋体" w:eastAsia="宋体" w:cs="宋体"/>
          <w:color w:val="auto"/>
          <w:spacing w:val="-2"/>
          <w:highlight w:val="none"/>
        </w:rPr>
        <w:t>工程实际竣工之日算起。单项竣工验收的工程， 按单项工程分别计算</w:t>
      </w:r>
      <w:r>
        <w:rPr>
          <w:rFonts w:hint="eastAsia" w:ascii="宋体" w:hAnsi="宋体" w:eastAsia="宋体" w:cs="宋体"/>
          <w:color w:val="auto"/>
          <w:highlight w:val="none"/>
        </w:rPr>
        <w:t xml:space="preserve"> </w:t>
      </w:r>
      <w:r>
        <w:rPr>
          <w:rFonts w:hint="eastAsia" w:ascii="宋体" w:hAnsi="宋体" w:eastAsia="宋体" w:cs="宋体"/>
          <w:color w:val="auto"/>
          <w:spacing w:val="-1"/>
          <w:highlight w:val="none"/>
        </w:rPr>
        <w:t>质量保修期。</w:t>
      </w:r>
    </w:p>
    <w:p w14:paraId="117D1AC4">
      <w:pPr>
        <w:spacing w:line="220" w:lineRule="auto"/>
        <w:ind w:left="424"/>
        <w:rPr>
          <w:rFonts w:ascii="宋体" w:hAnsi="宋体" w:eastAsia="宋体" w:cs="宋体"/>
          <w:color w:val="auto"/>
          <w:highlight w:val="none"/>
        </w:rPr>
      </w:pPr>
      <w:r>
        <w:rPr>
          <w:rFonts w:hint="eastAsia" w:ascii="宋体" w:hAnsi="宋体" w:eastAsia="宋体" w:cs="宋体"/>
          <w:color w:val="auto"/>
          <w:spacing w:val="-6"/>
          <w:highlight w:val="none"/>
        </w:rPr>
        <w:t>2</w:t>
      </w:r>
      <w:r>
        <w:rPr>
          <w:rFonts w:hint="eastAsia" w:ascii="宋体" w:hAnsi="宋体" w:eastAsia="宋体" w:cs="宋体"/>
          <w:color w:val="auto"/>
          <w:spacing w:val="-5"/>
          <w:highlight w:val="none"/>
        </w:rPr>
        <w:t>.</w:t>
      </w:r>
      <w:r>
        <w:rPr>
          <w:rFonts w:hint="eastAsia" w:ascii="宋体" w:hAnsi="宋体" w:eastAsia="宋体" w:cs="宋体"/>
          <w:color w:val="auto"/>
          <w:spacing w:val="-3"/>
          <w:highlight w:val="none"/>
        </w:rPr>
        <w:t>2 合同工程质量保修期，合同双方当事人约定如下：</w:t>
      </w:r>
    </w:p>
    <w:p w14:paraId="7497297B">
      <w:pPr>
        <w:spacing w:before="249" w:line="242" w:lineRule="auto"/>
        <w:ind w:left="437"/>
        <w:outlineLvl w:val="9"/>
        <w:rPr>
          <w:rFonts w:ascii="宋体" w:hAnsi="宋体" w:eastAsia="宋体" w:cs="宋体"/>
          <w:color w:val="auto"/>
          <w:highlight w:val="none"/>
        </w:rPr>
      </w:pPr>
      <w:bookmarkStart w:id="1381" w:name="_Toc21744"/>
      <w:bookmarkStart w:id="1382" w:name="_Toc7224"/>
      <w:bookmarkStart w:id="1383" w:name="_Toc8996"/>
      <w:bookmarkStart w:id="1384" w:name="_Toc20678"/>
      <w:bookmarkStart w:id="1385" w:name="_Toc22500"/>
      <w:r>
        <w:rPr>
          <w:rFonts w:hint="eastAsia" w:ascii="宋体" w:hAnsi="宋体" w:eastAsia="宋体" w:cs="宋体"/>
          <w:color w:val="auto"/>
          <w:spacing w:val="-2"/>
          <w:highlight w:val="none"/>
        </w:rPr>
        <w:t>1．地基基础工程、主体结构工</w:t>
      </w:r>
      <w:r>
        <w:rPr>
          <w:rFonts w:hint="eastAsia" w:ascii="宋体" w:hAnsi="宋体" w:eastAsia="宋体" w:cs="宋体"/>
          <w:color w:val="auto"/>
          <w:spacing w:val="-1"/>
          <w:highlight w:val="none"/>
        </w:rPr>
        <w:t>程为设计文件规定的合理使用年限；</w:t>
      </w:r>
      <w:bookmarkEnd w:id="1381"/>
      <w:bookmarkEnd w:id="1382"/>
      <w:bookmarkEnd w:id="1383"/>
      <w:bookmarkEnd w:id="1384"/>
      <w:bookmarkEnd w:id="1385"/>
    </w:p>
    <w:p w14:paraId="7A0739CB">
      <w:pPr>
        <w:spacing w:before="192" w:line="221" w:lineRule="auto"/>
        <w:ind w:left="424"/>
        <w:rPr>
          <w:rFonts w:ascii="宋体" w:hAnsi="宋体" w:eastAsia="宋体" w:cs="宋体"/>
          <w:color w:val="auto"/>
          <w:highlight w:val="none"/>
        </w:rPr>
      </w:pPr>
      <w:r>
        <w:rPr>
          <w:rFonts w:hint="eastAsia" w:ascii="宋体" w:hAnsi="宋体" w:eastAsia="宋体" w:cs="宋体"/>
          <w:color w:val="auto"/>
          <w:spacing w:val="-1"/>
          <w:highlight w:val="none"/>
        </w:rPr>
        <w:t>2．屋面防水</w:t>
      </w:r>
      <w:r>
        <w:rPr>
          <w:rFonts w:hint="eastAsia" w:ascii="宋体" w:hAnsi="宋体" w:eastAsia="宋体" w:cs="宋体"/>
          <w:color w:val="auto"/>
          <w:highlight w:val="none"/>
        </w:rPr>
        <w:t>工程、有防水要求的卫生间、房间和外墙面的防渗漏工程为</w:t>
      </w:r>
      <w:r>
        <w:rPr>
          <w:rFonts w:hint="eastAsia" w:ascii="宋体" w:hAnsi="宋体" w:eastAsia="宋体" w:cs="宋体"/>
          <w:color w:val="auto"/>
          <w:highlight w:val="none"/>
          <w:u w:val="single"/>
        </w:rPr>
        <w:t xml:space="preserve">  5 </w:t>
      </w:r>
      <w:r>
        <w:rPr>
          <w:rFonts w:hint="eastAsia" w:ascii="宋体" w:hAnsi="宋体" w:eastAsia="宋体" w:cs="宋体"/>
          <w:color w:val="auto"/>
          <w:highlight w:val="none"/>
        </w:rPr>
        <w:t xml:space="preserve"> 年 (承包人申</w:t>
      </w:r>
    </w:p>
    <w:p w14:paraId="18B6DC41">
      <w:pPr>
        <w:spacing w:before="215" w:line="412" w:lineRule="auto"/>
        <w:ind w:left="1" w:right="94" w:hanging="1"/>
        <w:rPr>
          <w:rFonts w:ascii="宋体" w:hAnsi="宋体" w:eastAsia="宋体" w:cs="宋体"/>
          <w:color w:val="auto"/>
          <w:highlight w:val="none"/>
        </w:rPr>
      </w:pPr>
      <w:r>
        <w:rPr>
          <w:rFonts w:hint="eastAsia" w:ascii="宋体" w:hAnsi="宋体" w:eastAsia="宋体" w:cs="宋体"/>
          <w:color w:val="auto"/>
          <w:spacing w:val="-1"/>
          <w:highlight w:val="none"/>
        </w:rPr>
        <w:t>请</w:t>
      </w:r>
      <w:r>
        <w:rPr>
          <w:rFonts w:hint="eastAsia" w:ascii="宋体" w:hAnsi="宋体" w:eastAsia="宋体" w:cs="宋体"/>
          <w:color w:val="auto"/>
          <w:highlight w:val="none"/>
        </w:rPr>
        <w:t xml:space="preserve">工程质保金时，将防水质保金等额的保证金缴纳至发包人指定专用账户后，可将工程质保金与 </w:t>
      </w:r>
      <w:r>
        <w:rPr>
          <w:rFonts w:hint="eastAsia" w:ascii="宋体" w:hAnsi="宋体" w:eastAsia="宋体" w:cs="宋体"/>
          <w:color w:val="auto"/>
          <w:spacing w:val="-1"/>
          <w:highlight w:val="none"/>
        </w:rPr>
        <w:t>防水</w:t>
      </w:r>
      <w:r>
        <w:rPr>
          <w:rFonts w:hint="eastAsia" w:ascii="宋体" w:hAnsi="宋体" w:eastAsia="宋体" w:cs="宋体"/>
          <w:color w:val="auto"/>
          <w:highlight w:val="none"/>
        </w:rPr>
        <w:t xml:space="preserve">质保金一并申请，发包人不再暂扣防水质保金。在防水质保期满后，如未发生防水方面的保 </w:t>
      </w:r>
      <w:r>
        <w:rPr>
          <w:rFonts w:hint="eastAsia" w:ascii="宋体" w:hAnsi="宋体" w:eastAsia="宋体" w:cs="宋体"/>
          <w:color w:val="auto"/>
          <w:spacing w:val="-1"/>
          <w:highlight w:val="none"/>
        </w:rPr>
        <w:t>修费用，</w:t>
      </w:r>
      <w:r>
        <w:rPr>
          <w:rFonts w:hint="eastAsia" w:ascii="宋体" w:hAnsi="宋体" w:eastAsia="宋体" w:cs="宋体"/>
          <w:color w:val="auto"/>
          <w:highlight w:val="none"/>
        </w:rPr>
        <w:t>承包人可凭有关转账凭证直接向发包人申请退还保证金) ；</w:t>
      </w:r>
    </w:p>
    <w:p w14:paraId="2A3547B5">
      <w:pPr>
        <w:spacing w:before="1" w:line="220" w:lineRule="auto"/>
        <w:ind w:left="425"/>
        <w:rPr>
          <w:rFonts w:ascii="宋体" w:hAnsi="宋体" w:eastAsia="宋体" w:cs="宋体"/>
          <w:color w:val="auto"/>
          <w:highlight w:val="none"/>
        </w:rPr>
      </w:pPr>
      <w:r>
        <w:rPr>
          <w:rFonts w:hint="eastAsia" w:ascii="宋体" w:hAnsi="宋体" w:eastAsia="宋体" w:cs="宋体"/>
          <w:color w:val="auto"/>
          <w:spacing w:val="-1"/>
          <w:highlight w:val="none"/>
        </w:rPr>
        <w:t>3．电气管线工程、给排水管道工程、设备安装工程为</w:t>
      </w:r>
      <w:r>
        <w:rPr>
          <w:rFonts w:hint="eastAsia" w:ascii="宋体" w:hAnsi="宋体" w:eastAsia="宋体" w:cs="宋体"/>
          <w:color w:val="auto"/>
          <w:spacing w:val="-1"/>
          <w:highlight w:val="none"/>
          <w:u w:val="single"/>
        </w:rPr>
        <w:t xml:space="preserve">  2 </w:t>
      </w:r>
      <w:r>
        <w:rPr>
          <w:rFonts w:hint="eastAsia" w:ascii="宋体" w:hAnsi="宋体" w:eastAsia="宋体" w:cs="宋体"/>
          <w:color w:val="auto"/>
          <w:spacing w:val="-1"/>
          <w:highlight w:val="none"/>
        </w:rPr>
        <w:t xml:space="preserve"> 年</w:t>
      </w:r>
      <w:r>
        <w:rPr>
          <w:rFonts w:hint="eastAsia" w:ascii="宋体" w:hAnsi="宋体" w:eastAsia="宋体" w:cs="宋体"/>
          <w:color w:val="auto"/>
          <w:highlight w:val="none"/>
        </w:rPr>
        <w:t>；</w:t>
      </w:r>
    </w:p>
    <w:p w14:paraId="1E63E1B7">
      <w:pPr>
        <w:spacing w:before="217" w:line="220" w:lineRule="auto"/>
        <w:ind w:left="420"/>
        <w:rPr>
          <w:rFonts w:ascii="宋体" w:hAnsi="宋体" w:eastAsia="宋体" w:cs="宋体"/>
          <w:color w:val="auto"/>
          <w:highlight w:val="none"/>
        </w:rPr>
      </w:pPr>
      <w:r>
        <w:rPr>
          <w:rFonts w:hint="eastAsia" w:ascii="宋体" w:hAnsi="宋体" w:eastAsia="宋体" w:cs="宋体"/>
          <w:color w:val="auto"/>
          <w:spacing w:val="-1"/>
          <w:highlight w:val="none"/>
        </w:rPr>
        <w:t>4．供热、</w:t>
      </w:r>
      <w:r>
        <w:rPr>
          <w:rFonts w:hint="eastAsia" w:ascii="宋体" w:hAnsi="宋体" w:eastAsia="宋体" w:cs="宋体"/>
          <w:color w:val="auto"/>
          <w:highlight w:val="none"/>
        </w:rPr>
        <w:t>供冷系统工程为</w:t>
      </w:r>
      <w:r>
        <w:rPr>
          <w:rFonts w:hint="eastAsia" w:ascii="宋体" w:hAnsi="宋体" w:eastAsia="宋体" w:cs="宋体"/>
          <w:color w:val="auto"/>
          <w:highlight w:val="none"/>
          <w:u w:val="single"/>
        </w:rPr>
        <w:t xml:space="preserve">  2 </w:t>
      </w:r>
      <w:r>
        <w:rPr>
          <w:rFonts w:hint="eastAsia" w:ascii="宋体" w:hAnsi="宋体" w:eastAsia="宋体" w:cs="宋体"/>
          <w:color w:val="auto"/>
          <w:highlight w:val="none"/>
        </w:rPr>
        <w:t xml:space="preserve"> 个采暖期、供冷期；</w:t>
      </w:r>
    </w:p>
    <w:p w14:paraId="44A33E9F">
      <w:pPr>
        <w:spacing w:before="217" w:line="221" w:lineRule="auto"/>
        <w:ind w:left="425"/>
        <w:rPr>
          <w:rFonts w:ascii="宋体" w:hAnsi="宋体" w:eastAsia="宋体" w:cs="宋体"/>
          <w:color w:val="auto"/>
          <w:highlight w:val="none"/>
        </w:rPr>
      </w:pPr>
      <w:r>
        <w:rPr>
          <w:rFonts w:hint="eastAsia" w:ascii="宋体" w:hAnsi="宋体" w:eastAsia="宋体" w:cs="宋体"/>
          <w:color w:val="auto"/>
          <w:spacing w:val="-2"/>
          <w:highlight w:val="none"/>
        </w:rPr>
        <w:t>5．装饰装修工程为</w:t>
      </w:r>
      <w:r>
        <w:rPr>
          <w:rFonts w:hint="eastAsia" w:ascii="宋体" w:hAnsi="宋体" w:eastAsia="宋体" w:cs="宋体"/>
          <w:color w:val="auto"/>
          <w:spacing w:val="-2"/>
          <w:highlight w:val="none"/>
          <w:u w:val="single"/>
        </w:rPr>
        <w:t xml:space="preserve">  2 </w:t>
      </w:r>
      <w:r>
        <w:rPr>
          <w:rFonts w:hint="eastAsia" w:ascii="宋体" w:hAnsi="宋体" w:eastAsia="宋体" w:cs="宋体"/>
          <w:color w:val="auto"/>
          <w:spacing w:val="-2"/>
          <w:highlight w:val="none"/>
        </w:rPr>
        <w:t xml:space="preserve"> 年</w:t>
      </w:r>
      <w:r>
        <w:rPr>
          <w:rFonts w:hint="eastAsia" w:ascii="宋体" w:hAnsi="宋体" w:eastAsia="宋体" w:cs="宋体"/>
          <w:color w:val="auto"/>
          <w:spacing w:val="-1"/>
          <w:highlight w:val="none"/>
        </w:rPr>
        <w:t>；</w:t>
      </w:r>
    </w:p>
    <w:p w14:paraId="71DFBD4B">
      <w:pPr>
        <w:spacing w:before="217" w:line="221" w:lineRule="auto"/>
        <w:ind w:left="423"/>
        <w:rPr>
          <w:rFonts w:ascii="宋体" w:hAnsi="宋体" w:eastAsia="宋体" w:cs="宋体"/>
          <w:color w:val="auto"/>
          <w:highlight w:val="none"/>
        </w:rPr>
      </w:pPr>
      <w:r>
        <w:rPr>
          <w:rFonts w:hint="eastAsia" w:ascii="宋体" w:hAnsi="宋体" w:eastAsia="宋体" w:cs="宋体"/>
          <w:color w:val="auto"/>
          <w:spacing w:val="-1"/>
          <w:highlight w:val="none"/>
        </w:rPr>
        <w:t>6．其他项目</w:t>
      </w:r>
      <w:r>
        <w:rPr>
          <w:rFonts w:hint="eastAsia" w:ascii="宋体" w:hAnsi="宋体" w:eastAsia="宋体" w:cs="宋体"/>
          <w:color w:val="auto"/>
          <w:spacing w:val="-1"/>
          <w:highlight w:val="none"/>
          <w:u w:val="single"/>
        </w:rPr>
        <w:t xml:space="preserve">  除上</w:t>
      </w:r>
      <w:r>
        <w:rPr>
          <w:rFonts w:hint="eastAsia" w:ascii="宋体" w:hAnsi="宋体" w:eastAsia="宋体" w:cs="宋体"/>
          <w:color w:val="auto"/>
          <w:highlight w:val="none"/>
          <w:u w:val="single"/>
        </w:rPr>
        <w:t xml:space="preserve">述内容外的其他工程为 2 年  </w:t>
      </w:r>
      <w:r>
        <w:rPr>
          <w:rFonts w:hint="eastAsia" w:ascii="宋体" w:hAnsi="宋体" w:eastAsia="宋体" w:cs="宋体"/>
          <w:color w:val="auto"/>
          <w:highlight w:val="none"/>
        </w:rPr>
        <w:t>。</w:t>
      </w:r>
    </w:p>
    <w:p w14:paraId="501975B3">
      <w:pPr>
        <w:spacing w:before="248" w:line="221" w:lineRule="auto"/>
        <w:ind w:left="5"/>
        <w:rPr>
          <w:rFonts w:ascii="宋体" w:hAnsi="宋体" w:eastAsia="宋体" w:cs="宋体"/>
          <w:color w:val="auto"/>
          <w:highlight w:val="none"/>
        </w:rPr>
      </w:pPr>
      <w:bookmarkStart w:id="1386" w:name="_bookmark263"/>
      <w:bookmarkEnd w:id="1386"/>
      <w:r>
        <w:rPr>
          <w:rFonts w:hint="eastAsia" w:ascii="宋体" w:hAnsi="宋体" w:eastAsia="宋体" w:cs="宋体"/>
          <w:color w:val="auto"/>
          <w:spacing w:val="-2"/>
          <w:highlight w:val="none"/>
          <w14:textOutline w14:w="3835" w14:cap="flat" w14:cmpd="sng" w14:algn="ctr">
            <w14:solidFill>
              <w14:srgbClr w14:val="000000"/>
            </w14:solidFill>
            <w14:prstDash w14:val="solid"/>
            <w14:miter w14:val="0"/>
          </w14:textOutline>
        </w:rPr>
        <w:t>3．质量保</w:t>
      </w:r>
      <w:r>
        <w:rPr>
          <w:rFonts w:hint="eastAsia" w:ascii="宋体" w:hAnsi="宋体" w:eastAsia="宋体" w:cs="宋体"/>
          <w:color w:val="auto"/>
          <w:spacing w:val="-1"/>
          <w:highlight w:val="none"/>
          <w14:textOutline w14:w="3835" w14:cap="flat" w14:cmpd="sng" w14:algn="ctr">
            <w14:solidFill>
              <w14:srgbClr w14:val="000000"/>
            </w14:solidFill>
            <w14:prstDash w14:val="solid"/>
            <w14:miter w14:val="0"/>
          </w14:textOutline>
        </w:rPr>
        <w:t>修责任</w:t>
      </w:r>
    </w:p>
    <w:p w14:paraId="287ABF62">
      <w:pPr>
        <w:spacing w:before="147" w:line="466" w:lineRule="auto"/>
        <w:ind w:left="1" w:right="90" w:firstLine="423"/>
        <w:rPr>
          <w:rFonts w:ascii="宋体" w:hAnsi="宋体" w:eastAsia="宋体" w:cs="宋体"/>
          <w:color w:val="auto"/>
          <w:highlight w:val="none"/>
        </w:rPr>
      </w:pPr>
      <w:r>
        <w:rPr>
          <w:rFonts w:hint="eastAsia" w:ascii="宋体" w:hAnsi="宋体" w:eastAsia="宋体" w:cs="宋体"/>
          <w:color w:val="auto"/>
          <w:spacing w:val="-4"/>
          <w:highlight w:val="none"/>
        </w:rPr>
        <w:t>3.1 属于保修范围的项</w:t>
      </w:r>
      <w:r>
        <w:rPr>
          <w:rFonts w:hint="eastAsia" w:ascii="宋体" w:hAnsi="宋体" w:eastAsia="宋体" w:cs="宋体"/>
          <w:color w:val="auto"/>
          <w:spacing w:val="-2"/>
          <w:highlight w:val="none"/>
        </w:rPr>
        <w:t>目，承包人应在接到发包人通知后的 7 天内派人保修。承包人未能在</w:t>
      </w:r>
      <w:r>
        <w:rPr>
          <w:rFonts w:hint="eastAsia" w:ascii="宋体" w:hAnsi="宋体" w:eastAsia="宋体" w:cs="宋体"/>
          <w:color w:val="auto"/>
          <w:highlight w:val="none"/>
        </w:rPr>
        <w:t xml:space="preserve"> </w:t>
      </w:r>
      <w:r>
        <w:rPr>
          <w:rFonts w:hint="eastAsia" w:ascii="宋体" w:hAnsi="宋体" w:eastAsia="宋体" w:cs="宋体"/>
          <w:color w:val="auto"/>
          <w:spacing w:val="-4"/>
          <w:highlight w:val="none"/>
        </w:rPr>
        <w:t>规定时间内派人保修的， 发包人可自行或委托第三方保修，保修费用从质量保修金内扣除。</w:t>
      </w:r>
    </w:p>
    <w:p w14:paraId="028C564D">
      <w:pPr>
        <w:spacing w:line="220" w:lineRule="auto"/>
        <w:ind w:left="425"/>
        <w:rPr>
          <w:rFonts w:ascii="宋体" w:hAnsi="宋体" w:eastAsia="宋体" w:cs="宋体"/>
          <w:color w:val="auto"/>
          <w:highlight w:val="none"/>
        </w:rPr>
      </w:pPr>
      <w:r>
        <w:rPr>
          <w:rFonts w:hint="eastAsia" w:ascii="宋体" w:hAnsi="宋体" w:eastAsia="宋体" w:cs="宋体"/>
          <w:color w:val="auto"/>
          <w:spacing w:val="-3"/>
          <w:highlight w:val="none"/>
        </w:rPr>
        <w:t>3.2 发生紧急抢修事故的，承包人在接到通知后， 应立即到达事故现场抢修。</w:t>
      </w:r>
    </w:p>
    <w:p w14:paraId="75CED643">
      <w:pPr>
        <w:spacing w:before="280" w:line="466" w:lineRule="auto"/>
        <w:ind w:left="5" w:right="90" w:firstLine="420"/>
        <w:rPr>
          <w:rFonts w:ascii="宋体" w:hAnsi="宋体" w:eastAsia="宋体" w:cs="宋体"/>
          <w:color w:val="auto"/>
          <w:highlight w:val="none"/>
        </w:rPr>
      </w:pPr>
      <w:r>
        <w:rPr>
          <w:rFonts w:hint="eastAsia" w:ascii="宋体" w:hAnsi="宋体" w:eastAsia="宋体" w:cs="宋体"/>
          <w:color w:val="auto"/>
          <w:spacing w:val="-4"/>
          <w:highlight w:val="none"/>
        </w:rPr>
        <w:t>3.3 在国家规定的合理使</w:t>
      </w:r>
      <w:r>
        <w:rPr>
          <w:rFonts w:hint="eastAsia" w:ascii="宋体" w:hAnsi="宋体" w:eastAsia="宋体" w:cs="宋体"/>
          <w:color w:val="auto"/>
          <w:spacing w:val="-2"/>
          <w:highlight w:val="none"/>
        </w:rPr>
        <w:t>用期限内， 承包人应确保地基基础工程和主体结构的质量和安全。</w:t>
      </w:r>
      <w:r>
        <w:rPr>
          <w:rFonts w:hint="eastAsia" w:ascii="宋体" w:hAnsi="宋体" w:eastAsia="宋体" w:cs="宋体"/>
          <w:color w:val="auto"/>
          <w:highlight w:val="none"/>
        </w:rPr>
        <w:t xml:space="preserve"> </w:t>
      </w:r>
      <w:r>
        <w:rPr>
          <w:rFonts w:hint="eastAsia" w:ascii="宋体" w:hAnsi="宋体" w:eastAsia="宋体" w:cs="宋体"/>
          <w:color w:val="auto"/>
          <w:spacing w:val="-4"/>
          <w:highlight w:val="none"/>
        </w:rPr>
        <w:t>凡出现质量问题，应立即报告</w:t>
      </w:r>
      <w:r>
        <w:rPr>
          <w:rFonts w:hint="eastAsia" w:ascii="宋体" w:hAnsi="宋体" w:eastAsia="宋体" w:cs="宋体"/>
          <w:color w:val="auto"/>
          <w:spacing w:val="-2"/>
          <w:highlight w:val="none"/>
        </w:rPr>
        <w:t>当地建设行政主管部门，采取安全防范措施，经设计人提出保修方案后， 承包人应立即</w:t>
      </w:r>
      <w:r>
        <w:rPr>
          <w:rFonts w:hint="eastAsia" w:ascii="宋体" w:hAnsi="宋体" w:eastAsia="宋体" w:cs="宋体"/>
          <w:color w:val="auto"/>
          <w:spacing w:val="-5"/>
          <w:highlight w:val="none"/>
        </w:rPr>
        <w:t>实施保修。</w:t>
      </w:r>
    </w:p>
    <w:p w14:paraId="04277423">
      <w:pPr>
        <w:spacing w:line="220" w:lineRule="auto"/>
        <w:ind w:left="425"/>
        <w:rPr>
          <w:rFonts w:ascii="宋体" w:hAnsi="宋体" w:eastAsia="宋体" w:cs="宋体"/>
          <w:color w:val="auto"/>
          <w:highlight w:val="none"/>
        </w:rPr>
      </w:pPr>
      <w:r>
        <w:rPr>
          <w:rFonts w:hint="eastAsia" w:ascii="宋体" w:hAnsi="宋体" w:eastAsia="宋体" w:cs="宋体"/>
          <w:color w:val="auto"/>
          <w:spacing w:val="-1"/>
          <w:highlight w:val="none"/>
        </w:rPr>
        <w:t>3.4 质量保修</w:t>
      </w:r>
      <w:r>
        <w:rPr>
          <w:rFonts w:hint="eastAsia" w:ascii="宋体" w:hAnsi="宋体" w:eastAsia="宋体" w:cs="宋体"/>
          <w:color w:val="auto"/>
          <w:highlight w:val="none"/>
        </w:rPr>
        <w:t>完成后，由发包人组织验收。</w:t>
      </w:r>
    </w:p>
    <w:p w14:paraId="087561C6">
      <w:pPr>
        <w:spacing w:before="279" w:line="221" w:lineRule="auto"/>
        <w:outlineLvl w:val="9"/>
        <w:rPr>
          <w:rFonts w:ascii="宋体" w:hAnsi="宋体" w:eastAsia="宋体" w:cs="宋体"/>
          <w:color w:val="auto"/>
          <w:highlight w:val="none"/>
        </w:rPr>
      </w:pPr>
      <w:bookmarkStart w:id="1387" w:name="_bookmark264"/>
      <w:bookmarkEnd w:id="1387"/>
      <w:bookmarkStart w:id="1388" w:name="_Toc26182"/>
      <w:bookmarkStart w:id="1389" w:name="_Toc11119"/>
      <w:bookmarkStart w:id="1390" w:name="_Toc28716"/>
      <w:bookmarkStart w:id="1391" w:name="_Toc15752"/>
      <w:bookmarkStart w:id="1392" w:name="_Toc9455"/>
      <w:r>
        <w:rPr>
          <w:rFonts w:hint="eastAsia" w:ascii="宋体" w:hAnsi="宋体" w:eastAsia="宋体" w:cs="宋体"/>
          <w:color w:val="auto"/>
          <w:spacing w:val="-4"/>
          <w:highlight w:val="none"/>
          <w14:textOutline w14:w="3835" w14:cap="flat" w14:cmpd="sng" w14:algn="ctr">
            <w14:solidFill>
              <w14:srgbClr w14:val="000000"/>
            </w14:solidFill>
            <w14:prstDash w14:val="solid"/>
            <w14:miter w14:val="0"/>
          </w14:textOutline>
        </w:rPr>
        <w:t>4．质</w:t>
      </w:r>
      <w:r>
        <w:rPr>
          <w:rFonts w:hint="eastAsia" w:ascii="宋体" w:hAnsi="宋体" w:eastAsia="宋体" w:cs="宋体"/>
          <w:color w:val="auto"/>
          <w:spacing w:val="-2"/>
          <w:highlight w:val="none"/>
          <w14:textOutline w14:w="3835" w14:cap="flat" w14:cmpd="sng" w14:algn="ctr">
            <w14:solidFill>
              <w14:srgbClr w14:val="000000"/>
            </w14:solidFill>
            <w14:prstDash w14:val="solid"/>
            <w14:miter w14:val="0"/>
          </w14:textOutline>
        </w:rPr>
        <w:t>量保修费用</w:t>
      </w:r>
      <w:bookmarkEnd w:id="1388"/>
      <w:bookmarkEnd w:id="1389"/>
      <w:bookmarkEnd w:id="1390"/>
      <w:bookmarkEnd w:id="1391"/>
      <w:bookmarkEnd w:id="1392"/>
    </w:p>
    <w:p w14:paraId="044A8493">
      <w:pPr>
        <w:spacing w:before="279" w:line="221" w:lineRule="auto"/>
        <w:ind w:left="421"/>
        <w:rPr>
          <w:rFonts w:ascii="宋体" w:hAnsi="宋体" w:eastAsia="宋体" w:cs="宋体"/>
          <w:color w:val="auto"/>
          <w:highlight w:val="none"/>
        </w:rPr>
      </w:pPr>
      <w:r>
        <w:rPr>
          <w:rFonts w:hint="eastAsia" w:ascii="宋体" w:hAnsi="宋体" w:eastAsia="宋体" w:cs="宋体"/>
          <w:color w:val="auto"/>
          <w:spacing w:val="-1"/>
          <w:highlight w:val="none"/>
        </w:rPr>
        <w:t>质量保修</w:t>
      </w:r>
      <w:r>
        <w:rPr>
          <w:rFonts w:hint="eastAsia" w:ascii="宋体" w:hAnsi="宋体" w:eastAsia="宋体" w:cs="宋体"/>
          <w:color w:val="auto"/>
          <w:highlight w:val="none"/>
        </w:rPr>
        <w:t>等费用，由责任方承担。</w:t>
      </w:r>
    </w:p>
    <w:p w14:paraId="16B419D6">
      <w:pPr>
        <w:spacing w:before="280" w:line="221" w:lineRule="auto"/>
        <w:ind w:left="5"/>
        <w:outlineLvl w:val="9"/>
        <w:rPr>
          <w:rFonts w:ascii="宋体" w:hAnsi="宋体" w:eastAsia="宋体" w:cs="宋体"/>
          <w:color w:val="auto"/>
          <w:highlight w:val="none"/>
        </w:rPr>
      </w:pPr>
      <w:bookmarkStart w:id="1393" w:name="_bookmark265"/>
      <w:bookmarkEnd w:id="1393"/>
      <w:bookmarkStart w:id="1394" w:name="_Toc23367"/>
      <w:bookmarkStart w:id="1395" w:name="_Toc32573"/>
      <w:bookmarkStart w:id="1396" w:name="_Toc345"/>
      <w:bookmarkStart w:id="1397" w:name="_Toc15181"/>
      <w:bookmarkStart w:id="1398" w:name="_Toc24778"/>
      <w:r>
        <w:rPr>
          <w:rFonts w:hint="eastAsia" w:ascii="宋体" w:hAnsi="宋体" w:eastAsia="宋体" w:cs="宋体"/>
          <w:color w:val="auto"/>
          <w:spacing w:val="-2"/>
          <w:highlight w:val="none"/>
          <w14:textOutline w14:w="3835" w14:cap="flat" w14:cmpd="sng" w14:algn="ctr">
            <w14:solidFill>
              <w14:srgbClr w14:val="000000"/>
            </w14:solidFill>
            <w14:prstDash w14:val="solid"/>
            <w14:miter w14:val="0"/>
          </w14:textOutline>
        </w:rPr>
        <w:t>5．质量保证金</w:t>
      </w:r>
      <w:bookmarkEnd w:id="1394"/>
      <w:bookmarkEnd w:id="1395"/>
      <w:bookmarkEnd w:id="1396"/>
      <w:bookmarkEnd w:id="1397"/>
      <w:bookmarkEnd w:id="1398"/>
    </w:p>
    <w:p w14:paraId="7DAEBEC2">
      <w:pPr>
        <w:spacing w:before="279" w:line="220" w:lineRule="auto"/>
        <w:ind w:left="421"/>
        <w:rPr>
          <w:rFonts w:ascii="宋体" w:hAnsi="宋体" w:eastAsia="宋体" w:cs="宋体"/>
          <w:color w:val="auto"/>
          <w:highlight w:val="none"/>
        </w:rPr>
      </w:pPr>
      <w:r>
        <w:rPr>
          <w:rFonts w:hint="eastAsia" w:ascii="宋体" w:hAnsi="宋体" w:eastAsia="宋体" w:cs="宋体"/>
          <w:color w:val="auto"/>
          <w:spacing w:val="-4"/>
          <w:highlight w:val="none"/>
        </w:rPr>
        <w:t>质量保证金的约定、支付和</w:t>
      </w:r>
      <w:r>
        <w:rPr>
          <w:rFonts w:hint="eastAsia" w:ascii="宋体" w:hAnsi="宋体" w:eastAsia="宋体" w:cs="宋体"/>
          <w:color w:val="auto"/>
          <w:spacing w:val="-2"/>
          <w:highlight w:val="none"/>
        </w:rPr>
        <w:t>使用与本合同第二部分《通用条款》第 15.3 条赋予的规定一致。</w:t>
      </w:r>
    </w:p>
    <w:p w14:paraId="649042D0">
      <w:pPr>
        <w:spacing w:before="280" w:line="221" w:lineRule="auto"/>
        <w:ind w:left="2"/>
        <w:outlineLvl w:val="9"/>
        <w:rPr>
          <w:rFonts w:ascii="宋体" w:hAnsi="宋体" w:eastAsia="宋体" w:cs="宋体"/>
          <w:color w:val="auto"/>
          <w:highlight w:val="none"/>
        </w:rPr>
      </w:pPr>
      <w:bookmarkStart w:id="1399" w:name="_bookmark266"/>
      <w:bookmarkEnd w:id="1399"/>
      <w:bookmarkStart w:id="1400" w:name="_Toc10125"/>
      <w:bookmarkStart w:id="1401" w:name="_Toc1666"/>
      <w:bookmarkStart w:id="1402" w:name="_Toc30491"/>
      <w:bookmarkStart w:id="1403" w:name="_Toc25521"/>
      <w:bookmarkStart w:id="1404" w:name="_Toc3216"/>
      <w:r>
        <w:rPr>
          <w:rFonts w:hint="eastAsia" w:ascii="宋体" w:hAnsi="宋体" w:eastAsia="宋体" w:cs="宋体"/>
          <w:color w:val="auto"/>
          <w:spacing w:val="-4"/>
          <w:highlight w:val="none"/>
          <w14:textOutline w14:w="3835" w14:cap="flat" w14:cmpd="sng" w14:algn="ctr">
            <w14:solidFill>
              <w14:srgbClr w14:val="000000"/>
            </w14:solidFill>
            <w14:prstDash w14:val="solid"/>
            <w14:miter w14:val="0"/>
          </w14:textOutline>
        </w:rPr>
        <w:t>6</w:t>
      </w:r>
      <w:r>
        <w:rPr>
          <w:rFonts w:hint="eastAsia" w:ascii="宋体" w:hAnsi="宋体" w:eastAsia="宋体" w:cs="宋体"/>
          <w:color w:val="auto"/>
          <w:spacing w:val="-3"/>
          <w:highlight w:val="none"/>
          <w14:textOutline w14:w="3835" w14:cap="flat" w14:cmpd="sng" w14:algn="ctr">
            <w14:solidFill>
              <w14:srgbClr w14:val="000000"/>
            </w14:solidFill>
            <w14:prstDash w14:val="solid"/>
            <w14:miter w14:val="0"/>
          </w14:textOutline>
        </w:rPr>
        <w:t>．其他</w:t>
      </w:r>
      <w:bookmarkEnd w:id="1400"/>
      <w:bookmarkEnd w:id="1401"/>
      <w:bookmarkEnd w:id="1402"/>
      <w:bookmarkEnd w:id="1403"/>
      <w:bookmarkEnd w:id="1404"/>
    </w:p>
    <w:p w14:paraId="5539D860">
      <w:pPr>
        <w:spacing w:before="279" w:line="221" w:lineRule="auto"/>
        <w:ind w:left="2"/>
        <w:rPr>
          <w:rFonts w:ascii="宋体" w:hAnsi="宋体" w:eastAsia="宋体" w:cs="宋体"/>
          <w:color w:val="auto"/>
          <w:highlight w:val="none"/>
        </w:rPr>
      </w:pPr>
      <w:r>
        <w:rPr>
          <w:rFonts w:hint="eastAsia" w:ascii="宋体" w:hAnsi="宋体" w:eastAsia="宋体" w:cs="宋体"/>
          <w:color w:val="auto"/>
          <w:spacing w:val="-1"/>
          <w:highlight w:val="none"/>
        </w:rPr>
        <w:t>6.1 合</w:t>
      </w:r>
      <w:r>
        <w:rPr>
          <w:rFonts w:hint="eastAsia" w:ascii="宋体" w:hAnsi="宋体" w:eastAsia="宋体" w:cs="宋体"/>
          <w:color w:val="auto"/>
          <w:highlight w:val="none"/>
        </w:rPr>
        <w:t>同双方当事人约定的其他质量保修事项：</w:t>
      </w:r>
      <w:r>
        <w:rPr>
          <w:rFonts w:hint="eastAsia" w:ascii="宋体" w:hAnsi="宋体" w:eastAsia="宋体" w:cs="宋体"/>
          <w:color w:val="auto"/>
          <w:highlight w:val="none"/>
          <w:u w:val="single"/>
        </w:rPr>
        <w:t xml:space="preserve">        /        </w:t>
      </w:r>
    </w:p>
    <w:p w14:paraId="2F46C894">
      <w:pPr>
        <w:spacing w:before="279" w:line="219" w:lineRule="auto"/>
        <w:ind w:left="2"/>
        <w:rPr>
          <w:rFonts w:ascii="宋体" w:hAnsi="宋体" w:eastAsia="宋体" w:cs="宋体"/>
          <w:color w:val="auto"/>
          <w:highlight w:val="none"/>
        </w:rPr>
      </w:pPr>
      <w:r>
        <w:rPr>
          <w:rFonts w:hint="eastAsia" w:ascii="宋体" w:hAnsi="宋体" w:eastAsia="宋体" w:cs="宋体"/>
          <w:color w:val="auto"/>
          <w:spacing w:val="-4"/>
          <w:highlight w:val="none"/>
        </w:rPr>
        <w:t>6.2 本质量保修</w:t>
      </w:r>
      <w:r>
        <w:rPr>
          <w:rFonts w:hint="eastAsia" w:ascii="宋体" w:hAnsi="宋体" w:eastAsia="宋体" w:cs="宋体"/>
          <w:color w:val="auto"/>
          <w:spacing w:val="-2"/>
          <w:highlight w:val="none"/>
        </w:rPr>
        <w:t>书， 由合同双方当事人在承包人向发包人提交竣工验收申请报告时签署，作为本</w:t>
      </w:r>
    </w:p>
    <w:p w14:paraId="19CB7DDA">
      <w:pPr>
        <w:spacing w:before="281" w:line="220" w:lineRule="auto"/>
        <w:ind w:left="1"/>
        <w:rPr>
          <w:rFonts w:ascii="宋体" w:hAnsi="宋体" w:eastAsia="宋体" w:cs="宋体"/>
          <w:color w:val="auto"/>
          <w:highlight w:val="none"/>
        </w:rPr>
      </w:pPr>
      <w:r>
        <w:rPr>
          <w:rFonts w:hint="eastAsia" w:ascii="宋体" w:hAnsi="宋体" w:eastAsia="宋体" w:cs="宋体"/>
          <w:color w:val="auto"/>
          <w:spacing w:val="-1"/>
          <w:highlight w:val="none"/>
        </w:rPr>
        <w:t>合同的附件。</w:t>
      </w:r>
    </w:p>
    <w:p w14:paraId="31751F20">
      <w:pPr>
        <w:spacing w:before="281" w:line="220" w:lineRule="auto"/>
        <w:ind w:left="2"/>
        <w:rPr>
          <w:rFonts w:ascii="宋体" w:hAnsi="宋体" w:eastAsia="宋体" w:cs="宋体"/>
          <w:color w:val="auto"/>
          <w:highlight w:val="none"/>
        </w:rPr>
      </w:pPr>
      <w:r>
        <w:rPr>
          <w:rFonts w:hint="eastAsia" w:ascii="宋体" w:hAnsi="宋体" w:eastAsia="宋体" w:cs="宋体"/>
          <w:color w:val="auto"/>
          <w:spacing w:val="-6"/>
          <w:highlight w:val="none"/>
        </w:rPr>
        <w:t>6.3 本质量保修书， 自合同双方当事人签署之日起生效， 至质量保修期满后失</w:t>
      </w:r>
      <w:r>
        <w:rPr>
          <w:rFonts w:hint="eastAsia" w:ascii="宋体" w:hAnsi="宋体" w:eastAsia="宋体" w:cs="宋体"/>
          <w:color w:val="auto"/>
          <w:spacing w:val="-5"/>
          <w:highlight w:val="none"/>
        </w:rPr>
        <w:t>效</w:t>
      </w:r>
      <w:r>
        <w:rPr>
          <w:rFonts w:hint="eastAsia" w:ascii="宋体" w:hAnsi="宋体" w:eastAsia="宋体" w:cs="宋体"/>
          <w:color w:val="auto"/>
          <w:highlight w:val="none"/>
        </w:rPr>
        <w:t>。</w:t>
      </w:r>
    </w:p>
    <w:p w14:paraId="22744FAB">
      <w:pPr>
        <w:spacing w:before="42" w:line="221" w:lineRule="auto"/>
        <w:rPr>
          <w:rFonts w:ascii="宋体" w:hAnsi="宋体" w:eastAsia="宋体" w:cs="宋体"/>
          <w:color w:val="auto"/>
          <w:spacing w:val="-2"/>
          <w:highlight w:val="none"/>
        </w:rPr>
      </w:pPr>
    </w:p>
    <w:p w14:paraId="7B4EDD14">
      <w:pPr>
        <w:spacing w:before="42" w:line="221" w:lineRule="auto"/>
        <w:rPr>
          <w:rFonts w:ascii="宋体" w:hAnsi="宋体" w:eastAsia="宋体" w:cs="宋体"/>
          <w:color w:val="auto"/>
          <w:spacing w:val="-2"/>
          <w:highlight w:val="none"/>
        </w:rPr>
      </w:pPr>
    </w:p>
    <w:p w14:paraId="36B62BA5">
      <w:pPr>
        <w:spacing w:before="42" w:line="221" w:lineRule="auto"/>
        <w:rPr>
          <w:rFonts w:ascii="宋体" w:hAnsi="宋体" w:eastAsia="宋体" w:cs="宋体"/>
          <w:color w:val="auto"/>
          <w:spacing w:val="-2"/>
          <w:highlight w:val="none"/>
        </w:rPr>
      </w:pPr>
    </w:p>
    <w:p w14:paraId="5158880B">
      <w:pPr>
        <w:spacing w:before="42" w:line="221" w:lineRule="auto"/>
        <w:ind w:firstLine="412" w:firstLineChars="200"/>
        <w:rPr>
          <w:rFonts w:ascii="宋体" w:hAnsi="宋体" w:eastAsia="宋体" w:cs="宋体"/>
          <w:color w:val="auto"/>
          <w:highlight w:val="none"/>
        </w:rPr>
      </w:pPr>
      <w:r>
        <w:rPr>
          <w:rFonts w:hint="eastAsia" w:ascii="宋体" w:hAnsi="宋体" w:eastAsia="宋体" w:cs="宋体"/>
          <w:color w:val="auto"/>
          <w:spacing w:val="-2"/>
          <w:highlight w:val="none"/>
        </w:rPr>
        <w:t>发包人：(盖章）                              承包人：（盖章）</w:t>
      </w:r>
    </w:p>
    <w:p w14:paraId="13A209E1">
      <w:pPr>
        <w:spacing w:line="301" w:lineRule="auto"/>
        <w:rPr>
          <w:rFonts w:ascii="宋体" w:hAnsi="宋体" w:eastAsia="宋体" w:cs="宋体"/>
          <w:color w:val="auto"/>
          <w:highlight w:val="none"/>
        </w:rPr>
      </w:pPr>
    </w:p>
    <w:p w14:paraId="6CB2923A">
      <w:pPr>
        <w:spacing w:line="301" w:lineRule="auto"/>
        <w:rPr>
          <w:rFonts w:ascii="宋体" w:hAnsi="宋体" w:eastAsia="宋体" w:cs="宋体"/>
          <w:color w:val="auto"/>
          <w:highlight w:val="none"/>
        </w:rPr>
      </w:pPr>
    </w:p>
    <w:p w14:paraId="2AF080B4">
      <w:pPr>
        <w:spacing w:before="69" w:line="221" w:lineRule="auto"/>
        <w:ind w:left="421"/>
        <w:rPr>
          <w:rFonts w:ascii="宋体" w:hAnsi="宋体" w:eastAsia="宋体" w:cs="宋体"/>
          <w:color w:val="auto"/>
          <w:highlight w:val="none"/>
        </w:rPr>
      </w:pPr>
      <w:r>
        <w:rPr>
          <w:rFonts w:hint="eastAsia" w:ascii="宋体" w:hAnsi="宋体" w:eastAsia="宋体" w:cs="宋体"/>
          <w:color w:val="auto"/>
          <w:spacing w:val="-1"/>
          <w:highlight w:val="none"/>
        </w:rPr>
        <w:t>法定代表人：                                法定代表人：</w:t>
      </w:r>
    </w:p>
    <w:p w14:paraId="50CE0B60">
      <w:pPr>
        <w:spacing w:line="266" w:lineRule="auto"/>
        <w:rPr>
          <w:rFonts w:ascii="宋体" w:hAnsi="宋体" w:eastAsia="宋体" w:cs="宋体"/>
          <w:color w:val="auto"/>
          <w:highlight w:val="none"/>
        </w:rPr>
      </w:pPr>
    </w:p>
    <w:p w14:paraId="6130AE37">
      <w:pPr>
        <w:spacing w:before="68" w:line="221" w:lineRule="auto"/>
        <w:ind w:left="423"/>
        <w:rPr>
          <w:rFonts w:ascii="宋体" w:hAnsi="宋体" w:eastAsia="宋体" w:cs="宋体"/>
          <w:color w:val="auto"/>
          <w:highlight w:val="none"/>
        </w:rPr>
      </w:pPr>
      <w:r>
        <w:rPr>
          <w:rFonts w:hint="eastAsia" w:ascii="宋体" w:hAnsi="宋体" w:eastAsia="宋体" w:cs="宋体"/>
          <w:color w:val="auto"/>
          <w:spacing w:val="-8"/>
          <w:highlight w:val="none"/>
        </w:rPr>
        <w:t>或</w:t>
      </w:r>
      <w:r>
        <w:rPr>
          <w:rFonts w:hint="eastAsia" w:ascii="宋体" w:hAnsi="宋体" w:eastAsia="宋体" w:cs="宋体"/>
          <w:color w:val="auto"/>
          <w:spacing w:val="-4"/>
          <w:highlight w:val="none"/>
        </w:rPr>
        <w:t xml:space="preserve">委托代理人：                               </w:t>
      </w:r>
      <w:r>
        <w:rPr>
          <w:rFonts w:hint="eastAsia" w:ascii="宋体" w:hAnsi="宋体" w:eastAsia="宋体" w:cs="宋体"/>
          <w:color w:val="auto"/>
          <w:spacing w:val="-8"/>
          <w:highlight w:val="none"/>
        </w:rPr>
        <w:t>或</w:t>
      </w:r>
      <w:r>
        <w:rPr>
          <w:rFonts w:hint="eastAsia" w:ascii="宋体" w:hAnsi="宋体" w:eastAsia="宋体" w:cs="宋体"/>
          <w:color w:val="auto"/>
          <w:spacing w:val="-4"/>
          <w:highlight w:val="none"/>
        </w:rPr>
        <w:t>委托代理人：</w:t>
      </w:r>
    </w:p>
    <w:p w14:paraId="74CA5EA0">
      <w:pPr>
        <w:spacing w:line="260" w:lineRule="auto"/>
        <w:rPr>
          <w:rFonts w:ascii="宋体" w:hAnsi="宋体" w:eastAsia="宋体" w:cs="宋体"/>
          <w:color w:val="auto"/>
          <w:highlight w:val="none"/>
        </w:rPr>
      </w:pPr>
    </w:p>
    <w:p w14:paraId="744D0929">
      <w:pPr>
        <w:spacing w:line="260" w:lineRule="auto"/>
        <w:rPr>
          <w:rFonts w:ascii="宋体" w:hAnsi="宋体" w:eastAsia="宋体" w:cs="宋体"/>
          <w:color w:val="auto"/>
          <w:highlight w:val="none"/>
        </w:rPr>
      </w:pPr>
    </w:p>
    <w:p w14:paraId="4E732BD5">
      <w:pPr>
        <w:spacing w:before="69" w:line="223" w:lineRule="auto"/>
        <w:ind w:left="421"/>
        <w:rPr>
          <w:rFonts w:ascii="宋体" w:hAnsi="宋体" w:eastAsia="宋体" w:cs="宋体"/>
          <w:color w:val="auto"/>
          <w:spacing w:val="-6"/>
          <w:highlight w:val="none"/>
        </w:rPr>
      </w:pPr>
      <w:r>
        <w:rPr>
          <w:rFonts w:hint="eastAsia" w:ascii="宋体" w:hAnsi="宋体" w:eastAsia="宋体" w:cs="宋体"/>
          <w:color w:val="auto"/>
          <w:spacing w:val="-7"/>
          <w:highlight w:val="none"/>
        </w:rPr>
        <w:t>联</w:t>
      </w:r>
      <w:r>
        <w:rPr>
          <w:rFonts w:hint="eastAsia" w:ascii="宋体" w:hAnsi="宋体" w:eastAsia="宋体" w:cs="宋体"/>
          <w:color w:val="auto"/>
          <w:spacing w:val="-6"/>
          <w:highlight w:val="none"/>
        </w:rPr>
        <w:t xml:space="preserve">系电话：                                    </w:t>
      </w:r>
      <w:r>
        <w:rPr>
          <w:rFonts w:hint="eastAsia" w:ascii="宋体" w:hAnsi="宋体" w:eastAsia="宋体" w:cs="宋体"/>
          <w:color w:val="auto"/>
          <w:spacing w:val="-7"/>
          <w:highlight w:val="none"/>
        </w:rPr>
        <w:t>联</w:t>
      </w:r>
      <w:r>
        <w:rPr>
          <w:rFonts w:hint="eastAsia" w:ascii="宋体" w:hAnsi="宋体" w:eastAsia="宋体" w:cs="宋体"/>
          <w:color w:val="auto"/>
          <w:spacing w:val="-6"/>
          <w:highlight w:val="none"/>
        </w:rPr>
        <w:t>系电话：</w:t>
      </w:r>
    </w:p>
    <w:p w14:paraId="6251E180">
      <w:pPr>
        <w:pStyle w:val="5"/>
        <w:rPr>
          <w:color w:val="auto"/>
          <w:highlight w:val="none"/>
        </w:rPr>
      </w:pPr>
    </w:p>
    <w:p w14:paraId="49084033">
      <w:pPr>
        <w:spacing w:before="69" w:line="223" w:lineRule="auto"/>
        <w:ind w:left="421"/>
        <w:rPr>
          <w:rFonts w:ascii="宋体" w:hAnsi="宋体" w:eastAsia="宋体" w:cs="宋体"/>
          <w:color w:val="auto"/>
          <w:highlight w:val="none"/>
        </w:rPr>
      </w:pPr>
    </w:p>
    <w:p w14:paraId="40E25EC4">
      <w:pPr>
        <w:spacing w:before="99" w:line="219" w:lineRule="auto"/>
        <w:ind w:firstLine="5014" w:firstLineChars="2300"/>
        <w:rPr>
          <w:rFonts w:ascii="宋体" w:hAnsi="宋体" w:eastAsia="宋体" w:cs="宋体"/>
          <w:color w:val="auto"/>
          <w:spacing w:val="4"/>
          <w:highlight w:val="none"/>
        </w:rPr>
      </w:pPr>
      <w:r>
        <w:rPr>
          <w:rFonts w:hint="eastAsia" w:ascii="宋体" w:hAnsi="宋体" w:eastAsia="宋体" w:cs="宋体"/>
          <w:color w:val="auto"/>
          <w:spacing w:val="4"/>
          <w:highlight w:val="none"/>
        </w:rPr>
        <w:t>年   月   日</w:t>
      </w:r>
      <w:bookmarkStart w:id="1405" w:name="_bookmark267"/>
      <w:bookmarkEnd w:id="1405"/>
      <w:bookmarkStart w:id="1406" w:name="_bookmark268"/>
      <w:bookmarkEnd w:id="1406"/>
    </w:p>
    <w:p w14:paraId="57323B59">
      <w:pPr>
        <w:rPr>
          <w:rFonts w:ascii="宋体" w:hAnsi="宋体" w:eastAsia="宋体" w:cs="宋体"/>
          <w:color w:val="auto"/>
          <w:spacing w:val="4"/>
          <w:highlight w:val="none"/>
        </w:rPr>
      </w:pPr>
      <w:r>
        <w:rPr>
          <w:rFonts w:hint="eastAsia" w:ascii="宋体" w:hAnsi="宋体" w:eastAsia="宋体" w:cs="宋体"/>
          <w:color w:val="auto"/>
          <w:spacing w:val="4"/>
          <w:highlight w:val="none"/>
        </w:rPr>
        <w:br w:type="page"/>
      </w:r>
    </w:p>
    <w:p w14:paraId="29CB0DFE">
      <w:pPr>
        <w:pStyle w:val="2"/>
        <w:rPr>
          <w:rFonts w:ascii="宋体" w:hAnsi="宋体" w:eastAsia="宋体"/>
          <w:color w:val="auto"/>
          <w:szCs w:val="21"/>
          <w:highlight w:val="none"/>
        </w:rPr>
      </w:pPr>
      <w:bookmarkStart w:id="1407" w:name="_Toc25835"/>
      <w:bookmarkStart w:id="1408" w:name="_Toc26107"/>
      <w:bookmarkStart w:id="1409" w:name="_Toc24715"/>
      <w:bookmarkStart w:id="1410" w:name="_Toc24745"/>
      <w:bookmarkStart w:id="1411" w:name="_Toc7338"/>
      <w:r>
        <w:rPr>
          <w:rFonts w:hint="eastAsia" w:ascii="宋体" w:hAnsi="宋体" w:eastAsia="宋体" w:cs="宋体"/>
          <w:color w:val="auto"/>
          <w:sz w:val="24"/>
          <w:szCs w:val="24"/>
          <w:highlight w:val="none"/>
        </w:rPr>
        <w:t>附件 2：阳光合作协议</w:t>
      </w:r>
      <w:bookmarkEnd w:id="1407"/>
      <w:bookmarkEnd w:id="1408"/>
      <w:bookmarkEnd w:id="1409"/>
      <w:bookmarkEnd w:id="1410"/>
      <w:bookmarkEnd w:id="1411"/>
      <w:r>
        <w:rPr>
          <w:rFonts w:hint="eastAsia" w:ascii="宋体" w:hAnsi="宋体" w:eastAsia="宋体"/>
          <w:color w:val="auto"/>
          <w:szCs w:val="21"/>
          <w:highlight w:val="none"/>
        </w:rPr>
        <w:t xml:space="preserve">          </w:t>
      </w:r>
    </w:p>
    <w:p w14:paraId="05AEE80C">
      <w:pPr>
        <w:pStyle w:val="7"/>
        <w:jc w:val="center"/>
        <w:rPr>
          <w:color w:val="auto"/>
          <w:highlight w:val="none"/>
        </w:rPr>
      </w:pPr>
      <w:r>
        <w:rPr>
          <w:rFonts w:hint="eastAsia" w:ascii="宋体" w:hAnsi="宋体" w:eastAsia="宋体" w:cs="宋体"/>
          <w:color w:val="auto"/>
          <w:spacing w:val="-5"/>
          <w:szCs w:val="24"/>
          <w:highlight w:val="none"/>
          <w14:textOutline w14:w="4356" w14:cap="flat" w14:cmpd="sng" w14:algn="ctr">
            <w14:solidFill>
              <w14:srgbClr w14:val="000000"/>
            </w14:solidFill>
            <w14:prstDash w14:val="solid"/>
            <w14:miter w14:val="0"/>
          </w14:textOutline>
        </w:rPr>
        <w:t>阳光合作协议</w:t>
      </w:r>
    </w:p>
    <w:p w14:paraId="0A43FE62">
      <w:pPr>
        <w:kinsoku/>
        <w:autoSpaceDE/>
        <w:autoSpaceDN/>
        <w:adjustRightInd/>
        <w:snapToGrid/>
        <w:spacing w:before="120" w:beforeLines="50" w:after="120" w:afterLines="50" w:line="360" w:lineRule="auto"/>
        <w:ind w:firstLine="420" w:firstLineChars="200"/>
        <w:contextualSpacing/>
        <w:textAlignment w:val="auto"/>
        <w:rPr>
          <w:color w:val="auto"/>
          <w:highlight w:val="none"/>
        </w:rPr>
      </w:pPr>
      <w:r>
        <w:rPr>
          <w:rFonts w:hint="eastAsia" w:ascii="宋体" w:hAnsi="宋体"/>
          <w:color w:val="auto"/>
          <w:highlight w:val="none"/>
        </w:rPr>
        <w:t>甲方：</w:t>
      </w:r>
      <w:r>
        <w:rPr>
          <w:rFonts w:hint="eastAsia" w:ascii="宋体" w:hAnsi="宋体"/>
          <w:color w:val="auto"/>
          <w:highlight w:val="none"/>
          <w:u w:val="single"/>
        </w:rPr>
        <w:t xml:space="preserve"> 东莞市安居建设投资有限公司  </w:t>
      </w:r>
    </w:p>
    <w:p w14:paraId="7A25395F">
      <w:pPr>
        <w:kinsoku/>
        <w:autoSpaceDE/>
        <w:autoSpaceDN/>
        <w:adjustRightInd/>
        <w:snapToGrid/>
        <w:spacing w:before="120" w:beforeLines="50" w:after="120" w:afterLines="50" w:line="360" w:lineRule="auto"/>
        <w:ind w:firstLine="420" w:firstLineChars="200"/>
        <w:contextualSpacing/>
        <w:textAlignment w:val="auto"/>
        <w:rPr>
          <w:rFonts w:ascii="宋体" w:hAnsi="宋体"/>
          <w:color w:val="auto"/>
          <w:highlight w:val="none"/>
        </w:rPr>
      </w:pPr>
      <w:r>
        <w:rPr>
          <w:rFonts w:hint="eastAsia" w:ascii="宋体" w:hAnsi="宋体"/>
          <w:color w:val="auto"/>
          <w:highlight w:val="none"/>
        </w:rPr>
        <w:t>乙方：</w:t>
      </w:r>
      <w:r>
        <w:rPr>
          <w:rFonts w:hint="eastAsia" w:ascii="宋体" w:hAnsi="宋体"/>
          <w:color w:val="auto"/>
          <w:highlight w:val="none"/>
          <w:u w:val="single"/>
        </w:rPr>
        <w:t xml:space="preserve">                             </w:t>
      </w:r>
    </w:p>
    <w:p w14:paraId="3082FB10">
      <w:pPr>
        <w:pStyle w:val="7"/>
        <w:rPr>
          <w:color w:val="auto"/>
          <w:highlight w:val="none"/>
        </w:rPr>
      </w:pPr>
    </w:p>
    <w:p w14:paraId="2D856D23">
      <w:pPr>
        <w:kinsoku/>
        <w:autoSpaceDE/>
        <w:autoSpaceDN/>
        <w:adjustRightInd/>
        <w:snapToGrid/>
        <w:spacing w:before="120" w:beforeLines="50" w:after="120" w:afterLines="50" w:line="360" w:lineRule="auto"/>
        <w:ind w:firstLine="420" w:firstLineChars="200"/>
        <w:contextualSpacing/>
        <w:textAlignment w:val="auto"/>
        <w:rPr>
          <w:rFonts w:ascii="宋体"/>
          <w:color w:val="auto"/>
          <w:highlight w:val="none"/>
        </w:rPr>
      </w:pPr>
      <w:r>
        <w:rPr>
          <w:rFonts w:hint="eastAsia" w:ascii="宋体" w:hAnsi="宋体"/>
          <w:color w:val="auto"/>
          <w:highlight w:val="none"/>
        </w:rPr>
        <w:t>甲乙双方于</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月</w:t>
      </w:r>
      <w:r>
        <w:rPr>
          <w:rFonts w:hint="eastAsia" w:ascii="宋体" w:hAnsi="宋体"/>
          <w:color w:val="auto"/>
          <w:highlight w:val="none"/>
          <w:u w:val="single"/>
        </w:rPr>
        <w:t xml:space="preserve">      </w:t>
      </w:r>
      <w:r>
        <w:rPr>
          <w:rFonts w:hint="eastAsia" w:ascii="宋体" w:hAnsi="宋体"/>
          <w:color w:val="auto"/>
          <w:highlight w:val="none"/>
        </w:rPr>
        <w:t>日签署了《</w:t>
      </w:r>
      <w:r>
        <w:rPr>
          <w:rFonts w:hint="eastAsia" w:ascii="宋体" w:hAnsi="宋体" w:eastAsia="宋体"/>
          <w:color w:val="auto"/>
          <w:highlight w:val="none"/>
          <w:lang w:eastAsia="zh-CN"/>
        </w:rPr>
        <w:t>东城街道堑头社区居民委员会堑头路13号危旧房改造工程</w:t>
      </w:r>
      <w:r>
        <w:rPr>
          <w:rFonts w:hint="eastAsia" w:ascii="宋体" w:hAnsi="宋体" w:eastAsia="宋体"/>
          <w:color w:val="auto"/>
          <w:highlight w:val="none"/>
        </w:rPr>
        <w:t>施工</w:t>
      </w:r>
      <w:r>
        <w:rPr>
          <w:rFonts w:hint="eastAsia" w:ascii="宋体" w:hAnsi="宋体"/>
          <w:color w:val="auto"/>
          <w:highlight w:val="none"/>
        </w:rPr>
        <w:t>合同》（以下简称原合同），为加强双方阳光合作，保证职员职业安全，甲乙双方经协商签订本协议并作为双方共同遵守的阳光合作行为准则。</w:t>
      </w:r>
    </w:p>
    <w:p w14:paraId="6E46FC99">
      <w:pPr>
        <w:kinsoku/>
        <w:autoSpaceDE/>
        <w:autoSpaceDN/>
        <w:adjustRightInd/>
        <w:snapToGrid/>
        <w:spacing w:before="120" w:beforeLines="50" w:after="120" w:afterLines="50" w:line="360" w:lineRule="auto"/>
        <w:ind w:left="420" w:leftChars="200"/>
        <w:contextualSpacing/>
        <w:textAlignment w:val="auto"/>
        <w:rPr>
          <w:rFonts w:ascii="宋体" w:hAnsi="宋体"/>
          <w:b/>
          <w:color w:val="auto"/>
          <w:highlight w:val="none"/>
        </w:rPr>
      </w:pPr>
      <w:r>
        <w:rPr>
          <w:rFonts w:hint="eastAsia" w:ascii="宋体" w:hAnsi="宋体"/>
          <w:b/>
          <w:color w:val="auto"/>
          <w:highlight w:val="none"/>
        </w:rPr>
        <w:t>一、甲方责任</w:t>
      </w:r>
    </w:p>
    <w:p w14:paraId="73596CF4">
      <w:pPr>
        <w:kinsoku/>
        <w:autoSpaceDE/>
        <w:autoSpaceDN/>
        <w:adjustRightInd/>
        <w:snapToGrid/>
        <w:spacing w:before="120" w:beforeLines="50" w:after="120"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1.甲方有责任向乙方介绍本单位有关采购管理通用原则和本协议的规定。</w:t>
      </w:r>
    </w:p>
    <w:p w14:paraId="30D36F35">
      <w:pPr>
        <w:kinsoku/>
        <w:autoSpaceDE/>
        <w:autoSpaceDN/>
        <w:adjustRightInd/>
        <w:snapToGrid/>
        <w:spacing w:before="120" w:beforeLines="50" w:after="120" w:afterLines="50" w:line="360" w:lineRule="auto"/>
        <w:ind w:left="105" w:leftChars="50" w:firstLine="420" w:firstLineChars="200"/>
        <w:contextualSpacing/>
        <w:textAlignment w:val="auto"/>
        <w:outlineLvl w:val="9"/>
        <w:rPr>
          <w:rFonts w:ascii="宋体" w:hAnsi="宋体"/>
          <w:color w:val="auto"/>
          <w:highlight w:val="none"/>
        </w:rPr>
      </w:pPr>
      <w:bookmarkStart w:id="1412" w:name="_Toc28705"/>
      <w:bookmarkStart w:id="1413" w:name="_Toc24821"/>
      <w:bookmarkStart w:id="1414" w:name="_Toc12385"/>
      <w:bookmarkStart w:id="1415" w:name="_Toc68"/>
      <w:bookmarkStart w:id="1416" w:name="_Toc10985"/>
      <w:r>
        <w:rPr>
          <w:rFonts w:hint="eastAsia" w:ascii="宋体" w:hAnsi="宋体"/>
          <w:color w:val="auto"/>
          <w:highlight w:val="none"/>
        </w:rPr>
        <w:t>2.甲方有责任对本单位相关人员进行阳光合作教育。</w:t>
      </w:r>
      <w:bookmarkEnd w:id="1412"/>
      <w:bookmarkEnd w:id="1413"/>
      <w:bookmarkEnd w:id="1414"/>
      <w:bookmarkEnd w:id="1415"/>
      <w:bookmarkEnd w:id="1416"/>
    </w:p>
    <w:p w14:paraId="50C82804">
      <w:pPr>
        <w:kinsoku/>
        <w:autoSpaceDE/>
        <w:autoSpaceDN/>
        <w:adjustRightInd/>
        <w:snapToGrid/>
        <w:spacing w:before="120" w:beforeLines="50" w:after="120"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0614AEB3">
      <w:pPr>
        <w:kinsoku/>
        <w:autoSpaceDE/>
        <w:autoSpaceDN/>
        <w:adjustRightInd/>
        <w:snapToGrid/>
        <w:spacing w:before="120" w:beforeLines="50" w:after="120"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4.甲方人员如违反阳光合作管理制度及本协议规定，甲方视情节轻重、影响大小给予行政及经济处罚。</w:t>
      </w:r>
    </w:p>
    <w:p w14:paraId="13D1B246">
      <w:pPr>
        <w:kinsoku/>
        <w:autoSpaceDE/>
        <w:autoSpaceDN/>
        <w:adjustRightInd/>
        <w:snapToGrid/>
        <w:spacing w:before="120" w:beforeLines="50" w:after="120"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5．对于乙方举报甲方人员违反阳光合作规定的情况，甲方应及时进行调查，根据调查情况进行处理，并将调查结果向乙方反馈。</w:t>
      </w:r>
    </w:p>
    <w:p w14:paraId="39F6D214">
      <w:pPr>
        <w:kinsoku/>
        <w:autoSpaceDE/>
        <w:autoSpaceDN/>
        <w:adjustRightInd/>
        <w:snapToGrid/>
        <w:spacing w:before="120" w:beforeLines="50" w:after="120"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6.接受举报的一方应为举报方保密，不得对举报方进行报复，对举报属实和严格遵守《阳光合作协议》的合作方，在同等条件下给予后续合作的优先权。</w:t>
      </w:r>
    </w:p>
    <w:p w14:paraId="71995CE5">
      <w:pPr>
        <w:kinsoku/>
        <w:autoSpaceDE/>
        <w:autoSpaceDN/>
        <w:adjustRightInd/>
        <w:snapToGrid/>
        <w:spacing w:before="120" w:beforeLines="50" w:after="120" w:afterLines="50" w:line="360" w:lineRule="auto"/>
        <w:ind w:left="420" w:leftChars="200"/>
        <w:contextualSpacing/>
        <w:textAlignment w:val="auto"/>
        <w:rPr>
          <w:rFonts w:ascii="宋体" w:hAnsi="宋体"/>
          <w:b/>
          <w:color w:val="auto"/>
          <w:highlight w:val="none"/>
        </w:rPr>
      </w:pPr>
      <w:r>
        <w:rPr>
          <w:rFonts w:hint="eastAsia" w:ascii="宋体" w:hAnsi="宋体"/>
          <w:b/>
          <w:color w:val="auto"/>
          <w:highlight w:val="none"/>
        </w:rPr>
        <w:t>二、乙方责任</w:t>
      </w:r>
    </w:p>
    <w:p w14:paraId="6BEBE7A3">
      <w:pPr>
        <w:kinsoku/>
        <w:autoSpaceDE/>
        <w:autoSpaceDN/>
        <w:adjustRightInd/>
        <w:snapToGrid/>
        <w:spacing w:before="120" w:beforeLines="50" w:after="120"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1.乙方应保证乙方人员了解甲方有关采购管理通用原则和及本协议的规定，并遵照执行。</w:t>
      </w:r>
    </w:p>
    <w:p w14:paraId="73289271">
      <w:pPr>
        <w:kinsoku/>
        <w:autoSpaceDE/>
        <w:autoSpaceDN/>
        <w:adjustRightInd/>
        <w:snapToGrid/>
        <w:spacing w:before="120" w:beforeLines="50" w:after="120"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2.乙方不得以任何形式给予甲方人员回扣、赠送实物、现金、有价证券、礼券等有价物品或提供旅游等其他可能影响职务行为公正履行的活动（以下统称“财物”）。</w:t>
      </w:r>
    </w:p>
    <w:p w14:paraId="7BB6BE77">
      <w:pPr>
        <w:kinsoku/>
        <w:autoSpaceDE/>
        <w:autoSpaceDN/>
        <w:adjustRightInd/>
        <w:snapToGrid/>
        <w:spacing w:before="120" w:beforeLines="50" w:after="120"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3.乙方有责任接受甲方对乙方在合作期间阳光合作管理执行情况的监督，并对甲方相关调查工作主动配合。</w:t>
      </w:r>
    </w:p>
    <w:p w14:paraId="46CC7A21">
      <w:pPr>
        <w:kinsoku/>
        <w:autoSpaceDE/>
        <w:autoSpaceDN/>
        <w:adjustRightInd/>
        <w:snapToGrid/>
        <w:spacing w:before="120" w:beforeLines="50" w:after="120"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4.乙方有义务就甲方人员任何形式的索取或收受财物行为及时向甲方（直接联系人为东莞实业投资控股集团有限公司风控法务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14:paraId="1DE8A578">
      <w:pPr>
        <w:kinsoku/>
        <w:autoSpaceDE/>
        <w:autoSpaceDN/>
        <w:adjustRightInd/>
        <w:snapToGrid/>
        <w:spacing w:before="120" w:beforeLines="50" w:after="120"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5．甲方接受乙方实名或匿名举报，保证为举报者的信息保密，常设举报部门及电</w:t>
      </w:r>
      <w:r>
        <w:rPr>
          <w:rFonts w:hint="eastAsia" w:ascii="宋体" w:hAnsi="宋体" w:eastAsia="宋体"/>
          <w:color w:val="auto"/>
          <w:highlight w:val="none"/>
        </w:rPr>
        <w:t>话</w:t>
      </w:r>
      <w:r>
        <w:rPr>
          <w:rFonts w:hint="eastAsia" w:ascii="宋体" w:hAnsi="宋体"/>
          <w:color w:val="auto"/>
          <w:highlight w:val="none"/>
        </w:rPr>
        <w:t xml:space="preserve">： </w:t>
      </w:r>
    </w:p>
    <w:p w14:paraId="14529662">
      <w:pPr>
        <w:kinsoku/>
        <w:autoSpaceDE/>
        <w:autoSpaceDN/>
        <w:adjustRightInd/>
        <w:snapToGrid/>
        <w:spacing w:before="120" w:beforeLines="50" w:after="120"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举报受理部门：东莞实业投资控股集团有限公司风控法务部</w:t>
      </w:r>
    </w:p>
    <w:p w14:paraId="1E26CDE2">
      <w:pPr>
        <w:kinsoku/>
        <w:autoSpaceDE/>
        <w:autoSpaceDN/>
        <w:adjustRightInd/>
        <w:snapToGrid/>
        <w:spacing w:before="120" w:beforeLines="50" w:after="120"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东实集团举报邮箱：dgsyxf@163.com</w:t>
      </w:r>
    </w:p>
    <w:p w14:paraId="5C0D9D91">
      <w:pPr>
        <w:kinsoku/>
        <w:autoSpaceDE/>
        <w:autoSpaceDN/>
        <w:adjustRightInd/>
        <w:snapToGrid/>
        <w:spacing w:before="120" w:beforeLines="50" w:after="120"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东实集团举报电话：0769-28820703（周一至周五9:00-12:00和14:00-18:00）</w:t>
      </w:r>
    </w:p>
    <w:p w14:paraId="2AC6909F">
      <w:pPr>
        <w:kinsoku/>
        <w:autoSpaceDE/>
        <w:autoSpaceDN/>
        <w:adjustRightInd/>
        <w:snapToGrid/>
        <w:spacing w:before="120" w:beforeLines="50" w:after="120"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邮寄地址：东莞市东城区八一路1号机关二号大院9号楼，东莞实业投资控股集团有限公司风控法务部收，邮编523000。</w:t>
      </w:r>
    </w:p>
    <w:p w14:paraId="401C1967">
      <w:pPr>
        <w:kinsoku/>
        <w:autoSpaceDE/>
        <w:autoSpaceDN/>
        <w:adjustRightInd/>
        <w:snapToGrid/>
        <w:spacing w:before="120" w:beforeLines="50" w:after="120" w:afterLines="50" w:line="360" w:lineRule="auto"/>
        <w:ind w:left="420" w:leftChars="200"/>
        <w:contextualSpacing/>
        <w:textAlignment w:val="auto"/>
        <w:rPr>
          <w:rFonts w:ascii="宋体" w:hAnsi="宋体"/>
          <w:b/>
          <w:color w:val="auto"/>
          <w:highlight w:val="none"/>
        </w:rPr>
      </w:pPr>
      <w:r>
        <w:rPr>
          <w:rFonts w:hint="eastAsia" w:ascii="宋体" w:hAnsi="宋体"/>
          <w:b/>
          <w:color w:val="auto"/>
          <w:highlight w:val="none"/>
        </w:rPr>
        <w:t>三、其他</w:t>
      </w:r>
    </w:p>
    <w:p w14:paraId="094DE4DD">
      <w:pPr>
        <w:kinsoku/>
        <w:autoSpaceDE/>
        <w:autoSpaceDN/>
        <w:adjustRightInd/>
        <w:snapToGrid/>
        <w:spacing w:before="120" w:beforeLines="50" w:after="120" w:afterLines="50" w:line="360" w:lineRule="auto"/>
        <w:ind w:left="105" w:leftChars="50" w:firstLine="420" w:firstLineChars="200"/>
        <w:contextualSpacing/>
        <w:textAlignment w:val="auto"/>
        <w:outlineLvl w:val="9"/>
        <w:rPr>
          <w:rFonts w:ascii="宋体" w:hAnsi="宋体"/>
          <w:color w:val="auto"/>
          <w:highlight w:val="none"/>
        </w:rPr>
      </w:pPr>
      <w:bookmarkStart w:id="1417" w:name="_Toc12989"/>
      <w:bookmarkStart w:id="1418" w:name="_Toc6020"/>
      <w:bookmarkStart w:id="1419" w:name="_Toc15260"/>
      <w:bookmarkStart w:id="1420" w:name="_Toc13409"/>
      <w:bookmarkStart w:id="1421" w:name="_Toc1934"/>
      <w:r>
        <w:rPr>
          <w:rFonts w:hint="eastAsia" w:ascii="宋体" w:hAnsi="宋体"/>
          <w:color w:val="auto"/>
          <w:highlight w:val="none"/>
        </w:rPr>
        <w:t>1.本协议是原合同的补充协议，与原合同有同等法律效力。</w:t>
      </w:r>
      <w:bookmarkEnd w:id="1417"/>
      <w:bookmarkEnd w:id="1418"/>
      <w:bookmarkEnd w:id="1419"/>
      <w:bookmarkEnd w:id="1420"/>
      <w:bookmarkEnd w:id="1421"/>
    </w:p>
    <w:p w14:paraId="3172D403">
      <w:pPr>
        <w:spacing w:before="2" w:line="360" w:lineRule="auto"/>
        <w:ind w:firstLine="483"/>
        <w:rPr>
          <w:rFonts w:ascii="宋体" w:hAnsi="宋体"/>
          <w:color w:val="auto"/>
          <w:highlight w:val="none"/>
        </w:rPr>
      </w:pPr>
      <w:r>
        <w:rPr>
          <w:rFonts w:hint="eastAsia" w:ascii="宋体" w:hAnsi="宋体"/>
          <w:color w:val="auto"/>
          <w:highlight w:val="none"/>
        </w:rPr>
        <w:t>2.</w:t>
      </w:r>
      <w:r>
        <w:rPr>
          <w:rFonts w:ascii="宋体" w:hAnsi="宋体"/>
          <w:color w:val="auto"/>
          <w:highlight w:val="none"/>
        </w:rPr>
        <w:t>本</w:t>
      </w:r>
      <w:r>
        <w:rPr>
          <w:rFonts w:hint="eastAsia" w:ascii="宋体" w:hAnsi="宋体"/>
          <w:color w:val="auto"/>
          <w:highlight w:val="none"/>
        </w:rPr>
        <w:t>协议</w:t>
      </w:r>
      <w:r>
        <w:rPr>
          <w:rFonts w:hint="eastAsia" w:ascii="宋体" w:hAnsi="宋体" w:cs="宋体"/>
          <w:bCs/>
          <w:color w:val="auto"/>
          <w:highlight w:val="none"/>
        </w:rPr>
        <w:t>正本一式</w:t>
      </w:r>
      <w:r>
        <w:rPr>
          <w:rFonts w:hint="eastAsia" w:ascii="宋体" w:hAnsi="宋体" w:cs="宋体"/>
          <w:bCs/>
          <w:color w:val="auto"/>
          <w:highlight w:val="none"/>
          <w:u w:val="single"/>
        </w:rPr>
        <w:t>叁份</w:t>
      </w:r>
      <w:r>
        <w:rPr>
          <w:rFonts w:hint="eastAsia" w:ascii="宋体" w:hAnsi="宋体" w:cs="宋体"/>
          <w:bCs/>
          <w:color w:val="auto"/>
          <w:highlight w:val="none"/>
        </w:rPr>
        <w:t>，发包人及承包人各持</w:t>
      </w:r>
      <w:r>
        <w:rPr>
          <w:rFonts w:hint="eastAsia" w:ascii="宋体" w:hAnsi="宋体" w:cs="宋体"/>
          <w:bCs/>
          <w:color w:val="auto"/>
          <w:highlight w:val="none"/>
          <w:u w:val="single"/>
        </w:rPr>
        <w:t>壹</w:t>
      </w:r>
      <w:r>
        <w:rPr>
          <w:rFonts w:hint="eastAsia" w:ascii="宋体" w:hAnsi="宋体" w:cs="宋体"/>
          <w:bCs/>
          <w:color w:val="auto"/>
          <w:highlight w:val="none"/>
        </w:rPr>
        <w:t>份，建设主管部门持</w:t>
      </w:r>
      <w:r>
        <w:rPr>
          <w:rFonts w:hint="eastAsia" w:ascii="宋体" w:hAnsi="宋体" w:cs="宋体"/>
          <w:bCs/>
          <w:color w:val="auto"/>
          <w:highlight w:val="none"/>
          <w:u w:val="single"/>
        </w:rPr>
        <w:t>壹</w:t>
      </w:r>
      <w:r>
        <w:rPr>
          <w:rFonts w:hint="eastAsia" w:ascii="宋体" w:hAnsi="宋体" w:cs="宋体"/>
          <w:bCs/>
          <w:color w:val="auto"/>
          <w:highlight w:val="none"/>
        </w:rPr>
        <w:t>份；副本一式</w:t>
      </w:r>
      <w:r>
        <w:rPr>
          <w:rFonts w:hint="eastAsia" w:ascii="宋体" w:hAnsi="宋体" w:cs="宋体"/>
          <w:bCs/>
          <w:color w:val="auto"/>
          <w:highlight w:val="none"/>
          <w:u w:val="single"/>
        </w:rPr>
        <w:t>壹拾伍</w:t>
      </w:r>
      <w:r>
        <w:rPr>
          <w:rFonts w:hint="eastAsia" w:ascii="宋体" w:hAnsi="宋体" w:cs="宋体"/>
          <w:bCs/>
          <w:color w:val="auto"/>
          <w:highlight w:val="none"/>
        </w:rPr>
        <w:t>份，发包人持</w:t>
      </w:r>
      <w:r>
        <w:rPr>
          <w:rFonts w:hint="eastAsia" w:ascii="宋体" w:hAnsi="宋体" w:eastAsia="宋体" w:cs="宋体"/>
          <w:bCs/>
          <w:color w:val="auto"/>
          <w:highlight w:val="none"/>
          <w:u w:val="single"/>
        </w:rPr>
        <w:t>柒</w:t>
      </w:r>
      <w:r>
        <w:rPr>
          <w:rFonts w:hint="eastAsia" w:ascii="宋体" w:hAnsi="宋体" w:cs="宋体"/>
          <w:bCs/>
          <w:color w:val="auto"/>
          <w:highlight w:val="none"/>
        </w:rPr>
        <w:t>份，承包人持</w:t>
      </w:r>
      <w:r>
        <w:rPr>
          <w:rFonts w:hint="eastAsia" w:ascii="宋体" w:hAnsi="宋体" w:eastAsia="宋体" w:cs="宋体"/>
          <w:bCs/>
          <w:color w:val="auto"/>
          <w:highlight w:val="none"/>
          <w:u w:val="single"/>
        </w:rPr>
        <w:t>陆</w:t>
      </w:r>
      <w:r>
        <w:rPr>
          <w:rFonts w:hint="eastAsia" w:ascii="宋体" w:hAnsi="宋体" w:cs="宋体"/>
          <w:bCs/>
          <w:color w:val="auto"/>
          <w:highlight w:val="none"/>
        </w:rPr>
        <w:t>份，市公共资源交易中心、招标代理机构各持</w:t>
      </w:r>
      <w:r>
        <w:rPr>
          <w:rFonts w:hint="eastAsia" w:ascii="宋体" w:hAnsi="宋体" w:cs="宋体"/>
          <w:bCs/>
          <w:color w:val="auto"/>
          <w:highlight w:val="none"/>
          <w:u w:val="single"/>
        </w:rPr>
        <w:t>壹</w:t>
      </w:r>
      <w:r>
        <w:rPr>
          <w:rFonts w:hint="eastAsia" w:ascii="宋体" w:hAnsi="宋体" w:cs="宋体"/>
          <w:bCs/>
          <w:color w:val="auto"/>
          <w:highlight w:val="none"/>
        </w:rPr>
        <w:t>份。</w:t>
      </w:r>
      <w:r>
        <w:rPr>
          <w:rFonts w:hint="eastAsia" w:ascii="宋体" w:hAnsi="宋体"/>
          <w:color w:val="auto"/>
          <w:highlight w:val="none"/>
        </w:rPr>
        <w:t>具有同等法律效力。</w:t>
      </w:r>
    </w:p>
    <w:p w14:paraId="582FD6E9">
      <w:pPr>
        <w:kinsoku/>
        <w:autoSpaceDE/>
        <w:autoSpaceDN/>
        <w:adjustRightInd/>
        <w:snapToGrid/>
        <w:spacing w:before="120" w:beforeLines="50" w:after="120" w:afterLines="50" w:line="360" w:lineRule="auto"/>
        <w:ind w:left="105" w:leftChars="50" w:firstLine="420" w:firstLineChars="200"/>
        <w:contextualSpacing/>
        <w:textAlignment w:val="auto"/>
        <w:outlineLvl w:val="9"/>
        <w:rPr>
          <w:rFonts w:ascii="宋体" w:hAnsi="宋体"/>
          <w:color w:val="auto"/>
          <w:highlight w:val="none"/>
        </w:rPr>
      </w:pPr>
      <w:bookmarkStart w:id="1422" w:name="_Toc19813"/>
      <w:bookmarkStart w:id="1423" w:name="_Toc21768"/>
      <w:bookmarkStart w:id="1424" w:name="_Toc25225"/>
      <w:bookmarkStart w:id="1425" w:name="_Toc25200"/>
      <w:bookmarkStart w:id="1426" w:name="_Toc17936"/>
      <w:r>
        <w:rPr>
          <w:rFonts w:hint="eastAsia" w:ascii="宋体" w:hAnsi="宋体"/>
          <w:color w:val="auto"/>
          <w:highlight w:val="none"/>
        </w:rPr>
        <w:t>3.本协议经双方签署后生效。</w:t>
      </w:r>
      <w:bookmarkEnd w:id="1422"/>
      <w:bookmarkEnd w:id="1423"/>
      <w:bookmarkEnd w:id="1424"/>
      <w:bookmarkEnd w:id="1425"/>
      <w:bookmarkEnd w:id="1426"/>
    </w:p>
    <w:p w14:paraId="4FB6EF86">
      <w:pPr>
        <w:kinsoku/>
        <w:autoSpaceDE/>
        <w:autoSpaceDN/>
        <w:adjustRightInd/>
        <w:snapToGrid/>
        <w:spacing w:before="120" w:beforeLines="50" w:after="120" w:afterLines="50" w:line="360" w:lineRule="auto"/>
        <w:ind w:firstLine="420" w:firstLineChars="200"/>
        <w:contextualSpacing/>
        <w:textAlignment w:val="auto"/>
        <w:rPr>
          <w:rFonts w:ascii="宋体" w:hAnsi="宋体"/>
          <w:color w:val="auto"/>
          <w:highlight w:val="none"/>
        </w:rPr>
      </w:pPr>
    </w:p>
    <w:p w14:paraId="1F922205">
      <w:pPr>
        <w:kinsoku/>
        <w:autoSpaceDE/>
        <w:autoSpaceDN/>
        <w:adjustRightInd/>
        <w:snapToGrid/>
        <w:spacing w:before="120" w:beforeLines="50" w:after="120" w:afterLines="50" w:line="360" w:lineRule="auto"/>
        <w:ind w:firstLine="420" w:firstLineChars="200"/>
        <w:contextualSpacing/>
        <w:textAlignment w:val="auto"/>
        <w:rPr>
          <w:rFonts w:ascii="宋体"/>
          <w:color w:val="auto"/>
          <w:highlight w:val="none"/>
        </w:rPr>
      </w:pPr>
      <w:r>
        <w:rPr>
          <w:rFonts w:hint="eastAsia" w:ascii="宋体" w:hAnsi="宋体"/>
          <w:color w:val="auto"/>
          <w:highlight w:val="none"/>
        </w:rPr>
        <w:t>甲方（盖章）：                      乙方（盖章）：</w:t>
      </w:r>
      <w:r>
        <w:rPr>
          <w:rFonts w:ascii="宋体"/>
          <w:color w:val="auto"/>
          <w:highlight w:val="none"/>
        </w:rPr>
        <w:t xml:space="preserve"> </w:t>
      </w:r>
    </w:p>
    <w:p w14:paraId="61E19736">
      <w:pPr>
        <w:kinsoku/>
        <w:autoSpaceDE/>
        <w:autoSpaceDN/>
        <w:adjustRightInd/>
        <w:snapToGrid/>
        <w:spacing w:before="120" w:beforeLines="50" w:after="120" w:afterLines="50" w:line="360" w:lineRule="auto"/>
        <w:ind w:firstLine="420" w:firstLineChars="200"/>
        <w:contextualSpacing/>
        <w:textAlignment w:val="auto"/>
        <w:rPr>
          <w:rFonts w:ascii="宋体" w:hAnsi="宋体"/>
          <w:color w:val="auto"/>
          <w:highlight w:val="none"/>
        </w:rPr>
      </w:pPr>
    </w:p>
    <w:p w14:paraId="1F0CC499">
      <w:pPr>
        <w:kinsoku/>
        <w:autoSpaceDE/>
        <w:autoSpaceDN/>
        <w:adjustRightInd/>
        <w:snapToGrid/>
        <w:spacing w:before="120" w:beforeLines="50" w:after="120" w:afterLines="50" w:line="360" w:lineRule="auto"/>
        <w:ind w:firstLine="420" w:firstLineChars="200"/>
        <w:contextualSpacing/>
        <w:textAlignment w:val="auto"/>
        <w:rPr>
          <w:rFonts w:ascii="宋体"/>
          <w:color w:val="auto"/>
          <w:highlight w:val="none"/>
        </w:rPr>
      </w:pPr>
      <w:r>
        <w:rPr>
          <w:rFonts w:hint="eastAsia" w:ascii="宋体" w:hAnsi="宋体"/>
          <w:color w:val="auto"/>
          <w:highlight w:val="none"/>
        </w:rPr>
        <w:t>法定代表人（授权代表）：</w:t>
      </w:r>
      <w:r>
        <w:rPr>
          <w:rFonts w:hint="eastAsia" w:ascii="宋体"/>
          <w:color w:val="auto"/>
          <w:highlight w:val="none"/>
        </w:rPr>
        <w:tab/>
      </w:r>
      <w:r>
        <w:rPr>
          <w:rFonts w:hint="eastAsia" w:ascii="宋体"/>
          <w:color w:val="auto"/>
          <w:highlight w:val="none"/>
        </w:rPr>
        <w:tab/>
      </w:r>
      <w:r>
        <w:rPr>
          <w:rFonts w:hint="eastAsia" w:ascii="宋体"/>
          <w:color w:val="auto"/>
          <w:highlight w:val="none"/>
        </w:rPr>
        <w:t xml:space="preserve">  </w:t>
      </w:r>
      <w:r>
        <w:rPr>
          <w:rFonts w:hint="eastAsia" w:ascii="宋体"/>
          <w:color w:val="auto"/>
          <w:highlight w:val="none"/>
        </w:rPr>
        <w:tab/>
      </w:r>
      <w:r>
        <w:rPr>
          <w:rFonts w:hint="eastAsia" w:ascii="宋体"/>
          <w:color w:val="auto"/>
          <w:highlight w:val="none"/>
        </w:rPr>
        <w:t xml:space="preserve">   </w:t>
      </w:r>
      <w:r>
        <w:rPr>
          <w:rFonts w:hint="eastAsia" w:ascii="宋体" w:hAnsi="宋体"/>
          <w:color w:val="auto"/>
          <w:highlight w:val="none"/>
        </w:rPr>
        <w:t>法定代表人（授权代表）：</w:t>
      </w:r>
    </w:p>
    <w:p w14:paraId="36B8CAC9">
      <w:pPr>
        <w:kinsoku/>
        <w:autoSpaceDE/>
        <w:autoSpaceDN/>
        <w:adjustRightInd/>
        <w:snapToGrid/>
        <w:spacing w:before="120" w:beforeLines="50" w:after="120" w:afterLines="50" w:line="360" w:lineRule="auto"/>
        <w:ind w:firstLine="420" w:firstLineChars="200"/>
        <w:contextualSpacing/>
        <w:textAlignment w:val="auto"/>
        <w:rPr>
          <w:rFonts w:ascii="宋体" w:hAnsi="宋体"/>
          <w:color w:val="auto"/>
          <w:highlight w:val="none"/>
        </w:rPr>
      </w:pPr>
    </w:p>
    <w:p w14:paraId="6558561B">
      <w:pPr>
        <w:kinsoku/>
        <w:autoSpaceDE/>
        <w:autoSpaceDN/>
        <w:adjustRightInd/>
        <w:snapToGrid/>
        <w:spacing w:before="120" w:beforeLines="50" w:after="120" w:afterLines="50" w:line="360" w:lineRule="auto"/>
        <w:ind w:firstLine="420" w:firstLineChars="200"/>
        <w:contextualSpacing/>
        <w:textAlignment w:val="auto"/>
        <w:rPr>
          <w:color w:val="auto"/>
          <w:highlight w:val="none"/>
        </w:rPr>
      </w:pPr>
      <w:r>
        <w:rPr>
          <w:rFonts w:hint="eastAsia" w:ascii="宋体" w:hAnsi="宋体"/>
          <w:color w:val="auto"/>
          <w:highlight w:val="none"/>
        </w:rPr>
        <w:t>签约日期：   年   月   日</w:t>
      </w:r>
      <w:bookmarkStart w:id="1427" w:name="设计变更通知单"/>
      <w:bookmarkEnd w:id="1427"/>
      <w:bookmarkStart w:id="1428" w:name="现场签证通知单"/>
      <w:bookmarkEnd w:id="1428"/>
      <w:r>
        <w:rPr>
          <w:color w:val="auto"/>
          <w:highlight w:val="none"/>
        </w:rPr>
        <w:tab/>
      </w:r>
      <w:r>
        <w:rPr>
          <w:color w:val="auto"/>
          <w:highlight w:val="none"/>
        </w:rPr>
        <w:t xml:space="preserve">    </w:t>
      </w:r>
      <w:r>
        <w:rPr>
          <w:rFonts w:hint="eastAsia"/>
          <w:color w:val="auto"/>
          <w:highlight w:val="none"/>
        </w:rPr>
        <w:t xml:space="preserve">   </w:t>
      </w:r>
      <w:r>
        <w:rPr>
          <w:rFonts w:hint="eastAsia" w:ascii="宋体" w:hAnsi="宋体"/>
          <w:color w:val="auto"/>
          <w:highlight w:val="none"/>
        </w:rPr>
        <w:t>签约日期：   年   月   日</w:t>
      </w:r>
    </w:p>
    <w:p w14:paraId="0C48DF0C">
      <w:pPr>
        <w:rPr>
          <w:rFonts w:ascii="宋体" w:hAnsi="宋体" w:eastAsia="宋体" w:cs="宋体"/>
          <w:color w:val="auto"/>
          <w:spacing w:val="-8"/>
          <w:sz w:val="24"/>
          <w:szCs w:val="24"/>
          <w:highlight w:val="none"/>
          <w14:textOutline w14:w="4356" w14:cap="flat" w14:cmpd="sng" w14:algn="ctr">
            <w14:solidFill>
              <w14:srgbClr w14:val="000000"/>
            </w14:solidFill>
            <w14:prstDash w14:val="solid"/>
            <w14:miter w14:val="0"/>
          </w14:textOutline>
        </w:rPr>
      </w:pPr>
      <w:r>
        <w:rPr>
          <w:rFonts w:hint="eastAsia" w:ascii="宋体" w:hAnsi="宋体" w:eastAsia="宋体" w:cs="宋体"/>
          <w:color w:val="auto"/>
          <w:spacing w:val="-8"/>
          <w:sz w:val="24"/>
          <w:szCs w:val="24"/>
          <w:highlight w:val="none"/>
          <w14:textOutline w14:w="4356" w14:cap="flat" w14:cmpd="sng" w14:algn="ctr">
            <w14:solidFill>
              <w14:srgbClr w14:val="000000"/>
            </w14:solidFill>
            <w14:prstDash w14:val="solid"/>
            <w14:miter w14:val="0"/>
          </w14:textOutline>
        </w:rPr>
        <w:br w:type="page"/>
      </w:r>
    </w:p>
    <w:p w14:paraId="38A7DF32">
      <w:pPr>
        <w:pStyle w:val="2"/>
        <w:rPr>
          <w:rFonts w:ascii="宋体" w:hAnsi="宋体" w:eastAsia="宋体" w:cs="宋体"/>
          <w:color w:val="auto"/>
          <w:sz w:val="24"/>
          <w:szCs w:val="24"/>
          <w:highlight w:val="none"/>
        </w:rPr>
      </w:pPr>
      <w:bookmarkStart w:id="1429" w:name="_Toc24405"/>
      <w:bookmarkStart w:id="1430" w:name="_Toc3941"/>
      <w:bookmarkStart w:id="1431" w:name="_Toc8285"/>
      <w:bookmarkStart w:id="1432" w:name="_Toc10675"/>
      <w:bookmarkStart w:id="1433" w:name="_Toc18423"/>
      <w:r>
        <w:rPr>
          <w:rFonts w:hint="eastAsia" w:ascii="宋体" w:hAnsi="宋体" w:eastAsia="宋体" w:cs="宋体"/>
          <w:color w:val="auto"/>
          <w:sz w:val="24"/>
          <w:szCs w:val="24"/>
          <w:highlight w:val="none"/>
        </w:rPr>
        <w:t>附件 7：履约</w:t>
      </w:r>
      <w:bookmarkEnd w:id="1429"/>
      <w:r>
        <w:rPr>
          <w:rFonts w:hint="eastAsia" w:ascii="宋体" w:hAnsi="宋体" w:eastAsia="宋体" w:cs="宋体"/>
          <w:color w:val="auto"/>
          <w:sz w:val="24"/>
          <w:szCs w:val="24"/>
          <w:highlight w:val="none"/>
        </w:rPr>
        <w:t>担保格式</w:t>
      </w:r>
    </w:p>
    <w:bookmarkEnd w:id="1430"/>
    <w:bookmarkEnd w:id="1431"/>
    <w:bookmarkEnd w:id="1432"/>
    <w:bookmarkEnd w:id="1433"/>
    <w:p w14:paraId="0C3A2206">
      <w:pPr>
        <w:spacing w:line="323" w:lineRule="auto"/>
        <w:rPr>
          <w:rFonts w:ascii="宋体" w:hAnsi="宋体" w:eastAsia="宋体" w:cs="宋体"/>
          <w:color w:val="auto"/>
          <w:highlight w:val="none"/>
        </w:rPr>
      </w:pPr>
    </w:p>
    <w:p w14:paraId="1D06A7EE">
      <w:pPr>
        <w:spacing w:line="324" w:lineRule="auto"/>
        <w:rPr>
          <w:rFonts w:ascii="宋体" w:hAnsi="宋体" w:eastAsia="宋体" w:cs="宋体"/>
          <w:color w:val="auto"/>
          <w:highlight w:val="none"/>
        </w:rPr>
      </w:pPr>
    </w:p>
    <w:p w14:paraId="1CB8F19A">
      <w:pPr>
        <w:spacing w:before="91" w:line="219" w:lineRule="auto"/>
        <w:ind w:left="3305"/>
        <w:outlineLvl w:val="9"/>
        <w:rPr>
          <w:rFonts w:ascii="宋体" w:hAnsi="宋体" w:eastAsia="宋体" w:cs="宋体"/>
          <w:color w:val="auto"/>
          <w:sz w:val="28"/>
          <w:szCs w:val="28"/>
          <w:highlight w:val="none"/>
        </w:rPr>
      </w:pPr>
      <w:bookmarkStart w:id="1434" w:name="_Toc29164"/>
      <w:bookmarkStart w:id="1435" w:name="_Toc3302"/>
      <w:bookmarkStart w:id="1436" w:name="_Toc1147"/>
      <w:bookmarkStart w:id="1437" w:name="_Toc16015"/>
      <w:bookmarkStart w:id="1438" w:name="_Toc10175"/>
      <w:r>
        <w:rPr>
          <w:rFonts w:hint="eastAsia" w:ascii="宋体" w:hAnsi="宋体" w:eastAsia="宋体" w:cs="宋体"/>
          <w:color w:val="auto"/>
          <w:spacing w:val="-2"/>
          <w:sz w:val="28"/>
          <w:szCs w:val="28"/>
          <w:highlight w:val="none"/>
        </w:rPr>
        <w:t>不可撤销</w:t>
      </w:r>
      <w:r>
        <w:rPr>
          <w:rFonts w:hint="eastAsia" w:ascii="宋体" w:hAnsi="宋体" w:eastAsia="宋体" w:cs="宋体"/>
          <w:color w:val="auto"/>
          <w:spacing w:val="-1"/>
          <w:sz w:val="28"/>
          <w:szCs w:val="28"/>
          <w:highlight w:val="none"/>
        </w:rPr>
        <w:t>履约保函</w:t>
      </w:r>
      <w:bookmarkEnd w:id="1434"/>
      <w:bookmarkEnd w:id="1435"/>
      <w:bookmarkEnd w:id="1436"/>
      <w:bookmarkEnd w:id="1437"/>
      <w:bookmarkEnd w:id="1438"/>
    </w:p>
    <w:p w14:paraId="3D42F6B6">
      <w:pPr>
        <w:spacing w:before="122" w:line="221" w:lineRule="auto"/>
        <w:ind w:left="6310"/>
        <w:rPr>
          <w:rFonts w:ascii="宋体" w:hAnsi="宋体" w:eastAsia="宋体" w:cs="宋体"/>
          <w:color w:val="auto"/>
          <w:highlight w:val="none"/>
        </w:rPr>
      </w:pPr>
      <w:r>
        <w:rPr>
          <w:rFonts w:hint="eastAsia" w:ascii="宋体" w:hAnsi="宋体" w:eastAsia="宋体" w:cs="宋体"/>
          <w:color w:val="auto"/>
          <w:spacing w:val="-19"/>
          <w:highlight w:val="none"/>
        </w:rPr>
        <w:t>保</w:t>
      </w:r>
      <w:r>
        <w:rPr>
          <w:rFonts w:hint="eastAsia" w:ascii="宋体" w:hAnsi="宋体" w:eastAsia="宋体" w:cs="宋体"/>
          <w:color w:val="auto"/>
          <w:spacing w:val="-16"/>
          <w:highlight w:val="none"/>
        </w:rPr>
        <w:t>函编号：</w:t>
      </w:r>
      <w:r>
        <w:rPr>
          <w:rFonts w:hint="eastAsia" w:ascii="宋体" w:hAnsi="宋体" w:eastAsia="宋体" w:cs="宋体"/>
          <w:color w:val="auto"/>
          <w:highlight w:val="none"/>
          <w:u w:val="single"/>
        </w:rPr>
        <w:t xml:space="preserve">              </w:t>
      </w:r>
    </w:p>
    <w:p w14:paraId="75A73E18">
      <w:pPr>
        <w:spacing w:line="427" w:lineRule="auto"/>
        <w:rPr>
          <w:rFonts w:ascii="宋体" w:hAnsi="宋体" w:eastAsia="宋体" w:cs="宋体"/>
          <w:color w:val="auto"/>
          <w:highlight w:val="none"/>
        </w:rPr>
      </w:pPr>
    </w:p>
    <w:p w14:paraId="5D987C11">
      <w:pPr>
        <w:spacing w:before="68" w:line="221" w:lineRule="auto"/>
        <w:ind w:left="8"/>
        <w:rPr>
          <w:rFonts w:ascii="宋体" w:hAnsi="宋体" w:eastAsia="宋体" w:cs="宋体"/>
          <w:color w:val="auto"/>
          <w:highlight w:val="none"/>
        </w:rPr>
      </w:pPr>
      <w:r>
        <w:rPr>
          <w:rFonts w:hint="eastAsia" w:ascii="宋体" w:hAnsi="宋体" w:eastAsia="宋体" w:cs="宋体"/>
          <w:color w:val="auto"/>
          <w:spacing w:val="-8"/>
          <w:highlight w:val="none"/>
        </w:rPr>
        <w:t xml:space="preserve">致： </w:t>
      </w:r>
      <w:r>
        <w:rPr>
          <w:rFonts w:hint="eastAsia" w:ascii="宋体" w:hAnsi="宋体" w:eastAsia="宋体" w:cs="宋体"/>
          <w:color w:val="auto"/>
          <w:spacing w:val="-8"/>
          <w:highlight w:val="none"/>
          <w:u w:val="single"/>
        </w:rPr>
        <w:t xml:space="preserve"> </w:t>
      </w:r>
      <w:r>
        <w:rPr>
          <w:rFonts w:hint="eastAsia" w:ascii="宋体" w:hAnsi="宋体" w:eastAsia="宋体" w:cs="宋体"/>
          <w:color w:val="auto"/>
          <w:spacing w:val="-4"/>
          <w:highlight w:val="none"/>
          <w:u w:val="single"/>
        </w:rPr>
        <w:t xml:space="preserve"> (发包人的名称)   </w:t>
      </w:r>
      <w:r>
        <w:rPr>
          <w:rFonts w:hint="eastAsia" w:ascii="宋体" w:hAnsi="宋体" w:eastAsia="宋体" w:cs="宋体"/>
          <w:color w:val="auto"/>
          <w:spacing w:val="-4"/>
          <w:highlight w:val="none"/>
        </w:rPr>
        <w:t xml:space="preserve"> (下称“发包人”)</w:t>
      </w:r>
    </w:p>
    <w:p w14:paraId="0DE0CC5E">
      <w:pPr>
        <w:spacing w:line="425" w:lineRule="auto"/>
        <w:rPr>
          <w:rFonts w:ascii="宋体" w:hAnsi="宋体" w:eastAsia="宋体" w:cs="宋体"/>
          <w:color w:val="auto"/>
          <w:highlight w:val="none"/>
        </w:rPr>
      </w:pPr>
    </w:p>
    <w:p w14:paraId="36500EE0">
      <w:pPr>
        <w:spacing w:before="68" w:line="418" w:lineRule="auto"/>
        <w:ind w:left="9" w:right="76" w:firstLine="438"/>
        <w:rPr>
          <w:rFonts w:ascii="宋体" w:hAnsi="宋体" w:eastAsia="宋体" w:cs="宋体"/>
          <w:color w:val="auto"/>
          <w:highlight w:val="none"/>
        </w:rPr>
      </w:pPr>
      <w:r>
        <w:rPr>
          <w:rFonts w:hint="eastAsia" w:ascii="宋体" w:hAnsi="宋体" w:eastAsia="宋体" w:cs="宋体"/>
          <w:color w:val="auto"/>
          <w:spacing w:val="-4"/>
          <w:highlight w:val="none"/>
        </w:rPr>
        <w:t>鉴于</w:t>
      </w:r>
      <w:r>
        <w:rPr>
          <w:rFonts w:hint="eastAsia" w:ascii="宋体" w:hAnsi="宋体" w:eastAsia="宋体" w:cs="宋体"/>
          <w:color w:val="auto"/>
          <w:spacing w:val="-4"/>
          <w:highlight w:val="none"/>
          <w:u w:val="single"/>
        </w:rPr>
        <w:t xml:space="preserve">   (承包人的名称与</w:t>
      </w:r>
      <w:r>
        <w:rPr>
          <w:rFonts w:hint="eastAsia" w:ascii="宋体" w:hAnsi="宋体" w:eastAsia="宋体" w:cs="宋体"/>
          <w:color w:val="auto"/>
          <w:spacing w:val="-3"/>
          <w:highlight w:val="none"/>
          <w:u w:val="single"/>
        </w:rPr>
        <w:t>地</w:t>
      </w:r>
      <w:r>
        <w:rPr>
          <w:rFonts w:hint="eastAsia" w:ascii="宋体" w:hAnsi="宋体" w:eastAsia="宋体" w:cs="宋体"/>
          <w:color w:val="auto"/>
          <w:spacing w:val="-2"/>
          <w:highlight w:val="none"/>
          <w:u w:val="single"/>
        </w:rPr>
        <w:t xml:space="preserve">址)   </w:t>
      </w:r>
      <w:r>
        <w:rPr>
          <w:rFonts w:hint="eastAsia" w:ascii="宋体" w:hAnsi="宋体" w:eastAsia="宋体" w:cs="宋体"/>
          <w:color w:val="auto"/>
          <w:spacing w:val="-2"/>
          <w:highlight w:val="none"/>
        </w:rPr>
        <w:t xml:space="preserve"> (下称“承包人”) ，已保证按</w:t>
      </w:r>
      <w:r>
        <w:rPr>
          <w:rFonts w:hint="eastAsia" w:ascii="宋体" w:hAnsi="宋体" w:eastAsia="宋体" w:cs="宋体"/>
          <w:color w:val="auto"/>
          <w:spacing w:val="-2"/>
          <w:highlight w:val="none"/>
          <w:u w:val="single"/>
        </w:rPr>
        <w:t xml:space="preserve">   (招标项目名称)   </w:t>
      </w:r>
      <w:r>
        <w:rPr>
          <w:rFonts w:hint="eastAsia" w:ascii="宋体" w:hAnsi="宋体" w:eastAsia="宋体" w:cs="宋体"/>
          <w:color w:val="auto"/>
          <w:spacing w:val="-2"/>
          <w:highlight w:val="none"/>
        </w:rPr>
        <w:t xml:space="preserve"> 招</w:t>
      </w:r>
      <w:r>
        <w:rPr>
          <w:rFonts w:hint="eastAsia" w:ascii="宋体" w:hAnsi="宋体" w:eastAsia="宋体" w:cs="宋体"/>
          <w:color w:val="auto"/>
          <w:highlight w:val="none"/>
        </w:rPr>
        <w:t xml:space="preserve"> </w:t>
      </w:r>
      <w:r>
        <w:rPr>
          <w:rFonts w:hint="eastAsia" w:ascii="宋体" w:hAnsi="宋体" w:eastAsia="宋体" w:cs="宋体"/>
          <w:color w:val="auto"/>
          <w:spacing w:val="-8"/>
          <w:highlight w:val="none"/>
        </w:rPr>
        <w:t>标文件</w:t>
      </w:r>
      <w:r>
        <w:rPr>
          <w:rFonts w:hint="eastAsia" w:ascii="宋体" w:hAnsi="宋体" w:eastAsia="宋体" w:cs="宋体"/>
          <w:color w:val="auto"/>
          <w:spacing w:val="-8"/>
          <w:highlight w:val="none"/>
          <w:u w:val="single"/>
        </w:rPr>
        <w:t xml:space="preserve"> (招</w:t>
      </w:r>
      <w:r>
        <w:rPr>
          <w:rFonts w:hint="eastAsia" w:ascii="宋体" w:hAnsi="宋体" w:eastAsia="宋体" w:cs="宋体"/>
          <w:color w:val="auto"/>
          <w:spacing w:val="-7"/>
          <w:highlight w:val="none"/>
          <w:u w:val="single"/>
        </w:rPr>
        <w:t>标</w:t>
      </w:r>
      <w:r>
        <w:rPr>
          <w:rFonts w:hint="eastAsia" w:ascii="宋体" w:hAnsi="宋体" w:eastAsia="宋体" w:cs="宋体"/>
          <w:color w:val="auto"/>
          <w:spacing w:val="-4"/>
          <w:highlight w:val="none"/>
          <w:u w:val="single"/>
        </w:rPr>
        <w:t xml:space="preserve">编号：    ) </w:t>
      </w:r>
      <w:r>
        <w:rPr>
          <w:rFonts w:hint="eastAsia" w:ascii="宋体" w:hAnsi="宋体" w:eastAsia="宋体" w:cs="宋体"/>
          <w:color w:val="auto"/>
          <w:spacing w:val="-4"/>
          <w:highlight w:val="none"/>
        </w:rPr>
        <w:t>及工程施工合同</w:t>
      </w:r>
      <w:r>
        <w:rPr>
          <w:rFonts w:hint="eastAsia" w:ascii="宋体" w:hAnsi="宋体" w:eastAsia="宋体" w:cs="宋体"/>
          <w:color w:val="auto"/>
          <w:spacing w:val="-4"/>
          <w:highlight w:val="none"/>
          <w:u w:val="single"/>
        </w:rPr>
        <w:t xml:space="preserve"> (合同编号：    ) </w:t>
      </w:r>
      <w:r>
        <w:rPr>
          <w:rFonts w:hint="eastAsia" w:ascii="宋体" w:hAnsi="宋体" w:eastAsia="宋体" w:cs="宋体"/>
          <w:color w:val="auto"/>
          <w:spacing w:val="-4"/>
          <w:highlight w:val="none"/>
        </w:rPr>
        <w:t>中规定的义务履行合同。</w:t>
      </w:r>
    </w:p>
    <w:p w14:paraId="26392738">
      <w:pPr>
        <w:tabs>
          <w:tab w:val="left" w:pos="118"/>
        </w:tabs>
        <w:spacing w:before="264" w:line="418" w:lineRule="auto"/>
        <w:ind w:right="100" w:firstLine="445"/>
        <w:rPr>
          <w:rFonts w:ascii="宋体" w:hAnsi="宋体" w:eastAsia="宋体" w:cs="宋体"/>
          <w:color w:val="auto"/>
          <w:highlight w:val="none"/>
        </w:rPr>
      </w:pPr>
      <w:r>
        <w:rPr>
          <w:rFonts w:hint="eastAsia" w:ascii="宋体" w:hAnsi="宋体" w:eastAsia="宋体" w:cs="宋体"/>
          <w:color w:val="auto"/>
          <w:spacing w:val="38"/>
          <w:highlight w:val="none"/>
        </w:rPr>
        <w:t>根</w:t>
      </w:r>
      <w:r>
        <w:rPr>
          <w:rFonts w:hint="eastAsia" w:ascii="宋体" w:hAnsi="宋体" w:eastAsia="宋体" w:cs="宋体"/>
          <w:color w:val="auto"/>
          <w:spacing w:val="21"/>
          <w:highlight w:val="none"/>
        </w:rPr>
        <w:t>据上述招标文件及合同规定， 承包人应向发包人提供一份金额为人民币(大写)</w:t>
      </w:r>
      <w:r>
        <w:rPr>
          <w:rFonts w:hint="eastAsia" w:ascii="宋体" w:hAnsi="宋体" w:eastAsia="宋体" w:cs="宋体"/>
          <w:color w:val="auto"/>
          <w:highlight w:val="none"/>
        </w:rPr>
        <w:t xml:space="preserve"> </w:t>
      </w:r>
      <w:r>
        <w:rPr>
          <w:rFonts w:hint="eastAsia" w:ascii="宋体" w:hAnsi="宋体" w:eastAsia="宋体" w:cs="宋体"/>
          <w:color w:val="auto"/>
          <w:highlight w:val="none"/>
          <w:u w:val="single"/>
        </w:rPr>
        <w:tab/>
      </w:r>
      <w:r>
        <w:rPr>
          <w:rFonts w:hint="eastAsia" w:ascii="宋体" w:hAnsi="宋体" w:eastAsia="宋体" w:cs="宋体"/>
          <w:color w:val="auto"/>
          <w:spacing w:val="-6"/>
          <w:highlight w:val="none"/>
          <w:u w:val="single"/>
        </w:rPr>
        <w:t xml:space="preserve">(￥   </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3"/>
          <w:highlight w:val="none"/>
          <w:u w:val="single"/>
        </w:rPr>
        <w:t xml:space="preserve"> 元) </w:t>
      </w:r>
      <w:r>
        <w:rPr>
          <w:rFonts w:hint="eastAsia" w:ascii="宋体" w:hAnsi="宋体" w:eastAsia="宋体" w:cs="宋体"/>
          <w:color w:val="auto"/>
          <w:spacing w:val="-3"/>
          <w:highlight w:val="none"/>
        </w:rPr>
        <w:t>的不可撤销银行履约保函， 作为承包人履行上述合同的担保。</w:t>
      </w:r>
    </w:p>
    <w:p w14:paraId="5ED3E6AB">
      <w:pPr>
        <w:spacing w:before="268" w:line="415" w:lineRule="auto"/>
        <w:ind w:left="7" w:right="74" w:firstLine="439"/>
        <w:rPr>
          <w:rFonts w:ascii="宋体" w:hAnsi="宋体" w:eastAsia="宋体" w:cs="宋体"/>
          <w:color w:val="auto"/>
          <w:highlight w:val="none"/>
        </w:rPr>
      </w:pPr>
      <w:r>
        <w:rPr>
          <w:rFonts w:hint="eastAsia" w:ascii="宋体" w:hAnsi="宋体" w:eastAsia="宋体" w:cs="宋体"/>
          <w:color w:val="auto"/>
          <w:spacing w:val="-3"/>
          <w:highlight w:val="none"/>
        </w:rPr>
        <w:t>我方</w:t>
      </w:r>
      <w:r>
        <w:rPr>
          <w:rFonts w:hint="eastAsia" w:ascii="宋体" w:hAnsi="宋体" w:eastAsia="宋体" w:cs="宋体"/>
          <w:color w:val="auto"/>
          <w:spacing w:val="-3"/>
          <w:highlight w:val="none"/>
          <w:u w:val="single"/>
        </w:rPr>
        <w:t xml:space="preserve">   (银行名称)   </w:t>
      </w:r>
      <w:r>
        <w:rPr>
          <w:rFonts w:hint="eastAsia" w:ascii="宋体" w:hAnsi="宋体" w:eastAsia="宋体" w:cs="宋体"/>
          <w:color w:val="auto"/>
          <w:spacing w:val="-3"/>
          <w:highlight w:val="none"/>
        </w:rPr>
        <w:t xml:space="preserve"> ，受承包人的委托，作为连带责任保证人，无条件和不可撤销</w:t>
      </w:r>
      <w:r>
        <w:rPr>
          <w:rFonts w:hint="eastAsia" w:ascii="宋体" w:hAnsi="宋体" w:eastAsia="宋体" w:cs="宋体"/>
          <w:color w:val="auto"/>
          <w:spacing w:val="-2"/>
          <w:highlight w:val="none"/>
        </w:rPr>
        <w:t>地</w:t>
      </w:r>
      <w:r>
        <w:rPr>
          <w:rFonts w:hint="eastAsia" w:ascii="宋体" w:hAnsi="宋体" w:eastAsia="宋体" w:cs="宋体"/>
          <w:color w:val="auto"/>
          <w:highlight w:val="none"/>
        </w:rPr>
        <w:t xml:space="preserve">同意 </w:t>
      </w:r>
      <w:r>
        <w:rPr>
          <w:rFonts w:hint="eastAsia" w:ascii="宋体" w:hAnsi="宋体" w:eastAsia="宋体" w:cs="宋体"/>
          <w:color w:val="auto"/>
          <w:spacing w:val="-1"/>
          <w:highlight w:val="none"/>
        </w:rPr>
        <w:t>在发</w:t>
      </w:r>
      <w:r>
        <w:rPr>
          <w:rFonts w:hint="eastAsia" w:ascii="宋体" w:hAnsi="宋体" w:eastAsia="宋体" w:cs="宋体"/>
          <w:color w:val="auto"/>
          <w:highlight w:val="none"/>
        </w:rPr>
        <w:t xml:space="preserve">包人提出因承包人没有履行上述招标文件及合同规定，而要求扣划保证金的书面要求后，我 </w:t>
      </w:r>
      <w:r>
        <w:rPr>
          <w:rFonts w:hint="eastAsia" w:ascii="宋体" w:hAnsi="宋体" w:eastAsia="宋体" w:cs="宋体"/>
          <w:color w:val="auto"/>
          <w:spacing w:val="4"/>
          <w:highlight w:val="none"/>
        </w:rPr>
        <w:t>方</w:t>
      </w:r>
      <w:r>
        <w:rPr>
          <w:rFonts w:hint="eastAsia" w:ascii="宋体" w:hAnsi="宋体" w:eastAsia="宋体" w:cs="宋体"/>
          <w:color w:val="auto"/>
          <w:spacing w:val="2"/>
          <w:highlight w:val="none"/>
        </w:rPr>
        <w:t>将在</w:t>
      </w:r>
      <w:r>
        <w:rPr>
          <w:rFonts w:hint="eastAsia" w:ascii="宋体" w:hAnsi="宋体" w:eastAsia="宋体" w:cs="宋体"/>
          <w:color w:val="auto"/>
          <w:spacing w:val="2"/>
          <w:highlight w:val="none"/>
          <w:u w:val="single"/>
        </w:rPr>
        <w:t xml:space="preserve">   </w:t>
      </w:r>
      <w:r>
        <w:rPr>
          <w:rFonts w:hint="eastAsia" w:ascii="宋体" w:hAnsi="宋体" w:eastAsia="宋体" w:cs="宋体"/>
          <w:color w:val="auto"/>
          <w:spacing w:val="2"/>
          <w:highlight w:val="none"/>
        </w:rPr>
        <w:t xml:space="preserve"> 个工作日内为发包人扣划金额不超过人民币(大写) </w:t>
      </w:r>
      <w:r>
        <w:rPr>
          <w:rFonts w:hint="eastAsia" w:ascii="宋体" w:hAnsi="宋体" w:eastAsia="宋体" w:cs="宋体"/>
          <w:color w:val="auto"/>
          <w:spacing w:val="2"/>
          <w:highlight w:val="none"/>
          <w:u w:val="single"/>
        </w:rPr>
        <w:t xml:space="preserve">      (￥    元) </w:t>
      </w:r>
      <w:r>
        <w:rPr>
          <w:rFonts w:hint="eastAsia" w:ascii="宋体" w:hAnsi="宋体" w:eastAsia="宋体" w:cs="宋体"/>
          <w:color w:val="auto"/>
          <w:spacing w:val="2"/>
          <w:highlight w:val="none"/>
        </w:rPr>
        <w:t>的保证金。</w:t>
      </w:r>
    </w:p>
    <w:p w14:paraId="56785EFE">
      <w:pPr>
        <w:spacing w:before="268" w:line="417" w:lineRule="auto"/>
        <w:ind w:left="8" w:firstLine="438"/>
        <w:rPr>
          <w:rFonts w:ascii="宋体" w:hAnsi="宋体" w:eastAsia="宋体" w:cs="宋体"/>
          <w:color w:val="auto"/>
          <w:highlight w:val="none"/>
        </w:rPr>
      </w:pPr>
      <w:r>
        <w:rPr>
          <w:rFonts w:hint="eastAsia" w:ascii="宋体" w:hAnsi="宋体" w:eastAsia="宋体" w:cs="宋体"/>
          <w:color w:val="auto"/>
          <w:spacing w:val="-1"/>
          <w:highlight w:val="none"/>
        </w:rPr>
        <w:t>我方还同意，任何发包人与承包人之间可能对合</w:t>
      </w:r>
      <w:r>
        <w:rPr>
          <w:rFonts w:hint="eastAsia" w:ascii="宋体" w:hAnsi="宋体" w:eastAsia="宋体" w:cs="宋体"/>
          <w:color w:val="auto"/>
          <w:highlight w:val="none"/>
        </w:rPr>
        <w:t xml:space="preserve">同条款的修改、规范或其他合同文件的变动 </w:t>
      </w:r>
      <w:r>
        <w:rPr>
          <w:rFonts w:hint="eastAsia" w:ascii="宋体" w:hAnsi="宋体" w:eastAsia="宋体" w:cs="宋体"/>
          <w:color w:val="auto"/>
          <w:spacing w:val="-14"/>
          <w:highlight w:val="none"/>
        </w:rPr>
        <w:t xml:space="preserve">补充， </w:t>
      </w:r>
      <w:r>
        <w:rPr>
          <w:rFonts w:hint="eastAsia" w:ascii="宋体" w:hAnsi="宋体" w:eastAsia="宋体" w:cs="宋体"/>
          <w:color w:val="auto"/>
          <w:spacing w:val="-12"/>
          <w:highlight w:val="none"/>
        </w:rPr>
        <w:t>都</w:t>
      </w:r>
      <w:r>
        <w:rPr>
          <w:rFonts w:hint="eastAsia" w:ascii="宋体" w:hAnsi="宋体" w:eastAsia="宋体" w:cs="宋体"/>
          <w:color w:val="auto"/>
          <w:spacing w:val="-7"/>
          <w:highlight w:val="none"/>
        </w:rPr>
        <w:t>不能免除我方按本保函所承担的责任。因此， 有关上述变动、补充和修改无须通知我方。</w:t>
      </w:r>
    </w:p>
    <w:p w14:paraId="59692684">
      <w:pPr>
        <w:spacing w:before="266" w:line="418" w:lineRule="auto"/>
        <w:ind w:left="13" w:right="74" w:firstLine="475"/>
        <w:rPr>
          <w:rFonts w:ascii="宋体" w:hAnsi="宋体" w:eastAsia="宋体" w:cs="宋体"/>
          <w:color w:val="auto"/>
          <w:highlight w:val="none"/>
        </w:rPr>
      </w:pPr>
      <w:r>
        <w:rPr>
          <w:rFonts w:hint="eastAsia" w:ascii="宋体" w:hAnsi="宋体" w:eastAsia="宋体" w:cs="宋体"/>
          <w:color w:val="auto"/>
          <w:spacing w:val="-2"/>
          <w:highlight w:val="none"/>
        </w:rPr>
        <w:t>本保函从上述合同签订之日起至工程竣工验收合</w:t>
      </w:r>
      <w:r>
        <w:rPr>
          <w:rFonts w:hint="eastAsia" w:ascii="宋体" w:hAnsi="宋体" w:eastAsia="宋体" w:cs="宋体"/>
          <w:color w:val="auto"/>
          <w:spacing w:val="-1"/>
          <w:highlight w:val="none"/>
        </w:rPr>
        <w:t>格并结算经双方签字确定后 30 日内保持有</w:t>
      </w:r>
      <w:r>
        <w:rPr>
          <w:rFonts w:hint="eastAsia" w:ascii="宋体" w:hAnsi="宋体" w:eastAsia="宋体" w:cs="宋体"/>
          <w:color w:val="auto"/>
          <w:highlight w:val="none"/>
        </w:rPr>
        <w:t xml:space="preserve"> </w:t>
      </w:r>
      <w:r>
        <w:rPr>
          <w:rFonts w:hint="eastAsia" w:ascii="宋体" w:hAnsi="宋体" w:eastAsia="宋体" w:cs="宋体"/>
          <w:color w:val="auto"/>
          <w:spacing w:val="-12"/>
          <w:highlight w:val="none"/>
        </w:rPr>
        <w:t>效</w:t>
      </w:r>
      <w:r>
        <w:rPr>
          <w:rFonts w:hint="eastAsia" w:ascii="宋体" w:hAnsi="宋体" w:eastAsia="宋体" w:cs="宋体"/>
          <w:color w:val="auto"/>
          <w:spacing w:val="-10"/>
          <w:highlight w:val="none"/>
        </w:rPr>
        <w:t>。</w:t>
      </w:r>
    </w:p>
    <w:p w14:paraId="61DBB764">
      <w:pPr>
        <w:spacing w:before="298" w:line="414" w:lineRule="auto"/>
        <w:ind w:left="3608" w:right="468"/>
        <w:rPr>
          <w:rFonts w:ascii="宋体" w:hAnsi="宋体" w:eastAsia="宋体" w:cs="宋体"/>
          <w:color w:val="auto"/>
          <w:highlight w:val="none"/>
        </w:rPr>
      </w:pPr>
      <w:r>
        <w:rPr>
          <w:rFonts w:hint="eastAsia" w:ascii="宋体" w:hAnsi="宋体" w:eastAsia="宋体" w:cs="宋体"/>
          <w:color w:val="auto"/>
          <w:spacing w:val="4"/>
          <w:highlight w:val="none"/>
        </w:rPr>
        <w:t>保证人：(公章)</w:t>
      </w:r>
      <w:r>
        <w:rPr>
          <w:rFonts w:hint="eastAsia" w:ascii="宋体" w:hAnsi="宋体" w:eastAsia="宋体" w:cs="宋体"/>
          <w:color w:val="auto"/>
          <w:spacing w:val="3"/>
          <w:highlight w:val="none"/>
          <w:u w:val="single"/>
        </w:rPr>
        <w:t xml:space="preserve"> </w:t>
      </w:r>
      <w:r>
        <w:rPr>
          <w:rFonts w:hint="eastAsia" w:ascii="宋体" w:hAnsi="宋体" w:eastAsia="宋体" w:cs="宋体"/>
          <w:color w:val="auto"/>
          <w:spacing w:val="2"/>
          <w:highlight w:val="none"/>
          <w:u w:val="single"/>
        </w:rPr>
        <w:t xml:space="preserve">                              </w:t>
      </w:r>
      <w:r>
        <w:rPr>
          <w:rFonts w:hint="eastAsia" w:ascii="宋体" w:hAnsi="宋体" w:eastAsia="宋体" w:cs="宋体"/>
          <w:color w:val="auto"/>
          <w:highlight w:val="none"/>
        </w:rPr>
        <w:t xml:space="preserve"> </w:t>
      </w:r>
      <w:r>
        <w:rPr>
          <w:rFonts w:hint="eastAsia" w:ascii="宋体" w:hAnsi="宋体" w:eastAsia="宋体" w:cs="宋体"/>
          <w:color w:val="auto"/>
          <w:spacing w:val="6"/>
          <w:highlight w:val="none"/>
        </w:rPr>
        <w:t>法定</w:t>
      </w:r>
      <w:r>
        <w:rPr>
          <w:rFonts w:hint="eastAsia" w:ascii="宋体" w:hAnsi="宋体" w:eastAsia="宋体" w:cs="宋体"/>
          <w:color w:val="auto"/>
          <w:spacing w:val="5"/>
          <w:highlight w:val="none"/>
        </w:rPr>
        <w:t>代</w:t>
      </w:r>
      <w:r>
        <w:rPr>
          <w:rFonts w:hint="eastAsia" w:ascii="宋体" w:hAnsi="宋体" w:eastAsia="宋体" w:cs="宋体"/>
          <w:color w:val="auto"/>
          <w:spacing w:val="3"/>
          <w:highlight w:val="none"/>
        </w:rPr>
        <w:t>表人或其委托代理人：(签字)</w:t>
      </w:r>
      <w:r>
        <w:rPr>
          <w:rFonts w:hint="eastAsia" w:ascii="宋体" w:hAnsi="宋体" w:eastAsia="宋体" w:cs="宋体"/>
          <w:color w:val="auto"/>
          <w:spacing w:val="3"/>
          <w:highlight w:val="none"/>
          <w:u w:val="single"/>
        </w:rPr>
        <w:t xml:space="preserve">             </w:t>
      </w:r>
      <w:r>
        <w:rPr>
          <w:rFonts w:hint="eastAsia" w:ascii="宋体" w:hAnsi="宋体" w:eastAsia="宋体" w:cs="宋体"/>
          <w:color w:val="auto"/>
          <w:highlight w:val="none"/>
        </w:rPr>
        <w:t xml:space="preserve"> </w:t>
      </w:r>
      <w:r>
        <w:rPr>
          <w:rFonts w:hint="eastAsia" w:ascii="宋体" w:hAnsi="宋体" w:eastAsia="宋体" w:cs="宋体"/>
          <w:color w:val="auto"/>
          <w:spacing w:val="-4"/>
          <w:highlight w:val="none"/>
        </w:rPr>
        <w:t>联系电话：</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2"/>
          <w:highlight w:val="none"/>
          <w:u w:val="single"/>
        </w:rPr>
        <w:t xml:space="preserve">                           </w:t>
      </w:r>
      <w:r>
        <w:rPr>
          <w:rFonts w:hint="eastAsia" w:ascii="宋体" w:hAnsi="宋体" w:eastAsia="宋体" w:cs="宋体"/>
          <w:color w:val="auto"/>
          <w:highlight w:val="none"/>
        </w:rPr>
        <w:t xml:space="preserve"> </w:t>
      </w:r>
      <w:r>
        <w:rPr>
          <w:rFonts w:hint="eastAsia" w:ascii="宋体" w:hAnsi="宋体" w:eastAsia="宋体" w:cs="宋体"/>
          <w:color w:val="auto"/>
          <w:spacing w:val="-4"/>
          <w:highlight w:val="none"/>
        </w:rPr>
        <w:t>地    址：</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2"/>
          <w:highlight w:val="none"/>
          <w:u w:val="single"/>
        </w:rPr>
        <w:t xml:space="preserve">                               </w:t>
      </w:r>
      <w:r>
        <w:rPr>
          <w:rFonts w:hint="eastAsia" w:ascii="宋体" w:hAnsi="宋体" w:eastAsia="宋体" w:cs="宋体"/>
          <w:color w:val="auto"/>
          <w:highlight w:val="none"/>
        </w:rPr>
        <w:t xml:space="preserve"> </w:t>
      </w:r>
      <w:r>
        <w:rPr>
          <w:rFonts w:hint="eastAsia" w:ascii="宋体" w:hAnsi="宋体" w:eastAsia="宋体" w:cs="宋体"/>
          <w:color w:val="auto"/>
          <w:spacing w:val="-12"/>
          <w:highlight w:val="none"/>
        </w:rPr>
        <w:t>日</w:t>
      </w:r>
      <w:r>
        <w:rPr>
          <w:rFonts w:hint="eastAsia" w:ascii="宋体" w:hAnsi="宋体" w:eastAsia="宋体" w:cs="宋体"/>
          <w:color w:val="auto"/>
          <w:spacing w:val="-11"/>
          <w:highlight w:val="none"/>
        </w:rPr>
        <w:t xml:space="preserve">    期：</w:t>
      </w:r>
      <w:r>
        <w:rPr>
          <w:rFonts w:hint="eastAsia" w:ascii="宋体" w:hAnsi="宋体" w:eastAsia="宋体" w:cs="宋体"/>
          <w:color w:val="auto"/>
          <w:highlight w:val="none"/>
          <w:u w:val="single"/>
        </w:rPr>
        <w:t xml:space="preserve">                                    </w:t>
      </w:r>
    </w:p>
    <w:p w14:paraId="2FA208A8">
      <w:pPr>
        <w:rPr>
          <w:rFonts w:ascii="宋体" w:hAnsi="宋体" w:eastAsia="宋体" w:cs="宋体"/>
          <w:color w:val="auto"/>
          <w:highlight w:val="none"/>
        </w:rPr>
        <w:sectPr>
          <w:footerReference r:id="rId8" w:type="default"/>
          <w:pgSz w:w="11907" w:h="16839"/>
          <w:pgMar w:top="1429" w:right="1417" w:bottom="1157" w:left="1417" w:header="0" w:footer="992" w:gutter="0"/>
          <w:cols w:space="0" w:num="1"/>
        </w:sectPr>
      </w:pPr>
    </w:p>
    <w:p w14:paraId="008FD650">
      <w:pPr>
        <w:pStyle w:val="2"/>
        <w:rPr>
          <w:rFonts w:ascii="宋体" w:hAnsi="宋体" w:eastAsia="宋体" w:cs="宋体"/>
          <w:color w:val="auto"/>
          <w:sz w:val="24"/>
          <w:szCs w:val="24"/>
          <w:highlight w:val="none"/>
        </w:rPr>
      </w:pPr>
      <w:bookmarkStart w:id="1439" w:name="_bookmark274"/>
      <w:bookmarkEnd w:id="1439"/>
      <w:bookmarkStart w:id="1440" w:name="_Toc18686"/>
      <w:r>
        <w:rPr>
          <w:rFonts w:hint="eastAsia" w:ascii="宋体" w:hAnsi="宋体" w:eastAsia="宋体" w:cs="宋体"/>
          <w:color w:val="auto"/>
          <w:sz w:val="24"/>
          <w:szCs w:val="24"/>
          <w:highlight w:val="none"/>
        </w:rPr>
        <w:t>附件 8：预付款担保格式</w:t>
      </w:r>
      <w:bookmarkEnd w:id="1440"/>
    </w:p>
    <w:p w14:paraId="7983D10E">
      <w:pPr>
        <w:spacing w:line="248" w:lineRule="auto"/>
        <w:rPr>
          <w:rFonts w:ascii="宋体" w:hAnsi="宋体" w:eastAsia="宋体" w:cs="宋体"/>
          <w:color w:val="auto"/>
          <w:highlight w:val="none"/>
        </w:rPr>
      </w:pPr>
    </w:p>
    <w:p w14:paraId="0F690056">
      <w:pPr>
        <w:spacing w:before="69" w:line="221" w:lineRule="auto"/>
        <w:ind w:left="3893"/>
        <w:rPr>
          <w:rFonts w:ascii="宋体" w:hAnsi="宋体" w:eastAsia="宋体" w:cs="宋体"/>
          <w:color w:val="auto"/>
          <w:highlight w:val="none"/>
        </w:rPr>
      </w:pPr>
      <w:r>
        <w:rPr>
          <w:rFonts w:hint="eastAsia" w:ascii="宋体" w:hAnsi="宋体" w:eastAsia="宋体" w:cs="宋体"/>
          <w:color w:val="auto"/>
          <w:spacing w:val="-1"/>
          <w:highlight w:val="none"/>
          <w14:textOutline w14:w="3835" w14:cap="flat" w14:cmpd="sng" w14:algn="ctr">
            <w14:solidFill>
              <w14:srgbClr w14:val="000000"/>
            </w14:solidFill>
            <w14:prstDash w14:val="solid"/>
            <w14:miter w14:val="0"/>
          </w14:textOutline>
        </w:rPr>
        <w:t>预付</w:t>
      </w:r>
      <w:r>
        <w:rPr>
          <w:rFonts w:hint="eastAsia" w:ascii="宋体" w:hAnsi="宋体" w:eastAsia="宋体" w:cs="宋体"/>
          <w:color w:val="auto"/>
          <w:highlight w:val="none"/>
          <w14:textOutline w14:w="3835" w14:cap="flat" w14:cmpd="sng" w14:algn="ctr">
            <w14:solidFill>
              <w14:srgbClr w14:val="000000"/>
            </w14:solidFill>
            <w14:prstDash w14:val="solid"/>
            <w14:miter w14:val="0"/>
          </w14:textOutline>
        </w:rPr>
        <w:t>款银行保函</w:t>
      </w:r>
    </w:p>
    <w:p w14:paraId="6321EF02">
      <w:pPr>
        <w:spacing w:line="306" w:lineRule="auto"/>
        <w:rPr>
          <w:rFonts w:ascii="宋体" w:hAnsi="宋体" w:eastAsia="宋体" w:cs="宋体"/>
          <w:color w:val="auto"/>
          <w:highlight w:val="none"/>
        </w:rPr>
      </w:pPr>
    </w:p>
    <w:p w14:paraId="32AC2F5B">
      <w:pPr>
        <w:spacing w:line="307" w:lineRule="auto"/>
        <w:rPr>
          <w:rFonts w:ascii="宋体" w:hAnsi="宋体" w:eastAsia="宋体" w:cs="宋体"/>
          <w:color w:val="auto"/>
          <w:highlight w:val="none"/>
        </w:rPr>
      </w:pPr>
    </w:p>
    <w:p w14:paraId="3F544DB4">
      <w:pPr>
        <w:spacing w:before="68" w:line="221" w:lineRule="auto"/>
        <w:ind w:left="8"/>
        <w:rPr>
          <w:rFonts w:ascii="宋体" w:hAnsi="宋体" w:eastAsia="宋体" w:cs="宋体"/>
          <w:color w:val="auto"/>
          <w:highlight w:val="none"/>
        </w:rPr>
      </w:pPr>
      <w:r>
        <w:rPr>
          <w:rFonts w:hint="eastAsia" w:ascii="宋体" w:hAnsi="宋体" w:eastAsia="宋体" w:cs="宋体"/>
          <w:color w:val="auto"/>
          <w:spacing w:val="10"/>
          <w:highlight w:val="none"/>
        </w:rPr>
        <w:t>致</w:t>
      </w:r>
      <w:r>
        <w:rPr>
          <w:rFonts w:hint="eastAsia" w:ascii="宋体" w:hAnsi="宋体" w:eastAsia="宋体" w:cs="宋体"/>
          <w:color w:val="auto"/>
          <w:spacing w:val="8"/>
          <w:highlight w:val="none"/>
        </w:rPr>
        <w:t>：(下称“受益人”)</w:t>
      </w:r>
    </w:p>
    <w:p w14:paraId="04F4511D">
      <w:pPr>
        <w:tabs>
          <w:tab w:val="left" w:pos="118"/>
        </w:tabs>
        <w:spacing w:before="213" w:line="412" w:lineRule="auto"/>
        <w:ind w:firstLine="490"/>
        <w:rPr>
          <w:rFonts w:ascii="宋体" w:hAnsi="宋体" w:eastAsia="宋体" w:cs="宋体"/>
          <w:color w:val="auto"/>
          <w:highlight w:val="none"/>
        </w:rPr>
      </w:pPr>
      <w:r>
        <w:rPr>
          <w:rFonts w:hint="eastAsia" w:ascii="宋体" w:hAnsi="宋体" w:eastAsia="宋体" w:cs="宋体"/>
          <w:color w:val="auto"/>
          <w:spacing w:val="-2"/>
          <w:highlight w:val="none"/>
        </w:rPr>
        <w:t>鉴于</w:t>
      </w:r>
      <w:r>
        <w:rPr>
          <w:rFonts w:hint="eastAsia" w:ascii="宋体" w:hAnsi="宋体" w:eastAsia="宋体" w:cs="宋体"/>
          <w:color w:val="auto"/>
          <w:spacing w:val="-2"/>
          <w:highlight w:val="none"/>
          <w:u w:val="single"/>
        </w:rPr>
        <w:t xml:space="preserve"> (承包人的名称与地址) </w:t>
      </w:r>
      <w:r>
        <w:rPr>
          <w:rFonts w:hint="eastAsia" w:ascii="宋体" w:hAnsi="宋体" w:eastAsia="宋体" w:cs="宋体"/>
          <w:color w:val="auto"/>
          <w:spacing w:val="-2"/>
          <w:highlight w:val="none"/>
        </w:rPr>
        <w:t xml:space="preserve"> (下称“</w:t>
      </w:r>
      <w:r>
        <w:rPr>
          <w:rFonts w:hint="eastAsia" w:ascii="宋体" w:hAnsi="宋体" w:eastAsia="宋体" w:cs="宋体"/>
          <w:color w:val="auto"/>
          <w:spacing w:val="-1"/>
          <w:highlight w:val="none"/>
        </w:rPr>
        <w:t>承包人”) 与</w:t>
      </w:r>
      <w:r>
        <w:rPr>
          <w:rFonts w:hint="eastAsia" w:ascii="宋体" w:hAnsi="宋体" w:eastAsia="宋体" w:cs="宋体"/>
          <w:color w:val="auto"/>
          <w:spacing w:val="-1"/>
          <w:highlight w:val="none"/>
          <w:u w:val="single"/>
        </w:rPr>
        <w:t xml:space="preserve"> (发包人全称) </w:t>
      </w:r>
      <w:r>
        <w:rPr>
          <w:rFonts w:hint="eastAsia" w:ascii="宋体" w:hAnsi="宋体" w:eastAsia="宋体" w:cs="宋体"/>
          <w:color w:val="auto"/>
          <w:spacing w:val="-1"/>
          <w:highlight w:val="none"/>
        </w:rPr>
        <w:t>(下称“受益人”)签订</w:t>
      </w:r>
      <w:r>
        <w:rPr>
          <w:rFonts w:hint="eastAsia" w:ascii="宋体" w:hAnsi="宋体" w:eastAsia="宋体" w:cs="宋体"/>
          <w:color w:val="auto"/>
          <w:highlight w:val="none"/>
        </w:rPr>
        <w:t xml:space="preserve"> </w:t>
      </w:r>
      <w:r>
        <w:rPr>
          <w:rFonts w:hint="eastAsia" w:ascii="宋体" w:hAnsi="宋体" w:eastAsia="宋体" w:cs="宋体"/>
          <w:color w:val="auto"/>
          <w:highlight w:val="none"/>
          <w:u w:val="single"/>
        </w:rPr>
        <w:tab/>
      </w:r>
      <w:r>
        <w:rPr>
          <w:rFonts w:hint="eastAsia" w:ascii="宋体" w:hAnsi="宋体" w:eastAsia="宋体" w:cs="宋体"/>
          <w:color w:val="auto"/>
          <w:spacing w:val="-1"/>
          <w:highlight w:val="none"/>
          <w:u w:val="single"/>
        </w:rPr>
        <w:t xml:space="preserve">(工程名称) </w:t>
      </w:r>
      <w:r>
        <w:rPr>
          <w:rFonts w:hint="eastAsia" w:ascii="宋体" w:hAnsi="宋体" w:eastAsia="宋体" w:cs="宋体"/>
          <w:color w:val="auto"/>
          <w:spacing w:val="-1"/>
          <w:highlight w:val="none"/>
        </w:rPr>
        <w:t>合同(</w:t>
      </w:r>
      <w:r>
        <w:rPr>
          <w:rFonts w:hint="eastAsia" w:ascii="宋体" w:hAnsi="宋体" w:eastAsia="宋体" w:cs="宋体"/>
          <w:color w:val="auto"/>
          <w:spacing w:val="-1"/>
          <w:highlight w:val="none"/>
          <w:u w:val="single"/>
        </w:rPr>
        <w:t>编</w:t>
      </w:r>
      <w:r>
        <w:rPr>
          <w:rFonts w:hint="eastAsia" w:ascii="宋体" w:hAnsi="宋体" w:eastAsia="宋体" w:cs="宋体"/>
          <w:color w:val="auto"/>
          <w:highlight w:val="none"/>
          <w:u w:val="single"/>
        </w:rPr>
        <w:t>号，年月日签署</w:t>
      </w:r>
      <w:r>
        <w:rPr>
          <w:rFonts w:hint="eastAsia" w:ascii="宋体" w:hAnsi="宋体" w:eastAsia="宋体" w:cs="宋体"/>
          <w:color w:val="auto"/>
          <w:highlight w:val="none"/>
        </w:rPr>
        <w:t xml:space="preserve">)，且受益人将根据合同约定向承包人支付预付款。受益人 </w:t>
      </w:r>
      <w:r>
        <w:rPr>
          <w:rFonts w:hint="eastAsia" w:ascii="宋体" w:hAnsi="宋体" w:eastAsia="宋体" w:cs="宋体"/>
          <w:color w:val="auto"/>
          <w:spacing w:val="-4"/>
          <w:highlight w:val="none"/>
        </w:rPr>
        <w:t>在合同中要求</w:t>
      </w:r>
      <w:r>
        <w:rPr>
          <w:rFonts w:hint="eastAsia" w:ascii="宋体" w:hAnsi="宋体" w:eastAsia="宋体" w:cs="宋体"/>
          <w:color w:val="auto"/>
          <w:spacing w:val="-3"/>
          <w:highlight w:val="none"/>
        </w:rPr>
        <w:t>承</w:t>
      </w:r>
      <w:r>
        <w:rPr>
          <w:rFonts w:hint="eastAsia" w:ascii="宋体" w:hAnsi="宋体" w:eastAsia="宋体" w:cs="宋体"/>
          <w:color w:val="auto"/>
          <w:spacing w:val="-2"/>
          <w:highlight w:val="none"/>
        </w:rPr>
        <w:t>包人应通过经认可的银行提交合同指定的与预付款等额的担保金额等事实， 我行</w:t>
      </w:r>
      <w:r>
        <w:rPr>
          <w:rFonts w:hint="eastAsia" w:ascii="宋体" w:hAnsi="宋体" w:eastAsia="宋体" w:cs="宋体"/>
          <w:color w:val="auto"/>
          <w:highlight w:val="none"/>
        </w:rPr>
        <w:t xml:space="preserve"> </w:t>
      </w:r>
      <w:r>
        <w:rPr>
          <w:rFonts w:hint="eastAsia" w:ascii="宋体" w:hAnsi="宋体" w:eastAsia="宋体" w:cs="宋体"/>
          <w:color w:val="auto"/>
          <w:spacing w:val="-4"/>
          <w:highlight w:val="none"/>
        </w:rPr>
        <w:t>愿意为承包人</w:t>
      </w:r>
      <w:r>
        <w:rPr>
          <w:rFonts w:hint="eastAsia" w:ascii="宋体" w:hAnsi="宋体" w:eastAsia="宋体" w:cs="宋体"/>
          <w:color w:val="auto"/>
          <w:spacing w:val="-2"/>
          <w:highlight w:val="none"/>
        </w:rPr>
        <w:t>出具保函， 以担保金额人民币(大写)(￥元)向受益人提供无条件、不可撤销的银行</w:t>
      </w:r>
      <w:r>
        <w:rPr>
          <w:rFonts w:hint="eastAsia" w:ascii="宋体" w:hAnsi="宋体" w:eastAsia="宋体" w:cs="宋体"/>
          <w:color w:val="auto"/>
          <w:highlight w:val="none"/>
        </w:rPr>
        <w:t xml:space="preserve"> </w:t>
      </w:r>
      <w:r>
        <w:rPr>
          <w:rFonts w:hint="eastAsia" w:ascii="宋体" w:hAnsi="宋体" w:eastAsia="宋体" w:cs="宋体"/>
          <w:color w:val="auto"/>
          <w:spacing w:val="-8"/>
          <w:highlight w:val="none"/>
        </w:rPr>
        <w:t>保</w:t>
      </w:r>
      <w:r>
        <w:rPr>
          <w:rFonts w:hint="eastAsia" w:ascii="宋体" w:hAnsi="宋体" w:eastAsia="宋体" w:cs="宋体"/>
          <w:color w:val="auto"/>
          <w:spacing w:val="-6"/>
          <w:highlight w:val="none"/>
        </w:rPr>
        <w:t>函， 作为承包人履行上述合同的担保。</w:t>
      </w:r>
    </w:p>
    <w:p w14:paraId="184BE339">
      <w:pPr>
        <w:spacing w:before="1" w:line="411" w:lineRule="auto"/>
        <w:ind w:left="9" w:firstLine="479"/>
        <w:rPr>
          <w:rFonts w:ascii="宋体" w:hAnsi="宋体" w:eastAsia="宋体" w:cs="宋体"/>
          <w:color w:val="auto"/>
          <w:highlight w:val="none"/>
        </w:rPr>
      </w:pPr>
      <w:r>
        <w:rPr>
          <w:rFonts w:hint="eastAsia" w:ascii="宋体" w:hAnsi="宋体" w:eastAsia="宋体" w:cs="宋体"/>
          <w:color w:val="auto"/>
          <w:spacing w:val="-4"/>
          <w:highlight w:val="none"/>
        </w:rPr>
        <w:t>我方</w:t>
      </w:r>
      <w:r>
        <w:rPr>
          <w:rFonts w:hint="eastAsia" w:ascii="宋体" w:hAnsi="宋体" w:eastAsia="宋体" w:cs="宋体"/>
          <w:color w:val="auto"/>
          <w:spacing w:val="-4"/>
          <w:highlight w:val="none"/>
          <w:u w:val="single"/>
        </w:rPr>
        <w:t xml:space="preserve"> (银行名称) </w:t>
      </w:r>
      <w:r>
        <w:rPr>
          <w:rFonts w:hint="eastAsia" w:ascii="宋体" w:hAnsi="宋体" w:eastAsia="宋体" w:cs="宋体"/>
          <w:color w:val="auto"/>
          <w:spacing w:val="-4"/>
          <w:highlight w:val="none"/>
        </w:rPr>
        <w:t>，受承包人的委托，作为连带责任保证人， 无条件和不可撤销地同意在</w:t>
      </w:r>
      <w:r>
        <w:rPr>
          <w:rFonts w:hint="eastAsia" w:ascii="宋体" w:hAnsi="宋体" w:eastAsia="宋体" w:cs="宋体"/>
          <w:color w:val="auto"/>
          <w:spacing w:val="-2"/>
          <w:highlight w:val="none"/>
        </w:rPr>
        <w:t>受</w:t>
      </w:r>
      <w:r>
        <w:rPr>
          <w:rFonts w:hint="eastAsia" w:ascii="宋体" w:hAnsi="宋体" w:eastAsia="宋体" w:cs="宋体"/>
          <w:color w:val="auto"/>
          <w:highlight w:val="none"/>
        </w:rPr>
        <w:t xml:space="preserve"> </w:t>
      </w:r>
      <w:r>
        <w:rPr>
          <w:rFonts w:hint="eastAsia" w:ascii="宋体" w:hAnsi="宋体" w:eastAsia="宋体" w:cs="宋体"/>
          <w:color w:val="auto"/>
          <w:spacing w:val="-5"/>
          <w:highlight w:val="none"/>
        </w:rPr>
        <w:t xml:space="preserve">益人提出扣划保证金的书面要求后， 我方将在 7 个工作日内为受益人扣划金额不超过人民币 </w:t>
      </w:r>
      <w:r>
        <w:rPr>
          <w:rFonts w:hint="eastAsia" w:ascii="宋体" w:hAnsi="宋体" w:eastAsia="宋体" w:cs="宋体"/>
          <w:color w:val="auto"/>
          <w:spacing w:val="-4"/>
          <w:highlight w:val="none"/>
        </w:rPr>
        <w:t>(</w:t>
      </w:r>
      <w:r>
        <w:rPr>
          <w:rFonts w:hint="eastAsia" w:ascii="宋体" w:hAnsi="宋体" w:eastAsia="宋体" w:cs="宋体"/>
          <w:color w:val="auto"/>
          <w:highlight w:val="none"/>
        </w:rPr>
        <w:t xml:space="preserve">大 </w:t>
      </w:r>
      <w:r>
        <w:rPr>
          <w:rFonts w:hint="eastAsia" w:ascii="宋体" w:hAnsi="宋体" w:eastAsia="宋体" w:cs="宋体"/>
          <w:color w:val="auto"/>
          <w:spacing w:val="-2"/>
          <w:highlight w:val="none"/>
        </w:rPr>
        <w:t xml:space="preserve">写) </w:t>
      </w:r>
      <w:r>
        <w:rPr>
          <w:rFonts w:hint="eastAsia" w:ascii="宋体" w:hAnsi="宋体" w:eastAsia="宋体" w:cs="宋体"/>
          <w:color w:val="auto"/>
          <w:spacing w:val="-2"/>
          <w:highlight w:val="none"/>
          <w:u w:val="single"/>
        </w:rPr>
        <w:t xml:space="preserve"> (￥元)</w:t>
      </w:r>
      <w:r>
        <w:rPr>
          <w:rFonts w:hint="eastAsia" w:ascii="宋体" w:hAnsi="宋体" w:eastAsia="宋体" w:cs="宋体"/>
          <w:color w:val="auto"/>
          <w:spacing w:val="-1"/>
          <w:highlight w:val="none"/>
          <w:u w:val="single"/>
        </w:rPr>
        <w:t xml:space="preserve"> </w:t>
      </w:r>
      <w:r>
        <w:rPr>
          <w:rFonts w:hint="eastAsia" w:ascii="宋体" w:hAnsi="宋体" w:eastAsia="宋体" w:cs="宋体"/>
          <w:color w:val="auto"/>
          <w:spacing w:val="-1"/>
          <w:highlight w:val="none"/>
        </w:rPr>
        <w:t>的保证金。</w:t>
      </w:r>
    </w:p>
    <w:p w14:paraId="2095FD3E">
      <w:pPr>
        <w:spacing w:before="1" w:line="220" w:lineRule="auto"/>
        <w:ind w:left="487"/>
        <w:rPr>
          <w:rFonts w:ascii="宋体" w:hAnsi="宋体" w:eastAsia="宋体" w:cs="宋体"/>
          <w:color w:val="auto"/>
          <w:highlight w:val="none"/>
        </w:rPr>
      </w:pPr>
      <w:r>
        <w:rPr>
          <w:rFonts w:hint="eastAsia" w:ascii="宋体" w:hAnsi="宋体" w:eastAsia="宋体" w:cs="宋体"/>
          <w:color w:val="auto"/>
          <w:highlight w:val="none"/>
        </w:rPr>
        <w:t>在向我行提出要求前，我行将不坚持要求受益人首先向承包人提出上述款项的索赔。</w:t>
      </w:r>
    </w:p>
    <w:p w14:paraId="12E818DA">
      <w:pPr>
        <w:spacing w:before="215" w:line="412" w:lineRule="auto"/>
        <w:ind w:left="8" w:firstLine="481"/>
        <w:rPr>
          <w:rFonts w:ascii="宋体" w:hAnsi="宋体" w:eastAsia="宋体" w:cs="宋体"/>
          <w:color w:val="auto"/>
          <w:highlight w:val="none"/>
        </w:rPr>
      </w:pPr>
      <w:r>
        <w:rPr>
          <w:rFonts w:hint="eastAsia" w:ascii="宋体" w:hAnsi="宋体" w:eastAsia="宋体" w:cs="宋体"/>
          <w:color w:val="auto"/>
          <w:spacing w:val="-8"/>
          <w:highlight w:val="none"/>
        </w:rPr>
        <w:t>我</w:t>
      </w:r>
      <w:r>
        <w:rPr>
          <w:rFonts w:hint="eastAsia" w:ascii="宋体" w:hAnsi="宋体" w:eastAsia="宋体" w:cs="宋体"/>
          <w:color w:val="auto"/>
          <w:spacing w:val="-5"/>
          <w:highlight w:val="none"/>
        </w:rPr>
        <w:t>方</w:t>
      </w:r>
      <w:r>
        <w:rPr>
          <w:rFonts w:hint="eastAsia" w:ascii="宋体" w:hAnsi="宋体" w:eastAsia="宋体" w:cs="宋体"/>
          <w:color w:val="auto"/>
          <w:spacing w:val="-4"/>
          <w:highlight w:val="none"/>
        </w:rPr>
        <w:t>还同意， 任何受益人与承包人之间可能对合同条款的修改、规范或其他合同文件的变动</w:t>
      </w:r>
      <w:r>
        <w:rPr>
          <w:rFonts w:hint="eastAsia" w:ascii="宋体" w:hAnsi="宋体" w:eastAsia="宋体" w:cs="宋体"/>
          <w:color w:val="auto"/>
          <w:highlight w:val="none"/>
        </w:rPr>
        <w:t xml:space="preserve"> </w:t>
      </w:r>
      <w:r>
        <w:rPr>
          <w:rFonts w:hint="eastAsia" w:ascii="宋体" w:hAnsi="宋体" w:eastAsia="宋体" w:cs="宋体"/>
          <w:color w:val="auto"/>
          <w:spacing w:val="-4"/>
          <w:highlight w:val="none"/>
        </w:rPr>
        <w:t>补充， 都不能免除我</w:t>
      </w:r>
      <w:r>
        <w:rPr>
          <w:rFonts w:hint="eastAsia" w:ascii="宋体" w:hAnsi="宋体" w:eastAsia="宋体" w:cs="宋体"/>
          <w:color w:val="auto"/>
          <w:spacing w:val="-3"/>
          <w:highlight w:val="none"/>
        </w:rPr>
        <w:t>方</w:t>
      </w:r>
      <w:r>
        <w:rPr>
          <w:rFonts w:hint="eastAsia" w:ascii="宋体" w:hAnsi="宋体" w:eastAsia="宋体" w:cs="宋体"/>
          <w:color w:val="auto"/>
          <w:spacing w:val="-2"/>
          <w:highlight w:val="none"/>
        </w:rPr>
        <w:t>按本保函所承担的责任。因此，有关上述变动、补充和修改无须通知或征</w:t>
      </w:r>
      <w:r>
        <w:rPr>
          <w:rFonts w:hint="eastAsia" w:ascii="宋体" w:hAnsi="宋体" w:eastAsia="宋体" w:cs="宋体"/>
          <w:color w:val="auto"/>
          <w:highlight w:val="none"/>
        </w:rPr>
        <w:t xml:space="preserve"> </w:t>
      </w:r>
      <w:r>
        <w:rPr>
          <w:rFonts w:hint="eastAsia" w:ascii="宋体" w:hAnsi="宋体" w:eastAsia="宋体" w:cs="宋体"/>
          <w:color w:val="auto"/>
          <w:spacing w:val="-1"/>
          <w:highlight w:val="none"/>
        </w:rPr>
        <w:t>得我方同意</w:t>
      </w:r>
      <w:r>
        <w:rPr>
          <w:rFonts w:hint="eastAsia" w:ascii="宋体" w:hAnsi="宋体" w:eastAsia="宋体" w:cs="宋体"/>
          <w:color w:val="auto"/>
          <w:highlight w:val="none"/>
        </w:rPr>
        <w:t>。</w:t>
      </w:r>
    </w:p>
    <w:p w14:paraId="2DEC162A">
      <w:pPr>
        <w:spacing w:before="1" w:line="219" w:lineRule="auto"/>
        <w:ind w:left="489"/>
        <w:rPr>
          <w:rFonts w:ascii="宋体" w:hAnsi="宋体" w:eastAsia="宋体" w:cs="宋体"/>
          <w:color w:val="auto"/>
          <w:highlight w:val="none"/>
        </w:rPr>
      </w:pPr>
      <w:r>
        <w:rPr>
          <w:rFonts w:hint="eastAsia" w:ascii="宋体" w:hAnsi="宋体" w:eastAsia="宋体" w:cs="宋体"/>
          <w:color w:val="auto"/>
          <w:spacing w:val="-1"/>
          <w:highlight w:val="none"/>
        </w:rPr>
        <w:t>本保函</w:t>
      </w:r>
      <w:r>
        <w:rPr>
          <w:rFonts w:hint="eastAsia" w:ascii="宋体" w:hAnsi="宋体" w:eastAsia="宋体" w:cs="宋体"/>
          <w:color w:val="auto"/>
          <w:highlight w:val="none"/>
        </w:rPr>
        <w:t>有效期从保函开立之日起至发包人向承包人抵扣完所有预付款之日止。</w:t>
      </w:r>
    </w:p>
    <w:p w14:paraId="2292C8A0">
      <w:pPr>
        <w:spacing w:line="306" w:lineRule="auto"/>
        <w:rPr>
          <w:rFonts w:ascii="宋体" w:hAnsi="宋体" w:eastAsia="宋体" w:cs="宋体"/>
          <w:color w:val="auto"/>
          <w:highlight w:val="none"/>
        </w:rPr>
      </w:pPr>
    </w:p>
    <w:p w14:paraId="6A43AB2C">
      <w:pPr>
        <w:spacing w:line="307" w:lineRule="auto"/>
        <w:rPr>
          <w:rFonts w:ascii="宋体" w:hAnsi="宋体" w:eastAsia="宋体" w:cs="宋体"/>
          <w:color w:val="auto"/>
          <w:highlight w:val="none"/>
        </w:rPr>
      </w:pPr>
    </w:p>
    <w:p w14:paraId="7C4C2395">
      <w:pPr>
        <w:spacing w:before="69" w:line="220" w:lineRule="auto"/>
        <w:ind w:right="264"/>
        <w:jc w:val="center"/>
        <w:rPr>
          <w:rFonts w:ascii="宋体" w:hAnsi="宋体" w:eastAsia="宋体" w:cs="宋体"/>
          <w:color w:val="auto"/>
          <w:highlight w:val="none"/>
        </w:rPr>
      </w:pPr>
      <w:r>
        <w:rPr>
          <w:rFonts w:hint="eastAsia" w:ascii="宋体" w:hAnsi="宋体" w:eastAsia="宋体" w:cs="宋体"/>
          <w:color w:val="auto"/>
          <w:spacing w:val="7"/>
          <w:highlight w:val="none"/>
        </w:rPr>
        <w:t xml:space="preserve">                               法</w:t>
      </w:r>
      <w:r>
        <w:rPr>
          <w:rFonts w:hint="eastAsia" w:ascii="宋体" w:hAnsi="宋体" w:eastAsia="宋体" w:cs="宋体"/>
          <w:color w:val="auto"/>
          <w:spacing w:val="4"/>
          <w:highlight w:val="none"/>
        </w:rPr>
        <w:t>定代表人或其授权的代理人：(签字或盖私章)</w:t>
      </w:r>
    </w:p>
    <w:p w14:paraId="1E4606DB">
      <w:pPr>
        <w:spacing w:before="218" w:line="468" w:lineRule="exact"/>
        <w:ind w:left="4000"/>
        <w:rPr>
          <w:rFonts w:ascii="宋体" w:hAnsi="宋体" w:eastAsia="宋体" w:cs="宋体"/>
          <w:color w:val="auto"/>
          <w:highlight w:val="none"/>
        </w:rPr>
      </w:pPr>
      <w:r>
        <w:rPr>
          <w:rFonts w:hint="eastAsia" w:ascii="宋体" w:hAnsi="宋体" w:eastAsia="宋体" w:cs="宋体"/>
          <w:color w:val="auto"/>
          <w:spacing w:val="-6"/>
          <w:position w:val="19"/>
          <w:highlight w:val="none"/>
        </w:rPr>
        <w:t>担保银行盖章</w:t>
      </w:r>
      <w:r>
        <w:rPr>
          <w:rFonts w:hint="eastAsia" w:ascii="宋体" w:hAnsi="宋体" w:eastAsia="宋体" w:cs="宋体"/>
          <w:color w:val="auto"/>
          <w:spacing w:val="-5"/>
          <w:position w:val="19"/>
          <w:highlight w:val="none"/>
        </w:rPr>
        <w:t>：</w:t>
      </w:r>
    </w:p>
    <w:p w14:paraId="05DF5273">
      <w:pPr>
        <w:spacing w:before="1" w:line="229" w:lineRule="auto"/>
        <w:ind w:left="3999"/>
        <w:rPr>
          <w:rFonts w:ascii="宋体" w:hAnsi="宋体" w:eastAsia="宋体" w:cs="宋体"/>
          <w:color w:val="auto"/>
          <w:highlight w:val="none"/>
        </w:rPr>
      </w:pPr>
      <w:r>
        <w:rPr>
          <w:rFonts w:hint="eastAsia" w:ascii="宋体" w:hAnsi="宋体" w:eastAsia="宋体" w:cs="宋体"/>
          <w:color w:val="auto"/>
          <w:spacing w:val="-12"/>
          <w:highlight w:val="none"/>
        </w:rPr>
        <w:t>地址：</w:t>
      </w:r>
    </w:p>
    <w:p w14:paraId="0FAE24A5">
      <w:pPr>
        <w:spacing w:before="206" w:line="221" w:lineRule="auto"/>
        <w:ind w:left="4036"/>
        <w:rPr>
          <w:color w:val="auto"/>
          <w:highlight w:val="none"/>
        </w:rPr>
      </w:pPr>
      <w:r>
        <w:rPr>
          <w:rFonts w:hint="eastAsia" w:ascii="宋体" w:hAnsi="宋体" w:eastAsia="宋体" w:cs="宋体"/>
          <w:color w:val="auto"/>
          <w:spacing w:val="-8"/>
          <w:highlight w:val="none"/>
        </w:rPr>
        <w:t xml:space="preserve">日期：   年  月  </w:t>
      </w:r>
      <w:r>
        <w:rPr>
          <w:rFonts w:hint="eastAsia" w:ascii="宋体" w:hAnsi="宋体" w:eastAsia="宋体" w:cs="宋体"/>
          <w:color w:val="auto"/>
          <w:spacing w:val="-7"/>
          <w:highlight w:val="none"/>
        </w:rPr>
        <w:t>日</w:t>
      </w:r>
    </w:p>
    <w:sectPr>
      <w:footerReference r:id="rId9" w:type="default"/>
      <w:pgSz w:w="11907" w:h="16839"/>
      <w:pgMar w:top="1429" w:right="1417" w:bottom="1157" w:left="1417" w:header="0"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82B22">
    <w:pPr>
      <w:spacing w:line="178" w:lineRule="auto"/>
      <w:ind w:left="4354"/>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A31764">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21A31764">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76A50">
    <w:pPr>
      <w:spacing w:line="178" w:lineRule="auto"/>
      <w:ind w:left="4325"/>
      <w:rPr>
        <w:rFonts w:ascii="Calibri" w:hAnsi="Calibri" w:eastAsia="Calibri" w:cs="Calibri"/>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20C6DF">
                          <w:pPr>
                            <w:pStyle w:val="11"/>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7820C6DF">
                    <w:pPr>
                      <w:pStyle w:val="11"/>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42278">
    <w:pPr>
      <w:spacing w:line="178" w:lineRule="auto"/>
      <w:ind w:left="4314"/>
      <w:rPr>
        <w:rFonts w:ascii="Calibri" w:hAnsi="Calibri" w:eastAsia="Calibri" w:cs="Calibri"/>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EB925D">
                          <w:pPr>
                            <w:pStyle w:val="11"/>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14:paraId="50EB925D">
                    <w:pPr>
                      <w:pStyle w:val="11"/>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C8AB3">
    <w:pPr>
      <w:spacing w:line="178" w:lineRule="auto"/>
      <w:ind w:left="4265"/>
      <w:rPr>
        <w:rFonts w:ascii="Calibri" w:hAnsi="Calibri" w:eastAsia="Calibri" w:cs="Calibri"/>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59390E">
                          <w:pPr>
                            <w:pStyle w:val="11"/>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7E59390E">
                    <w:pPr>
                      <w:pStyle w:val="11"/>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39426">
    <w:pPr>
      <w:spacing w:line="178" w:lineRule="auto"/>
      <w:ind w:left="4287"/>
      <w:rPr>
        <w:rFonts w:ascii="Calibri" w:hAnsi="Calibri" w:eastAsia="Calibri" w:cs="Calibri"/>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535363">
                          <w:pPr>
                            <w:pStyle w:val="11"/>
                          </w:pPr>
                          <w:r>
                            <w:fldChar w:fldCharType="begin"/>
                          </w:r>
                          <w:r>
                            <w:instrText xml:space="preserve"> PAGE  \* MERGEFORMAT </w:instrText>
                          </w:r>
                          <w:r>
                            <w:fldChar w:fldCharType="separate"/>
                          </w:r>
                          <w:r>
                            <w:t>107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0E535363">
                    <w:pPr>
                      <w:pStyle w:val="11"/>
                    </w:pPr>
                    <w:r>
                      <w:fldChar w:fldCharType="begin"/>
                    </w:r>
                    <w:r>
                      <w:instrText xml:space="preserve"> PAGE  \* MERGEFORMAT </w:instrText>
                    </w:r>
                    <w:r>
                      <w:fldChar w:fldCharType="separate"/>
                    </w:r>
                    <w:r>
                      <w:t>107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1A21F">
    <w:pPr>
      <w:spacing w:line="178" w:lineRule="auto"/>
      <w:ind w:left="4277"/>
      <w:rPr>
        <w:rFonts w:ascii="Calibri" w:hAnsi="Calibri" w:eastAsia="Calibri" w:cs="Calibri"/>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70E8DE">
                          <w:pPr>
                            <w:pStyle w:val="11"/>
                          </w:pPr>
                          <w:r>
                            <w:fldChar w:fldCharType="begin"/>
                          </w:r>
                          <w:r>
                            <w:instrText xml:space="preserve"> PAGE  \* MERGEFORMAT </w:instrText>
                          </w:r>
                          <w:r>
                            <w:fldChar w:fldCharType="separate"/>
                          </w:r>
                          <w:r>
                            <w:t>113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p w14:paraId="5570E8DE">
                    <w:pPr>
                      <w:pStyle w:val="11"/>
                    </w:pPr>
                    <w:r>
                      <w:fldChar w:fldCharType="begin"/>
                    </w:r>
                    <w:r>
                      <w:instrText xml:space="preserve"> PAGE  \* MERGEFORMAT </w:instrText>
                    </w:r>
                    <w:r>
                      <w:fldChar w:fldCharType="separate"/>
                    </w:r>
                    <w:r>
                      <w:t>113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35C4A">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0C7A8"/>
    <w:multiLevelType w:val="singleLevel"/>
    <w:tmpl w:val="9BA0C7A8"/>
    <w:lvl w:ilvl="0" w:tentative="0">
      <w:start w:val="2"/>
      <w:numFmt w:val="chineseCounting"/>
      <w:suff w:val="nothing"/>
      <w:lvlText w:val="%1、"/>
      <w:lvlJc w:val="left"/>
      <w:rPr>
        <w:rFonts w:hint="eastAsia"/>
      </w:rPr>
    </w:lvl>
  </w:abstractNum>
  <w:abstractNum w:abstractNumId="1">
    <w:nsid w:val="54DDD19C"/>
    <w:multiLevelType w:val="singleLevel"/>
    <w:tmpl w:val="54DDD19C"/>
    <w:lvl w:ilvl="0" w:tentative="0">
      <w:start w:val="1"/>
      <w:numFmt w:val="chineseCounting"/>
      <w:suff w:val="space"/>
      <w:lvlText w:val="第%1部分"/>
      <w:lvlJc w:val="left"/>
      <w:rPr>
        <w:rFonts w:hint="eastAsia"/>
      </w:rPr>
    </w:lvl>
  </w:abstractNum>
  <w:abstractNum w:abstractNumId="2">
    <w:nsid w:val="72AE532A"/>
    <w:multiLevelType w:val="singleLevel"/>
    <w:tmpl w:val="72AE532A"/>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hideSpellingErrors/>
  <w:documentProtection w:enforcement="0"/>
  <w:defaultTabStop w:val="420"/>
  <w:noPunctuationKerning w:val="1"/>
  <w:characterSpacingControl w:val="doNotCompress"/>
  <w:hdrShapeDefaults>
    <o:shapelayout v:ext="edit">
      <o:idmap v:ext="edit" data="2"/>
    </o:shapelayout>
  </w:hdrShapeDefault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TYyMThhNDcxMjk1ZjcwMzYzZTg4MWU5MTdjMzM3MWMifQ=="/>
  </w:docVars>
  <w:rsids>
    <w:rsidRoot w:val="005F0A4E"/>
    <w:rsid w:val="00002AEC"/>
    <w:rsid w:val="0004421A"/>
    <w:rsid w:val="00085E4A"/>
    <w:rsid w:val="00097FBA"/>
    <w:rsid w:val="000C0067"/>
    <w:rsid w:val="000D7B7A"/>
    <w:rsid w:val="000F3685"/>
    <w:rsid w:val="00132ED5"/>
    <w:rsid w:val="00194686"/>
    <w:rsid w:val="00250AA8"/>
    <w:rsid w:val="00262955"/>
    <w:rsid w:val="002A6D99"/>
    <w:rsid w:val="003D103D"/>
    <w:rsid w:val="00423A4B"/>
    <w:rsid w:val="00524CCB"/>
    <w:rsid w:val="005F0A4E"/>
    <w:rsid w:val="00636BDB"/>
    <w:rsid w:val="00677000"/>
    <w:rsid w:val="006C5EFE"/>
    <w:rsid w:val="006F6917"/>
    <w:rsid w:val="007B1671"/>
    <w:rsid w:val="007B7119"/>
    <w:rsid w:val="008425ED"/>
    <w:rsid w:val="008759CE"/>
    <w:rsid w:val="00AE0A0F"/>
    <w:rsid w:val="00B34417"/>
    <w:rsid w:val="00B54871"/>
    <w:rsid w:val="00B761BE"/>
    <w:rsid w:val="00BA238F"/>
    <w:rsid w:val="00BB2CEB"/>
    <w:rsid w:val="00BB5D51"/>
    <w:rsid w:val="00C87C0E"/>
    <w:rsid w:val="00CC484E"/>
    <w:rsid w:val="00D236C5"/>
    <w:rsid w:val="00D4720B"/>
    <w:rsid w:val="00D9435B"/>
    <w:rsid w:val="00E20E33"/>
    <w:rsid w:val="00E604C7"/>
    <w:rsid w:val="00EB13DE"/>
    <w:rsid w:val="00ED396A"/>
    <w:rsid w:val="00F2318D"/>
    <w:rsid w:val="00F404EC"/>
    <w:rsid w:val="00FD0C25"/>
    <w:rsid w:val="00FE435E"/>
    <w:rsid w:val="01835353"/>
    <w:rsid w:val="01AF5332"/>
    <w:rsid w:val="02353A89"/>
    <w:rsid w:val="02673100"/>
    <w:rsid w:val="0270061D"/>
    <w:rsid w:val="02806144"/>
    <w:rsid w:val="033A20AE"/>
    <w:rsid w:val="03FF3E8D"/>
    <w:rsid w:val="040D00EE"/>
    <w:rsid w:val="043137BE"/>
    <w:rsid w:val="043769F9"/>
    <w:rsid w:val="04DF0108"/>
    <w:rsid w:val="04F955FF"/>
    <w:rsid w:val="068F128E"/>
    <w:rsid w:val="06AE7966"/>
    <w:rsid w:val="06D21098"/>
    <w:rsid w:val="07237B8C"/>
    <w:rsid w:val="0797093E"/>
    <w:rsid w:val="07C54617"/>
    <w:rsid w:val="086B5EE6"/>
    <w:rsid w:val="08946A7D"/>
    <w:rsid w:val="08986B20"/>
    <w:rsid w:val="08E03F09"/>
    <w:rsid w:val="099E6880"/>
    <w:rsid w:val="09B039F5"/>
    <w:rsid w:val="0A0E6F66"/>
    <w:rsid w:val="0A40121D"/>
    <w:rsid w:val="0A79028B"/>
    <w:rsid w:val="0B516086"/>
    <w:rsid w:val="0B756CA4"/>
    <w:rsid w:val="0BF109D3"/>
    <w:rsid w:val="0C8640F8"/>
    <w:rsid w:val="0CA94D55"/>
    <w:rsid w:val="0CCF6888"/>
    <w:rsid w:val="0CD30A05"/>
    <w:rsid w:val="0CEB1914"/>
    <w:rsid w:val="0D186481"/>
    <w:rsid w:val="0D244E26"/>
    <w:rsid w:val="0D7A2C98"/>
    <w:rsid w:val="0D9A5F75"/>
    <w:rsid w:val="0DD233B7"/>
    <w:rsid w:val="0E410531"/>
    <w:rsid w:val="0E684B51"/>
    <w:rsid w:val="0E6B25E0"/>
    <w:rsid w:val="0EF87736"/>
    <w:rsid w:val="0FA20278"/>
    <w:rsid w:val="10A801FD"/>
    <w:rsid w:val="10B65D95"/>
    <w:rsid w:val="10D510E7"/>
    <w:rsid w:val="110562CF"/>
    <w:rsid w:val="111E4825"/>
    <w:rsid w:val="11473D3D"/>
    <w:rsid w:val="11BB3464"/>
    <w:rsid w:val="1236336E"/>
    <w:rsid w:val="126637EB"/>
    <w:rsid w:val="131A1471"/>
    <w:rsid w:val="13442216"/>
    <w:rsid w:val="13942B49"/>
    <w:rsid w:val="13F05A62"/>
    <w:rsid w:val="141D612B"/>
    <w:rsid w:val="148B2E95"/>
    <w:rsid w:val="14E153AA"/>
    <w:rsid w:val="15362284"/>
    <w:rsid w:val="15565D98"/>
    <w:rsid w:val="15705FEC"/>
    <w:rsid w:val="159D05FA"/>
    <w:rsid w:val="159D07CE"/>
    <w:rsid w:val="15D17E8F"/>
    <w:rsid w:val="167C119D"/>
    <w:rsid w:val="16826719"/>
    <w:rsid w:val="16B8451C"/>
    <w:rsid w:val="1743234C"/>
    <w:rsid w:val="176011F5"/>
    <w:rsid w:val="17647FE9"/>
    <w:rsid w:val="176D1835"/>
    <w:rsid w:val="17E62F8C"/>
    <w:rsid w:val="18100480"/>
    <w:rsid w:val="183103F7"/>
    <w:rsid w:val="18714C97"/>
    <w:rsid w:val="187F1162"/>
    <w:rsid w:val="18B85723"/>
    <w:rsid w:val="18CA6497"/>
    <w:rsid w:val="19063631"/>
    <w:rsid w:val="191D5A3B"/>
    <w:rsid w:val="19D43730"/>
    <w:rsid w:val="19DB5687"/>
    <w:rsid w:val="19E265BF"/>
    <w:rsid w:val="1A257974"/>
    <w:rsid w:val="1AAE3F81"/>
    <w:rsid w:val="1AE94FB9"/>
    <w:rsid w:val="1B01798B"/>
    <w:rsid w:val="1B3721C8"/>
    <w:rsid w:val="1B5D386B"/>
    <w:rsid w:val="1BAF7FB0"/>
    <w:rsid w:val="1C67088B"/>
    <w:rsid w:val="1D13631D"/>
    <w:rsid w:val="1D4568CB"/>
    <w:rsid w:val="1D7D00F8"/>
    <w:rsid w:val="1DC22E14"/>
    <w:rsid w:val="1DC36F01"/>
    <w:rsid w:val="1E0808D9"/>
    <w:rsid w:val="1E0A3BC4"/>
    <w:rsid w:val="1E6A4663"/>
    <w:rsid w:val="1E953136"/>
    <w:rsid w:val="1EA16A0F"/>
    <w:rsid w:val="1EDB6AA2"/>
    <w:rsid w:val="1EDE39FB"/>
    <w:rsid w:val="1FD104CD"/>
    <w:rsid w:val="1FDD294B"/>
    <w:rsid w:val="1FE907AE"/>
    <w:rsid w:val="201871EB"/>
    <w:rsid w:val="20AA31DD"/>
    <w:rsid w:val="20D12505"/>
    <w:rsid w:val="20ED00B3"/>
    <w:rsid w:val="20F2267E"/>
    <w:rsid w:val="215D45A7"/>
    <w:rsid w:val="21A32365"/>
    <w:rsid w:val="220A125F"/>
    <w:rsid w:val="22104A9B"/>
    <w:rsid w:val="22590C76"/>
    <w:rsid w:val="22B65C9B"/>
    <w:rsid w:val="22F429D4"/>
    <w:rsid w:val="230E63A2"/>
    <w:rsid w:val="237613B4"/>
    <w:rsid w:val="2397268D"/>
    <w:rsid w:val="23D34A58"/>
    <w:rsid w:val="23E427C1"/>
    <w:rsid w:val="242B4894"/>
    <w:rsid w:val="24592179"/>
    <w:rsid w:val="2492046F"/>
    <w:rsid w:val="249266C1"/>
    <w:rsid w:val="2497268C"/>
    <w:rsid w:val="24AC1985"/>
    <w:rsid w:val="24E81A3E"/>
    <w:rsid w:val="24EF141E"/>
    <w:rsid w:val="25717580"/>
    <w:rsid w:val="26087CB8"/>
    <w:rsid w:val="269A360B"/>
    <w:rsid w:val="274A3283"/>
    <w:rsid w:val="27930786"/>
    <w:rsid w:val="27DD09E5"/>
    <w:rsid w:val="28A400E8"/>
    <w:rsid w:val="28FD03C6"/>
    <w:rsid w:val="29115E06"/>
    <w:rsid w:val="29A20219"/>
    <w:rsid w:val="29B6075C"/>
    <w:rsid w:val="29EC23D0"/>
    <w:rsid w:val="2A1769B2"/>
    <w:rsid w:val="2A5D507B"/>
    <w:rsid w:val="2A61691A"/>
    <w:rsid w:val="2A810D6A"/>
    <w:rsid w:val="2A994305"/>
    <w:rsid w:val="2AF000D8"/>
    <w:rsid w:val="2BEC6B29"/>
    <w:rsid w:val="2C2A71DF"/>
    <w:rsid w:val="2CE11733"/>
    <w:rsid w:val="2D067C4C"/>
    <w:rsid w:val="2D214A86"/>
    <w:rsid w:val="2DF5578B"/>
    <w:rsid w:val="2E90020C"/>
    <w:rsid w:val="2ED2428A"/>
    <w:rsid w:val="2F854CA4"/>
    <w:rsid w:val="2FB335EB"/>
    <w:rsid w:val="2FE45646"/>
    <w:rsid w:val="3045333D"/>
    <w:rsid w:val="306B6744"/>
    <w:rsid w:val="30F877EB"/>
    <w:rsid w:val="310D3BD9"/>
    <w:rsid w:val="313F54DB"/>
    <w:rsid w:val="31686191"/>
    <w:rsid w:val="31943A92"/>
    <w:rsid w:val="319F7354"/>
    <w:rsid w:val="31C225D6"/>
    <w:rsid w:val="31E679E9"/>
    <w:rsid w:val="321523B5"/>
    <w:rsid w:val="3242143C"/>
    <w:rsid w:val="32EB4290"/>
    <w:rsid w:val="331D44DB"/>
    <w:rsid w:val="3390201E"/>
    <w:rsid w:val="33AE1280"/>
    <w:rsid w:val="33DC6096"/>
    <w:rsid w:val="341B1E8B"/>
    <w:rsid w:val="3460777C"/>
    <w:rsid w:val="34B63AB4"/>
    <w:rsid w:val="34D10B40"/>
    <w:rsid w:val="34E6796E"/>
    <w:rsid w:val="34F20FEA"/>
    <w:rsid w:val="35837FE7"/>
    <w:rsid w:val="358C70C7"/>
    <w:rsid w:val="35C576D8"/>
    <w:rsid w:val="35E0390B"/>
    <w:rsid w:val="363F610A"/>
    <w:rsid w:val="366770A8"/>
    <w:rsid w:val="367E62F0"/>
    <w:rsid w:val="36985DB9"/>
    <w:rsid w:val="37103BA1"/>
    <w:rsid w:val="372828BB"/>
    <w:rsid w:val="37503F9E"/>
    <w:rsid w:val="37691B57"/>
    <w:rsid w:val="37B7226F"/>
    <w:rsid w:val="37F86DB7"/>
    <w:rsid w:val="38C74734"/>
    <w:rsid w:val="38C8336D"/>
    <w:rsid w:val="39187271"/>
    <w:rsid w:val="395A0218"/>
    <w:rsid w:val="39667CBE"/>
    <w:rsid w:val="39B30F41"/>
    <w:rsid w:val="39E47982"/>
    <w:rsid w:val="39FD62B7"/>
    <w:rsid w:val="3A196427"/>
    <w:rsid w:val="3A3F1B1E"/>
    <w:rsid w:val="3A933D1A"/>
    <w:rsid w:val="3ABB6458"/>
    <w:rsid w:val="3ADD7170"/>
    <w:rsid w:val="3B111C96"/>
    <w:rsid w:val="3BBF08EA"/>
    <w:rsid w:val="3C2E09EA"/>
    <w:rsid w:val="3C5A58BF"/>
    <w:rsid w:val="3C86656E"/>
    <w:rsid w:val="3CA803D8"/>
    <w:rsid w:val="3CB85E9D"/>
    <w:rsid w:val="3CBE7BFC"/>
    <w:rsid w:val="3CE21CB3"/>
    <w:rsid w:val="3CF4186F"/>
    <w:rsid w:val="3D097CDC"/>
    <w:rsid w:val="3D1967CD"/>
    <w:rsid w:val="3DA7176B"/>
    <w:rsid w:val="3DE961C9"/>
    <w:rsid w:val="3E1C282F"/>
    <w:rsid w:val="3E257275"/>
    <w:rsid w:val="3E2C2A92"/>
    <w:rsid w:val="3E330175"/>
    <w:rsid w:val="3E7078D3"/>
    <w:rsid w:val="3EA42E21"/>
    <w:rsid w:val="3EC314F9"/>
    <w:rsid w:val="3F47037C"/>
    <w:rsid w:val="3F764058"/>
    <w:rsid w:val="3FB12FDD"/>
    <w:rsid w:val="3FC51A69"/>
    <w:rsid w:val="400718BA"/>
    <w:rsid w:val="400B526A"/>
    <w:rsid w:val="408829FA"/>
    <w:rsid w:val="40970E8F"/>
    <w:rsid w:val="40C34607"/>
    <w:rsid w:val="416C06CB"/>
    <w:rsid w:val="41EE72BB"/>
    <w:rsid w:val="420624EC"/>
    <w:rsid w:val="42EB1363"/>
    <w:rsid w:val="4323158A"/>
    <w:rsid w:val="43902D93"/>
    <w:rsid w:val="43A01E09"/>
    <w:rsid w:val="43C9218C"/>
    <w:rsid w:val="43D35A83"/>
    <w:rsid w:val="445B0426"/>
    <w:rsid w:val="44903AAB"/>
    <w:rsid w:val="44DF126B"/>
    <w:rsid w:val="44FF624B"/>
    <w:rsid w:val="45074E29"/>
    <w:rsid w:val="45592613"/>
    <w:rsid w:val="458D32FF"/>
    <w:rsid w:val="45C318C7"/>
    <w:rsid w:val="45C344D5"/>
    <w:rsid w:val="45D62907"/>
    <w:rsid w:val="464E6461"/>
    <w:rsid w:val="4675299E"/>
    <w:rsid w:val="47436D78"/>
    <w:rsid w:val="48403BBB"/>
    <w:rsid w:val="4871646A"/>
    <w:rsid w:val="48E22EC4"/>
    <w:rsid w:val="48E42798"/>
    <w:rsid w:val="490966A2"/>
    <w:rsid w:val="49105C83"/>
    <w:rsid w:val="4912498F"/>
    <w:rsid w:val="491F1A22"/>
    <w:rsid w:val="497F0C60"/>
    <w:rsid w:val="49B02FC2"/>
    <w:rsid w:val="49B12E00"/>
    <w:rsid w:val="4A181457"/>
    <w:rsid w:val="4A3414FD"/>
    <w:rsid w:val="4A3A03CB"/>
    <w:rsid w:val="4A8B1100"/>
    <w:rsid w:val="4AA77F21"/>
    <w:rsid w:val="4B3814C1"/>
    <w:rsid w:val="4BA42E21"/>
    <w:rsid w:val="4C054853"/>
    <w:rsid w:val="4C1D78CA"/>
    <w:rsid w:val="4C596AB3"/>
    <w:rsid w:val="4D105CA5"/>
    <w:rsid w:val="4D4C198B"/>
    <w:rsid w:val="4D7056B0"/>
    <w:rsid w:val="4D981DA3"/>
    <w:rsid w:val="4DA1589E"/>
    <w:rsid w:val="4E5C0118"/>
    <w:rsid w:val="4E7D7917"/>
    <w:rsid w:val="4EC0295F"/>
    <w:rsid w:val="4EED611E"/>
    <w:rsid w:val="4EFC688C"/>
    <w:rsid w:val="4F427818"/>
    <w:rsid w:val="4F5D01FB"/>
    <w:rsid w:val="4F6232F8"/>
    <w:rsid w:val="4FBE01E7"/>
    <w:rsid w:val="50021C63"/>
    <w:rsid w:val="50660C43"/>
    <w:rsid w:val="509176A9"/>
    <w:rsid w:val="50B56D05"/>
    <w:rsid w:val="50DA6159"/>
    <w:rsid w:val="51FA127E"/>
    <w:rsid w:val="52036B40"/>
    <w:rsid w:val="521A36CE"/>
    <w:rsid w:val="52990A97"/>
    <w:rsid w:val="529F5982"/>
    <w:rsid w:val="533F53A6"/>
    <w:rsid w:val="540C11CC"/>
    <w:rsid w:val="54183C3E"/>
    <w:rsid w:val="54921C42"/>
    <w:rsid w:val="54A34A19"/>
    <w:rsid w:val="54A43723"/>
    <w:rsid w:val="54DF46CE"/>
    <w:rsid w:val="5553654A"/>
    <w:rsid w:val="55D32512"/>
    <w:rsid w:val="55EB785C"/>
    <w:rsid w:val="560656AD"/>
    <w:rsid w:val="565702BC"/>
    <w:rsid w:val="5698597F"/>
    <w:rsid w:val="56EE0C86"/>
    <w:rsid w:val="572823EA"/>
    <w:rsid w:val="578E2CBB"/>
    <w:rsid w:val="57BC21CE"/>
    <w:rsid w:val="57D84ABA"/>
    <w:rsid w:val="57F56770"/>
    <w:rsid w:val="5803589B"/>
    <w:rsid w:val="58095D20"/>
    <w:rsid w:val="584E5E80"/>
    <w:rsid w:val="584F3C8A"/>
    <w:rsid w:val="587753D7"/>
    <w:rsid w:val="587A51AE"/>
    <w:rsid w:val="58D27BDB"/>
    <w:rsid w:val="58EB713B"/>
    <w:rsid w:val="5976568E"/>
    <w:rsid w:val="5A3D43FE"/>
    <w:rsid w:val="5A456024"/>
    <w:rsid w:val="5A4F6C8C"/>
    <w:rsid w:val="5A873C57"/>
    <w:rsid w:val="5AB346C0"/>
    <w:rsid w:val="5B5A1DE9"/>
    <w:rsid w:val="5C053504"/>
    <w:rsid w:val="5C11143D"/>
    <w:rsid w:val="5CC0372C"/>
    <w:rsid w:val="5D007808"/>
    <w:rsid w:val="5D136761"/>
    <w:rsid w:val="5D195D04"/>
    <w:rsid w:val="5D2323CF"/>
    <w:rsid w:val="5D69549F"/>
    <w:rsid w:val="5D6A4A5D"/>
    <w:rsid w:val="5D7E7207"/>
    <w:rsid w:val="5DB00FE8"/>
    <w:rsid w:val="5DE37DC1"/>
    <w:rsid w:val="5E11409F"/>
    <w:rsid w:val="5E203E1A"/>
    <w:rsid w:val="5E3571C8"/>
    <w:rsid w:val="5E766130"/>
    <w:rsid w:val="5E801731"/>
    <w:rsid w:val="5EB427B5"/>
    <w:rsid w:val="5ED82947"/>
    <w:rsid w:val="5EE252B3"/>
    <w:rsid w:val="5F6130AA"/>
    <w:rsid w:val="5FD208FC"/>
    <w:rsid w:val="61D37EE6"/>
    <w:rsid w:val="632B0F31"/>
    <w:rsid w:val="634E25FF"/>
    <w:rsid w:val="634E69F6"/>
    <w:rsid w:val="63926767"/>
    <w:rsid w:val="63A70B3A"/>
    <w:rsid w:val="63AC1A9E"/>
    <w:rsid w:val="64586C66"/>
    <w:rsid w:val="646D3987"/>
    <w:rsid w:val="64D23995"/>
    <w:rsid w:val="64F41B5D"/>
    <w:rsid w:val="6525440C"/>
    <w:rsid w:val="654900FB"/>
    <w:rsid w:val="657F1D25"/>
    <w:rsid w:val="65910F3C"/>
    <w:rsid w:val="659F41BF"/>
    <w:rsid w:val="663C41B5"/>
    <w:rsid w:val="66A82BFF"/>
    <w:rsid w:val="66AB0941"/>
    <w:rsid w:val="66ED4AB6"/>
    <w:rsid w:val="6716400D"/>
    <w:rsid w:val="671C13C3"/>
    <w:rsid w:val="67435E25"/>
    <w:rsid w:val="674943E2"/>
    <w:rsid w:val="681744E0"/>
    <w:rsid w:val="684474B4"/>
    <w:rsid w:val="68721717"/>
    <w:rsid w:val="68902EFF"/>
    <w:rsid w:val="68B759C6"/>
    <w:rsid w:val="69C53AC8"/>
    <w:rsid w:val="6A125CEB"/>
    <w:rsid w:val="6A502E5C"/>
    <w:rsid w:val="6AE86A95"/>
    <w:rsid w:val="6B3C600C"/>
    <w:rsid w:val="6B5275DD"/>
    <w:rsid w:val="6B945A6B"/>
    <w:rsid w:val="6C1E09B5"/>
    <w:rsid w:val="6CD81308"/>
    <w:rsid w:val="6D190C0B"/>
    <w:rsid w:val="6D2140FC"/>
    <w:rsid w:val="6D32521B"/>
    <w:rsid w:val="6DC35660"/>
    <w:rsid w:val="6EEF6056"/>
    <w:rsid w:val="6F4B4A6F"/>
    <w:rsid w:val="6FD131C7"/>
    <w:rsid w:val="700A16D2"/>
    <w:rsid w:val="70356271"/>
    <w:rsid w:val="70464CF5"/>
    <w:rsid w:val="7056026B"/>
    <w:rsid w:val="705F07D2"/>
    <w:rsid w:val="70FF3D63"/>
    <w:rsid w:val="7109081A"/>
    <w:rsid w:val="712D326C"/>
    <w:rsid w:val="718D5813"/>
    <w:rsid w:val="71A16BC9"/>
    <w:rsid w:val="71C90FA7"/>
    <w:rsid w:val="71D0475E"/>
    <w:rsid w:val="72A00984"/>
    <w:rsid w:val="73165394"/>
    <w:rsid w:val="732B5F38"/>
    <w:rsid w:val="738238D4"/>
    <w:rsid w:val="739C0D32"/>
    <w:rsid w:val="73C47800"/>
    <w:rsid w:val="73ED07EB"/>
    <w:rsid w:val="740C0C71"/>
    <w:rsid w:val="74136828"/>
    <w:rsid w:val="7472484C"/>
    <w:rsid w:val="74861766"/>
    <w:rsid w:val="74E41C03"/>
    <w:rsid w:val="74F10857"/>
    <w:rsid w:val="751029E3"/>
    <w:rsid w:val="75355FA6"/>
    <w:rsid w:val="75720FA8"/>
    <w:rsid w:val="75730C0D"/>
    <w:rsid w:val="75B77F4E"/>
    <w:rsid w:val="75D44B7C"/>
    <w:rsid w:val="75D7705D"/>
    <w:rsid w:val="76366479"/>
    <w:rsid w:val="768C6099"/>
    <w:rsid w:val="770025E3"/>
    <w:rsid w:val="772207AC"/>
    <w:rsid w:val="774D3E74"/>
    <w:rsid w:val="77FA0621"/>
    <w:rsid w:val="78217967"/>
    <w:rsid w:val="783469E8"/>
    <w:rsid w:val="78A70F68"/>
    <w:rsid w:val="78D30069"/>
    <w:rsid w:val="78FC0C0E"/>
    <w:rsid w:val="792516D5"/>
    <w:rsid w:val="79611588"/>
    <w:rsid w:val="7A0B6136"/>
    <w:rsid w:val="7A342AA4"/>
    <w:rsid w:val="7A3F3423"/>
    <w:rsid w:val="7A490C32"/>
    <w:rsid w:val="7AA85078"/>
    <w:rsid w:val="7AC94D0C"/>
    <w:rsid w:val="7AF26AF3"/>
    <w:rsid w:val="7B2A5E81"/>
    <w:rsid w:val="7B5F3D7C"/>
    <w:rsid w:val="7B9838ED"/>
    <w:rsid w:val="7BB857F2"/>
    <w:rsid w:val="7C703D67"/>
    <w:rsid w:val="7EAA17B2"/>
    <w:rsid w:val="7EFC7B34"/>
    <w:rsid w:val="7F8C5372"/>
    <w:rsid w:val="7FB83A5B"/>
    <w:rsid w:val="7FF5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3"/>
    <w:basedOn w:val="1"/>
    <w:next w:val="1"/>
    <w:qFormat/>
    <w:uiPriority w:val="0"/>
    <w:pPr>
      <w:keepNext/>
      <w:keepLines/>
      <w:spacing w:before="260" w:after="260" w:line="413" w:lineRule="auto"/>
      <w:outlineLvl w:val="2"/>
    </w:pPr>
    <w:rPr>
      <w:b/>
      <w:bCs/>
      <w:sz w:val="32"/>
      <w:szCs w:val="32"/>
    </w:rPr>
  </w:style>
  <w:style w:type="paragraph" w:styleId="3">
    <w:name w:val="heading 4"/>
    <w:basedOn w:val="1"/>
    <w:next w:val="1"/>
    <w:qFormat/>
    <w:uiPriority w:val="0"/>
    <w:pPr>
      <w:keepNext/>
      <w:keepLines/>
      <w:spacing w:before="280" w:after="290" w:line="372" w:lineRule="auto"/>
      <w:outlineLvl w:val="3"/>
    </w:pPr>
    <w:rPr>
      <w:rFonts w:ascii="Cambria" w:hAnsi="Cambria"/>
      <w:b/>
      <w:bCs/>
      <w:sz w:val="28"/>
      <w:szCs w:val="28"/>
    </w:rPr>
  </w:style>
  <w:style w:type="paragraph" w:styleId="4">
    <w:name w:val="heading 5"/>
    <w:basedOn w:val="1"/>
    <w:next w:val="1"/>
    <w:qFormat/>
    <w:uiPriority w:val="0"/>
    <w:pPr>
      <w:keepNext/>
      <w:keepLines/>
      <w:spacing w:before="280" w:after="290" w:line="372" w:lineRule="auto"/>
      <w:outlineLvl w:val="4"/>
    </w:pPr>
    <w:rPr>
      <w:b/>
      <w:bCs/>
      <w:sz w:val="28"/>
      <w:szCs w:val="28"/>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toa heading"/>
    <w:basedOn w:val="1"/>
    <w:next w:val="1"/>
    <w:qFormat/>
    <w:uiPriority w:val="0"/>
    <w:pPr>
      <w:spacing w:before="120" w:line="360" w:lineRule="auto"/>
    </w:pPr>
    <w:rPr>
      <w:szCs w:val="20"/>
    </w:rPr>
  </w:style>
  <w:style w:type="paragraph" w:styleId="6">
    <w:name w:val="annotation text"/>
    <w:basedOn w:val="1"/>
    <w:qFormat/>
    <w:uiPriority w:val="0"/>
  </w:style>
  <w:style w:type="paragraph" w:styleId="7">
    <w:name w:val="Body Text"/>
    <w:basedOn w:val="1"/>
    <w:next w:val="8"/>
    <w:qFormat/>
    <w:uiPriority w:val="0"/>
    <w:rPr>
      <w:rFonts w:eastAsia="黑体"/>
      <w:bCs/>
      <w:sz w:val="24"/>
    </w:rPr>
  </w:style>
  <w:style w:type="paragraph" w:styleId="8">
    <w:name w:val="Body Text First Indent"/>
    <w:basedOn w:val="7"/>
    <w:qFormat/>
    <w:uiPriority w:val="0"/>
    <w:pPr>
      <w:spacing w:line="312" w:lineRule="auto"/>
      <w:ind w:firstLine="420"/>
    </w:pPr>
  </w:style>
  <w:style w:type="paragraph" w:styleId="9">
    <w:name w:val="toc 3"/>
    <w:basedOn w:val="1"/>
    <w:next w:val="1"/>
    <w:qFormat/>
    <w:uiPriority w:val="0"/>
    <w:pPr>
      <w:ind w:left="840" w:leftChars="400"/>
    </w:pPr>
  </w:style>
  <w:style w:type="paragraph" w:styleId="10">
    <w:name w:val="Balloon Text"/>
    <w:basedOn w:val="1"/>
    <w:link w:val="21"/>
    <w:qFormat/>
    <w:uiPriority w:val="0"/>
    <w:rPr>
      <w:sz w:val="18"/>
      <w:szCs w:val="18"/>
    </w:rPr>
  </w:style>
  <w:style w:type="paragraph" w:styleId="11">
    <w:name w:val="footer"/>
    <w:basedOn w:val="1"/>
    <w:qFormat/>
    <w:uiPriority w:val="0"/>
    <w:pPr>
      <w:tabs>
        <w:tab w:val="center" w:pos="4153"/>
        <w:tab w:val="right" w:pos="8306"/>
      </w:tabs>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3">
    <w:name w:val="toc 1"/>
    <w:basedOn w:val="1"/>
    <w:next w:val="1"/>
    <w:qFormat/>
    <w:uiPriority w:val="0"/>
  </w:style>
  <w:style w:type="paragraph" w:styleId="14">
    <w:name w:val="toc 2"/>
    <w:basedOn w:val="1"/>
    <w:next w:val="1"/>
    <w:qFormat/>
    <w:uiPriority w:val="0"/>
    <w:pPr>
      <w:ind w:left="420" w:leftChars="200"/>
    </w:pPr>
  </w:style>
  <w:style w:type="character" w:styleId="17">
    <w:name w:val="Emphasis"/>
    <w:basedOn w:val="16"/>
    <w:qFormat/>
    <w:uiPriority w:val="0"/>
    <w:rPr>
      <w:i/>
    </w:rPr>
  </w:style>
  <w:style w:type="character" w:styleId="18">
    <w:name w:val="Hyperlink"/>
    <w:basedOn w:val="16"/>
    <w:qFormat/>
    <w:uiPriority w:val="0"/>
    <w:rPr>
      <w:color w:val="0000FF"/>
      <w:u w:val="single"/>
    </w:rPr>
  </w:style>
  <w:style w:type="character" w:styleId="19">
    <w:name w:val="annotation reference"/>
    <w:basedOn w:val="16"/>
    <w:qFormat/>
    <w:uiPriority w:val="0"/>
    <w:rPr>
      <w:sz w:val="21"/>
      <w:szCs w:val="21"/>
    </w:rPr>
  </w:style>
  <w:style w:type="table" w:customStyle="1" w:styleId="20">
    <w:name w:val="Table Normal"/>
    <w:semiHidden/>
    <w:unhideWhenUsed/>
    <w:qFormat/>
    <w:uiPriority w:val="0"/>
    <w:tblPr>
      <w:tblCellMar>
        <w:top w:w="0" w:type="dxa"/>
        <w:left w:w="0" w:type="dxa"/>
        <w:bottom w:w="0" w:type="dxa"/>
        <w:right w:w="0" w:type="dxa"/>
      </w:tblCellMar>
    </w:tblPr>
  </w:style>
  <w:style w:type="character" w:customStyle="1" w:styleId="21">
    <w:name w:val="批注框文本 字符"/>
    <w:basedOn w:val="16"/>
    <w:link w:val="10"/>
    <w:qFormat/>
    <w:uiPriority w:val="0"/>
    <w:rPr>
      <w:rFonts w:eastAsia="Arial"/>
      <w:snapToGrid w:val="0"/>
      <w:color w:val="000000"/>
      <w:sz w:val="18"/>
      <w:szCs w:val="18"/>
    </w:rPr>
  </w:style>
  <w:style w:type="paragraph" w:customStyle="1" w:styleId="22">
    <w:name w:val="样式 标题 3 + (中文) 黑体 小四 非加粗 段前: 7.8 磅 段后: 0 磅 行距: 固定值 20 磅"/>
    <w:basedOn w:val="2"/>
    <w:qFormat/>
    <w:uiPriority w:val="0"/>
    <w:pPr>
      <w:spacing w:before="0" w:after="0" w:line="400" w:lineRule="exact"/>
    </w:pPr>
    <w:rPr>
      <w:rFonts w:ascii="Times New Roman" w:hAnsi="Times New Roman" w:eastAsia="黑体" w:cs="宋体"/>
      <w:b w:val="0"/>
      <w:bCs w:val="0"/>
      <w:sz w:val="24"/>
      <w:szCs w:val="20"/>
    </w:rPr>
  </w:style>
  <w:style w:type="paragraph" w:customStyle="1" w:styleId="23">
    <w:name w:val="Default"/>
    <w:qFormat/>
    <w:uiPriority w:val="0"/>
    <w:pPr>
      <w:widowControl w:val="0"/>
      <w:autoSpaceDE w:val="0"/>
      <w:autoSpaceDN w:val="0"/>
      <w:adjustRightInd w:val="0"/>
    </w:pPr>
    <w:rPr>
      <w:rFonts w:ascii="华文中宋" w:hAnsi="Times New Roman" w:eastAsia="华文中宋" w:cs="华文中宋"/>
      <w:color w:val="000000"/>
      <w:sz w:val="24"/>
      <w:szCs w:val="24"/>
      <w:lang w:val="en-US" w:eastAsia="zh-CN" w:bidi="ar-SA"/>
    </w:rPr>
  </w:style>
  <w:style w:type="paragraph" w:customStyle="1" w:styleId="24">
    <w:name w:val="WPSOffice手动目录 1"/>
    <w:qFormat/>
    <w:uiPriority w:val="0"/>
    <w:rPr>
      <w:rFonts w:ascii="Arial" w:hAnsi="Arial" w:cs="Arial" w:eastAsiaTheme="minorEastAsia"/>
      <w:lang w:val="en-US" w:eastAsia="zh-CN" w:bidi="ar-SA"/>
    </w:rPr>
  </w:style>
  <w:style w:type="paragraph" w:customStyle="1" w:styleId="25">
    <w:name w:val="WPSOffice手动目录 2"/>
    <w:qFormat/>
    <w:uiPriority w:val="0"/>
    <w:pPr>
      <w:ind w:left="200" w:leftChars="200"/>
    </w:pPr>
    <w:rPr>
      <w:rFonts w:ascii="Arial" w:hAnsi="Arial" w:cs="Arial" w:eastAsiaTheme="minorEastAsia"/>
      <w:lang w:val="en-US" w:eastAsia="zh-CN" w:bidi="ar-SA"/>
    </w:rPr>
  </w:style>
  <w:style w:type="paragraph" w:customStyle="1" w:styleId="26">
    <w:name w:val="WPSOffice手动目录 3"/>
    <w:qFormat/>
    <w:uiPriority w:val="0"/>
    <w:pPr>
      <w:ind w:left="400" w:leftChars="400"/>
    </w:pPr>
    <w:rPr>
      <w:rFonts w:ascii="Arial" w:hAnsi="Arial" w:cs="Arial" w:eastAsiaTheme="minorEastAsia"/>
      <w:lang w:val="en-US" w:eastAsia="zh-CN" w:bidi="ar-SA"/>
    </w:rPr>
  </w:style>
  <w:style w:type="character" w:customStyle="1" w:styleId="27">
    <w:name w:val="font01"/>
    <w:basedOn w:val="16"/>
    <w:qFormat/>
    <w:uiPriority w:val="0"/>
    <w:rPr>
      <w:rFonts w:hint="eastAsia" w:ascii="宋体" w:hAnsi="宋体" w:eastAsia="宋体" w:cs="宋体"/>
      <w:color w:val="000000"/>
      <w:sz w:val="24"/>
      <w:szCs w:val="24"/>
      <w:u w:val="none"/>
    </w:rPr>
  </w:style>
  <w:style w:type="character" w:customStyle="1" w:styleId="28">
    <w:name w:val="font11"/>
    <w:basedOn w:val="16"/>
    <w:qFormat/>
    <w:uiPriority w:val="0"/>
    <w:rPr>
      <w:rFonts w:hint="eastAsia" w:ascii="宋体" w:hAnsi="宋体" w:eastAsia="宋体" w:cs="宋体"/>
      <w:color w:val="000000"/>
      <w:sz w:val="24"/>
      <w:szCs w:val="24"/>
      <w:u w:val="none"/>
    </w:rPr>
  </w:style>
  <w:style w:type="character" w:customStyle="1" w:styleId="29">
    <w:name w:val="font21"/>
    <w:basedOn w:val="1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0FAA64-2C83-4958-B3BC-F9778D568CDF}">
  <ds:schemaRefs/>
</ds:datastoreItem>
</file>

<file path=docProps/app.xml><?xml version="1.0" encoding="utf-8"?>
<Properties xmlns="http://schemas.openxmlformats.org/officeDocument/2006/extended-properties" xmlns:vt="http://schemas.openxmlformats.org/officeDocument/2006/docPropsVTypes">
  <Template>Normal</Template>
  <Pages>103</Pages>
  <Words>4191</Words>
  <Characters>4848</Characters>
  <Lines>718</Lines>
  <Paragraphs>202</Paragraphs>
  <TotalTime>7</TotalTime>
  <ScaleCrop>false</ScaleCrop>
  <LinksUpToDate>false</LinksUpToDate>
  <CharactersWithSpaces>6292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2021-09-23T13:16:00Z</dcterms:created>
  <dc:creator>CBD</dc:creator>
  <cp:lastModifiedBy>administrator</cp:lastModifiedBy>
  <dcterms:modified xsi:type="dcterms:W3CDTF">2025-12-08T01:01:06Z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2023-02-23T09:06:43Z</vt:filetime>
  </property>
  <property fmtid="{D5CDD505-2E9C-101B-9397-08002B2CF9AE}" pid="4" name="KSOProductBuildVer">
    <vt:lpwstr>2052-12.1.0.23542</vt:lpwstr>
  </property>
  <property fmtid="{D5CDD505-2E9C-101B-9397-08002B2CF9AE}" pid="5" name="ICV">
    <vt:lpwstr>5D4516DD3066474D925F95892853E75C_13</vt:lpwstr>
  </property>
  <property fmtid="{D5CDD505-2E9C-101B-9397-08002B2CF9AE}" pid="6" name="KSOTemplateDocerSaveRecord">
    <vt:lpwstr>eyJoZGlkIjoiZTVlNzg1NzcwNTgwOWVjNGMzMWEwMTliMTMzNGVhNDgiLCJ1c2VySWQiOiIxMzUzMTc0MDAzIn0=</vt:lpwstr>
  </property>
</Properties>
</file>