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mbeddings/Microsoft_Visio___1.vsdx" ContentType="application/vnd.ms-visio.drawing"/>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D977B4">
      <w:pPr>
        <w:spacing w:after="209" w:afterLines="67"/>
        <w:rPr>
          <w:rFonts w:asciiTheme="minorEastAsia" w:hAnsiTheme="minorEastAsia" w:cstheme="minorEastAsia"/>
          <w:sz w:val="28"/>
          <w:szCs w:val="28"/>
        </w:rPr>
      </w:pPr>
      <w:r>
        <w:rPr>
          <w:rFonts w:hint="eastAsia" w:asciiTheme="minorEastAsia" w:hAnsiTheme="minorEastAsia" w:cstheme="minorEastAsia"/>
          <w:sz w:val="28"/>
          <w:szCs w:val="28"/>
        </w:rPr>
        <w:t>附件2</w:t>
      </w:r>
    </w:p>
    <w:p w14:paraId="5109DEC6">
      <w:pPr>
        <w:spacing w:after="209" w:afterLines="67" w:line="240" w:lineRule="auto"/>
        <w:jc w:val="center"/>
        <w:rPr>
          <w:rFonts w:hint="eastAsia" w:asciiTheme="minorEastAsia" w:hAnsiTheme="minorEastAsia" w:cstheme="minorEastAsia"/>
          <w:b/>
          <w:bCs/>
          <w:sz w:val="28"/>
          <w:szCs w:val="28"/>
        </w:rPr>
      </w:pPr>
      <w:r>
        <w:rPr>
          <w:rFonts w:hint="eastAsia" w:asciiTheme="minorEastAsia" w:hAnsiTheme="minorEastAsia" w:cstheme="minorEastAsia"/>
          <w:b/>
          <w:bCs/>
          <w:sz w:val="28"/>
          <w:szCs w:val="28"/>
        </w:rPr>
        <w:t>广东南方新媒体股份有限公司</w:t>
      </w:r>
    </w:p>
    <w:p w14:paraId="7AC0BC00">
      <w:pPr>
        <w:spacing w:after="209" w:afterLines="67" w:line="240" w:lineRule="auto"/>
        <w:jc w:val="center"/>
        <w:rPr>
          <w:rFonts w:hint="eastAsia" w:asciiTheme="minorEastAsia" w:hAnsiTheme="minorEastAsia" w:eastAsiaTheme="minorEastAsia" w:cstheme="minorEastAsia"/>
          <w:b/>
          <w:bCs/>
          <w:sz w:val="28"/>
          <w:szCs w:val="28"/>
          <w:lang w:eastAsia="zh-CN"/>
        </w:rPr>
      </w:pPr>
      <w:r>
        <w:rPr>
          <w:rFonts w:hint="eastAsia" w:asciiTheme="minorEastAsia" w:hAnsiTheme="minorEastAsia" w:cstheme="minorEastAsia"/>
          <w:b/>
          <w:bCs/>
          <w:sz w:val="28"/>
          <w:szCs w:val="28"/>
          <w:lang w:eastAsia="zh-CN"/>
        </w:rPr>
        <w:t>2026年OTT大数据分析管理系统定制开发服务项目</w:t>
      </w:r>
    </w:p>
    <w:p w14:paraId="73243D2A">
      <w:pPr>
        <w:spacing w:after="209" w:afterLines="67"/>
        <w:jc w:val="center"/>
        <w:rPr>
          <w:rFonts w:asciiTheme="minorEastAsia" w:hAnsiTheme="minorEastAsia" w:cstheme="minorEastAsia"/>
          <w:b/>
          <w:bCs/>
          <w:sz w:val="24"/>
          <w:szCs w:val="24"/>
        </w:rPr>
      </w:pPr>
      <w:r>
        <w:rPr>
          <w:rFonts w:hint="eastAsia" w:asciiTheme="minorEastAsia" w:hAnsiTheme="minorEastAsia" w:cstheme="minorEastAsia"/>
          <w:b/>
          <w:bCs/>
          <w:sz w:val="28"/>
          <w:szCs w:val="28"/>
        </w:rPr>
        <w:t>市场调研报价文件格式</w:t>
      </w:r>
    </w:p>
    <w:p w14:paraId="44C5061D">
      <w:pPr>
        <w:pStyle w:val="25"/>
        <w:numPr>
          <w:ilvl w:val="0"/>
          <w:numId w:val="2"/>
        </w:numPr>
        <w:spacing w:after="209" w:afterLines="67"/>
        <w:ind w:firstLineChars="0"/>
        <w:rPr>
          <w:rFonts w:asciiTheme="minorEastAsia" w:hAnsiTheme="minorEastAsia" w:cstheme="minorEastAsia"/>
          <w:b/>
          <w:bCs/>
          <w:sz w:val="24"/>
          <w:szCs w:val="24"/>
        </w:rPr>
      </w:pPr>
      <w:r>
        <w:rPr>
          <w:rFonts w:hint="eastAsia" w:asciiTheme="minorEastAsia" w:hAnsiTheme="minorEastAsia" w:cstheme="minorEastAsia"/>
          <w:b/>
          <w:bCs/>
          <w:sz w:val="24"/>
          <w:szCs w:val="24"/>
        </w:rPr>
        <w:t>供应商信息登记表</w:t>
      </w:r>
    </w:p>
    <w:tbl>
      <w:tblPr>
        <w:tblStyle w:val="15"/>
        <w:tblW w:w="544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339"/>
        <w:gridCol w:w="918"/>
        <w:gridCol w:w="2221"/>
        <w:gridCol w:w="1242"/>
        <w:gridCol w:w="2328"/>
      </w:tblGrid>
      <w:tr w14:paraId="14767F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1293" w:type="pct"/>
            <w:vAlign w:val="center"/>
          </w:tcPr>
          <w:p w14:paraId="0017FF4A">
            <w:pPr>
              <w:pStyle w:val="26"/>
              <w:kinsoku w:val="0"/>
              <w:overflowPunct w:val="0"/>
              <w:spacing w:line="400" w:lineRule="exact"/>
              <w:ind w:firstLine="0" w:firstLineChars="0"/>
              <w:jc w:val="center"/>
              <w:rPr>
                <w:rFonts w:hAnsi="宋体" w:cs="仿宋"/>
              </w:rPr>
            </w:pPr>
            <w:bookmarkStart w:id="0" w:name="_Hlk199424538"/>
            <w:r>
              <w:rPr>
                <w:rFonts w:hint="eastAsia" w:hAnsi="宋体" w:cs="仿宋"/>
              </w:rPr>
              <w:t>单位名称</w:t>
            </w:r>
          </w:p>
        </w:tc>
        <w:tc>
          <w:tcPr>
            <w:tcW w:w="3706" w:type="pct"/>
            <w:gridSpan w:val="4"/>
            <w:vAlign w:val="center"/>
          </w:tcPr>
          <w:p w14:paraId="40D37690">
            <w:pPr>
              <w:tabs>
                <w:tab w:val="left" w:pos="202"/>
              </w:tabs>
              <w:spacing w:line="400" w:lineRule="exact"/>
              <w:jc w:val="center"/>
              <w:rPr>
                <w:rFonts w:ascii="宋体" w:hAnsi="宋体" w:eastAsia="宋体" w:cs="仿宋"/>
                <w:sz w:val="24"/>
                <w:szCs w:val="24"/>
              </w:rPr>
            </w:pPr>
          </w:p>
        </w:tc>
      </w:tr>
      <w:tr w14:paraId="7F90D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22" w:hRule="atLeast"/>
          <w:jc w:val="center"/>
        </w:trPr>
        <w:tc>
          <w:tcPr>
            <w:tcW w:w="1293" w:type="pct"/>
            <w:vAlign w:val="center"/>
          </w:tcPr>
          <w:p w14:paraId="4FA551AB">
            <w:pPr>
              <w:pStyle w:val="26"/>
              <w:kinsoku w:val="0"/>
              <w:overflowPunct w:val="0"/>
              <w:spacing w:line="400" w:lineRule="exact"/>
              <w:ind w:firstLine="0" w:firstLineChars="0"/>
              <w:jc w:val="center"/>
              <w:rPr>
                <w:rFonts w:hAnsi="宋体" w:cs="仿宋"/>
              </w:rPr>
            </w:pPr>
            <w:r>
              <w:rPr>
                <w:rFonts w:hint="eastAsia" w:hAnsi="宋体" w:cs="仿宋"/>
              </w:rPr>
              <w:t>注册资金</w:t>
            </w:r>
          </w:p>
        </w:tc>
        <w:tc>
          <w:tcPr>
            <w:tcW w:w="1734" w:type="pct"/>
            <w:gridSpan w:val="2"/>
            <w:vAlign w:val="center"/>
          </w:tcPr>
          <w:p w14:paraId="6BF589B6">
            <w:pPr>
              <w:spacing w:line="400" w:lineRule="exact"/>
              <w:jc w:val="center"/>
              <w:rPr>
                <w:rFonts w:ascii="宋体" w:hAnsi="宋体" w:eastAsia="宋体" w:cs="仿宋"/>
                <w:sz w:val="24"/>
                <w:szCs w:val="24"/>
              </w:rPr>
            </w:pPr>
            <w:r>
              <w:rPr>
                <w:rFonts w:hint="eastAsia" w:ascii="宋体" w:hAnsi="宋体" w:eastAsia="宋体" w:cs="仿宋"/>
                <w:sz w:val="24"/>
                <w:szCs w:val="24"/>
              </w:rPr>
              <w:t>万元</w:t>
            </w:r>
          </w:p>
        </w:tc>
        <w:tc>
          <w:tcPr>
            <w:tcW w:w="686" w:type="pct"/>
            <w:vAlign w:val="center"/>
          </w:tcPr>
          <w:p w14:paraId="79D36110">
            <w:pPr>
              <w:pStyle w:val="26"/>
              <w:kinsoku w:val="0"/>
              <w:overflowPunct w:val="0"/>
              <w:spacing w:line="400" w:lineRule="exact"/>
              <w:ind w:firstLine="0" w:firstLineChars="0"/>
              <w:jc w:val="center"/>
              <w:rPr>
                <w:rFonts w:hAnsi="宋体" w:cs="仿宋"/>
              </w:rPr>
            </w:pPr>
            <w:r>
              <w:rPr>
                <w:rFonts w:hint="eastAsia" w:hAnsi="宋体" w:cs="仿宋"/>
              </w:rPr>
              <w:t>成立时间</w:t>
            </w:r>
          </w:p>
        </w:tc>
        <w:tc>
          <w:tcPr>
            <w:tcW w:w="1285" w:type="pct"/>
            <w:vAlign w:val="center"/>
          </w:tcPr>
          <w:p w14:paraId="2233A0C0">
            <w:pPr>
              <w:spacing w:line="400" w:lineRule="exact"/>
              <w:jc w:val="center"/>
              <w:rPr>
                <w:rFonts w:ascii="宋体" w:hAnsi="宋体" w:eastAsia="宋体" w:cs="仿宋"/>
                <w:sz w:val="24"/>
                <w:szCs w:val="24"/>
              </w:rPr>
            </w:pPr>
            <w:r>
              <w:rPr>
                <w:rFonts w:hint="eastAsia" w:ascii="宋体" w:hAnsi="宋体" w:eastAsia="宋体" w:cs="仿宋"/>
                <w:sz w:val="24"/>
                <w:szCs w:val="24"/>
              </w:rPr>
              <w:t>年</w:t>
            </w:r>
            <w:r>
              <w:rPr>
                <w:rFonts w:ascii="宋体" w:hAnsi="宋体" w:eastAsia="宋体" w:cs="仿宋"/>
                <w:sz w:val="24"/>
                <w:szCs w:val="24"/>
              </w:rPr>
              <w:t xml:space="preserve">   </w:t>
            </w:r>
            <w:r>
              <w:rPr>
                <w:rFonts w:hint="eastAsia" w:ascii="宋体" w:hAnsi="宋体" w:eastAsia="宋体" w:cs="仿宋"/>
                <w:sz w:val="24"/>
                <w:szCs w:val="24"/>
              </w:rPr>
              <w:t>月</w:t>
            </w:r>
            <w:r>
              <w:rPr>
                <w:rFonts w:ascii="宋体" w:hAnsi="宋体" w:eastAsia="宋体" w:cs="仿宋"/>
                <w:sz w:val="24"/>
                <w:szCs w:val="24"/>
              </w:rPr>
              <w:t xml:space="preserve">  </w:t>
            </w:r>
            <w:r>
              <w:rPr>
                <w:rFonts w:hint="eastAsia" w:ascii="宋体" w:hAnsi="宋体" w:eastAsia="宋体" w:cs="仿宋"/>
                <w:sz w:val="24"/>
                <w:szCs w:val="24"/>
              </w:rPr>
              <w:t>日</w:t>
            </w:r>
          </w:p>
        </w:tc>
      </w:tr>
      <w:tr w14:paraId="26F69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1293" w:type="pct"/>
            <w:vAlign w:val="center"/>
          </w:tcPr>
          <w:p w14:paraId="71DA2A5C">
            <w:pPr>
              <w:pStyle w:val="26"/>
              <w:kinsoku w:val="0"/>
              <w:overflowPunct w:val="0"/>
              <w:spacing w:line="400" w:lineRule="exact"/>
              <w:ind w:firstLine="0" w:firstLineChars="0"/>
              <w:jc w:val="center"/>
              <w:rPr>
                <w:rFonts w:hAnsi="宋体" w:cs="仿宋"/>
              </w:rPr>
            </w:pPr>
            <w:r>
              <w:rPr>
                <w:rFonts w:hint="eastAsia" w:hAnsi="宋体" w:cs="仿宋"/>
              </w:rPr>
              <w:t>注册地址</w:t>
            </w:r>
          </w:p>
        </w:tc>
        <w:tc>
          <w:tcPr>
            <w:tcW w:w="3706" w:type="pct"/>
            <w:gridSpan w:val="4"/>
            <w:vAlign w:val="center"/>
          </w:tcPr>
          <w:p w14:paraId="1B743F9F">
            <w:pPr>
              <w:spacing w:line="400" w:lineRule="exact"/>
              <w:rPr>
                <w:rFonts w:ascii="宋体" w:hAnsi="宋体" w:eastAsia="宋体" w:cs="仿宋"/>
                <w:sz w:val="24"/>
                <w:szCs w:val="24"/>
              </w:rPr>
            </w:pPr>
          </w:p>
        </w:tc>
      </w:tr>
      <w:tr w14:paraId="3781F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9" w:hRule="atLeast"/>
          <w:jc w:val="center"/>
        </w:trPr>
        <w:tc>
          <w:tcPr>
            <w:tcW w:w="1293" w:type="pct"/>
            <w:vAlign w:val="center"/>
          </w:tcPr>
          <w:p w14:paraId="3CB7E2A7">
            <w:pPr>
              <w:pStyle w:val="26"/>
              <w:kinsoku w:val="0"/>
              <w:overflowPunct w:val="0"/>
              <w:spacing w:line="400" w:lineRule="exact"/>
              <w:ind w:firstLine="0" w:firstLineChars="0"/>
              <w:jc w:val="center"/>
              <w:rPr>
                <w:rFonts w:hAnsi="宋体" w:cs="仿宋"/>
              </w:rPr>
            </w:pPr>
            <w:r>
              <w:rPr>
                <w:rFonts w:hint="eastAsia" w:hAnsi="宋体" w:cs="仿宋"/>
              </w:rPr>
              <w:t>邮政编码</w:t>
            </w:r>
          </w:p>
        </w:tc>
        <w:tc>
          <w:tcPr>
            <w:tcW w:w="1734" w:type="pct"/>
            <w:gridSpan w:val="2"/>
            <w:vAlign w:val="center"/>
          </w:tcPr>
          <w:p w14:paraId="5C193EDD">
            <w:pPr>
              <w:spacing w:line="400" w:lineRule="exact"/>
              <w:jc w:val="center"/>
              <w:rPr>
                <w:rFonts w:ascii="宋体" w:hAnsi="宋体" w:eastAsia="宋体" w:cs="仿宋"/>
                <w:sz w:val="24"/>
                <w:szCs w:val="24"/>
              </w:rPr>
            </w:pPr>
          </w:p>
        </w:tc>
        <w:tc>
          <w:tcPr>
            <w:tcW w:w="686" w:type="pct"/>
            <w:vAlign w:val="center"/>
          </w:tcPr>
          <w:p w14:paraId="20001355">
            <w:pPr>
              <w:pStyle w:val="26"/>
              <w:kinsoku w:val="0"/>
              <w:overflowPunct w:val="0"/>
              <w:spacing w:line="400" w:lineRule="exact"/>
              <w:ind w:firstLine="0" w:firstLineChars="0"/>
              <w:jc w:val="center"/>
              <w:rPr>
                <w:rFonts w:hAnsi="宋体" w:cs="仿宋"/>
              </w:rPr>
            </w:pPr>
            <w:r>
              <w:rPr>
                <w:rFonts w:hint="eastAsia" w:hAnsi="宋体" w:cs="仿宋"/>
              </w:rPr>
              <w:t>员工总数</w:t>
            </w:r>
          </w:p>
        </w:tc>
        <w:tc>
          <w:tcPr>
            <w:tcW w:w="1285" w:type="pct"/>
            <w:vAlign w:val="center"/>
          </w:tcPr>
          <w:p w14:paraId="2142DA8C">
            <w:pPr>
              <w:spacing w:line="400" w:lineRule="exact"/>
              <w:jc w:val="center"/>
              <w:rPr>
                <w:rFonts w:ascii="宋体" w:hAnsi="宋体" w:eastAsia="宋体" w:cs="仿宋"/>
                <w:sz w:val="24"/>
                <w:szCs w:val="24"/>
              </w:rPr>
            </w:pPr>
          </w:p>
        </w:tc>
      </w:tr>
      <w:tr w14:paraId="30B43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6" w:hRule="atLeast"/>
          <w:jc w:val="center"/>
        </w:trPr>
        <w:tc>
          <w:tcPr>
            <w:tcW w:w="1293" w:type="pct"/>
            <w:vMerge w:val="restart"/>
            <w:vAlign w:val="center"/>
          </w:tcPr>
          <w:p w14:paraId="3092C514">
            <w:pPr>
              <w:pStyle w:val="26"/>
              <w:kinsoku w:val="0"/>
              <w:overflowPunct w:val="0"/>
              <w:spacing w:line="400" w:lineRule="exact"/>
              <w:ind w:firstLine="0" w:firstLineChars="0"/>
              <w:jc w:val="center"/>
              <w:rPr>
                <w:rFonts w:hAnsi="宋体" w:cs="仿宋"/>
              </w:rPr>
            </w:pPr>
            <w:r>
              <w:rPr>
                <w:rFonts w:hint="eastAsia" w:hAnsi="宋体" w:cs="仿宋"/>
              </w:rPr>
              <w:t>联系方式</w:t>
            </w:r>
          </w:p>
        </w:tc>
        <w:tc>
          <w:tcPr>
            <w:tcW w:w="507" w:type="pct"/>
            <w:vAlign w:val="center"/>
          </w:tcPr>
          <w:p w14:paraId="361AA16B">
            <w:pPr>
              <w:pStyle w:val="26"/>
              <w:kinsoku w:val="0"/>
              <w:overflowPunct w:val="0"/>
              <w:spacing w:line="400" w:lineRule="exact"/>
              <w:ind w:firstLine="0" w:firstLineChars="0"/>
              <w:jc w:val="center"/>
              <w:rPr>
                <w:rFonts w:hAnsi="宋体" w:cs="仿宋"/>
              </w:rPr>
            </w:pPr>
            <w:r>
              <w:rPr>
                <w:rFonts w:hint="eastAsia" w:hAnsi="宋体" w:cs="仿宋"/>
              </w:rPr>
              <w:t>联系人</w:t>
            </w:r>
          </w:p>
        </w:tc>
        <w:tc>
          <w:tcPr>
            <w:tcW w:w="1227" w:type="pct"/>
            <w:vAlign w:val="center"/>
          </w:tcPr>
          <w:p w14:paraId="44E828A3">
            <w:pPr>
              <w:spacing w:line="400" w:lineRule="exact"/>
              <w:jc w:val="center"/>
              <w:rPr>
                <w:rFonts w:ascii="宋体" w:hAnsi="宋体" w:eastAsia="宋体" w:cs="仿宋"/>
                <w:sz w:val="24"/>
                <w:szCs w:val="24"/>
              </w:rPr>
            </w:pPr>
          </w:p>
        </w:tc>
        <w:tc>
          <w:tcPr>
            <w:tcW w:w="686" w:type="pct"/>
            <w:vAlign w:val="center"/>
          </w:tcPr>
          <w:p w14:paraId="3C8911C2">
            <w:pPr>
              <w:pStyle w:val="26"/>
              <w:kinsoku w:val="0"/>
              <w:overflowPunct w:val="0"/>
              <w:spacing w:line="400" w:lineRule="exact"/>
              <w:ind w:firstLine="0" w:firstLineChars="0"/>
              <w:jc w:val="center"/>
              <w:rPr>
                <w:rFonts w:hAnsi="宋体" w:cs="仿宋"/>
              </w:rPr>
            </w:pPr>
            <w:r>
              <w:rPr>
                <w:rFonts w:hint="eastAsia" w:hAnsi="宋体" w:cs="仿宋"/>
              </w:rPr>
              <w:t>电话</w:t>
            </w:r>
          </w:p>
        </w:tc>
        <w:tc>
          <w:tcPr>
            <w:tcW w:w="1285" w:type="pct"/>
            <w:vAlign w:val="center"/>
          </w:tcPr>
          <w:p w14:paraId="0D1512C8">
            <w:pPr>
              <w:spacing w:line="400" w:lineRule="exact"/>
              <w:jc w:val="center"/>
              <w:rPr>
                <w:rFonts w:ascii="宋体" w:hAnsi="宋体" w:eastAsia="宋体" w:cs="仿宋"/>
                <w:sz w:val="24"/>
                <w:szCs w:val="24"/>
              </w:rPr>
            </w:pPr>
          </w:p>
        </w:tc>
      </w:tr>
      <w:tr w14:paraId="4700E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6" w:hRule="atLeast"/>
          <w:jc w:val="center"/>
        </w:trPr>
        <w:tc>
          <w:tcPr>
            <w:tcW w:w="1293" w:type="pct"/>
            <w:vMerge w:val="continue"/>
            <w:vAlign w:val="center"/>
          </w:tcPr>
          <w:p w14:paraId="683EF8FF">
            <w:pPr>
              <w:spacing w:line="400" w:lineRule="exact"/>
              <w:jc w:val="center"/>
              <w:rPr>
                <w:rFonts w:ascii="宋体" w:hAnsi="宋体" w:eastAsia="宋体" w:cs="仿宋"/>
                <w:sz w:val="24"/>
                <w:szCs w:val="24"/>
              </w:rPr>
            </w:pPr>
          </w:p>
        </w:tc>
        <w:tc>
          <w:tcPr>
            <w:tcW w:w="507" w:type="pct"/>
            <w:vAlign w:val="center"/>
          </w:tcPr>
          <w:p w14:paraId="1A755BB5">
            <w:pPr>
              <w:pStyle w:val="26"/>
              <w:kinsoku w:val="0"/>
              <w:overflowPunct w:val="0"/>
              <w:spacing w:line="400" w:lineRule="exact"/>
              <w:ind w:firstLine="0" w:firstLineChars="0"/>
              <w:jc w:val="center"/>
              <w:rPr>
                <w:rFonts w:hAnsi="宋体" w:cs="仿宋"/>
              </w:rPr>
            </w:pPr>
            <w:r>
              <w:rPr>
                <w:rFonts w:hint="eastAsia" w:hAnsi="宋体" w:cs="仿宋"/>
              </w:rPr>
              <w:t>网址</w:t>
            </w:r>
          </w:p>
        </w:tc>
        <w:tc>
          <w:tcPr>
            <w:tcW w:w="1227" w:type="pct"/>
            <w:vAlign w:val="center"/>
          </w:tcPr>
          <w:p w14:paraId="77EAE994">
            <w:pPr>
              <w:spacing w:line="400" w:lineRule="exact"/>
              <w:jc w:val="center"/>
              <w:rPr>
                <w:rFonts w:ascii="宋体" w:hAnsi="宋体" w:eastAsia="宋体" w:cs="仿宋"/>
                <w:sz w:val="24"/>
                <w:szCs w:val="24"/>
              </w:rPr>
            </w:pPr>
          </w:p>
        </w:tc>
        <w:tc>
          <w:tcPr>
            <w:tcW w:w="686" w:type="pct"/>
            <w:vAlign w:val="center"/>
          </w:tcPr>
          <w:p w14:paraId="0E3B68FD">
            <w:pPr>
              <w:pStyle w:val="26"/>
              <w:kinsoku w:val="0"/>
              <w:overflowPunct w:val="0"/>
              <w:spacing w:line="400" w:lineRule="exact"/>
              <w:ind w:firstLine="0" w:firstLineChars="0"/>
              <w:jc w:val="center"/>
              <w:rPr>
                <w:rFonts w:hAnsi="宋体" w:cs="仿宋"/>
              </w:rPr>
            </w:pPr>
            <w:r>
              <w:rPr>
                <w:rFonts w:hint="eastAsia" w:hAnsi="宋体" w:cs="仿宋"/>
              </w:rPr>
              <w:t>传真/邮箱</w:t>
            </w:r>
          </w:p>
        </w:tc>
        <w:tc>
          <w:tcPr>
            <w:tcW w:w="1285" w:type="pct"/>
            <w:vAlign w:val="center"/>
          </w:tcPr>
          <w:p w14:paraId="7905C33C">
            <w:pPr>
              <w:spacing w:line="400" w:lineRule="exact"/>
              <w:jc w:val="center"/>
              <w:rPr>
                <w:rFonts w:ascii="宋体" w:hAnsi="宋体" w:eastAsia="宋体" w:cs="仿宋"/>
                <w:sz w:val="24"/>
                <w:szCs w:val="24"/>
              </w:rPr>
            </w:pPr>
          </w:p>
        </w:tc>
      </w:tr>
      <w:tr w14:paraId="2A4E0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9" w:hRule="atLeast"/>
          <w:jc w:val="center"/>
        </w:trPr>
        <w:tc>
          <w:tcPr>
            <w:tcW w:w="1293" w:type="pct"/>
            <w:vAlign w:val="center"/>
          </w:tcPr>
          <w:p w14:paraId="6C08FD93">
            <w:pPr>
              <w:pStyle w:val="26"/>
              <w:kinsoku w:val="0"/>
              <w:overflowPunct w:val="0"/>
              <w:spacing w:line="400" w:lineRule="exact"/>
              <w:ind w:firstLine="0" w:firstLineChars="0"/>
              <w:jc w:val="center"/>
              <w:rPr>
                <w:rFonts w:hAnsi="宋体" w:cs="仿宋"/>
              </w:rPr>
            </w:pPr>
            <w:r>
              <w:rPr>
                <w:rFonts w:hint="eastAsia" w:hAnsi="宋体" w:cs="仿宋"/>
              </w:rPr>
              <w:t>法定代表人</w:t>
            </w:r>
          </w:p>
          <w:p w14:paraId="284273E6">
            <w:pPr>
              <w:pStyle w:val="26"/>
              <w:kinsoku w:val="0"/>
              <w:overflowPunct w:val="0"/>
              <w:spacing w:line="400" w:lineRule="exact"/>
              <w:ind w:firstLine="0" w:firstLineChars="0"/>
              <w:jc w:val="center"/>
              <w:rPr>
                <w:rFonts w:hAnsi="宋体" w:cs="仿宋"/>
              </w:rPr>
            </w:pPr>
            <w:r>
              <w:rPr>
                <w:rFonts w:hint="eastAsia" w:hAnsi="宋体" w:cs="仿宋"/>
              </w:rPr>
              <w:t>（单位负责人）</w:t>
            </w:r>
          </w:p>
        </w:tc>
        <w:tc>
          <w:tcPr>
            <w:tcW w:w="507" w:type="pct"/>
            <w:vAlign w:val="center"/>
          </w:tcPr>
          <w:p w14:paraId="3B605977">
            <w:pPr>
              <w:pStyle w:val="26"/>
              <w:kinsoku w:val="0"/>
              <w:overflowPunct w:val="0"/>
              <w:spacing w:line="400" w:lineRule="exact"/>
              <w:ind w:firstLine="0" w:firstLineChars="0"/>
              <w:jc w:val="center"/>
              <w:rPr>
                <w:rFonts w:hAnsi="宋体" w:cs="仿宋"/>
              </w:rPr>
            </w:pPr>
            <w:r>
              <w:rPr>
                <w:rFonts w:hint="eastAsia" w:hAnsi="宋体" w:cs="仿宋"/>
              </w:rPr>
              <w:t>姓名</w:t>
            </w:r>
          </w:p>
        </w:tc>
        <w:tc>
          <w:tcPr>
            <w:tcW w:w="1227" w:type="pct"/>
            <w:vAlign w:val="center"/>
          </w:tcPr>
          <w:p w14:paraId="72F35AC4">
            <w:pPr>
              <w:spacing w:line="400" w:lineRule="exact"/>
              <w:jc w:val="center"/>
              <w:rPr>
                <w:rFonts w:ascii="宋体" w:hAnsi="宋体" w:eastAsia="宋体" w:cs="仿宋"/>
                <w:sz w:val="24"/>
                <w:szCs w:val="24"/>
              </w:rPr>
            </w:pPr>
          </w:p>
        </w:tc>
        <w:tc>
          <w:tcPr>
            <w:tcW w:w="686" w:type="pct"/>
            <w:vAlign w:val="center"/>
          </w:tcPr>
          <w:p w14:paraId="026C68D7">
            <w:pPr>
              <w:pStyle w:val="26"/>
              <w:kinsoku w:val="0"/>
              <w:overflowPunct w:val="0"/>
              <w:spacing w:line="400" w:lineRule="exact"/>
              <w:ind w:firstLine="0" w:firstLineChars="0"/>
              <w:jc w:val="center"/>
              <w:rPr>
                <w:rFonts w:hAnsi="宋体" w:cs="仿宋"/>
              </w:rPr>
            </w:pPr>
            <w:r>
              <w:rPr>
                <w:rFonts w:hint="eastAsia" w:hAnsi="宋体" w:cs="仿宋"/>
              </w:rPr>
              <w:t>电话</w:t>
            </w:r>
          </w:p>
        </w:tc>
        <w:tc>
          <w:tcPr>
            <w:tcW w:w="1285" w:type="pct"/>
            <w:vAlign w:val="center"/>
          </w:tcPr>
          <w:p w14:paraId="1EEFE668">
            <w:pPr>
              <w:tabs>
                <w:tab w:val="left" w:pos="1426"/>
              </w:tabs>
              <w:spacing w:line="400" w:lineRule="exact"/>
              <w:jc w:val="center"/>
              <w:rPr>
                <w:rFonts w:ascii="宋体" w:hAnsi="宋体" w:eastAsia="宋体" w:cs="仿宋"/>
                <w:sz w:val="24"/>
                <w:szCs w:val="24"/>
              </w:rPr>
            </w:pPr>
          </w:p>
        </w:tc>
      </w:tr>
      <w:tr w14:paraId="5C07B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95" w:hRule="atLeast"/>
          <w:jc w:val="center"/>
        </w:trPr>
        <w:tc>
          <w:tcPr>
            <w:tcW w:w="1293" w:type="pct"/>
            <w:vAlign w:val="center"/>
          </w:tcPr>
          <w:p w14:paraId="5546D0FE">
            <w:pPr>
              <w:pStyle w:val="26"/>
              <w:kinsoku w:val="0"/>
              <w:overflowPunct w:val="0"/>
              <w:spacing w:line="400" w:lineRule="exact"/>
              <w:ind w:firstLine="0" w:firstLineChars="0"/>
              <w:jc w:val="center"/>
              <w:rPr>
                <w:rFonts w:hAnsi="宋体" w:cs="仿宋"/>
              </w:rPr>
            </w:pPr>
            <w:r>
              <w:rPr>
                <w:rFonts w:hint="eastAsia" w:hAnsi="宋体" w:cs="仿宋"/>
              </w:rPr>
              <w:t>与本项目采购需求相关的资质或者认证证书</w:t>
            </w:r>
          </w:p>
        </w:tc>
        <w:tc>
          <w:tcPr>
            <w:tcW w:w="3706" w:type="pct"/>
            <w:gridSpan w:val="4"/>
            <w:vAlign w:val="center"/>
          </w:tcPr>
          <w:p w14:paraId="08FC7921">
            <w:pPr>
              <w:pStyle w:val="26"/>
              <w:kinsoku w:val="0"/>
              <w:overflowPunct w:val="0"/>
              <w:spacing w:line="400" w:lineRule="exact"/>
              <w:ind w:firstLine="0" w:firstLineChars="0"/>
              <w:rPr>
                <w:rFonts w:hAnsi="宋体" w:cs="仿宋"/>
              </w:rPr>
            </w:pPr>
            <w:r>
              <w:rPr>
                <w:rFonts w:hint="eastAsia" w:hAnsi="宋体" w:cs="仿宋"/>
              </w:rPr>
              <w:t>如有请罗列证书名称：</w:t>
            </w:r>
          </w:p>
        </w:tc>
      </w:tr>
      <w:tr w14:paraId="14FFC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76" w:hRule="atLeast"/>
          <w:jc w:val="center"/>
        </w:trPr>
        <w:tc>
          <w:tcPr>
            <w:tcW w:w="1293" w:type="pct"/>
            <w:vAlign w:val="center"/>
          </w:tcPr>
          <w:p w14:paraId="46F419B5">
            <w:pPr>
              <w:pStyle w:val="26"/>
              <w:kinsoku w:val="0"/>
              <w:overflowPunct w:val="0"/>
              <w:spacing w:line="400" w:lineRule="exact"/>
              <w:ind w:firstLine="0" w:firstLineChars="0"/>
              <w:jc w:val="center"/>
              <w:rPr>
                <w:rFonts w:hAnsi="宋体" w:cs="仿宋"/>
              </w:rPr>
            </w:pPr>
            <w:r>
              <w:rPr>
                <w:rFonts w:hint="eastAsia" w:hAnsi="宋体" w:cs="仿宋"/>
              </w:rPr>
              <w:t>人员情况</w:t>
            </w:r>
          </w:p>
        </w:tc>
        <w:tc>
          <w:tcPr>
            <w:tcW w:w="3706" w:type="pct"/>
            <w:gridSpan w:val="4"/>
            <w:vAlign w:val="center"/>
          </w:tcPr>
          <w:p w14:paraId="1545A375">
            <w:pPr>
              <w:pStyle w:val="26"/>
              <w:kinsoku w:val="0"/>
              <w:overflowPunct w:val="0"/>
              <w:spacing w:line="400" w:lineRule="exact"/>
              <w:ind w:firstLine="0" w:firstLineChars="0"/>
              <w:rPr>
                <w:rFonts w:hAnsi="宋体" w:cs="仿宋"/>
              </w:rPr>
            </w:pPr>
            <w:r>
              <w:rPr>
                <w:rFonts w:hint="eastAsia" w:hAnsi="宋体" w:cs="仿宋"/>
              </w:rPr>
              <w:t>公司实有人员情况：</w:t>
            </w:r>
          </w:p>
          <w:p w14:paraId="00285C2D">
            <w:pPr>
              <w:pStyle w:val="26"/>
              <w:kinsoku w:val="0"/>
              <w:overflowPunct w:val="0"/>
              <w:spacing w:line="400" w:lineRule="exact"/>
              <w:ind w:firstLine="0" w:firstLineChars="0"/>
              <w:rPr>
                <w:rFonts w:hAnsi="宋体" w:cs="仿宋"/>
              </w:rPr>
            </w:pPr>
            <w:r>
              <w:rPr>
                <w:rFonts w:hint="eastAsia" w:hAnsi="宋体" w:cs="仿宋"/>
              </w:rPr>
              <w:t>广州地区人员情况：</w:t>
            </w:r>
          </w:p>
        </w:tc>
      </w:tr>
      <w:tr w14:paraId="6B2CF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85" w:hRule="atLeast"/>
          <w:jc w:val="center"/>
        </w:trPr>
        <w:tc>
          <w:tcPr>
            <w:tcW w:w="1293" w:type="pct"/>
            <w:vAlign w:val="center"/>
          </w:tcPr>
          <w:p w14:paraId="4D9B66BF">
            <w:pPr>
              <w:pStyle w:val="26"/>
              <w:kinsoku w:val="0"/>
              <w:overflowPunct w:val="0"/>
              <w:spacing w:line="440" w:lineRule="exact"/>
              <w:ind w:firstLine="0" w:firstLineChars="0"/>
              <w:jc w:val="center"/>
              <w:rPr>
                <w:rFonts w:hAnsi="宋体" w:cs="仿宋"/>
              </w:rPr>
            </w:pPr>
            <w:r>
              <w:rPr>
                <w:rFonts w:hint="eastAsia" w:hAnsi="宋体" w:cs="仿宋"/>
              </w:rPr>
              <w:t>备注</w:t>
            </w:r>
          </w:p>
        </w:tc>
        <w:tc>
          <w:tcPr>
            <w:tcW w:w="3706" w:type="pct"/>
            <w:gridSpan w:val="4"/>
            <w:vAlign w:val="center"/>
          </w:tcPr>
          <w:p w14:paraId="76F22685">
            <w:pPr>
              <w:spacing w:line="440" w:lineRule="exact"/>
              <w:jc w:val="center"/>
              <w:rPr>
                <w:rFonts w:ascii="宋体" w:hAnsi="宋体" w:eastAsia="宋体" w:cs="仿宋"/>
                <w:sz w:val="24"/>
                <w:szCs w:val="24"/>
              </w:rPr>
            </w:pPr>
          </w:p>
        </w:tc>
      </w:tr>
      <w:bookmarkEnd w:id="0"/>
    </w:tbl>
    <w:p w14:paraId="70A426AB">
      <w:pPr>
        <w:pStyle w:val="14"/>
        <w:ind w:firstLine="0" w:firstLineChars="0"/>
      </w:pPr>
    </w:p>
    <w:p w14:paraId="3F0A306A">
      <w:pPr>
        <w:spacing w:after="209" w:afterLines="67"/>
        <w:rPr>
          <w:rFonts w:asciiTheme="minorEastAsia" w:hAnsiTheme="minorEastAsia" w:cstheme="minorEastAsia"/>
          <w:b/>
          <w:bCs/>
          <w:sz w:val="24"/>
          <w:szCs w:val="24"/>
        </w:rPr>
      </w:pPr>
      <w:r>
        <w:rPr>
          <w:rFonts w:hint="eastAsia" w:asciiTheme="minorEastAsia" w:hAnsiTheme="minorEastAsia" w:cstheme="minorEastAsia"/>
          <w:b/>
          <w:bCs/>
          <w:sz w:val="24"/>
          <w:szCs w:val="24"/>
        </w:rPr>
        <w:t>二、企业证明材料列表</w:t>
      </w:r>
    </w:p>
    <w:p w14:paraId="71555126">
      <w:pPr>
        <w:spacing w:after="209" w:afterLines="67"/>
        <w:rPr>
          <w:rFonts w:asciiTheme="minorEastAsia" w:hAnsiTheme="minorEastAsia" w:cstheme="minorEastAsia"/>
          <w:sz w:val="24"/>
          <w:szCs w:val="24"/>
        </w:rPr>
      </w:pPr>
      <w:r>
        <w:rPr>
          <w:rFonts w:hint="eastAsia" w:asciiTheme="minorEastAsia" w:hAnsiTheme="minorEastAsia" w:cstheme="minorEastAsia"/>
          <w:sz w:val="24"/>
          <w:szCs w:val="24"/>
        </w:rPr>
        <w:t>1、营业执照（加盖公章）</w:t>
      </w:r>
    </w:p>
    <w:p w14:paraId="5375A40A">
      <w:pPr>
        <w:spacing w:after="209" w:afterLines="67"/>
        <w:rPr>
          <w:rFonts w:asciiTheme="minorEastAsia" w:hAnsiTheme="minorEastAsia" w:cstheme="minorEastAsia"/>
          <w:sz w:val="24"/>
          <w:szCs w:val="24"/>
        </w:rPr>
      </w:pPr>
      <w:r>
        <w:rPr>
          <w:rFonts w:hint="eastAsia" w:asciiTheme="minorEastAsia" w:hAnsiTheme="minorEastAsia" w:cstheme="minorEastAsia"/>
          <w:sz w:val="24"/>
          <w:szCs w:val="24"/>
        </w:rPr>
        <w:t>2、法定代表人证明书和法定代表人授权委托书（加盖公章）</w:t>
      </w:r>
    </w:p>
    <w:p w14:paraId="2C844324">
      <w:pPr>
        <w:spacing w:after="209" w:afterLines="67"/>
        <w:rPr>
          <w:rFonts w:asciiTheme="minorEastAsia" w:hAnsiTheme="minorEastAsia" w:cstheme="minorEastAsia"/>
          <w:sz w:val="24"/>
          <w:szCs w:val="24"/>
        </w:rPr>
      </w:pPr>
      <w:r>
        <w:rPr>
          <w:rFonts w:hint="eastAsia" w:asciiTheme="minorEastAsia" w:hAnsiTheme="minorEastAsia" w:cstheme="minorEastAsia"/>
          <w:sz w:val="24"/>
          <w:szCs w:val="24"/>
        </w:rPr>
        <w:t>3、其他（公司简介、近5年类似项目业绩、企业荣誉、团队人员等）</w:t>
      </w:r>
    </w:p>
    <w:p w14:paraId="04AE1713">
      <w:pPr>
        <w:spacing w:after="209" w:afterLines="67" w:line="360" w:lineRule="auto"/>
        <w:rPr>
          <w:rFonts w:hint="eastAsia" w:asciiTheme="minorEastAsia" w:hAnsiTheme="minorEastAsia" w:cstheme="minorEastAsia"/>
          <w:sz w:val="24"/>
          <w:szCs w:val="24"/>
        </w:rPr>
        <w:sectPr>
          <w:footerReference r:id="rId3" w:type="default"/>
          <w:pgSz w:w="11906" w:h="16838"/>
          <w:pgMar w:top="1440" w:right="1800" w:bottom="1440" w:left="1800" w:header="851" w:footer="992" w:gutter="0"/>
          <w:cols w:space="425" w:num="1"/>
          <w:docGrid w:type="lines" w:linePitch="312" w:charSpace="0"/>
        </w:sectPr>
      </w:pPr>
      <w:r>
        <w:rPr>
          <w:rFonts w:hint="eastAsia" w:asciiTheme="minorEastAsia" w:hAnsiTheme="minorEastAsia" w:cstheme="minorEastAsia"/>
          <w:sz w:val="24"/>
          <w:szCs w:val="24"/>
        </w:rPr>
        <w:t>4、对项目采购需求的建议。</w:t>
      </w:r>
    </w:p>
    <w:p w14:paraId="103F7D21">
      <w:pPr>
        <w:spacing w:after="209" w:afterLines="67"/>
        <w:rPr>
          <w:rFonts w:asciiTheme="minorEastAsia" w:hAnsiTheme="minorEastAsia" w:cstheme="minorEastAsia"/>
          <w:b/>
          <w:bCs/>
          <w:sz w:val="24"/>
          <w:szCs w:val="24"/>
        </w:rPr>
      </w:pPr>
      <w:r>
        <w:rPr>
          <w:rFonts w:hint="eastAsia" w:asciiTheme="minorEastAsia" w:hAnsiTheme="minorEastAsia" w:cstheme="minorEastAsia"/>
          <w:b/>
          <w:bCs/>
          <w:sz w:val="24"/>
          <w:szCs w:val="24"/>
        </w:rPr>
        <w:t>三、需求响应情况（加盖公章）</w:t>
      </w:r>
    </w:p>
    <w:tbl>
      <w:tblPr>
        <w:tblStyle w:val="15"/>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8"/>
        <w:gridCol w:w="797"/>
        <w:gridCol w:w="10844"/>
        <w:gridCol w:w="1202"/>
        <w:gridCol w:w="802"/>
      </w:tblGrid>
      <w:tr w14:paraId="1F3BD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82" w:type="pct"/>
            <w:vAlign w:val="center"/>
          </w:tcPr>
          <w:p w14:paraId="263BF77F">
            <w:pPr>
              <w:spacing w:line="200" w:lineRule="atLeast"/>
              <w:jc w:val="center"/>
              <w:rPr>
                <w:rFonts w:hint="eastAsia" w:ascii="宋体" w:hAnsi="宋体" w:eastAsia="宋体" w:cs="宋体"/>
                <w:sz w:val="24"/>
                <w:szCs w:val="24"/>
              </w:rPr>
            </w:pPr>
            <w:r>
              <w:rPr>
                <w:rFonts w:hint="eastAsia" w:ascii="宋体" w:hAnsi="宋体" w:eastAsia="宋体" w:cs="宋体"/>
                <w:sz w:val="24"/>
                <w:szCs w:val="24"/>
              </w:rPr>
              <w:t>序号</w:t>
            </w:r>
          </w:p>
        </w:tc>
        <w:tc>
          <w:tcPr>
            <w:tcW w:w="4109" w:type="pct"/>
            <w:gridSpan w:val="2"/>
            <w:vAlign w:val="center"/>
          </w:tcPr>
          <w:p w14:paraId="7BB90614">
            <w:pPr>
              <w:spacing w:line="200" w:lineRule="atLeast"/>
              <w:jc w:val="center"/>
              <w:rPr>
                <w:rFonts w:hint="eastAsia" w:ascii="宋体" w:hAnsi="宋体" w:eastAsia="宋体" w:cs="宋体"/>
                <w:sz w:val="24"/>
                <w:szCs w:val="24"/>
              </w:rPr>
            </w:pPr>
            <w:r>
              <w:rPr>
                <w:rFonts w:hint="eastAsia" w:ascii="宋体" w:hAnsi="宋体" w:eastAsia="宋体" w:cs="宋体"/>
                <w:sz w:val="24"/>
                <w:szCs w:val="24"/>
              </w:rPr>
              <w:t>需求条款</w:t>
            </w:r>
          </w:p>
        </w:tc>
        <w:tc>
          <w:tcPr>
            <w:tcW w:w="424" w:type="pct"/>
            <w:vAlign w:val="center"/>
          </w:tcPr>
          <w:p w14:paraId="3CC531D7">
            <w:pPr>
              <w:spacing w:line="200" w:lineRule="atLeast"/>
              <w:jc w:val="center"/>
              <w:rPr>
                <w:rFonts w:hint="eastAsia" w:ascii="宋体" w:hAnsi="宋体" w:eastAsia="宋体" w:cs="宋体"/>
                <w:sz w:val="24"/>
                <w:szCs w:val="24"/>
              </w:rPr>
            </w:pPr>
            <w:r>
              <w:rPr>
                <w:rFonts w:hint="eastAsia" w:ascii="宋体" w:hAnsi="宋体" w:eastAsia="宋体" w:cs="宋体"/>
                <w:sz w:val="24"/>
                <w:szCs w:val="24"/>
              </w:rPr>
              <w:t>响应情况（完全满足/部分满足/不满足）</w:t>
            </w:r>
          </w:p>
        </w:tc>
        <w:tc>
          <w:tcPr>
            <w:tcW w:w="283" w:type="pct"/>
            <w:vAlign w:val="center"/>
          </w:tcPr>
          <w:p w14:paraId="21C2B775">
            <w:pPr>
              <w:spacing w:line="200" w:lineRule="atLeast"/>
              <w:jc w:val="center"/>
              <w:rPr>
                <w:rFonts w:hint="eastAsia" w:ascii="宋体" w:hAnsi="宋体" w:eastAsia="宋体" w:cs="宋体"/>
                <w:sz w:val="24"/>
                <w:szCs w:val="24"/>
              </w:rPr>
            </w:pPr>
            <w:r>
              <w:rPr>
                <w:rFonts w:hint="eastAsia" w:ascii="宋体" w:hAnsi="宋体" w:eastAsia="宋体" w:cs="宋体"/>
                <w:sz w:val="24"/>
                <w:szCs w:val="24"/>
              </w:rPr>
              <w:t>备注（描述偏离情况）</w:t>
            </w:r>
          </w:p>
        </w:tc>
      </w:tr>
      <w:tr w14:paraId="16A5C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82" w:type="pct"/>
            <w:shd w:val="clear" w:color="auto" w:fill="auto"/>
            <w:vAlign w:val="center"/>
          </w:tcPr>
          <w:p w14:paraId="69074455">
            <w:pPr>
              <w:numPr>
                <w:ilvl w:val="0"/>
                <w:numId w:val="3"/>
              </w:numPr>
              <w:spacing w:line="200" w:lineRule="atLeast"/>
              <w:ind w:left="425" w:leftChars="0" w:hanging="425" w:firstLineChars="0"/>
              <w:jc w:val="center"/>
              <w:rPr>
                <w:rFonts w:hint="eastAsia" w:ascii="宋体" w:hAnsi="宋体" w:eastAsia="宋体" w:cs="宋体"/>
                <w:kern w:val="2"/>
                <w:sz w:val="24"/>
                <w:szCs w:val="24"/>
                <w:lang w:val="en-US" w:eastAsia="zh-CN" w:bidi="ar-SA"/>
              </w:rPr>
            </w:pPr>
          </w:p>
        </w:tc>
        <w:tc>
          <w:tcPr>
            <w:tcW w:w="281" w:type="pct"/>
            <w:vAlign w:val="center"/>
          </w:tcPr>
          <w:p w14:paraId="507C6A53">
            <w:pPr>
              <w:jc w:val="left"/>
              <w:rPr>
                <w:rFonts w:hint="eastAsia" w:ascii="宋体" w:hAnsi="宋体" w:eastAsia="宋体" w:cs="宋体"/>
                <w:spacing w:val="0"/>
                <w:sz w:val="24"/>
                <w:szCs w:val="24"/>
                <w:lang w:val="en-US" w:eastAsia="zh-CN"/>
              </w:rPr>
            </w:pPr>
            <w:bookmarkStart w:id="1" w:name="_Toc227921671"/>
            <w:r>
              <w:rPr>
                <w:rFonts w:hint="eastAsia" w:ascii="宋体" w:hAnsi="宋体" w:eastAsia="宋体" w:cs="宋体"/>
                <w:spacing w:val="0"/>
                <w:sz w:val="24"/>
                <w:szCs w:val="24"/>
                <w:lang w:val="en-US" w:eastAsia="zh-CN"/>
              </w:rPr>
              <w:t>一、项目背景</w:t>
            </w:r>
            <w:bookmarkEnd w:id="1"/>
          </w:p>
          <w:p w14:paraId="2B62ED2B">
            <w:pPr>
              <w:jc w:val="left"/>
              <w:rPr>
                <w:rFonts w:hint="eastAsia" w:ascii="宋体" w:hAnsi="宋体" w:eastAsia="宋体" w:cs="宋体"/>
                <w:spacing w:val="0"/>
                <w:sz w:val="24"/>
                <w:szCs w:val="24"/>
                <w:lang w:val="en-US" w:eastAsia="zh-CN"/>
              </w:rPr>
            </w:pPr>
          </w:p>
        </w:tc>
        <w:tc>
          <w:tcPr>
            <w:tcW w:w="3828" w:type="pct"/>
            <w:vAlign w:val="center"/>
          </w:tcPr>
          <w:p w14:paraId="245EA456">
            <w:pPr>
              <w:keepNext w:val="0"/>
              <w:keepLines w:val="0"/>
              <w:pageBreakBefore w:val="0"/>
              <w:widowControl w:val="0"/>
              <w:kinsoku/>
              <w:wordWrap/>
              <w:overflowPunct/>
              <w:topLinePunct w:val="0"/>
              <w:autoSpaceDE/>
              <w:autoSpaceDN/>
              <w:bidi w:val="0"/>
              <w:adjustRightInd/>
              <w:snapToGrid/>
              <w:spacing w:line="240" w:lineRule="auto"/>
              <w:ind w:firstLine="480" w:firstLineChars="200"/>
              <w:jc w:val="left"/>
              <w:textAlignment w:val="auto"/>
              <w:rPr>
                <w:rFonts w:hint="eastAsia" w:ascii="宋体" w:hAnsi="宋体" w:eastAsia="宋体" w:cs="宋体"/>
                <w:sz w:val="24"/>
                <w:szCs w:val="24"/>
              </w:rPr>
            </w:pPr>
            <w:r>
              <w:rPr>
                <w:rFonts w:hint="eastAsia"/>
                <w:sz w:val="24"/>
                <w:szCs w:val="24"/>
              </w:rPr>
              <w:t>随着OTT业务的不断发展，新的数据分析需求在不断提出，主要需求包括上级主管单位要求的数据上报工作，各项业务指标统计分析和业务报表等。为及时响应和快速落地上述需求，经评估分析，现特申请进行2026年OTT大数据分析管理系统定制开发服务项目的建设工作。</w:t>
            </w:r>
          </w:p>
        </w:tc>
        <w:tc>
          <w:tcPr>
            <w:tcW w:w="424" w:type="pct"/>
            <w:vAlign w:val="center"/>
          </w:tcPr>
          <w:p w14:paraId="04119CF9">
            <w:pPr>
              <w:spacing w:line="240" w:lineRule="auto"/>
              <w:jc w:val="center"/>
              <w:rPr>
                <w:rFonts w:hint="eastAsia" w:ascii="宋体" w:hAnsi="宋体" w:eastAsia="宋体" w:cs="宋体"/>
                <w:sz w:val="24"/>
                <w:szCs w:val="24"/>
              </w:rPr>
            </w:pPr>
          </w:p>
        </w:tc>
        <w:tc>
          <w:tcPr>
            <w:tcW w:w="283" w:type="pct"/>
            <w:vAlign w:val="center"/>
          </w:tcPr>
          <w:p w14:paraId="0259176B">
            <w:pPr>
              <w:spacing w:line="200" w:lineRule="atLeast"/>
              <w:jc w:val="center"/>
              <w:rPr>
                <w:rFonts w:hint="eastAsia" w:ascii="宋体" w:hAnsi="宋体" w:eastAsia="宋体" w:cs="宋体"/>
                <w:sz w:val="24"/>
                <w:szCs w:val="24"/>
              </w:rPr>
            </w:pPr>
          </w:p>
        </w:tc>
      </w:tr>
      <w:tr w14:paraId="4F5EE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82" w:type="pct"/>
            <w:vAlign w:val="center"/>
          </w:tcPr>
          <w:p w14:paraId="2962CE53">
            <w:pPr>
              <w:numPr>
                <w:ilvl w:val="0"/>
                <w:numId w:val="3"/>
              </w:numPr>
              <w:spacing w:line="200" w:lineRule="atLeast"/>
              <w:jc w:val="center"/>
              <w:rPr>
                <w:rFonts w:hint="eastAsia" w:ascii="宋体" w:hAnsi="宋体" w:eastAsia="宋体" w:cs="宋体"/>
                <w:sz w:val="24"/>
                <w:szCs w:val="24"/>
              </w:rPr>
            </w:pPr>
          </w:p>
        </w:tc>
        <w:tc>
          <w:tcPr>
            <w:tcW w:w="281" w:type="pct"/>
            <w:vMerge w:val="restart"/>
            <w:vAlign w:val="center"/>
          </w:tcPr>
          <w:p w14:paraId="5807EEEF">
            <w:pPr>
              <w:jc w:val="left"/>
              <w:rPr>
                <w:rFonts w:hint="eastAsia" w:ascii="宋体" w:hAnsi="宋体" w:eastAsia="宋体" w:cs="宋体"/>
                <w:sz w:val="24"/>
                <w:szCs w:val="24"/>
                <w:lang w:eastAsia="zh-CN"/>
              </w:rPr>
            </w:pPr>
            <w:bookmarkStart w:id="2" w:name="_Toc92295849"/>
            <w:bookmarkStart w:id="3" w:name="_Toc231285895"/>
            <w:r>
              <w:rPr>
                <w:rFonts w:hint="eastAsia" w:ascii="宋体" w:hAnsi="宋体" w:eastAsia="宋体" w:cs="宋体"/>
                <w:spacing w:val="0"/>
                <w:sz w:val="24"/>
                <w:szCs w:val="24"/>
                <w:lang w:val="en-US" w:eastAsia="zh-CN"/>
              </w:rPr>
              <w:t>二、</w:t>
            </w:r>
            <w:bookmarkEnd w:id="2"/>
            <w:bookmarkEnd w:id="3"/>
            <w:r>
              <w:rPr>
                <w:rFonts w:hint="eastAsia" w:ascii="宋体" w:hAnsi="宋体" w:eastAsia="宋体" w:cs="宋体"/>
                <w:spacing w:val="0"/>
                <w:sz w:val="24"/>
                <w:szCs w:val="24"/>
              </w:rPr>
              <w:t>业务需求</w:t>
            </w:r>
          </w:p>
        </w:tc>
        <w:tc>
          <w:tcPr>
            <w:tcW w:w="3828" w:type="pct"/>
            <w:vAlign w:val="center"/>
          </w:tcPr>
          <w:p w14:paraId="2DA61A4B">
            <w:pPr>
              <w:pStyle w:val="3"/>
              <w:spacing w:after="156" w:line="240" w:lineRule="auto"/>
              <w:ind w:firstLine="0" w:firstLineChars="0"/>
              <w:outlineLvl w:val="1"/>
              <w:rPr>
                <w:rFonts w:hint="eastAsia" w:ascii="宋体" w:hAnsi="宋体" w:eastAsia="宋体" w:cs="宋体"/>
                <w:sz w:val="24"/>
                <w:szCs w:val="24"/>
              </w:rPr>
            </w:pPr>
            <w:bookmarkStart w:id="4" w:name="_Toc233123071"/>
            <w:r>
              <w:rPr>
                <w:rFonts w:hint="eastAsia" w:ascii="宋体" w:hAnsi="宋体" w:eastAsia="宋体" w:cs="宋体"/>
                <w:sz w:val="24"/>
                <w:szCs w:val="24"/>
              </w:rPr>
              <w:t>2.1 业务总体需求</w:t>
            </w:r>
            <w:bookmarkEnd w:id="4"/>
          </w:p>
          <w:p w14:paraId="7E5FB622">
            <w:pPr>
              <w:pStyle w:val="3"/>
              <w:spacing w:after="156" w:line="240" w:lineRule="auto"/>
              <w:ind w:firstLine="560"/>
              <w:rPr>
                <w:rFonts w:hint="eastAsia" w:ascii="宋体" w:hAnsi="宋体" w:eastAsia="宋体" w:cs="宋体"/>
                <w:sz w:val="24"/>
                <w:szCs w:val="24"/>
              </w:rPr>
            </w:pPr>
            <w:r>
              <w:rPr>
                <w:rFonts w:hint="eastAsia" w:ascii="宋体" w:hAnsi="宋体" w:eastAsia="宋体" w:cs="宋体"/>
                <w:sz w:val="24"/>
                <w:szCs w:val="24"/>
              </w:rPr>
              <w:t>项目将根据OTT业务在实际运营过程中持续提出的数据分析需求，在原有大数据平台基础上，支持2026年本项目服务期内的OTT大数据分析管理系统定制开发需求，主要包括大数据指标统计分析、业务报表、大数据平台优化、数据上报和异常警告等需求。</w:t>
            </w:r>
          </w:p>
        </w:tc>
        <w:tc>
          <w:tcPr>
            <w:tcW w:w="424" w:type="pct"/>
            <w:vAlign w:val="center"/>
          </w:tcPr>
          <w:p w14:paraId="1C3E9190">
            <w:pPr>
              <w:spacing w:line="240" w:lineRule="auto"/>
              <w:jc w:val="center"/>
              <w:rPr>
                <w:rFonts w:hint="eastAsia" w:ascii="宋体" w:hAnsi="宋体" w:eastAsia="宋体" w:cs="宋体"/>
                <w:sz w:val="24"/>
                <w:szCs w:val="24"/>
              </w:rPr>
            </w:pPr>
          </w:p>
        </w:tc>
        <w:tc>
          <w:tcPr>
            <w:tcW w:w="283" w:type="pct"/>
            <w:vAlign w:val="center"/>
          </w:tcPr>
          <w:p w14:paraId="10B96DF5">
            <w:pPr>
              <w:spacing w:line="200" w:lineRule="atLeast"/>
              <w:jc w:val="center"/>
              <w:rPr>
                <w:rFonts w:hint="eastAsia" w:ascii="宋体" w:hAnsi="宋体" w:eastAsia="宋体" w:cs="宋体"/>
                <w:sz w:val="24"/>
                <w:szCs w:val="24"/>
              </w:rPr>
            </w:pPr>
          </w:p>
        </w:tc>
      </w:tr>
      <w:tr w14:paraId="685E8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82" w:type="pct"/>
            <w:vAlign w:val="center"/>
          </w:tcPr>
          <w:p w14:paraId="7DDE9490">
            <w:pPr>
              <w:numPr>
                <w:ilvl w:val="0"/>
                <w:numId w:val="3"/>
              </w:numPr>
              <w:spacing w:line="200" w:lineRule="atLeast"/>
              <w:jc w:val="center"/>
              <w:rPr>
                <w:rFonts w:hint="eastAsia" w:ascii="宋体" w:hAnsi="宋体" w:eastAsia="宋体" w:cs="宋体"/>
                <w:sz w:val="24"/>
                <w:szCs w:val="24"/>
              </w:rPr>
            </w:pPr>
          </w:p>
        </w:tc>
        <w:tc>
          <w:tcPr>
            <w:tcW w:w="281" w:type="pct"/>
            <w:vMerge w:val="continue"/>
            <w:tcBorders/>
            <w:vAlign w:val="center"/>
          </w:tcPr>
          <w:p w14:paraId="45E0F59A">
            <w:pPr>
              <w:jc w:val="left"/>
              <w:rPr>
                <w:rFonts w:hint="eastAsia" w:ascii="宋体" w:hAnsi="宋体" w:eastAsia="宋体" w:cs="宋体"/>
                <w:sz w:val="24"/>
                <w:szCs w:val="24"/>
                <w:lang w:eastAsia="zh-CN"/>
              </w:rPr>
            </w:pPr>
          </w:p>
        </w:tc>
        <w:tc>
          <w:tcPr>
            <w:tcW w:w="3828" w:type="pct"/>
            <w:vAlign w:val="center"/>
          </w:tcPr>
          <w:p w14:paraId="1F32B807">
            <w:pPr>
              <w:pStyle w:val="3"/>
              <w:spacing w:after="156" w:line="240" w:lineRule="auto"/>
              <w:ind w:firstLine="0" w:firstLineChars="0"/>
              <w:outlineLvl w:val="1"/>
              <w:rPr>
                <w:rFonts w:hint="eastAsia" w:ascii="宋体" w:hAnsi="宋体" w:eastAsia="宋体" w:cs="宋体"/>
                <w:sz w:val="24"/>
                <w:szCs w:val="24"/>
              </w:rPr>
            </w:pPr>
            <w:bookmarkStart w:id="5" w:name="_Toc233123072"/>
            <w:r>
              <w:rPr>
                <w:rFonts w:hint="eastAsia" w:ascii="宋体" w:hAnsi="宋体" w:eastAsia="宋体" w:cs="宋体"/>
                <w:sz w:val="24"/>
                <w:szCs w:val="24"/>
              </w:rPr>
              <w:t>2.2 业务详细需求</w:t>
            </w:r>
            <w:bookmarkEnd w:id="5"/>
          </w:p>
          <w:p w14:paraId="5E95D7E6">
            <w:pPr>
              <w:pStyle w:val="25"/>
              <w:numPr>
                <w:ilvl w:val="0"/>
                <w:numId w:val="4"/>
              </w:numPr>
              <w:spacing w:line="240" w:lineRule="auto"/>
              <w:ind w:firstLineChars="0"/>
              <w:outlineLvl w:val="2"/>
              <w:rPr>
                <w:rFonts w:hint="eastAsia" w:ascii="宋体" w:hAnsi="宋体" w:eastAsia="宋体" w:cs="宋体"/>
                <w:b/>
                <w:vanish/>
                <w:color w:val="000000"/>
                <w:sz w:val="24"/>
                <w:szCs w:val="24"/>
              </w:rPr>
            </w:pPr>
          </w:p>
          <w:p w14:paraId="1CD82831">
            <w:pPr>
              <w:pStyle w:val="25"/>
              <w:numPr>
                <w:ilvl w:val="0"/>
                <w:numId w:val="4"/>
              </w:numPr>
              <w:spacing w:line="240" w:lineRule="auto"/>
              <w:ind w:firstLineChars="0"/>
              <w:outlineLvl w:val="2"/>
              <w:rPr>
                <w:rFonts w:hint="eastAsia" w:ascii="宋体" w:hAnsi="宋体" w:eastAsia="宋体" w:cs="宋体"/>
                <w:b/>
                <w:vanish/>
                <w:color w:val="000000"/>
                <w:sz w:val="24"/>
                <w:szCs w:val="24"/>
              </w:rPr>
            </w:pPr>
          </w:p>
          <w:p w14:paraId="19CF77CE">
            <w:pPr>
              <w:pStyle w:val="25"/>
              <w:numPr>
                <w:ilvl w:val="1"/>
                <w:numId w:val="4"/>
              </w:numPr>
              <w:spacing w:line="240" w:lineRule="auto"/>
              <w:ind w:firstLineChars="0"/>
              <w:outlineLvl w:val="2"/>
              <w:rPr>
                <w:rFonts w:hint="eastAsia" w:ascii="宋体" w:hAnsi="宋体" w:eastAsia="宋体" w:cs="宋体"/>
                <w:b/>
                <w:vanish/>
                <w:color w:val="000000"/>
                <w:sz w:val="24"/>
                <w:szCs w:val="24"/>
              </w:rPr>
            </w:pPr>
          </w:p>
          <w:p w14:paraId="08A59A81">
            <w:pPr>
              <w:pStyle w:val="25"/>
              <w:numPr>
                <w:ilvl w:val="1"/>
                <w:numId w:val="4"/>
              </w:numPr>
              <w:spacing w:line="240" w:lineRule="auto"/>
              <w:ind w:firstLineChars="0"/>
              <w:outlineLvl w:val="2"/>
              <w:rPr>
                <w:rFonts w:hint="eastAsia" w:ascii="宋体" w:hAnsi="宋体" w:eastAsia="宋体" w:cs="宋体"/>
                <w:b/>
                <w:vanish/>
                <w:color w:val="000000"/>
                <w:sz w:val="24"/>
                <w:szCs w:val="24"/>
              </w:rPr>
            </w:pPr>
          </w:p>
          <w:p w14:paraId="4AB9E90F">
            <w:pPr>
              <w:numPr>
                <w:ilvl w:val="2"/>
                <w:numId w:val="4"/>
              </w:numPr>
              <w:spacing w:after="0" w:afterLines="0" w:line="240" w:lineRule="auto"/>
              <w:outlineLvl w:val="2"/>
              <w:rPr>
                <w:rFonts w:hint="eastAsia" w:ascii="宋体" w:hAnsi="宋体" w:eastAsia="宋体" w:cs="宋体"/>
                <w:sz w:val="24"/>
                <w:szCs w:val="24"/>
              </w:rPr>
            </w:pPr>
            <w:r>
              <w:rPr>
                <w:rFonts w:hint="eastAsia" w:ascii="宋体" w:hAnsi="宋体" w:eastAsia="宋体" w:cs="宋体"/>
                <w:color w:val="000000"/>
                <w:sz w:val="24"/>
                <w:szCs w:val="24"/>
              </w:rPr>
              <w:t>大数据指标统计分析</w:t>
            </w:r>
          </w:p>
          <w:p w14:paraId="785E091E">
            <w:pPr>
              <w:pStyle w:val="27"/>
              <w:spacing w:line="240" w:lineRule="auto"/>
              <w:ind w:firstLine="560"/>
              <w:rPr>
                <w:rFonts w:hint="eastAsia" w:ascii="宋体" w:hAnsi="宋体" w:eastAsia="宋体" w:cs="宋体"/>
                <w:sz w:val="24"/>
                <w:szCs w:val="24"/>
              </w:rPr>
            </w:pPr>
            <w:r>
              <w:rPr>
                <w:rFonts w:hint="eastAsia" w:ascii="宋体" w:hAnsi="宋体" w:eastAsia="宋体" w:cs="宋体"/>
                <w:sz w:val="24"/>
                <w:szCs w:val="24"/>
              </w:rPr>
              <w:t>根据OTT业务提供的实际需求，需要支持大数据指标统计分析的迭代开发和维护工作，主要包括业务指标、投诉率、终端数据和投影仪数据的统计与分析。</w:t>
            </w:r>
          </w:p>
          <w:p w14:paraId="7A5FDB24">
            <w:pPr>
              <w:numPr>
                <w:ilvl w:val="2"/>
                <w:numId w:val="4"/>
              </w:numPr>
              <w:spacing w:after="0" w:afterLines="0" w:line="240" w:lineRule="auto"/>
              <w:outlineLvl w:val="2"/>
              <w:rPr>
                <w:rFonts w:hint="eastAsia" w:ascii="宋体" w:hAnsi="宋体" w:eastAsia="宋体" w:cs="宋体"/>
                <w:color w:val="000000"/>
                <w:sz w:val="24"/>
                <w:szCs w:val="24"/>
              </w:rPr>
            </w:pPr>
            <w:r>
              <w:rPr>
                <w:rFonts w:hint="eastAsia" w:ascii="宋体" w:hAnsi="宋体" w:eastAsia="宋体" w:cs="宋体"/>
                <w:color w:val="000000"/>
                <w:sz w:val="24"/>
                <w:szCs w:val="24"/>
              </w:rPr>
              <w:t>业务报表</w:t>
            </w:r>
          </w:p>
          <w:p w14:paraId="00A678A0">
            <w:pPr>
              <w:pStyle w:val="27"/>
              <w:spacing w:line="240" w:lineRule="auto"/>
              <w:ind w:firstLine="560"/>
              <w:rPr>
                <w:rFonts w:hint="eastAsia" w:ascii="宋体" w:hAnsi="宋体" w:eastAsia="宋体" w:cs="宋体"/>
                <w:sz w:val="24"/>
                <w:szCs w:val="24"/>
              </w:rPr>
            </w:pPr>
            <w:r>
              <w:rPr>
                <w:rFonts w:hint="eastAsia" w:ascii="宋体" w:hAnsi="宋体" w:eastAsia="宋体" w:cs="宋体"/>
                <w:sz w:val="24"/>
                <w:szCs w:val="24"/>
              </w:rPr>
              <w:t>根据OTT业务提供的实际需求，需要支持业务报表的迭代开发和维护工作，主要包括常规报表、审计报表和投结算报表的统计与分析。</w:t>
            </w:r>
          </w:p>
          <w:p w14:paraId="04B872DE">
            <w:pPr>
              <w:numPr>
                <w:ilvl w:val="2"/>
                <w:numId w:val="4"/>
              </w:numPr>
              <w:spacing w:after="0" w:afterLines="0" w:line="240" w:lineRule="auto"/>
              <w:outlineLvl w:val="2"/>
              <w:rPr>
                <w:rFonts w:hint="eastAsia" w:ascii="宋体" w:hAnsi="宋体" w:eastAsia="宋体" w:cs="宋体"/>
                <w:color w:val="000000"/>
                <w:sz w:val="24"/>
                <w:szCs w:val="24"/>
              </w:rPr>
            </w:pPr>
            <w:r>
              <w:rPr>
                <w:rFonts w:hint="eastAsia" w:ascii="宋体" w:hAnsi="宋体" w:eastAsia="宋体" w:cs="宋体"/>
                <w:color w:val="000000"/>
                <w:sz w:val="24"/>
                <w:szCs w:val="24"/>
              </w:rPr>
              <w:t>大数据平台优化</w:t>
            </w:r>
          </w:p>
          <w:p w14:paraId="5C84B11B">
            <w:pPr>
              <w:pStyle w:val="27"/>
              <w:spacing w:line="240" w:lineRule="auto"/>
              <w:ind w:firstLine="560"/>
              <w:rPr>
                <w:rFonts w:hint="eastAsia" w:ascii="宋体" w:hAnsi="宋体" w:eastAsia="宋体" w:cs="宋体"/>
                <w:sz w:val="24"/>
                <w:szCs w:val="24"/>
              </w:rPr>
            </w:pPr>
            <w:r>
              <w:rPr>
                <w:rFonts w:hint="eastAsia" w:ascii="宋体" w:hAnsi="宋体" w:eastAsia="宋体" w:cs="宋体"/>
                <w:sz w:val="24"/>
                <w:szCs w:val="24"/>
              </w:rPr>
              <w:t>根据OTT业务提供的实际需求，需要支持大数据分析平台的界面与性能优化需求。</w:t>
            </w:r>
          </w:p>
          <w:p w14:paraId="1B8F6F89">
            <w:pPr>
              <w:numPr>
                <w:ilvl w:val="2"/>
                <w:numId w:val="4"/>
              </w:numPr>
              <w:spacing w:after="0" w:afterLines="0" w:line="240" w:lineRule="auto"/>
              <w:outlineLvl w:val="2"/>
              <w:rPr>
                <w:rFonts w:hint="eastAsia" w:ascii="宋体" w:hAnsi="宋体" w:eastAsia="宋体" w:cs="宋体"/>
                <w:color w:val="000000"/>
                <w:sz w:val="24"/>
                <w:szCs w:val="24"/>
              </w:rPr>
            </w:pPr>
            <w:r>
              <w:rPr>
                <w:rFonts w:hint="eastAsia" w:ascii="宋体" w:hAnsi="宋体" w:eastAsia="宋体" w:cs="宋体"/>
                <w:color w:val="000000"/>
                <w:sz w:val="24"/>
                <w:szCs w:val="24"/>
              </w:rPr>
              <w:t>数据上报</w:t>
            </w:r>
          </w:p>
          <w:p w14:paraId="276D65AA">
            <w:pPr>
              <w:pStyle w:val="27"/>
              <w:spacing w:line="240" w:lineRule="auto"/>
              <w:ind w:firstLine="560"/>
              <w:rPr>
                <w:rFonts w:hint="eastAsia" w:ascii="宋体" w:hAnsi="宋体" w:eastAsia="宋体" w:cs="宋体"/>
                <w:sz w:val="24"/>
                <w:szCs w:val="24"/>
              </w:rPr>
            </w:pPr>
            <w:r>
              <w:rPr>
                <w:rFonts w:hint="eastAsia" w:ascii="宋体" w:hAnsi="宋体" w:eastAsia="宋体" w:cs="宋体"/>
                <w:sz w:val="24"/>
                <w:szCs w:val="24"/>
              </w:rPr>
              <w:t>根据OTT业务提供的实际需求，按照主管部门要求支持数据上报工作，包括业务数据离线上报和接口规范进行数据上报。</w:t>
            </w:r>
          </w:p>
          <w:p w14:paraId="1E04BB17">
            <w:pPr>
              <w:numPr>
                <w:ilvl w:val="2"/>
                <w:numId w:val="4"/>
              </w:numPr>
              <w:spacing w:after="0" w:afterLines="0" w:line="240" w:lineRule="auto"/>
              <w:outlineLvl w:val="2"/>
              <w:rPr>
                <w:rFonts w:hint="eastAsia" w:ascii="宋体" w:hAnsi="宋体" w:eastAsia="宋体" w:cs="宋体"/>
                <w:sz w:val="24"/>
                <w:szCs w:val="24"/>
              </w:rPr>
            </w:pPr>
            <w:r>
              <w:rPr>
                <w:rFonts w:hint="eastAsia" w:ascii="宋体" w:hAnsi="宋体" w:eastAsia="宋体" w:cs="宋体"/>
                <w:color w:val="000000"/>
                <w:sz w:val="24"/>
                <w:szCs w:val="24"/>
              </w:rPr>
              <w:t>异常警告</w:t>
            </w:r>
          </w:p>
          <w:p w14:paraId="2E9D6EE2">
            <w:pPr>
              <w:pStyle w:val="27"/>
              <w:spacing w:line="240" w:lineRule="auto"/>
              <w:ind w:firstLine="560"/>
              <w:rPr>
                <w:rFonts w:hint="eastAsia" w:ascii="宋体" w:hAnsi="宋体" w:eastAsia="宋体" w:cs="宋体"/>
                <w:spacing w:val="0"/>
                <w:sz w:val="24"/>
                <w:szCs w:val="24"/>
              </w:rPr>
            </w:pPr>
            <w:r>
              <w:rPr>
                <w:rFonts w:hint="eastAsia" w:ascii="宋体" w:hAnsi="宋体" w:eastAsia="宋体" w:cs="宋体"/>
                <w:sz w:val="24"/>
                <w:szCs w:val="24"/>
              </w:rPr>
              <w:t>根据OTT业务提供的实际需求，需要支持大数据异常警告。</w:t>
            </w:r>
          </w:p>
        </w:tc>
        <w:tc>
          <w:tcPr>
            <w:tcW w:w="424" w:type="pct"/>
            <w:vAlign w:val="center"/>
          </w:tcPr>
          <w:p w14:paraId="466FD14E">
            <w:pPr>
              <w:spacing w:line="240" w:lineRule="auto"/>
              <w:jc w:val="center"/>
              <w:rPr>
                <w:rFonts w:hint="eastAsia" w:ascii="宋体" w:hAnsi="宋体" w:eastAsia="宋体" w:cs="宋体"/>
                <w:sz w:val="24"/>
                <w:szCs w:val="24"/>
              </w:rPr>
            </w:pPr>
          </w:p>
        </w:tc>
        <w:tc>
          <w:tcPr>
            <w:tcW w:w="283" w:type="pct"/>
            <w:vAlign w:val="center"/>
          </w:tcPr>
          <w:p w14:paraId="1A4EB570">
            <w:pPr>
              <w:spacing w:line="200" w:lineRule="atLeast"/>
              <w:jc w:val="center"/>
              <w:rPr>
                <w:rFonts w:hint="eastAsia" w:ascii="宋体" w:hAnsi="宋体" w:eastAsia="宋体" w:cs="宋体"/>
                <w:sz w:val="24"/>
                <w:szCs w:val="24"/>
              </w:rPr>
            </w:pPr>
          </w:p>
        </w:tc>
      </w:tr>
      <w:tr w14:paraId="4EE13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82" w:type="pct"/>
            <w:vAlign w:val="center"/>
          </w:tcPr>
          <w:p w14:paraId="3C715DDC">
            <w:pPr>
              <w:numPr>
                <w:ilvl w:val="0"/>
                <w:numId w:val="3"/>
              </w:numPr>
              <w:spacing w:line="200" w:lineRule="atLeast"/>
              <w:jc w:val="center"/>
              <w:rPr>
                <w:rFonts w:hint="eastAsia" w:ascii="宋体" w:hAnsi="宋体" w:eastAsia="宋体" w:cs="宋体"/>
                <w:sz w:val="24"/>
                <w:szCs w:val="24"/>
              </w:rPr>
            </w:pPr>
          </w:p>
        </w:tc>
        <w:tc>
          <w:tcPr>
            <w:tcW w:w="281" w:type="pct"/>
            <w:vMerge w:val="restart"/>
            <w:vAlign w:val="center"/>
          </w:tcPr>
          <w:p w14:paraId="5752DFE0">
            <w:pPr>
              <w:jc w:val="left"/>
              <w:rPr>
                <w:rFonts w:hint="eastAsia" w:ascii="宋体" w:hAnsi="宋体" w:eastAsia="宋体" w:cs="宋体"/>
                <w:spacing w:val="0"/>
                <w:sz w:val="24"/>
                <w:szCs w:val="24"/>
                <w:lang w:val="en-US" w:eastAsia="zh-CN"/>
              </w:rPr>
            </w:pPr>
            <w:r>
              <w:rPr>
                <w:rFonts w:hint="eastAsia" w:ascii="宋体" w:hAnsi="宋体" w:eastAsia="宋体" w:cs="宋体"/>
                <w:spacing w:val="0"/>
                <w:sz w:val="24"/>
                <w:szCs w:val="24"/>
                <w:lang w:val="en-US" w:eastAsia="zh-CN"/>
              </w:rPr>
              <w:t>三、技术需求</w:t>
            </w:r>
          </w:p>
        </w:tc>
        <w:tc>
          <w:tcPr>
            <w:tcW w:w="3828" w:type="pct"/>
            <w:vAlign w:val="center"/>
          </w:tcPr>
          <w:p w14:paraId="58B167F7">
            <w:pPr>
              <w:pStyle w:val="4"/>
              <w:keepNext w:val="0"/>
              <w:keepLines w:val="0"/>
              <w:numPr>
                <w:ilvl w:val="0"/>
                <w:numId w:val="5"/>
              </w:numPr>
              <w:tabs>
                <w:tab w:val="left" w:pos="576"/>
              </w:tabs>
              <w:spacing w:before="0" w:after="156" w:line="240" w:lineRule="auto"/>
              <w:rPr>
                <w:rFonts w:hint="eastAsia" w:ascii="宋体" w:hAnsi="宋体" w:eastAsia="宋体" w:cs="宋体"/>
                <w:b w:val="0"/>
                <w:sz w:val="24"/>
                <w:szCs w:val="24"/>
              </w:rPr>
            </w:pPr>
            <w:bookmarkStart w:id="6" w:name="_Toc233123074"/>
            <w:r>
              <w:rPr>
                <w:rFonts w:hint="eastAsia" w:ascii="宋体" w:hAnsi="宋体" w:eastAsia="宋体" w:cs="宋体"/>
                <w:b w:val="0"/>
                <w:sz w:val="24"/>
                <w:szCs w:val="24"/>
              </w:rPr>
              <w:t>系统框架</w:t>
            </w:r>
            <w:bookmarkEnd w:id="6"/>
          </w:p>
          <w:p w14:paraId="7B5B102A">
            <w:pPr>
              <w:pStyle w:val="3"/>
              <w:spacing w:after="156" w:line="240" w:lineRule="auto"/>
              <w:ind w:firstLine="0" w:firstLineChars="0"/>
              <w:rPr>
                <w:rFonts w:hint="eastAsia" w:ascii="宋体" w:hAnsi="宋体" w:eastAsia="宋体" w:cs="宋体"/>
                <w:color w:val="FF0000"/>
                <w:sz w:val="24"/>
                <w:szCs w:val="24"/>
              </w:rPr>
            </w:pPr>
            <w:bookmarkStart w:id="7" w:name="OLE_LINK2"/>
            <w:bookmarkStart w:id="8" w:name="OLE_LINK1"/>
            <w:r>
              <w:rPr>
                <w:rFonts w:hint="eastAsia" w:ascii="宋体" w:hAnsi="宋体" w:eastAsia="宋体" w:cs="宋体"/>
                <w:sz w:val="24"/>
                <w:szCs w:val="24"/>
              </w:rPr>
              <w:object>
                <v:shape id="_x0000_i1026" o:spt="75" type="#_x0000_t75" style="height:290.5pt;width:415pt;" o:ole="t" filled="f" o:preferrelative="t" stroked="f" coordsize="21600,21600">
                  <v:path/>
                  <v:fill on="f" focussize="0,0"/>
                  <v:stroke on="f" joinstyle="miter"/>
                  <v:imagedata r:id="rId6" o:title=""/>
                  <o:lock v:ext="edit" aspectratio="t"/>
                  <w10:wrap type="none"/>
                  <w10:anchorlock/>
                </v:shape>
                <o:OLEObject Type="Embed" ProgID="Visio.Drawing.15" ShapeID="_x0000_i1026" DrawAspect="Content" ObjectID="_1468075725" r:id="rId5">
                  <o:LockedField>false</o:LockedField>
                </o:OLEObject>
              </w:object>
            </w:r>
          </w:p>
          <w:p w14:paraId="3E98FE0D">
            <w:pPr>
              <w:pStyle w:val="3"/>
              <w:spacing w:after="156"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图1</w:t>
            </w:r>
            <w:r>
              <w:rPr>
                <w:rFonts w:hint="eastAsia" w:ascii="宋体" w:hAnsi="宋体" w:eastAsia="宋体" w:cs="宋体"/>
                <w:color w:val="000000"/>
                <w:sz w:val="24"/>
                <w:szCs w:val="24"/>
              </w:rPr>
              <w:tab/>
            </w:r>
            <w:r>
              <w:rPr>
                <w:rFonts w:hint="eastAsia" w:ascii="宋体" w:hAnsi="宋体" w:eastAsia="宋体" w:cs="宋体"/>
                <w:color w:val="000000"/>
                <w:sz w:val="24"/>
                <w:szCs w:val="24"/>
              </w:rPr>
              <w:t>2026年OTT大数据分析管理系统定制开发服务项目架构示意图</w:t>
            </w:r>
          </w:p>
          <w:p w14:paraId="422E5D1B">
            <w:pPr>
              <w:spacing w:after="156" w:line="240" w:lineRule="auto"/>
              <w:ind w:firstLine="420"/>
              <w:jc w:val="left"/>
              <w:rPr>
                <w:rFonts w:hint="eastAsia" w:ascii="宋体" w:hAnsi="宋体" w:eastAsia="宋体" w:cs="宋体"/>
                <w:sz w:val="24"/>
                <w:szCs w:val="24"/>
              </w:rPr>
            </w:pPr>
            <w:r>
              <w:rPr>
                <w:rFonts w:hint="eastAsia" w:ascii="宋体" w:hAnsi="宋体" w:eastAsia="宋体" w:cs="宋体"/>
                <w:sz w:val="24"/>
                <w:szCs w:val="24"/>
              </w:rPr>
              <w:t>2026年OTT大数据分析管理系统定制开发服务项目建设和优化的功能需求主要包括大数据指标统计分析、业务报表、大数据平台优化、数据上报和异常警告等需求。</w:t>
            </w:r>
            <w:bookmarkEnd w:id="7"/>
            <w:bookmarkEnd w:id="8"/>
          </w:p>
        </w:tc>
        <w:tc>
          <w:tcPr>
            <w:tcW w:w="424" w:type="pct"/>
            <w:vAlign w:val="center"/>
          </w:tcPr>
          <w:p w14:paraId="19500115">
            <w:pPr>
              <w:spacing w:line="200" w:lineRule="atLeast"/>
              <w:jc w:val="center"/>
              <w:rPr>
                <w:rFonts w:hint="eastAsia" w:ascii="宋体" w:hAnsi="宋体" w:eastAsia="宋体" w:cs="宋体"/>
                <w:sz w:val="24"/>
                <w:szCs w:val="24"/>
              </w:rPr>
            </w:pPr>
          </w:p>
        </w:tc>
        <w:tc>
          <w:tcPr>
            <w:tcW w:w="283" w:type="pct"/>
            <w:vAlign w:val="center"/>
          </w:tcPr>
          <w:p w14:paraId="7B8A54D2">
            <w:pPr>
              <w:spacing w:line="200" w:lineRule="atLeast"/>
              <w:jc w:val="center"/>
              <w:rPr>
                <w:rFonts w:hint="eastAsia" w:ascii="宋体" w:hAnsi="宋体" w:eastAsia="宋体" w:cs="宋体"/>
                <w:sz w:val="24"/>
                <w:szCs w:val="24"/>
              </w:rPr>
            </w:pPr>
          </w:p>
        </w:tc>
      </w:tr>
      <w:tr w14:paraId="3E832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82" w:type="pct"/>
            <w:vAlign w:val="center"/>
          </w:tcPr>
          <w:p w14:paraId="6C6631FB">
            <w:pPr>
              <w:numPr>
                <w:ilvl w:val="0"/>
                <w:numId w:val="3"/>
              </w:numPr>
              <w:spacing w:line="200" w:lineRule="atLeast"/>
              <w:jc w:val="center"/>
              <w:rPr>
                <w:rFonts w:hint="eastAsia" w:ascii="宋体" w:hAnsi="宋体" w:eastAsia="宋体" w:cs="宋体"/>
                <w:sz w:val="24"/>
                <w:szCs w:val="24"/>
              </w:rPr>
            </w:pPr>
          </w:p>
        </w:tc>
        <w:tc>
          <w:tcPr>
            <w:tcW w:w="281" w:type="pct"/>
            <w:vMerge w:val="continue"/>
            <w:vAlign w:val="center"/>
          </w:tcPr>
          <w:p w14:paraId="5CEADF97">
            <w:pPr>
              <w:jc w:val="left"/>
              <w:rPr>
                <w:rFonts w:hint="eastAsia" w:ascii="宋体" w:hAnsi="宋体" w:eastAsia="宋体" w:cs="宋体"/>
                <w:spacing w:val="0"/>
                <w:sz w:val="24"/>
                <w:szCs w:val="24"/>
                <w:lang w:val="en-US" w:eastAsia="zh-CN"/>
              </w:rPr>
            </w:pPr>
          </w:p>
        </w:tc>
        <w:tc>
          <w:tcPr>
            <w:tcW w:w="3828" w:type="pct"/>
            <w:vAlign w:val="center"/>
          </w:tcPr>
          <w:p w14:paraId="57051B0E">
            <w:pPr>
              <w:pStyle w:val="4"/>
              <w:numPr>
                <w:ilvl w:val="0"/>
                <w:numId w:val="5"/>
              </w:numPr>
              <w:tabs>
                <w:tab w:val="left" w:pos="576"/>
              </w:tabs>
              <w:spacing w:before="0" w:after="156" w:line="240" w:lineRule="auto"/>
              <w:rPr>
                <w:rFonts w:hint="eastAsia" w:ascii="宋体" w:hAnsi="宋体" w:eastAsia="宋体" w:cs="宋体"/>
                <w:b w:val="0"/>
                <w:sz w:val="24"/>
                <w:szCs w:val="24"/>
              </w:rPr>
            </w:pPr>
            <w:bookmarkStart w:id="9" w:name="_Toc233123075"/>
            <w:r>
              <w:rPr>
                <w:rFonts w:hint="eastAsia" w:ascii="宋体" w:hAnsi="宋体" w:eastAsia="宋体" w:cs="宋体"/>
                <w:b w:val="0"/>
                <w:sz w:val="24"/>
                <w:szCs w:val="24"/>
              </w:rPr>
              <w:t>系统需求</w:t>
            </w:r>
            <w:bookmarkEnd w:id="9"/>
          </w:p>
          <w:p w14:paraId="077B0946">
            <w:pPr>
              <w:pStyle w:val="25"/>
              <w:numPr>
                <w:ilvl w:val="0"/>
                <w:numId w:val="6"/>
              </w:numPr>
              <w:spacing w:before="240" w:after="156" w:afterLines="50" w:line="240" w:lineRule="auto"/>
              <w:ind w:firstLineChars="0"/>
              <w:jc w:val="left"/>
              <w:outlineLvl w:val="2"/>
              <w:rPr>
                <w:rFonts w:hint="eastAsia" w:ascii="宋体" w:hAnsi="宋体" w:eastAsia="宋体" w:cs="宋体"/>
                <w:vanish/>
                <w:color w:val="000000"/>
                <w:sz w:val="24"/>
                <w:szCs w:val="24"/>
              </w:rPr>
            </w:pPr>
          </w:p>
          <w:p w14:paraId="7E7AF9E1">
            <w:pPr>
              <w:pStyle w:val="25"/>
              <w:numPr>
                <w:ilvl w:val="0"/>
                <w:numId w:val="6"/>
              </w:numPr>
              <w:spacing w:before="240" w:after="156" w:afterLines="50" w:line="240" w:lineRule="auto"/>
              <w:ind w:firstLineChars="0"/>
              <w:jc w:val="left"/>
              <w:outlineLvl w:val="2"/>
              <w:rPr>
                <w:rFonts w:hint="eastAsia" w:ascii="宋体" w:hAnsi="宋体" w:eastAsia="宋体" w:cs="宋体"/>
                <w:vanish/>
                <w:color w:val="000000"/>
                <w:sz w:val="24"/>
                <w:szCs w:val="24"/>
              </w:rPr>
            </w:pPr>
          </w:p>
          <w:p w14:paraId="1A2C1EF7">
            <w:pPr>
              <w:pStyle w:val="25"/>
              <w:numPr>
                <w:ilvl w:val="0"/>
                <w:numId w:val="6"/>
              </w:numPr>
              <w:spacing w:before="240" w:after="156" w:afterLines="50" w:line="240" w:lineRule="auto"/>
              <w:ind w:firstLineChars="0"/>
              <w:jc w:val="left"/>
              <w:outlineLvl w:val="2"/>
              <w:rPr>
                <w:rFonts w:hint="eastAsia" w:ascii="宋体" w:hAnsi="宋体" w:eastAsia="宋体" w:cs="宋体"/>
                <w:vanish/>
                <w:color w:val="000000"/>
                <w:sz w:val="24"/>
                <w:szCs w:val="24"/>
              </w:rPr>
            </w:pPr>
          </w:p>
          <w:p w14:paraId="718D2CE0">
            <w:pPr>
              <w:pStyle w:val="25"/>
              <w:numPr>
                <w:ilvl w:val="1"/>
                <w:numId w:val="6"/>
              </w:numPr>
              <w:spacing w:before="240" w:after="156" w:afterLines="50" w:line="240" w:lineRule="auto"/>
              <w:ind w:firstLineChars="0"/>
              <w:jc w:val="left"/>
              <w:outlineLvl w:val="2"/>
              <w:rPr>
                <w:rFonts w:hint="eastAsia" w:ascii="宋体" w:hAnsi="宋体" w:eastAsia="宋体" w:cs="宋体"/>
                <w:vanish/>
                <w:color w:val="000000"/>
                <w:sz w:val="24"/>
                <w:szCs w:val="24"/>
              </w:rPr>
            </w:pPr>
          </w:p>
          <w:p w14:paraId="66BF6842">
            <w:pPr>
              <w:pStyle w:val="25"/>
              <w:numPr>
                <w:ilvl w:val="1"/>
                <w:numId w:val="6"/>
              </w:numPr>
              <w:spacing w:before="240" w:after="156" w:afterLines="50" w:line="240" w:lineRule="auto"/>
              <w:ind w:firstLineChars="0"/>
              <w:jc w:val="left"/>
              <w:outlineLvl w:val="2"/>
              <w:rPr>
                <w:rFonts w:hint="eastAsia" w:ascii="宋体" w:hAnsi="宋体" w:eastAsia="宋体" w:cs="宋体"/>
                <w:vanish/>
                <w:color w:val="000000"/>
                <w:sz w:val="24"/>
                <w:szCs w:val="24"/>
              </w:rPr>
            </w:pPr>
          </w:p>
          <w:p w14:paraId="49D6A92D">
            <w:pPr>
              <w:pStyle w:val="13"/>
              <w:keepNext w:val="0"/>
              <w:keepLines w:val="0"/>
              <w:numPr>
                <w:ilvl w:val="2"/>
                <w:numId w:val="6"/>
              </w:numPr>
              <w:spacing w:after="156" w:afterLines="50" w:line="240" w:lineRule="auto"/>
              <w:outlineLvl w:val="3"/>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2026年OTT大数据指标统计分析需求</w:t>
            </w:r>
          </w:p>
          <w:p w14:paraId="3AF510A6">
            <w:pPr>
              <w:pStyle w:val="25"/>
              <w:spacing w:after="156" w:line="240" w:lineRule="auto"/>
              <w:ind w:firstLine="560"/>
              <w:rPr>
                <w:rFonts w:hint="eastAsia" w:ascii="宋体" w:hAnsi="宋体" w:eastAsia="宋体" w:cs="宋体"/>
                <w:sz w:val="24"/>
                <w:szCs w:val="24"/>
              </w:rPr>
            </w:pPr>
            <w:r>
              <w:rPr>
                <w:rFonts w:hint="eastAsia" w:ascii="宋体" w:hAnsi="宋体" w:eastAsia="宋体" w:cs="宋体"/>
                <w:sz w:val="24"/>
                <w:szCs w:val="24"/>
              </w:rPr>
              <w:t>本项内容仅作前期规划，项目实施阶段若需求发生变更，一律遵照实际业务需求落地。</w:t>
            </w:r>
          </w:p>
          <w:tbl>
            <w:tblPr>
              <w:tblStyle w:val="15"/>
              <w:tblW w:w="10518" w:type="dxa"/>
              <w:tblInd w:w="0" w:type="dxa"/>
              <w:tblLayout w:type="fixed"/>
              <w:tblCellMar>
                <w:top w:w="0" w:type="dxa"/>
                <w:left w:w="108" w:type="dxa"/>
                <w:bottom w:w="0" w:type="dxa"/>
                <w:right w:w="108" w:type="dxa"/>
              </w:tblCellMar>
            </w:tblPr>
            <w:tblGrid>
              <w:gridCol w:w="800"/>
              <w:gridCol w:w="1691"/>
              <w:gridCol w:w="8027"/>
            </w:tblGrid>
            <w:tr w14:paraId="06CEF71B">
              <w:tblPrEx>
                <w:tblCellMar>
                  <w:top w:w="0" w:type="dxa"/>
                  <w:left w:w="108" w:type="dxa"/>
                  <w:bottom w:w="0" w:type="dxa"/>
                  <w:right w:w="108" w:type="dxa"/>
                </w:tblCellMar>
              </w:tblPrEx>
              <w:trPr>
                <w:trHeight w:val="90" w:hRule="atLeast"/>
              </w:trPr>
              <w:tc>
                <w:tcPr>
                  <w:tcW w:w="380"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71BB70CE">
                  <w:pPr>
                    <w:widowControl/>
                    <w:spacing w:after="156" w:line="240" w:lineRule="auto"/>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序号</w:t>
                  </w:r>
                </w:p>
              </w:tc>
              <w:tc>
                <w:tcPr>
                  <w:tcW w:w="803" w:type="pct"/>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00A8C986">
                  <w:pPr>
                    <w:widowControl/>
                    <w:spacing w:after="156" w:line="240" w:lineRule="auto"/>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需求标题</w:t>
                  </w:r>
                </w:p>
              </w:tc>
              <w:tc>
                <w:tcPr>
                  <w:tcW w:w="3815" w:type="pct"/>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3303D696">
                  <w:pPr>
                    <w:widowControl/>
                    <w:spacing w:after="156" w:line="240" w:lineRule="auto"/>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需求描述</w:t>
                  </w:r>
                </w:p>
              </w:tc>
            </w:tr>
            <w:tr w14:paraId="18961C88">
              <w:tblPrEx>
                <w:tblCellMar>
                  <w:top w:w="0" w:type="dxa"/>
                  <w:left w:w="108" w:type="dxa"/>
                  <w:bottom w:w="0" w:type="dxa"/>
                  <w:right w:w="108" w:type="dxa"/>
                </w:tblCellMar>
              </w:tblPrEx>
              <w:trPr>
                <w:trHeight w:val="90" w:hRule="atLeast"/>
              </w:trPr>
              <w:tc>
                <w:tcPr>
                  <w:tcW w:w="380" w:type="pct"/>
                  <w:tcBorders>
                    <w:top w:val="nil"/>
                    <w:left w:val="single" w:color="auto" w:sz="4" w:space="0"/>
                    <w:bottom w:val="single" w:color="auto" w:sz="4" w:space="0"/>
                    <w:right w:val="single" w:color="auto" w:sz="4" w:space="0"/>
                  </w:tcBorders>
                  <w:shd w:val="clear" w:color="auto" w:fill="auto"/>
                  <w:noWrap/>
                  <w:vAlign w:val="center"/>
                </w:tcPr>
                <w:p w14:paraId="5BCBFF06">
                  <w:pPr>
                    <w:widowControl/>
                    <w:spacing w:after="156" w:line="240" w:lineRule="auto"/>
                    <w:jc w:val="center"/>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1</w:t>
                  </w:r>
                </w:p>
              </w:tc>
              <w:tc>
                <w:tcPr>
                  <w:tcW w:w="803" w:type="pct"/>
                  <w:tcBorders>
                    <w:top w:val="nil"/>
                    <w:left w:val="nil"/>
                    <w:bottom w:val="single" w:color="auto" w:sz="4" w:space="0"/>
                    <w:right w:val="single" w:color="auto" w:sz="4" w:space="0"/>
                  </w:tcBorders>
                  <w:shd w:val="clear" w:color="auto" w:fill="auto"/>
                  <w:vAlign w:val="center"/>
                </w:tcPr>
                <w:p w14:paraId="34B782FD">
                  <w:pPr>
                    <w:widowControl/>
                    <w:spacing w:after="156" w:line="240" w:lineRule="auto"/>
                    <w:jc w:val="center"/>
                    <w:rPr>
                      <w:rFonts w:hint="eastAsia" w:ascii="宋体" w:hAnsi="宋体" w:eastAsia="宋体" w:cs="宋体"/>
                      <w:bCs/>
                      <w:color w:val="000000"/>
                      <w:kern w:val="0"/>
                      <w:sz w:val="24"/>
                      <w:szCs w:val="24"/>
                    </w:rPr>
                  </w:pPr>
                  <w:r>
                    <w:rPr>
                      <w:rFonts w:hint="eastAsia" w:ascii="宋体" w:hAnsi="宋体" w:eastAsia="宋体" w:cs="宋体"/>
                      <w:sz w:val="24"/>
                      <w:szCs w:val="24"/>
                    </w:rPr>
                    <w:t>业务指标统计及分析</w:t>
                  </w:r>
                </w:p>
              </w:tc>
              <w:tc>
                <w:tcPr>
                  <w:tcW w:w="3815" w:type="pct"/>
                  <w:tcBorders>
                    <w:top w:val="nil"/>
                    <w:left w:val="nil"/>
                    <w:bottom w:val="single" w:color="auto" w:sz="4" w:space="0"/>
                    <w:right w:val="single" w:color="auto" w:sz="4" w:space="0"/>
                  </w:tcBorders>
                  <w:shd w:val="clear" w:color="auto" w:fill="auto"/>
                  <w:vAlign w:val="center"/>
                </w:tcPr>
                <w:p w14:paraId="205D32A7">
                  <w:pPr>
                    <w:pStyle w:val="28"/>
                    <w:spacing w:after="156" w:line="240" w:lineRule="auto"/>
                    <w:ind w:firstLine="0" w:firstLineChars="0"/>
                    <w:jc w:val="left"/>
                    <w:rPr>
                      <w:rFonts w:hint="eastAsia" w:ascii="宋体" w:hAnsi="宋体" w:eastAsia="宋体" w:cs="宋体"/>
                      <w:sz w:val="24"/>
                      <w:szCs w:val="24"/>
                    </w:rPr>
                  </w:pPr>
                  <w:r>
                    <w:rPr>
                      <w:rFonts w:hint="eastAsia" w:ascii="宋体" w:hAnsi="宋体" w:eastAsia="宋体" w:cs="宋体"/>
                      <w:sz w:val="24"/>
                      <w:szCs w:val="24"/>
                    </w:rPr>
                    <w:t>按照产品运营需要，统计相关业务指标。包括：</w:t>
                  </w:r>
                </w:p>
                <w:p w14:paraId="389B0A0D">
                  <w:pPr>
                    <w:pStyle w:val="28"/>
                    <w:spacing w:after="156" w:line="240" w:lineRule="auto"/>
                    <w:ind w:firstLine="0" w:firstLineChars="0"/>
                    <w:jc w:val="left"/>
                    <w:rPr>
                      <w:rFonts w:hint="eastAsia" w:ascii="宋体" w:hAnsi="宋体" w:eastAsia="宋体" w:cs="宋体"/>
                      <w:sz w:val="24"/>
                      <w:szCs w:val="24"/>
                    </w:rPr>
                  </w:pPr>
                  <w:r>
                    <w:rPr>
                      <w:rFonts w:hint="eastAsia" w:ascii="宋体" w:hAnsi="宋体" w:eastAsia="宋体" w:cs="宋体"/>
                      <w:sz w:val="24"/>
                      <w:szCs w:val="24"/>
                    </w:rPr>
                    <w:t>（1）基础用户指标，如总激活用户数、新增激活用户数、活跃用户数、活跃度、启动次数、使用时长等；</w:t>
                  </w:r>
                </w:p>
                <w:p w14:paraId="3DDD4FBC">
                  <w:pPr>
                    <w:pStyle w:val="28"/>
                    <w:spacing w:after="156" w:line="240" w:lineRule="auto"/>
                    <w:ind w:firstLine="0" w:firstLineChars="0"/>
                    <w:jc w:val="left"/>
                    <w:rPr>
                      <w:rFonts w:hint="eastAsia" w:ascii="宋体" w:hAnsi="宋体" w:eastAsia="宋体" w:cs="宋体"/>
                      <w:sz w:val="24"/>
                      <w:szCs w:val="24"/>
                    </w:rPr>
                  </w:pPr>
                  <w:r>
                    <w:rPr>
                      <w:rFonts w:hint="eastAsia" w:ascii="宋体" w:hAnsi="宋体" w:eastAsia="宋体" w:cs="宋体"/>
                      <w:sz w:val="24"/>
                      <w:szCs w:val="24"/>
                    </w:rPr>
                    <w:t>（2）付费指标，如付费开通人数/付费开通次数、付费流水、ARPPU、付费开通率等；</w:t>
                  </w:r>
                </w:p>
                <w:p w14:paraId="49BE07EC">
                  <w:pPr>
                    <w:pStyle w:val="28"/>
                    <w:spacing w:after="156" w:line="240" w:lineRule="auto"/>
                    <w:ind w:firstLine="0" w:firstLineChars="0"/>
                    <w:jc w:val="left"/>
                    <w:rPr>
                      <w:rFonts w:hint="eastAsia" w:ascii="宋体" w:hAnsi="宋体" w:eastAsia="宋体" w:cs="宋体"/>
                      <w:sz w:val="24"/>
                      <w:szCs w:val="24"/>
                    </w:rPr>
                  </w:pPr>
                  <w:r>
                    <w:rPr>
                      <w:rFonts w:hint="eastAsia" w:ascii="宋体" w:hAnsi="宋体" w:eastAsia="宋体" w:cs="宋体"/>
                      <w:sz w:val="24"/>
                      <w:szCs w:val="24"/>
                    </w:rPr>
                    <w:t>（3）收视指标，如播放量、播放人数、人均播放量、人均播放时长、次均播放时长等；</w:t>
                  </w:r>
                </w:p>
                <w:p w14:paraId="12DEB235">
                  <w:pPr>
                    <w:pStyle w:val="28"/>
                    <w:spacing w:after="156" w:line="240" w:lineRule="auto"/>
                    <w:ind w:firstLine="0" w:firstLineChars="0"/>
                    <w:jc w:val="left"/>
                    <w:rPr>
                      <w:rFonts w:hint="eastAsia" w:ascii="宋体" w:hAnsi="宋体" w:eastAsia="宋体" w:cs="宋体"/>
                      <w:sz w:val="24"/>
                      <w:szCs w:val="24"/>
                    </w:rPr>
                  </w:pPr>
                  <w:r>
                    <w:rPr>
                      <w:rFonts w:hint="eastAsia" w:ascii="宋体" w:hAnsi="宋体" w:eastAsia="宋体" w:cs="宋体"/>
                      <w:sz w:val="24"/>
                      <w:szCs w:val="24"/>
                    </w:rPr>
                    <w:t>（4）其他如留存分析指标，应用商店指标分析等。</w:t>
                  </w:r>
                </w:p>
                <w:p w14:paraId="5E92E349">
                  <w:pPr>
                    <w:pStyle w:val="28"/>
                    <w:spacing w:after="156" w:line="240" w:lineRule="auto"/>
                    <w:ind w:firstLine="0" w:firstLineChars="0"/>
                    <w:jc w:val="left"/>
                    <w:rPr>
                      <w:rFonts w:hint="eastAsia" w:ascii="宋体" w:hAnsi="宋体" w:eastAsia="宋体" w:cs="宋体"/>
                      <w:color w:val="000000"/>
                      <w:sz w:val="24"/>
                      <w:szCs w:val="24"/>
                    </w:rPr>
                  </w:pPr>
                  <w:r>
                    <w:rPr>
                      <w:rFonts w:hint="eastAsia" w:ascii="宋体" w:hAnsi="宋体" w:eastAsia="宋体" w:cs="宋体"/>
                      <w:sz w:val="24"/>
                      <w:szCs w:val="24"/>
                    </w:rPr>
                    <w:t>并能从渠道、版本、时间等维度进行多方位分析。</w:t>
                  </w:r>
                </w:p>
              </w:tc>
            </w:tr>
            <w:tr w14:paraId="67C941BF">
              <w:tblPrEx>
                <w:tblCellMar>
                  <w:top w:w="0" w:type="dxa"/>
                  <w:left w:w="108" w:type="dxa"/>
                  <w:bottom w:w="0" w:type="dxa"/>
                  <w:right w:w="108" w:type="dxa"/>
                </w:tblCellMar>
              </w:tblPrEx>
              <w:trPr>
                <w:trHeight w:val="90" w:hRule="atLeast"/>
              </w:trPr>
              <w:tc>
                <w:tcPr>
                  <w:tcW w:w="380"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66907D4">
                  <w:pPr>
                    <w:widowControl/>
                    <w:spacing w:after="156"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803" w:type="pct"/>
                  <w:tcBorders>
                    <w:top w:val="single" w:color="auto" w:sz="4" w:space="0"/>
                    <w:left w:val="nil"/>
                    <w:bottom w:val="single" w:color="auto" w:sz="4" w:space="0"/>
                    <w:right w:val="single" w:color="auto" w:sz="4" w:space="0"/>
                  </w:tcBorders>
                  <w:shd w:val="clear" w:color="auto" w:fill="auto"/>
                  <w:vAlign w:val="center"/>
                </w:tcPr>
                <w:p w14:paraId="2F683787">
                  <w:pPr>
                    <w:widowControl/>
                    <w:spacing w:after="156"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投诉率分析</w:t>
                  </w:r>
                </w:p>
              </w:tc>
              <w:tc>
                <w:tcPr>
                  <w:tcW w:w="3815" w:type="pct"/>
                  <w:tcBorders>
                    <w:top w:val="single" w:color="auto" w:sz="4" w:space="0"/>
                    <w:left w:val="nil"/>
                    <w:bottom w:val="single" w:color="auto" w:sz="4" w:space="0"/>
                    <w:right w:val="single" w:color="auto" w:sz="4" w:space="0"/>
                  </w:tcBorders>
                  <w:shd w:val="clear" w:color="auto" w:fill="auto"/>
                  <w:vAlign w:val="center"/>
                </w:tcPr>
                <w:p w14:paraId="03B55383">
                  <w:pPr>
                    <w:widowControl/>
                    <w:spacing w:after="156" w:line="240" w:lineRule="auto"/>
                    <w:jc w:val="left"/>
                    <w:rPr>
                      <w:rFonts w:hint="eastAsia" w:ascii="宋体" w:hAnsi="宋体" w:eastAsia="宋体" w:cs="宋体"/>
                      <w:color w:val="000000"/>
                      <w:kern w:val="0"/>
                      <w:sz w:val="24"/>
                      <w:szCs w:val="24"/>
                    </w:rPr>
                  </w:pPr>
                  <w:r>
                    <w:rPr>
                      <w:rFonts w:hint="eastAsia" w:ascii="宋体" w:hAnsi="宋体" w:eastAsia="宋体" w:cs="宋体"/>
                      <w:sz w:val="24"/>
                      <w:szCs w:val="24"/>
                    </w:rPr>
                    <w:t>业务相关投诉量和自动续费投诉率相关的分析。</w:t>
                  </w:r>
                </w:p>
              </w:tc>
            </w:tr>
            <w:tr w14:paraId="68557BF7">
              <w:tblPrEx>
                <w:tblCellMar>
                  <w:top w:w="0" w:type="dxa"/>
                  <w:left w:w="108" w:type="dxa"/>
                  <w:bottom w:w="0" w:type="dxa"/>
                  <w:right w:w="108" w:type="dxa"/>
                </w:tblCellMar>
              </w:tblPrEx>
              <w:trPr>
                <w:trHeight w:val="90" w:hRule="atLeast"/>
              </w:trPr>
              <w:tc>
                <w:tcPr>
                  <w:tcW w:w="380"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B9FD47C">
                  <w:pPr>
                    <w:widowControl/>
                    <w:spacing w:after="156"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803" w:type="pct"/>
                  <w:tcBorders>
                    <w:top w:val="single" w:color="auto" w:sz="4" w:space="0"/>
                    <w:left w:val="nil"/>
                    <w:bottom w:val="single" w:color="auto" w:sz="4" w:space="0"/>
                    <w:right w:val="single" w:color="auto" w:sz="4" w:space="0"/>
                  </w:tcBorders>
                  <w:shd w:val="clear" w:color="auto" w:fill="auto"/>
                  <w:vAlign w:val="center"/>
                </w:tcPr>
                <w:p w14:paraId="3C8F26C4">
                  <w:pPr>
                    <w:widowControl/>
                    <w:spacing w:after="156"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终端数据分析</w:t>
                  </w:r>
                </w:p>
              </w:tc>
              <w:tc>
                <w:tcPr>
                  <w:tcW w:w="3815" w:type="pct"/>
                  <w:tcBorders>
                    <w:top w:val="single" w:color="auto" w:sz="4" w:space="0"/>
                    <w:left w:val="nil"/>
                    <w:bottom w:val="single" w:color="auto" w:sz="4" w:space="0"/>
                    <w:right w:val="single" w:color="auto" w:sz="4" w:space="0"/>
                  </w:tcBorders>
                  <w:shd w:val="clear" w:color="auto" w:fill="auto"/>
                  <w:vAlign w:val="center"/>
                </w:tcPr>
                <w:p w14:paraId="1A893974">
                  <w:pPr>
                    <w:widowControl/>
                    <w:spacing w:after="156" w:line="240" w:lineRule="auto"/>
                    <w:jc w:val="left"/>
                    <w:rPr>
                      <w:rFonts w:hint="eastAsia" w:ascii="宋体" w:hAnsi="宋体" w:eastAsia="宋体" w:cs="宋体"/>
                      <w:sz w:val="24"/>
                      <w:szCs w:val="24"/>
                    </w:rPr>
                  </w:pPr>
                  <w:r>
                    <w:rPr>
                      <w:rFonts w:hint="eastAsia" w:ascii="宋体" w:hAnsi="宋体" w:eastAsia="宋体" w:cs="宋体"/>
                      <w:sz w:val="24"/>
                      <w:szCs w:val="24"/>
                    </w:rPr>
                    <w:t>终端串号激活数据分析；终端用户、订购、播放鉴权、行为日志等数据分析。</w:t>
                  </w:r>
                </w:p>
              </w:tc>
            </w:tr>
            <w:tr w14:paraId="27A8B555">
              <w:tblPrEx>
                <w:tblCellMar>
                  <w:top w:w="0" w:type="dxa"/>
                  <w:left w:w="108" w:type="dxa"/>
                  <w:bottom w:w="0" w:type="dxa"/>
                  <w:right w:w="108" w:type="dxa"/>
                </w:tblCellMar>
              </w:tblPrEx>
              <w:trPr>
                <w:trHeight w:val="90" w:hRule="atLeast"/>
              </w:trPr>
              <w:tc>
                <w:tcPr>
                  <w:tcW w:w="380"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136E5D2">
                  <w:pPr>
                    <w:widowControl/>
                    <w:spacing w:after="156"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803" w:type="pct"/>
                  <w:tcBorders>
                    <w:top w:val="single" w:color="auto" w:sz="4" w:space="0"/>
                    <w:left w:val="nil"/>
                    <w:bottom w:val="single" w:color="auto" w:sz="4" w:space="0"/>
                    <w:right w:val="single" w:color="auto" w:sz="4" w:space="0"/>
                  </w:tcBorders>
                  <w:shd w:val="clear" w:color="auto" w:fill="auto"/>
                  <w:vAlign w:val="center"/>
                </w:tcPr>
                <w:p w14:paraId="57131FAA">
                  <w:pPr>
                    <w:widowControl/>
                    <w:spacing w:after="156"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投影仪数据分析</w:t>
                  </w:r>
                </w:p>
              </w:tc>
              <w:tc>
                <w:tcPr>
                  <w:tcW w:w="3815" w:type="pct"/>
                  <w:tcBorders>
                    <w:top w:val="single" w:color="auto" w:sz="4" w:space="0"/>
                    <w:left w:val="nil"/>
                    <w:bottom w:val="single" w:color="auto" w:sz="4" w:space="0"/>
                    <w:right w:val="single" w:color="auto" w:sz="4" w:space="0"/>
                  </w:tcBorders>
                  <w:shd w:val="clear" w:color="auto" w:fill="auto"/>
                  <w:vAlign w:val="center"/>
                </w:tcPr>
                <w:p w14:paraId="2F311CD3">
                  <w:pPr>
                    <w:widowControl/>
                    <w:spacing w:after="156" w:line="240" w:lineRule="auto"/>
                    <w:jc w:val="left"/>
                    <w:rPr>
                      <w:rFonts w:hint="eastAsia" w:ascii="宋体" w:hAnsi="宋体" w:eastAsia="宋体" w:cs="宋体"/>
                      <w:sz w:val="24"/>
                      <w:szCs w:val="24"/>
                    </w:rPr>
                  </w:pPr>
                  <w:r>
                    <w:rPr>
                      <w:rFonts w:hint="eastAsia" w:ascii="宋体" w:hAnsi="宋体" w:eastAsia="宋体" w:cs="宋体"/>
                      <w:sz w:val="24"/>
                      <w:szCs w:val="24"/>
                    </w:rPr>
                    <w:t>按照产品运营需要，统计相关指标：包括用户分析、收视分析、订购分析、留存分析，页面分析、来源分析、结算分析等。</w:t>
                  </w:r>
                </w:p>
              </w:tc>
            </w:tr>
          </w:tbl>
          <w:p w14:paraId="658AD16D">
            <w:pPr>
              <w:pStyle w:val="13"/>
              <w:keepNext w:val="0"/>
              <w:keepLines w:val="0"/>
              <w:numPr>
                <w:ilvl w:val="2"/>
                <w:numId w:val="6"/>
              </w:numPr>
              <w:spacing w:after="156" w:afterLines="50" w:line="240" w:lineRule="auto"/>
              <w:outlineLvl w:val="3"/>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2026年OTT业务报表需求</w:t>
            </w:r>
          </w:p>
          <w:p w14:paraId="692211F1">
            <w:pPr>
              <w:pStyle w:val="25"/>
              <w:spacing w:after="156" w:line="240" w:lineRule="auto"/>
              <w:ind w:firstLine="560"/>
              <w:rPr>
                <w:rFonts w:hint="eastAsia" w:ascii="宋体" w:hAnsi="宋体" w:eastAsia="宋体" w:cs="宋体"/>
                <w:sz w:val="24"/>
                <w:szCs w:val="24"/>
              </w:rPr>
            </w:pPr>
            <w:r>
              <w:rPr>
                <w:rFonts w:hint="eastAsia" w:ascii="宋体" w:hAnsi="宋体" w:eastAsia="宋体" w:cs="宋体"/>
                <w:sz w:val="24"/>
                <w:szCs w:val="24"/>
              </w:rPr>
              <w:t>本项内容仅作前期规划，项目实施阶段若需求发生变更，一律遵照实际业务需求落地。</w:t>
            </w:r>
          </w:p>
          <w:tbl>
            <w:tblPr>
              <w:tblStyle w:val="15"/>
              <w:tblW w:w="5000" w:type="pct"/>
              <w:tblInd w:w="0" w:type="dxa"/>
              <w:tblLayout w:type="fixed"/>
              <w:tblCellMar>
                <w:top w:w="0" w:type="dxa"/>
                <w:left w:w="108" w:type="dxa"/>
                <w:bottom w:w="0" w:type="dxa"/>
                <w:right w:w="108" w:type="dxa"/>
              </w:tblCellMar>
            </w:tblPr>
            <w:tblGrid>
              <w:gridCol w:w="876"/>
              <w:gridCol w:w="2901"/>
              <w:gridCol w:w="6851"/>
            </w:tblGrid>
            <w:tr w14:paraId="57385118">
              <w:tblPrEx>
                <w:tblCellMar>
                  <w:top w:w="0" w:type="dxa"/>
                  <w:left w:w="108" w:type="dxa"/>
                  <w:bottom w:w="0" w:type="dxa"/>
                  <w:right w:w="108" w:type="dxa"/>
                </w:tblCellMar>
              </w:tblPrEx>
              <w:trPr>
                <w:trHeight w:val="420" w:hRule="atLeast"/>
              </w:trPr>
              <w:tc>
                <w:tcPr>
                  <w:tcW w:w="412"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5464ED8B">
                  <w:pPr>
                    <w:widowControl/>
                    <w:spacing w:after="156" w:line="240" w:lineRule="auto"/>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序号</w:t>
                  </w:r>
                </w:p>
              </w:tc>
              <w:tc>
                <w:tcPr>
                  <w:tcW w:w="1365" w:type="pct"/>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7F14CDCD">
                  <w:pPr>
                    <w:widowControl/>
                    <w:spacing w:after="156" w:line="240" w:lineRule="auto"/>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需求标题</w:t>
                  </w:r>
                </w:p>
              </w:tc>
              <w:tc>
                <w:tcPr>
                  <w:tcW w:w="3224" w:type="pct"/>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7BDED0EA">
                  <w:pPr>
                    <w:widowControl/>
                    <w:spacing w:after="156" w:line="240" w:lineRule="auto"/>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需求描述</w:t>
                  </w:r>
                </w:p>
              </w:tc>
            </w:tr>
            <w:tr w14:paraId="7B375591">
              <w:tblPrEx>
                <w:tblCellMar>
                  <w:top w:w="0" w:type="dxa"/>
                  <w:left w:w="108" w:type="dxa"/>
                  <w:bottom w:w="0" w:type="dxa"/>
                  <w:right w:w="108" w:type="dxa"/>
                </w:tblCellMar>
              </w:tblPrEx>
              <w:trPr>
                <w:trHeight w:val="847" w:hRule="atLeast"/>
              </w:trPr>
              <w:tc>
                <w:tcPr>
                  <w:tcW w:w="41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3856D6F">
                  <w:pPr>
                    <w:spacing w:after="156" w:line="240" w:lineRule="auto"/>
                    <w:jc w:val="center"/>
                    <w:rPr>
                      <w:rFonts w:hint="eastAsia" w:ascii="宋体" w:hAnsi="宋体" w:eastAsia="宋体" w:cs="宋体"/>
                      <w:bCs/>
                      <w:kern w:val="0"/>
                      <w:sz w:val="24"/>
                      <w:szCs w:val="24"/>
                    </w:rPr>
                  </w:pPr>
                  <w:r>
                    <w:rPr>
                      <w:rFonts w:hint="eastAsia" w:ascii="宋体" w:hAnsi="宋体" w:eastAsia="宋体" w:cs="宋体"/>
                      <w:bCs/>
                      <w:kern w:val="0"/>
                      <w:sz w:val="24"/>
                      <w:szCs w:val="24"/>
                    </w:rPr>
                    <w:t>1</w:t>
                  </w:r>
                </w:p>
              </w:tc>
              <w:tc>
                <w:tcPr>
                  <w:tcW w:w="1365" w:type="pct"/>
                  <w:tcBorders>
                    <w:top w:val="single" w:color="auto" w:sz="4" w:space="0"/>
                    <w:left w:val="nil"/>
                    <w:bottom w:val="single" w:color="auto" w:sz="4" w:space="0"/>
                    <w:right w:val="single" w:color="auto" w:sz="4" w:space="0"/>
                  </w:tcBorders>
                  <w:shd w:val="clear" w:color="auto" w:fill="auto"/>
                  <w:vAlign w:val="center"/>
                </w:tcPr>
                <w:p w14:paraId="53EACE4D">
                  <w:pPr>
                    <w:spacing w:after="156" w:line="240" w:lineRule="auto"/>
                    <w:jc w:val="center"/>
                    <w:rPr>
                      <w:rFonts w:hint="eastAsia" w:ascii="宋体" w:hAnsi="宋体" w:eastAsia="宋体" w:cs="宋体"/>
                      <w:sz w:val="24"/>
                      <w:szCs w:val="24"/>
                    </w:rPr>
                  </w:pPr>
                  <w:r>
                    <w:rPr>
                      <w:rFonts w:hint="eastAsia" w:ascii="宋体" w:hAnsi="宋体" w:eastAsia="宋体" w:cs="宋体"/>
                      <w:sz w:val="24"/>
                      <w:szCs w:val="24"/>
                    </w:rPr>
                    <w:t>常规报表</w:t>
                  </w:r>
                </w:p>
              </w:tc>
              <w:tc>
                <w:tcPr>
                  <w:tcW w:w="3224" w:type="pct"/>
                  <w:tcBorders>
                    <w:top w:val="single" w:color="auto" w:sz="4" w:space="0"/>
                    <w:left w:val="nil"/>
                    <w:bottom w:val="single" w:color="auto" w:sz="4" w:space="0"/>
                    <w:right w:val="single" w:color="auto" w:sz="4" w:space="0"/>
                  </w:tcBorders>
                  <w:shd w:val="clear" w:color="auto" w:fill="auto"/>
                  <w:vAlign w:val="center"/>
                </w:tcPr>
                <w:p w14:paraId="31C47282">
                  <w:pPr>
                    <w:widowControl/>
                    <w:spacing w:after="156" w:line="240" w:lineRule="auto"/>
                    <w:rPr>
                      <w:rFonts w:hint="eastAsia" w:ascii="宋体" w:hAnsi="宋体" w:eastAsia="宋体" w:cs="宋体"/>
                      <w:sz w:val="24"/>
                      <w:szCs w:val="24"/>
                    </w:rPr>
                  </w:pPr>
                  <w:r>
                    <w:rPr>
                      <w:rFonts w:hint="eastAsia" w:ascii="宋体" w:hAnsi="宋体" w:eastAsia="宋体" w:cs="宋体"/>
                      <w:sz w:val="24"/>
                      <w:szCs w:val="24"/>
                    </w:rPr>
                    <w:t>业务常规报表，如周报、月报的优化</w:t>
                  </w:r>
                </w:p>
              </w:tc>
            </w:tr>
            <w:tr w14:paraId="68ECA316">
              <w:tblPrEx>
                <w:tblCellMar>
                  <w:top w:w="0" w:type="dxa"/>
                  <w:left w:w="108" w:type="dxa"/>
                  <w:bottom w:w="0" w:type="dxa"/>
                  <w:right w:w="108" w:type="dxa"/>
                </w:tblCellMar>
              </w:tblPrEx>
              <w:trPr>
                <w:trHeight w:val="771" w:hRule="atLeast"/>
              </w:trPr>
              <w:tc>
                <w:tcPr>
                  <w:tcW w:w="41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443A44D">
                  <w:pPr>
                    <w:spacing w:after="156" w:line="240" w:lineRule="auto"/>
                    <w:jc w:val="center"/>
                    <w:rPr>
                      <w:rFonts w:hint="eastAsia" w:ascii="宋体" w:hAnsi="宋体" w:eastAsia="宋体" w:cs="宋体"/>
                      <w:bCs/>
                      <w:kern w:val="0"/>
                      <w:sz w:val="24"/>
                      <w:szCs w:val="24"/>
                    </w:rPr>
                  </w:pPr>
                  <w:r>
                    <w:rPr>
                      <w:rFonts w:hint="eastAsia" w:ascii="宋体" w:hAnsi="宋体" w:eastAsia="宋体" w:cs="宋体"/>
                      <w:bCs/>
                      <w:kern w:val="0"/>
                      <w:sz w:val="24"/>
                      <w:szCs w:val="24"/>
                    </w:rPr>
                    <w:t>2</w:t>
                  </w:r>
                </w:p>
              </w:tc>
              <w:tc>
                <w:tcPr>
                  <w:tcW w:w="1365" w:type="pct"/>
                  <w:tcBorders>
                    <w:top w:val="single" w:color="auto" w:sz="4" w:space="0"/>
                    <w:left w:val="nil"/>
                    <w:bottom w:val="single" w:color="auto" w:sz="4" w:space="0"/>
                    <w:right w:val="single" w:color="auto" w:sz="4" w:space="0"/>
                  </w:tcBorders>
                  <w:shd w:val="clear" w:color="auto" w:fill="auto"/>
                  <w:vAlign w:val="center"/>
                </w:tcPr>
                <w:p w14:paraId="2C11C570">
                  <w:pPr>
                    <w:spacing w:after="156" w:line="240" w:lineRule="auto"/>
                    <w:jc w:val="center"/>
                    <w:rPr>
                      <w:rFonts w:hint="eastAsia" w:ascii="宋体" w:hAnsi="宋体" w:eastAsia="宋体" w:cs="宋体"/>
                      <w:sz w:val="24"/>
                      <w:szCs w:val="24"/>
                    </w:rPr>
                  </w:pPr>
                  <w:r>
                    <w:rPr>
                      <w:rFonts w:hint="eastAsia" w:ascii="宋体" w:hAnsi="宋体" w:eastAsia="宋体" w:cs="宋体"/>
                      <w:sz w:val="24"/>
                      <w:szCs w:val="24"/>
                    </w:rPr>
                    <w:t>审计报表</w:t>
                  </w:r>
                </w:p>
              </w:tc>
              <w:tc>
                <w:tcPr>
                  <w:tcW w:w="3224" w:type="pct"/>
                  <w:tcBorders>
                    <w:top w:val="single" w:color="auto" w:sz="4" w:space="0"/>
                    <w:left w:val="nil"/>
                    <w:bottom w:val="single" w:color="auto" w:sz="4" w:space="0"/>
                    <w:right w:val="single" w:color="auto" w:sz="4" w:space="0"/>
                  </w:tcBorders>
                  <w:shd w:val="clear" w:color="auto" w:fill="auto"/>
                  <w:vAlign w:val="center"/>
                </w:tcPr>
                <w:p w14:paraId="5839F505">
                  <w:pPr>
                    <w:widowControl/>
                    <w:spacing w:after="156" w:line="240" w:lineRule="auto"/>
                    <w:rPr>
                      <w:rFonts w:hint="eastAsia" w:ascii="宋体" w:hAnsi="宋体" w:eastAsia="宋体" w:cs="宋体"/>
                      <w:sz w:val="24"/>
                      <w:szCs w:val="24"/>
                    </w:rPr>
                  </w:pPr>
                  <w:r>
                    <w:rPr>
                      <w:rFonts w:hint="eastAsia" w:ascii="宋体" w:hAnsi="宋体" w:eastAsia="宋体" w:cs="宋体"/>
                      <w:sz w:val="24"/>
                      <w:szCs w:val="24"/>
                    </w:rPr>
                    <w:t>配合审计，完成用户、付费等相关的审计报表</w:t>
                  </w:r>
                </w:p>
              </w:tc>
            </w:tr>
            <w:tr w14:paraId="4CCDFE8F">
              <w:tblPrEx>
                <w:tblCellMar>
                  <w:top w:w="0" w:type="dxa"/>
                  <w:left w:w="108" w:type="dxa"/>
                  <w:bottom w:w="0" w:type="dxa"/>
                  <w:right w:w="108" w:type="dxa"/>
                </w:tblCellMar>
              </w:tblPrEx>
              <w:trPr>
                <w:trHeight w:val="850" w:hRule="atLeast"/>
              </w:trPr>
              <w:tc>
                <w:tcPr>
                  <w:tcW w:w="41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F6BA059">
                  <w:pPr>
                    <w:spacing w:after="156" w:line="240" w:lineRule="auto"/>
                    <w:jc w:val="center"/>
                    <w:rPr>
                      <w:rFonts w:hint="eastAsia" w:ascii="宋体" w:hAnsi="宋体" w:eastAsia="宋体" w:cs="宋体"/>
                      <w:bCs/>
                      <w:kern w:val="0"/>
                      <w:sz w:val="24"/>
                      <w:szCs w:val="24"/>
                    </w:rPr>
                  </w:pPr>
                  <w:r>
                    <w:rPr>
                      <w:rFonts w:hint="eastAsia" w:ascii="宋体" w:hAnsi="宋体" w:eastAsia="宋体" w:cs="宋体"/>
                      <w:bCs/>
                      <w:kern w:val="0"/>
                      <w:sz w:val="24"/>
                      <w:szCs w:val="24"/>
                    </w:rPr>
                    <w:t>3</w:t>
                  </w:r>
                </w:p>
              </w:tc>
              <w:tc>
                <w:tcPr>
                  <w:tcW w:w="1365" w:type="pct"/>
                  <w:tcBorders>
                    <w:top w:val="single" w:color="auto" w:sz="4" w:space="0"/>
                    <w:left w:val="nil"/>
                    <w:bottom w:val="single" w:color="auto" w:sz="4" w:space="0"/>
                    <w:right w:val="single" w:color="auto" w:sz="4" w:space="0"/>
                  </w:tcBorders>
                  <w:shd w:val="clear" w:color="auto" w:fill="auto"/>
                  <w:vAlign w:val="center"/>
                </w:tcPr>
                <w:p w14:paraId="28AF0B87">
                  <w:pPr>
                    <w:spacing w:after="156" w:line="240" w:lineRule="auto"/>
                    <w:jc w:val="center"/>
                    <w:rPr>
                      <w:rFonts w:hint="eastAsia" w:ascii="宋体" w:hAnsi="宋体" w:eastAsia="宋体" w:cs="宋体"/>
                      <w:sz w:val="24"/>
                      <w:szCs w:val="24"/>
                    </w:rPr>
                  </w:pPr>
                  <w:r>
                    <w:rPr>
                      <w:rFonts w:hint="eastAsia" w:ascii="宋体" w:hAnsi="宋体" w:eastAsia="宋体" w:cs="宋体"/>
                      <w:sz w:val="24"/>
                      <w:szCs w:val="24"/>
                    </w:rPr>
                    <w:t>结算报表</w:t>
                  </w:r>
                </w:p>
              </w:tc>
              <w:tc>
                <w:tcPr>
                  <w:tcW w:w="3224" w:type="pct"/>
                  <w:tcBorders>
                    <w:top w:val="single" w:color="auto" w:sz="4" w:space="0"/>
                    <w:left w:val="nil"/>
                    <w:bottom w:val="single" w:color="auto" w:sz="4" w:space="0"/>
                    <w:right w:val="single" w:color="auto" w:sz="4" w:space="0"/>
                  </w:tcBorders>
                  <w:shd w:val="clear" w:color="auto" w:fill="auto"/>
                  <w:vAlign w:val="center"/>
                </w:tcPr>
                <w:p w14:paraId="4B044DCD">
                  <w:pPr>
                    <w:widowControl/>
                    <w:spacing w:after="156" w:line="240" w:lineRule="auto"/>
                    <w:rPr>
                      <w:rFonts w:hint="eastAsia" w:ascii="宋体" w:hAnsi="宋体" w:eastAsia="宋体" w:cs="宋体"/>
                      <w:sz w:val="24"/>
                      <w:szCs w:val="24"/>
                    </w:rPr>
                  </w:pPr>
                  <w:r>
                    <w:rPr>
                      <w:rFonts w:hint="eastAsia" w:ascii="宋体" w:hAnsi="宋体" w:eastAsia="宋体" w:cs="宋体"/>
                      <w:sz w:val="24"/>
                      <w:szCs w:val="24"/>
                    </w:rPr>
                    <w:t>业务结算相关报表的输出及优化</w:t>
                  </w:r>
                </w:p>
              </w:tc>
            </w:tr>
          </w:tbl>
          <w:p w14:paraId="17F127BC">
            <w:pPr>
              <w:pStyle w:val="13"/>
              <w:keepNext w:val="0"/>
              <w:keepLines w:val="0"/>
              <w:numPr>
                <w:ilvl w:val="2"/>
                <w:numId w:val="6"/>
              </w:numPr>
              <w:spacing w:after="156" w:afterLines="50" w:line="240" w:lineRule="auto"/>
              <w:outlineLvl w:val="3"/>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2026年OTT大数据平台优化需求</w:t>
            </w:r>
          </w:p>
          <w:p w14:paraId="6D401FF8">
            <w:pPr>
              <w:spacing w:after="156" w:line="240" w:lineRule="auto"/>
              <w:ind w:firstLine="420"/>
              <w:rPr>
                <w:rFonts w:hint="eastAsia" w:ascii="宋体" w:hAnsi="宋体" w:eastAsia="宋体" w:cs="宋体"/>
                <w:sz w:val="24"/>
                <w:szCs w:val="24"/>
              </w:rPr>
            </w:pPr>
            <w:r>
              <w:rPr>
                <w:rFonts w:hint="eastAsia" w:ascii="宋体" w:hAnsi="宋体" w:eastAsia="宋体" w:cs="宋体"/>
                <w:sz w:val="24"/>
                <w:szCs w:val="24"/>
              </w:rPr>
              <w:t>本项内容仅作前期规划，项目实施阶段若需求发生变更，一律遵照实际业务需求落地。</w:t>
            </w:r>
          </w:p>
          <w:tbl>
            <w:tblPr>
              <w:tblStyle w:val="1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108" w:type="dxa"/>
                <w:bottom w:w="0" w:type="dxa"/>
                <w:right w:w="108" w:type="dxa"/>
              </w:tblCellMar>
            </w:tblPr>
            <w:tblGrid>
              <w:gridCol w:w="875"/>
              <w:gridCol w:w="2899"/>
              <w:gridCol w:w="6844"/>
            </w:tblGrid>
            <w:tr w14:paraId="5DE43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20" w:hRule="atLeast"/>
              </w:trPr>
              <w:tc>
                <w:tcPr>
                  <w:tcW w:w="412"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3081D8CD">
                  <w:pPr>
                    <w:spacing w:after="156" w:line="24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序号</w:t>
                  </w:r>
                </w:p>
              </w:tc>
              <w:tc>
                <w:tcPr>
                  <w:tcW w:w="1365"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0C69BDE4">
                  <w:pPr>
                    <w:spacing w:after="156" w:line="24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需求标题</w:t>
                  </w:r>
                </w:p>
              </w:tc>
              <w:tc>
                <w:tcPr>
                  <w:tcW w:w="3224"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7016CE92">
                  <w:pPr>
                    <w:spacing w:after="156" w:line="24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需求描述</w:t>
                  </w:r>
                </w:p>
              </w:tc>
            </w:tr>
            <w:tr w14:paraId="3E076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1203" w:hRule="atLeast"/>
              </w:trPr>
              <w:tc>
                <w:tcPr>
                  <w:tcW w:w="412"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0FF65FB7">
                  <w:pPr>
                    <w:numPr>
                      <w:ilvl w:val="0"/>
                      <w:numId w:val="7"/>
                    </w:numPr>
                    <w:spacing w:after="156" w:afterLines="0" w:line="240" w:lineRule="auto"/>
                    <w:jc w:val="center"/>
                    <w:rPr>
                      <w:rFonts w:hint="eastAsia" w:ascii="宋体" w:hAnsi="宋体" w:eastAsia="宋体" w:cs="宋体"/>
                      <w:sz w:val="24"/>
                      <w:szCs w:val="24"/>
                    </w:rPr>
                  </w:pPr>
                </w:p>
              </w:tc>
              <w:tc>
                <w:tcPr>
                  <w:tcW w:w="1365" w:type="pct"/>
                  <w:tcBorders>
                    <w:top w:val="single" w:color="auto" w:sz="4" w:space="0"/>
                    <w:left w:val="single" w:color="auto" w:sz="4" w:space="0"/>
                    <w:bottom w:val="single" w:color="auto" w:sz="4" w:space="0"/>
                    <w:right w:val="single" w:color="auto" w:sz="4" w:space="0"/>
                  </w:tcBorders>
                  <w:shd w:val="clear" w:color="auto" w:fill="FFFFFF"/>
                  <w:vAlign w:val="center"/>
                </w:tcPr>
                <w:p w14:paraId="3ACAC0DB">
                  <w:pPr>
                    <w:spacing w:after="156" w:line="240" w:lineRule="auto"/>
                    <w:jc w:val="center"/>
                    <w:rPr>
                      <w:rFonts w:hint="eastAsia" w:ascii="宋体" w:hAnsi="宋体" w:eastAsia="宋体" w:cs="宋体"/>
                      <w:sz w:val="24"/>
                      <w:szCs w:val="24"/>
                    </w:rPr>
                  </w:pPr>
                  <w:r>
                    <w:rPr>
                      <w:rFonts w:hint="eastAsia" w:ascii="宋体" w:hAnsi="宋体" w:eastAsia="宋体" w:cs="宋体"/>
                      <w:sz w:val="24"/>
                      <w:szCs w:val="24"/>
                    </w:rPr>
                    <w:t>平台界面优化</w:t>
                  </w:r>
                </w:p>
              </w:tc>
              <w:tc>
                <w:tcPr>
                  <w:tcW w:w="3224" w:type="pct"/>
                  <w:tcBorders>
                    <w:top w:val="single" w:color="auto" w:sz="4" w:space="0"/>
                    <w:left w:val="single" w:color="auto" w:sz="4" w:space="0"/>
                    <w:bottom w:val="single" w:color="auto" w:sz="4" w:space="0"/>
                    <w:right w:val="single" w:color="auto" w:sz="4" w:space="0"/>
                  </w:tcBorders>
                  <w:shd w:val="clear" w:color="auto" w:fill="FFFFFF"/>
                  <w:vAlign w:val="center"/>
                </w:tcPr>
                <w:p w14:paraId="7FB09052">
                  <w:pPr>
                    <w:widowControl/>
                    <w:spacing w:after="156" w:line="240" w:lineRule="auto"/>
                    <w:rPr>
                      <w:rFonts w:hint="eastAsia" w:ascii="宋体" w:hAnsi="宋体" w:eastAsia="宋体" w:cs="宋体"/>
                      <w:sz w:val="24"/>
                      <w:szCs w:val="24"/>
                    </w:rPr>
                  </w:pPr>
                  <w:r>
                    <w:rPr>
                      <w:rFonts w:hint="eastAsia" w:ascii="宋体" w:hAnsi="宋体" w:eastAsia="宋体" w:cs="宋体"/>
                      <w:sz w:val="24"/>
                      <w:szCs w:val="24"/>
                    </w:rPr>
                    <w:t>支持优化现有的大数据分析平台，包括界面优化、操作优化、数据加载速度、数据导出等。</w:t>
                  </w:r>
                </w:p>
              </w:tc>
            </w:tr>
            <w:tr w14:paraId="38B57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5" w:hRule="atLeast"/>
              </w:trPr>
              <w:tc>
                <w:tcPr>
                  <w:tcW w:w="412"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0F7A321A">
                  <w:pPr>
                    <w:numPr>
                      <w:ilvl w:val="0"/>
                      <w:numId w:val="7"/>
                    </w:numPr>
                    <w:spacing w:after="156" w:afterLines="0" w:line="240" w:lineRule="auto"/>
                    <w:jc w:val="center"/>
                    <w:rPr>
                      <w:rFonts w:hint="eastAsia" w:ascii="宋体" w:hAnsi="宋体" w:eastAsia="宋体" w:cs="宋体"/>
                      <w:sz w:val="24"/>
                      <w:szCs w:val="24"/>
                    </w:rPr>
                  </w:pPr>
                </w:p>
              </w:tc>
              <w:tc>
                <w:tcPr>
                  <w:tcW w:w="1365" w:type="pct"/>
                  <w:tcBorders>
                    <w:top w:val="single" w:color="auto" w:sz="4" w:space="0"/>
                    <w:left w:val="single" w:color="auto" w:sz="4" w:space="0"/>
                    <w:bottom w:val="single" w:color="auto" w:sz="4" w:space="0"/>
                    <w:right w:val="single" w:color="auto" w:sz="4" w:space="0"/>
                  </w:tcBorders>
                  <w:shd w:val="clear" w:color="auto" w:fill="FFFFFF"/>
                  <w:vAlign w:val="center"/>
                </w:tcPr>
                <w:p w14:paraId="03122583">
                  <w:pPr>
                    <w:spacing w:after="156" w:line="240" w:lineRule="auto"/>
                    <w:jc w:val="center"/>
                    <w:rPr>
                      <w:rFonts w:hint="eastAsia" w:ascii="宋体" w:hAnsi="宋体" w:eastAsia="宋体" w:cs="宋体"/>
                      <w:sz w:val="24"/>
                      <w:szCs w:val="24"/>
                    </w:rPr>
                  </w:pPr>
                  <w:r>
                    <w:rPr>
                      <w:rFonts w:hint="eastAsia" w:ascii="宋体" w:hAnsi="宋体" w:eastAsia="宋体" w:cs="宋体"/>
                      <w:sz w:val="24"/>
                      <w:szCs w:val="24"/>
                    </w:rPr>
                    <w:t>平台性能优化</w:t>
                  </w:r>
                </w:p>
              </w:tc>
              <w:tc>
                <w:tcPr>
                  <w:tcW w:w="3224" w:type="pct"/>
                  <w:tcBorders>
                    <w:top w:val="single" w:color="auto" w:sz="4" w:space="0"/>
                    <w:left w:val="single" w:color="auto" w:sz="4" w:space="0"/>
                    <w:bottom w:val="single" w:color="auto" w:sz="4" w:space="0"/>
                    <w:right w:val="single" w:color="auto" w:sz="4" w:space="0"/>
                  </w:tcBorders>
                  <w:shd w:val="clear" w:color="auto" w:fill="FFFFFF"/>
                  <w:vAlign w:val="center"/>
                </w:tcPr>
                <w:p w14:paraId="623C4647">
                  <w:pPr>
                    <w:widowControl/>
                    <w:spacing w:after="156" w:line="240" w:lineRule="auto"/>
                    <w:rPr>
                      <w:rFonts w:hint="eastAsia" w:ascii="宋体" w:hAnsi="宋体" w:eastAsia="宋体" w:cs="宋体"/>
                      <w:sz w:val="24"/>
                      <w:szCs w:val="24"/>
                    </w:rPr>
                  </w:pPr>
                  <w:r>
                    <w:rPr>
                      <w:rFonts w:hint="eastAsia" w:ascii="宋体" w:hAnsi="宋体" w:eastAsia="宋体" w:cs="宋体"/>
                      <w:sz w:val="24"/>
                      <w:szCs w:val="24"/>
                    </w:rPr>
                    <w:t>支持系统满足易用性的要求，系统的响应速度要在5s内完成，搜索查询等功能操作时，需在5s内能显示结果数据。</w:t>
                  </w:r>
                </w:p>
              </w:tc>
            </w:tr>
          </w:tbl>
          <w:p w14:paraId="22F364E1">
            <w:pPr>
              <w:pStyle w:val="13"/>
              <w:keepNext w:val="0"/>
              <w:keepLines w:val="0"/>
              <w:numPr>
                <w:ilvl w:val="2"/>
                <w:numId w:val="6"/>
              </w:numPr>
              <w:spacing w:after="156" w:afterLines="50" w:line="240" w:lineRule="auto"/>
              <w:outlineLvl w:val="3"/>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2026年OTT业务数据上报需求</w:t>
            </w:r>
          </w:p>
          <w:p w14:paraId="0D0D5BEF">
            <w:pPr>
              <w:spacing w:after="156" w:line="240" w:lineRule="auto"/>
              <w:ind w:firstLine="420"/>
              <w:rPr>
                <w:rFonts w:hint="eastAsia" w:ascii="宋体" w:hAnsi="宋体" w:eastAsia="宋体" w:cs="宋体"/>
                <w:sz w:val="24"/>
                <w:szCs w:val="24"/>
              </w:rPr>
            </w:pPr>
            <w:r>
              <w:rPr>
                <w:rFonts w:hint="eastAsia" w:ascii="宋体" w:hAnsi="宋体" w:eastAsia="宋体" w:cs="宋体"/>
                <w:sz w:val="24"/>
                <w:szCs w:val="24"/>
              </w:rPr>
              <w:t>本项内容仅作前期规划，项目实施阶段若需求发生变更，一律遵照实际业务需求落地。</w:t>
            </w:r>
          </w:p>
          <w:tbl>
            <w:tblPr>
              <w:tblStyle w:val="1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108" w:type="dxa"/>
                <w:bottom w:w="0" w:type="dxa"/>
                <w:right w:w="108" w:type="dxa"/>
              </w:tblCellMar>
            </w:tblPr>
            <w:tblGrid>
              <w:gridCol w:w="753"/>
              <w:gridCol w:w="1971"/>
              <w:gridCol w:w="7894"/>
            </w:tblGrid>
            <w:tr w14:paraId="4F0A8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20" w:hRule="atLeast"/>
              </w:trPr>
              <w:tc>
                <w:tcPr>
                  <w:tcW w:w="354"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6C9DD1E2">
                  <w:pPr>
                    <w:spacing w:after="156" w:line="24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序号</w:t>
                  </w:r>
                </w:p>
              </w:tc>
              <w:tc>
                <w:tcPr>
                  <w:tcW w:w="928"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361BD0B2">
                  <w:pPr>
                    <w:spacing w:after="156" w:line="24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需求标题</w:t>
                  </w:r>
                </w:p>
              </w:tc>
              <w:tc>
                <w:tcPr>
                  <w:tcW w:w="3717"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7FF701DC">
                  <w:pPr>
                    <w:spacing w:after="156" w:line="24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需求描述</w:t>
                  </w:r>
                </w:p>
              </w:tc>
            </w:tr>
            <w:tr w14:paraId="53609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976" w:hRule="atLeast"/>
              </w:trPr>
              <w:tc>
                <w:tcPr>
                  <w:tcW w:w="354"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46953039">
                  <w:pPr>
                    <w:numPr>
                      <w:ilvl w:val="0"/>
                      <w:numId w:val="8"/>
                    </w:numPr>
                    <w:spacing w:after="156" w:afterLines="0" w:line="240" w:lineRule="auto"/>
                    <w:jc w:val="center"/>
                    <w:rPr>
                      <w:rFonts w:hint="eastAsia" w:ascii="宋体" w:hAnsi="宋体" w:eastAsia="宋体" w:cs="宋体"/>
                      <w:sz w:val="24"/>
                      <w:szCs w:val="24"/>
                    </w:rPr>
                  </w:pPr>
                </w:p>
              </w:tc>
              <w:tc>
                <w:tcPr>
                  <w:tcW w:w="928" w:type="pct"/>
                  <w:tcBorders>
                    <w:top w:val="single" w:color="auto" w:sz="4" w:space="0"/>
                    <w:left w:val="single" w:color="auto" w:sz="4" w:space="0"/>
                    <w:bottom w:val="single" w:color="auto" w:sz="4" w:space="0"/>
                    <w:right w:val="single" w:color="auto" w:sz="4" w:space="0"/>
                  </w:tcBorders>
                  <w:shd w:val="clear" w:color="auto" w:fill="FFFFFF"/>
                  <w:vAlign w:val="center"/>
                </w:tcPr>
                <w:p w14:paraId="0ABB80D7">
                  <w:pPr>
                    <w:spacing w:after="156" w:line="240" w:lineRule="auto"/>
                    <w:jc w:val="center"/>
                    <w:rPr>
                      <w:rFonts w:hint="eastAsia" w:ascii="宋体" w:hAnsi="宋体" w:eastAsia="宋体" w:cs="宋体"/>
                      <w:sz w:val="24"/>
                      <w:szCs w:val="24"/>
                    </w:rPr>
                  </w:pPr>
                  <w:r>
                    <w:rPr>
                      <w:rFonts w:hint="eastAsia" w:ascii="宋体" w:hAnsi="宋体" w:eastAsia="宋体" w:cs="宋体"/>
                      <w:sz w:val="24"/>
                      <w:szCs w:val="24"/>
                    </w:rPr>
                    <w:t>业务数据离线上报</w:t>
                  </w:r>
                </w:p>
              </w:tc>
              <w:tc>
                <w:tcPr>
                  <w:tcW w:w="3717" w:type="pct"/>
                  <w:tcBorders>
                    <w:top w:val="single" w:color="auto" w:sz="4" w:space="0"/>
                    <w:left w:val="single" w:color="auto" w:sz="4" w:space="0"/>
                    <w:bottom w:val="single" w:color="auto" w:sz="4" w:space="0"/>
                    <w:right w:val="single" w:color="auto" w:sz="4" w:space="0"/>
                  </w:tcBorders>
                  <w:shd w:val="clear" w:color="auto" w:fill="FFFFFF"/>
                  <w:vAlign w:val="center"/>
                </w:tcPr>
                <w:p w14:paraId="08743D2F">
                  <w:pPr>
                    <w:widowControl/>
                    <w:spacing w:after="156" w:line="240" w:lineRule="auto"/>
                    <w:rPr>
                      <w:rFonts w:hint="eastAsia" w:ascii="宋体" w:hAnsi="宋体" w:eastAsia="宋体" w:cs="宋体"/>
                      <w:sz w:val="24"/>
                      <w:szCs w:val="24"/>
                    </w:rPr>
                  </w:pPr>
                  <w:r>
                    <w:rPr>
                      <w:rFonts w:hint="eastAsia" w:ascii="宋体" w:hAnsi="宋体" w:eastAsia="宋体" w:cs="宋体"/>
                      <w:sz w:val="24"/>
                      <w:szCs w:val="24"/>
                    </w:rPr>
                    <w:t>按照主管部门要求提供业务相关数据</w:t>
                  </w:r>
                </w:p>
              </w:tc>
            </w:tr>
            <w:tr w14:paraId="0D94D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1435" w:hRule="atLeast"/>
              </w:trPr>
              <w:tc>
                <w:tcPr>
                  <w:tcW w:w="354"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1B3BF349">
                  <w:pPr>
                    <w:numPr>
                      <w:ilvl w:val="0"/>
                      <w:numId w:val="8"/>
                    </w:numPr>
                    <w:spacing w:after="156" w:afterLines="0" w:line="240" w:lineRule="auto"/>
                    <w:jc w:val="center"/>
                    <w:rPr>
                      <w:rFonts w:hint="eastAsia" w:ascii="宋体" w:hAnsi="宋体" w:eastAsia="宋体" w:cs="宋体"/>
                      <w:sz w:val="24"/>
                      <w:szCs w:val="24"/>
                    </w:rPr>
                  </w:pPr>
                </w:p>
              </w:tc>
              <w:tc>
                <w:tcPr>
                  <w:tcW w:w="928" w:type="pct"/>
                  <w:tcBorders>
                    <w:top w:val="single" w:color="auto" w:sz="4" w:space="0"/>
                    <w:left w:val="single" w:color="auto" w:sz="4" w:space="0"/>
                    <w:bottom w:val="single" w:color="auto" w:sz="4" w:space="0"/>
                    <w:right w:val="single" w:color="auto" w:sz="4" w:space="0"/>
                  </w:tcBorders>
                  <w:shd w:val="clear" w:color="auto" w:fill="FFFFFF"/>
                  <w:vAlign w:val="center"/>
                </w:tcPr>
                <w:p w14:paraId="69BE0CCF">
                  <w:pPr>
                    <w:spacing w:after="156" w:line="240" w:lineRule="auto"/>
                    <w:jc w:val="center"/>
                    <w:rPr>
                      <w:rFonts w:hint="eastAsia" w:ascii="宋体" w:hAnsi="宋体" w:eastAsia="宋体" w:cs="宋体"/>
                      <w:sz w:val="24"/>
                      <w:szCs w:val="24"/>
                    </w:rPr>
                  </w:pPr>
                  <w:r>
                    <w:rPr>
                      <w:rFonts w:hint="eastAsia" w:ascii="宋体" w:hAnsi="宋体" w:eastAsia="宋体" w:cs="宋体"/>
                      <w:sz w:val="24"/>
                      <w:szCs w:val="24"/>
                    </w:rPr>
                    <w:t>接口上报</w:t>
                  </w:r>
                </w:p>
              </w:tc>
              <w:tc>
                <w:tcPr>
                  <w:tcW w:w="3717" w:type="pct"/>
                  <w:tcBorders>
                    <w:top w:val="single" w:color="auto" w:sz="4" w:space="0"/>
                    <w:left w:val="single" w:color="auto" w:sz="4" w:space="0"/>
                    <w:bottom w:val="single" w:color="auto" w:sz="4" w:space="0"/>
                    <w:right w:val="single" w:color="auto" w:sz="4" w:space="0"/>
                  </w:tcBorders>
                  <w:shd w:val="clear" w:color="auto" w:fill="FFFFFF"/>
                  <w:vAlign w:val="center"/>
                </w:tcPr>
                <w:p w14:paraId="63869F9F">
                  <w:pPr>
                    <w:widowControl/>
                    <w:spacing w:after="156" w:line="240" w:lineRule="auto"/>
                    <w:rPr>
                      <w:rFonts w:hint="eastAsia" w:ascii="宋体" w:hAnsi="宋体" w:eastAsia="宋体" w:cs="宋体"/>
                      <w:sz w:val="24"/>
                      <w:szCs w:val="24"/>
                    </w:rPr>
                  </w:pPr>
                  <w:r>
                    <w:rPr>
                      <w:rFonts w:hint="eastAsia" w:ascii="宋体" w:hAnsi="宋体" w:eastAsia="宋体" w:cs="宋体"/>
                      <w:sz w:val="24"/>
                      <w:szCs w:val="24"/>
                    </w:rPr>
                    <w:t>按照接口规范进行数据上报，与主管部门接口对接、联调、测试、部署上线等，并进行日常数据接口的维护和优化。</w:t>
                  </w:r>
                </w:p>
              </w:tc>
            </w:tr>
          </w:tbl>
          <w:p w14:paraId="7B4C7607">
            <w:pPr>
              <w:pStyle w:val="13"/>
              <w:keepNext w:val="0"/>
              <w:keepLines w:val="0"/>
              <w:numPr>
                <w:ilvl w:val="2"/>
                <w:numId w:val="6"/>
              </w:numPr>
              <w:spacing w:after="156" w:afterLines="50" w:line="240" w:lineRule="auto"/>
              <w:outlineLvl w:val="3"/>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2026年OTT大数据异常警告需求</w:t>
            </w:r>
          </w:p>
          <w:p w14:paraId="18E2003F">
            <w:pPr>
              <w:spacing w:after="156" w:line="240" w:lineRule="auto"/>
              <w:ind w:firstLine="420"/>
              <w:rPr>
                <w:rFonts w:hint="eastAsia" w:ascii="宋体" w:hAnsi="宋体" w:eastAsia="宋体" w:cs="宋体"/>
                <w:sz w:val="24"/>
                <w:szCs w:val="24"/>
              </w:rPr>
            </w:pPr>
            <w:r>
              <w:rPr>
                <w:rFonts w:hint="eastAsia" w:ascii="宋体" w:hAnsi="宋体" w:eastAsia="宋体" w:cs="宋体"/>
                <w:sz w:val="24"/>
                <w:szCs w:val="24"/>
              </w:rPr>
              <w:t>本项内容仅作前期规划，项目实施阶段若需求发生变更，一律遵照实际业务需求落地。</w:t>
            </w:r>
          </w:p>
          <w:tbl>
            <w:tblPr>
              <w:tblStyle w:val="1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108" w:type="dxa"/>
                <w:bottom w:w="0" w:type="dxa"/>
                <w:right w:w="108" w:type="dxa"/>
              </w:tblCellMar>
            </w:tblPr>
            <w:tblGrid>
              <w:gridCol w:w="730"/>
              <w:gridCol w:w="1924"/>
              <w:gridCol w:w="7964"/>
            </w:tblGrid>
            <w:tr w14:paraId="6A942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PrEx>
              <w:trPr>
                <w:trHeight w:val="420" w:hRule="atLeast"/>
              </w:trPr>
              <w:tc>
                <w:tcPr>
                  <w:tcW w:w="343"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353D66F9">
                  <w:pPr>
                    <w:spacing w:after="156" w:line="24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序号</w:t>
                  </w:r>
                </w:p>
              </w:tc>
              <w:tc>
                <w:tcPr>
                  <w:tcW w:w="906"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432F28BE">
                  <w:pPr>
                    <w:spacing w:after="156" w:line="24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需求标题</w:t>
                  </w:r>
                </w:p>
              </w:tc>
              <w:tc>
                <w:tcPr>
                  <w:tcW w:w="3750"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5A767095">
                  <w:pPr>
                    <w:spacing w:after="156" w:line="240" w:lineRule="auto"/>
                    <w:jc w:val="center"/>
                    <w:rPr>
                      <w:rFonts w:hint="eastAsia" w:ascii="宋体" w:hAnsi="宋体" w:eastAsia="宋体" w:cs="宋体"/>
                      <w:b/>
                      <w:bCs/>
                      <w:kern w:val="0"/>
                      <w:sz w:val="24"/>
                      <w:szCs w:val="24"/>
                    </w:rPr>
                  </w:pPr>
                  <w:r>
                    <w:rPr>
                      <w:rFonts w:hint="eastAsia" w:ascii="宋体" w:hAnsi="宋体" w:eastAsia="宋体" w:cs="宋体"/>
                      <w:b/>
                      <w:bCs/>
                      <w:kern w:val="0"/>
                      <w:sz w:val="24"/>
                      <w:szCs w:val="24"/>
                    </w:rPr>
                    <w:t>需求描述</w:t>
                  </w:r>
                </w:p>
              </w:tc>
            </w:tr>
            <w:tr w14:paraId="10820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43"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3205C018">
                  <w:pPr>
                    <w:spacing w:after="156" w:line="24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1</w:t>
                  </w:r>
                </w:p>
              </w:tc>
              <w:tc>
                <w:tcPr>
                  <w:tcW w:w="906" w:type="pct"/>
                  <w:tcBorders>
                    <w:top w:val="single" w:color="auto" w:sz="4" w:space="0"/>
                    <w:left w:val="single" w:color="auto" w:sz="4" w:space="0"/>
                    <w:bottom w:val="single" w:color="auto" w:sz="4" w:space="0"/>
                    <w:right w:val="single" w:color="auto" w:sz="4" w:space="0"/>
                  </w:tcBorders>
                  <w:shd w:val="clear" w:color="auto" w:fill="FFFFFF"/>
                  <w:vAlign w:val="center"/>
                </w:tcPr>
                <w:p w14:paraId="6C0FD299">
                  <w:pPr>
                    <w:pStyle w:val="28"/>
                    <w:spacing w:after="156" w:line="240" w:lineRule="auto"/>
                    <w:ind w:firstLine="400"/>
                    <w:jc w:val="left"/>
                    <w:rPr>
                      <w:rFonts w:hint="eastAsia" w:ascii="宋体" w:hAnsi="宋体" w:eastAsia="宋体" w:cs="宋体"/>
                      <w:sz w:val="24"/>
                      <w:szCs w:val="24"/>
                    </w:rPr>
                  </w:pPr>
                  <w:r>
                    <w:rPr>
                      <w:rFonts w:hint="eastAsia" w:ascii="宋体" w:hAnsi="宋体" w:eastAsia="宋体" w:cs="宋体"/>
                      <w:sz w:val="24"/>
                      <w:szCs w:val="24"/>
                    </w:rPr>
                    <w:t>日志异常</w:t>
                  </w:r>
                </w:p>
              </w:tc>
              <w:tc>
                <w:tcPr>
                  <w:tcW w:w="3750" w:type="pct"/>
                  <w:tcBorders>
                    <w:top w:val="single" w:color="auto" w:sz="4" w:space="0"/>
                    <w:left w:val="single" w:color="auto" w:sz="4" w:space="0"/>
                    <w:bottom w:val="single" w:color="auto" w:sz="4" w:space="0"/>
                    <w:right w:val="single" w:color="auto" w:sz="4" w:space="0"/>
                  </w:tcBorders>
                  <w:shd w:val="clear" w:color="auto" w:fill="FFFFFF"/>
                </w:tcPr>
                <w:p w14:paraId="6FA523C9">
                  <w:pPr>
                    <w:spacing w:after="156" w:line="240" w:lineRule="auto"/>
                    <w:rPr>
                      <w:rFonts w:hint="eastAsia" w:ascii="宋体" w:hAnsi="宋体" w:eastAsia="宋体" w:cs="宋体"/>
                      <w:sz w:val="24"/>
                      <w:szCs w:val="24"/>
                    </w:rPr>
                  </w:pPr>
                  <w:r>
                    <w:rPr>
                      <w:rFonts w:hint="eastAsia" w:ascii="宋体" w:hAnsi="宋体" w:eastAsia="宋体" w:cs="宋体"/>
                      <w:sz w:val="24"/>
                      <w:szCs w:val="24"/>
                    </w:rPr>
                    <w:t>（1）支持分业务对认证日志、订单日志量进行监控，若出现流量骤增或骤降需对异常进行告警提醒，以便能及时排查问题并修复。</w:t>
                  </w:r>
                </w:p>
                <w:p w14:paraId="590CB2B8">
                  <w:pPr>
                    <w:pStyle w:val="28"/>
                    <w:spacing w:after="156" w:line="240" w:lineRule="auto"/>
                    <w:ind w:firstLine="0" w:firstLineChars="0"/>
                    <w:jc w:val="left"/>
                    <w:rPr>
                      <w:rFonts w:hint="eastAsia" w:ascii="宋体" w:hAnsi="宋体" w:eastAsia="宋体" w:cs="宋体"/>
                      <w:sz w:val="24"/>
                      <w:szCs w:val="24"/>
                    </w:rPr>
                  </w:pPr>
                  <w:r>
                    <w:rPr>
                      <w:rFonts w:hint="eastAsia" w:ascii="宋体" w:hAnsi="宋体" w:eastAsia="宋体" w:cs="宋体"/>
                      <w:sz w:val="24"/>
                      <w:szCs w:val="24"/>
                    </w:rPr>
                    <w:t>（2）支持分业务对认证日志、订单日志核心字段完整性进行监控，若出现核心字段大规模缺失或异常需进行告警提醒，以便能及时排查问题并修复。</w:t>
                  </w:r>
                </w:p>
                <w:p w14:paraId="498C0552">
                  <w:pPr>
                    <w:pStyle w:val="28"/>
                    <w:spacing w:after="156" w:line="240" w:lineRule="auto"/>
                    <w:ind w:firstLine="0" w:firstLineChars="0"/>
                    <w:jc w:val="left"/>
                    <w:rPr>
                      <w:rFonts w:hint="eastAsia" w:ascii="宋体" w:hAnsi="宋体" w:eastAsia="宋体" w:cs="宋体"/>
                      <w:sz w:val="24"/>
                      <w:szCs w:val="24"/>
                    </w:rPr>
                  </w:pPr>
                  <w:r>
                    <w:rPr>
                      <w:rFonts w:hint="eastAsia" w:ascii="宋体" w:hAnsi="宋体" w:eastAsia="宋体" w:cs="宋体"/>
                      <w:sz w:val="24"/>
                      <w:szCs w:val="24"/>
                    </w:rPr>
                    <w:t>（3）提醒信息功能，可同时以邮件方式提醒相关人员。并且对于历史的异常告警可以进行忽略操作，避免不断告警。</w:t>
                  </w:r>
                </w:p>
              </w:tc>
            </w:tr>
            <w:tr w14:paraId="7A7BD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15" w:hRule="atLeast"/>
              </w:trPr>
              <w:tc>
                <w:tcPr>
                  <w:tcW w:w="343"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146E06E8">
                  <w:pPr>
                    <w:spacing w:after="156" w:line="240" w:lineRule="auto"/>
                    <w:ind w:firstLine="240" w:firstLineChars="100"/>
                    <w:rPr>
                      <w:rFonts w:hint="eastAsia" w:ascii="宋体" w:hAnsi="宋体" w:eastAsia="宋体" w:cs="宋体"/>
                      <w:sz w:val="24"/>
                      <w:szCs w:val="24"/>
                    </w:rPr>
                  </w:pPr>
                  <w:r>
                    <w:rPr>
                      <w:rFonts w:hint="eastAsia" w:ascii="宋体" w:hAnsi="宋体" w:eastAsia="宋体" w:cs="宋体"/>
                      <w:sz w:val="24"/>
                      <w:szCs w:val="24"/>
                    </w:rPr>
                    <w:t>2</w:t>
                  </w:r>
                </w:p>
              </w:tc>
              <w:tc>
                <w:tcPr>
                  <w:tcW w:w="906" w:type="pct"/>
                  <w:tcBorders>
                    <w:top w:val="single" w:color="auto" w:sz="4" w:space="0"/>
                    <w:left w:val="single" w:color="auto" w:sz="4" w:space="0"/>
                    <w:bottom w:val="single" w:color="auto" w:sz="4" w:space="0"/>
                    <w:right w:val="single" w:color="auto" w:sz="4" w:space="0"/>
                  </w:tcBorders>
                  <w:shd w:val="clear" w:color="auto" w:fill="FFFFFF"/>
                  <w:vAlign w:val="center"/>
                </w:tcPr>
                <w:p w14:paraId="091FEDF2">
                  <w:pPr>
                    <w:pStyle w:val="28"/>
                    <w:spacing w:after="156" w:line="240" w:lineRule="auto"/>
                    <w:ind w:firstLine="400"/>
                    <w:jc w:val="left"/>
                    <w:rPr>
                      <w:rFonts w:hint="eastAsia" w:ascii="宋体" w:hAnsi="宋体" w:eastAsia="宋体" w:cs="宋体"/>
                      <w:sz w:val="24"/>
                      <w:szCs w:val="24"/>
                    </w:rPr>
                  </w:pPr>
                  <w:r>
                    <w:rPr>
                      <w:rFonts w:hint="eastAsia" w:ascii="宋体" w:hAnsi="宋体" w:eastAsia="宋体" w:cs="宋体"/>
                      <w:sz w:val="24"/>
                      <w:szCs w:val="24"/>
                    </w:rPr>
                    <w:t>数据监控</w:t>
                  </w:r>
                </w:p>
              </w:tc>
              <w:tc>
                <w:tcPr>
                  <w:tcW w:w="3750" w:type="pct"/>
                  <w:tcBorders>
                    <w:top w:val="single" w:color="auto" w:sz="4" w:space="0"/>
                    <w:left w:val="single" w:color="auto" w:sz="4" w:space="0"/>
                    <w:bottom w:val="single" w:color="auto" w:sz="4" w:space="0"/>
                    <w:right w:val="single" w:color="auto" w:sz="4" w:space="0"/>
                  </w:tcBorders>
                  <w:shd w:val="clear" w:color="auto" w:fill="FFFFFF"/>
                </w:tcPr>
                <w:p w14:paraId="6DE08458">
                  <w:pPr>
                    <w:pStyle w:val="28"/>
                    <w:spacing w:after="156" w:line="240" w:lineRule="auto"/>
                    <w:ind w:firstLine="0" w:firstLineChars="0"/>
                    <w:jc w:val="left"/>
                    <w:rPr>
                      <w:rFonts w:hint="eastAsia" w:ascii="宋体" w:hAnsi="宋体" w:eastAsia="宋体" w:cs="宋体"/>
                      <w:sz w:val="24"/>
                      <w:szCs w:val="24"/>
                    </w:rPr>
                  </w:pPr>
                  <w:r>
                    <w:rPr>
                      <w:rFonts w:hint="eastAsia" w:ascii="宋体" w:hAnsi="宋体" w:eastAsia="宋体" w:cs="宋体"/>
                      <w:sz w:val="24"/>
                      <w:szCs w:val="24"/>
                    </w:rPr>
                    <w:t>（1）支持数据监控波动提醒功能，可以设定数据波动幅度或绝对数值来定制提醒规则。管理人员可自定义关键指标的数据监控提醒。如日订购数据、播放数据波动出50%上下波动范围时，需要进行提醒。</w:t>
                  </w:r>
                </w:p>
                <w:p w14:paraId="1548FCCF">
                  <w:pPr>
                    <w:pStyle w:val="28"/>
                    <w:spacing w:after="156" w:line="240" w:lineRule="auto"/>
                    <w:ind w:firstLine="0" w:firstLineChars="0"/>
                    <w:jc w:val="left"/>
                    <w:rPr>
                      <w:rFonts w:hint="eastAsia" w:ascii="宋体" w:hAnsi="宋体" w:eastAsia="宋体" w:cs="宋体"/>
                      <w:sz w:val="24"/>
                      <w:szCs w:val="24"/>
                    </w:rPr>
                  </w:pPr>
                  <w:r>
                    <w:rPr>
                      <w:rFonts w:hint="eastAsia" w:ascii="宋体" w:hAnsi="宋体" w:eastAsia="宋体" w:cs="宋体"/>
                      <w:sz w:val="24"/>
                      <w:szCs w:val="24"/>
                    </w:rPr>
                    <w:t>（2）提醒信息功能，支持以邮件方式、微信、短信等提醒相关人员。</w:t>
                  </w:r>
                </w:p>
              </w:tc>
            </w:tr>
          </w:tbl>
          <w:p w14:paraId="3C50E88F">
            <w:pPr>
              <w:spacing w:line="240" w:lineRule="auto"/>
              <w:rPr>
                <w:rFonts w:hint="eastAsia" w:ascii="宋体" w:hAnsi="宋体" w:eastAsia="宋体" w:cs="宋体"/>
                <w:sz w:val="24"/>
                <w:szCs w:val="24"/>
              </w:rPr>
            </w:pPr>
          </w:p>
        </w:tc>
        <w:tc>
          <w:tcPr>
            <w:tcW w:w="424" w:type="pct"/>
            <w:vAlign w:val="center"/>
          </w:tcPr>
          <w:p w14:paraId="78317D10">
            <w:pPr>
              <w:spacing w:line="200" w:lineRule="atLeast"/>
              <w:jc w:val="center"/>
              <w:rPr>
                <w:rFonts w:hint="eastAsia" w:ascii="宋体" w:hAnsi="宋体" w:eastAsia="宋体" w:cs="宋体"/>
                <w:sz w:val="24"/>
                <w:szCs w:val="24"/>
              </w:rPr>
            </w:pPr>
          </w:p>
        </w:tc>
        <w:tc>
          <w:tcPr>
            <w:tcW w:w="283" w:type="pct"/>
            <w:vAlign w:val="center"/>
          </w:tcPr>
          <w:p w14:paraId="36088569">
            <w:pPr>
              <w:spacing w:line="200" w:lineRule="atLeast"/>
              <w:jc w:val="center"/>
              <w:rPr>
                <w:rFonts w:hint="eastAsia" w:ascii="宋体" w:hAnsi="宋体" w:eastAsia="宋体" w:cs="宋体"/>
                <w:sz w:val="24"/>
                <w:szCs w:val="24"/>
              </w:rPr>
            </w:pPr>
          </w:p>
        </w:tc>
      </w:tr>
      <w:tr w14:paraId="56691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82" w:type="pct"/>
            <w:vAlign w:val="center"/>
          </w:tcPr>
          <w:p w14:paraId="4D2D7C3D">
            <w:pPr>
              <w:numPr>
                <w:ilvl w:val="0"/>
                <w:numId w:val="3"/>
              </w:numPr>
              <w:spacing w:line="200" w:lineRule="atLeast"/>
              <w:jc w:val="center"/>
              <w:rPr>
                <w:rFonts w:hint="eastAsia" w:ascii="宋体" w:hAnsi="宋体" w:eastAsia="宋体" w:cs="宋体"/>
                <w:sz w:val="24"/>
                <w:szCs w:val="24"/>
              </w:rPr>
            </w:pPr>
          </w:p>
        </w:tc>
        <w:tc>
          <w:tcPr>
            <w:tcW w:w="281" w:type="pct"/>
            <w:vMerge w:val="continue"/>
            <w:vAlign w:val="center"/>
          </w:tcPr>
          <w:p w14:paraId="5DF50E1F">
            <w:pPr>
              <w:jc w:val="left"/>
              <w:rPr>
                <w:rFonts w:hint="eastAsia" w:ascii="宋体" w:hAnsi="宋体" w:eastAsia="宋体" w:cs="宋体"/>
                <w:spacing w:val="0"/>
                <w:sz w:val="24"/>
                <w:szCs w:val="24"/>
                <w:lang w:val="en-US" w:eastAsia="zh-CN"/>
              </w:rPr>
            </w:pPr>
          </w:p>
        </w:tc>
        <w:tc>
          <w:tcPr>
            <w:tcW w:w="3828" w:type="pct"/>
            <w:vAlign w:val="center"/>
          </w:tcPr>
          <w:p w14:paraId="7D9B8A91">
            <w:pPr>
              <w:pStyle w:val="4"/>
              <w:numPr>
                <w:ilvl w:val="0"/>
                <w:numId w:val="5"/>
              </w:numPr>
              <w:tabs>
                <w:tab w:val="left" w:pos="576"/>
              </w:tabs>
              <w:spacing w:before="0" w:after="156" w:line="240" w:lineRule="auto"/>
              <w:rPr>
                <w:rFonts w:hint="eastAsia" w:ascii="宋体" w:hAnsi="宋体" w:eastAsia="宋体" w:cs="宋体"/>
                <w:b w:val="0"/>
                <w:sz w:val="24"/>
                <w:szCs w:val="24"/>
              </w:rPr>
            </w:pPr>
            <w:bookmarkStart w:id="10" w:name="_Toc233123076"/>
            <w:r>
              <w:rPr>
                <w:rFonts w:hint="eastAsia" w:ascii="宋体" w:hAnsi="宋体" w:eastAsia="宋体" w:cs="宋体"/>
                <w:b w:val="0"/>
                <w:sz w:val="24"/>
                <w:szCs w:val="24"/>
              </w:rPr>
              <w:t>技术指标需求</w:t>
            </w:r>
            <w:bookmarkEnd w:id="10"/>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
              <w:gridCol w:w="1536"/>
              <w:gridCol w:w="8182"/>
            </w:tblGrid>
            <w:tr w14:paraId="72BE9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423" w:type="pct"/>
                  <w:shd w:val="clear" w:color="auto" w:fill="auto"/>
                  <w:vAlign w:val="center"/>
                </w:tcPr>
                <w:p w14:paraId="695A34E7">
                  <w:pPr>
                    <w:widowControl/>
                    <w:spacing w:after="156" w:line="240" w:lineRule="auto"/>
                    <w:jc w:val="left"/>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序号</w:t>
                  </w:r>
                </w:p>
              </w:tc>
              <w:tc>
                <w:tcPr>
                  <w:tcW w:w="723" w:type="pct"/>
                  <w:shd w:val="clear" w:color="auto" w:fill="auto"/>
                  <w:vAlign w:val="center"/>
                </w:tcPr>
                <w:p w14:paraId="5C6CAF35">
                  <w:pPr>
                    <w:widowControl/>
                    <w:spacing w:after="156" w:line="240" w:lineRule="auto"/>
                    <w:jc w:val="left"/>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技术指标名称</w:t>
                  </w:r>
                </w:p>
              </w:tc>
              <w:tc>
                <w:tcPr>
                  <w:tcW w:w="3852" w:type="pct"/>
                  <w:shd w:val="clear" w:color="auto" w:fill="auto"/>
                  <w:noWrap/>
                  <w:vAlign w:val="center"/>
                </w:tcPr>
                <w:p w14:paraId="5C3FC7DF">
                  <w:pPr>
                    <w:widowControl/>
                    <w:spacing w:after="156" w:line="240" w:lineRule="auto"/>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技术指标要求</w:t>
                  </w:r>
                </w:p>
              </w:tc>
            </w:tr>
            <w:tr w14:paraId="011A8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23" w:type="pct"/>
                  <w:shd w:val="clear" w:color="auto" w:fill="auto"/>
                  <w:vAlign w:val="center"/>
                </w:tcPr>
                <w:p w14:paraId="5481A49B">
                  <w:pPr>
                    <w:widowControl/>
                    <w:spacing w:after="156"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pct"/>
                  <w:shd w:val="clear" w:color="auto" w:fill="auto"/>
                  <w:vAlign w:val="center"/>
                </w:tcPr>
                <w:p w14:paraId="710289EB">
                  <w:pPr>
                    <w:widowControl/>
                    <w:spacing w:after="156" w:line="240" w:lineRule="auto"/>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兼容性要求</w:t>
                  </w:r>
                </w:p>
              </w:tc>
              <w:tc>
                <w:tcPr>
                  <w:tcW w:w="3852" w:type="pct"/>
                  <w:shd w:val="clear" w:color="auto" w:fill="auto"/>
                  <w:vAlign w:val="center"/>
                </w:tcPr>
                <w:p w14:paraId="07F8F308">
                  <w:pPr>
                    <w:widowControl/>
                    <w:spacing w:after="156" w:line="240" w:lineRule="auto"/>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（1）系统开发平台： Linux平台；</w:t>
                  </w:r>
                </w:p>
                <w:p w14:paraId="17C3BFAA">
                  <w:pPr>
                    <w:widowControl/>
                    <w:spacing w:after="156" w:line="240" w:lineRule="auto"/>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（2）网管协议：支持标准的网管协议；</w:t>
                  </w:r>
                </w:p>
                <w:p w14:paraId="7D6FD25B">
                  <w:pPr>
                    <w:widowControl/>
                    <w:spacing w:after="156" w:line="240" w:lineRule="auto"/>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（3）系统接口协议：支持HTTP和HTTPS协议；</w:t>
                  </w:r>
                </w:p>
                <w:p w14:paraId="3A40E985">
                  <w:pPr>
                    <w:widowControl/>
                    <w:spacing w:after="156" w:line="240" w:lineRule="auto"/>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（4）本项目建设系统完全兼容现有的新媒股份融合云平台和大数据平台；</w:t>
                  </w:r>
                </w:p>
                <w:p w14:paraId="559544BC">
                  <w:pPr>
                    <w:widowControl/>
                    <w:spacing w:after="156" w:line="240" w:lineRule="auto"/>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（5）接口应基于现有系统的接口规范基础上开发；</w:t>
                  </w:r>
                </w:p>
                <w:p w14:paraId="707637F4">
                  <w:pPr>
                    <w:widowControl/>
                    <w:spacing w:after="156" w:line="240" w:lineRule="auto"/>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（6）实现与南方新媒体其它子系统的对接；</w:t>
                  </w:r>
                </w:p>
                <w:p w14:paraId="558BFB45">
                  <w:pPr>
                    <w:widowControl/>
                    <w:spacing w:after="156" w:line="240" w:lineRule="auto"/>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（7）系统架构与南方新媒体平台设计思想不冲突；</w:t>
                  </w:r>
                </w:p>
              </w:tc>
            </w:tr>
            <w:tr w14:paraId="62B9F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5" w:hRule="atLeast"/>
                <w:jc w:val="center"/>
              </w:trPr>
              <w:tc>
                <w:tcPr>
                  <w:tcW w:w="423" w:type="pct"/>
                  <w:shd w:val="clear" w:color="auto" w:fill="auto"/>
                  <w:vAlign w:val="center"/>
                </w:tcPr>
                <w:p w14:paraId="1C4667E3">
                  <w:pPr>
                    <w:widowControl/>
                    <w:spacing w:after="156"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pct"/>
                  <w:shd w:val="clear" w:color="auto" w:fill="auto"/>
                  <w:vAlign w:val="center"/>
                </w:tcPr>
                <w:p w14:paraId="66414ED2">
                  <w:pPr>
                    <w:widowControl/>
                    <w:spacing w:after="156" w:line="240" w:lineRule="auto"/>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非功能性要求</w:t>
                  </w:r>
                </w:p>
              </w:tc>
              <w:tc>
                <w:tcPr>
                  <w:tcW w:w="3852" w:type="pct"/>
                  <w:shd w:val="clear" w:color="auto" w:fill="auto"/>
                  <w:vAlign w:val="center"/>
                </w:tcPr>
                <w:p w14:paraId="5A93283E">
                  <w:pPr>
                    <w:widowControl/>
                    <w:spacing w:after="156" w:line="240" w:lineRule="auto"/>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（1）支持跨机房分布式部署；</w:t>
                  </w:r>
                </w:p>
                <w:p w14:paraId="77C06EC5">
                  <w:pPr>
                    <w:widowControl/>
                    <w:spacing w:after="156" w:line="240" w:lineRule="auto"/>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（2）必须提供1+1或N+1或N+M等的冗余方案，任意一台设备故障时，不能影响系统的正常播出；</w:t>
                  </w:r>
                </w:p>
                <w:p w14:paraId="35DF40FA">
                  <w:pPr>
                    <w:widowControl/>
                    <w:spacing w:after="156" w:line="240" w:lineRule="auto"/>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（3）系统全年可用性达到99.99%以上。</w:t>
                  </w:r>
                </w:p>
              </w:tc>
            </w:tr>
            <w:tr w14:paraId="39650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5" w:hRule="atLeast"/>
                <w:jc w:val="center"/>
              </w:trPr>
              <w:tc>
                <w:tcPr>
                  <w:tcW w:w="423" w:type="pct"/>
                  <w:shd w:val="clear" w:color="auto" w:fill="auto"/>
                  <w:vAlign w:val="center"/>
                </w:tcPr>
                <w:p w14:paraId="6EA9C0E7">
                  <w:pPr>
                    <w:widowControl/>
                    <w:spacing w:after="156"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723" w:type="pct"/>
                  <w:shd w:val="clear" w:color="auto" w:fill="auto"/>
                  <w:vAlign w:val="center"/>
                </w:tcPr>
                <w:p w14:paraId="23673FBF">
                  <w:pPr>
                    <w:widowControl/>
                    <w:spacing w:after="156" w:line="240" w:lineRule="auto"/>
                    <w:jc w:val="left"/>
                    <w:rPr>
                      <w:rFonts w:hint="eastAsia" w:ascii="宋体" w:hAnsi="宋体" w:eastAsia="宋体" w:cs="宋体"/>
                      <w:color w:val="000000"/>
                      <w:kern w:val="0"/>
                      <w:sz w:val="24"/>
                      <w:szCs w:val="24"/>
                    </w:rPr>
                  </w:pPr>
                  <w:r>
                    <w:rPr>
                      <w:rFonts w:hint="eastAsia" w:ascii="宋体" w:hAnsi="宋体" w:eastAsia="宋体" w:cs="宋体"/>
                      <w:sz w:val="24"/>
                      <w:szCs w:val="24"/>
                    </w:rPr>
                    <w:t>数据安全性</w:t>
                  </w:r>
                </w:p>
              </w:tc>
              <w:tc>
                <w:tcPr>
                  <w:tcW w:w="3852" w:type="pct"/>
                  <w:shd w:val="clear" w:color="auto" w:fill="auto"/>
                  <w:vAlign w:val="center"/>
                </w:tcPr>
                <w:p w14:paraId="27E622E5">
                  <w:pPr>
                    <w:pStyle w:val="28"/>
                    <w:spacing w:after="156" w:line="360" w:lineRule="auto"/>
                    <w:jc w:val="left"/>
                    <w:rPr>
                      <w:rFonts w:hint="eastAsia" w:ascii="宋体" w:hAnsi="宋体" w:eastAsia="宋体" w:cs="宋体"/>
                      <w:sz w:val="24"/>
                      <w:szCs w:val="24"/>
                    </w:rPr>
                  </w:pPr>
                  <w:r>
                    <w:rPr>
                      <w:rFonts w:hint="eastAsia" w:ascii="宋体" w:hAnsi="宋体" w:eastAsia="宋体" w:cs="宋体"/>
                      <w:sz w:val="24"/>
                      <w:szCs w:val="24"/>
                    </w:rPr>
                    <w:t>为了保证用户个人信息的安全性，在平台上不能直接显示用户的真实ID(如手机号、qq号、微信号等），要求：</w:t>
                  </w:r>
                </w:p>
                <w:p w14:paraId="0ABF7803">
                  <w:pPr>
                    <w:pStyle w:val="28"/>
                    <w:numPr>
                      <w:ilvl w:val="0"/>
                      <w:numId w:val="9"/>
                    </w:numPr>
                    <w:spacing w:after="156" w:line="360" w:lineRule="auto"/>
                    <w:ind w:firstLineChars="0"/>
                    <w:jc w:val="left"/>
                    <w:rPr>
                      <w:rFonts w:hint="eastAsia" w:ascii="宋体" w:hAnsi="宋体" w:eastAsia="宋体" w:cs="宋体"/>
                      <w:sz w:val="24"/>
                      <w:szCs w:val="24"/>
                    </w:rPr>
                  </w:pPr>
                  <w:r>
                    <w:rPr>
                      <w:rFonts w:hint="eastAsia" w:ascii="宋体" w:hAnsi="宋体" w:eastAsia="宋体" w:cs="宋体"/>
                      <w:sz w:val="24"/>
                      <w:szCs w:val="24"/>
                    </w:rPr>
                    <w:t>脱敏数据：针对敏感数据，需要进行数据的转换、隐藏，特别是用户真实的账号信息</w:t>
                  </w:r>
                </w:p>
                <w:p w14:paraId="029EB2B7">
                  <w:pPr>
                    <w:pStyle w:val="28"/>
                    <w:numPr>
                      <w:ilvl w:val="0"/>
                      <w:numId w:val="9"/>
                    </w:numPr>
                    <w:spacing w:after="156" w:line="360" w:lineRule="auto"/>
                    <w:ind w:firstLineChars="0"/>
                    <w:jc w:val="left"/>
                    <w:rPr>
                      <w:rFonts w:hint="eastAsia" w:ascii="宋体" w:hAnsi="宋体" w:eastAsia="宋体" w:cs="宋体"/>
                      <w:sz w:val="24"/>
                      <w:szCs w:val="24"/>
                    </w:rPr>
                  </w:pPr>
                  <w:r>
                    <w:rPr>
                      <w:rFonts w:hint="eastAsia" w:ascii="宋体" w:hAnsi="宋体" w:eastAsia="宋体" w:cs="宋体"/>
                      <w:sz w:val="24"/>
                      <w:szCs w:val="24"/>
                    </w:rPr>
                    <w:t>账号权限的分级管理：通过账号权限的分级，实现敏感数据只能是有权限的账号才能看到，无权限的账号只能看到脱敏的转换后的数据。</w:t>
                  </w:r>
                </w:p>
                <w:p w14:paraId="2166DE5F">
                  <w:pPr>
                    <w:pStyle w:val="28"/>
                    <w:numPr>
                      <w:ilvl w:val="0"/>
                      <w:numId w:val="9"/>
                    </w:numPr>
                    <w:spacing w:after="156" w:line="360" w:lineRule="auto"/>
                    <w:ind w:firstLineChars="0"/>
                    <w:jc w:val="left"/>
                    <w:rPr>
                      <w:rFonts w:hint="eastAsia" w:ascii="宋体" w:hAnsi="宋体" w:eastAsia="宋体" w:cs="宋体"/>
                      <w:color w:val="000000"/>
                      <w:sz w:val="24"/>
                      <w:szCs w:val="24"/>
                    </w:rPr>
                  </w:pPr>
                  <w:r>
                    <w:rPr>
                      <w:rFonts w:hint="eastAsia" w:ascii="宋体" w:hAnsi="宋体" w:eastAsia="宋体" w:cs="宋体"/>
                      <w:sz w:val="24"/>
                      <w:szCs w:val="24"/>
                    </w:rPr>
                    <w:t>具体哪些数据脱敏，可根据业务需要进行自定义。</w:t>
                  </w:r>
                </w:p>
              </w:tc>
            </w:tr>
            <w:tr w14:paraId="50E29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5" w:hRule="atLeast"/>
                <w:jc w:val="center"/>
              </w:trPr>
              <w:tc>
                <w:tcPr>
                  <w:tcW w:w="423" w:type="pct"/>
                  <w:shd w:val="clear" w:color="auto" w:fill="auto"/>
                  <w:vAlign w:val="center"/>
                </w:tcPr>
                <w:p w14:paraId="444BCE71">
                  <w:pPr>
                    <w:widowControl/>
                    <w:spacing w:after="156" w:line="240" w:lineRule="auto"/>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723" w:type="pct"/>
                  <w:shd w:val="clear" w:color="auto" w:fill="auto"/>
                  <w:vAlign w:val="center"/>
                </w:tcPr>
                <w:p w14:paraId="36FB3BD7">
                  <w:pPr>
                    <w:widowControl/>
                    <w:spacing w:after="156" w:line="240" w:lineRule="auto"/>
                    <w:jc w:val="left"/>
                    <w:rPr>
                      <w:rFonts w:hint="eastAsia" w:ascii="宋体" w:hAnsi="宋体" w:eastAsia="宋体" w:cs="宋体"/>
                      <w:sz w:val="24"/>
                      <w:szCs w:val="24"/>
                    </w:rPr>
                  </w:pPr>
                  <w:r>
                    <w:rPr>
                      <w:rFonts w:hint="eastAsia" w:ascii="宋体" w:hAnsi="宋体" w:eastAsia="宋体" w:cs="宋体"/>
                      <w:sz w:val="24"/>
                      <w:szCs w:val="24"/>
                    </w:rPr>
                    <w:t>系统易用性</w:t>
                  </w:r>
                </w:p>
              </w:tc>
              <w:tc>
                <w:tcPr>
                  <w:tcW w:w="3852" w:type="pct"/>
                  <w:shd w:val="clear" w:color="auto" w:fill="auto"/>
                  <w:vAlign w:val="center"/>
                </w:tcPr>
                <w:p w14:paraId="1F3D71CB">
                  <w:pPr>
                    <w:spacing w:after="156"/>
                    <w:rPr>
                      <w:rFonts w:hint="eastAsia" w:ascii="宋体" w:hAnsi="宋体" w:eastAsia="宋体" w:cs="宋体"/>
                      <w:sz w:val="24"/>
                      <w:szCs w:val="24"/>
                    </w:rPr>
                  </w:pPr>
                  <w:r>
                    <w:rPr>
                      <w:rFonts w:hint="eastAsia" w:ascii="宋体" w:hAnsi="宋体" w:eastAsia="宋体" w:cs="宋体"/>
                      <w:sz w:val="24"/>
                      <w:szCs w:val="24"/>
                    </w:rPr>
                    <w:t>（1）系统需满足易用性的要求，系统的响应速度要在5s内完成，搜索查询等功能操作时，需在5s内能显示结果数据。</w:t>
                  </w:r>
                </w:p>
                <w:p w14:paraId="25C2FCD2">
                  <w:pPr>
                    <w:spacing w:after="156"/>
                    <w:rPr>
                      <w:rFonts w:hint="eastAsia" w:ascii="宋体" w:hAnsi="宋体" w:eastAsia="宋体" w:cs="宋体"/>
                      <w:sz w:val="24"/>
                      <w:szCs w:val="24"/>
                    </w:rPr>
                  </w:pPr>
                  <w:r>
                    <w:rPr>
                      <w:rFonts w:hint="eastAsia" w:ascii="宋体" w:hAnsi="宋体" w:eastAsia="宋体" w:cs="宋体"/>
                      <w:sz w:val="24"/>
                      <w:szCs w:val="24"/>
                    </w:rPr>
                    <w:t>（2）在创建标签、定义用户分组、选择相关事件的条件时，界面上操作简单、易用。</w:t>
                  </w:r>
                </w:p>
              </w:tc>
            </w:tr>
          </w:tbl>
          <w:p w14:paraId="4C37DE79">
            <w:pPr>
              <w:spacing w:line="240" w:lineRule="auto"/>
              <w:rPr>
                <w:rFonts w:hint="eastAsia" w:ascii="宋体" w:hAnsi="宋体" w:eastAsia="宋体" w:cs="宋体"/>
                <w:sz w:val="24"/>
                <w:szCs w:val="24"/>
              </w:rPr>
            </w:pPr>
          </w:p>
        </w:tc>
        <w:tc>
          <w:tcPr>
            <w:tcW w:w="424" w:type="pct"/>
            <w:vAlign w:val="center"/>
          </w:tcPr>
          <w:p w14:paraId="618CC71F">
            <w:pPr>
              <w:spacing w:line="200" w:lineRule="atLeast"/>
              <w:jc w:val="center"/>
              <w:rPr>
                <w:rFonts w:hint="eastAsia" w:ascii="宋体" w:hAnsi="宋体" w:eastAsia="宋体" w:cs="宋体"/>
                <w:sz w:val="24"/>
                <w:szCs w:val="24"/>
              </w:rPr>
            </w:pPr>
          </w:p>
        </w:tc>
        <w:tc>
          <w:tcPr>
            <w:tcW w:w="283" w:type="pct"/>
            <w:vAlign w:val="center"/>
          </w:tcPr>
          <w:p w14:paraId="7AA01AD2">
            <w:pPr>
              <w:spacing w:line="200" w:lineRule="atLeast"/>
              <w:jc w:val="center"/>
              <w:rPr>
                <w:rFonts w:hint="eastAsia" w:ascii="宋体" w:hAnsi="宋体" w:eastAsia="宋体" w:cs="宋体"/>
                <w:sz w:val="24"/>
                <w:szCs w:val="24"/>
              </w:rPr>
            </w:pPr>
          </w:p>
        </w:tc>
      </w:tr>
      <w:tr w14:paraId="76409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82" w:type="pct"/>
            <w:vAlign w:val="center"/>
          </w:tcPr>
          <w:p w14:paraId="4DA6CE4E">
            <w:pPr>
              <w:numPr>
                <w:ilvl w:val="0"/>
                <w:numId w:val="3"/>
              </w:numPr>
              <w:spacing w:line="200" w:lineRule="atLeast"/>
              <w:jc w:val="center"/>
              <w:rPr>
                <w:rFonts w:hint="eastAsia" w:ascii="宋体" w:hAnsi="宋体" w:eastAsia="宋体" w:cs="宋体"/>
                <w:sz w:val="24"/>
                <w:szCs w:val="24"/>
              </w:rPr>
            </w:pPr>
          </w:p>
        </w:tc>
        <w:tc>
          <w:tcPr>
            <w:tcW w:w="281" w:type="pct"/>
            <w:vMerge w:val="continue"/>
            <w:vAlign w:val="center"/>
          </w:tcPr>
          <w:p w14:paraId="11482F55">
            <w:pPr>
              <w:jc w:val="left"/>
              <w:rPr>
                <w:rFonts w:hint="eastAsia" w:ascii="宋体" w:hAnsi="宋体" w:eastAsia="宋体" w:cs="宋体"/>
                <w:spacing w:val="0"/>
                <w:sz w:val="24"/>
                <w:szCs w:val="24"/>
                <w:lang w:val="en-US" w:eastAsia="zh-CN"/>
              </w:rPr>
            </w:pPr>
          </w:p>
        </w:tc>
        <w:tc>
          <w:tcPr>
            <w:tcW w:w="3828" w:type="pct"/>
            <w:vAlign w:val="center"/>
          </w:tcPr>
          <w:p w14:paraId="536B6C43">
            <w:pPr>
              <w:pStyle w:val="4"/>
              <w:numPr>
                <w:ilvl w:val="0"/>
                <w:numId w:val="5"/>
              </w:numPr>
              <w:tabs>
                <w:tab w:val="left" w:pos="576"/>
              </w:tabs>
              <w:spacing w:before="0" w:after="156" w:line="240" w:lineRule="auto"/>
              <w:rPr>
                <w:rFonts w:hint="eastAsia" w:ascii="宋体" w:hAnsi="宋体" w:eastAsia="宋体" w:cs="宋体"/>
                <w:b w:val="0"/>
                <w:sz w:val="24"/>
                <w:szCs w:val="24"/>
              </w:rPr>
            </w:pPr>
            <w:bookmarkStart w:id="11" w:name="_Toc233123077"/>
            <w:r>
              <w:rPr>
                <w:rFonts w:hint="eastAsia" w:ascii="宋体" w:hAnsi="宋体" w:eastAsia="宋体" w:cs="宋体"/>
                <w:b w:val="0"/>
                <w:sz w:val="24"/>
                <w:szCs w:val="24"/>
                <w:lang w:val="en-US" w:eastAsia="zh-CN"/>
              </w:rPr>
              <w:t>其</w:t>
            </w:r>
            <w:r>
              <w:rPr>
                <w:rFonts w:hint="eastAsia" w:ascii="宋体" w:hAnsi="宋体" w:eastAsia="宋体" w:cs="宋体"/>
                <w:b w:val="0"/>
                <w:sz w:val="24"/>
                <w:szCs w:val="24"/>
              </w:rPr>
              <w:t>他需求</w:t>
            </w:r>
            <w:bookmarkEnd w:id="11"/>
          </w:p>
          <w:p w14:paraId="7F18A14A">
            <w:pPr>
              <w:pStyle w:val="3"/>
              <w:spacing w:after="156" w:line="240" w:lineRule="auto"/>
              <w:ind w:firstLineChars="0"/>
              <w:rPr>
                <w:rFonts w:hint="eastAsia" w:ascii="宋体" w:hAnsi="宋体" w:eastAsia="宋体" w:cs="宋体"/>
                <w:sz w:val="24"/>
                <w:szCs w:val="24"/>
              </w:rPr>
            </w:pPr>
            <w:r>
              <w:rPr>
                <w:rFonts w:hint="eastAsia" w:ascii="宋体" w:hAnsi="宋体" w:eastAsia="宋体" w:cs="宋体"/>
                <w:sz w:val="24"/>
                <w:szCs w:val="24"/>
              </w:rPr>
              <w:t>本项目要求提供项目终验后一年的维保服务。</w:t>
            </w:r>
          </w:p>
          <w:p w14:paraId="6DF59A65">
            <w:pPr>
              <w:pStyle w:val="3"/>
              <w:spacing w:after="156" w:line="240" w:lineRule="auto"/>
              <w:ind w:firstLineChars="0"/>
              <w:rPr>
                <w:rFonts w:hint="eastAsia" w:ascii="宋体" w:hAnsi="宋体" w:eastAsia="宋体" w:cs="宋体"/>
                <w:sz w:val="24"/>
                <w:szCs w:val="24"/>
              </w:rPr>
            </w:pPr>
            <w:r>
              <w:rPr>
                <w:rFonts w:hint="eastAsia" w:ascii="宋体" w:hAnsi="宋体" w:eastAsia="宋体" w:cs="宋体"/>
                <w:sz w:val="24"/>
                <w:szCs w:val="24"/>
              </w:rPr>
              <w:t>本项目开发成果（包含软件著作权、专利权、源代码、技术秘密和技术信息等）归属于</w:t>
            </w:r>
            <w:r>
              <w:rPr>
                <w:rFonts w:hint="eastAsia" w:ascii="宋体" w:hAnsi="宋体" w:eastAsia="宋体" w:cs="宋体"/>
                <w:sz w:val="24"/>
                <w:szCs w:val="24"/>
                <w:lang w:val="en-US" w:eastAsia="zh-CN"/>
              </w:rPr>
              <w:t>招标人</w:t>
            </w:r>
            <w:r>
              <w:rPr>
                <w:rFonts w:hint="eastAsia" w:ascii="宋体" w:hAnsi="宋体" w:eastAsia="宋体" w:cs="宋体"/>
                <w:sz w:val="24"/>
                <w:szCs w:val="24"/>
              </w:rPr>
              <w:t>。</w:t>
            </w:r>
          </w:p>
        </w:tc>
        <w:tc>
          <w:tcPr>
            <w:tcW w:w="424" w:type="pct"/>
            <w:vAlign w:val="center"/>
          </w:tcPr>
          <w:p w14:paraId="5AA20AA4">
            <w:pPr>
              <w:spacing w:line="240" w:lineRule="auto"/>
              <w:jc w:val="center"/>
              <w:rPr>
                <w:rFonts w:hint="eastAsia" w:ascii="宋体" w:hAnsi="宋体" w:eastAsia="宋体" w:cs="宋体"/>
                <w:sz w:val="24"/>
                <w:szCs w:val="24"/>
              </w:rPr>
            </w:pPr>
          </w:p>
        </w:tc>
        <w:tc>
          <w:tcPr>
            <w:tcW w:w="283" w:type="pct"/>
            <w:vAlign w:val="center"/>
          </w:tcPr>
          <w:p w14:paraId="06975733">
            <w:pPr>
              <w:spacing w:line="200" w:lineRule="atLeast"/>
              <w:jc w:val="center"/>
              <w:rPr>
                <w:rFonts w:hint="eastAsia" w:ascii="宋体" w:hAnsi="宋体" w:eastAsia="宋体" w:cs="宋体"/>
                <w:sz w:val="24"/>
                <w:szCs w:val="24"/>
              </w:rPr>
            </w:pPr>
          </w:p>
        </w:tc>
      </w:tr>
      <w:tr w14:paraId="40CB3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82" w:type="pct"/>
            <w:vAlign w:val="center"/>
          </w:tcPr>
          <w:p w14:paraId="7EE6434D">
            <w:pPr>
              <w:numPr>
                <w:ilvl w:val="0"/>
                <w:numId w:val="3"/>
              </w:numPr>
              <w:spacing w:line="200" w:lineRule="atLeast"/>
              <w:jc w:val="center"/>
              <w:rPr>
                <w:rFonts w:hint="eastAsia" w:ascii="宋体" w:hAnsi="宋体" w:eastAsia="宋体" w:cs="宋体"/>
                <w:sz w:val="24"/>
                <w:szCs w:val="24"/>
              </w:rPr>
            </w:pPr>
          </w:p>
        </w:tc>
        <w:tc>
          <w:tcPr>
            <w:tcW w:w="281" w:type="pct"/>
            <w:vAlign w:val="center"/>
          </w:tcPr>
          <w:p w14:paraId="7857E8D0">
            <w:pPr>
              <w:jc w:val="left"/>
              <w:rPr>
                <w:rFonts w:hint="eastAsia" w:ascii="宋体" w:hAnsi="宋体" w:eastAsia="宋体" w:cs="宋体"/>
                <w:spacing w:val="0"/>
                <w:sz w:val="24"/>
                <w:szCs w:val="24"/>
                <w:lang w:val="en-US" w:eastAsia="zh-CN"/>
              </w:rPr>
            </w:pPr>
            <w:bookmarkStart w:id="12" w:name="_Toc227921681"/>
            <w:r>
              <w:rPr>
                <w:rFonts w:hint="eastAsia" w:ascii="宋体" w:hAnsi="宋体" w:eastAsia="宋体" w:cs="宋体"/>
                <w:spacing w:val="0"/>
                <w:sz w:val="24"/>
                <w:szCs w:val="24"/>
                <w:lang w:val="en-US" w:eastAsia="zh-CN"/>
              </w:rPr>
              <w:t>四、</w:t>
            </w:r>
            <w:bookmarkEnd w:id="12"/>
            <w:r>
              <w:rPr>
                <w:rFonts w:hint="eastAsia" w:ascii="宋体" w:hAnsi="宋体" w:eastAsia="宋体" w:cs="宋体"/>
                <w:spacing w:val="0"/>
                <w:sz w:val="24"/>
                <w:szCs w:val="24"/>
                <w:lang w:val="en-US" w:eastAsia="zh-CN"/>
              </w:rPr>
              <w:t>建设方案</w:t>
            </w:r>
          </w:p>
        </w:tc>
        <w:tc>
          <w:tcPr>
            <w:tcW w:w="3828" w:type="pct"/>
            <w:vAlign w:val="center"/>
          </w:tcPr>
          <w:p w14:paraId="43D05103">
            <w:pPr>
              <w:keepNext w:val="0"/>
              <w:keepLines w:val="0"/>
              <w:pageBreakBefore w:val="0"/>
              <w:widowControl w:val="0"/>
              <w:numPr>
                <w:ilvl w:val="0"/>
                <w:numId w:val="0"/>
              </w:numPr>
              <w:kinsoku/>
              <w:wordWrap/>
              <w:overflowPunct/>
              <w:topLinePunct w:val="0"/>
              <w:autoSpaceDE/>
              <w:autoSpaceDN/>
              <w:bidi w:val="0"/>
              <w:adjustRightInd/>
              <w:snapToGrid/>
              <w:spacing w:after="156" w:line="24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因为2026年OTT大数据分析管理系统定制开发服务项目建设定制化需求多、需求响应要求高、需求调整频繁，且均为用户端平台安全播出重要环节，因此拟通过采购以驻场开发的定制化产品方式完成本项目建设。</w:t>
            </w:r>
          </w:p>
        </w:tc>
        <w:tc>
          <w:tcPr>
            <w:tcW w:w="424" w:type="pct"/>
            <w:vAlign w:val="center"/>
          </w:tcPr>
          <w:p w14:paraId="68E71089">
            <w:pPr>
              <w:spacing w:line="240" w:lineRule="auto"/>
              <w:jc w:val="center"/>
              <w:rPr>
                <w:rFonts w:hint="eastAsia" w:ascii="宋体" w:hAnsi="宋体" w:eastAsia="宋体" w:cs="宋体"/>
                <w:sz w:val="24"/>
                <w:szCs w:val="24"/>
              </w:rPr>
            </w:pPr>
          </w:p>
        </w:tc>
        <w:tc>
          <w:tcPr>
            <w:tcW w:w="283" w:type="pct"/>
            <w:vAlign w:val="center"/>
          </w:tcPr>
          <w:p w14:paraId="5EAFCFCE">
            <w:pPr>
              <w:spacing w:line="200" w:lineRule="atLeast"/>
              <w:jc w:val="center"/>
              <w:rPr>
                <w:rFonts w:hint="eastAsia" w:ascii="宋体" w:hAnsi="宋体" w:eastAsia="宋体" w:cs="宋体"/>
                <w:sz w:val="24"/>
                <w:szCs w:val="24"/>
              </w:rPr>
            </w:pPr>
          </w:p>
        </w:tc>
      </w:tr>
      <w:tr w14:paraId="66094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82" w:type="pct"/>
            <w:vAlign w:val="center"/>
          </w:tcPr>
          <w:p w14:paraId="4FF1CF7C">
            <w:pPr>
              <w:numPr>
                <w:ilvl w:val="0"/>
                <w:numId w:val="3"/>
              </w:numPr>
              <w:spacing w:line="200" w:lineRule="atLeast"/>
              <w:jc w:val="center"/>
              <w:rPr>
                <w:rFonts w:hint="eastAsia" w:ascii="宋体" w:hAnsi="宋体" w:eastAsia="宋体" w:cs="宋体"/>
                <w:sz w:val="24"/>
                <w:szCs w:val="24"/>
              </w:rPr>
            </w:pPr>
          </w:p>
        </w:tc>
        <w:tc>
          <w:tcPr>
            <w:tcW w:w="281" w:type="pct"/>
            <w:vMerge w:val="restart"/>
            <w:vAlign w:val="center"/>
          </w:tcPr>
          <w:p w14:paraId="0A7424F5">
            <w:pPr>
              <w:jc w:val="left"/>
              <w:rPr>
                <w:rFonts w:hint="eastAsia" w:ascii="宋体" w:hAnsi="宋体" w:eastAsia="宋体" w:cs="宋体"/>
                <w:spacing w:val="0"/>
                <w:sz w:val="24"/>
                <w:szCs w:val="24"/>
                <w:lang w:val="en-US" w:eastAsia="zh-CN"/>
              </w:rPr>
            </w:pPr>
            <w:r>
              <w:rPr>
                <w:rFonts w:hint="eastAsia" w:ascii="宋体" w:hAnsi="宋体" w:eastAsia="宋体" w:cs="宋体"/>
                <w:spacing w:val="0"/>
                <w:sz w:val="24"/>
                <w:szCs w:val="24"/>
                <w:lang w:val="en-US" w:eastAsia="zh-CN"/>
              </w:rPr>
              <w:t>五、项目预算及采购内容</w:t>
            </w:r>
          </w:p>
        </w:tc>
        <w:tc>
          <w:tcPr>
            <w:tcW w:w="3828" w:type="pct"/>
            <w:vAlign w:val="center"/>
          </w:tcPr>
          <w:p w14:paraId="5D8E9F25">
            <w:pPr>
              <w:keepNext w:val="0"/>
              <w:keepLines w:val="0"/>
              <w:pageBreakBefore w:val="0"/>
              <w:widowControl w:val="0"/>
              <w:numPr>
                <w:ilvl w:val="0"/>
                <w:numId w:val="0"/>
              </w:numPr>
              <w:kinsoku/>
              <w:wordWrap/>
              <w:overflowPunct/>
              <w:topLinePunct w:val="0"/>
              <w:autoSpaceDE/>
              <w:autoSpaceDN/>
              <w:bidi w:val="0"/>
              <w:adjustRightInd/>
              <w:snapToGrid/>
              <w:spacing w:after="156" w:line="24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1、采购内容</w:t>
            </w:r>
          </w:p>
          <w:p w14:paraId="6653678E">
            <w:pPr>
              <w:keepNext w:val="0"/>
              <w:keepLines w:val="0"/>
              <w:pageBreakBefore w:val="0"/>
              <w:widowControl w:val="0"/>
              <w:numPr>
                <w:ilvl w:val="0"/>
                <w:numId w:val="0"/>
              </w:numPr>
              <w:kinsoku/>
              <w:wordWrap/>
              <w:overflowPunct/>
              <w:topLinePunct w:val="0"/>
              <w:autoSpaceDE/>
              <w:autoSpaceDN/>
              <w:bidi w:val="0"/>
              <w:adjustRightInd/>
              <w:snapToGrid/>
              <w:spacing w:after="156" w:line="24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本期项目拟采购2026年OTT大数据分析管理系统的定制开发服务，包括高级研发工程师1人年（折合12人月）、中级研发工程师2人年（折合24人月）的驻场开发服务，开发服务周期为1年，自合同签订且成交供应商开发工程师到位经</w:t>
            </w:r>
            <w:r>
              <w:rPr>
                <w:rFonts w:hint="eastAsia" w:ascii="宋体" w:hAnsi="宋体" w:eastAsia="宋体" w:cs="宋体"/>
                <w:sz w:val="24"/>
                <w:szCs w:val="24"/>
                <w:lang w:val="en-US" w:eastAsia="zh-CN"/>
              </w:rPr>
              <w:t>招标人</w:t>
            </w:r>
            <w:bookmarkStart w:id="13" w:name="_GoBack"/>
            <w:bookmarkEnd w:id="13"/>
            <w:r>
              <w:rPr>
                <w:rFonts w:hint="eastAsia" w:ascii="宋体" w:hAnsi="宋体" w:eastAsia="宋体" w:cs="宋体"/>
                <w:sz w:val="24"/>
                <w:szCs w:val="24"/>
              </w:rPr>
              <w:t>及监理检验后发出书面通知书次日起算。</w:t>
            </w:r>
          </w:p>
        </w:tc>
        <w:tc>
          <w:tcPr>
            <w:tcW w:w="424" w:type="pct"/>
            <w:vAlign w:val="center"/>
          </w:tcPr>
          <w:p w14:paraId="2D090D11">
            <w:pPr>
              <w:spacing w:line="240" w:lineRule="auto"/>
              <w:jc w:val="center"/>
              <w:rPr>
                <w:rFonts w:hint="eastAsia" w:ascii="宋体" w:hAnsi="宋体" w:eastAsia="宋体" w:cs="宋体"/>
                <w:sz w:val="24"/>
                <w:szCs w:val="24"/>
              </w:rPr>
            </w:pPr>
          </w:p>
        </w:tc>
        <w:tc>
          <w:tcPr>
            <w:tcW w:w="283" w:type="pct"/>
            <w:vAlign w:val="center"/>
          </w:tcPr>
          <w:p w14:paraId="3B588BC0">
            <w:pPr>
              <w:spacing w:line="200" w:lineRule="atLeast"/>
              <w:jc w:val="center"/>
              <w:rPr>
                <w:rFonts w:hint="eastAsia" w:ascii="宋体" w:hAnsi="宋体" w:eastAsia="宋体" w:cs="宋体"/>
                <w:sz w:val="24"/>
                <w:szCs w:val="24"/>
              </w:rPr>
            </w:pPr>
          </w:p>
        </w:tc>
      </w:tr>
      <w:tr w14:paraId="11BD2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82" w:type="pct"/>
            <w:vAlign w:val="center"/>
          </w:tcPr>
          <w:p w14:paraId="60FF4299">
            <w:pPr>
              <w:numPr>
                <w:ilvl w:val="0"/>
                <w:numId w:val="3"/>
              </w:numPr>
              <w:spacing w:line="200" w:lineRule="atLeast"/>
              <w:jc w:val="center"/>
              <w:rPr>
                <w:rFonts w:hint="eastAsia" w:ascii="宋体" w:hAnsi="宋体" w:eastAsia="宋体" w:cs="宋体"/>
                <w:sz w:val="24"/>
                <w:szCs w:val="24"/>
              </w:rPr>
            </w:pPr>
          </w:p>
        </w:tc>
        <w:tc>
          <w:tcPr>
            <w:tcW w:w="281" w:type="pct"/>
            <w:vMerge w:val="continue"/>
            <w:tcBorders/>
            <w:vAlign w:val="center"/>
          </w:tcPr>
          <w:p w14:paraId="72850EA6">
            <w:pPr>
              <w:jc w:val="left"/>
              <w:rPr>
                <w:rFonts w:hint="eastAsia" w:ascii="宋体" w:hAnsi="宋体" w:eastAsia="宋体" w:cs="宋体"/>
                <w:spacing w:val="0"/>
                <w:sz w:val="24"/>
                <w:szCs w:val="24"/>
                <w:lang w:val="en-US" w:eastAsia="zh-CN"/>
              </w:rPr>
            </w:pPr>
          </w:p>
        </w:tc>
        <w:tc>
          <w:tcPr>
            <w:tcW w:w="3828" w:type="pct"/>
            <w:vAlign w:val="center"/>
          </w:tcPr>
          <w:p w14:paraId="56C4986B">
            <w:pPr>
              <w:spacing w:after="156"/>
              <w:outlineLvl w:val="1"/>
              <w:rPr>
                <w:rFonts w:hint="eastAsia" w:ascii="宋体" w:hAnsi="宋体" w:eastAsia="宋体" w:cs="宋体"/>
                <w:sz w:val="24"/>
                <w:szCs w:val="24"/>
              </w:rPr>
            </w:pPr>
            <w:r>
              <w:rPr>
                <w:rFonts w:hint="eastAsia" w:ascii="宋体" w:hAnsi="宋体" w:eastAsia="宋体" w:cs="宋体"/>
                <w:sz w:val="24"/>
                <w:szCs w:val="24"/>
              </w:rPr>
              <w:t>2、驻场人员报价</w:t>
            </w:r>
          </w:p>
          <w:tbl>
            <w:tblPr>
              <w:tblStyle w:val="15"/>
              <w:tblW w:w="9438" w:type="dxa"/>
              <w:jc w:val="center"/>
              <w:tblLayout w:type="fixed"/>
              <w:tblCellMar>
                <w:top w:w="0" w:type="dxa"/>
                <w:left w:w="108" w:type="dxa"/>
                <w:bottom w:w="0" w:type="dxa"/>
                <w:right w:w="108" w:type="dxa"/>
              </w:tblCellMar>
            </w:tblPr>
            <w:tblGrid>
              <w:gridCol w:w="638"/>
              <w:gridCol w:w="2504"/>
              <w:gridCol w:w="1535"/>
              <w:gridCol w:w="1704"/>
              <w:gridCol w:w="1481"/>
              <w:gridCol w:w="1576"/>
            </w:tblGrid>
            <w:tr w14:paraId="69C581AF">
              <w:tblPrEx>
                <w:tblCellMar>
                  <w:top w:w="0" w:type="dxa"/>
                  <w:left w:w="108" w:type="dxa"/>
                  <w:bottom w:w="0" w:type="dxa"/>
                  <w:right w:w="108" w:type="dxa"/>
                </w:tblCellMar>
              </w:tblPrEx>
              <w:trPr>
                <w:trHeight w:val="570" w:hRule="atLeast"/>
                <w:jc w:val="center"/>
              </w:trPr>
              <w:tc>
                <w:tcPr>
                  <w:tcW w:w="638" w:type="dxa"/>
                  <w:tcBorders>
                    <w:top w:val="single" w:color="auto" w:sz="4" w:space="0"/>
                    <w:left w:val="single" w:color="auto" w:sz="4" w:space="0"/>
                    <w:bottom w:val="single" w:color="auto" w:sz="4" w:space="0"/>
                    <w:right w:val="single" w:color="auto" w:sz="4" w:space="0"/>
                  </w:tcBorders>
                  <w:noWrap/>
                  <w:vAlign w:val="center"/>
                </w:tcPr>
                <w:p w14:paraId="3D95FE40">
                  <w:pPr>
                    <w:widowControl/>
                    <w:spacing w:after="156"/>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序号</w:t>
                  </w:r>
                </w:p>
              </w:tc>
              <w:tc>
                <w:tcPr>
                  <w:tcW w:w="2504" w:type="dxa"/>
                  <w:tcBorders>
                    <w:top w:val="single" w:color="auto" w:sz="4" w:space="0"/>
                    <w:left w:val="nil"/>
                    <w:bottom w:val="single" w:color="auto" w:sz="4" w:space="0"/>
                    <w:right w:val="single" w:color="auto" w:sz="4" w:space="0"/>
                  </w:tcBorders>
                  <w:noWrap/>
                  <w:vAlign w:val="center"/>
                </w:tcPr>
                <w:p w14:paraId="0F9EA88C">
                  <w:pPr>
                    <w:widowControl/>
                    <w:spacing w:after="156"/>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研发岗位</w:t>
                  </w:r>
                </w:p>
              </w:tc>
              <w:tc>
                <w:tcPr>
                  <w:tcW w:w="1535" w:type="dxa"/>
                  <w:tcBorders>
                    <w:top w:val="single" w:color="auto" w:sz="4" w:space="0"/>
                    <w:left w:val="nil"/>
                    <w:bottom w:val="single" w:color="auto" w:sz="4" w:space="0"/>
                    <w:right w:val="single" w:color="auto" w:sz="4" w:space="0"/>
                  </w:tcBorders>
                  <w:vAlign w:val="center"/>
                </w:tcPr>
                <w:p w14:paraId="362F5890">
                  <w:pPr>
                    <w:widowControl/>
                    <w:spacing w:after="156"/>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人员工作量</w:t>
                  </w:r>
                  <w:r>
                    <w:rPr>
                      <w:rFonts w:hint="eastAsia" w:ascii="宋体" w:hAnsi="宋体" w:eastAsia="宋体" w:cs="宋体"/>
                      <w:b/>
                      <w:bCs/>
                      <w:color w:val="000000"/>
                      <w:kern w:val="0"/>
                      <w:sz w:val="24"/>
                      <w:szCs w:val="24"/>
                    </w:rPr>
                    <w:br w:type="textWrapping"/>
                  </w:r>
                  <w:r>
                    <w:rPr>
                      <w:rFonts w:hint="eastAsia" w:ascii="宋体" w:hAnsi="宋体" w:eastAsia="宋体" w:cs="宋体"/>
                      <w:b/>
                      <w:bCs/>
                      <w:color w:val="000000"/>
                      <w:kern w:val="0"/>
                      <w:sz w:val="24"/>
                      <w:szCs w:val="24"/>
                    </w:rPr>
                    <w:t>（人月）</w:t>
                  </w:r>
                </w:p>
              </w:tc>
              <w:tc>
                <w:tcPr>
                  <w:tcW w:w="1704" w:type="dxa"/>
                  <w:tcBorders>
                    <w:top w:val="single" w:color="auto" w:sz="4" w:space="0"/>
                    <w:left w:val="nil"/>
                    <w:bottom w:val="single" w:color="auto" w:sz="4" w:space="0"/>
                    <w:right w:val="single" w:color="auto" w:sz="4" w:space="0"/>
                  </w:tcBorders>
                  <w:vAlign w:val="center"/>
                </w:tcPr>
                <w:p w14:paraId="6ADB0DF7">
                  <w:pPr>
                    <w:widowControl/>
                    <w:spacing w:after="156"/>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报价</w:t>
                  </w:r>
                  <w:r>
                    <w:rPr>
                      <w:rFonts w:hint="eastAsia" w:ascii="宋体" w:hAnsi="宋体" w:eastAsia="宋体" w:cs="宋体"/>
                      <w:b/>
                      <w:bCs/>
                      <w:color w:val="000000"/>
                      <w:kern w:val="0"/>
                      <w:sz w:val="24"/>
                      <w:szCs w:val="24"/>
                    </w:rPr>
                    <w:br w:type="textWrapping"/>
                  </w:r>
                  <w:r>
                    <w:rPr>
                      <w:rFonts w:hint="eastAsia" w:ascii="宋体" w:hAnsi="宋体" w:eastAsia="宋体" w:cs="宋体"/>
                      <w:b/>
                      <w:bCs/>
                      <w:color w:val="000000"/>
                      <w:kern w:val="0"/>
                      <w:sz w:val="24"/>
                      <w:szCs w:val="24"/>
                    </w:rPr>
                    <w:t>（万元/人月）</w:t>
                  </w:r>
                </w:p>
              </w:tc>
              <w:tc>
                <w:tcPr>
                  <w:tcW w:w="1481" w:type="dxa"/>
                  <w:tcBorders>
                    <w:top w:val="single" w:color="auto" w:sz="4" w:space="0"/>
                    <w:left w:val="nil"/>
                    <w:bottom w:val="single" w:color="auto" w:sz="4" w:space="0"/>
                    <w:right w:val="single" w:color="auto" w:sz="4" w:space="0"/>
                  </w:tcBorders>
                  <w:vAlign w:val="center"/>
                </w:tcPr>
                <w:p w14:paraId="44E30CE4">
                  <w:pPr>
                    <w:widowControl/>
                    <w:spacing w:after="156"/>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建设周期</w:t>
                  </w:r>
                  <w:r>
                    <w:rPr>
                      <w:rFonts w:hint="eastAsia" w:ascii="宋体" w:hAnsi="宋体" w:eastAsia="宋体" w:cs="宋体"/>
                      <w:b/>
                      <w:bCs/>
                      <w:color w:val="000000"/>
                      <w:kern w:val="0"/>
                      <w:sz w:val="24"/>
                      <w:szCs w:val="24"/>
                    </w:rPr>
                    <w:br w:type="textWrapping"/>
                  </w:r>
                  <w:r>
                    <w:rPr>
                      <w:rFonts w:hint="eastAsia" w:ascii="宋体" w:hAnsi="宋体" w:eastAsia="宋体" w:cs="宋体"/>
                      <w:b/>
                      <w:bCs/>
                      <w:color w:val="000000"/>
                      <w:kern w:val="0"/>
                      <w:sz w:val="24"/>
                      <w:szCs w:val="24"/>
                    </w:rPr>
                    <w:t>（年）</w:t>
                  </w:r>
                </w:p>
              </w:tc>
              <w:tc>
                <w:tcPr>
                  <w:tcW w:w="1576" w:type="dxa"/>
                  <w:tcBorders>
                    <w:top w:val="single" w:color="auto" w:sz="4" w:space="0"/>
                    <w:left w:val="nil"/>
                    <w:bottom w:val="single" w:color="auto" w:sz="4" w:space="0"/>
                    <w:right w:val="single" w:color="auto" w:sz="4" w:space="0"/>
                  </w:tcBorders>
                  <w:vAlign w:val="center"/>
                </w:tcPr>
                <w:p w14:paraId="2AE9FE78">
                  <w:pPr>
                    <w:widowControl/>
                    <w:spacing w:after="156"/>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小计</w:t>
                  </w:r>
                </w:p>
                <w:p w14:paraId="48A938A0">
                  <w:pPr>
                    <w:widowControl/>
                    <w:spacing w:after="156"/>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（万元）</w:t>
                  </w:r>
                </w:p>
              </w:tc>
            </w:tr>
            <w:tr w14:paraId="305BDFA3">
              <w:tblPrEx>
                <w:tblCellMar>
                  <w:top w:w="0" w:type="dxa"/>
                  <w:left w:w="108" w:type="dxa"/>
                  <w:bottom w:w="0" w:type="dxa"/>
                  <w:right w:w="108" w:type="dxa"/>
                </w:tblCellMar>
              </w:tblPrEx>
              <w:trPr>
                <w:trHeight w:val="465" w:hRule="atLeast"/>
                <w:jc w:val="center"/>
              </w:trPr>
              <w:tc>
                <w:tcPr>
                  <w:tcW w:w="638" w:type="dxa"/>
                  <w:tcBorders>
                    <w:top w:val="single" w:color="auto" w:sz="4" w:space="0"/>
                    <w:left w:val="single" w:color="auto" w:sz="4" w:space="0"/>
                    <w:bottom w:val="single" w:color="auto" w:sz="4" w:space="0"/>
                    <w:right w:val="single" w:color="auto" w:sz="4" w:space="0"/>
                  </w:tcBorders>
                  <w:noWrap/>
                  <w:vAlign w:val="center"/>
                </w:tcPr>
                <w:p w14:paraId="039D40CE">
                  <w:pPr>
                    <w:widowControl/>
                    <w:spacing w:after="156"/>
                    <w:jc w:val="center"/>
                    <w:rPr>
                      <w:rFonts w:hint="eastAsia" w:ascii="宋体" w:hAnsi="宋体" w:eastAsia="宋体" w:cs="宋体"/>
                      <w:color w:val="000000"/>
                      <w:kern w:val="0"/>
                      <w:sz w:val="24"/>
                      <w:szCs w:val="24"/>
                    </w:rPr>
                  </w:pPr>
                  <w:r>
                    <w:rPr>
                      <w:rFonts w:hint="eastAsia" w:ascii="宋体" w:hAnsi="宋体" w:eastAsia="宋体" w:cs="宋体"/>
                      <w:sz w:val="24"/>
                      <w:szCs w:val="24"/>
                    </w:rPr>
                    <w:t>1</w:t>
                  </w:r>
                </w:p>
              </w:tc>
              <w:tc>
                <w:tcPr>
                  <w:tcW w:w="2504" w:type="dxa"/>
                  <w:tcBorders>
                    <w:top w:val="single" w:color="auto" w:sz="4" w:space="0"/>
                    <w:left w:val="nil"/>
                    <w:bottom w:val="single" w:color="auto" w:sz="4" w:space="0"/>
                    <w:right w:val="single" w:color="auto" w:sz="4" w:space="0"/>
                  </w:tcBorders>
                  <w:noWrap/>
                  <w:vAlign w:val="center"/>
                </w:tcPr>
                <w:p w14:paraId="3014EE83">
                  <w:pPr>
                    <w:widowControl/>
                    <w:spacing w:after="156"/>
                    <w:jc w:val="center"/>
                    <w:rPr>
                      <w:rFonts w:hint="eastAsia" w:ascii="宋体" w:hAnsi="宋体" w:eastAsia="宋体" w:cs="宋体"/>
                      <w:sz w:val="24"/>
                      <w:szCs w:val="24"/>
                    </w:rPr>
                  </w:pPr>
                  <w:r>
                    <w:rPr>
                      <w:rFonts w:hint="eastAsia" w:ascii="宋体" w:hAnsi="宋体" w:eastAsia="宋体" w:cs="宋体"/>
                      <w:sz w:val="24"/>
                      <w:szCs w:val="24"/>
                    </w:rPr>
                    <w:t>高级Java研发工程师</w:t>
                  </w:r>
                </w:p>
              </w:tc>
              <w:tc>
                <w:tcPr>
                  <w:tcW w:w="1535" w:type="dxa"/>
                  <w:tcBorders>
                    <w:top w:val="single" w:color="auto" w:sz="4" w:space="0"/>
                    <w:left w:val="nil"/>
                    <w:bottom w:val="single" w:color="auto" w:sz="4" w:space="0"/>
                    <w:right w:val="single" w:color="auto" w:sz="4" w:space="0"/>
                  </w:tcBorders>
                  <w:noWrap/>
                  <w:vAlign w:val="center"/>
                </w:tcPr>
                <w:p w14:paraId="39D97EA7">
                  <w:pPr>
                    <w:widowControl/>
                    <w:spacing w:after="156"/>
                    <w:jc w:val="center"/>
                    <w:rPr>
                      <w:rFonts w:hint="eastAsia" w:ascii="宋体" w:hAnsi="宋体" w:eastAsia="宋体" w:cs="宋体"/>
                      <w:sz w:val="24"/>
                      <w:szCs w:val="24"/>
                    </w:rPr>
                  </w:pPr>
                  <w:r>
                    <w:rPr>
                      <w:rFonts w:hint="eastAsia" w:ascii="宋体" w:hAnsi="宋体" w:eastAsia="宋体" w:cs="宋体"/>
                      <w:sz w:val="24"/>
                      <w:szCs w:val="24"/>
                    </w:rPr>
                    <w:t>12</w:t>
                  </w:r>
                </w:p>
              </w:tc>
              <w:tc>
                <w:tcPr>
                  <w:tcW w:w="1704" w:type="dxa"/>
                  <w:tcBorders>
                    <w:top w:val="single" w:color="auto" w:sz="4" w:space="0"/>
                    <w:left w:val="nil"/>
                    <w:bottom w:val="single" w:color="auto" w:sz="4" w:space="0"/>
                    <w:right w:val="single" w:color="auto" w:sz="4" w:space="0"/>
                  </w:tcBorders>
                  <w:noWrap/>
                  <w:vAlign w:val="center"/>
                </w:tcPr>
                <w:p w14:paraId="5D46F0F8">
                  <w:pPr>
                    <w:widowControl/>
                    <w:spacing w:after="156"/>
                    <w:jc w:val="center"/>
                    <w:rPr>
                      <w:rFonts w:hint="eastAsia" w:ascii="宋体" w:hAnsi="宋体" w:eastAsia="宋体" w:cs="宋体"/>
                      <w:sz w:val="24"/>
                      <w:szCs w:val="24"/>
                    </w:rPr>
                  </w:pPr>
                </w:p>
              </w:tc>
              <w:tc>
                <w:tcPr>
                  <w:tcW w:w="1481" w:type="dxa"/>
                  <w:tcBorders>
                    <w:top w:val="single" w:color="auto" w:sz="4" w:space="0"/>
                    <w:left w:val="nil"/>
                    <w:bottom w:val="single" w:color="auto" w:sz="4" w:space="0"/>
                    <w:right w:val="single" w:color="auto" w:sz="4" w:space="0"/>
                  </w:tcBorders>
                  <w:noWrap/>
                  <w:vAlign w:val="center"/>
                </w:tcPr>
                <w:p w14:paraId="184A2524">
                  <w:pPr>
                    <w:widowControl/>
                    <w:spacing w:after="156"/>
                    <w:jc w:val="center"/>
                    <w:rPr>
                      <w:rFonts w:hint="eastAsia" w:ascii="宋体" w:hAnsi="宋体" w:eastAsia="宋体" w:cs="宋体"/>
                      <w:sz w:val="24"/>
                      <w:szCs w:val="24"/>
                    </w:rPr>
                  </w:pPr>
                  <w:r>
                    <w:rPr>
                      <w:rFonts w:hint="eastAsia" w:ascii="宋体" w:hAnsi="宋体" w:eastAsia="宋体" w:cs="宋体"/>
                      <w:sz w:val="24"/>
                      <w:szCs w:val="24"/>
                    </w:rPr>
                    <w:t>1</w:t>
                  </w:r>
                </w:p>
              </w:tc>
              <w:tc>
                <w:tcPr>
                  <w:tcW w:w="1576" w:type="dxa"/>
                  <w:tcBorders>
                    <w:top w:val="single" w:color="auto" w:sz="4" w:space="0"/>
                    <w:left w:val="nil"/>
                    <w:bottom w:val="single" w:color="auto" w:sz="4" w:space="0"/>
                    <w:right w:val="single" w:color="auto" w:sz="4" w:space="0"/>
                  </w:tcBorders>
                  <w:noWrap/>
                  <w:vAlign w:val="center"/>
                </w:tcPr>
                <w:p w14:paraId="3315328F">
                  <w:pPr>
                    <w:widowControl/>
                    <w:spacing w:after="156"/>
                    <w:jc w:val="center"/>
                    <w:rPr>
                      <w:rFonts w:hint="eastAsia" w:ascii="宋体" w:hAnsi="宋体" w:eastAsia="宋体" w:cs="宋体"/>
                      <w:sz w:val="24"/>
                      <w:szCs w:val="24"/>
                    </w:rPr>
                  </w:pPr>
                </w:p>
              </w:tc>
            </w:tr>
            <w:tr w14:paraId="270D9D3E">
              <w:tblPrEx>
                <w:tblCellMar>
                  <w:top w:w="0" w:type="dxa"/>
                  <w:left w:w="108" w:type="dxa"/>
                  <w:bottom w:w="0" w:type="dxa"/>
                  <w:right w:w="108" w:type="dxa"/>
                </w:tblCellMar>
              </w:tblPrEx>
              <w:trPr>
                <w:trHeight w:val="465" w:hRule="atLeast"/>
                <w:jc w:val="center"/>
              </w:trPr>
              <w:tc>
                <w:tcPr>
                  <w:tcW w:w="638" w:type="dxa"/>
                  <w:tcBorders>
                    <w:top w:val="single" w:color="auto" w:sz="4" w:space="0"/>
                    <w:left w:val="single" w:color="auto" w:sz="4" w:space="0"/>
                    <w:bottom w:val="single" w:color="auto" w:sz="4" w:space="0"/>
                    <w:right w:val="single" w:color="auto" w:sz="4" w:space="0"/>
                  </w:tcBorders>
                  <w:noWrap/>
                  <w:vAlign w:val="center"/>
                </w:tcPr>
                <w:p w14:paraId="2C0FCFE7">
                  <w:pPr>
                    <w:widowControl/>
                    <w:spacing w:after="156"/>
                    <w:jc w:val="center"/>
                    <w:rPr>
                      <w:rFonts w:hint="eastAsia" w:ascii="宋体" w:hAnsi="宋体" w:eastAsia="宋体" w:cs="宋体"/>
                      <w:color w:val="000000"/>
                      <w:kern w:val="0"/>
                      <w:sz w:val="24"/>
                      <w:szCs w:val="24"/>
                    </w:rPr>
                  </w:pPr>
                  <w:r>
                    <w:rPr>
                      <w:rFonts w:hint="eastAsia" w:ascii="宋体" w:hAnsi="宋体" w:eastAsia="宋体" w:cs="宋体"/>
                      <w:sz w:val="24"/>
                      <w:szCs w:val="24"/>
                    </w:rPr>
                    <w:t>2</w:t>
                  </w:r>
                </w:p>
              </w:tc>
              <w:tc>
                <w:tcPr>
                  <w:tcW w:w="2504" w:type="dxa"/>
                  <w:tcBorders>
                    <w:top w:val="single" w:color="auto" w:sz="4" w:space="0"/>
                    <w:left w:val="nil"/>
                    <w:bottom w:val="single" w:color="auto" w:sz="4" w:space="0"/>
                    <w:right w:val="single" w:color="auto" w:sz="4" w:space="0"/>
                  </w:tcBorders>
                  <w:noWrap/>
                  <w:vAlign w:val="center"/>
                </w:tcPr>
                <w:p w14:paraId="0C684D07">
                  <w:pPr>
                    <w:widowControl/>
                    <w:spacing w:after="156"/>
                    <w:jc w:val="center"/>
                    <w:rPr>
                      <w:rFonts w:hint="eastAsia" w:ascii="宋体" w:hAnsi="宋体" w:eastAsia="宋体" w:cs="宋体"/>
                      <w:sz w:val="24"/>
                      <w:szCs w:val="24"/>
                    </w:rPr>
                  </w:pPr>
                  <w:r>
                    <w:rPr>
                      <w:rFonts w:hint="eastAsia" w:ascii="宋体" w:hAnsi="宋体" w:eastAsia="宋体" w:cs="宋体"/>
                      <w:sz w:val="24"/>
                      <w:szCs w:val="24"/>
                    </w:rPr>
                    <w:t>中级Java研发工程师</w:t>
                  </w:r>
                </w:p>
              </w:tc>
              <w:tc>
                <w:tcPr>
                  <w:tcW w:w="1535" w:type="dxa"/>
                  <w:tcBorders>
                    <w:top w:val="single" w:color="auto" w:sz="4" w:space="0"/>
                    <w:left w:val="nil"/>
                    <w:bottom w:val="single" w:color="auto" w:sz="4" w:space="0"/>
                    <w:right w:val="single" w:color="auto" w:sz="4" w:space="0"/>
                  </w:tcBorders>
                  <w:noWrap/>
                  <w:vAlign w:val="center"/>
                </w:tcPr>
                <w:p w14:paraId="4914D058">
                  <w:pPr>
                    <w:widowControl/>
                    <w:spacing w:after="156"/>
                    <w:jc w:val="center"/>
                    <w:rPr>
                      <w:rFonts w:hint="eastAsia" w:ascii="宋体" w:hAnsi="宋体" w:eastAsia="宋体" w:cs="宋体"/>
                      <w:sz w:val="24"/>
                      <w:szCs w:val="24"/>
                    </w:rPr>
                  </w:pPr>
                  <w:r>
                    <w:rPr>
                      <w:rFonts w:hint="eastAsia" w:ascii="宋体" w:hAnsi="宋体" w:eastAsia="宋体" w:cs="宋体"/>
                      <w:sz w:val="24"/>
                      <w:szCs w:val="24"/>
                    </w:rPr>
                    <w:t>12</w:t>
                  </w:r>
                </w:p>
              </w:tc>
              <w:tc>
                <w:tcPr>
                  <w:tcW w:w="1704" w:type="dxa"/>
                  <w:tcBorders>
                    <w:top w:val="single" w:color="auto" w:sz="4" w:space="0"/>
                    <w:left w:val="nil"/>
                    <w:bottom w:val="single" w:color="auto" w:sz="4" w:space="0"/>
                    <w:right w:val="single" w:color="auto" w:sz="4" w:space="0"/>
                  </w:tcBorders>
                  <w:noWrap/>
                  <w:vAlign w:val="center"/>
                </w:tcPr>
                <w:p w14:paraId="681267F1">
                  <w:pPr>
                    <w:widowControl/>
                    <w:spacing w:after="156"/>
                    <w:jc w:val="center"/>
                    <w:rPr>
                      <w:rFonts w:hint="eastAsia" w:ascii="宋体" w:hAnsi="宋体" w:eastAsia="宋体" w:cs="宋体"/>
                      <w:sz w:val="24"/>
                      <w:szCs w:val="24"/>
                    </w:rPr>
                  </w:pPr>
                </w:p>
              </w:tc>
              <w:tc>
                <w:tcPr>
                  <w:tcW w:w="1481" w:type="dxa"/>
                  <w:tcBorders>
                    <w:top w:val="single" w:color="auto" w:sz="4" w:space="0"/>
                    <w:left w:val="nil"/>
                    <w:bottom w:val="single" w:color="auto" w:sz="4" w:space="0"/>
                    <w:right w:val="single" w:color="auto" w:sz="4" w:space="0"/>
                  </w:tcBorders>
                  <w:noWrap/>
                  <w:vAlign w:val="center"/>
                </w:tcPr>
                <w:p w14:paraId="5174F198">
                  <w:pPr>
                    <w:widowControl/>
                    <w:spacing w:after="156"/>
                    <w:jc w:val="center"/>
                    <w:rPr>
                      <w:rFonts w:hint="eastAsia" w:ascii="宋体" w:hAnsi="宋体" w:eastAsia="宋体" w:cs="宋体"/>
                      <w:sz w:val="24"/>
                      <w:szCs w:val="24"/>
                    </w:rPr>
                  </w:pPr>
                  <w:r>
                    <w:rPr>
                      <w:rFonts w:hint="eastAsia" w:ascii="宋体" w:hAnsi="宋体" w:eastAsia="宋体" w:cs="宋体"/>
                      <w:sz w:val="24"/>
                      <w:szCs w:val="24"/>
                    </w:rPr>
                    <w:t>1</w:t>
                  </w:r>
                </w:p>
              </w:tc>
              <w:tc>
                <w:tcPr>
                  <w:tcW w:w="1576" w:type="dxa"/>
                  <w:tcBorders>
                    <w:top w:val="single" w:color="auto" w:sz="4" w:space="0"/>
                    <w:left w:val="nil"/>
                    <w:bottom w:val="single" w:color="auto" w:sz="4" w:space="0"/>
                    <w:right w:val="single" w:color="auto" w:sz="4" w:space="0"/>
                  </w:tcBorders>
                  <w:noWrap/>
                  <w:vAlign w:val="center"/>
                </w:tcPr>
                <w:p w14:paraId="1E8F8186">
                  <w:pPr>
                    <w:widowControl/>
                    <w:spacing w:after="156"/>
                    <w:jc w:val="center"/>
                    <w:rPr>
                      <w:rFonts w:hint="eastAsia" w:ascii="宋体" w:hAnsi="宋体" w:eastAsia="宋体" w:cs="宋体"/>
                      <w:sz w:val="24"/>
                      <w:szCs w:val="24"/>
                    </w:rPr>
                  </w:pPr>
                </w:p>
              </w:tc>
            </w:tr>
            <w:tr w14:paraId="03B8D115">
              <w:tblPrEx>
                <w:tblCellMar>
                  <w:top w:w="0" w:type="dxa"/>
                  <w:left w:w="108" w:type="dxa"/>
                  <w:bottom w:w="0" w:type="dxa"/>
                  <w:right w:w="108" w:type="dxa"/>
                </w:tblCellMar>
              </w:tblPrEx>
              <w:trPr>
                <w:trHeight w:val="465" w:hRule="atLeast"/>
                <w:jc w:val="center"/>
              </w:trPr>
              <w:tc>
                <w:tcPr>
                  <w:tcW w:w="638" w:type="dxa"/>
                  <w:tcBorders>
                    <w:top w:val="single" w:color="auto" w:sz="4" w:space="0"/>
                    <w:left w:val="single" w:color="auto" w:sz="4" w:space="0"/>
                    <w:bottom w:val="single" w:color="auto" w:sz="4" w:space="0"/>
                    <w:right w:val="single" w:color="auto" w:sz="4" w:space="0"/>
                  </w:tcBorders>
                  <w:noWrap/>
                  <w:vAlign w:val="center"/>
                </w:tcPr>
                <w:p w14:paraId="14576570">
                  <w:pPr>
                    <w:widowControl/>
                    <w:spacing w:after="156"/>
                    <w:jc w:val="center"/>
                    <w:rPr>
                      <w:rFonts w:hint="eastAsia" w:ascii="宋体" w:hAnsi="宋体" w:eastAsia="宋体" w:cs="宋体"/>
                      <w:sz w:val="24"/>
                      <w:szCs w:val="24"/>
                    </w:rPr>
                  </w:pPr>
                  <w:r>
                    <w:rPr>
                      <w:rFonts w:hint="eastAsia" w:ascii="宋体" w:hAnsi="宋体" w:eastAsia="宋体" w:cs="宋体"/>
                      <w:sz w:val="24"/>
                      <w:szCs w:val="24"/>
                    </w:rPr>
                    <w:t>3</w:t>
                  </w:r>
                </w:p>
              </w:tc>
              <w:tc>
                <w:tcPr>
                  <w:tcW w:w="2504" w:type="dxa"/>
                  <w:tcBorders>
                    <w:top w:val="single" w:color="auto" w:sz="4" w:space="0"/>
                    <w:left w:val="nil"/>
                    <w:bottom w:val="single" w:color="auto" w:sz="4" w:space="0"/>
                    <w:right w:val="single" w:color="auto" w:sz="4" w:space="0"/>
                  </w:tcBorders>
                  <w:noWrap/>
                  <w:vAlign w:val="center"/>
                </w:tcPr>
                <w:p w14:paraId="75E7F0D4">
                  <w:pPr>
                    <w:widowControl/>
                    <w:spacing w:after="156"/>
                    <w:jc w:val="center"/>
                    <w:rPr>
                      <w:rFonts w:hint="eastAsia" w:ascii="宋体" w:hAnsi="宋体" w:eastAsia="宋体" w:cs="宋体"/>
                      <w:sz w:val="24"/>
                      <w:szCs w:val="24"/>
                    </w:rPr>
                  </w:pPr>
                  <w:r>
                    <w:rPr>
                      <w:rFonts w:hint="eastAsia" w:ascii="宋体" w:hAnsi="宋体" w:eastAsia="宋体" w:cs="宋体"/>
                      <w:sz w:val="24"/>
                      <w:szCs w:val="24"/>
                    </w:rPr>
                    <w:t>中级H5研发工程师</w:t>
                  </w:r>
                </w:p>
              </w:tc>
              <w:tc>
                <w:tcPr>
                  <w:tcW w:w="1535" w:type="dxa"/>
                  <w:tcBorders>
                    <w:top w:val="single" w:color="auto" w:sz="4" w:space="0"/>
                    <w:left w:val="nil"/>
                    <w:bottom w:val="single" w:color="auto" w:sz="4" w:space="0"/>
                    <w:right w:val="single" w:color="auto" w:sz="4" w:space="0"/>
                  </w:tcBorders>
                  <w:noWrap/>
                  <w:vAlign w:val="center"/>
                </w:tcPr>
                <w:p w14:paraId="6ED420F5">
                  <w:pPr>
                    <w:widowControl/>
                    <w:spacing w:after="156"/>
                    <w:jc w:val="center"/>
                    <w:rPr>
                      <w:rFonts w:hint="eastAsia" w:ascii="宋体" w:hAnsi="宋体" w:eastAsia="宋体" w:cs="宋体"/>
                      <w:sz w:val="24"/>
                      <w:szCs w:val="24"/>
                    </w:rPr>
                  </w:pPr>
                  <w:r>
                    <w:rPr>
                      <w:rFonts w:hint="eastAsia" w:ascii="宋体" w:hAnsi="宋体" w:eastAsia="宋体" w:cs="宋体"/>
                      <w:sz w:val="24"/>
                      <w:szCs w:val="24"/>
                    </w:rPr>
                    <w:t>12</w:t>
                  </w:r>
                </w:p>
              </w:tc>
              <w:tc>
                <w:tcPr>
                  <w:tcW w:w="1704" w:type="dxa"/>
                  <w:tcBorders>
                    <w:top w:val="single" w:color="auto" w:sz="4" w:space="0"/>
                    <w:left w:val="nil"/>
                    <w:bottom w:val="single" w:color="auto" w:sz="4" w:space="0"/>
                    <w:right w:val="single" w:color="auto" w:sz="4" w:space="0"/>
                  </w:tcBorders>
                  <w:noWrap/>
                  <w:vAlign w:val="center"/>
                </w:tcPr>
                <w:p w14:paraId="45AE5BDA">
                  <w:pPr>
                    <w:widowControl/>
                    <w:spacing w:after="156"/>
                    <w:jc w:val="center"/>
                    <w:rPr>
                      <w:rFonts w:hint="eastAsia" w:ascii="宋体" w:hAnsi="宋体" w:eastAsia="宋体" w:cs="宋体"/>
                      <w:sz w:val="24"/>
                      <w:szCs w:val="24"/>
                    </w:rPr>
                  </w:pPr>
                </w:p>
              </w:tc>
              <w:tc>
                <w:tcPr>
                  <w:tcW w:w="1481" w:type="dxa"/>
                  <w:tcBorders>
                    <w:top w:val="single" w:color="auto" w:sz="4" w:space="0"/>
                    <w:left w:val="nil"/>
                    <w:bottom w:val="single" w:color="auto" w:sz="4" w:space="0"/>
                    <w:right w:val="single" w:color="auto" w:sz="4" w:space="0"/>
                  </w:tcBorders>
                  <w:noWrap/>
                  <w:vAlign w:val="center"/>
                </w:tcPr>
                <w:p w14:paraId="2FA1697A">
                  <w:pPr>
                    <w:widowControl/>
                    <w:spacing w:after="156"/>
                    <w:jc w:val="center"/>
                    <w:rPr>
                      <w:rFonts w:hint="eastAsia" w:ascii="宋体" w:hAnsi="宋体" w:eastAsia="宋体" w:cs="宋体"/>
                      <w:sz w:val="24"/>
                      <w:szCs w:val="24"/>
                    </w:rPr>
                  </w:pPr>
                  <w:r>
                    <w:rPr>
                      <w:rFonts w:hint="eastAsia" w:ascii="宋体" w:hAnsi="宋体" w:eastAsia="宋体" w:cs="宋体"/>
                      <w:sz w:val="24"/>
                      <w:szCs w:val="24"/>
                    </w:rPr>
                    <w:t>1</w:t>
                  </w:r>
                </w:p>
              </w:tc>
              <w:tc>
                <w:tcPr>
                  <w:tcW w:w="1576" w:type="dxa"/>
                  <w:tcBorders>
                    <w:top w:val="single" w:color="auto" w:sz="4" w:space="0"/>
                    <w:left w:val="nil"/>
                    <w:bottom w:val="single" w:color="auto" w:sz="4" w:space="0"/>
                    <w:right w:val="single" w:color="auto" w:sz="4" w:space="0"/>
                  </w:tcBorders>
                  <w:noWrap/>
                  <w:vAlign w:val="center"/>
                </w:tcPr>
                <w:p w14:paraId="7B2BA111">
                  <w:pPr>
                    <w:widowControl/>
                    <w:spacing w:after="156"/>
                    <w:jc w:val="center"/>
                    <w:rPr>
                      <w:rFonts w:hint="eastAsia" w:ascii="宋体" w:hAnsi="宋体" w:eastAsia="宋体" w:cs="宋体"/>
                      <w:sz w:val="24"/>
                      <w:szCs w:val="24"/>
                    </w:rPr>
                  </w:pPr>
                </w:p>
              </w:tc>
            </w:tr>
            <w:tr w14:paraId="288314C2">
              <w:tblPrEx>
                <w:tblCellMar>
                  <w:top w:w="0" w:type="dxa"/>
                  <w:left w:w="108" w:type="dxa"/>
                  <w:bottom w:w="0" w:type="dxa"/>
                  <w:right w:w="108" w:type="dxa"/>
                </w:tblCellMar>
              </w:tblPrEx>
              <w:trPr>
                <w:trHeight w:val="465" w:hRule="atLeast"/>
                <w:jc w:val="center"/>
              </w:trPr>
              <w:tc>
                <w:tcPr>
                  <w:tcW w:w="7862" w:type="dxa"/>
                  <w:gridSpan w:val="5"/>
                  <w:tcBorders>
                    <w:top w:val="single" w:color="auto" w:sz="4" w:space="0"/>
                    <w:left w:val="single" w:color="auto" w:sz="4" w:space="0"/>
                    <w:bottom w:val="single" w:color="auto" w:sz="4" w:space="0"/>
                    <w:right w:val="single" w:color="auto" w:sz="4" w:space="0"/>
                  </w:tcBorders>
                  <w:noWrap/>
                  <w:vAlign w:val="center"/>
                </w:tcPr>
                <w:p w14:paraId="27955CC9">
                  <w:pPr>
                    <w:widowControl/>
                    <w:spacing w:after="156"/>
                    <w:jc w:val="center"/>
                    <w:rPr>
                      <w:rFonts w:hint="eastAsia" w:ascii="宋体" w:hAnsi="宋体" w:eastAsia="宋体" w:cs="宋体"/>
                      <w:sz w:val="24"/>
                      <w:szCs w:val="24"/>
                    </w:rPr>
                  </w:pPr>
                  <w:r>
                    <w:rPr>
                      <w:rFonts w:hint="eastAsia" w:ascii="宋体" w:hAnsi="宋体" w:eastAsia="宋体" w:cs="宋体"/>
                      <w:sz w:val="24"/>
                      <w:szCs w:val="24"/>
                    </w:rPr>
                    <w:t>合计：</w:t>
                  </w:r>
                </w:p>
              </w:tc>
              <w:tc>
                <w:tcPr>
                  <w:tcW w:w="1576" w:type="dxa"/>
                  <w:tcBorders>
                    <w:top w:val="single" w:color="auto" w:sz="4" w:space="0"/>
                    <w:left w:val="nil"/>
                    <w:bottom w:val="single" w:color="auto" w:sz="4" w:space="0"/>
                    <w:right w:val="single" w:color="auto" w:sz="4" w:space="0"/>
                  </w:tcBorders>
                  <w:noWrap/>
                  <w:vAlign w:val="center"/>
                </w:tcPr>
                <w:p w14:paraId="6F5BD085">
                  <w:pPr>
                    <w:widowControl/>
                    <w:spacing w:after="156"/>
                    <w:jc w:val="center"/>
                    <w:rPr>
                      <w:rFonts w:hint="eastAsia" w:ascii="宋体" w:hAnsi="宋体" w:eastAsia="宋体" w:cs="宋体"/>
                      <w:sz w:val="24"/>
                      <w:szCs w:val="24"/>
                    </w:rPr>
                  </w:pPr>
                </w:p>
              </w:tc>
            </w:tr>
          </w:tbl>
          <w:p w14:paraId="1A3C4C79">
            <w:pPr>
              <w:keepNext w:val="0"/>
              <w:keepLines w:val="0"/>
              <w:pageBreakBefore w:val="0"/>
              <w:widowControl w:val="0"/>
              <w:numPr>
                <w:ilvl w:val="0"/>
                <w:numId w:val="0"/>
              </w:numPr>
              <w:kinsoku/>
              <w:wordWrap/>
              <w:overflowPunct/>
              <w:topLinePunct w:val="0"/>
              <w:autoSpaceDE/>
              <w:autoSpaceDN/>
              <w:bidi w:val="0"/>
              <w:adjustRightInd/>
              <w:snapToGrid/>
              <w:spacing w:after="156" w:line="240" w:lineRule="auto"/>
              <w:ind w:firstLine="480" w:firstLineChars="200"/>
              <w:textAlignment w:val="auto"/>
              <w:rPr>
                <w:rFonts w:hint="eastAsia" w:ascii="宋体" w:hAnsi="宋体" w:eastAsia="宋体" w:cs="宋体"/>
                <w:sz w:val="24"/>
                <w:szCs w:val="24"/>
              </w:rPr>
            </w:pPr>
          </w:p>
        </w:tc>
        <w:tc>
          <w:tcPr>
            <w:tcW w:w="424" w:type="pct"/>
            <w:vAlign w:val="center"/>
          </w:tcPr>
          <w:p w14:paraId="4B1A8BE0">
            <w:pPr>
              <w:spacing w:line="240" w:lineRule="auto"/>
              <w:jc w:val="center"/>
              <w:rPr>
                <w:rFonts w:hint="eastAsia" w:ascii="宋体" w:hAnsi="宋体" w:eastAsia="宋体" w:cs="宋体"/>
                <w:sz w:val="24"/>
                <w:szCs w:val="24"/>
              </w:rPr>
            </w:pPr>
          </w:p>
        </w:tc>
        <w:tc>
          <w:tcPr>
            <w:tcW w:w="283" w:type="pct"/>
            <w:vAlign w:val="center"/>
          </w:tcPr>
          <w:p w14:paraId="25FE4D2A">
            <w:pPr>
              <w:spacing w:line="200" w:lineRule="atLeast"/>
              <w:jc w:val="center"/>
              <w:rPr>
                <w:rFonts w:hint="eastAsia" w:ascii="宋体" w:hAnsi="宋体" w:eastAsia="宋体" w:cs="宋体"/>
                <w:sz w:val="24"/>
                <w:szCs w:val="24"/>
              </w:rPr>
            </w:pPr>
          </w:p>
        </w:tc>
      </w:tr>
      <w:tr w14:paraId="12C14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82" w:type="pct"/>
            <w:vAlign w:val="center"/>
          </w:tcPr>
          <w:p w14:paraId="7C2BB6AE">
            <w:pPr>
              <w:numPr>
                <w:ilvl w:val="0"/>
                <w:numId w:val="3"/>
              </w:numPr>
              <w:spacing w:line="200" w:lineRule="atLeast"/>
              <w:jc w:val="center"/>
              <w:rPr>
                <w:rFonts w:hint="eastAsia" w:ascii="宋体" w:hAnsi="宋体" w:eastAsia="宋体" w:cs="宋体"/>
                <w:sz w:val="24"/>
                <w:szCs w:val="24"/>
              </w:rPr>
            </w:pPr>
          </w:p>
        </w:tc>
        <w:tc>
          <w:tcPr>
            <w:tcW w:w="281" w:type="pct"/>
            <w:vMerge w:val="continue"/>
            <w:tcBorders/>
            <w:vAlign w:val="center"/>
          </w:tcPr>
          <w:p w14:paraId="021F1C27">
            <w:pPr>
              <w:jc w:val="left"/>
              <w:rPr>
                <w:rFonts w:hint="eastAsia" w:ascii="宋体" w:hAnsi="宋体" w:eastAsia="宋体" w:cs="宋体"/>
                <w:spacing w:val="0"/>
                <w:sz w:val="24"/>
                <w:szCs w:val="24"/>
                <w:lang w:val="en-US" w:eastAsia="zh-CN"/>
              </w:rPr>
            </w:pPr>
          </w:p>
        </w:tc>
        <w:tc>
          <w:tcPr>
            <w:tcW w:w="3828" w:type="pct"/>
            <w:vAlign w:val="center"/>
          </w:tcPr>
          <w:p w14:paraId="5EC82D5C">
            <w:pPr>
              <w:keepNext w:val="0"/>
              <w:keepLines w:val="0"/>
              <w:pageBreakBefore w:val="0"/>
              <w:widowControl w:val="0"/>
              <w:numPr>
                <w:ilvl w:val="0"/>
                <w:numId w:val="0"/>
              </w:numPr>
              <w:kinsoku/>
              <w:wordWrap/>
              <w:overflowPunct/>
              <w:topLinePunct w:val="0"/>
              <w:autoSpaceDE/>
              <w:autoSpaceDN/>
              <w:bidi w:val="0"/>
              <w:adjustRightInd/>
              <w:snapToGrid/>
              <w:spacing w:after="156" w:line="24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3、付款方式</w:t>
            </w:r>
          </w:p>
          <w:p w14:paraId="7CBED7AD">
            <w:pPr>
              <w:keepNext w:val="0"/>
              <w:keepLines w:val="0"/>
              <w:pageBreakBefore w:val="0"/>
              <w:widowControl w:val="0"/>
              <w:numPr>
                <w:ilvl w:val="0"/>
                <w:numId w:val="0"/>
              </w:numPr>
              <w:kinsoku/>
              <w:wordWrap/>
              <w:overflowPunct/>
              <w:topLinePunct w:val="0"/>
              <w:autoSpaceDE/>
              <w:autoSpaceDN/>
              <w:bidi w:val="0"/>
              <w:adjustRightInd/>
              <w:snapToGrid/>
              <w:spacing w:after="156" w:line="24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本项目拟按季度与中标单位进行结算，通过项目阶段验收或提供证明材料并根据考核评分结果，在完成该周期服务后，分期支付。</w:t>
            </w:r>
          </w:p>
        </w:tc>
        <w:tc>
          <w:tcPr>
            <w:tcW w:w="424" w:type="pct"/>
            <w:vAlign w:val="center"/>
          </w:tcPr>
          <w:p w14:paraId="246EC1DC">
            <w:pPr>
              <w:spacing w:line="240" w:lineRule="auto"/>
              <w:jc w:val="center"/>
              <w:rPr>
                <w:rFonts w:hint="eastAsia" w:ascii="宋体" w:hAnsi="宋体" w:eastAsia="宋体" w:cs="宋体"/>
                <w:sz w:val="24"/>
                <w:szCs w:val="24"/>
              </w:rPr>
            </w:pPr>
          </w:p>
        </w:tc>
        <w:tc>
          <w:tcPr>
            <w:tcW w:w="283" w:type="pct"/>
            <w:vAlign w:val="center"/>
          </w:tcPr>
          <w:p w14:paraId="7746CA79">
            <w:pPr>
              <w:spacing w:line="200" w:lineRule="atLeast"/>
              <w:jc w:val="center"/>
              <w:rPr>
                <w:rFonts w:hint="eastAsia" w:ascii="宋体" w:hAnsi="宋体" w:eastAsia="宋体" w:cs="宋体"/>
                <w:sz w:val="24"/>
                <w:szCs w:val="24"/>
              </w:rPr>
            </w:pPr>
          </w:p>
        </w:tc>
      </w:tr>
    </w:tbl>
    <w:p w14:paraId="12A890AA">
      <w:pPr>
        <w:spacing w:after="209" w:afterLines="67"/>
        <w:rPr>
          <w:rFonts w:asciiTheme="minorEastAsia" w:hAnsiTheme="minorEastAsia" w:cstheme="minorEastAsia"/>
          <w:b/>
          <w:bCs/>
          <w:sz w:val="24"/>
          <w:szCs w:val="24"/>
        </w:rPr>
      </w:pPr>
    </w:p>
    <w:p w14:paraId="7B2213B6">
      <w:pPr>
        <w:spacing w:after="209" w:afterLines="67"/>
        <w:rPr>
          <w:rFonts w:hint="eastAsia" w:asciiTheme="minorEastAsia" w:hAnsiTheme="minorEastAsia" w:cstheme="minorEastAsia"/>
          <w:b/>
          <w:bCs/>
          <w:sz w:val="24"/>
          <w:szCs w:val="24"/>
        </w:rPr>
        <w:sectPr>
          <w:pgSz w:w="16838" w:h="11906" w:orient="landscape"/>
          <w:pgMar w:top="1800" w:right="1440" w:bottom="1800" w:left="1440" w:header="851" w:footer="992" w:gutter="0"/>
          <w:cols w:space="425" w:num="1"/>
          <w:docGrid w:type="lines" w:linePitch="312" w:charSpace="0"/>
        </w:sectPr>
      </w:pPr>
    </w:p>
    <w:p w14:paraId="1F6A1EBD">
      <w:pPr>
        <w:spacing w:after="209" w:afterLines="67"/>
        <w:rPr>
          <w:rFonts w:asciiTheme="minorEastAsia" w:hAnsiTheme="minorEastAsia" w:cstheme="minorEastAsia"/>
          <w:b/>
          <w:bCs/>
          <w:sz w:val="24"/>
          <w:szCs w:val="24"/>
        </w:rPr>
      </w:pPr>
      <w:r>
        <w:rPr>
          <w:rFonts w:hint="eastAsia" w:asciiTheme="minorEastAsia" w:hAnsiTheme="minorEastAsia" w:cstheme="minorEastAsia"/>
          <w:b/>
          <w:bCs/>
          <w:sz w:val="24"/>
          <w:szCs w:val="24"/>
        </w:rPr>
        <w:t>四、报价内容（加盖公章）</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742"/>
        <w:gridCol w:w="6914"/>
        <w:gridCol w:w="3518"/>
      </w:tblGrid>
      <w:tr w14:paraId="67791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320" w:type="pct"/>
            <w:vAlign w:val="center"/>
          </w:tcPr>
          <w:p w14:paraId="3FBFFFEA">
            <w:pPr>
              <w:spacing w:line="360" w:lineRule="auto"/>
              <w:jc w:val="center"/>
              <w:rPr>
                <w:rFonts w:hint="eastAsia" w:ascii="宋体" w:hAnsi="宋体" w:cs="宋体"/>
                <w:b/>
                <w:color w:val="000000"/>
                <w:kern w:val="0"/>
                <w:szCs w:val="21"/>
              </w:rPr>
            </w:pPr>
            <w:r>
              <w:rPr>
                <w:rFonts w:hint="eastAsia" w:ascii="宋体" w:hAnsi="宋体" w:cs="宋体"/>
                <w:b/>
                <w:color w:val="000000"/>
                <w:kern w:val="0"/>
                <w:szCs w:val="21"/>
              </w:rPr>
              <w:t>项目名称</w:t>
            </w:r>
          </w:p>
        </w:tc>
        <w:tc>
          <w:tcPr>
            <w:tcW w:w="2439" w:type="pct"/>
            <w:vAlign w:val="center"/>
          </w:tcPr>
          <w:p w14:paraId="2F62E72D">
            <w:pPr>
              <w:spacing w:line="360" w:lineRule="auto"/>
              <w:jc w:val="center"/>
              <w:rPr>
                <w:rFonts w:hint="eastAsia" w:ascii="宋体" w:hAnsi="宋体" w:cs="宋体"/>
                <w:b/>
                <w:color w:val="000000"/>
                <w:kern w:val="0"/>
                <w:szCs w:val="21"/>
              </w:rPr>
            </w:pPr>
            <w:r>
              <w:rPr>
                <w:rFonts w:hint="eastAsia" w:ascii="宋体" w:hAnsi="宋体" w:cs="宋体"/>
                <w:b/>
                <w:color w:val="000000"/>
                <w:kern w:val="0"/>
                <w:szCs w:val="21"/>
              </w:rPr>
              <w:t>服务内容</w:t>
            </w:r>
          </w:p>
        </w:tc>
        <w:tc>
          <w:tcPr>
            <w:tcW w:w="1241" w:type="pct"/>
            <w:vAlign w:val="center"/>
          </w:tcPr>
          <w:p w14:paraId="3094229E">
            <w:pPr>
              <w:spacing w:line="360" w:lineRule="auto"/>
              <w:jc w:val="center"/>
              <w:rPr>
                <w:rFonts w:ascii="宋体" w:hAnsi="宋体" w:cs="宋体"/>
                <w:b/>
                <w:bCs/>
                <w:color w:val="000000"/>
                <w:kern w:val="0"/>
                <w:szCs w:val="21"/>
              </w:rPr>
            </w:pPr>
            <w:r>
              <w:rPr>
                <w:rFonts w:hint="eastAsia" w:ascii="宋体" w:hAnsi="宋体" w:cs="宋体"/>
                <w:b/>
                <w:color w:val="000000"/>
                <w:kern w:val="0"/>
                <w:szCs w:val="21"/>
              </w:rPr>
              <w:t>报价</w:t>
            </w:r>
            <w:r>
              <w:rPr>
                <w:rFonts w:hint="eastAsia" w:ascii="宋体" w:hAnsi="宋体" w:cs="宋体"/>
                <w:b/>
                <w:bCs/>
                <w:color w:val="000000"/>
                <w:kern w:val="0"/>
                <w:szCs w:val="21"/>
              </w:rPr>
              <w:t>（含增值税）</w:t>
            </w:r>
          </w:p>
          <w:p w14:paraId="598B54C7">
            <w:pPr>
              <w:spacing w:line="360" w:lineRule="auto"/>
              <w:jc w:val="center"/>
              <w:rPr>
                <w:rFonts w:ascii="宋体" w:hAnsi="宋体" w:cs="宋体"/>
                <w:b/>
                <w:bCs/>
                <w:color w:val="000000"/>
                <w:kern w:val="0"/>
                <w:szCs w:val="21"/>
              </w:rPr>
            </w:pPr>
            <w:r>
              <w:rPr>
                <w:rFonts w:hint="eastAsia" w:ascii="宋体" w:hAnsi="宋体" w:cs="宋体"/>
                <w:b/>
                <w:bCs/>
                <w:color w:val="000000"/>
                <w:kern w:val="0"/>
                <w:szCs w:val="21"/>
              </w:rPr>
              <w:t>（元）</w:t>
            </w:r>
          </w:p>
          <w:p w14:paraId="60B84ECC">
            <w:pPr>
              <w:spacing w:line="360" w:lineRule="auto"/>
              <w:jc w:val="center"/>
              <w:rPr>
                <w:rFonts w:hint="eastAsia" w:ascii="宋体" w:hAnsi="宋体" w:cs="宋体"/>
                <w:b/>
                <w:color w:val="000000"/>
                <w:kern w:val="0"/>
                <w:szCs w:val="21"/>
              </w:rPr>
            </w:pPr>
          </w:p>
        </w:tc>
      </w:tr>
      <w:tr w14:paraId="7CCA2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320" w:type="pct"/>
            <w:vAlign w:val="center"/>
          </w:tcPr>
          <w:p w14:paraId="01D110FE">
            <w:pPr>
              <w:spacing w:line="360" w:lineRule="auto"/>
              <w:jc w:val="center"/>
              <w:rPr>
                <w:rFonts w:hint="eastAsia" w:ascii="宋体" w:hAnsi="宋体" w:cs="宋体"/>
                <w:color w:val="000000"/>
                <w:kern w:val="0"/>
                <w:sz w:val="24"/>
                <w:szCs w:val="24"/>
              </w:rPr>
            </w:pPr>
            <w:r>
              <w:rPr>
                <w:rFonts w:hint="eastAsia" w:ascii="宋体" w:hAnsi="宋体" w:cs="宋体"/>
                <w:color w:val="000000"/>
                <w:sz w:val="24"/>
                <w:szCs w:val="24"/>
              </w:rPr>
              <w:t>广东南方新媒体股份有限公司2026年OTT大数据分析管理系统定制开发服务项目</w:t>
            </w:r>
          </w:p>
        </w:tc>
        <w:tc>
          <w:tcPr>
            <w:tcW w:w="2439" w:type="pct"/>
            <w:vAlign w:val="center"/>
          </w:tcPr>
          <w:p w14:paraId="3EAFB185">
            <w:pPr>
              <w:spacing w:line="360" w:lineRule="auto"/>
              <w:rPr>
                <w:rFonts w:ascii="宋体" w:hAnsi="宋体" w:cs="宋体"/>
                <w:color w:val="000000"/>
                <w:kern w:val="0"/>
                <w:szCs w:val="21"/>
              </w:rPr>
            </w:pPr>
            <w:r>
              <w:rPr>
                <w:rFonts w:hint="eastAsia" w:ascii="宋体" w:hAnsi="宋体" w:eastAsia="宋体" w:cs="宋体"/>
                <w:sz w:val="24"/>
                <w:szCs w:val="24"/>
              </w:rPr>
              <w:t>提供2026年OTT大数据分析管理系统定制开发服务，包括高级研发工程师1人年（折合12人月）、中级研发工程师2人年（折合24人月）的驻场开发服务，开发服务周期为1年，自合同签订且成交供应商开发工程师到位经</w:t>
            </w:r>
            <w:r>
              <w:rPr>
                <w:rFonts w:hint="eastAsia" w:ascii="宋体" w:hAnsi="宋体" w:eastAsia="宋体" w:cs="宋体"/>
                <w:sz w:val="24"/>
                <w:szCs w:val="24"/>
                <w:lang w:val="en-US" w:eastAsia="zh-CN"/>
              </w:rPr>
              <w:t>招标人</w:t>
            </w:r>
            <w:r>
              <w:rPr>
                <w:rFonts w:hint="eastAsia" w:ascii="宋体" w:hAnsi="宋体" w:eastAsia="宋体" w:cs="宋体"/>
                <w:sz w:val="24"/>
                <w:szCs w:val="24"/>
              </w:rPr>
              <w:t>及监理检验后发出书面通知书次日起算。</w:t>
            </w:r>
          </w:p>
        </w:tc>
        <w:tc>
          <w:tcPr>
            <w:tcW w:w="1241" w:type="pct"/>
            <w:vAlign w:val="center"/>
          </w:tcPr>
          <w:p w14:paraId="256BF9AA">
            <w:pPr>
              <w:spacing w:line="360" w:lineRule="auto"/>
              <w:rPr>
                <w:rFonts w:ascii="宋体" w:hAnsi="宋体" w:cs="宋体"/>
                <w:bCs/>
                <w:color w:val="000000"/>
                <w:kern w:val="0"/>
                <w:szCs w:val="21"/>
              </w:rPr>
            </w:pPr>
            <w:r>
              <w:rPr>
                <w:rFonts w:hint="eastAsia" w:ascii="宋体" w:hAnsi="宋体" w:cs="宋体"/>
                <w:bCs/>
                <w:color w:val="000000"/>
                <w:kern w:val="0"/>
                <w:szCs w:val="21"/>
              </w:rPr>
              <w:t>大写：人民币</w:t>
            </w:r>
            <w:r>
              <w:rPr>
                <w:rFonts w:hint="eastAsia" w:ascii="宋体" w:hAnsi="宋体" w:cs="宋体"/>
                <w:bCs/>
                <w:color w:val="000000"/>
                <w:kern w:val="0"/>
                <w:szCs w:val="21"/>
                <w:u w:val="single"/>
              </w:rPr>
              <w:t xml:space="preserve">                          </w:t>
            </w:r>
          </w:p>
          <w:p w14:paraId="3D38F76F">
            <w:pPr>
              <w:spacing w:line="360" w:lineRule="auto"/>
              <w:rPr>
                <w:rFonts w:ascii="宋体" w:hAnsi="宋体" w:cs="宋体"/>
                <w:color w:val="000000"/>
                <w:kern w:val="0"/>
                <w:szCs w:val="21"/>
              </w:rPr>
            </w:pPr>
            <w:r>
              <w:rPr>
                <w:rFonts w:hint="eastAsia" w:ascii="宋体" w:hAnsi="宋体" w:cs="宋体"/>
                <w:bCs/>
                <w:color w:val="000000"/>
                <w:kern w:val="0"/>
                <w:szCs w:val="21"/>
              </w:rPr>
              <w:t>小写：¥</w:t>
            </w:r>
            <w:r>
              <w:rPr>
                <w:rFonts w:hint="eastAsia" w:ascii="宋体" w:hAnsi="宋体" w:cs="宋体"/>
                <w:bCs/>
                <w:color w:val="000000"/>
                <w:kern w:val="0"/>
                <w:szCs w:val="21"/>
                <w:u w:val="single"/>
              </w:rPr>
              <w:t xml:space="preserve">                               </w:t>
            </w:r>
          </w:p>
        </w:tc>
      </w:tr>
    </w:tbl>
    <w:p w14:paraId="378603B3">
      <w:pPr>
        <w:rPr>
          <w:rFonts w:asciiTheme="minorEastAsia" w:hAnsiTheme="minorEastAsia" w:cstheme="minorEastAsia"/>
          <w:b/>
          <w:bCs/>
          <w:sz w:val="24"/>
          <w:szCs w:val="24"/>
        </w:rPr>
      </w:pPr>
      <w:r>
        <w:rPr>
          <w:rFonts w:asciiTheme="minorEastAsia" w:hAnsiTheme="minorEastAsia" w:cstheme="minorEastAsia"/>
          <w:b/>
          <w:bCs/>
          <w:sz w:val="24"/>
          <w:szCs w:val="24"/>
        </w:rPr>
        <w:br w:type="page"/>
      </w:r>
    </w:p>
    <w:p w14:paraId="5F625F03">
      <w:pPr>
        <w:spacing w:after="209" w:afterLines="67"/>
        <w:rPr>
          <w:rFonts w:asciiTheme="minorEastAsia" w:hAnsiTheme="minorEastAsia" w:cstheme="minorEastAsia"/>
          <w:b/>
          <w:bCs/>
          <w:sz w:val="24"/>
          <w:szCs w:val="24"/>
        </w:rPr>
      </w:pPr>
    </w:p>
    <w:tbl>
      <w:tblPr>
        <w:tblStyle w:val="15"/>
        <w:tblW w:w="4997" w:type="pct"/>
        <w:jc w:val="center"/>
        <w:tblLayout w:type="autofit"/>
        <w:tblCellMar>
          <w:top w:w="0" w:type="dxa"/>
          <w:left w:w="108" w:type="dxa"/>
          <w:bottom w:w="0" w:type="dxa"/>
          <w:right w:w="108" w:type="dxa"/>
        </w:tblCellMar>
      </w:tblPr>
      <w:tblGrid>
        <w:gridCol w:w="875"/>
        <w:gridCol w:w="3043"/>
        <w:gridCol w:w="2102"/>
        <w:gridCol w:w="2422"/>
        <w:gridCol w:w="1394"/>
        <w:gridCol w:w="2156"/>
        <w:gridCol w:w="2173"/>
      </w:tblGrid>
      <w:tr w14:paraId="65D9BB33">
        <w:tblPrEx>
          <w:tblCellMar>
            <w:top w:w="0" w:type="dxa"/>
            <w:left w:w="108" w:type="dxa"/>
            <w:bottom w:w="0" w:type="dxa"/>
            <w:right w:w="108" w:type="dxa"/>
          </w:tblCellMar>
        </w:tblPrEx>
        <w:trPr>
          <w:trHeight w:val="570" w:hRule="atLeast"/>
          <w:jc w:val="center"/>
        </w:trPr>
        <w:tc>
          <w:tcPr>
            <w:tcW w:w="309" w:type="pct"/>
            <w:tcBorders>
              <w:top w:val="single" w:color="auto" w:sz="4" w:space="0"/>
              <w:left w:val="single" w:color="auto" w:sz="4" w:space="0"/>
              <w:bottom w:val="single" w:color="auto" w:sz="4" w:space="0"/>
              <w:right w:val="single" w:color="auto" w:sz="4" w:space="0"/>
            </w:tcBorders>
            <w:noWrap/>
            <w:vAlign w:val="center"/>
          </w:tcPr>
          <w:p w14:paraId="15BA4925">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序号</w:t>
            </w:r>
          </w:p>
        </w:tc>
        <w:tc>
          <w:tcPr>
            <w:tcW w:w="1074" w:type="pct"/>
            <w:tcBorders>
              <w:top w:val="single" w:color="auto" w:sz="4" w:space="0"/>
              <w:left w:val="nil"/>
              <w:bottom w:val="single" w:color="auto" w:sz="4" w:space="0"/>
              <w:right w:val="single" w:color="auto" w:sz="4" w:space="0"/>
            </w:tcBorders>
            <w:noWrap/>
            <w:vAlign w:val="center"/>
          </w:tcPr>
          <w:p w14:paraId="355BBFA7">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研发岗位</w:t>
            </w:r>
          </w:p>
        </w:tc>
        <w:tc>
          <w:tcPr>
            <w:tcW w:w="742" w:type="pct"/>
            <w:tcBorders>
              <w:top w:val="single" w:color="auto" w:sz="4" w:space="0"/>
              <w:left w:val="nil"/>
              <w:bottom w:val="single" w:color="auto" w:sz="4" w:space="0"/>
              <w:right w:val="single" w:color="auto" w:sz="4" w:space="0"/>
            </w:tcBorders>
            <w:noWrap w:val="0"/>
            <w:vAlign w:val="center"/>
          </w:tcPr>
          <w:p w14:paraId="7C676A90">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人员工作量</w:t>
            </w:r>
            <w:r>
              <w:rPr>
                <w:rFonts w:hint="eastAsia" w:ascii="宋体" w:hAnsi="宋体" w:eastAsia="宋体" w:cs="宋体"/>
                <w:b/>
                <w:bCs/>
                <w:i w:val="0"/>
                <w:iCs w:val="0"/>
                <w:color w:val="000000"/>
                <w:kern w:val="0"/>
                <w:sz w:val="24"/>
                <w:szCs w:val="24"/>
                <w:u w:val="none"/>
                <w:lang w:val="en-US" w:eastAsia="zh-CN" w:bidi="ar"/>
              </w:rPr>
              <w:br w:type="textWrapping"/>
            </w:r>
            <w:r>
              <w:rPr>
                <w:rFonts w:hint="eastAsia" w:ascii="宋体" w:hAnsi="宋体" w:eastAsia="宋体" w:cs="宋体"/>
                <w:b/>
                <w:bCs/>
                <w:i w:val="0"/>
                <w:iCs w:val="0"/>
                <w:color w:val="000000"/>
                <w:kern w:val="0"/>
                <w:sz w:val="24"/>
                <w:szCs w:val="24"/>
                <w:u w:val="none"/>
                <w:lang w:val="en-US" w:eastAsia="zh-CN" w:bidi="ar"/>
              </w:rPr>
              <w:t>（人月）</w:t>
            </w:r>
          </w:p>
        </w:tc>
        <w:tc>
          <w:tcPr>
            <w:tcW w:w="855" w:type="pct"/>
            <w:tcBorders>
              <w:top w:val="single" w:color="auto" w:sz="4" w:space="0"/>
              <w:left w:val="nil"/>
              <w:bottom w:val="single" w:color="auto" w:sz="4" w:space="0"/>
              <w:right w:val="single" w:color="auto" w:sz="4" w:space="0"/>
            </w:tcBorders>
            <w:noWrap w:val="0"/>
            <w:vAlign w:val="center"/>
          </w:tcPr>
          <w:p w14:paraId="14F5E657">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报价</w:t>
            </w:r>
            <w:r>
              <w:rPr>
                <w:rFonts w:hint="eastAsia" w:ascii="宋体" w:hAnsi="宋体" w:eastAsia="宋体" w:cs="宋体"/>
                <w:b/>
                <w:bCs/>
                <w:i w:val="0"/>
                <w:iCs w:val="0"/>
                <w:color w:val="000000"/>
                <w:kern w:val="0"/>
                <w:sz w:val="24"/>
                <w:szCs w:val="24"/>
                <w:u w:val="none"/>
                <w:lang w:val="en-US" w:eastAsia="zh-CN" w:bidi="ar"/>
              </w:rPr>
              <w:br w:type="textWrapping"/>
            </w:r>
            <w:r>
              <w:rPr>
                <w:rFonts w:hint="eastAsia" w:ascii="宋体" w:hAnsi="宋体" w:eastAsia="宋体" w:cs="宋体"/>
                <w:b/>
                <w:bCs/>
                <w:i w:val="0"/>
                <w:iCs w:val="0"/>
                <w:color w:val="000000"/>
                <w:kern w:val="0"/>
                <w:sz w:val="24"/>
                <w:szCs w:val="24"/>
                <w:u w:val="none"/>
                <w:lang w:val="en-US" w:eastAsia="zh-CN" w:bidi="ar"/>
              </w:rPr>
              <w:t>（万元/人月）</w:t>
            </w:r>
          </w:p>
        </w:tc>
        <w:tc>
          <w:tcPr>
            <w:tcW w:w="490" w:type="pct"/>
            <w:tcBorders>
              <w:top w:val="single" w:color="auto" w:sz="4" w:space="0"/>
              <w:left w:val="nil"/>
              <w:bottom w:val="single" w:color="auto" w:sz="4" w:space="0"/>
              <w:right w:val="single" w:color="auto" w:sz="4" w:space="0"/>
            </w:tcBorders>
            <w:noWrap w:val="0"/>
            <w:vAlign w:val="center"/>
          </w:tcPr>
          <w:p w14:paraId="772A8BC6">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建设周期</w:t>
            </w:r>
            <w:r>
              <w:rPr>
                <w:rFonts w:hint="eastAsia" w:ascii="宋体" w:hAnsi="宋体" w:eastAsia="宋体" w:cs="宋体"/>
                <w:b/>
                <w:bCs/>
                <w:i w:val="0"/>
                <w:iCs w:val="0"/>
                <w:color w:val="000000"/>
                <w:kern w:val="0"/>
                <w:sz w:val="24"/>
                <w:szCs w:val="24"/>
                <w:u w:val="none"/>
                <w:lang w:val="en-US" w:eastAsia="zh-CN" w:bidi="ar"/>
              </w:rPr>
              <w:br w:type="textWrapping"/>
            </w:r>
            <w:r>
              <w:rPr>
                <w:rFonts w:hint="eastAsia" w:ascii="宋体" w:hAnsi="宋体" w:eastAsia="宋体" w:cs="宋体"/>
                <w:b/>
                <w:bCs/>
                <w:i w:val="0"/>
                <w:iCs w:val="0"/>
                <w:color w:val="000000"/>
                <w:kern w:val="0"/>
                <w:sz w:val="24"/>
                <w:szCs w:val="24"/>
                <w:u w:val="none"/>
                <w:lang w:val="en-US" w:eastAsia="zh-CN" w:bidi="ar"/>
              </w:rPr>
              <w:t>（年）</w:t>
            </w:r>
          </w:p>
        </w:tc>
        <w:tc>
          <w:tcPr>
            <w:tcW w:w="761" w:type="pct"/>
            <w:tcBorders>
              <w:top w:val="single" w:color="auto" w:sz="4" w:space="0"/>
              <w:left w:val="nil"/>
              <w:bottom w:val="single" w:color="auto" w:sz="4" w:space="0"/>
              <w:right w:val="single" w:color="auto" w:sz="4" w:space="0"/>
            </w:tcBorders>
            <w:noWrap w:val="0"/>
            <w:vAlign w:val="center"/>
          </w:tcPr>
          <w:p w14:paraId="45F96520">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小计（万元）</w:t>
            </w:r>
          </w:p>
        </w:tc>
        <w:tc>
          <w:tcPr>
            <w:tcW w:w="765" w:type="pct"/>
            <w:tcBorders>
              <w:top w:val="single" w:color="auto" w:sz="4" w:space="0"/>
              <w:left w:val="nil"/>
              <w:bottom w:val="single" w:color="auto" w:sz="4" w:space="0"/>
              <w:right w:val="single" w:color="auto" w:sz="4" w:space="0"/>
            </w:tcBorders>
            <w:noWrap w:val="0"/>
            <w:vAlign w:val="center"/>
          </w:tcPr>
          <w:p w14:paraId="2D138912">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备注</w:t>
            </w:r>
          </w:p>
        </w:tc>
      </w:tr>
      <w:tr w14:paraId="5DAB0428">
        <w:tblPrEx>
          <w:tblCellMar>
            <w:top w:w="0" w:type="dxa"/>
            <w:left w:w="108" w:type="dxa"/>
            <w:bottom w:w="0" w:type="dxa"/>
            <w:right w:w="108" w:type="dxa"/>
          </w:tblCellMar>
        </w:tblPrEx>
        <w:trPr>
          <w:trHeight w:val="465" w:hRule="atLeast"/>
          <w:jc w:val="center"/>
        </w:trPr>
        <w:tc>
          <w:tcPr>
            <w:tcW w:w="309" w:type="pct"/>
            <w:tcBorders>
              <w:top w:val="single" w:color="auto" w:sz="4" w:space="0"/>
              <w:left w:val="single" w:color="auto" w:sz="4" w:space="0"/>
              <w:bottom w:val="single" w:color="auto" w:sz="4" w:space="0"/>
              <w:right w:val="single" w:color="auto" w:sz="4" w:space="0"/>
            </w:tcBorders>
            <w:noWrap/>
            <w:vAlign w:val="center"/>
          </w:tcPr>
          <w:p w14:paraId="431ECA8A">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1</w:t>
            </w:r>
          </w:p>
        </w:tc>
        <w:tc>
          <w:tcPr>
            <w:tcW w:w="1074" w:type="pct"/>
            <w:tcBorders>
              <w:top w:val="single" w:color="auto" w:sz="4" w:space="0"/>
              <w:left w:val="nil"/>
              <w:bottom w:val="single" w:color="auto" w:sz="4" w:space="0"/>
              <w:right w:val="single" w:color="auto" w:sz="4" w:space="0"/>
            </w:tcBorders>
            <w:noWrap/>
            <w:vAlign w:val="center"/>
          </w:tcPr>
          <w:p w14:paraId="14BDB6ED">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高级Java研发工程师</w:t>
            </w:r>
          </w:p>
        </w:tc>
        <w:tc>
          <w:tcPr>
            <w:tcW w:w="742" w:type="pct"/>
            <w:tcBorders>
              <w:top w:val="single" w:color="auto" w:sz="4" w:space="0"/>
              <w:left w:val="nil"/>
              <w:bottom w:val="single" w:color="auto" w:sz="4" w:space="0"/>
              <w:right w:val="single" w:color="auto" w:sz="4" w:space="0"/>
            </w:tcBorders>
            <w:noWrap/>
            <w:vAlign w:val="center"/>
          </w:tcPr>
          <w:p w14:paraId="5416B854">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12</w:t>
            </w:r>
          </w:p>
        </w:tc>
        <w:tc>
          <w:tcPr>
            <w:tcW w:w="855" w:type="pct"/>
            <w:tcBorders>
              <w:top w:val="single" w:color="auto" w:sz="4" w:space="0"/>
              <w:left w:val="nil"/>
              <w:bottom w:val="single" w:color="auto" w:sz="4" w:space="0"/>
              <w:right w:val="single" w:color="auto" w:sz="4" w:space="0"/>
            </w:tcBorders>
            <w:shd w:val="clear" w:color="auto" w:fill="FFFF00"/>
            <w:noWrap/>
            <w:vAlign w:val="center"/>
          </w:tcPr>
          <w:p w14:paraId="783DBAF6">
            <w:pPr>
              <w:widowControl/>
              <w:spacing w:after="156"/>
              <w:jc w:val="center"/>
              <w:rPr>
                <w:rFonts w:hint="eastAsia" w:ascii="宋体" w:hAnsi="宋体" w:eastAsia="宋体" w:cs="宋体"/>
                <w:b/>
                <w:bCs/>
                <w:i w:val="0"/>
                <w:iCs w:val="0"/>
                <w:color w:val="000000"/>
                <w:kern w:val="0"/>
                <w:sz w:val="24"/>
                <w:szCs w:val="24"/>
                <w:u w:val="none"/>
                <w:lang w:val="en-US" w:eastAsia="zh-CN" w:bidi="ar"/>
              </w:rPr>
            </w:pPr>
          </w:p>
        </w:tc>
        <w:tc>
          <w:tcPr>
            <w:tcW w:w="490" w:type="pct"/>
            <w:tcBorders>
              <w:top w:val="single" w:color="auto" w:sz="4" w:space="0"/>
              <w:left w:val="nil"/>
              <w:bottom w:val="single" w:color="auto" w:sz="4" w:space="0"/>
              <w:right w:val="single" w:color="auto" w:sz="4" w:space="0"/>
            </w:tcBorders>
            <w:noWrap/>
            <w:vAlign w:val="center"/>
          </w:tcPr>
          <w:p w14:paraId="57015EA8">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1</w:t>
            </w:r>
          </w:p>
        </w:tc>
        <w:tc>
          <w:tcPr>
            <w:tcW w:w="761" w:type="pct"/>
            <w:tcBorders>
              <w:top w:val="single" w:color="auto" w:sz="4" w:space="0"/>
              <w:left w:val="nil"/>
              <w:bottom w:val="single" w:color="auto" w:sz="4" w:space="0"/>
              <w:right w:val="single" w:color="auto" w:sz="4" w:space="0"/>
            </w:tcBorders>
            <w:shd w:val="clear" w:color="auto" w:fill="FFFF00"/>
            <w:noWrap/>
            <w:vAlign w:val="center"/>
          </w:tcPr>
          <w:p w14:paraId="0A957CCF">
            <w:pPr>
              <w:widowControl/>
              <w:spacing w:after="156"/>
              <w:jc w:val="center"/>
              <w:rPr>
                <w:rFonts w:hint="eastAsia" w:ascii="宋体" w:hAnsi="宋体" w:eastAsia="宋体" w:cs="宋体"/>
                <w:b/>
                <w:bCs/>
                <w:i w:val="0"/>
                <w:iCs w:val="0"/>
                <w:color w:val="000000"/>
                <w:kern w:val="0"/>
                <w:sz w:val="24"/>
                <w:szCs w:val="24"/>
                <w:highlight w:val="yellow"/>
                <w:u w:val="none"/>
                <w:lang w:val="en-US" w:eastAsia="zh-CN" w:bidi="ar"/>
              </w:rPr>
            </w:pPr>
          </w:p>
        </w:tc>
        <w:tc>
          <w:tcPr>
            <w:tcW w:w="765" w:type="pct"/>
            <w:tcBorders>
              <w:top w:val="single" w:color="auto" w:sz="4" w:space="0"/>
              <w:left w:val="nil"/>
              <w:bottom w:val="single" w:color="auto" w:sz="4" w:space="0"/>
              <w:right w:val="single" w:color="auto" w:sz="4" w:space="0"/>
            </w:tcBorders>
            <w:shd w:val="clear" w:color="auto" w:fill="FFFF00"/>
            <w:noWrap/>
            <w:vAlign w:val="center"/>
          </w:tcPr>
          <w:p w14:paraId="4D3915F6">
            <w:pPr>
              <w:widowControl/>
              <w:spacing w:after="156"/>
              <w:jc w:val="center"/>
              <w:rPr>
                <w:rFonts w:hint="eastAsia" w:ascii="宋体" w:hAnsi="宋体" w:eastAsia="宋体" w:cs="宋体"/>
                <w:b/>
                <w:bCs/>
                <w:i w:val="0"/>
                <w:iCs w:val="0"/>
                <w:color w:val="000000"/>
                <w:kern w:val="0"/>
                <w:sz w:val="24"/>
                <w:szCs w:val="24"/>
                <w:u w:val="none"/>
                <w:lang w:val="en-US" w:eastAsia="zh-CN" w:bidi="ar"/>
              </w:rPr>
            </w:pPr>
          </w:p>
        </w:tc>
      </w:tr>
      <w:tr w14:paraId="66854D50">
        <w:tblPrEx>
          <w:tblCellMar>
            <w:top w:w="0" w:type="dxa"/>
            <w:left w:w="108" w:type="dxa"/>
            <w:bottom w:w="0" w:type="dxa"/>
            <w:right w:w="108" w:type="dxa"/>
          </w:tblCellMar>
        </w:tblPrEx>
        <w:trPr>
          <w:trHeight w:val="465" w:hRule="atLeast"/>
          <w:jc w:val="center"/>
        </w:trPr>
        <w:tc>
          <w:tcPr>
            <w:tcW w:w="309" w:type="pct"/>
            <w:tcBorders>
              <w:top w:val="single" w:color="auto" w:sz="4" w:space="0"/>
              <w:left w:val="single" w:color="auto" w:sz="4" w:space="0"/>
              <w:bottom w:val="single" w:color="auto" w:sz="4" w:space="0"/>
              <w:right w:val="single" w:color="auto" w:sz="4" w:space="0"/>
            </w:tcBorders>
            <w:noWrap/>
            <w:vAlign w:val="center"/>
          </w:tcPr>
          <w:p w14:paraId="3E50E4FF">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2</w:t>
            </w:r>
          </w:p>
        </w:tc>
        <w:tc>
          <w:tcPr>
            <w:tcW w:w="1074" w:type="pct"/>
            <w:tcBorders>
              <w:top w:val="single" w:color="auto" w:sz="4" w:space="0"/>
              <w:left w:val="nil"/>
              <w:bottom w:val="single" w:color="auto" w:sz="4" w:space="0"/>
              <w:right w:val="single" w:color="auto" w:sz="4" w:space="0"/>
            </w:tcBorders>
            <w:noWrap/>
            <w:vAlign w:val="center"/>
          </w:tcPr>
          <w:p w14:paraId="65855516">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中级Java研发工程师</w:t>
            </w:r>
          </w:p>
        </w:tc>
        <w:tc>
          <w:tcPr>
            <w:tcW w:w="742" w:type="pct"/>
            <w:tcBorders>
              <w:top w:val="single" w:color="auto" w:sz="4" w:space="0"/>
              <w:left w:val="nil"/>
              <w:bottom w:val="single" w:color="auto" w:sz="4" w:space="0"/>
              <w:right w:val="single" w:color="auto" w:sz="4" w:space="0"/>
            </w:tcBorders>
            <w:noWrap/>
            <w:vAlign w:val="center"/>
          </w:tcPr>
          <w:p w14:paraId="0F7AB290">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12</w:t>
            </w:r>
          </w:p>
        </w:tc>
        <w:tc>
          <w:tcPr>
            <w:tcW w:w="855" w:type="pct"/>
            <w:tcBorders>
              <w:top w:val="single" w:color="auto" w:sz="4" w:space="0"/>
              <w:left w:val="nil"/>
              <w:bottom w:val="single" w:color="auto" w:sz="4" w:space="0"/>
              <w:right w:val="single" w:color="auto" w:sz="4" w:space="0"/>
            </w:tcBorders>
            <w:shd w:val="clear" w:color="auto" w:fill="FFFF00"/>
            <w:noWrap/>
            <w:vAlign w:val="center"/>
          </w:tcPr>
          <w:p w14:paraId="78136C3B">
            <w:pPr>
              <w:widowControl/>
              <w:spacing w:after="156"/>
              <w:jc w:val="center"/>
              <w:rPr>
                <w:rFonts w:hint="eastAsia" w:ascii="宋体" w:hAnsi="宋体" w:eastAsia="宋体" w:cs="宋体"/>
                <w:b/>
                <w:bCs/>
                <w:i w:val="0"/>
                <w:iCs w:val="0"/>
                <w:color w:val="000000"/>
                <w:kern w:val="0"/>
                <w:sz w:val="24"/>
                <w:szCs w:val="24"/>
                <w:u w:val="none"/>
                <w:lang w:val="en-US" w:eastAsia="zh-CN" w:bidi="ar"/>
              </w:rPr>
            </w:pPr>
          </w:p>
        </w:tc>
        <w:tc>
          <w:tcPr>
            <w:tcW w:w="490" w:type="pct"/>
            <w:tcBorders>
              <w:top w:val="single" w:color="auto" w:sz="4" w:space="0"/>
              <w:left w:val="nil"/>
              <w:bottom w:val="single" w:color="auto" w:sz="4" w:space="0"/>
              <w:right w:val="single" w:color="auto" w:sz="4" w:space="0"/>
            </w:tcBorders>
            <w:noWrap/>
            <w:vAlign w:val="center"/>
          </w:tcPr>
          <w:p w14:paraId="741484A7">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1</w:t>
            </w:r>
          </w:p>
        </w:tc>
        <w:tc>
          <w:tcPr>
            <w:tcW w:w="761" w:type="pct"/>
            <w:tcBorders>
              <w:top w:val="single" w:color="auto" w:sz="4" w:space="0"/>
              <w:left w:val="nil"/>
              <w:bottom w:val="single" w:color="auto" w:sz="4" w:space="0"/>
              <w:right w:val="single" w:color="auto" w:sz="4" w:space="0"/>
            </w:tcBorders>
            <w:shd w:val="clear" w:color="auto" w:fill="FFFF00"/>
            <w:noWrap/>
            <w:vAlign w:val="center"/>
          </w:tcPr>
          <w:p w14:paraId="009EF2AF">
            <w:pPr>
              <w:widowControl/>
              <w:spacing w:after="156"/>
              <w:jc w:val="center"/>
              <w:rPr>
                <w:rFonts w:hint="eastAsia" w:ascii="宋体" w:hAnsi="宋体" w:eastAsia="宋体" w:cs="宋体"/>
                <w:b/>
                <w:bCs/>
                <w:i w:val="0"/>
                <w:iCs w:val="0"/>
                <w:color w:val="000000"/>
                <w:kern w:val="0"/>
                <w:sz w:val="24"/>
                <w:szCs w:val="24"/>
                <w:highlight w:val="yellow"/>
                <w:u w:val="none"/>
                <w:lang w:val="en-US" w:eastAsia="zh-CN" w:bidi="ar"/>
              </w:rPr>
            </w:pPr>
          </w:p>
        </w:tc>
        <w:tc>
          <w:tcPr>
            <w:tcW w:w="765" w:type="pct"/>
            <w:tcBorders>
              <w:top w:val="single" w:color="auto" w:sz="4" w:space="0"/>
              <w:left w:val="nil"/>
              <w:bottom w:val="single" w:color="auto" w:sz="4" w:space="0"/>
              <w:right w:val="single" w:color="auto" w:sz="4" w:space="0"/>
            </w:tcBorders>
            <w:shd w:val="clear" w:color="auto" w:fill="FFFF00"/>
            <w:noWrap/>
            <w:vAlign w:val="center"/>
          </w:tcPr>
          <w:p w14:paraId="28569D11">
            <w:pPr>
              <w:widowControl/>
              <w:spacing w:after="156"/>
              <w:jc w:val="center"/>
              <w:rPr>
                <w:rFonts w:hint="eastAsia" w:ascii="宋体" w:hAnsi="宋体" w:eastAsia="宋体" w:cs="宋体"/>
                <w:b/>
                <w:bCs/>
                <w:i w:val="0"/>
                <w:iCs w:val="0"/>
                <w:color w:val="000000"/>
                <w:kern w:val="0"/>
                <w:sz w:val="24"/>
                <w:szCs w:val="24"/>
                <w:u w:val="none"/>
                <w:lang w:val="en-US" w:eastAsia="zh-CN" w:bidi="ar"/>
              </w:rPr>
            </w:pPr>
          </w:p>
        </w:tc>
      </w:tr>
      <w:tr w14:paraId="6185D1FB">
        <w:tblPrEx>
          <w:tblCellMar>
            <w:top w:w="0" w:type="dxa"/>
            <w:left w:w="108" w:type="dxa"/>
            <w:bottom w:w="0" w:type="dxa"/>
            <w:right w:w="108" w:type="dxa"/>
          </w:tblCellMar>
        </w:tblPrEx>
        <w:trPr>
          <w:trHeight w:val="465" w:hRule="atLeast"/>
          <w:jc w:val="center"/>
        </w:trPr>
        <w:tc>
          <w:tcPr>
            <w:tcW w:w="309" w:type="pct"/>
            <w:tcBorders>
              <w:top w:val="single" w:color="auto" w:sz="4" w:space="0"/>
              <w:left w:val="single" w:color="auto" w:sz="4" w:space="0"/>
              <w:bottom w:val="single" w:color="auto" w:sz="4" w:space="0"/>
              <w:right w:val="single" w:color="auto" w:sz="4" w:space="0"/>
            </w:tcBorders>
            <w:noWrap/>
            <w:vAlign w:val="center"/>
          </w:tcPr>
          <w:p w14:paraId="3E62ED1B">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3</w:t>
            </w:r>
          </w:p>
        </w:tc>
        <w:tc>
          <w:tcPr>
            <w:tcW w:w="1074" w:type="pct"/>
            <w:tcBorders>
              <w:top w:val="single" w:color="auto" w:sz="4" w:space="0"/>
              <w:left w:val="nil"/>
              <w:bottom w:val="single" w:color="auto" w:sz="4" w:space="0"/>
              <w:right w:val="single" w:color="auto" w:sz="4" w:space="0"/>
            </w:tcBorders>
            <w:noWrap/>
            <w:vAlign w:val="center"/>
          </w:tcPr>
          <w:p w14:paraId="134ED9EE">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中级H5研发工程师</w:t>
            </w:r>
          </w:p>
        </w:tc>
        <w:tc>
          <w:tcPr>
            <w:tcW w:w="742" w:type="pct"/>
            <w:tcBorders>
              <w:top w:val="single" w:color="auto" w:sz="4" w:space="0"/>
              <w:left w:val="nil"/>
              <w:bottom w:val="single" w:color="auto" w:sz="4" w:space="0"/>
              <w:right w:val="single" w:color="auto" w:sz="4" w:space="0"/>
            </w:tcBorders>
            <w:noWrap/>
            <w:vAlign w:val="center"/>
          </w:tcPr>
          <w:p w14:paraId="2B6BD14F">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12</w:t>
            </w:r>
          </w:p>
        </w:tc>
        <w:tc>
          <w:tcPr>
            <w:tcW w:w="855" w:type="pct"/>
            <w:tcBorders>
              <w:top w:val="single" w:color="auto" w:sz="4" w:space="0"/>
              <w:left w:val="nil"/>
              <w:bottom w:val="single" w:color="auto" w:sz="4" w:space="0"/>
              <w:right w:val="single" w:color="auto" w:sz="4" w:space="0"/>
            </w:tcBorders>
            <w:shd w:val="clear" w:color="auto" w:fill="FFFF00"/>
            <w:noWrap/>
            <w:vAlign w:val="center"/>
          </w:tcPr>
          <w:p w14:paraId="4AC30098">
            <w:pPr>
              <w:widowControl/>
              <w:spacing w:after="156"/>
              <w:jc w:val="center"/>
              <w:rPr>
                <w:rFonts w:hint="eastAsia" w:ascii="宋体" w:hAnsi="宋体" w:eastAsia="宋体" w:cs="宋体"/>
                <w:b/>
                <w:bCs/>
                <w:i w:val="0"/>
                <w:iCs w:val="0"/>
                <w:color w:val="000000"/>
                <w:kern w:val="0"/>
                <w:sz w:val="24"/>
                <w:szCs w:val="24"/>
                <w:u w:val="none"/>
                <w:lang w:val="en-US" w:eastAsia="zh-CN" w:bidi="ar"/>
              </w:rPr>
            </w:pPr>
          </w:p>
        </w:tc>
        <w:tc>
          <w:tcPr>
            <w:tcW w:w="490" w:type="pct"/>
            <w:tcBorders>
              <w:top w:val="single" w:color="auto" w:sz="4" w:space="0"/>
              <w:left w:val="nil"/>
              <w:bottom w:val="single" w:color="auto" w:sz="4" w:space="0"/>
              <w:right w:val="single" w:color="auto" w:sz="4" w:space="0"/>
            </w:tcBorders>
            <w:noWrap/>
            <w:vAlign w:val="center"/>
          </w:tcPr>
          <w:p w14:paraId="3E9C628D">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1</w:t>
            </w:r>
          </w:p>
        </w:tc>
        <w:tc>
          <w:tcPr>
            <w:tcW w:w="761" w:type="pct"/>
            <w:tcBorders>
              <w:top w:val="single" w:color="auto" w:sz="4" w:space="0"/>
              <w:left w:val="nil"/>
              <w:bottom w:val="single" w:color="auto" w:sz="4" w:space="0"/>
              <w:right w:val="single" w:color="auto" w:sz="4" w:space="0"/>
            </w:tcBorders>
            <w:shd w:val="clear" w:color="auto" w:fill="FFFF00"/>
            <w:noWrap/>
            <w:vAlign w:val="center"/>
          </w:tcPr>
          <w:p w14:paraId="5778F12D">
            <w:pPr>
              <w:widowControl/>
              <w:spacing w:after="156"/>
              <w:jc w:val="center"/>
              <w:rPr>
                <w:rFonts w:hint="eastAsia" w:ascii="宋体" w:hAnsi="宋体" w:eastAsia="宋体" w:cs="宋体"/>
                <w:b/>
                <w:bCs/>
                <w:i w:val="0"/>
                <w:iCs w:val="0"/>
                <w:color w:val="000000"/>
                <w:kern w:val="0"/>
                <w:sz w:val="24"/>
                <w:szCs w:val="24"/>
                <w:highlight w:val="yellow"/>
                <w:u w:val="none"/>
                <w:lang w:val="en-US" w:eastAsia="zh-CN" w:bidi="ar"/>
              </w:rPr>
            </w:pPr>
          </w:p>
        </w:tc>
        <w:tc>
          <w:tcPr>
            <w:tcW w:w="765" w:type="pct"/>
            <w:tcBorders>
              <w:top w:val="single" w:color="auto" w:sz="4" w:space="0"/>
              <w:left w:val="nil"/>
              <w:bottom w:val="single" w:color="auto" w:sz="4" w:space="0"/>
              <w:right w:val="single" w:color="auto" w:sz="4" w:space="0"/>
            </w:tcBorders>
            <w:shd w:val="clear" w:color="auto" w:fill="FFFF00"/>
            <w:noWrap/>
            <w:vAlign w:val="center"/>
          </w:tcPr>
          <w:p w14:paraId="6B4B115C">
            <w:pPr>
              <w:widowControl/>
              <w:spacing w:after="156"/>
              <w:jc w:val="center"/>
              <w:rPr>
                <w:rFonts w:hint="eastAsia" w:ascii="宋体" w:hAnsi="宋体" w:eastAsia="宋体" w:cs="宋体"/>
                <w:b/>
                <w:bCs/>
                <w:i w:val="0"/>
                <w:iCs w:val="0"/>
                <w:color w:val="000000"/>
                <w:kern w:val="0"/>
                <w:sz w:val="24"/>
                <w:szCs w:val="24"/>
                <w:u w:val="none"/>
                <w:lang w:val="en-US" w:eastAsia="zh-CN" w:bidi="ar"/>
              </w:rPr>
            </w:pPr>
          </w:p>
        </w:tc>
      </w:tr>
      <w:tr w14:paraId="7E121AC3">
        <w:tblPrEx>
          <w:tblCellMar>
            <w:top w:w="0" w:type="dxa"/>
            <w:left w:w="108" w:type="dxa"/>
            <w:bottom w:w="0" w:type="dxa"/>
            <w:right w:w="108" w:type="dxa"/>
          </w:tblCellMar>
        </w:tblPrEx>
        <w:trPr>
          <w:trHeight w:val="465" w:hRule="atLeast"/>
          <w:jc w:val="center"/>
        </w:trPr>
        <w:tc>
          <w:tcPr>
            <w:tcW w:w="3472" w:type="pct"/>
            <w:gridSpan w:val="5"/>
            <w:tcBorders>
              <w:top w:val="single" w:color="auto" w:sz="4" w:space="0"/>
              <w:left w:val="single" w:color="auto" w:sz="4" w:space="0"/>
              <w:bottom w:val="single" w:color="auto" w:sz="4" w:space="0"/>
              <w:right w:val="single" w:color="auto" w:sz="4" w:space="0"/>
            </w:tcBorders>
            <w:noWrap/>
            <w:vAlign w:val="center"/>
          </w:tcPr>
          <w:p w14:paraId="57BB3394">
            <w:pPr>
              <w:widowControl/>
              <w:spacing w:after="156"/>
              <w:jc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合计：</w:t>
            </w:r>
          </w:p>
        </w:tc>
        <w:tc>
          <w:tcPr>
            <w:tcW w:w="1527" w:type="pct"/>
            <w:gridSpan w:val="2"/>
            <w:tcBorders>
              <w:top w:val="single" w:color="auto" w:sz="4" w:space="0"/>
              <w:left w:val="nil"/>
              <w:bottom w:val="single" w:color="auto" w:sz="4" w:space="0"/>
              <w:right w:val="single" w:color="auto" w:sz="4" w:space="0"/>
            </w:tcBorders>
            <w:shd w:val="clear" w:color="auto" w:fill="FFFF00"/>
            <w:noWrap/>
            <w:vAlign w:val="center"/>
          </w:tcPr>
          <w:p w14:paraId="7B2F7C98">
            <w:pPr>
              <w:widowControl/>
              <w:spacing w:after="156"/>
              <w:jc w:val="center"/>
              <w:rPr>
                <w:rFonts w:hint="eastAsia" w:ascii="宋体" w:hAnsi="宋体" w:eastAsia="宋体" w:cs="宋体"/>
                <w:b/>
                <w:bCs/>
                <w:i w:val="0"/>
                <w:iCs w:val="0"/>
                <w:color w:val="000000"/>
                <w:kern w:val="0"/>
                <w:sz w:val="24"/>
                <w:szCs w:val="24"/>
                <w:highlight w:val="yellow"/>
                <w:u w:val="none"/>
                <w:lang w:val="en-US" w:eastAsia="zh-CN" w:bidi="ar"/>
              </w:rPr>
            </w:pPr>
          </w:p>
        </w:tc>
      </w:tr>
      <w:tr w14:paraId="2AF73C0E">
        <w:tblPrEx>
          <w:tblCellMar>
            <w:top w:w="0" w:type="dxa"/>
            <w:left w:w="108" w:type="dxa"/>
            <w:bottom w:w="0" w:type="dxa"/>
            <w:right w:w="108" w:type="dxa"/>
          </w:tblCellMar>
        </w:tblPrEx>
        <w:trPr>
          <w:trHeight w:val="465" w:hRule="atLeast"/>
          <w:jc w:val="center"/>
        </w:trPr>
        <w:tc>
          <w:tcPr>
            <w:tcW w:w="5000" w:type="pct"/>
            <w:gridSpan w:val="7"/>
            <w:tcBorders>
              <w:top w:val="single" w:color="auto" w:sz="4" w:space="0"/>
              <w:left w:val="single" w:color="auto" w:sz="4" w:space="0"/>
              <w:bottom w:val="single" w:color="auto" w:sz="4" w:space="0"/>
              <w:right w:val="single" w:color="auto" w:sz="4" w:space="0"/>
            </w:tcBorders>
            <w:noWrap/>
            <w:vAlign w:val="center"/>
          </w:tcPr>
          <w:p w14:paraId="07AF1113">
            <w:pPr>
              <w:widowControl/>
              <w:spacing w:after="156"/>
              <w:jc w:val="left"/>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填写说明：</w:t>
            </w:r>
            <w:r>
              <w:rPr>
                <w:rFonts w:hint="eastAsia" w:ascii="宋体" w:hAnsi="宋体" w:eastAsia="宋体" w:cs="宋体"/>
                <w:b/>
                <w:bCs/>
                <w:i w:val="0"/>
                <w:iCs w:val="0"/>
                <w:color w:val="000000"/>
                <w:kern w:val="0"/>
                <w:sz w:val="24"/>
                <w:szCs w:val="24"/>
                <w:u w:val="none"/>
                <w:lang w:val="en-US" w:eastAsia="zh-CN" w:bidi="ar"/>
              </w:rPr>
              <w:br w:type="textWrapping"/>
            </w:r>
            <w:r>
              <w:rPr>
                <w:rFonts w:hint="eastAsia" w:ascii="宋体" w:hAnsi="宋体" w:eastAsia="宋体" w:cs="宋体"/>
                <w:b/>
                <w:bCs/>
                <w:i w:val="0"/>
                <w:iCs w:val="0"/>
                <w:color w:val="000000"/>
                <w:kern w:val="0"/>
                <w:sz w:val="24"/>
                <w:szCs w:val="24"/>
                <w:u w:val="none"/>
                <w:lang w:val="en-US" w:eastAsia="zh-CN" w:bidi="ar"/>
              </w:rPr>
              <w:t>产品配置要求请查看附件1：《用户需求书》；</w:t>
            </w:r>
            <w:r>
              <w:rPr>
                <w:rFonts w:hint="eastAsia" w:ascii="宋体" w:hAnsi="宋体" w:eastAsia="宋体" w:cs="宋体"/>
                <w:b/>
                <w:bCs/>
                <w:i w:val="0"/>
                <w:iCs w:val="0"/>
                <w:color w:val="000000"/>
                <w:kern w:val="0"/>
                <w:sz w:val="24"/>
                <w:szCs w:val="24"/>
                <w:u w:val="none"/>
                <w:lang w:val="en-US" w:eastAsia="zh-CN" w:bidi="ar"/>
              </w:rPr>
              <w:br w:type="textWrapping"/>
            </w:r>
            <w:r>
              <w:rPr>
                <w:rFonts w:hint="eastAsia" w:ascii="宋体" w:hAnsi="宋体" w:eastAsia="宋体" w:cs="宋体"/>
                <w:b/>
                <w:bCs/>
                <w:i w:val="0"/>
                <w:iCs w:val="0"/>
                <w:color w:val="000000"/>
                <w:kern w:val="0"/>
                <w:sz w:val="24"/>
                <w:szCs w:val="24"/>
                <w:u w:val="none"/>
                <w:lang w:val="en-US" w:eastAsia="zh-CN" w:bidi="ar"/>
              </w:rPr>
              <w:t>参与调研的供应商仅需填写标黄部分，且价格保留两位小数；</w:t>
            </w:r>
            <w:r>
              <w:rPr>
                <w:rFonts w:hint="eastAsia" w:ascii="宋体" w:hAnsi="宋体" w:eastAsia="宋体" w:cs="宋体"/>
                <w:b/>
                <w:bCs/>
                <w:i w:val="0"/>
                <w:iCs w:val="0"/>
                <w:color w:val="000000"/>
                <w:kern w:val="0"/>
                <w:sz w:val="24"/>
                <w:szCs w:val="24"/>
                <w:u w:val="none"/>
                <w:lang w:val="en-US" w:eastAsia="zh-CN" w:bidi="ar"/>
              </w:rPr>
              <w:br w:type="textWrapping"/>
            </w:r>
            <w:r>
              <w:rPr>
                <w:rFonts w:hint="eastAsia" w:ascii="宋体" w:hAnsi="宋体" w:eastAsia="宋体" w:cs="宋体"/>
                <w:b/>
                <w:bCs/>
                <w:i w:val="0"/>
                <w:iCs w:val="0"/>
                <w:color w:val="000000"/>
                <w:kern w:val="0"/>
                <w:sz w:val="24"/>
                <w:szCs w:val="24"/>
                <w:u w:val="none"/>
                <w:lang w:val="en-US" w:eastAsia="zh-CN" w:bidi="ar"/>
              </w:rPr>
              <w:t>如有其他说明，请填写至“备注”内；</w:t>
            </w:r>
            <w:r>
              <w:rPr>
                <w:rFonts w:hint="eastAsia" w:ascii="宋体" w:hAnsi="宋体" w:eastAsia="宋体" w:cs="宋体"/>
                <w:b/>
                <w:bCs/>
                <w:i w:val="0"/>
                <w:iCs w:val="0"/>
                <w:color w:val="000000"/>
                <w:kern w:val="0"/>
                <w:sz w:val="24"/>
                <w:szCs w:val="24"/>
                <w:u w:val="none"/>
                <w:lang w:val="en-US" w:eastAsia="zh-CN" w:bidi="ar"/>
              </w:rPr>
              <w:br w:type="textWrapping"/>
            </w:r>
            <w:r>
              <w:rPr>
                <w:rFonts w:hint="eastAsia" w:ascii="宋体" w:hAnsi="宋体" w:eastAsia="宋体" w:cs="宋体"/>
                <w:b/>
                <w:bCs/>
                <w:i w:val="0"/>
                <w:iCs w:val="0"/>
                <w:color w:val="000000"/>
                <w:kern w:val="0"/>
                <w:sz w:val="24"/>
                <w:szCs w:val="24"/>
                <w:u w:val="none"/>
                <w:lang w:val="en-US" w:eastAsia="zh-CN" w:bidi="ar"/>
              </w:rPr>
              <w:t>此表需打印扫描加盖公章并将填写后的word文件一同发送至调研邮箱。</w:t>
            </w:r>
          </w:p>
        </w:tc>
      </w:tr>
    </w:tbl>
    <w:p w14:paraId="5F547E89">
      <w:pPr>
        <w:spacing w:after="209" w:afterLines="67"/>
        <w:jc w:val="right"/>
        <w:rPr>
          <w:rFonts w:asciiTheme="minorEastAsia" w:hAnsiTheme="minorEastAsia" w:cstheme="minorEastAsia"/>
          <w:b/>
          <w:bCs/>
          <w:sz w:val="24"/>
          <w:szCs w:val="24"/>
        </w:rPr>
      </w:pPr>
    </w:p>
    <w:sectPr>
      <w:pgSz w:w="16838" w:h="11906" w:orient="landscape"/>
      <w:pgMar w:top="1803" w:right="1440" w:bottom="1803" w:left="1440" w:header="851" w:footer="992" w:gutter="0"/>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auto"/>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Segoe UI Emoji">
    <w:panose1 w:val="020B0502040204020203"/>
    <w:charset w:val="00"/>
    <w:family w:val="swiss"/>
    <w:pitch w:val="default"/>
    <w:sig w:usb0="00000001" w:usb1="02000000" w:usb2="08000000" w:usb3="00000000" w:csb0="00000001" w:csb1="00000000"/>
  </w:font>
  <w:font w:name="Tahoma">
    <w:panose1 w:val="020B0604030504040204"/>
    <w:charset w:val="00"/>
    <w:family w:val="auto"/>
    <w:pitch w:val="default"/>
    <w:sig w:usb0="E1002EFF" w:usb1="C000605B" w:usb2="00000029" w:usb3="00000000" w:csb0="200101FF" w:csb1="20280000"/>
  </w:font>
  <w:font w:name="Wingdings">
    <w:panose1 w:val="05000000000000000000"/>
    <w:charset w:val="00"/>
    <w:family w:val="auto"/>
    <w:pitch w:val="default"/>
    <w:sig w:usb0="00000000" w:usb1="00000000" w:usb2="00000000" w:usb3="00000000" w:csb0="80000000" w:csb1="00000000"/>
  </w:font>
  <w:font w:name="等线 Light">
    <w:panose1 w:val="02010600030101010101"/>
    <w:charset w:val="86"/>
    <w:family w:val="auto"/>
    <w:pitch w:val="default"/>
    <w:sig w:usb0="A00002BF" w:usb1="38CF7CFA" w:usb2="00000016" w:usb3="00000000" w:csb0="0004000F" w:csb1="00000000"/>
  </w:font>
  <w:font w:name="PMingLiU">
    <w:altName w:val="Microsoft JhengHei UI"/>
    <w:panose1 w:val="02010601000101010101"/>
    <w:charset w:val="88"/>
    <w:family w:val="auto"/>
    <w:pitch w:val="default"/>
    <w:sig w:usb0="00000000" w:usb1="00000000" w:usb2="00000010" w:usb3="00000000" w:csb0="00100000" w:csb1="00000000"/>
  </w:font>
  <w:font w:name="Microsoft JhengHei UI">
    <w:panose1 w:val="020B0604030504040204"/>
    <w:charset w:val="88"/>
    <w:family w:val="auto"/>
    <w:pitch w:val="default"/>
    <w:sig w:usb0="000002A7" w:usb1="28CF4400" w:usb2="00000016" w:usb3="00000000" w:csb0="001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09354303"/>
    </w:sdtPr>
    <w:sdtEndPr>
      <w:rPr>
        <w:rFonts w:asciiTheme="minorEastAsia" w:hAnsiTheme="minorEastAsia"/>
        <w:sz w:val="24"/>
        <w:szCs w:val="24"/>
      </w:rPr>
    </w:sdtEndPr>
    <w:sdtContent>
      <w:p w14:paraId="4F386978">
        <w:pPr>
          <w:pStyle w:val="10"/>
          <w:jc w:val="center"/>
          <w:rPr>
            <w:rFonts w:asciiTheme="minorEastAsia" w:hAnsiTheme="minorEastAsia"/>
            <w:sz w:val="24"/>
            <w:szCs w:val="24"/>
          </w:rPr>
        </w:pPr>
        <w:r>
          <w:rPr>
            <w:rFonts w:asciiTheme="minorEastAsia" w:hAnsiTheme="minorEastAsia"/>
            <w:sz w:val="24"/>
            <w:szCs w:val="24"/>
          </w:rPr>
          <w:fldChar w:fldCharType="begin"/>
        </w:r>
        <w:r>
          <w:rPr>
            <w:rFonts w:asciiTheme="minorEastAsia" w:hAnsiTheme="minorEastAsia"/>
            <w:sz w:val="24"/>
            <w:szCs w:val="24"/>
          </w:rPr>
          <w:instrText xml:space="preserve">PAGE   \* MERGEFORMAT</w:instrText>
        </w:r>
        <w:r>
          <w:rPr>
            <w:rFonts w:asciiTheme="minorEastAsia" w:hAnsiTheme="minorEastAsia"/>
            <w:sz w:val="24"/>
            <w:szCs w:val="24"/>
          </w:rPr>
          <w:fldChar w:fldCharType="separate"/>
        </w:r>
        <w:r>
          <w:rPr>
            <w:rFonts w:asciiTheme="minorEastAsia" w:hAnsiTheme="minorEastAsia"/>
            <w:sz w:val="24"/>
            <w:szCs w:val="24"/>
            <w:lang w:val="zh-CN"/>
          </w:rPr>
          <w:t>4</w:t>
        </w:r>
        <w:r>
          <w:rPr>
            <w:rFonts w:asciiTheme="minorEastAsia" w:hAnsiTheme="minorEastAsia"/>
            <w:sz w:val="24"/>
            <w:szCs w:val="24"/>
          </w:rPr>
          <w:fldChar w:fldCharType="end"/>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7E4C18"/>
    <w:multiLevelType w:val="singleLevel"/>
    <w:tmpl w:val="9A7E4C18"/>
    <w:lvl w:ilvl="0" w:tentative="0">
      <w:start w:val="1"/>
      <w:numFmt w:val="decimal"/>
      <w:lvlText w:val="%1."/>
      <w:lvlJc w:val="left"/>
      <w:pPr>
        <w:ind w:left="425" w:hanging="425"/>
      </w:pPr>
      <w:rPr>
        <w:rFonts w:hint="default"/>
      </w:rPr>
    </w:lvl>
  </w:abstractNum>
  <w:abstractNum w:abstractNumId="1">
    <w:nsid w:val="068B3736"/>
    <w:multiLevelType w:val="multilevel"/>
    <w:tmpl w:val="068B3736"/>
    <w:lvl w:ilvl="0" w:tentative="0">
      <w:start w:val="1"/>
      <w:numFmt w:val="decimal"/>
      <w:suff w:val="space"/>
      <w:lvlText w:val="%1"/>
      <w:lvlJc w:val="center"/>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185D6201"/>
    <w:multiLevelType w:val="multilevel"/>
    <w:tmpl w:val="185D6201"/>
    <w:lvl w:ilvl="0" w:tentative="0">
      <w:start w:val="1"/>
      <w:numFmt w:val="decimal"/>
      <w:suff w:val="space"/>
      <w:lvlText w:val="（%1）"/>
      <w:lvlJc w:val="left"/>
      <w:pPr>
        <w:ind w:left="0" w:firstLine="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
    <w:nsid w:val="26007FCA"/>
    <w:multiLevelType w:val="multilevel"/>
    <w:tmpl w:val="26007FCA"/>
    <w:lvl w:ilvl="0" w:tentative="0">
      <w:start w:val="1"/>
      <w:numFmt w:val="chineseCountingThousand"/>
      <w:pStyle w:val="2"/>
      <w:lvlText w:val="%1、"/>
      <w:lvlJc w:val="left"/>
      <w:pPr>
        <w:tabs>
          <w:tab w:val="left" w:pos="432"/>
        </w:tabs>
        <w:ind w:left="432" w:hanging="432"/>
      </w:pPr>
      <w:rPr>
        <w:rFonts w:hint="eastAsia"/>
      </w:rPr>
    </w:lvl>
    <w:lvl w:ilvl="1" w:tentative="0">
      <w:start w:val="1"/>
      <w:numFmt w:val="decimal"/>
      <w:lvlText w:val="3.%2"/>
      <w:lvlJc w:val="left"/>
      <w:pPr>
        <w:tabs>
          <w:tab w:val="left" w:pos="576"/>
        </w:tabs>
        <w:ind w:left="576" w:hanging="576"/>
      </w:pPr>
      <w:rPr>
        <w:rFonts w:hint="eastAsia"/>
      </w:rPr>
    </w:lvl>
    <w:lvl w:ilvl="2" w:tentative="0">
      <w:start w:val="1"/>
      <w:numFmt w:val="decimal"/>
      <w:lvlText w:val="3.5.%3 "/>
      <w:lvlJc w:val="left"/>
      <w:pPr>
        <w:tabs>
          <w:tab w:val="left" w:pos="720"/>
        </w:tabs>
        <w:ind w:left="720" w:hanging="720"/>
      </w:pPr>
      <w:rPr>
        <w:rFonts w:hint="eastAsia"/>
      </w:rPr>
    </w:lvl>
    <w:lvl w:ilvl="3" w:tentative="0">
      <w:start w:val="1"/>
      <w:numFmt w:val="decimal"/>
      <w:lvlText w:val="3.5.1.%4 "/>
      <w:lvlJc w:val="left"/>
      <w:pPr>
        <w:tabs>
          <w:tab w:val="left" w:pos="1440"/>
        </w:tabs>
        <w:ind w:left="1000" w:hanging="1000"/>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2712045E"/>
    <w:multiLevelType w:val="multilevel"/>
    <w:tmpl w:val="2712045E"/>
    <w:lvl w:ilvl="0" w:tentative="0">
      <w:start w:val="1"/>
      <w:numFmt w:val="decimal"/>
      <w:lvlText w:val="%1"/>
      <w:lvlJc w:val="left"/>
      <w:pPr>
        <w:ind w:left="425" w:hanging="425"/>
      </w:pPr>
    </w:lvl>
    <w:lvl w:ilvl="1" w:tentative="0">
      <w:start w:val="1"/>
      <w:numFmt w:val="decimal"/>
      <w:lvlText w:val="%1.%2"/>
      <w:lvlJc w:val="left"/>
      <w:pPr>
        <w:ind w:left="992" w:hanging="567"/>
      </w:pPr>
    </w:lvl>
    <w:lvl w:ilvl="2" w:tentative="0">
      <w:start w:val="1"/>
      <w:numFmt w:val="decimal"/>
      <w:lvlText w:val="%1.%2.%3"/>
      <w:lvlJc w:val="left"/>
      <w:pPr>
        <w:ind w:left="567"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abstractNum w:abstractNumId="5">
    <w:nsid w:val="2BEE12A5"/>
    <w:multiLevelType w:val="multilevel"/>
    <w:tmpl w:val="2BEE12A5"/>
    <w:lvl w:ilvl="0" w:tentative="0">
      <w:start w:val="1"/>
      <w:numFmt w:val="japaneseCounting"/>
      <w:lvlText w:val="%1、"/>
      <w:lvlJc w:val="left"/>
      <w:pPr>
        <w:ind w:left="495" w:hanging="49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2FDA9CA9"/>
    <w:multiLevelType w:val="multilevel"/>
    <w:tmpl w:val="2FDA9CA9"/>
    <w:lvl w:ilvl="0" w:tentative="0">
      <w:start w:val="1"/>
      <w:numFmt w:val="decimal"/>
      <w:suff w:val="space"/>
      <w:lvlText w:val="%1"/>
      <w:lvlJc w:val="center"/>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363D79C3"/>
    <w:multiLevelType w:val="multilevel"/>
    <w:tmpl w:val="363D79C3"/>
    <w:lvl w:ilvl="0" w:tentative="0">
      <w:start w:val="1"/>
      <w:numFmt w:val="decimal"/>
      <w:lvlText w:val="3.%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47FE0E27"/>
    <w:multiLevelType w:val="multilevel"/>
    <w:tmpl w:val="47FE0E27"/>
    <w:lvl w:ilvl="0" w:tentative="0">
      <w:start w:val="1"/>
      <w:numFmt w:val="decimal"/>
      <w:lvlText w:val="%1"/>
      <w:lvlJc w:val="left"/>
      <w:pPr>
        <w:ind w:left="425" w:hanging="425"/>
      </w:pPr>
      <w:rPr>
        <w:rFonts w:hint="eastAsia"/>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1418"/>
      </w:pPr>
      <w:rPr>
        <w:rFonts w:hint="eastAsia"/>
      </w:rPr>
    </w:lvl>
    <w:lvl w:ilvl="3" w:tentative="0">
      <w:start w:val="1"/>
      <w:numFmt w:val="decimal"/>
      <w:lvlText w:val="%1.%2.%3.%4"/>
      <w:lvlJc w:val="left"/>
      <w:pPr>
        <w:ind w:left="708"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num w:numId="1">
    <w:abstractNumId w:val="3"/>
  </w:num>
  <w:num w:numId="2">
    <w:abstractNumId w:val="5"/>
  </w:num>
  <w:num w:numId="3">
    <w:abstractNumId w:val="0"/>
  </w:num>
  <w:num w:numId="4">
    <w:abstractNumId w:val="4"/>
  </w:num>
  <w:num w:numId="5">
    <w:abstractNumId w:val="7"/>
  </w:num>
  <w:num w:numId="6">
    <w:abstractNumId w:val="8"/>
  </w:num>
  <w:num w:numId="7">
    <w:abstractNumId w:val="6"/>
  </w:num>
  <w:num w:numId="8">
    <w:abstractNumId w:val="1"/>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9"/>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dkNmU4ZTA0YjI0Zjg3NjA5OWQ4ZDUyMWVkYjZkNzIifQ=="/>
  </w:docVars>
  <w:rsids>
    <w:rsidRoot w:val="509C3417"/>
    <w:rsid w:val="00231D84"/>
    <w:rsid w:val="005E15D2"/>
    <w:rsid w:val="00687B51"/>
    <w:rsid w:val="006E3F95"/>
    <w:rsid w:val="00706D87"/>
    <w:rsid w:val="007D69C4"/>
    <w:rsid w:val="00943FEC"/>
    <w:rsid w:val="009A44E3"/>
    <w:rsid w:val="00B419DF"/>
    <w:rsid w:val="00B73413"/>
    <w:rsid w:val="00DF1D82"/>
    <w:rsid w:val="00EC18DF"/>
    <w:rsid w:val="01544C76"/>
    <w:rsid w:val="02AE1145"/>
    <w:rsid w:val="036C34DA"/>
    <w:rsid w:val="03A4265D"/>
    <w:rsid w:val="04B35139"/>
    <w:rsid w:val="050A1AB6"/>
    <w:rsid w:val="069521F9"/>
    <w:rsid w:val="0730481F"/>
    <w:rsid w:val="078D3A1F"/>
    <w:rsid w:val="08601134"/>
    <w:rsid w:val="09675FB7"/>
    <w:rsid w:val="0AC97464"/>
    <w:rsid w:val="0BBA6DAD"/>
    <w:rsid w:val="101A3C7B"/>
    <w:rsid w:val="10CE4387"/>
    <w:rsid w:val="11A150AB"/>
    <w:rsid w:val="11EA0E33"/>
    <w:rsid w:val="13C857F6"/>
    <w:rsid w:val="18491716"/>
    <w:rsid w:val="186B5062"/>
    <w:rsid w:val="1AD47E27"/>
    <w:rsid w:val="1EF65EF6"/>
    <w:rsid w:val="21FD7606"/>
    <w:rsid w:val="220420C6"/>
    <w:rsid w:val="258B383C"/>
    <w:rsid w:val="25B33FCA"/>
    <w:rsid w:val="25EE55BB"/>
    <w:rsid w:val="27C63FD7"/>
    <w:rsid w:val="2A050591"/>
    <w:rsid w:val="2E2B5035"/>
    <w:rsid w:val="2E9322F5"/>
    <w:rsid w:val="30E12562"/>
    <w:rsid w:val="324A4137"/>
    <w:rsid w:val="33F705B7"/>
    <w:rsid w:val="35750372"/>
    <w:rsid w:val="35F745D6"/>
    <w:rsid w:val="360712B0"/>
    <w:rsid w:val="38B40117"/>
    <w:rsid w:val="3CAB670C"/>
    <w:rsid w:val="3CE32368"/>
    <w:rsid w:val="3FD057F7"/>
    <w:rsid w:val="402B55A8"/>
    <w:rsid w:val="426A1DB3"/>
    <w:rsid w:val="450F36EA"/>
    <w:rsid w:val="45F750AA"/>
    <w:rsid w:val="46384F0C"/>
    <w:rsid w:val="476C2E05"/>
    <w:rsid w:val="4B246E03"/>
    <w:rsid w:val="4CAC5CC3"/>
    <w:rsid w:val="4EAB089F"/>
    <w:rsid w:val="4EE243ED"/>
    <w:rsid w:val="50792C6A"/>
    <w:rsid w:val="509C3417"/>
    <w:rsid w:val="51E87E4E"/>
    <w:rsid w:val="52EE0219"/>
    <w:rsid w:val="5326524A"/>
    <w:rsid w:val="5A4B1C58"/>
    <w:rsid w:val="5C975811"/>
    <w:rsid w:val="5EC75FCE"/>
    <w:rsid w:val="5F660EF9"/>
    <w:rsid w:val="61FEF1DB"/>
    <w:rsid w:val="62E745B8"/>
    <w:rsid w:val="62F010AB"/>
    <w:rsid w:val="630B0E65"/>
    <w:rsid w:val="63C27722"/>
    <w:rsid w:val="640B3432"/>
    <w:rsid w:val="671609C5"/>
    <w:rsid w:val="68E83A44"/>
    <w:rsid w:val="6AD46028"/>
    <w:rsid w:val="6B590552"/>
    <w:rsid w:val="6CA53D7D"/>
    <w:rsid w:val="6FB46293"/>
    <w:rsid w:val="715156A2"/>
    <w:rsid w:val="76343069"/>
    <w:rsid w:val="77515232"/>
    <w:rsid w:val="779605E4"/>
    <w:rsid w:val="77BB3365"/>
    <w:rsid w:val="7AAF67FA"/>
    <w:rsid w:val="7B117AF2"/>
    <w:rsid w:val="7CB00608"/>
    <w:rsid w:val="F7FFBC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3"/>
    <w:qFormat/>
    <w:uiPriority w:val="0"/>
    <w:pPr>
      <w:keepNext/>
      <w:keepLines/>
      <w:pageBreakBefore/>
      <w:numPr>
        <w:ilvl w:val="0"/>
        <w:numId w:val="1"/>
      </w:numPr>
      <w:spacing w:before="340" w:afterLines="50" w:line="578" w:lineRule="auto"/>
      <w:outlineLvl w:val="0"/>
    </w:pPr>
    <w:rPr>
      <w:rFonts w:eastAsia="黑体" w:cs="Times New Roman"/>
      <w:b/>
      <w:bCs/>
      <w:spacing w:val="20"/>
      <w:kern w:val="44"/>
      <w:sz w:val="36"/>
      <w:szCs w:val="44"/>
    </w:rPr>
  </w:style>
  <w:style w:type="paragraph" w:styleId="4">
    <w:name w:val="heading 2"/>
    <w:basedOn w:val="1"/>
    <w:next w:val="3"/>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3"/>
    <w:unhideWhenUsed/>
    <w:qFormat/>
    <w:uiPriority w:val="9"/>
    <w:pPr>
      <w:keepNext/>
      <w:keepLines/>
      <w:spacing w:before="260" w:after="260" w:line="416" w:lineRule="auto"/>
      <w:outlineLvl w:val="2"/>
    </w:pPr>
    <w:rPr>
      <w:b/>
      <w:bCs/>
      <w:sz w:val="32"/>
      <w:szCs w:val="32"/>
    </w:rPr>
  </w:style>
  <w:style w:type="paragraph" w:styleId="6">
    <w:name w:val="heading 4"/>
    <w:basedOn w:val="1"/>
    <w:next w:val="3"/>
    <w:qFormat/>
    <w:uiPriority w:val="9"/>
    <w:pPr>
      <w:keepNext/>
      <w:keepLines/>
      <w:tabs>
        <w:tab w:val="left" w:pos="1079"/>
        <w:tab w:val="left" w:pos="1440"/>
      </w:tabs>
      <w:spacing w:before="280" w:line="377" w:lineRule="auto"/>
      <w:outlineLvl w:val="3"/>
    </w:pPr>
    <w:rPr>
      <w:rFonts w:ascii="Arial" w:hAnsi="Arial" w:eastAsia="黑体"/>
      <w:b/>
      <w:bCs/>
      <w:spacing w:val="10"/>
      <w:sz w:val="28"/>
      <w:szCs w:val="28"/>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spacing w:afterLines="50" w:line="360" w:lineRule="auto"/>
      <w:ind w:firstLine="420" w:firstLineChars="200"/>
    </w:pPr>
    <w:rPr>
      <w:rFonts w:ascii="Times New Roman" w:hAnsi="Times New Roman" w:eastAsia="宋体" w:cs="Times New Roman"/>
      <w:szCs w:val="24"/>
    </w:rPr>
  </w:style>
  <w:style w:type="paragraph" w:styleId="7">
    <w:name w:val="annotation text"/>
    <w:basedOn w:val="1"/>
    <w:semiHidden/>
    <w:qFormat/>
    <w:uiPriority w:val="0"/>
    <w:pPr>
      <w:jc w:val="left"/>
    </w:pPr>
  </w:style>
  <w:style w:type="paragraph" w:styleId="8">
    <w:name w:val="Body Text"/>
    <w:basedOn w:val="1"/>
    <w:qFormat/>
    <w:uiPriority w:val="99"/>
    <w:pPr>
      <w:spacing w:after="120"/>
    </w:pPr>
  </w:style>
  <w:style w:type="paragraph" w:styleId="9">
    <w:name w:val="Balloon Text"/>
    <w:basedOn w:val="1"/>
    <w:link w:val="20"/>
    <w:qFormat/>
    <w:uiPriority w:val="0"/>
    <w:rPr>
      <w:sz w:val="18"/>
      <w:szCs w:val="18"/>
    </w:rPr>
  </w:style>
  <w:style w:type="paragraph" w:styleId="10">
    <w:name w:val="footer"/>
    <w:basedOn w:val="1"/>
    <w:link w:val="19"/>
    <w:qFormat/>
    <w:uiPriority w:val="99"/>
    <w:pPr>
      <w:tabs>
        <w:tab w:val="center" w:pos="4153"/>
        <w:tab w:val="right" w:pos="8306"/>
      </w:tabs>
      <w:snapToGrid w:val="0"/>
      <w:jc w:val="left"/>
    </w:pPr>
    <w:rPr>
      <w:sz w:val="18"/>
      <w:szCs w:val="18"/>
    </w:rPr>
  </w:style>
  <w:style w:type="paragraph" w:styleId="11">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paragraph" w:styleId="12">
    <w:name w:val="index 1"/>
    <w:basedOn w:val="1"/>
    <w:next w:val="1"/>
    <w:unhideWhenUsed/>
    <w:qFormat/>
    <w:uiPriority w:val="99"/>
    <w:pPr>
      <w:spacing w:line="200" w:lineRule="atLeast"/>
      <w:jc w:val="center"/>
    </w:pPr>
    <w:rPr>
      <w:rFonts w:ascii="宋体" w:hAnsi="宋体"/>
    </w:rPr>
  </w:style>
  <w:style w:type="paragraph" w:styleId="13">
    <w:name w:val="Title"/>
    <w:basedOn w:val="1"/>
    <w:next w:val="1"/>
    <w:qFormat/>
    <w:uiPriority w:val="0"/>
    <w:pPr>
      <w:keepNext/>
      <w:keepLines/>
      <w:spacing w:before="240" w:after="60" w:afterLines="0" w:line="415" w:lineRule="auto"/>
      <w:jc w:val="left"/>
      <w:outlineLvl w:val="2"/>
    </w:pPr>
    <w:rPr>
      <w:rFonts w:ascii="等线 Light" w:hAnsi="等线 Light" w:eastAsia="黑体"/>
      <w:sz w:val="28"/>
      <w:szCs w:val="32"/>
    </w:rPr>
  </w:style>
  <w:style w:type="paragraph" w:styleId="14">
    <w:name w:val="Body Text First Indent"/>
    <w:basedOn w:val="8"/>
    <w:qFormat/>
    <w:uiPriority w:val="0"/>
    <w:pPr>
      <w:ind w:firstLine="420" w:firstLineChars="100"/>
    </w:pPr>
    <w:rPr>
      <w:szCs w:val="24"/>
    </w:r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8">
    <w:name w:val="页眉 Char"/>
    <w:basedOn w:val="17"/>
    <w:link w:val="11"/>
    <w:qFormat/>
    <w:uiPriority w:val="0"/>
    <w:rPr>
      <w:kern w:val="2"/>
      <w:sz w:val="18"/>
      <w:szCs w:val="18"/>
    </w:rPr>
  </w:style>
  <w:style w:type="character" w:customStyle="1" w:styleId="19">
    <w:name w:val="页脚 Char"/>
    <w:basedOn w:val="17"/>
    <w:link w:val="10"/>
    <w:qFormat/>
    <w:uiPriority w:val="99"/>
    <w:rPr>
      <w:kern w:val="2"/>
      <w:sz w:val="18"/>
      <w:szCs w:val="18"/>
    </w:rPr>
  </w:style>
  <w:style w:type="character" w:customStyle="1" w:styleId="20">
    <w:name w:val="批注框文本 Char"/>
    <w:basedOn w:val="17"/>
    <w:link w:val="9"/>
    <w:qFormat/>
    <w:uiPriority w:val="0"/>
    <w:rPr>
      <w:kern w:val="2"/>
      <w:sz w:val="18"/>
      <w:szCs w:val="18"/>
    </w:rPr>
  </w:style>
  <w:style w:type="character" w:customStyle="1" w:styleId="21">
    <w:name w:val="font31"/>
    <w:qFormat/>
    <w:uiPriority w:val="0"/>
    <w:rPr>
      <w:rFonts w:hint="eastAsia" w:ascii="宋体" w:hAnsi="宋体" w:eastAsia="宋体" w:cs="宋体"/>
      <w:color w:val="000000"/>
      <w:sz w:val="20"/>
      <w:szCs w:val="20"/>
      <w:u w:val="none"/>
    </w:rPr>
  </w:style>
  <w:style w:type="character" w:customStyle="1" w:styleId="22">
    <w:name w:val="font01"/>
    <w:qFormat/>
    <w:uiPriority w:val="0"/>
    <w:rPr>
      <w:rFonts w:hint="default" w:ascii="Arial" w:hAnsi="Arial" w:cs="Arial"/>
      <w:color w:val="000000"/>
      <w:sz w:val="20"/>
      <w:szCs w:val="20"/>
      <w:u w:val="none"/>
    </w:rPr>
  </w:style>
  <w:style w:type="paragraph" w:customStyle="1" w:styleId="23">
    <w:name w:val="Table Text"/>
    <w:basedOn w:val="1"/>
    <w:semiHidden/>
    <w:qFormat/>
    <w:uiPriority w:val="0"/>
    <w:rPr>
      <w:rFonts w:ascii="宋体" w:hAnsi="宋体" w:eastAsia="宋体" w:cs="宋体"/>
      <w:sz w:val="20"/>
      <w:szCs w:val="20"/>
      <w:lang w:eastAsia="en-US"/>
    </w:rPr>
  </w:style>
  <w:style w:type="table" w:customStyle="1" w:styleId="24">
    <w:name w:val="Table Normal"/>
    <w:semiHidden/>
    <w:unhideWhenUsed/>
    <w:qFormat/>
    <w:uiPriority w:val="0"/>
    <w:tblPr>
      <w:tblCellMar>
        <w:top w:w="0" w:type="dxa"/>
        <w:left w:w="0" w:type="dxa"/>
        <w:bottom w:w="0" w:type="dxa"/>
        <w:right w:w="0" w:type="dxa"/>
      </w:tblCellMar>
    </w:tblPr>
  </w:style>
  <w:style w:type="paragraph" w:styleId="25">
    <w:name w:val="List Paragraph"/>
    <w:basedOn w:val="1"/>
    <w:qFormat/>
    <w:uiPriority w:val="99"/>
    <w:pPr>
      <w:ind w:firstLine="420" w:firstLineChars="200"/>
    </w:pPr>
  </w:style>
  <w:style w:type="paragraph" w:customStyle="1" w:styleId="26">
    <w:name w:val="Table Paragraph"/>
    <w:basedOn w:val="1"/>
    <w:qFormat/>
    <w:uiPriority w:val="1"/>
    <w:pPr>
      <w:autoSpaceDE w:val="0"/>
      <w:autoSpaceDN w:val="0"/>
      <w:adjustRightInd w:val="0"/>
      <w:spacing w:line="360" w:lineRule="auto"/>
      <w:ind w:firstLine="200" w:firstLineChars="200"/>
    </w:pPr>
    <w:rPr>
      <w:rFonts w:ascii="宋体" w:hAnsi="Times New Roman" w:eastAsia="宋体" w:cs="宋体"/>
      <w:kern w:val="0"/>
      <w:sz w:val="24"/>
      <w:szCs w:val="24"/>
    </w:rPr>
  </w:style>
  <w:style w:type="paragraph" w:customStyle="1" w:styleId="27">
    <w:name w:val="正文正文"/>
    <w:basedOn w:val="25"/>
    <w:qFormat/>
    <w:uiPriority w:val="0"/>
    <w:pPr>
      <w:spacing w:line="360" w:lineRule="auto"/>
      <w:ind w:right="42" w:rightChars="20" w:firstLine="480"/>
    </w:pPr>
    <w:rPr>
      <w:rFonts w:ascii="Calibri" w:hAnsi="Calibri" w:eastAsia="宋体" w:cs="Times New Roman"/>
      <w:sz w:val="24"/>
      <w:szCs w:val="24"/>
    </w:rPr>
  </w:style>
  <w:style w:type="paragraph" w:customStyle="1" w:styleId="28">
    <w:name w:val="列出段落1"/>
    <w:basedOn w:val="1"/>
    <w:qFormat/>
    <w:uiPriority w:val="0"/>
    <w:pPr>
      <w:spacing w:after="0" w:afterLines="0" w:line="240" w:lineRule="auto"/>
      <w:ind w:firstLine="420" w:firstLineChars="200"/>
    </w:pPr>
    <w:rPr>
      <w:rFonts w:ascii="Tahoma" w:hAnsi="Tahoma" w:eastAsia="PMingLiU"/>
      <w:kern w:val="0"/>
      <w:sz w:val="20"/>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package" Target="embeddings/Microsoft_Visio___1.vsdx"/><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5343</Words>
  <Characters>5645</Characters>
  <Lines>8</Lines>
  <Paragraphs>2</Paragraphs>
  <TotalTime>1</TotalTime>
  <ScaleCrop>false</ScaleCrop>
  <LinksUpToDate>false</LinksUpToDate>
  <CharactersWithSpaces>5696</CharactersWithSpaces>
  <Application>WPS Office_12.1.0.26884_F1E327BC-269C-435d-A152-05C5408002CA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2025-05-29T07:26:00Z</dcterms:created>
  <dc:creator>ZFCG</dc:creator>
  <cp:lastModifiedBy>gc</cp:lastModifiedBy>
  <dcterms:modified xsi:type="dcterms:W3CDTF">2026-06-30T03:32:05Z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2052-12.1.0.26884</vt:lpwstr>
  </property>
  <property fmtid="{D5CDD505-2E9C-101B-9397-08002B2CF9AE}" pid="3" name="ICV">
    <vt:lpwstr>06A602B205A548D5A6FC3390B4B08F0E_13</vt:lpwstr>
  </property>
  <property fmtid="{D5CDD505-2E9C-101B-9397-08002B2CF9AE}" pid="4" name="KSOTemplateDocerSaveRecord">
    <vt:lpwstr>eyJoZGlkIjoiYTRmMmFlMjg4ZGY2MGQxMjE1NjkxMmRmOTAwMDEzNTQiLCJ1c2VySWQiOiIyNTAyNTQ3NzEifQ==</vt:lpwstr>
  </property>
</Properties>
</file>