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A3269">
      <w:pPr>
        <w:spacing w:before="624" w:beforeLines="200" w:after="312" w:afterLines="100" w:line="360" w:lineRule="auto"/>
        <w:jc w:val="center"/>
        <w:rPr>
          <w:rFonts w:ascii="微软雅黑" w:hAnsi="微软雅黑" w:eastAsia="微软雅黑" w:cs="微软雅黑"/>
          <w:b/>
          <w:sz w:val="44"/>
          <w:szCs w:val="30"/>
          <w:highlight w:val="none"/>
        </w:rPr>
      </w:pPr>
      <w:r>
        <w:rPr>
          <w:rFonts w:hint="eastAsia" w:ascii="微软雅黑" w:hAnsi="微软雅黑" w:eastAsia="微软雅黑" w:cs="微软雅黑"/>
          <w:b/>
          <w:sz w:val="44"/>
          <w:szCs w:val="30"/>
        </w:rPr>
        <w:t>国际医疗中心信息</w:t>
      </w:r>
      <w:r>
        <w:rPr>
          <w:rFonts w:hint="eastAsia" w:ascii="微软雅黑" w:hAnsi="微软雅黑" w:eastAsia="微软雅黑" w:cs="微软雅黑"/>
          <w:b/>
          <w:sz w:val="44"/>
          <w:szCs w:val="30"/>
          <w:highlight w:val="none"/>
        </w:rPr>
        <w:t>平台项目（一期）需求</w:t>
      </w:r>
    </w:p>
    <w:p w14:paraId="3667C34C">
      <w:pPr>
        <w:pStyle w:val="74"/>
        <w:rPr>
          <w:rFonts w:hint="default"/>
          <w:highlight w:val="none"/>
        </w:rPr>
      </w:pPr>
      <w:bookmarkStart w:id="0" w:name="_Toc7404"/>
      <w:r>
        <w:rPr>
          <w:highlight w:val="none"/>
        </w:rPr>
        <w:t>项目名称</w:t>
      </w:r>
      <w:bookmarkEnd w:id="0"/>
    </w:p>
    <w:p w14:paraId="6885EFAA">
      <w:pPr>
        <w:snapToGrid w:val="0"/>
        <w:spacing w:line="360" w:lineRule="auto"/>
        <w:ind w:left="431"/>
        <w:rPr>
          <w:rFonts w:ascii="微软雅黑" w:hAnsi="微软雅黑" w:eastAsia="微软雅黑" w:cs="微软雅黑"/>
          <w:sz w:val="22"/>
          <w:highlight w:val="none"/>
        </w:rPr>
      </w:pPr>
      <w:r>
        <w:rPr>
          <w:rFonts w:hint="eastAsia" w:ascii="微软雅黑" w:hAnsi="微软雅黑" w:eastAsia="微软雅黑" w:cs="微软雅黑"/>
          <w:sz w:val="32"/>
          <w:szCs w:val="32"/>
          <w:highlight w:val="none"/>
        </w:rPr>
        <w:t>项目名称：国际医疗中心信息平台项目（一期）</w:t>
      </w:r>
    </w:p>
    <w:p w14:paraId="1C1AFDAB">
      <w:pPr>
        <w:pStyle w:val="74"/>
        <w:rPr>
          <w:rFonts w:hint="default"/>
          <w:highlight w:val="none"/>
        </w:rPr>
      </w:pPr>
      <w:bookmarkStart w:id="1" w:name="_Toc20165"/>
      <w:r>
        <w:rPr>
          <w:rFonts w:hint="eastAsia"/>
          <w:highlight w:val="none"/>
          <w:lang w:val="en-US" w:eastAsia="zh-CN"/>
        </w:rPr>
        <w:t>项目</w:t>
      </w:r>
      <w:r>
        <w:rPr>
          <w:highlight w:val="none"/>
        </w:rPr>
        <w:t>内容</w:t>
      </w:r>
      <w:r>
        <w:rPr>
          <w:rFonts w:hint="eastAsia"/>
          <w:highlight w:val="none"/>
          <w:lang w:val="en-US" w:eastAsia="zh-CN"/>
        </w:rPr>
        <w:t>模块</w:t>
      </w:r>
      <w:bookmarkEnd w:id="1"/>
    </w:p>
    <w:tbl>
      <w:tblPr>
        <w:tblStyle w:val="2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3182"/>
        <w:gridCol w:w="5258"/>
      </w:tblGrid>
      <w:tr w14:paraId="65FA5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tcPr>
          <w:p w14:paraId="37E01A10">
            <w:pPr>
              <w:snapToGrid w:val="0"/>
              <w:jc w:val="center"/>
              <w:rPr>
                <w:rFonts w:ascii="微软雅黑" w:hAnsi="微软雅黑" w:eastAsia="微软雅黑" w:cs="微软雅黑"/>
                <w:highlight w:val="none"/>
              </w:rPr>
            </w:pPr>
            <w:r>
              <w:rPr>
                <w:rFonts w:hint="eastAsia" w:ascii="微软雅黑" w:hAnsi="微软雅黑" w:eastAsia="微软雅黑" w:cs="微软雅黑"/>
                <w:highlight w:val="none"/>
              </w:rPr>
              <w:t>序号</w:t>
            </w:r>
          </w:p>
        </w:tc>
        <w:tc>
          <w:tcPr>
            <w:tcW w:w="3205" w:type="dxa"/>
            <w:tcBorders>
              <w:top w:val="single" w:color="auto" w:sz="4" w:space="0"/>
              <w:left w:val="single" w:color="auto" w:sz="4" w:space="0"/>
              <w:bottom w:val="single" w:color="auto" w:sz="4" w:space="0"/>
              <w:right w:val="single" w:color="auto" w:sz="4" w:space="0"/>
            </w:tcBorders>
          </w:tcPr>
          <w:p w14:paraId="0ABC1462">
            <w:pPr>
              <w:snapToGrid w:val="0"/>
              <w:jc w:val="center"/>
              <w:rPr>
                <w:rFonts w:ascii="微软雅黑" w:hAnsi="微软雅黑" w:eastAsia="微软雅黑" w:cs="微软雅黑"/>
                <w:highlight w:val="none"/>
              </w:rPr>
            </w:pPr>
            <w:r>
              <w:rPr>
                <w:rFonts w:hint="eastAsia" w:ascii="微软雅黑" w:hAnsi="微软雅黑" w:eastAsia="微软雅黑" w:cs="微软雅黑"/>
                <w:highlight w:val="none"/>
              </w:rPr>
              <w:t>系统名称</w:t>
            </w:r>
          </w:p>
        </w:tc>
        <w:tc>
          <w:tcPr>
            <w:tcW w:w="5297" w:type="dxa"/>
            <w:tcBorders>
              <w:top w:val="single" w:color="auto" w:sz="4" w:space="0"/>
              <w:left w:val="single" w:color="auto" w:sz="4" w:space="0"/>
              <w:bottom w:val="single" w:color="auto" w:sz="4" w:space="0"/>
              <w:right w:val="single" w:color="auto" w:sz="4" w:space="0"/>
            </w:tcBorders>
          </w:tcPr>
          <w:p w14:paraId="2ADC2535">
            <w:pPr>
              <w:snapToGrid w:val="0"/>
              <w:jc w:val="center"/>
              <w:rPr>
                <w:rFonts w:ascii="微软雅黑" w:hAnsi="微软雅黑" w:eastAsia="微软雅黑" w:cs="微软雅黑"/>
                <w:highlight w:val="none"/>
              </w:rPr>
            </w:pPr>
            <w:r>
              <w:rPr>
                <w:rFonts w:hint="eastAsia" w:ascii="微软雅黑" w:hAnsi="微软雅黑" w:eastAsia="微软雅黑" w:cs="微软雅黑"/>
                <w:highlight w:val="none"/>
              </w:rPr>
              <w:t>功能模块</w:t>
            </w:r>
          </w:p>
        </w:tc>
      </w:tr>
      <w:tr w14:paraId="7EDED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tcPr>
          <w:p w14:paraId="048E8F39">
            <w:pPr>
              <w:snapToGrid w:val="0"/>
              <w:jc w:val="center"/>
              <w:rPr>
                <w:rFonts w:hint="eastAsia" w:ascii="微软雅黑" w:hAnsi="微软雅黑" w:eastAsia="微软雅黑" w:cs="微软雅黑"/>
                <w:highlight w:val="none"/>
                <w:lang w:eastAsia="zh-CN"/>
              </w:rPr>
            </w:pPr>
            <w:r>
              <w:rPr>
                <w:rFonts w:hint="eastAsia" w:ascii="微软雅黑" w:hAnsi="微软雅黑" w:eastAsia="微软雅黑" w:cs="微软雅黑"/>
                <w:highlight w:val="none"/>
                <w:lang w:eastAsia="zh-CN"/>
              </w:rPr>
              <w:t>（</w:t>
            </w:r>
            <w:r>
              <w:rPr>
                <w:rFonts w:hint="eastAsia" w:ascii="微软雅黑" w:hAnsi="微软雅黑" w:eastAsia="微软雅黑" w:cs="微软雅黑"/>
                <w:highlight w:val="none"/>
                <w:lang w:val="en-US" w:eastAsia="zh-CN"/>
              </w:rPr>
              <w:t>一</w:t>
            </w:r>
            <w:r>
              <w:rPr>
                <w:rFonts w:hint="eastAsia" w:ascii="微软雅黑" w:hAnsi="微软雅黑" w:eastAsia="微软雅黑" w:cs="微软雅黑"/>
                <w:highlight w:val="none"/>
                <w:lang w:eastAsia="zh-CN"/>
              </w:rPr>
              <w:t>）</w:t>
            </w:r>
          </w:p>
        </w:tc>
        <w:tc>
          <w:tcPr>
            <w:tcW w:w="3205" w:type="dxa"/>
            <w:tcBorders>
              <w:top w:val="single" w:color="auto" w:sz="4" w:space="0"/>
              <w:left w:val="single" w:color="auto" w:sz="4" w:space="0"/>
              <w:bottom w:val="single" w:color="auto" w:sz="4" w:space="0"/>
              <w:right w:val="single" w:color="auto" w:sz="4" w:space="0"/>
            </w:tcBorders>
          </w:tcPr>
          <w:p w14:paraId="52DC1577">
            <w:pPr>
              <w:snapToGrid w:val="0"/>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移动患者端用户平台</w:t>
            </w:r>
          </w:p>
        </w:tc>
        <w:tc>
          <w:tcPr>
            <w:tcW w:w="5297" w:type="dxa"/>
            <w:tcBorders>
              <w:top w:val="single" w:color="auto" w:sz="4" w:space="0"/>
              <w:left w:val="single" w:color="auto" w:sz="4" w:space="0"/>
              <w:bottom w:val="single" w:color="auto" w:sz="4" w:space="0"/>
              <w:right w:val="single" w:color="auto" w:sz="4" w:space="0"/>
            </w:tcBorders>
          </w:tcPr>
          <w:p w14:paraId="4792BBB1">
            <w:pPr>
              <w:snapToGrid w:val="0"/>
              <w:rPr>
                <w:rFonts w:ascii="微软雅黑" w:hAnsi="微软雅黑" w:eastAsia="微软雅黑" w:cs="微软雅黑"/>
                <w:highlight w:val="none"/>
              </w:rPr>
            </w:pPr>
            <w:r>
              <w:rPr>
                <w:highlight w:val="none"/>
              </w:rPr>
              <w:fldChar w:fldCharType="begin"/>
            </w:r>
            <w:r>
              <w:rPr>
                <w:highlight w:val="none"/>
              </w:rPr>
              <w:instrText xml:space="preserve"> HYPERLINK \l "_6.1.1、大数据服务器" </w:instrText>
            </w:r>
            <w:r>
              <w:rPr>
                <w:highlight w:val="none"/>
              </w:rPr>
              <w:fldChar w:fldCharType="separate"/>
            </w:r>
            <w:r>
              <w:rPr>
                <w:rFonts w:hint="eastAsia" w:ascii="微软雅黑" w:hAnsi="微软雅黑" w:eastAsia="微软雅黑" w:cs="微软雅黑"/>
                <w:highlight w:val="none"/>
              </w:rPr>
              <w:t>详见详细功能描述中</w:t>
            </w:r>
            <w:r>
              <w:rPr>
                <w:rFonts w:hint="eastAsia" w:ascii="微软雅黑" w:hAnsi="微软雅黑" w:eastAsia="微软雅黑" w:cs="微软雅黑"/>
                <w:highlight w:val="none"/>
              </w:rPr>
              <w:fldChar w:fldCharType="end"/>
            </w:r>
            <w:r>
              <w:rPr>
                <w:rFonts w:hint="eastAsia" w:ascii="微软雅黑" w:hAnsi="微软雅黑" w:eastAsia="微软雅黑" w:cs="微软雅黑"/>
                <w:highlight w:val="none"/>
                <w:lang w:val="en-US" w:eastAsia="zh-CN"/>
              </w:rPr>
              <w:t>移动患者端用户平台</w:t>
            </w:r>
            <w:r>
              <w:rPr>
                <w:rFonts w:hint="eastAsia" w:ascii="微软雅黑" w:hAnsi="微软雅黑" w:eastAsia="微软雅黑" w:cs="微软雅黑"/>
                <w:highlight w:val="none"/>
              </w:rPr>
              <w:t>细项</w:t>
            </w:r>
          </w:p>
        </w:tc>
      </w:tr>
      <w:tr w14:paraId="4C85F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tcPr>
          <w:p w14:paraId="66AE6AA5">
            <w:pPr>
              <w:snapToGrid w:val="0"/>
              <w:jc w:val="center"/>
              <w:rPr>
                <w:rFonts w:ascii="微软雅黑" w:hAnsi="微软雅黑" w:eastAsia="微软雅黑" w:cs="微软雅黑"/>
                <w:highlight w:val="none"/>
              </w:rPr>
            </w:pPr>
            <w:r>
              <w:rPr>
                <w:rFonts w:hint="eastAsia" w:ascii="微软雅黑" w:hAnsi="微软雅黑" w:eastAsia="微软雅黑" w:cs="微软雅黑"/>
                <w:highlight w:val="none"/>
                <w:lang w:eastAsia="zh-CN"/>
              </w:rPr>
              <w:t>（</w:t>
            </w:r>
            <w:r>
              <w:rPr>
                <w:rFonts w:hint="eastAsia" w:ascii="微软雅黑" w:hAnsi="微软雅黑" w:eastAsia="微软雅黑" w:cs="微软雅黑"/>
                <w:highlight w:val="none"/>
                <w:lang w:val="en-US" w:eastAsia="zh-CN"/>
              </w:rPr>
              <w:t>二</w:t>
            </w:r>
            <w:r>
              <w:rPr>
                <w:rFonts w:hint="eastAsia" w:ascii="微软雅黑" w:hAnsi="微软雅黑" w:eastAsia="微软雅黑" w:cs="微软雅黑"/>
                <w:highlight w:val="none"/>
                <w:lang w:eastAsia="zh-CN"/>
              </w:rPr>
              <w:t>）</w:t>
            </w:r>
          </w:p>
        </w:tc>
        <w:tc>
          <w:tcPr>
            <w:tcW w:w="3205" w:type="dxa"/>
            <w:tcBorders>
              <w:top w:val="single" w:color="auto" w:sz="4" w:space="0"/>
              <w:left w:val="single" w:color="auto" w:sz="4" w:space="0"/>
              <w:bottom w:val="single" w:color="auto" w:sz="4" w:space="0"/>
              <w:right w:val="single" w:color="auto" w:sz="4" w:space="0"/>
            </w:tcBorders>
          </w:tcPr>
          <w:p w14:paraId="040562C8">
            <w:pPr>
              <w:snapToGrid w:val="0"/>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国际医疗门诊医生工作站</w:t>
            </w:r>
          </w:p>
        </w:tc>
        <w:tc>
          <w:tcPr>
            <w:tcW w:w="5297" w:type="dxa"/>
            <w:tcBorders>
              <w:top w:val="single" w:color="auto" w:sz="4" w:space="0"/>
              <w:left w:val="single" w:color="auto" w:sz="4" w:space="0"/>
              <w:bottom w:val="single" w:color="auto" w:sz="4" w:space="0"/>
              <w:right w:val="single" w:color="auto" w:sz="4" w:space="0"/>
            </w:tcBorders>
          </w:tcPr>
          <w:p w14:paraId="4270F2D4">
            <w:pPr>
              <w:snapToGrid w:val="0"/>
              <w:rPr>
                <w:rFonts w:ascii="微软雅黑" w:hAnsi="微软雅黑" w:eastAsia="微软雅黑" w:cs="微软雅黑"/>
                <w:highlight w:val="none"/>
              </w:rPr>
            </w:pPr>
            <w:r>
              <w:rPr>
                <w:highlight w:val="none"/>
              </w:rPr>
              <w:fldChar w:fldCharType="begin"/>
            </w:r>
            <w:r>
              <w:rPr>
                <w:highlight w:val="none"/>
              </w:rPr>
              <w:instrText xml:space="preserve"> HYPERLINK \l "_6.1.1、大数据服务器" </w:instrText>
            </w:r>
            <w:r>
              <w:rPr>
                <w:highlight w:val="none"/>
              </w:rPr>
              <w:fldChar w:fldCharType="separate"/>
            </w:r>
            <w:r>
              <w:rPr>
                <w:rFonts w:hint="eastAsia" w:ascii="微软雅黑" w:hAnsi="微软雅黑" w:eastAsia="微软雅黑" w:cs="微软雅黑"/>
                <w:highlight w:val="none"/>
              </w:rPr>
              <w:t>详见详细功能描述中</w:t>
            </w:r>
            <w:r>
              <w:rPr>
                <w:rFonts w:hint="eastAsia" w:ascii="微软雅黑" w:hAnsi="微软雅黑" w:eastAsia="微软雅黑" w:cs="微软雅黑"/>
                <w:highlight w:val="none"/>
              </w:rPr>
              <w:fldChar w:fldCharType="end"/>
            </w:r>
            <w:r>
              <w:rPr>
                <w:rFonts w:hint="eastAsia" w:ascii="微软雅黑" w:hAnsi="微软雅黑" w:eastAsia="微软雅黑" w:cs="微软雅黑"/>
                <w:highlight w:val="none"/>
                <w:lang w:val="en-US" w:eastAsia="zh-CN"/>
              </w:rPr>
              <w:t>国际医疗门诊医生工作站</w:t>
            </w:r>
            <w:r>
              <w:rPr>
                <w:rFonts w:hint="eastAsia" w:ascii="微软雅黑" w:hAnsi="微软雅黑" w:eastAsia="微软雅黑" w:cs="微软雅黑"/>
                <w:highlight w:val="none"/>
              </w:rPr>
              <w:t>细项</w:t>
            </w:r>
          </w:p>
        </w:tc>
      </w:tr>
      <w:tr w14:paraId="46426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top"/>
          </w:tcPr>
          <w:p w14:paraId="396B6C76">
            <w:pPr>
              <w:snapToGrid w:val="0"/>
              <w:jc w:val="center"/>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eastAsia="zh-CN"/>
              </w:rPr>
              <w:t>（</w:t>
            </w:r>
            <w:r>
              <w:rPr>
                <w:rFonts w:hint="eastAsia" w:ascii="微软雅黑" w:hAnsi="微软雅黑" w:eastAsia="微软雅黑" w:cs="微软雅黑"/>
                <w:highlight w:val="none"/>
                <w:lang w:val="en-US" w:eastAsia="zh-CN"/>
              </w:rPr>
              <w:t>三</w:t>
            </w:r>
            <w:r>
              <w:rPr>
                <w:rFonts w:hint="eastAsia" w:ascii="微软雅黑" w:hAnsi="微软雅黑" w:eastAsia="微软雅黑" w:cs="微软雅黑"/>
                <w:highlight w:val="none"/>
                <w:lang w:eastAsia="zh-CN"/>
              </w:rPr>
              <w:t>）</w:t>
            </w:r>
          </w:p>
        </w:tc>
        <w:tc>
          <w:tcPr>
            <w:tcW w:w="3205" w:type="dxa"/>
            <w:tcBorders>
              <w:top w:val="single" w:color="auto" w:sz="4" w:space="0"/>
              <w:left w:val="single" w:color="auto" w:sz="4" w:space="0"/>
              <w:bottom w:val="single" w:color="auto" w:sz="4" w:space="0"/>
              <w:right w:val="single" w:color="auto" w:sz="4" w:space="0"/>
            </w:tcBorders>
            <w:vAlign w:val="top"/>
          </w:tcPr>
          <w:p w14:paraId="70BB1F93">
            <w:pPr>
              <w:snapToGrid w:val="0"/>
              <w:rPr>
                <w:rFonts w:hint="eastAsia" w:ascii="微软雅黑" w:hAnsi="微软雅黑" w:eastAsia="微软雅黑" w:cs="微软雅黑"/>
                <w:highlight w:val="none"/>
                <w:lang w:eastAsia="zh-CN"/>
              </w:rPr>
            </w:pPr>
            <w:r>
              <w:rPr>
                <w:rFonts w:hint="eastAsia" w:ascii="微软雅黑" w:hAnsi="微软雅黑" w:eastAsia="微软雅黑" w:cs="微软雅黑"/>
                <w:highlight w:val="none"/>
                <w:lang w:val="en-US" w:eastAsia="zh-CN"/>
              </w:rPr>
              <w:t>收费</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p>
        </w:tc>
        <w:tc>
          <w:tcPr>
            <w:tcW w:w="5297" w:type="dxa"/>
            <w:tcBorders>
              <w:top w:val="single" w:color="auto" w:sz="4" w:space="0"/>
              <w:left w:val="single" w:color="auto" w:sz="4" w:space="0"/>
              <w:bottom w:val="single" w:color="auto" w:sz="4" w:space="0"/>
              <w:right w:val="single" w:color="auto" w:sz="4" w:space="0"/>
            </w:tcBorders>
            <w:vAlign w:val="top"/>
          </w:tcPr>
          <w:p w14:paraId="75697F48">
            <w:pPr>
              <w:snapToGrid w:val="0"/>
              <w:rPr>
                <w:highlight w:val="none"/>
              </w:rPr>
            </w:pPr>
            <w:r>
              <w:rPr>
                <w:highlight w:val="none"/>
              </w:rPr>
              <w:fldChar w:fldCharType="begin"/>
            </w:r>
            <w:r>
              <w:rPr>
                <w:highlight w:val="none"/>
              </w:rPr>
              <w:instrText xml:space="preserve"> HYPERLINK \l "_6.1.1、大数据服务器" </w:instrText>
            </w:r>
            <w:r>
              <w:rPr>
                <w:highlight w:val="none"/>
              </w:rPr>
              <w:fldChar w:fldCharType="separate"/>
            </w:r>
            <w:r>
              <w:rPr>
                <w:rFonts w:hint="eastAsia" w:ascii="微软雅黑" w:hAnsi="微软雅黑" w:eastAsia="微软雅黑" w:cs="微软雅黑"/>
                <w:highlight w:val="none"/>
              </w:rPr>
              <w:t>详见详细功能描述中</w:t>
            </w:r>
            <w:r>
              <w:rPr>
                <w:rFonts w:hint="eastAsia" w:ascii="微软雅黑" w:hAnsi="微软雅黑" w:eastAsia="微软雅黑" w:cs="微软雅黑"/>
                <w:highlight w:val="none"/>
              </w:rPr>
              <w:fldChar w:fldCharType="end"/>
            </w:r>
            <w:r>
              <w:rPr>
                <w:rFonts w:hint="eastAsia" w:ascii="微软雅黑" w:hAnsi="微软雅黑" w:eastAsia="微软雅黑" w:cs="微软雅黑"/>
                <w:highlight w:val="none"/>
                <w:lang w:val="en-US" w:eastAsia="zh-CN"/>
              </w:rPr>
              <w:t>收费</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ascii="微软雅黑" w:hAnsi="微软雅黑" w:eastAsia="微软雅黑" w:cs="微软雅黑"/>
                <w:highlight w:val="none"/>
              </w:rPr>
              <w:t>细项</w:t>
            </w:r>
          </w:p>
        </w:tc>
      </w:tr>
      <w:tr w14:paraId="73B09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vAlign w:val="top"/>
          </w:tcPr>
          <w:p w14:paraId="31246A40">
            <w:pPr>
              <w:snapToGrid w:val="0"/>
              <w:jc w:val="center"/>
              <w:rPr>
                <w:rFonts w:hint="eastAsia" w:ascii="微软雅黑" w:hAnsi="微软雅黑" w:eastAsia="微软雅黑" w:cs="微软雅黑"/>
                <w:highlight w:val="none"/>
              </w:rPr>
            </w:pPr>
            <w:r>
              <w:rPr>
                <w:rFonts w:hint="eastAsia" w:ascii="微软雅黑" w:hAnsi="微软雅黑" w:eastAsia="微软雅黑" w:cs="微软雅黑"/>
                <w:highlight w:val="none"/>
                <w:lang w:eastAsia="zh-CN"/>
              </w:rPr>
              <w:t>（</w:t>
            </w:r>
            <w:r>
              <w:rPr>
                <w:rFonts w:hint="eastAsia" w:ascii="微软雅黑" w:hAnsi="微软雅黑" w:eastAsia="微软雅黑" w:cs="微软雅黑"/>
                <w:highlight w:val="none"/>
                <w:lang w:val="en-US" w:eastAsia="zh-CN"/>
              </w:rPr>
              <w:t>四</w:t>
            </w:r>
            <w:r>
              <w:rPr>
                <w:rFonts w:hint="eastAsia" w:ascii="微软雅黑" w:hAnsi="微软雅黑" w:eastAsia="微软雅黑" w:cs="微软雅黑"/>
                <w:highlight w:val="none"/>
                <w:lang w:eastAsia="zh-CN"/>
              </w:rPr>
              <w:t>）</w:t>
            </w:r>
          </w:p>
        </w:tc>
        <w:tc>
          <w:tcPr>
            <w:tcW w:w="3205" w:type="dxa"/>
            <w:tcBorders>
              <w:top w:val="single" w:color="auto" w:sz="4" w:space="0"/>
              <w:left w:val="single" w:color="auto" w:sz="4" w:space="0"/>
              <w:bottom w:val="single" w:color="auto" w:sz="4" w:space="0"/>
              <w:right w:val="single" w:color="auto" w:sz="4" w:space="0"/>
            </w:tcBorders>
            <w:vAlign w:val="top"/>
          </w:tcPr>
          <w:p w14:paraId="2D272706">
            <w:pPr>
              <w:snapToGrid w:val="0"/>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国际项目库存管理模块</w:t>
            </w:r>
          </w:p>
        </w:tc>
        <w:tc>
          <w:tcPr>
            <w:tcW w:w="5297" w:type="dxa"/>
            <w:tcBorders>
              <w:top w:val="single" w:color="auto" w:sz="4" w:space="0"/>
              <w:left w:val="single" w:color="auto" w:sz="4" w:space="0"/>
              <w:bottom w:val="single" w:color="auto" w:sz="4" w:space="0"/>
              <w:right w:val="single" w:color="auto" w:sz="4" w:space="0"/>
            </w:tcBorders>
            <w:vAlign w:val="top"/>
          </w:tcPr>
          <w:p w14:paraId="2EDEE47B">
            <w:pPr>
              <w:snapToGrid w:val="0"/>
              <w:rPr>
                <w:highlight w:val="none"/>
              </w:rPr>
            </w:pPr>
            <w:r>
              <w:rPr>
                <w:highlight w:val="none"/>
              </w:rPr>
              <w:fldChar w:fldCharType="begin"/>
            </w:r>
            <w:r>
              <w:rPr>
                <w:highlight w:val="none"/>
              </w:rPr>
              <w:instrText xml:space="preserve"> HYPERLINK \l "_6.1.1、大数据服务器" </w:instrText>
            </w:r>
            <w:r>
              <w:rPr>
                <w:highlight w:val="none"/>
              </w:rPr>
              <w:fldChar w:fldCharType="separate"/>
            </w:r>
            <w:r>
              <w:rPr>
                <w:rFonts w:hint="eastAsia" w:ascii="微软雅黑" w:hAnsi="微软雅黑" w:eastAsia="微软雅黑" w:cs="微软雅黑"/>
                <w:highlight w:val="none"/>
              </w:rPr>
              <w:t>详见详细功能描述中</w:t>
            </w:r>
            <w:r>
              <w:rPr>
                <w:rFonts w:hint="eastAsia" w:ascii="微软雅黑" w:hAnsi="微软雅黑" w:eastAsia="微软雅黑" w:cs="微软雅黑"/>
                <w:highlight w:val="none"/>
              </w:rPr>
              <w:fldChar w:fldCharType="end"/>
            </w:r>
            <w:r>
              <w:rPr>
                <w:rFonts w:hint="eastAsia" w:ascii="微软雅黑" w:hAnsi="微软雅黑" w:eastAsia="微软雅黑" w:cs="微软雅黑"/>
                <w:highlight w:val="none"/>
                <w:lang w:val="en-US" w:eastAsia="zh-CN"/>
              </w:rPr>
              <w:t>国际项目库存管理模块</w:t>
            </w:r>
            <w:r>
              <w:rPr>
                <w:rFonts w:hint="eastAsia" w:ascii="微软雅黑" w:hAnsi="微软雅黑" w:eastAsia="微软雅黑" w:cs="微软雅黑"/>
                <w:highlight w:val="none"/>
              </w:rPr>
              <w:t>细项</w:t>
            </w:r>
          </w:p>
        </w:tc>
      </w:tr>
      <w:tr w14:paraId="73609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 w:hRule="atLeast"/>
          <w:jc w:val="center"/>
        </w:trPr>
        <w:tc>
          <w:tcPr>
            <w:tcW w:w="784" w:type="dxa"/>
            <w:tcBorders>
              <w:top w:val="single" w:color="auto" w:sz="4" w:space="0"/>
              <w:left w:val="single" w:color="auto" w:sz="4" w:space="0"/>
              <w:bottom w:val="single" w:color="auto" w:sz="4" w:space="0"/>
              <w:right w:val="single" w:color="auto" w:sz="4" w:space="0"/>
            </w:tcBorders>
            <w:vAlign w:val="top"/>
          </w:tcPr>
          <w:p w14:paraId="0B31BB3A">
            <w:pPr>
              <w:snapToGrid w:val="0"/>
              <w:jc w:val="center"/>
              <w:rPr>
                <w:rFonts w:ascii="微软雅黑" w:hAnsi="微软雅黑" w:eastAsia="微软雅黑" w:cs="微软雅黑"/>
                <w:highlight w:val="none"/>
              </w:rPr>
            </w:pPr>
            <w:r>
              <w:rPr>
                <w:rFonts w:hint="eastAsia" w:ascii="微软雅黑" w:hAnsi="微软雅黑" w:eastAsia="微软雅黑" w:cs="微软雅黑"/>
                <w:highlight w:val="none"/>
                <w:lang w:eastAsia="zh-CN"/>
              </w:rPr>
              <w:t>（</w:t>
            </w:r>
            <w:r>
              <w:rPr>
                <w:rFonts w:hint="eastAsia" w:ascii="微软雅黑" w:hAnsi="微软雅黑" w:eastAsia="微软雅黑" w:cs="微软雅黑"/>
                <w:highlight w:val="none"/>
                <w:lang w:val="en-US" w:eastAsia="zh-CN"/>
              </w:rPr>
              <w:t>五</w:t>
            </w:r>
            <w:r>
              <w:rPr>
                <w:rFonts w:hint="eastAsia" w:ascii="微软雅黑" w:hAnsi="微软雅黑" w:eastAsia="微软雅黑" w:cs="微软雅黑"/>
                <w:highlight w:val="none"/>
                <w:lang w:eastAsia="zh-CN"/>
              </w:rPr>
              <w:t>）</w:t>
            </w:r>
          </w:p>
        </w:tc>
        <w:tc>
          <w:tcPr>
            <w:tcW w:w="3205" w:type="dxa"/>
            <w:tcBorders>
              <w:top w:val="single" w:color="auto" w:sz="4" w:space="0"/>
              <w:left w:val="single" w:color="auto" w:sz="4" w:space="0"/>
              <w:bottom w:val="single" w:color="auto" w:sz="4" w:space="0"/>
              <w:right w:val="single" w:color="auto" w:sz="4" w:space="0"/>
            </w:tcBorders>
            <w:vAlign w:val="top"/>
          </w:tcPr>
          <w:p w14:paraId="66429AC1">
            <w:pPr>
              <w:snapToGrid w:val="0"/>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p>
        </w:tc>
        <w:tc>
          <w:tcPr>
            <w:tcW w:w="5297" w:type="dxa"/>
            <w:tcBorders>
              <w:top w:val="single" w:color="auto" w:sz="4" w:space="0"/>
              <w:left w:val="single" w:color="auto" w:sz="4" w:space="0"/>
              <w:bottom w:val="single" w:color="auto" w:sz="4" w:space="0"/>
              <w:right w:val="single" w:color="auto" w:sz="4" w:space="0"/>
            </w:tcBorders>
            <w:vAlign w:val="top"/>
          </w:tcPr>
          <w:p w14:paraId="2388F019">
            <w:pPr>
              <w:snapToGrid w:val="0"/>
              <w:rPr>
                <w:rFonts w:ascii="微软雅黑" w:hAnsi="微软雅黑" w:eastAsia="微软雅黑" w:cs="微软雅黑"/>
                <w:highlight w:val="none"/>
              </w:rPr>
            </w:pPr>
            <w:r>
              <w:rPr>
                <w:highlight w:val="none"/>
              </w:rPr>
              <w:fldChar w:fldCharType="begin"/>
            </w:r>
            <w:r>
              <w:rPr>
                <w:highlight w:val="none"/>
              </w:rPr>
              <w:instrText xml:space="preserve"> HYPERLINK \l "_6.1.1、大数据服务器" </w:instrText>
            </w:r>
            <w:r>
              <w:rPr>
                <w:highlight w:val="none"/>
              </w:rPr>
              <w:fldChar w:fldCharType="separate"/>
            </w:r>
            <w:r>
              <w:rPr>
                <w:rFonts w:hint="eastAsia" w:ascii="微软雅黑" w:hAnsi="微软雅黑" w:eastAsia="微软雅黑" w:cs="微软雅黑"/>
                <w:highlight w:val="none"/>
              </w:rPr>
              <w:t>详见详细功能描述中</w:t>
            </w:r>
            <w:r>
              <w:rPr>
                <w:rFonts w:hint="eastAsia" w:ascii="微软雅黑" w:hAnsi="微软雅黑" w:eastAsia="微软雅黑" w:cs="微软雅黑"/>
                <w:highlight w:val="none"/>
              </w:rPr>
              <w:fldChar w:fldCharType="end"/>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ascii="微软雅黑" w:hAnsi="微软雅黑" w:eastAsia="微软雅黑" w:cs="微软雅黑"/>
                <w:highlight w:val="none"/>
              </w:rPr>
              <w:t>细项</w:t>
            </w:r>
          </w:p>
        </w:tc>
      </w:tr>
      <w:tr w14:paraId="5BCED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vAlign w:val="top"/>
          </w:tcPr>
          <w:p w14:paraId="304B6295">
            <w:pPr>
              <w:snapToGrid w:val="0"/>
              <w:jc w:val="center"/>
              <w:rPr>
                <w:rFonts w:ascii="微软雅黑" w:hAnsi="微软雅黑" w:eastAsia="微软雅黑" w:cs="微软雅黑"/>
                <w:highlight w:val="none"/>
              </w:rPr>
            </w:pPr>
            <w:r>
              <w:rPr>
                <w:rFonts w:hint="eastAsia" w:ascii="微软雅黑" w:hAnsi="微软雅黑" w:eastAsia="微软雅黑" w:cs="微软雅黑"/>
                <w:highlight w:val="none"/>
                <w:lang w:eastAsia="zh-CN"/>
              </w:rPr>
              <w:t>（</w:t>
            </w:r>
            <w:r>
              <w:rPr>
                <w:rFonts w:hint="eastAsia" w:ascii="微软雅黑" w:hAnsi="微软雅黑" w:eastAsia="微软雅黑" w:cs="微软雅黑"/>
                <w:highlight w:val="none"/>
                <w:lang w:val="en-US" w:eastAsia="zh-CN"/>
              </w:rPr>
              <w:t>六</w:t>
            </w:r>
            <w:r>
              <w:rPr>
                <w:rFonts w:hint="eastAsia" w:ascii="微软雅黑" w:hAnsi="微软雅黑" w:eastAsia="微软雅黑" w:cs="微软雅黑"/>
                <w:highlight w:val="none"/>
                <w:lang w:eastAsia="zh-CN"/>
              </w:rPr>
              <w:t>）</w:t>
            </w:r>
          </w:p>
        </w:tc>
        <w:tc>
          <w:tcPr>
            <w:tcW w:w="3205" w:type="dxa"/>
            <w:tcBorders>
              <w:top w:val="single" w:color="auto" w:sz="4" w:space="0"/>
              <w:left w:val="single" w:color="auto" w:sz="4" w:space="0"/>
              <w:bottom w:val="single" w:color="auto" w:sz="4" w:space="0"/>
              <w:right w:val="single" w:color="auto" w:sz="4" w:space="0"/>
            </w:tcBorders>
            <w:vAlign w:val="top"/>
          </w:tcPr>
          <w:p w14:paraId="2A26EE97">
            <w:pPr>
              <w:snapToGrid w:val="0"/>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单据及短信管理模块</w:t>
            </w:r>
          </w:p>
        </w:tc>
        <w:tc>
          <w:tcPr>
            <w:tcW w:w="5297" w:type="dxa"/>
            <w:tcBorders>
              <w:top w:val="single" w:color="auto" w:sz="4" w:space="0"/>
              <w:left w:val="single" w:color="auto" w:sz="4" w:space="0"/>
              <w:bottom w:val="single" w:color="auto" w:sz="4" w:space="0"/>
              <w:right w:val="single" w:color="auto" w:sz="4" w:space="0"/>
            </w:tcBorders>
            <w:vAlign w:val="top"/>
          </w:tcPr>
          <w:p w14:paraId="08A9090F">
            <w:pPr>
              <w:snapToGrid w:val="0"/>
              <w:rPr>
                <w:rFonts w:ascii="微软雅黑" w:hAnsi="微软雅黑" w:eastAsia="微软雅黑" w:cs="微软雅黑"/>
                <w:highlight w:val="none"/>
              </w:rPr>
            </w:pPr>
            <w:r>
              <w:rPr>
                <w:highlight w:val="none"/>
              </w:rPr>
              <w:fldChar w:fldCharType="begin"/>
            </w:r>
            <w:r>
              <w:rPr>
                <w:highlight w:val="none"/>
              </w:rPr>
              <w:instrText xml:space="preserve"> HYPERLINK \l "_6.1.1、大数据服务器" </w:instrText>
            </w:r>
            <w:r>
              <w:rPr>
                <w:highlight w:val="none"/>
              </w:rPr>
              <w:fldChar w:fldCharType="separate"/>
            </w:r>
            <w:r>
              <w:rPr>
                <w:rFonts w:hint="eastAsia" w:ascii="微软雅黑" w:hAnsi="微软雅黑" w:eastAsia="微软雅黑" w:cs="微软雅黑"/>
                <w:highlight w:val="none"/>
              </w:rPr>
              <w:t>详见详细功能描述中</w:t>
            </w:r>
            <w:r>
              <w:rPr>
                <w:rFonts w:hint="eastAsia" w:ascii="微软雅黑" w:hAnsi="微软雅黑" w:eastAsia="微软雅黑" w:cs="微软雅黑"/>
                <w:highlight w:val="none"/>
              </w:rPr>
              <w:fldChar w:fldCharType="end"/>
            </w:r>
            <w:r>
              <w:rPr>
                <w:rFonts w:hint="eastAsia" w:ascii="微软雅黑" w:hAnsi="微软雅黑" w:eastAsia="微软雅黑" w:cs="微软雅黑"/>
                <w:highlight w:val="none"/>
                <w:lang w:val="en-US" w:eastAsia="zh-CN"/>
              </w:rPr>
              <w:t>单据及短信管理模块</w:t>
            </w:r>
            <w:r>
              <w:rPr>
                <w:rFonts w:hint="eastAsia" w:ascii="微软雅黑" w:hAnsi="微软雅黑" w:eastAsia="微软雅黑" w:cs="微软雅黑"/>
                <w:highlight w:val="none"/>
              </w:rPr>
              <w:t>细项</w:t>
            </w:r>
          </w:p>
        </w:tc>
      </w:tr>
      <w:tr w14:paraId="35897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vAlign w:val="top"/>
          </w:tcPr>
          <w:p w14:paraId="6E5DBD2D">
            <w:pPr>
              <w:snapToGrid w:val="0"/>
              <w:jc w:val="center"/>
              <w:rPr>
                <w:rFonts w:hint="eastAsia" w:ascii="微软雅黑" w:hAnsi="微软雅黑" w:eastAsia="微软雅黑" w:cs="微软雅黑"/>
                <w:highlight w:val="none"/>
                <w:lang w:eastAsia="zh-CN"/>
              </w:rPr>
            </w:pPr>
            <w:r>
              <w:rPr>
                <w:rFonts w:hint="eastAsia" w:ascii="微软雅黑" w:hAnsi="微软雅黑" w:eastAsia="微软雅黑" w:cs="微软雅黑"/>
                <w:highlight w:val="none"/>
                <w:lang w:eastAsia="zh-CN"/>
              </w:rPr>
              <w:t>（</w:t>
            </w:r>
            <w:r>
              <w:rPr>
                <w:rFonts w:hint="eastAsia" w:ascii="微软雅黑" w:hAnsi="微软雅黑" w:eastAsia="微软雅黑" w:cs="微软雅黑"/>
                <w:highlight w:val="none"/>
                <w:lang w:val="en-US" w:eastAsia="zh-CN"/>
              </w:rPr>
              <w:t>七</w:t>
            </w:r>
            <w:r>
              <w:rPr>
                <w:rFonts w:hint="eastAsia" w:ascii="微软雅黑" w:hAnsi="微软雅黑" w:eastAsia="微软雅黑" w:cs="微软雅黑"/>
                <w:highlight w:val="none"/>
                <w:lang w:eastAsia="zh-CN"/>
              </w:rPr>
              <w:t>）</w:t>
            </w:r>
          </w:p>
        </w:tc>
        <w:tc>
          <w:tcPr>
            <w:tcW w:w="3205" w:type="dxa"/>
            <w:tcBorders>
              <w:top w:val="single" w:color="auto" w:sz="4" w:space="0"/>
              <w:left w:val="single" w:color="auto" w:sz="4" w:space="0"/>
              <w:bottom w:val="single" w:color="auto" w:sz="4" w:space="0"/>
              <w:right w:val="single" w:color="auto" w:sz="4" w:space="0"/>
            </w:tcBorders>
            <w:vAlign w:val="top"/>
          </w:tcPr>
          <w:p w14:paraId="73777BEC">
            <w:pPr>
              <w:snapToGrid w:val="0"/>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国际医疗工作人员模块</w:t>
            </w:r>
          </w:p>
        </w:tc>
        <w:tc>
          <w:tcPr>
            <w:tcW w:w="5297" w:type="dxa"/>
            <w:tcBorders>
              <w:top w:val="single" w:color="auto" w:sz="4" w:space="0"/>
              <w:left w:val="single" w:color="auto" w:sz="4" w:space="0"/>
              <w:bottom w:val="single" w:color="auto" w:sz="4" w:space="0"/>
              <w:right w:val="single" w:color="auto" w:sz="4" w:space="0"/>
            </w:tcBorders>
            <w:vAlign w:val="top"/>
          </w:tcPr>
          <w:p w14:paraId="632601A2">
            <w:pPr>
              <w:snapToGrid w:val="0"/>
              <w:rPr>
                <w:highlight w:val="none"/>
              </w:rPr>
            </w:pPr>
            <w:r>
              <w:rPr>
                <w:highlight w:val="none"/>
              </w:rPr>
              <w:fldChar w:fldCharType="begin"/>
            </w:r>
            <w:r>
              <w:rPr>
                <w:highlight w:val="none"/>
              </w:rPr>
              <w:instrText xml:space="preserve"> HYPERLINK \l "_6.1.1、大数据服务器" </w:instrText>
            </w:r>
            <w:r>
              <w:rPr>
                <w:highlight w:val="none"/>
              </w:rPr>
              <w:fldChar w:fldCharType="separate"/>
            </w:r>
            <w:r>
              <w:rPr>
                <w:rFonts w:hint="eastAsia" w:ascii="微软雅黑" w:hAnsi="微软雅黑" w:eastAsia="微软雅黑" w:cs="微软雅黑"/>
                <w:highlight w:val="none"/>
              </w:rPr>
              <w:t>详见详细功能描述中</w:t>
            </w:r>
            <w:r>
              <w:rPr>
                <w:rFonts w:hint="eastAsia" w:ascii="微软雅黑" w:hAnsi="微软雅黑" w:eastAsia="微软雅黑" w:cs="微软雅黑"/>
                <w:highlight w:val="none"/>
              </w:rPr>
              <w:fldChar w:fldCharType="end"/>
            </w:r>
            <w:r>
              <w:rPr>
                <w:rFonts w:hint="eastAsia" w:ascii="微软雅黑" w:hAnsi="微软雅黑" w:eastAsia="微软雅黑" w:cs="微软雅黑"/>
                <w:highlight w:val="none"/>
                <w:lang w:val="en-US" w:eastAsia="zh-CN"/>
              </w:rPr>
              <w:t>国际医疗工作人员模块</w:t>
            </w:r>
            <w:r>
              <w:rPr>
                <w:rFonts w:hint="eastAsia" w:ascii="微软雅黑" w:hAnsi="微软雅黑" w:eastAsia="微软雅黑" w:cs="微软雅黑"/>
                <w:highlight w:val="none"/>
              </w:rPr>
              <w:t>细项</w:t>
            </w:r>
          </w:p>
        </w:tc>
      </w:tr>
    </w:tbl>
    <w:p w14:paraId="6F3A467F">
      <w:pPr>
        <w:pStyle w:val="56"/>
        <w:keepNext/>
        <w:keepLines/>
        <w:numPr>
          <w:ilvl w:val="0"/>
          <w:numId w:val="1"/>
        </w:numPr>
        <w:spacing w:line="578" w:lineRule="auto"/>
        <w:ind w:firstLineChars="0"/>
        <w:outlineLvl w:val="9"/>
        <w:rPr>
          <w:rFonts w:ascii="微软雅黑" w:hAnsi="微软雅黑" w:eastAsia="微软雅黑" w:cs="微软雅黑"/>
          <w:b/>
          <w:bCs/>
          <w:vanish/>
          <w:kern w:val="44"/>
          <w:szCs w:val="44"/>
          <w:highlight w:val="none"/>
        </w:rPr>
      </w:pPr>
    </w:p>
    <w:p w14:paraId="3C4E6EB2">
      <w:pPr>
        <w:pStyle w:val="56"/>
        <w:keepNext/>
        <w:keepLines/>
        <w:numPr>
          <w:ilvl w:val="0"/>
          <w:numId w:val="1"/>
        </w:numPr>
        <w:spacing w:line="578" w:lineRule="auto"/>
        <w:ind w:firstLineChars="0"/>
        <w:outlineLvl w:val="9"/>
        <w:rPr>
          <w:rFonts w:ascii="微软雅黑" w:hAnsi="微软雅黑" w:eastAsia="微软雅黑" w:cs="微软雅黑"/>
          <w:b/>
          <w:bCs/>
          <w:vanish/>
          <w:kern w:val="44"/>
          <w:szCs w:val="44"/>
          <w:highlight w:val="none"/>
        </w:rPr>
      </w:pPr>
    </w:p>
    <w:p w14:paraId="06AC5D8D">
      <w:pPr>
        <w:pStyle w:val="56"/>
        <w:keepNext/>
        <w:keepLines/>
        <w:numPr>
          <w:ilvl w:val="0"/>
          <w:numId w:val="1"/>
        </w:numPr>
        <w:spacing w:line="578" w:lineRule="auto"/>
        <w:ind w:firstLineChars="0"/>
        <w:outlineLvl w:val="9"/>
        <w:rPr>
          <w:rFonts w:ascii="微软雅黑" w:hAnsi="微软雅黑" w:eastAsia="微软雅黑" w:cs="微软雅黑"/>
          <w:b/>
          <w:bCs/>
          <w:vanish/>
          <w:kern w:val="44"/>
          <w:szCs w:val="44"/>
          <w:highlight w:val="none"/>
        </w:rPr>
      </w:pPr>
    </w:p>
    <w:p w14:paraId="47772680">
      <w:pPr>
        <w:pStyle w:val="56"/>
        <w:keepNext/>
        <w:keepLines/>
        <w:numPr>
          <w:ilvl w:val="1"/>
          <w:numId w:val="1"/>
        </w:numPr>
        <w:spacing w:line="578" w:lineRule="auto"/>
        <w:ind w:firstLineChars="0"/>
        <w:outlineLvl w:val="9"/>
        <w:rPr>
          <w:rFonts w:ascii="微软雅黑" w:hAnsi="微软雅黑" w:eastAsia="微软雅黑" w:cs="微软雅黑"/>
          <w:b/>
          <w:bCs/>
          <w:vanish/>
          <w:kern w:val="44"/>
          <w:szCs w:val="44"/>
          <w:highlight w:val="none"/>
        </w:rPr>
      </w:pPr>
    </w:p>
    <w:p w14:paraId="3CE3FBD6">
      <w:pPr>
        <w:pStyle w:val="72"/>
        <w:numPr>
          <w:ilvl w:val="2"/>
          <w:numId w:val="0"/>
        </w:numPr>
        <w:rPr>
          <w:rFonts w:hint="default"/>
          <w:highlight w:val="none"/>
        </w:rPr>
      </w:pPr>
    </w:p>
    <w:p w14:paraId="3202AAC5">
      <w:pPr>
        <w:pStyle w:val="74"/>
        <w:rPr>
          <w:rFonts w:hint="default"/>
          <w:highlight w:val="none"/>
        </w:rPr>
      </w:pPr>
      <w:bookmarkStart w:id="2" w:name="_Toc11662"/>
      <w:r>
        <w:rPr>
          <w:highlight w:val="none"/>
        </w:rPr>
        <w:t>详细功能描述</w:t>
      </w:r>
      <w:bookmarkEnd w:id="2"/>
    </w:p>
    <w:tbl>
      <w:tblPr>
        <w:tblStyle w:val="26"/>
        <w:tblW w:w="5000" w:type="pct"/>
        <w:tblInd w:w="0" w:type="dxa"/>
        <w:tblLayout w:type="autofit"/>
        <w:tblCellMar>
          <w:top w:w="0" w:type="dxa"/>
          <w:left w:w="108" w:type="dxa"/>
          <w:bottom w:w="0" w:type="dxa"/>
          <w:right w:w="108" w:type="dxa"/>
        </w:tblCellMar>
      </w:tblPr>
      <w:tblGrid>
        <w:gridCol w:w="1042"/>
        <w:gridCol w:w="8244"/>
      </w:tblGrid>
      <w:tr w14:paraId="1EAB99ED">
        <w:tblPrEx>
          <w:tblCellMar>
            <w:top w:w="0" w:type="dxa"/>
            <w:left w:w="108" w:type="dxa"/>
            <w:bottom w:w="0" w:type="dxa"/>
            <w:right w:w="108" w:type="dxa"/>
          </w:tblCellMar>
        </w:tblPrEx>
        <w:trPr>
          <w:trHeight w:val="320"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0170AFC7">
            <w:pPr>
              <w:widowControl/>
              <w:snapToGrid w:val="0"/>
              <w:jc w:val="left"/>
              <w:rPr>
                <w:rFonts w:ascii="微软雅黑" w:hAnsi="微软雅黑" w:eastAsia="微软雅黑" w:cs="微软雅黑"/>
                <w:b/>
                <w:bCs/>
                <w:color w:val="000000"/>
                <w:szCs w:val="21"/>
                <w:highlight w:val="none"/>
              </w:rPr>
            </w:pPr>
            <w:bookmarkStart w:id="3" w:name="_6.1.1、大数据服务器"/>
            <w:bookmarkEnd w:id="3"/>
            <w:r>
              <w:rPr>
                <w:rFonts w:hint="eastAsia" w:ascii="微软雅黑" w:hAnsi="微软雅黑" w:eastAsia="微软雅黑" w:cs="微软雅黑"/>
                <w:b/>
                <w:bCs/>
                <w:sz w:val="24"/>
                <w:szCs w:val="32"/>
                <w:highlight w:val="none"/>
              </w:rPr>
              <w:t>（一）移动患者端用户平台细项</w:t>
            </w:r>
          </w:p>
        </w:tc>
      </w:tr>
      <w:tr w14:paraId="67F85BB0">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297A41FB">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1</w:t>
            </w:r>
          </w:p>
        </w:tc>
        <w:tc>
          <w:tcPr>
            <w:tcW w:w="4438" w:type="pct"/>
            <w:tcBorders>
              <w:top w:val="single" w:color="auto" w:sz="4" w:space="0"/>
              <w:left w:val="single" w:color="auto" w:sz="4" w:space="0"/>
              <w:bottom w:val="single" w:color="auto" w:sz="4" w:space="0"/>
              <w:right w:val="single" w:color="auto" w:sz="4" w:space="0"/>
            </w:tcBorders>
            <w:shd w:val="clear" w:color="auto" w:fill="auto"/>
            <w:vAlign w:val="center"/>
          </w:tcPr>
          <w:p w14:paraId="536963CD">
            <w:pPr>
              <w:widowControl/>
              <w:snapToGrid w:val="0"/>
              <w:rPr>
                <w:rFonts w:hint="eastAsia"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模块构造：挂靠互联网医院、患者APP、其他第三方国际医疗APP等渠道跳转进入，整体偏向手机应用，对接后台管理模块与院内各项服务流程，是面向国内高净值人群、境外患者的移动服务入口。</w:t>
            </w:r>
          </w:p>
        </w:tc>
      </w:tr>
      <w:tr w14:paraId="6FEBAEE1">
        <w:tblPrEx>
          <w:tblCellMar>
            <w:top w:w="0" w:type="dxa"/>
            <w:left w:w="108" w:type="dxa"/>
            <w:bottom w:w="0" w:type="dxa"/>
            <w:right w:w="108" w:type="dxa"/>
          </w:tblCellMar>
        </w:tblPrEx>
        <w:trPr>
          <w:trHeight w:val="320" w:hRule="atLeast"/>
        </w:trPr>
        <w:tc>
          <w:tcPr>
            <w:tcW w:w="561" w:type="pct"/>
            <w:tcBorders>
              <w:top w:val="single" w:color="auto" w:sz="4" w:space="0"/>
              <w:left w:val="single" w:color="auto" w:sz="4" w:space="0"/>
              <w:bottom w:val="single" w:color="auto" w:sz="4" w:space="0"/>
              <w:right w:val="single" w:color="auto" w:sz="4" w:space="0"/>
            </w:tcBorders>
            <w:vAlign w:val="center"/>
          </w:tcPr>
          <w:p w14:paraId="12EABE23">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2</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013CC1FC">
            <w:pPr>
              <w:widowControl/>
              <w:snapToGrid w:val="0"/>
              <w:rPr>
                <w:rFonts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rPr>
              <w:t>平台首页：国际医疗客户端的统一入口</w:t>
            </w:r>
            <w:r>
              <w:rPr>
                <w:rFonts w:hint="eastAsia" w:ascii="微软雅黑" w:hAnsi="微软雅黑" w:eastAsia="微软雅黑" w:cs="微软雅黑"/>
                <w:color w:val="000000"/>
                <w:szCs w:val="21"/>
                <w:highlight w:val="none"/>
                <w:lang w:val="en-US" w:eastAsia="zh-CN"/>
              </w:rPr>
              <w:t>门户。</w:t>
            </w:r>
          </w:p>
        </w:tc>
      </w:tr>
      <w:tr w14:paraId="6D9F09B1">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26F12CB8">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3</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76DA2965">
            <w:pPr>
              <w:widowControl/>
              <w:snapToGrid w:val="0"/>
              <w:rPr>
                <w:rFonts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门诊挂号</w:t>
            </w:r>
            <w:r>
              <w:rPr>
                <w:rFonts w:hint="eastAsia" w:ascii="微软雅黑" w:hAnsi="微软雅黑" w:eastAsia="微软雅黑" w:cs="微软雅黑"/>
                <w:color w:val="000000"/>
                <w:szCs w:val="21"/>
                <w:highlight w:val="none"/>
              </w:rPr>
              <w:t>：提供多语种门诊预约挂号服务。</w:t>
            </w:r>
          </w:p>
        </w:tc>
      </w:tr>
      <w:tr w14:paraId="53B0AB34">
        <w:tblPrEx>
          <w:tblCellMar>
            <w:top w:w="0" w:type="dxa"/>
            <w:left w:w="108" w:type="dxa"/>
            <w:bottom w:w="0" w:type="dxa"/>
            <w:right w:w="108" w:type="dxa"/>
          </w:tblCellMar>
        </w:tblPrEx>
        <w:trPr>
          <w:trHeight w:val="320" w:hRule="atLeast"/>
        </w:trPr>
        <w:tc>
          <w:tcPr>
            <w:tcW w:w="561" w:type="pct"/>
            <w:tcBorders>
              <w:top w:val="single" w:color="auto" w:sz="4" w:space="0"/>
              <w:left w:val="single" w:color="auto" w:sz="4" w:space="0"/>
              <w:bottom w:val="single" w:color="auto" w:sz="4" w:space="0"/>
              <w:right w:val="single" w:color="auto" w:sz="4" w:space="0"/>
            </w:tcBorders>
            <w:vAlign w:val="center"/>
          </w:tcPr>
          <w:p w14:paraId="0E6430E4">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4</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7C998D9E">
            <w:pPr>
              <w:widowControl/>
              <w:snapToGrid w:val="0"/>
              <w:rPr>
                <w:rFonts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健康管理（体检）</w:t>
            </w:r>
            <w:r>
              <w:rPr>
                <w:rFonts w:hint="eastAsia" w:ascii="微软雅黑" w:hAnsi="微软雅黑" w:eastAsia="微软雅黑" w:cs="微软雅黑"/>
                <w:color w:val="000000"/>
                <w:szCs w:val="21"/>
                <w:highlight w:val="none"/>
              </w:rPr>
              <w:t>：提供定制化体检预约与长期健康管理服务。</w:t>
            </w:r>
          </w:p>
        </w:tc>
      </w:tr>
      <w:tr w14:paraId="7666BB60">
        <w:tblPrEx>
          <w:tblCellMar>
            <w:top w:w="0" w:type="dxa"/>
            <w:left w:w="108" w:type="dxa"/>
            <w:bottom w:w="0" w:type="dxa"/>
            <w:right w:w="108" w:type="dxa"/>
          </w:tblCellMar>
        </w:tblPrEx>
        <w:trPr>
          <w:trHeight w:val="320" w:hRule="atLeast"/>
        </w:trPr>
        <w:tc>
          <w:tcPr>
            <w:tcW w:w="561" w:type="pct"/>
            <w:tcBorders>
              <w:top w:val="single" w:color="auto" w:sz="4" w:space="0"/>
              <w:left w:val="single" w:color="auto" w:sz="4" w:space="0"/>
              <w:bottom w:val="single" w:color="auto" w:sz="4" w:space="0"/>
              <w:right w:val="single" w:color="auto" w:sz="4" w:space="0"/>
            </w:tcBorders>
            <w:vAlign w:val="center"/>
          </w:tcPr>
          <w:p w14:paraId="691A04C8">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5</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68BCD919">
            <w:pPr>
              <w:widowControl/>
              <w:snapToGrid w:val="0"/>
              <w:rPr>
                <w:rFonts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点诊服务</w:t>
            </w:r>
            <w:r>
              <w:rPr>
                <w:rFonts w:hint="eastAsia" w:ascii="微软雅黑" w:hAnsi="微软雅黑" w:eastAsia="微软雅黑" w:cs="微软雅黑"/>
                <w:color w:val="000000"/>
                <w:szCs w:val="21"/>
                <w:highlight w:val="none"/>
              </w:rPr>
              <w:t>：面向有特定专家需求的患者，提供指定医生点诊预约服务。</w:t>
            </w:r>
          </w:p>
        </w:tc>
      </w:tr>
      <w:tr w14:paraId="20950D38">
        <w:tblPrEx>
          <w:tblCellMar>
            <w:top w:w="0" w:type="dxa"/>
            <w:left w:w="108" w:type="dxa"/>
            <w:bottom w:w="0" w:type="dxa"/>
            <w:right w:w="108" w:type="dxa"/>
          </w:tblCellMar>
        </w:tblPrEx>
        <w:trPr>
          <w:trHeight w:val="375" w:hRule="atLeast"/>
        </w:trPr>
        <w:tc>
          <w:tcPr>
            <w:tcW w:w="561" w:type="pct"/>
            <w:tcBorders>
              <w:top w:val="single" w:color="auto" w:sz="4" w:space="0"/>
              <w:left w:val="single" w:color="auto" w:sz="4" w:space="0"/>
              <w:bottom w:val="single" w:color="auto" w:sz="4" w:space="0"/>
              <w:right w:val="single" w:color="auto" w:sz="4" w:space="0"/>
            </w:tcBorders>
            <w:vAlign w:val="center"/>
          </w:tcPr>
          <w:p w14:paraId="064A723F">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6</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0C4E7393">
            <w:pPr>
              <w:widowControl/>
              <w:snapToGrid w:val="0"/>
              <w:rPr>
                <w:rFonts w:hint="eastAsia"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疫苗接种</w:t>
            </w:r>
            <w:r>
              <w:rPr>
                <w:rFonts w:hint="eastAsia" w:ascii="微软雅黑" w:hAnsi="微软雅黑" w:eastAsia="微软雅黑" w:cs="微软雅黑"/>
                <w:color w:val="000000"/>
                <w:szCs w:val="21"/>
                <w:highlight w:val="none"/>
              </w:rPr>
              <w:t>：提供疫苗接种在线预约与健康咨询服务。</w:t>
            </w:r>
          </w:p>
        </w:tc>
      </w:tr>
      <w:tr w14:paraId="76FC242A">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0253BF3D">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7</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3619DA86">
            <w:pPr>
              <w:widowControl/>
              <w:snapToGrid w:val="0"/>
              <w:rPr>
                <w:rFonts w:hint="default"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住院服务</w:t>
            </w:r>
            <w:r>
              <w:rPr>
                <w:rFonts w:hint="eastAsia" w:ascii="微软雅黑" w:hAnsi="微软雅黑" w:eastAsia="微软雅黑" w:cs="微软雅黑"/>
                <w:color w:val="000000"/>
                <w:szCs w:val="21"/>
                <w:highlight w:val="none"/>
                <w:lang w:eastAsia="zh-CN"/>
              </w:rPr>
              <w:t>：提供</w:t>
            </w:r>
            <w:r>
              <w:rPr>
                <w:rFonts w:hint="eastAsia" w:ascii="微软雅黑" w:hAnsi="微软雅黑" w:eastAsia="微软雅黑" w:cs="微软雅黑"/>
                <w:color w:val="000000"/>
                <w:szCs w:val="21"/>
                <w:highlight w:val="none"/>
                <w:lang w:val="en-US" w:eastAsia="zh-CN"/>
              </w:rPr>
              <w:t>住院</w:t>
            </w:r>
            <w:r>
              <w:rPr>
                <w:rFonts w:hint="eastAsia" w:ascii="微软雅黑" w:hAnsi="微软雅黑" w:eastAsia="微软雅黑" w:cs="微软雅黑"/>
                <w:color w:val="000000"/>
                <w:szCs w:val="21"/>
                <w:highlight w:val="none"/>
                <w:lang w:eastAsia="zh-CN"/>
              </w:rPr>
              <w:t>全流程线上服务。</w:t>
            </w:r>
          </w:p>
        </w:tc>
      </w:tr>
      <w:tr w14:paraId="6CDF678A">
        <w:tblPrEx>
          <w:tblCellMar>
            <w:top w:w="0" w:type="dxa"/>
            <w:left w:w="108" w:type="dxa"/>
            <w:bottom w:w="0" w:type="dxa"/>
            <w:right w:w="108" w:type="dxa"/>
          </w:tblCellMar>
        </w:tblPrEx>
        <w:trPr>
          <w:trHeight w:val="375" w:hRule="atLeast"/>
        </w:trPr>
        <w:tc>
          <w:tcPr>
            <w:tcW w:w="561" w:type="pct"/>
            <w:tcBorders>
              <w:top w:val="single" w:color="auto" w:sz="4" w:space="0"/>
              <w:left w:val="single" w:color="auto" w:sz="4" w:space="0"/>
              <w:bottom w:val="single" w:color="auto" w:sz="4" w:space="0"/>
              <w:right w:val="single" w:color="auto" w:sz="4" w:space="0"/>
            </w:tcBorders>
            <w:vAlign w:val="center"/>
          </w:tcPr>
          <w:p w14:paraId="58B51345">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8</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6AD81A51">
            <w:pPr>
              <w:widowControl/>
              <w:snapToGrid w:val="0"/>
              <w:rPr>
                <w:rFonts w:hint="default"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商保支付：为持有商业保险的境外患者提供保险直付与理赔辅助服务，衔接医院已有的商保平台业务。</w:t>
            </w:r>
          </w:p>
        </w:tc>
      </w:tr>
      <w:tr w14:paraId="7E3C342C">
        <w:tblPrEx>
          <w:tblCellMar>
            <w:top w:w="0" w:type="dxa"/>
            <w:left w:w="108" w:type="dxa"/>
            <w:bottom w:w="0" w:type="dxa"/>
            <w:right w:w="108" w:type="dxa"/>
          </w:tblCellMar>
        </w:tblPrEx>
        <w:trPr>
          <w:trHeight w:val="375" w:hRule="atLeast"/>
        </w:trPr>
        <w:tc>
          <w:tcPr>
            <w:tcW w:w="561" w:type="pct"/>
            <w:tcBorders>
              <w:top w:val="single" w:color="auto" w:sz="4" w:space="0"/>
              <w:left w:val="single" w:color="auto" w:sz="4" w:space="0"/>
              <w:bottom w:val="single" w:color="auto" w:sz="4" w:space="0"/>
              <w:right w:val="single" w:color="auto" w:sz="4" w:space="0"/>
            </w:tcBorders>
            <w:vAlign w:val="center"/>
          </w:tcPr>
          <w:p w14:paraId="6BC67BD7">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9</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502705A0">
            <w:pPr>
              <w:widowControl/>
              <w:snapToGrid w:val="0"/>
              <w:rPr>
                <w:rFonts w:hint="default"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缴费服务：提供挂号费、诊查费、检查费、药费、住院预交金等项目的在线缴费服务。</w:t>
            </w:r>
          </w:p>
        </w:tc>
      </w:tr>
      <w:tr w14:paraId="304878FF">
        <w:tblPrEx>
          <w:tblCellMar>
            <w:top w:w="0" w:type="dxa"/>
            <w:left w:w="108" w:type="dxa"/>
            <w:bottom w:w="0" w:type="dxa"/>
            <w:right w:w="108" w:type="dxa"/>
          </w:tblCellMar>
        </w:tblPrEx>
        <w:trPr>
          <w:trHeight w:val="375" w:hRule="atLeast"/>
        </w:trPr>
        <w:tc>
          <w:tcPr>
            <w:tcW w:w="561" w:type="pct"/>
            <w:tcBorders>
              <w:top w:val="single" w:color="auto" w:sz="4" w:space="0"/>
              <w:left w:val="single" w:color="auto" w:sz="4" w:space="0"/>
              <w:bottom w:val="single" w:color="auto" w:sz="4" w:space="0"/>
              <w:right w:val="single" w:color="auto" w:sz="4" w:space="0"/>
            </w:tcBorders>
            <w:vAlign w:val="center"/>
          </w:tcPr>
          <w:p w14:paraId="1321E48F">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10</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2F6EC8CE">
            <w:pPr>
              <w:widowControl/>
              <w:snapToGrid w:val="0"/>
              <w:rPr>
                <w:rFonts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口腔/医美服务：提供口腔诊疗与医疗美容项目的在线预约与咨询服务。</w:t>
            </w:r>
          </w:p>
        </w:tc>
      </w:tr>
      <w:tr w14:paraId="502D8153">
        <w:tblPrEx>
          <w:tblCellMar>
            <w:top w:w="0" w:type="dxa"/>
            <w:left w:w="108" w:type="dxa"/>
            <w:bottom w:w="0" w:type="dxa"/>
            <w:right w:w="108" w:type="dxa"/>
          </w:tblCellMar>
        </w:tblPrEx>
        <w:trPr>
          <w:trHeight w:val="375" w:hRule="atLeast"/>
        </w:trPr>
        <w:tc>
          <w:tcPr>
            <w:tcW w:w="561" w:type="pct"/>
            <w:tcBorders>
              <w:top w:val="single" w:color="auto" w:sz="4" w:space="0"/>
              <w:left w:val="single" w:color="auto" w:sz="4" w:space="0"/>
              <w:bottom w:val="single" w:color="auto" w:sz="4" w:space="0"/>
              <w:right w:val="single" w:color="auto" w:sz="4" w:space="0"/>
            </w:tcBorders>
            <w:vAlign w:val="center"/>
          </w:tcPr>
          <w:p w14:paraId="5725E0FD">
            <w:pPr>
              <w:widowControl/>
              <w:snapToGrid w:val="0"/>
              <w:jc w:val="center"/>
              <w:rPr>
                <w:rFonts w:hint="default" w:ascii="微软雅黑" w:hAnsi="微软雅黑" w:eastAsia="微软雅黑" w:cs="微软雅黑"/>
                <w:color w:val="000000"/>
                <w:szCs w:val="21"/>
                <w:highlight w:val="none"/>
                <w:lang w:val="en-US" w:eastAsia="zh-CN"/>
              </w:rPr>
            </w:pPr>
            <w:bookmarkStart w:id="4" w:name="_Toc12453"/>
            <w:r>
              <w:rPr>
                <w:rFonts w:hint="eastAsia" w:ascii="微软雅黑" w:hAnsi="微软雅黑" w:eastAsia="微软雅黑" w:cs="微软雅黑"/>
                <w:color w:val="000000"/>
                <w:szCs w:val="21"/>
                <w:highlight w:val="none"/>
                <w:lang w:val="en-US" w:eastAsia="zh-CN"/>
              </w:rPr>
              <w:t>11</w:t>
            </w:r>
          </w:p>
        </w:tc>
        <w:tc>
          <w:tcPr>
            <w:tcW w:w="8244" w:type="dxa"/>
            <w:tcBorders>
              <w:top w:val="single" w:color="auto" w:sz="4" w:space="0"/>
              <w:left w:val="single" w:color="auto" w:sz="4" w:space="0"/>
              <w:bottom w:val="single" w:color="auto" w:sz="4" w:space="0"/>
              <w:right w:val="single" w:color="auto" w:sz="4" w:space="0"/>
            </w:tcBorders>
            <w:shd w:val="clear" w:color="auto" w:fill="auto"/>
            <w:vAlign w:val="center"/>
          </w:tcPr>
          <w:p w14:paraId="06B6F6ED">
            <w:pPr>
              <w:widowControl/>
              <w:snapToGrid w:val="0"/>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报告查询服务：提供检查、检验、体检、影像等报告的在线查询与下载服务。</w:t>
            </w:r>
          </w:p>
        </w:tc>
      </w:tr>
    </w:tbl>
    <w:p w14:paraId="637EEF14">
      <w:pPr>
        <w:pStyle w:val="73"/>
        <w:ind w:left="1250" w:leftChars="0" w:hanging="967" w:firstLineChars="0"/>
        <w:outlineLvl w:val="1"/>
        <w:rPr>
          <w:rFonts w:hint="default"/>
          <w:highlight w:val="none"/>
        </w:rPr>
      </w:pPr>
      <w:bookmarkStart w:id="5" w:name="_6.1.2、容器服务器"/>
      <w:bookmarkEnd w:id="5"/>
      <w:r>
        <w:rPr>
          <w:rFonts w:hint="eastAsia" w:ascii="微软雅黑" w:hAnsi="微软雅黑" w:eastAsia="微软雅黑" w:cs="微软雅黑"/>
          <w:color w:val="000000"/>
          <w:szCs w:val="21"/>
          <w:highlight w:val="none"/>
          <w:lang w:val="en-US" w:eastAsia="zh-CN"/>
        </w:rPr>
        <w:t>模块构造</w:t>
      </w:r>
    </w:p>
    <w:p w14:paraId="217C67A0">
      <w:pPr>
        <w:pStyle w:val="72"/>
        <w:bidi w:val="0"/>
        <w:rPr>
          <w:rFonts w:hint="default"/>
          <w:highlight w:val="none"/>
          <w:lang w:val="en-US" w:eastAsia="zh-CN"/>
        </w:rPr>
      </w:pPr>
      <w:r>
        <w:rPr>
          <w:rFonts w:hint="eastAsia"/>
          <w:highlight w:val="none"/>
          <w:lang w:val="en-US" w:eastAsia="zh-CN"/>
        </w:rPr>
        <w:t>模块形态：该模块挂靠互联网医院客户端和医院患者APP。由主入口跳转进入，不独立建 App，不独立建小程序，用户身份既可以沿用互联网医院登录态，也可以通过邮箱、手机等多种模式登录。界面文案、通知、报告、价格等支持多语言。</w:t>
      </w:r>
    </w:p>
    <w:p w14:paraId="7D02719B">
      <w:pPr>
        <w:pStyle w:val="73"/>
        <w:ind w:left="1250" w:leftChars="0" w:hanging="967" w:firstLineChars="0"/>
        <w:outlineLvl w:val="1"/>
        <w:rPr>
          <w:rFonts w:hint="default"/>
          <w:highlight w:val="none"/>
        </w:rPr>
      </w:pPr>
      <w:r>
        <w:rPr>
          <w:highlight w:val="none"/>
        </w:rPr>
        <w:t>平台首页</w:t>
      </w:r>
      <w:bookmarkEnd w:id="4"/>
    </w:p>
    <w:p w14:paraId="3C501258">
      <w:pPr>
        <w:pStyle w:val="72"/>
        <w:bidi w:val="0"/>
        <w:rPr>
          <w:rFonts w:hint="default"/>
          <w:highlight w:val="none"/>
        </w:rPr>
      </w:pPr>
      <w:r>
        <w:rPr>
          <w:rFonts w:hint="eastAsia"/>
          <w:highlight w:val="none"/>
        </w:rPr>
        <w:t>多语言切换：支持中、英、阿、俄、西等语言实时切换，覆盖界面文案、通知、报告等。</w:t>
      </w:r>
    </w:p>
    <w:p w14:paraId="3C4849DE">
      <w:pPr>
        <w:pStyle w:val="72"/>
        <w:bidi w:val="0"/>
        <w:rPr>
          <w:rFonts w:hint="default"/>
          <w:highlight w:val="none"/>
        </w:rPr>
      </w:pPr>
      <w:r>
        <w:rPr>
          <w:rFonts w:hint="default"/>
          <w:highlight w:val="none"/>
        </w:rPr>
        <w:t>通知公告栏</w:t>
      </w:r>
      <w:r>
        <w:rPr>
          <w:rFonts w:hint="eastAsia"/>
          <w:highlight w:val="none"/>
          <w:lang w:eastAsia="zh-CN"/>
        </w:rPr>
        <w:t>：以轮播或</w:t>
      </w:r>
      <w:r>
        <w:rPr>
          <w:rFonts w:hint="eastAsia"/>
          <w:highlight w:val="none"/>
          <w:lang w:val="en-US" w:eastAsia="zh-CN"/>
        </w:rPr>
        <w:t>弹框</w:t>
      </w:r>
      <w:r>
        <w:rPr>
          <w:rFonts w:hint="eastAsia"/>
          <w:highlight w:val="none"/>
          <w:lang w:eastAsia="zh-CN"/>
        </w:rPr>
        <w:t>形式展示医院通知（</w:t>
      </w:r>
      <w:r>
        <w:rPr>
          <w:rFonts w:hint="eastAsia"/>
          <w:highlight w:val="none"/>
          <w:lang w:val="en-US" w:eastAsia="zh-CN"/>
        </w:rPr>
        <w:t>多语言</w:t>
      </w:r>
      <w:r>
        <w:rPr>
          <w:rFonts w:hint="eastAsia"/>
          <w:highlight w:val="none"/>
          <w:lang w:eastAsia="zh-CN"/>
        </w:rPr>
        <w:t>）、系统维护、服务调整、政策更新等</w:t>
      </w:r>
      <w:r>
        <w:rPr>
          <w:rFonts w:hint="eastAsia"/>
          <w:highlight w:val="none"/>
          <w:lang w:val="en-US" w:eastAsia="zh-CN"/>
        </w:rPr>
        <w:t>重要</w:t>
      </w:r>
      <w:r>
        <w:rPr>
          <w:rFonts w:hint="eastAsia"/>
          <w:highlight w:val="none"/>
          <w:lang w:eastAsia="zh-CN"/>
        </w:rPr>
        <w:t>内容。紧急或重要公告置顶显示，支持标记“重要”“紧急”标签。</w:t>
      </w:r>
      <w:r>
        <w:rPr>
          <w:rFonts w:hint="eastAsia"/>
          <w:highlight w:val="none"/>
          <w:lang w:val="en-US" w:eastAsia="zh-CN"/>
        </w:rPr>
        <w:t>支持</w:t>
      </w:r>
      <w:r>
        <w:rPr>
          <w:rFonts w:hint="eastAsia"/>
          <w:highlight w:val="none"/>
          <w:lang w:eastAsia="zh-CN"/>
        </w:rPr>
        <w:t>点击公告进入详情页，展示发布时间、生效时间、正文及相关附件。</w:t>
      </w:r>
      <w:r>
        <w:rPr>
          <w:rFonts w:hint="eastAsia"/>
          <w:highlight w:val="none"/>
          <w:lang w:val="en-US" w:eastAsia="zh-CN"/>
        </w:rPr>
        <w:t>支持</w:t>
      </w:r>
      <w:r>
        <w:rPr>
          <w:rFonts w:hint="eastAsia"/>
          <w:highlight w:val="none"/>
          <w:lang w:eastAsia="zh-CN"/>
        </w:rPr>
        <w:t>记录用户阅读状态，重要公告可要求确认已读。</w:t>
      </w:r>
    </w:p>
    <w:p w14:paraId="0A3860D0">
      <w:pPr>
        <w:pStyle w:val="72"/>
        <w:bidi w:val="0"/>
        <w:rPr>
          <w:rFonts w:hint="default"/>
          <w:highlight w:val="none"/>
        </w:rPr>
      </w:pPr>
      <w:r>
        <w:rPr>
          <w:rFonts w:hint="eastAsia"/>
          <w:highlight w:val="none"/>
          <w:lang w:val="en-US" w:eastAsia="zh-CN"/>
        </w:rPr>
        <w:t>服务导航</w:t>
      </w:r>
      <w:r>
        <w:rPr>
          <w:highlight w:val="none"/>
        </w:rPr>
        <w:t>：</w:t>
      </w:r>
      <w:r>
        <w:rPr>
          <w:rFonts w:hint="eastAsia"/>
          <w:highlight w:val="none"/>
        </w:rPr>
        <w:t>以图标+文字形式展示挂号、体检、点诊、疫苗、住院、商保、缴费、口腔医美、报告查询等入口。</w:t>
      </w:r>
    </w:p>
    <w:p w14:paraId="4C5D7F89">
      <w:pPr>
        <w:pStyle w:val="72"/>
        <w:bidi w:val="0"/>
        <w:rPr>
          <w:rFonts w:hint="default"/>
          <w:highlight w:val="none"/>
        </w:rPr>
      </w:pPr>
      <w:r>
        <w:rPr>
          <w:rFonts w:hint="default"/>
          <w:highlight w:val="none"/>
        </w:rPr>
        <w:t>消息通知：预约提醒、报告出具、缴费成功、客服回复等</w:t>
      </w:r>
      <w:r>
        <w:rPr>
          <w:rFonts w:hint="eastAsia"/>
          <w:highlight w:val="none"/>
          <w:lang w:val="en-US" w:eastAsia="zh-CN"/>
        </w:rPr>
        <w:t>待处理</w:t>
      </w:r>
      <w:r>
        <w:rPr>
          <w:rFonts w:hint="default"/>
          <w:highlight w:val="none"/>
        </w:rPr>
        <w:t>消息集中展示。</w:t>
      </w:r>
    </w:p>
    <w:p w14:paraId="5FC8C76A">
      <w:pPr>
        <w:pStyle w:val="72"/>
        <w:bidi w:val="0"/>
        <w:rPr>
          <w:rFonts w:hint="default"/>
          <w:highlight w:val="none"/>
        </w:rPr>
      </w:pPr>
      <w:r>
        <w:rPr>
          <w:rFonts w:hint="default"/>
          <w:highlight w:val="none"/>
        </w:rPr>
        <w:t>快捷搜索区</w:t>
      </w:r>
      <w:r>
        <w:rPr>
          <w:rFonts w:hint="eastAsia"/>
          <w:highlight w:val="none"/>
          <w:lang w:eastAsia="zh-CN"/>
        </w:rPr>
        <w:t>：</w:t>
      </w:r>
      <w:r>
        <w:rPr>
          <w:rFonts w:hint="eastAsia"/>
          <w:highlight w:val="none"/>
          <w:lang w:val="en-US" w:eastAsia="zh-CN"/>
        </w:rPr>
        <w:t>支持全局搜索：支持按科室、医生、病种、服务名称、公告关键词搜索。展示热门搜索：展示高频搜索词，如“体检套餐”“HPV疫苗”“专家点诊”。展示搜索历史：记录用户近期搜索，支持快速再次搜索。</w:t>
      </w:r>
    </w:p>
    <w:p w14:paraId="27FE0D32">
      <w:pPr>
        <w:pStyle w:val="72"/>
        <w:bidi w:val="0"/>
        <w:rPr>
          <w:rFonts w:hint="default"/>
          <w:highlight w:val="none"/>
        </w:rPr>
      </w:pPr>
      <w:r>
        <w:rPr>
          <w:rFonts w:hint="default"/>
          <w:highlight w:val="none"/>
        </w:rPr>
        <w:t>在线客服入口：7×24小时多语种客服，支持在线、</w:t>
      </w:r>
      <w:r>
        <w:rPr>
          <w:rFonts w:hint="eastAsia"/>
          <w:highlight w:val="none"/>
          <w:lang w:val="en-US" w:eastAsia="zh-CN"/>
        </w:rPr>
        <w:t>电话</w:t>
      </w:r>
      <w:r>
        <w:rPr>
          <w:rFonts w:hint="default"/>
          <w:highlight w:val="none"/>
        </w:rPr>
        <w:t>即时通讯。</w:t>
      </w:r>
      <w:r>
        <w:rPr>
          <w:rFonts w:hint="eastAsia"/>
          <w:highlight w:val="none"/>
          <w:lang w:val="en-US" w:eastAsia="zh-CN"/>
        </w:rPr>
        <w:t>支持常见问题（FAQ），常见问题包含图文/视频展示从预约到就诊、住院、出院的完整流程。以及签证与邀请函等内容。</w:t>
      </w:r>
    </w:p>
    <w:p w14:paraId="41CE172C">
      <w:pPr>
        <w:pStyle w:val="72"/>
        <w:bidi w:val="0"/>
        <w:rPr>
          <w:rFonts w:hint="default"/>
          <w:highlight w:val="none"/>
        </w:rPr>
      </w:pPr>
      <w:r>
        <w:rPr>
          <w:rFonts w:hint="default"/>
          <w:highlight w:val="none"/>
        </w:rPr>
        <w:t>紧急联系：展示急救电话、国际救援合作机构、院内急诊指引。</w:t>
      </w:r>
    </w:p>
    <w:p w14:paraId="18383CAA">
      <w:pPr>
        <w:pStyle w:val="72"/>
        <w:bidi w:val="0"/>
        <w:rPr>
          <w:rFonts w:hint="default"/>
          <w:highlight w:val="none"/>
        </w:rPr>
      </w:pPr>
      <w:r>
        <w:rPr>
          <w:rFonts w:hint="default"/>
          <w:highlight w:val="none"/>
        </w:rPr>
        <w:t>个人中心入口：进入个人资料、就诊记录、订单、授权管理</w:t>
      </w:r>
      <w:r>
        <w:rPr>
          <w:rFonts w:hint="eastAsia"/>
          <w:highlight w:val="none"/>
          <w:lang w:eastAsia="zh-CN"/>
        </w:rPr>
        <w:t>、</w:t>
      </w:r>
      <w:r>
        <w:rPr>
          <w:rFonts w:hint="eastAsia"/>
          <w:highlight w:val="none"/>
          <w:lang w:val="en-US" w:eastAsia="zh-CN"/>
        </w:rPr>
        <w:t>消费记录、发票管理</w:t>
      </w:r>
      <w:r>
        <w:rPr>
          <w:rFonts w:hint="default"/>
          <w:highlight w:val="none"/>
        </w:rPr>
        <w:t>等。调用</w:t>
      </w:r>
      <w:r>
        <w:rPr>
          <w:rFonts w:hint="eastAsia"/>
          <w:highlight w:val="none"/>
          <w:lang w:val="en-US" w:eastAsia="zh-CN"/>
        </w:rPr>
        <w:t>互联网医院</w:t>
      </w:r>
      <w:r>
        <w:rPr>
          <w:rFonts w:hint="default"/>
          <w:highlight w:val="none"/>
        </w:rPr>
        <w:t>患者主索引</w:t>
      </w:r>
      <w:r>
        <w:rPr>
          <w:rFonts w:hint="eastAsia"/>
          <w:highlight w:val="none"/>
          <w:lang w:eastAsia="zh-CN"/>
        </w:rPr>
        <w:t>，</w:t>
      </w:r>
      <w:r>
        <w:rPr>
          <w:rFonts w:hint="eastAsia"/>
          <w:highlight w:val="none"/>
          <w:lang w:val="en-US" w:eastAsia="zh-CN"/>
        </w:rPr>
        <w:t>展示</w:t>
      </w:r>
      <w:r>
        <w:rPr>
          <w:rFonts w:hint="default"/>
          <w:highlight w:val="none"/>
        </w:rPr>
        <w:t>订单中心、授权管理</w:t>
      </w:r>
      <w:r>
        <w:rPr>
          <w:rFonts w:hint="eastAsia"/>
          <w:highlight w:val="none"/>
          <w:lang w:val="en-US" w:eastAsia="zh-CN"/>
        </w:rPr>
        <w:t>等</w:t>
      </w:r>
      <w:r>
        <w:rPr>
          <w:rFonts w:hint="default"/>
          <w:highlight w:val="none"/>
        </w:rPr>
        <w:t>服务。</w:t>
      </w:r>
      <w:r>
        <w:rPr>
          <w:rFonts w:hint="eastAsia"/>
          <w:highlight w:val="none"/>
          <w:lang w:val="en-US" w:eastAsia="zh-CN"/>
        </w:rPr>
        <w:t>消费记录及发票管理可以独立点击点开展示对应消费单据及发票信息，如满足退费条件，也可在页面上发起退费申请。</w:t>
      </w:r>
    </w:p>
    <w:p w14:paraId="6C02370F">
      <w:pPr>
        <w:pStyle w:val="72"/>
        <w:bidi w:val="0"/>
        <w:rPr>
          <w:rFonts w:hint="default"/>
          <w:highlight w:val="none"/>
        </w:rPr>
      </w:pPr>
      <w:r>
        <w:rPr>
          <w:rFonts w:hint="default"/>
          <w:highlight w:val="none"/>
        </w:rPr>
        <w:t>用户登录/注册：支持手机号、邮箱、第三方账号及境外证件注册登录。</w:t>
      </w:r>
      <w:r>
        <w:rPr>
          <w:rFonts w:hint="eastAsia"/>
          <w:highlight w:val="none"/>
          <w:lang w:eastAsia="zh-CN"/>
        </w:rPr>
        <w:t>（</w:t>
      </w:r>
      <w:r>
        <w:rPr>
          <w:rFonts w:hint="eastAsia"/>
          <w:highlight w:val="none"/>
          <w:lang w:val="en-US" w:eastAsia="zh-CN"/>
        </w:rPr>
        <w:t>或对接互联网医院统一身份认证服务（SSO）、患者主索引（EMPI）</w:t>
      </w:r>
      <w:r>
        <w:rPr>
          <w:rFonts w:hint="eastAsia"/>
          <w:highlight w:val="none"/>
          <w:lang w:eastAsia="zh-CN"/>
        </w:rPr>
        <w:t>）。</w:t>
      </w:r>
      <w:r>
        <w:rPr>
          <w:rFonts w:hint="eastAsia"/>
          <w:highlight w:val="none"/>
          <w:lang w:val="en-US" w:eastAsia="zh-CN"/>
        </w:rPr>
        <w:t>在没有发生就诊行为前，用户资料可以独立于医院的患者档案，尽量简化患者首次接触时，所需提供的资料。</w:t>
      </w:r>
    </w:p>
    <w:p w14:paraId="6D5F7310">
      <w:pPr>
        <w:pStyle w:val="72"/>
        <w:bidi w:val="0"/>
        <w:rPr>
          <w:rFonts w:hint="default"/>
          <w:highlight w:val="none"/>
        </w:rPr>
      </w:pPr>
      <w:r>
        <w:rPr>
          <w:rFonts w:hint="default"/>
          <w:highlight w:val="none"/>
        </w:rPr>
        <w:t>实名认证与就诊人管理</w:t>
      </w:r>
      <w:r>
        <w:rPr>
          <w:rFonts w:hint="eastAsia"/>
          <w:highlight w:val="none"/>
          <w:lang w:eastAsia="zh-CN"/>
        </w:rPr>
        <w:t>：支持护照、港澳台通行证、国际身份证件、港澳居民居住证等。</w:t>
      </w:r>
      <w:r>
        <w:rPr>
          <w:rFonts w:hint="eastAsia"/>
          <w:highlight w:val="none"/>
          <w:lang w:val="en-US" w:eastAsia="zh-CN"/>
        </w:rPr>
        <w:t>如有需要则进行证件核验。</w:t>
      </w:r>
    </w:p>
    <w:p w14:paraId="3CE16176">
      <w:pPr>
        <w:pStyle w:val="72"/>
        <w:bidi w:val="0"/>
        <w:rPr>
          <w:rFonts w:hint="default"/>
          <w:highlight w:val="none"/>
        </w:rPr>
      </w:pPr>
      <w:r>
        <w:rPr>
          <w:rFonts w:hint="default"/>
          <w:highlight w:val="none"/>
        </w:rPr>
        <w:t>就诊人管理</w:t>
      </w:r>
      <w:r>
        <w:rPr>
          <w:rFonts w:hint="eastAsia"/>
          <w:highlight w:val="none"/>
          <w:lang w:eastAsia="zh-CN"/>
        </w:rPr>
        <w:t>：支持添加、编辑、删除就诊人，区分本人与家属。</w:t>
      </w:r>
      <w:r>
        <w:rPr>
          <w:rFonts w:hint="eastAsia"/>
          <w:highlight w:val="none"/>
          <w:lang w:val="en-US" w:eastAsia="zh-CN"/>
        </w:rPr>
        <w:t>如有必要可</w:t>
      </w:r>
      <w:r>
        <w:rPr>
          <w:rFonts w:hint="default"/>
          <w:highlight w:val="none"/>
        </w:rPr>
        <w:t>调用</w:t>
      </w:r>
      <w:r>
        <w:rPr>
          <w:rFonts w:hint="eastAsia"/>
          <w:highlight w:val="none"/>
          <w:lang w:val="en-US" w:eastAsia="zh-CN"/>
        </w:rPr>
        <w:t>互联网医院</w:t>
      </w:r>
      <w:r>
        <w:rPr>
          <w:rFonts w:hint="default"/>
          <w:highlight w:val="none"/>
        </w:rPr>
        <w:t>患者主索引</w:t>
      </w:r>
      <w:r>
        <w:rPr>
          <w:rFonts w:hint="eastAsia"/>
          <w:highlight w:val="none"/>
          <w:lang w:eastAsia="zh-CN"/>
        </w:rPr>
        <w:t>。</w:t>
      </w:r>
    </w:p>
    <w:p w14:paraId="3A98A25A">
      <w:pPr>
        <w:pStyle w:val="72"/>
        <w:bidi w:val="0"/>
        <w:rPr>
          <w:rFonts w:hint="default"/>
          <w:highlight w:val="none"/>
        </w:rPr>
      </w:pPr>
      <w:r>
        <w:rPr>
          <w:rFonts w:hint="eastAsia"/>
          <w:highlight w:val="none"/>
          <w:lang w:val="en-US" w:eastAsia="zh-CN"/>
        </w:rPr>
        <w:t>国际医疗特殊</w:t>
      </w:r>
      <w:r>
        <w:rPr>
          <w:rFonts w:hint="default"/>
          <w:highlight w:val="none"/>
        </w:rPr>
        <w:t>信息补全</w:t>
      </w:r>
      <w:r>
        <w:rPr>
          <w:rFonts w:hint="eastAsia"/>
          <w:highlight w:val="none"/>
          <w:lang w:eastAsia="zh-CN"/>
        </w:rPr>
        <w:t>：补充国籍、语言、联系方式、紧急联系人、保险信息。如有必要可调用互联网医院患者主索引。</w:t>
      </w:r>
    </w:p>
    <w:p w14:paraId="0425B215">
      <w:pPr>
        <w:pStyle w:val="73"/>
        <w:ind w:left="1250" w:leftChars="0" w:hanging="967" w:firstLineChars="0"/>
        <w:outlineLvl w:val="1"/>
        <w:rPr>
          <w:rFonts w:hint="default"/>
          <w:highlight w:val="none"/>
        </w:rPr>
      </w:pPr>
      <w:bookmarkStart w:id="6" w:name="_Toc5049"/>
      <w:r>
        <w:rPr>
          <w:rFonts w:hint="eastAsia" w:ascii="微软雅黑" w:hAnsi="微软雅黑" w:eastAsia="微软雅黑" w:cs="微软雅黑"/>
          <w:color w:val="000000"/>
          <w:szCs w:val="21"/>
          <w:highlight w:val="none"/>
          <w:lang w:val="en-US" w:eastAsia="zh-CN"/>
        </w:rPr>
        <w:t>门诊挂号</w:t>
      </w:r>
      <w:bookmarkEnd w:id="6"/>
    </w:p>
    <w:p w14:paraId="497A29A1">
      <w:pPr>
        <w:pStyle w:val="72"/>
        <w:bidi w:val="0"/>
        <w:rPr>
          <w:rFonts w:hint="default"/>
          <w:highlight w:val="none"/>
        </w:rPr>
      </w:pPr>
      <w:r>
        <w:rPr>
          <w:rFonts w:hint="eastAsia"/>
          <w:highlight w:val="none"/>
        </w:rPr>
        <w:t>科室分类展示</w:t>
      </w:r>
      <w:r>
        <w:rPr>
          <w:highlight w:val="none"/>
        </w:rPr>
        <w:t>：</w:t>
      </w:r>
      <w:r>
        <w:rPr>
          <w:rFonts w:hint="eastAsia"/>
          <w:highlight w:val="none"/>
        </w:rPr>
        <w:t>获取科室树、科室简介、</w:t>
      </w:r>
      <w:r>
        <w:rPr>
          <w:rFonts w:hint="eastAsia"/>
          <w:highlight w:val="none"/>
          <w:lang w:val="en-US" w:eastAsia="zh-CN"/>
        </w:rPr>
        <w:t>出诊人员等信息，按多级科室专科分类展示，支持按病种、系统分类浏览。维护页位于</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w:t>
      </w:r>
    </w:p>
    <w:p w14:paraId="1AD212C8">
      <w:pPr>
        <w:pStyle w:val="72"/>
        <w:bidi w:val="0"/>
        <w:rPr>
          <w:rFonts w:hint="default"/>
          <w:highlight w:val="none"/>
        </w:rPr>
      </w:pPr>
      <w:r>
        <w:rPr>
          <w:rFonts w:hint="eastAsia"/>
          <w:highlight w:val="none"/>
        </w:rPr>
        <w:t>专家列表</w:t>
      </w:r>
      <w:r>
        <w:rPr>
          <w:highlight w:val="none"/>
        </w:rPr>
        <w:t>：</w:t>
      </w:r>
      <w:r>
        <w:rPr>
          <w:rFonts w:hint="eastAsia"/>
          <w:highlight w:val="none"/>
        </w:rPr>
        <w:t>展示医生头像、职称、科室、擅长领域、语言能力、出诊状态。</w:t>
      </w:r>
      <w:r>
        <w:rPr>
          <w:rFonts w:hint="eastAsia"/>
          <w:highlight w:val="none"/>
          <w:lang w:val="en-US" w:eastAsia="zh-CN"/>
        </w:rPr>
        <w:t>维护页位于</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w:t>
      </w:r>
    </w:p>
    <w:p w14:paraId="4D98C8C2">
      <w:pPr>
        <w:pStyle w:val="72"/>
        <w:bidi w:val="0"/>
        <w:rPr>
          <w:rFonts w:hint="default"/>
          <w:highlight w:val="none"/>
        </w:rPr>
      </w:pPr>
      <w:r>
        <w:rPr>
          <w:rFonts w:hint="eastAsia"/>
          <w:highlight w:val="none"/>
        </w:rPr>
        <w:t>筛选与排序</w:t>
      </w:r>
      <w:r>
        <w:rPr>
          <w:highlight w:val="none"/>
        </w:rPr>
        <w:t>：</w:t>
      </w:r>
      <w:r>
        <w:rPr>
          <w:rFonts w:hint="eastAsia"/>
          <w:highlight w:val="none"/>
        </w:rPr>
        <w:t>按职称、语言、出诊时间、性别、好评度筛选排序。</w:t>
      </w:r>
    </w:p>
    <w:p w14:paraId="28042D55">
      <w:pPr>
        <w:pStyle w:val="72"/>
        <w:bidi w:val="0"/>
        <w:rPr>
          <w:rFonts w:hint="default"/>
          <w:highlight w:val="none"/>
        </w:rPr>
      </w:pPr>
      <w:r>
        <w:rPr>
          <w:rFonts w:hint="eastAsia"/>
          <w:highlight w:val="none"/>
        </w:rPr>
        <w:t>医生主页</w:t>
      </w:r>
      <w:r>
        <w:rPr>
          <w:highlight w:val="none"/>
        </w:rPr>
        <w:t>：</w:t>
      </w:r>
      <w:r>
        <w:rPr>
          <w:rFonts w:hint="eastAsia"/>
          <w:highlight w:val="none"/>
          <w:lang w:val="en-US" w:eastAsia="zh-CN"/>
        </w:rPr>
        <w:t>点击医生信息即</w:t>
      </w:r>
      <w:r>
        <w:rPr>
          <w:rFonts w:hint="eastAsia"/>
          <w:highlight w:val="none"/>
        </w:rPr>
        <w:t>展示医生简介、擅长领域、执业资质、出诊安排、患者评价</w:t>
      </w:r>
      <w:r>
        <w:rPr>
          <w:highlight w:val="none"/>
        </w:rPr>
        <w:t>。</w:t>
      </w:r>
    </w:p>
    <w:p w14:paraId="3F92F20F">
      <w:pPr>
        <w:pStyle w:val="72"/>
        <w:bidi w:val="0"/>
        <w:rPr>
          <w:rFonts w:hint="default"/>
          <w:highlight w:val="none"/>
        </w:rPr>
      </w:pPr>
      <w:r>
        <w:rPr>
          <w:rFonts w:hint="default"/>
          <w:highlight w:val="none"/>
        </w:rPr>
        <w:t>国际专家标识</w:t>
      </w:r>
      <w:r>
        <w:rPr>
          <w:rFonts w:hint="eastAsia"/>
          <w:highlight w:val="none"/>
          <w:lang w:eastAsia="zh-CN"/>
        </w:rPr>
        <w:t>：对有国际诊疗能力、支持外语问诊的医生打标。</w:t>
      </w:r>
      <w:r>
        <w:rPr>
          <w:rFonts w:hint="eastAsia"/>
          <w:highlight w:val="none"/>
          <w:lang w:val="en-US" w:eastAsia="zh-CN"/>
        </w:rPr>
        <w:t>维护页位于</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w:t>
      </w:r>
    </w:p>
    <w:p w14:paraId="1F0CF1B3">
      <w:pPr>
        <w:pStyle w:val="72"/>
        <w:bidi w:val="0"/>
        <w:rPr>
          <w:rFonts w:hint="default"/>
          <w:highlight w:val="none"/>
        </w:rPr>
      </w:pPr>
      <w:r>
        <w:rPr>
          <w:rFonts w:hint="default"/>
          <w:highlight w:val="none"/>
        </w:rPr>
        <w:t>排班与号源查询</w:t>
      </w:r>
      <w:r>
        <w:rPr>
          <w:rFonts w:hint="eastAsia"/>
          <w:highlight w:val="none"/>
          <w:lang w:eastAsia="zh-CN"/>
        </w:rPr>
        <w:t>：按日期查看医生出诊安排，区分上午/下午/夜诊。医生排班、停诊、替诊信息</w:t>
      </w:r>
      <w:r>
        <w:rPr>
          <w:rFonts w:hint="eastAsia"/>
          <w:highlight w:val="none"/>
          <w:lang w:val="en-US" w:eastAsia="zh-CN"/>
        </w:rPr>
        <w:t>的维护页位于</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w:t>
      </w:r>
    </w:p>
    <w:p w14:paraId="0DBCC203">
      <w:pPr>
        <w:pStyle w:val="72"/>
        <w:bidi w:val="0"/>
        <w:rPr>
          <w:rFonts w:hint="default"/>
          <w:highlight w:val="none"/>
        </w:rPr>
      </w:pPr>
      <w:r>
        <w:rPr>
          <w:rFonts w:hint="eastAsia"/>
          <w:highlight w:val="none"/>
          <w:lang w:val="en-US" w:eastAsia="zh-CN"/>
        </w:rPr>
        <w:t>号别</w:t>
      </w:r>
      <w:r>
        <w:rPr>
          <w:rFonts w:hint="default"/>
          <w:highlight w:val="none"/>
        </w:rPr>
        <w:t>号源</w:t>
      </w:r>
      <w:r>
        <w:rPr>
          <w:rFonts w:hint="eastAsia"/>
          <w:highlight w:val="none"/>
          <w:lang w:eastAsia="zh-CN"/>
        </w:rPr>
        <w:t>：区分普通号、专家号、特需号、国际医疗号等。实时展示可预约号源数量，支持约满提示，</w:t>
      </w:r>
      <w:r>
        <w:rPr>
          <w:rFonts w:hint="eastAsia"/>
          <w:highlight w:val="none"/>
          <w:lang w:val="en-US" w:eastAsia="zh-CN"/>
        </w:rPr>
        <w:t>支持</w:t>
      </w:r>
      <w:r>
        <w:rPr>
          <w:rFonts w:hint="eastAsia"/>
          <w:highlight w:val="none"/>
          <w:lang w:eastAsia="zh-CN"/>
        </w:rPr>
        <w:t>预约锁号。</w:t>
      </w:r>
    </w:p>
    <w:p w14:paraId="59822B52">
      <w:pPr>
        <w:pStyle w:val="72"/>
        <w:bidi w:val="0"/>
        <w:rPr>
          <w:rFonts w:hint="default"/>
          <w:highlight w:val="none"/>
        </w:rPr>
      </w:pPr>
      <w:r>
        <w:rPr>
          <w:rFonts w:hint="eastAsia"/>
          <w:highlight w:val="none"/>
          <w:lang w:val="en-US" w:eastAsia="zh-CN"/>
        </w:rPr>
        <w:t>停诊/替诊提醒：医生停诊或替诊时及时通知已预约患者。</w:t>
      </w:r>
    </w:p>
    <w:p w14:paraId="272ED3D1">
      <w:pPr>
        <w:pStyle w:val="72"/>
        <w:bidi w:val="0"/>
        <w:rPr>
          <w:rFonts w:hint="default"/>
          <w:highlight w:val="none"/>
        </w:rPr>
      </w:pPr>
      <w:r>
        <w:rPr>
          <w:rFonts w:hint="default"/>
          <w:highlight w:val="none"/>
        </w:rPr>
        <w:t>预约挂号</w:t>
      </w:r>
      <w:r>
        <w:rPr>
          <w:rFonts w:hint="eastAsia"/>
          <w:highlight w:val="none"/>
          <w:lang w:val="en-US" w:eastAsia="zh-CN"/>
        </w:rPr>
        <w:t>功能：时段选择对接</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内</w:t>
      </w:r>
      <w:r>
        <w:rPr>
          <w:rFonts w:hint="eastAsia"/>
          <w:highlight w:val="none"/>
          <w:lang w:val="en-US" w:eastAsia="zh-CN"/>
        </w:rPr>
        <w:t>号源中心、排班服务。</w:t>
      </w:r>
    </w:p>
    <w:p w14:paraId="3EFB7BD8">
      <w:pPr>
        <w:pStyle w:val="72"/>
        <w:bidi w:val="0"/>
        <w:rPr>
          <w:rFonts w:hint="default"/>
          <w:highlight w:val="none"/>
        </w:rPr>
      </w:pPr>
      <w:r>
        <w:rPr>
          <w:rFonts w:hint="default"/>
          <w:highlight w:val="none"/>
        </w:rPr>
        <w:t>问诊形式选择</w:t>
      </w:r>
      <w:r>
        <w:rPr>
          <w:rFonts w:hint="eastAsia"/>
          <w:highlight w:val="none"/>
          <w:lang w:eastAsia="zh-CN"/>
        </w:rPr>
        <w:t>：</w:t>
      </w:r>
      <w:r>
        <w:rPr>
          <w:rFonts w:hint="eastAsia"/>
          <w:highlight w:val="none"/>
          <w:lang w:val="en-US" w:eastAsia="zh-CN"/>
        </w:rPr>
        <w:t>多种</w:t>
      </w:r>
      <w:r>
        <w:rPr>
          <w:rFonts w:hint="eastAsia"/>
          <w:highlight w:val="none"/>
          <w:lang w:eastAsia="zh-CN"/>
        </w:rPr>
        <w:t>问诊可选，部分科室支持复诊续方。</w:t>
      </w:r>
    </w:p>
    <w:p w14:paraId="3933CEE2">
      <w:pPr>
        <w:pStyle w:val="72"/>
        <w:bidi w:val="0"/>
        <w:rPr>
          <w:rFonts w:hint="default"/>
          <w:highlight w:val="none"/>
        </w:rPr>
      </w:pPr>
      <w:r>
        <w:rPr>
          <w:rFonts w:hint="default"/>
          <w:highlight w:val="none"/>
        </w:rPr>
        <w:t>预问诊押金</w:t>
      </w:r>
      <w:r>
        <w:rPr>
          <w:rFonts w:hint="eastAsia"/>
          <w:highlight w:val="none"/>
          <w:lang w:eastAsia="zh-CN"/>
        </w:rPr>
        <w:t>：</w:t>
      </w:r>
      <w:r>
        <w:rPr>
          <w:rFonts w:hint="eastAsia"/>
          <w:highlight w:val="none"/>
          <w:lang w:val="en-US" w:eastAsia="zh-CN"/>
        </w:rPr>
        <w:t>支持图文预问诊等模块收取押金，支持押金支付、押金退还、押金状态查询、押金提醒、押金凭证。</w:t>
      </w:r>
    </w:p>
    <w:p w14:paraId="3BE26FEE">
      <w:pPr>
        <w:pStyle w:val="72"/>
        <w:bidi w:val="0"/>
        <w:rPr>
          <w:rFonts w:hint="default"/>
          <w:highlight w:val="none"/>
        </w:rPr>
      </w:pPr>
      <w:r>
        <w:rPr>
          <w:rFonts w:hint="default"/>
          <w:highlight w:val="none"/>
        </w:rPr>
        <w:t>就医群组</w:t>
      </w:r>
      <w:r>
        <w:rPr>
          <w:rFonts w:hint="eastAsia"/>
          <w:highlight w:val="none"/>
          <w:lang w:eastAsia="zh-CN"/>
        </w:rPr>
        <w:t>：预约并支付成功后，自动创建就医群组，成员默认包含患者、就医医生；如为会诊，则包含多位会诊医生。</w:t>
      </w:r>
      <w:r>
        <w:rPr>
          <w:rFonts w:hint="eastAsia"/>
          <w:highlight w:val="none"/>
          <w:lang w:val="en-US" w:eastAsia="zh-CN"/>
        </w:rPr>
        <w:t>支持</w:t>
      </w:r>
      <w:r>
        <w:rPr>
          <w:highlight w:val="none"/>
        </w:rPr>
        <w:t>群组成员管理</w:t>
      </w:r>
      <w:r>
        <w:rPr>
          <w:rFonts w:hint="eastAsia"/>
          <w:highlight w:val="none"/>
          <w:lang w:eastAsia="zh-CN"/>
        </w:rPr>
        <w:t>，</w:t>
      </w:r>
      <w:r>
        <w:rPr>
          <w:highlight w:val="none"/>
        </w:rPr>
        <w:t>患者可按需邀请亲友入群</w:t>
      </w:r>
      <w:r>
        <w:rPr>
          <w:rFonts w:hint="eastAsia"/>
          <w:highlight w:val="none"/>
          <w:lang w:eastAsia="zh-CN"/>
        </w:rPr>
        <w:t>、</w:t>
      </w:r>
      <w:r>
        <w:rPr>
          <w:highlight w:val="none"/>
        </w:rPr>
        <w:t>医生可按需邀请其他会诊医生、医生助理入群</w:t>
      </w:r>
      <w:r>
        <w:rPr>
          <w:rFonts w:hint="eastAsia"/>
          <w:highlight w:val="none"/>
          <w:lang w:eastAsia="zh-CN"/>
        </w:rPr>
        <w:t>、</w:t>
      </w:r>
      <w:r>
        <w:rPr>
          <w:highlight w:val="none"/>
        </w:rPr>
        <w:t>支持设置成员角色（患者、亲友、主诊医生、会诊医生、医生助理）</w:t>
      </w:r>
      <w:r>
        <w:rPr>
          <w:rFonts w:hint="eastAsia"/>
          <w:highlight w:val="none"/>
          <w:lang w:eastAsia="zh-CN"/>
        </w:rPr>
        <w:t>。</w:t>
      </w:r>
      <w:r>
        <w:rPr>
          <w:highlight w:val="none"/>
        </w:rPr>
        <w:t>区分患者、亲友、医生的发言、查看、上传资料权限；亲友默认仅可查看与协助沟通，不可替代患者做医疗决策。</w:t>
      </w:r>
      <w:r>
        <w:rPr>
          <w:rFonts w:hint="eastAsia"/>
          <w:highlight w:val="none"/>
        </w:rPr>
        <w:t>群组允许以H5链接的方式分享</w:t>
      </w:r>
      <w:r>
        <w:rPr>
          <w:rFonts w:hint="eastAsia"/>
          <w:highlight w:val="none"/>
          <w:lang w:eastAsia="zh-CN"/>
        </w:rPr>
        <w:t>，</w:t>
      </w:r>
      <w:r>
        <w:rPr>
          <w:rFonts w:hint="eastAsia"/>
          <w:highlight w:val="none"/>
          <w:lang w:val="en-US" w:eastAsia="zh-CN"/>
        </w:rPr>
        <w:t>入群需进行验证，并弹出相关须知。</w:t>
      </w:r>
      <w:r>
        <w:rPr>
          <w:highlight w:val="none"/>
        </w:rPr>
        <w:t>支持文字、图片、语音、视频、文件等消息类型。</w:t>
      </w:r>
      <w:r>
        <w:rPr>
          <w:rFonts w:hint="eastAsia"/>
          <w:highlight w:val="none"/>
          <w:lang w:val="en-US" w:eastAsia="zh-CN"/>
        </w:rPr>
        <w:t>支持报告一键转发入群组。</w:t>
      </w:r>
      <w:r>
        <w:rPr>
          <w:highlight w:val="none"/>
        </w:rPr>
        <w:t>患者、亲友在客户端“消息通知”内</w:t>
      </w:r>
      <w:r>
        <w:rPr>
          <w:rFonts w:hint="eastAsia"/>
          <w:highlight w:val="none"/>
          <w:lang w:val="en-US" w:eastAsia="zh-CN"/>
        </w:rPr>
        <w:t>或者对应就诊预约窗口</w:t>
      </w:r>
      <w:r>
        <w:rPr>
          <w:highlight w:val="none"/>
        </w:rPr>
        <w:t>可找到并进入群组；医生在医生工作站访问群组。群组关联具体预约单、挂号单、点诊单或会诊单，便于追溯。</w:t>
      </w:r>
      <w:r>
        <w:rPr>
          <w:rFonts w:hint="eastAsia"/>
          <w:highlight w:val="none"/>
          <w:lang w:val="en-US" w:eastAsia="zh-CN"/>
        </w:rPr>
        <w:t>群组内的新消息推送至消息提醒。</w:t>
      </w:r>
      <w:r>
        <w:rPr>
          <w:highlight w:val="none"/>
        </w:rPr>
        <w:t>就诊或会诊结束后，群组按规则归档关闭；归档后保留记录，关闭后不可发言。群组沟通记录按合规要求留存，可作为诊疗过程记录的一部分</w:t>
      </w:r>
      <w:r>
        <w:rPr>
          <w:rFonts w:hint="eastAsia"/>
          <w:highlight w:val="none"/>
          <w:lang w:eastAsia="zh-CN"/>
        </w:rPr>
        <w:t>。</w:t>
      </w:r>
      <w:r>
        <w:rPr>
          <w:highlight w:val="none"/>
        </w:rPr>
        <w:t>群组内医疗信息受隐私政策约束，成员入群需授权确认。</w:t>
      </w:r>
    </w:p>
    <w:p w14:paraId="77E7A7C4">
      <w:pPr>
        <w:pStyle w:val="72"/>
        <w:bidi w:val="0"/>
        <w:rPr>
          <w:rFonts w:hint="default"/>
          <w:highlight w:val="none"/>
          <w:lang w:val="en-US" w:eastAsia="zh-CN"/>
        </w:rPr>
      </w:pPr>
      <w:r>
        <w:rPr>
          <w:rFonts w:hint="default"/>
          <w:highlight w:val="none"/>
        </w:rPr>
        <w:t>资料上传</w:t>
      </w:r>
      <w:r>
        <w:rPr>
          <w:rFonts w:hint="eastAsia"/>
          <w:highlight w:val="none"/>
          <w:lang w:eastAsia="zh-CN"/>
        </w:rPr>
        <w:t>：</w:t>
      </w:r>
      <w:r>
        <w:rPr>
          <w:rFonts w:hint="eastAsia"/>
          <w:highlight w:val="none"/>
          <w:lang w:val="en-US" w:eastAsia="zh-CN"/>
        </w:rPr>
        <w:t>支持上传病历、检查报告、影像资料，供医生提前查阅。支持对接医院AI问诊。</w:t>
      </w:r>
    </w:p>
    <w:p w14:paraId="10E4AD4E">
      <w:pPr>
        <w:pStyle w:val="72"/>
        <w:bidi w:val="0"/>
        <w:rPr>
          <w:rFonts w:hint="default"/>
          <w:highlight w:val="none"/>
        </w:rPr>
      </w:pPr>
      <w:r>
        <w:rPr>
          <w:rFonts w:hint="default"/>
          <w:highlight w:val="none"/>
          <w:lang w:val="en-US" w:eastAsia="zh-CN"/>
        </w:rPr>
        <w:t>评估与准备</w:t>
      </w:r>
      <w:r>
        <w:rPr>
          <w:rFonts w:hint="eastAsia"/>
          <w:highlight w:val="none"/>
          <w:lang w:val="en-US" w:eastAsia="zh-CN"/>
        </w:rPr>
        <w:t>：如专科有需要则支持患者填写病史、过敏史、用药情况、妊娠状态、既往医美史等内容，支持手术/治疗禁忌评估，方案确认等。</w:t>
      </w:r>
    </w:p>
    <w:p w14:paraId="186A0C23">
      <w:pPr>
        <w:pStyle w:val="72"/>
        <w:bidi w:val="0"/>
        <w:rPr>
          <w:rFonts w:hint="default"/>
          <w:highlight w:val="none"/>
        </w:rPr>
      </w:pPr>
      <w:r>
        <w:rPr>
          <w:rFonts w:hint="default"/>
          <w:highlight w:val="none"/>
        </w:rPr>
        <w:t>支付</w:t>
      </w:r>
      <w:r>
        <w:rPr>
          <w:rFonts w:hint="eastAsia"/>
          <w:highlight w:val="none"/>
          <w:lang w:val="en-US" w:eastAsia="zh-CN"/>
        </w:rPr>
        <w:t>模块：跳转“缴费服务-</w:t>
      </w:r>
      <w:r>
        <w:rPr>
          <w:rFonts w:hint="default"/>
          <w:highlight w:val="none"/>
        </w:rPr>
        <w:t>在线支付</w:t>
      </w:r>
      <w:r>
        <w:rPr>
          <w:rFonts w:hint="eastAsia"/>
          <w:highlight w:val="none"/>
          <w:lang w:val="en-US" w:eastAsia="zh-CN"/>
        </w:rPr>
        <w:t>”页面进行支付。</w:t>
      </w:r>
    </w:p>
    <w:p w14:paraId="23D5B8F7">
      <w:pPr>
        <w:pStyle w:val="72"/>
        <w:bidi w:val="0"/>
        <w:rPr>
          <w:rFonts w:hint="default"/>
          <w:highlight w:val="none"/>
        </w:rPr>
      </w:pPr>
      <w:r>
        <w:rPr>
          <w:rFonts w:hint="default"/>
          <w:highlight w:val="none"/>
        </w:rPr>
        <w:t>就诊提醒与院内服务</w:t>
      </w:r>
      <w:r>
        <w:rPr>
          <w:rFonts w:hint="eastAsia"/>
          <w:highlight w:val="none"/>
          <w:lang w:eastAsia="zh-CN"/>
        </w:rPr>
        <w:t>：</w:t>
      </w:r>
      <w:r>
        <w:rPr>
          <w:rFonts w:hint="eastAsia"/>
          <w:highlight w:val="none"/>
          <w:lang w:val="en-US" w:eastAsia="zh-CN"/>
        </w:rPr>
        <w:t>支持诊前推送多语言提醒，含时间、地点、医生、注意事项。支持线上签到，查看候诊排队进度（对接预约后台）。支持科室位置、路线指引，对接院内导航系统。提供预约翻译陪同、陪诊服务。</w:t>
      </w:r>
    </w:p>
    <w:p w14:paraId="10EA1149">
      <w:pPr>
        <w:pStyle w:val="72"/>
        <w:bidi w:val="0"/>
        <w:rPr>
          <w:rFonts w:hint="default"/>
          <w:highlight w:val="none"/>
        </w:rPr>
      </w:pPr>
      <w:r>
        <w:rPr>
          <w:rFonts w:hint="default"/>
          <w:highlight w:val="none"/>
        </w:rPr>
        <w:t>取消、改约与退费</w:t>
      </w:r>
      <w:r>
        <w:rPr>
          <w:rFonts w:hint="eastAsia"/>
          <w:highlight w:val="none"/>
          <w:lang w:eastAsia="zh-CN"/>
        </w:rPr>
        <w:t>：</w:t>
      </w:r>
      <w:r>
        <w:rPr>
          <w:rFonts w:hint="eastAsia"/>
          <w:highlight w:val="none"/>
          <w:lang w:val="en-US" w:eastAsia="zh-CN"/>
        </w:rPr>
        <w:t>支持取消预约、改约、退费申请、违约规则展示等功能。</w:t>
      </w:r>
    </w:p>
    <w:p w14:paraId="450D23CD">
      <w:pPr>
        <w:pStyle w:val="72"/>
        <w:bidi w:val="0"/>
        <w:rPr>
          <w:rFonts w:hint="default"/>
          <w:highlight w:val="none"/>
        </w:rPr>
      </w:pPr>
      <w:r>
        <w:rPr>
          <w:rFonts w:hint="default"/>
          <w:highlight w:val="none"/>
        </w:rPr>
        <w:t>复诊与续方</w:t>
      </w:r>
      <w:r>
        <w:rPr>
          <w:rFonts w:hint="eastAsia"/>
          <w:highlight w:val="none"/>
          <w:lang w:eastAsia="zh-CN"/>
        </w:rPr>
        <w:t>：</w:t>
      </w:r>
      <w:r>
        <w:rPr>
          <w:rFonts w:hint="eastAsia"/>
          <w:highlight w:val="none"/>
          <w:lang w:val="en-US" w:eastAsia="zh-CN"/>
        </w:rPr>
        <w:t>支持复诊预约、在线续方、处方支付与配送（对接互联网医院后台）。</w:t>
      </w:r>
    </w:p>
    <w:p w14:paraId="202F6021">
      <w:pPr>
        <w:pStyle w:val="72"/>
        <w:bidi w:val="0"/>
        <w:rPr>
          <w:rFonts w:hint="default"/>
          <w:highlight w:val="none"/>
        </w:rPr>
      </w:pPr>
      <w:r>
        <w:rPr>
          <w:rFonts w:hint="default"/>
          <w:highlight w:val="none"/>
        </w:rPr>
        <w:t>记录与查询</w:t>
      </w:r>
      <w:r>
        <w:rPr>
          <w:rFonts w:hint="eastAsia"/>
          <w:highlight w:val="none"/>
          <w:lang w:eastAsia="zh-CN"/>
        </w:rPr>
        <w:t>：</w:t>
      </w:r>
      <w:r>
        <w:rPr>
          <w:rFonts w:hint="eastAsia"/>
          <w:highlight w:val="none"/>
          <w:lang w:val="en-US" w:eastAsia="zh-CN"/>
        </w:rPr>
        <w:t>支持在个人信息页面查看预约记录。</w:t>
      </w:r>
    </w:p>
    <w:p w14:paraId="2AE5B743">
      <w:pPr>
        <w:pStyle w:val="73"/>
        <w:ind w:left="1250" w:leftChars="0" w:hanging="967" w:firstLineChars="0"/>
        <w:outlineLvl w:val="1"/>
        <w:rPr>
          <w:rFonts w:hint="default"/>
          <w:highlight w:val="none"/>
        </w:rPr>
      </w:pPr>
      <w:bookmarkStart w:id="7" w:name="_Toc1383"/>
      <w:r>
        <w:rPr>
          <w:rFonts w:hint="eastAsia" w:ascii="微软雅黑" w:hAnsi="微软雅黑" w:eastAsia="微软雅黑" w:cs="微软雅黑"/>
          <w:color w:val="000000"/>
          <w:szCs w:val="21"/>
          <w:highlight w:val="none"/>
          <w:lang w:val="en-US" w:eastAsia="zh-CN"/>
        </w:rPr>
        <w:t>健康管理（体检）</w:t>
      </w:r>
      <w:bookmarkEnd w:id="7"/>
    </w:p>
    <w:p w14:paraId="37E0FBC7">
      <w:pPr>
        <w:pStyle w:val="72"/>
        <w:bidi w:val="0"/>
        <w:rPr>
          <w:rFonts w:hint="default"/>
          <w:highlight w:val="none"/>
        </w:rPr>
      </w:pPr>
      <w:r>
        <w:rPr>
          <w:rFonts w:hint="eastAsia"/>
          <w:highlight w:val="none"/>
          <w:lang w:val="en-US" w:eastAsia="zh-CN"/>
        </w:rPr>
        <w:t>体检套餐展示与选择：按入境体检、高端体检、肿瘤早筛、慢病筛查、女性专项、老年专项等分类展示。支持项目清单展示及筛选，支持适用人群、检查意义、注意事项、价格、预计时长展示。展示高频选择套餐、季节性套餐、限时优惠套餐。</w:t>
      </w:r>
    </w:p>
    <w:p w14:paraId="247419C1">
      <w:pPr>
        <w:pStyle w:val="72"/>
        <w:bidi w:val="0"/>
        <w:rPr>
          <w:rFonts w:hint="default"/>
          <w:highlight w:val="none"/>
        </w:rPr>
      </w:pPr>
      <w:r>
        <w:rPr>
          <w:rFonts w:hint="default"/>
          <w:highlight w:val="none"/>
        </w:rPr>
        <w:t>个性化定制</w:t>
      </w:r>
      <w:r>
        <w:rPr>
          <w:rFonts w:hint="eastAsia"/>
          <w:highlight w:val="none"/>
          <w:lang w:eastAsia="zh-CN"/>
        </w:rPr>
        <w:t>：</w:t>
      </w:r>
      <w:r>
        <w:rPr>
          <w:rFonts w:hint="eastAsia"/>
          <w:highlight w:val="none"/>
          <w:lang w:val="en-US" w:eastAsia="zh-CN"/>
        </w:rPr>
        <w:t>支持健康问卷、加项选择、定制方案确认和计价功能。</w:t>
      </w:r>
    </w:p>
    <w:p w14:paraId="43B52535">
      <w:pPr>
        <w:pStyle w:val="72"/>
        <w:bidi w:val="0"/>
        <w:rPr>
          <w:rFonts w:hint="default"/>
          <w:highlight w:val="none"/>
        </w:rPr>
      </w:pPr>
      <w:r>
        <w:rPr>
          <w:rFonts w:hint="default"/>
          <w:highlight w:val="none"/>
        </w:rPr>
        <w:t>在线预约</w:t>
      </w:r>
      <w:r>
        <w:rPr>
          <w:rFonts w:hint="eastAsia"/>
          <w:highlight w:val="none"/>
          <w:lang w:eastAsia="zh-CN"/>
        </w:rPr>
        <w:t>：</w:t>
      </w:r>
      <w:r>
        <w:rPr>
          <w:rFonts w:hint="eastAsia"/>
          <w:highlight w:val="none"/>
          <w:lang w:val="en-US" w:eastAsia="zh-CN"/>
        </w:rPr>
        <w:t>支持体检日期选择、体检院区选择、预约信息填写、预约确认等功能。维护页位于</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w:t>
      </w:r>
    </w:p>
    <w:p w14:paraId="4FFA789C">
      <w:pPr>
        <w:pStyle w:val="72"/>
        <w:bidi w:val="0"/>
        <w:rPr>
          <w:rFonts w:hint="default"/>
          <w:highlight w:val="none"/>
        </w:rPr>
      </w:pPr>
      <w:r>
        <w:rPr>
          <w:rFonts w:hint="eastAsia"/>
          <w:highlight w:val="none"/>
          <w:lang w:val="en-US" w:eastAsia="zh-CN"/>
        </w:rPr>
        <w:t>体检系统对接：获取套餐与项目数据（如有），获取排班与号源数据（如有），支持预约与订单关联，支持体检过程数据获取并展示（多语言），支持体检报告数据获取并展示（多语言），支持健康档案内容获取并展示（多语言）。</w:t>
      </w:r>
    </w:p>
    <w:p w14:paraId="00C956E6">
      <w:pPr>
        <w:pStyle w:val="72"/>
        <w:bidi w:val="0"/>
        <w:rPr>
          <w:rFonts w:hint="default"/>
          <w:highlight w:val="none"/>
        </w:rPr>
      </w:pPr>
      <w:r>
        <w:rPr>
          <w:rFonts w:hint="eastAsia"/>
          <w:highlight w:val="none"/>
          <w:lang w:val="en-US" w:eastAsia="zh-CN"/>
        </w:rPr>
        <w:t>付款及记录：参考门诊预约的模式进行跳转支付及记录展示。</w:t>
      </w:r>
    </w:p>
    <w:p w14:paraId="20E4A8B7">
      <w:pPr>
        <w:pStyle w:val="73"/>
        <w:ind w:left="1250" w:leftChars="0" w:hanging="967" w:firstLineChars="0"/>
        <w:outlineLvl w:val="1"/>
        <w:rPr>
          <w:rFonts w:hint="default"/>
          <w:highlight w:val="none"/>
        </w:rPr>
      </w:pPr>
      <w:bookmarkStart w:id="8" w:name="_Toc32719"/>
      <w:r>
        <w:rPr>
          <w:rFonts w:hint="eastAsia" w:ascii="微软雅黑" w:hAnsi="微软雅黑" w:eastAsia="微软雅黑" w:cs="微软雅黑"/>
          <w:color w:val="000000"/>
          <w:szCs w:val="21"/>
          <w:highlight w:val="none"/>
          <w:lang w:val="en-US" w:eastAsia="zh-CN"/>
        </w:rPr>
        <w:t>点诊服务</w:t>
      </w:r>
      <w:bookmarkEnd w:id="8"/>
    </w:p>
    <w:p w14:paraId="5722870A">
      <w:pPr>
        <w:pStyle w:val="72"/>
        <w:bidi w:val="0"/>
        <w:rPr>
          <w:rFonts w:hint="default"/>
          <w:highlight w:val="none"/>
        </w:rPr>
      </w:pPr>
      <w:r>
        <w:rPr>
          <w:rFonts w:hint="default"/>
          <w:highlight w:val="none"/>
        </w:rPr>
        <w:t>院内专家库</w:t>
      </w:r>
      <w:r>
        <w:rPr>
          <w:rFonts w:hint="eastAsia"/>
          <w:highlight w:val="none"/>
          <w:lang w:val="en-US" w:eastAsia="zh-CN"/>
        </w:rPr>
        <w:t>展示页：展示院内各科室专家，含职称、科室、擅长领域、执业资质、出诊信息。维护页位于</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w:t>
      </w:r>
    </w:p>
    <w:p w14:paraId="0168B09C">
      <w:pPr>
        <w:pStyle w:val="72"/>
        <w:bidi w:val="0"/>
        <w:rPr>
          <w:rFonts w:hint="default"/>
          <w:highlight w:val="none"/>
        </w:rPr>
      </w:pPr>
      <w:r>
        <w:rPr>
          <w:rFonts w:hint="default"/>
          <w:highlight w:val="none"/>
        </w:rPr>
        <w:t>国际专家库</w:t>
      </w:r>
      <w:r>
        <w:rPr>
          <w:rFonts w:hint="eastAsia"/>
          <w:highlight w:val="none"/>
          <w:lang w:val="en-US" w:eastAsia="zh-CN"/>
        </w:rPr>
        <w:t>展示页：展示合作国际专家，含所属机构、国家、语言、擅长领域、可会诊时间。维护页位于</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w:t>
      </w:r>
    </w:p>
    <w:p w14:paraId="28981585">
      <w:pPr>
        <w:pStyle w:val="72"/>
        <w:bidi w:val="0"/>
        <w:rPr>
          <w:rFonts w:hint="default"/>
          <w:highlight w:val="none"/>
        </w:rPr>
      </w:pPr>
      <w:r>
        <w:rPr>
          <w:rFonts w:hint="default"/>
          <w:highlight w:val="none"/>
        </w:rPr>
        <w:t>专家筛选</w:t>
      </w:r>
      <w:r>
        <w:rPr>
          <w:rFonts w:hint="eastAsia"/>
          <w:highlight w:val="none"/>
          <w:lang w:eastAsia="zh-CN"/>
        </w:rPr>
        <w:t>：按科室、病种、职称、语言、国家/地区、可约时间筛选。</w:t>
      </w:r>
      <w:r>
        <w:rPr>
          <w:rFonts w:hint="eastAsia"/>
          <w:highlight w:val="none"/>
          <w:lang w:val="en-US" w:eastAsia="zh-CN"/>
        </w:rPr>
        <w:t>维护页位于</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w:t>
      </w:r>
    </w:p>
    <w:p w14:paraId="1452BAB2">
      <w:pPr>
        <w:pStyle w:val="72"/>
        <w:bidi w:val="0"/>
        <w:rPr>
          <w:rFonts w:hint="default"/>
          <w:highlight w:val="none"/>
        </w:rPr>
      </w:pPr>
      <w:r>
        <w:rPr>
          <w:rFonts w:hint="default"/>
          <w:highlight w:val="none"/>
        </w:rPr>
        <w:t>专家主页</w:t>
      </w:r>
      <w:r>
        <w:rPr>
          <w:rFonts w:hint="eastAsia"/>
          <w:highlight w:val="none"/>
          <w:lang w:eastAsia="zh-CN"/>
        </w:rPr>
        <w:t>：展示专家简介、擅长领域、学术背景、案例经验、患者评价。</w:t>
      </w:r>
      <w:r>
        <w:rPr>
          <w:rFonts w:hint="eastAsia"/>
          <w:highlight w:val="none"/>
          <w:lang w:val="en-US" w:eastAsia="zh-CN"/>
        </w:rPr>
        <w:t>维护页位于</w:t>
      </w:r>
      <w:r>
        <w:rPr>
          <w:rFonts w:hint="eastAsia" w:ascii="微软雅黑" w:hAnsi="微软雅黑" w:eastAsia="微软雅黑" w:cs="微软雅黑"/>
          <w:highlight w:val="none"/>
          <w:lang w:val="en-US" w:eastAsia="zh-CN"/>
        </w:rPr>
        <w:t>运营</w:t>
      </w:r>
      <w:r>
        <w:rPr>
          <w:rFonts w:hint="eastAsia" w:ascii="微软雅黑" w:hAnsi="微软雅黑" w:eastAsia="微软雅黑" w:cs="微软雅黑"/>
          <w:highlight w:val="none"/>
        </w:rPr>
        <w:t>管理</w:t>
      </w:r>
      <w:r>
        <w:rPr>
          <w:rFonts w:hint="eastAsia" w:ascii="微软雅黑" w:hAnsi="微软雅黑" w:eastAsia="微软雅黑" w:cs="微软雅黑"/>
          <w:highlight w:val="none"/>
          <w:lang w:val="en-US" w:eastAsia="zh-CN"/>
        </w:rPr>
        <w:t>模块</w:t>
      </w:r>
      <w:r>
        <w:rPr>
          <w:rFonts w:hint="eastAsia" w:cs="微软雅黑"/>
          <w:highlight w:val="none"/>
          <w:lang w:val="en-US" w:eastAsia="zh-CN"/>
        </w:rPr>
        <w:t>。</w:t>
      </w:r>
    </w:p>
    <w:p w14:paraId="39FE2CA4">
      <w:pPr>
        <w:pStyle w:val="72"/>
        <w:bidi w:val="0"/>
        <w:rPr>
          <w:rFonts w:hint="default"/>
          <w:highlight w:val="none"/>
        </w:rPr>
      </w:pPr>
      <w:r>
        <w:rPr>
          <w:rFonts w:hint="default"/>
          <w:highlight w:val="none"/>
        </w:rPr>
        <w:t>点诊申请与资料提交</w:t>
      </w:r>
      <w:r>
        <w:rPr>
          <w:rFonts w:hint="eastAsia"/>
          <w:highlight w:val="none"/>
          <w:lang w:eastAsia="zh-CN"/>
        </w:rPr>
        <w:t>：</w:t>
      </w:r>
      <w:r>
        <w:rPr>
          <w:rFonts w:hint="eastAsia"/>
          <w:highlight w:val="none"/>
          <w:lang w:val="en-US" w:eastAsia="zh-CN"/>
        </w:rPr>
        <w:t>支持图文咨询、电话问诊、视频问诊、多学科会诊（MDT）类型点诊，支持病情摘要填写、资料上传等。</w:t>
      </w:r>
    </w:p>
    <w:p w14:paraId="0E5AAD01">
      <w:pPr>
        <w:pStyle w:val="72"/>
        <w:bidi w:val="0"/>
        <w:rPr>
          <w:rFonts w:hint="default"/>
          <w:highlight w:val="none"/>
        </w:rPr>
      </w:pPr>
      <w:r>
        <w:rPr>
          <w:rFonts w:hint="default"/>
          <w:highlight w:val="none"/>
        </w:rPr>
        <w:t>点诊审核与协调</w:t>
      </w:r>
      <w:r>
        <w:rPr>
          <w:rFonts w:hint="eastAsia"/>
          <w:highlight w:val="none"/>
          <w:lang w:eastAsia="zh-CN"/>
        </w:rPr>
        <w:t>：</w:t>
      </w:r>
      <w:r>
        <w:rPr>
          <w:rFonts w:hint="eastAsia"/>
          <w:highlight w:val="none"/>
          <w:lang w:val="en-US" w:eastAsia="zh-CN"/>
        </w:rPr>
        <w:t>对接</w:t>
      </w:r>
      <w:r>
        <w:rPr>
          <w:rFonts w:hint="eastAsia" w:ascii="微软雅黑" w:hAnsi="微软雅黑" w:eastAsia="微软雅黑" w:cs="微软雅黑"/>
          <w:highlight w:val="none"/>
          <w:lang w:val="en-US" w:eastAsia="zh-CN"/>
        </w:rPr>
        <w:t>国际医疗门诊医生工作站</w:t>
      </w:r>
      <w:r>
        <w:rPr>
          <w:rFonts w:hint="eastAsia" w:cs="微软雅黑"/>
          <w:highlight w:val="none"/>
          <w:lang w:val="en-US" w:eastAsia="zh-CN"/>
        </w:rPr>
        <w:t>，支持资料审查流程，支持费用确认。</w:t>
      </w:r>
    </w:p>
    <w:p w14:paraId="555EA29C">
      <w:pPr>
        <w:pStyle w:val="72"/>
        <w:bidi w:val="0"/>
        <w:rPr>
          <w:rFonts w:hint="default"/>
          <w:highlight w:val="none"/>
        </w:rPr>
      </w:pPr>
      <w:r>
        <w:rPr>
          <w:rFonts w:hint="default"/>
          <w:highlight w:val="none"/>
        </w:rPr>
        <w:t>点诊支付与商保</w:t>
      </w:r>
      <w:r>
        <w:rPr>
          <w:rFonts w:hint="eastAsia"/>
          <w:highlight w:val="none"/>
          <w:lang w:eastAsia="zh-CN"/>
        </w:rPr>
        <w:t>：</w:t>
      </w:r>
      <w:r>
        <w:rPr>
          <w:rFonts w:hint="eastAsia"/>
          <w:highlight w:val="none"/>
          <w:lang w:val="en-US" w:eastAsia="zh-CN"/>
        </w:rPr>
        <w:t>在完成前序流程后，参考门诊预约的模式进行跳转支付及记录展示。</w:t>
      </w:r>
    </w:p>
    <w:p w14:paraId="48C433B6">
      <w:pPr>
        <w:pStyle w:val="72"/>
        <w:bidi w:val="0"/>
        <w:rPr>
          <w:rFonts w:hint="default"/>
          <w:highlight w:val="none"/>
          <w:lang w:val="en-US" w:eastAsia="zh-CN"/>
        </w:rPr>
      </w:pPr>
      <w:r>
        <w:rPr>
          <w:rFonts w:hint="eastAsia"/>
          <w:highlight w:val="none"/>
          <w:lang w:val="en-US" w:eastAsia="zh-CN"/>
        </w:rPr>
        <w:t>支持会诊：如有需要后续考虑建设点诊会诊流程。提供会诊时间提醒、视频/电话会诊、多学科会诊（MDT）、会诊记录、会诊意见展示等功能。</w:t>
      </w:r>
    </w:p>
    <w:p w14:paraId="7DA4EB6E">
      <w:pPr>
        <w:pStyle w:val="73"/>
        <w:ind w:left="1250" w:leftChars="0" w:hanging="967" w:firstLineChars="0"/>
        <w:outlineLvl w:val="1"/>
        <w:rPr>
          <w:rFonts w:hint="default"/>
          <w:highlight w:val="none"/>
        </w:rPr>
      </w:pPr>
      <w:bookmarkStart w:id="9" w:name="_Toc434"/>
      <w:r>
        <w:rPr>
          <w:rFonts w:hint="eastAsia"/>
          <w:highlight w:val="none"/>
          <w:lang w:val="en-US" w:eastAsia="zh-CN"/>
        </w:rPr>
        <w:t>疫苗接种</w:t>
      </w:r>
      <w:bookmarkEnd w:id="9"/>
    </w:p>
    <w:p w14:paraId="7AF996CB">
      <w:pPr>
        <w:pStyle w:val="72"/>
        <w:bidi w:val="0"/>
        <w:rPr>
          <w:rFonts w:hint="default"/>
          <w:highlight w:val="none"/>
        </w:rPr>
      </w:pPr>
      <w:r>
        <w:rPr>
          <w:rFonts w:hint="default"/>
          <w:highlight w:val="none"/>
        </w:rPr>
        <w:t>疫苗展示</w:t>
      </w:r>
      <w:r>
        <w:rPr>
          <w:rFonts w:hint="eastAsia"/>
          <w:highlight w:val="none"/>
          <w:lang w:eastAsia="zh-CN"/>
        </w:rPr>
        <w:t>：</w:t>
      </w:r>
      <w:r>
        <w:rPr>
          <w:rFonts w:hint="eastAsia"/>
          <w:highlight w:val="none"/>
          <w:lang w:val="en-US" w:eastAsia="zh-CN"/>
        </w:rPr>
        <w:t>支持疫苗分类展示（按免疫规划疫苗、非免疫规划疫苗、旅行疫苗、成人疫苗、儿童疫苗等分类展示），维护页位于收费</w:t>
      </w:r>
      <w:r>
        <w:rPr>
          <w:rFonts w:hint="eastAsia"/>
          <w:highlight w:val="none"/>
        </w:rPr>
        <w:t>管理</w:t>
      </w:r>
      <w:r>
        <w:rPr>
          <w:rFonts w:hint="eastAsia"/>
          <w:highlight w:val="none"/>
          <w:lang w:val="en-US" w:eastAsia="zh-CN"/>
        </w:rPr>
        <w:t>模块。支持疫苗详情展示，展示疫苗名称、厂家、剂型、适用人群、接种程序、禁忌症、不良反应、价格。</w:t>
      </w:r>
    </w:p>
    <w:p w14:paraId="4134BC49">
      <w:pPr>
        <w:pStyle w:val="72"/>
        <w:bidi w:val="0"/>
        <w:rPr>
          <w:rFonts w:hint="default"/>
          <w:highlight w:val="none"/>
          <w:lang w:val="en-US" w:eastAsia="zh-CN"/>
        </w:rPr>
      </w:pPr>
      <w:r>
        <w:rPr>
          <w:rFonts w:hint="eastAsia"/>
          <w:highlight w:val="none"/>
          <w:lang w:val="en-US" w:eastAsia="zh-CN"/>
        </w:rPr>
        <w:t>接种预约：支持接种点选择、接种日期选择、疫苗选择、预约信息填写等内容。</w:t>
      </w:r>
    </w:p>
    <w:p w14:paraId="7674BEBC">
      <w:pPr>
        <w:pStyle w:val="72"/>
        <w:bidi w:val="0"/>
        <w:rPr>
          <w:rFonts w:hint="default"/>
          <w:highlight w:val="none"/>
          <w:lang w:val="en-US" w:eastAsia="zh-CN"/>
        </w:rPr>
      </w:pPr>
      <w:r>
        <w:rPr>
          <w:rFonts w:hint="eastAsia"/>
          <w:highlight w:val="none"/>
          <w:lang w:val="en-US" w:eastAsia="zh-CN"/>
        </w:rPr>
        <w:t>接种资格与禁忌评估：支持健康问卷、接种禁忌评估、接种资格校验、评估结果告知。</w:t>
      </w:r>
    </w:p>
    <w:p w14:paraId="0B1D2794">
      <w:pPr>
        <w:pStyle w:val="72"/>
        <w:bidi w:val="0"/>
        <w:rPr>
          <w:rFonts w:hint="default"/>
          <w:highlight w:val="none"/>
          <w:lang w:val="en-US" w:eastAsia="zh-CN"/>
        </w:rPr>
      </w:pPr>
      <w:r>
        <w:rPr>
          <w:rFonts w:hint="eastAsia"/>
          <w:highlight w:val="none"/>
          <w:lang w:val="en-US" w:eastAsia="zh-CN"/>
        </w:rPr>
        <w:t>接种环节跟随提醒：支持多类接种提醒、接种前核对、签到与排队、接种记录写入、留观提醒、后续剂次提醒等。</w:t>
      </w:r>
    </w:p>
    <w:p w14:paraId="56422A8B">
      <w:pPr>
        <w:pStyle w:val="72"/>
        <w:bidi w:val="0"/>
        <w:rPr>
          <w:rFonts w:hint="default"/>
          <w:highlight w:val="none"/>
          <w:lang w:val="en-US" w:eastAsia="zh-CN"/>
        </w:rPr>
      </w:pPr>
      <w:r>
        <w:rPr>
          <w:rFonts w:hint="default"/>
          <w:highlight w:val="none"/>
        </w:rPr>
        <w:t>疫苗接种支付与商保</w:t>
      </w:r>
      <w:r>
        <w:rPr>
          <w:rFonts w:hint="eastAsia"/>
          <w:highlight w:val="none"/>
          <w:lang w:eastAsia="zh-CN"/>
        </w:rPr>
        <w:t>：</w:t>
      </w:r>
      <w:r>
        <w:rPr>
          <w:rFonts w:hint="eastAsia"/>
          <w:highlight w:val="none"/>
          <w:lang w:val="en-US" w:eastAsia="zh-CN"/>
        </w:rPr>
        <w:t>在完成前序流程后，参考门诊预约的模式进行跳转支付及记录展示。</w:t>
      </w:r>
    </w:p>
    <w:p w14:paraId="23F747F5">
      <w:pPr>
        <w:pStyle w:val="72"/>
        <w:bidi w:val="0"/>
        <w:rPr>
          <w:rFonts w:hint="default"/>
          <w:highlight w:val="none"/>
          <w:lang w:val="en-US" w:eastAsia="zh-CN"/>
        </w:rPr>
      </w:pPr>
      <w:r>
        <w:rPr>
          <w:rFonts w:hint="eastAsia"/>
          <w:highlight w:val="none"/>
          <w:lang w:val="en-US" w:eastAsia="zh-CN"/>
        </w:rPr>
        <w:t>接种凭证开具：支持电子接种凭证开具、国际接种证明开具、凭证授权分享等功能，</w:t>
      </w:r>
    </w:p>
    <w:p w14:paraId="7D8A5E9C">
      <w:pPr>
        <w:pStyle w:val="73"/>
        <w:ind w:left="1250" w:leftChars="0" w:hanging="967" w:firstLineChars="0"/>
        <w:outlineLvl w:val="1"/>
        <w:rPr>
          <w:rFonts w:hint="default"/>
          <w:highlight w:val="none"/>
        </w:rPr>
      </w:pPr>
      <w:bookmarkStart w:id="10" w:name="_Toc19042"/>
      <w:r>
        <w:rPr>
          <w:rFonts w:hint="eastAsia" w:ascii="微软雅黑" w:hAnsi="微软雅黑" w:eastAsia="微软雅黑" w:cs="微软雅黑"/>
          <w:color w:val="000000"/>
          <w:szCs w:val="21"/>
          <w:highlight w:val="none"/>
          <w:lang w:val="en-US" w:eastAsia="zh-CN"/>
        </w:rPr>
        <w:t>住院服务</w:t>
      </w:r>
      <w:bookmarkEnd w:id="10"/>
    </w:p>
    <w:p w14:paraId="0CB0700C">
      <w:pPr>
        <w:pStyle w:val="72"/>
        <w:bidi w:val="0"/>
        <w:rPr>
          <w:rFonts w:hint="default"/>
          <w:highlight w:val="none"/>
        </w:rPr>
      </w:pPr>
      <w:r>
        <w:rPr>
          <w:rFonts w:hint="eastAsia"/>
          <w:highlight w:val="none"/>
        </w:rPr>
        <w:t>住院申请</w:t>
      </w:r>
      <w:r>
        <w:rPr>
          <w:rFonts w:hint="eastAsia"/>
          <w:highlight w:val="none"/>
          <w:lang w:val="en-US" w:eastAsia="zh-CN"/>
        </w:rPr>
        <w:t>预约</w:t>
      </w:r>
      <w:r>
        <w:rPr>
          <w:rFonts w:hint="eastAsia"/>
          <w:highlight w:val="none"/>
          <w:lang w:eastAsia="zh-CN"/>
        </w:rPr>
        <w:t>：</w:t>
      </w:r>
      <w:r>
        <w:rPr>
          <w:rFonts w:hint="eastAsia"/>
          <w:highlight w:val="none"/>
          <w:lang w:val="en-US" w:eastAsia="zh-CN"/>
        </w:rPr>
        <w:t>对接HIS住院登记等接口，支持住院申请提交、住院资料上传、床位预约与排队、入院通知等。支持预交金缴纳、翻译陪诊及护工预约、入院流程、物品准备、陪护规定推送等功能。</w:t>
      </w:r>
    </w:p>
    <w:p w14:paraId="618D6DB3">
      <w:pPr>
        <w:pStyle w:val="72"/>
        <w:bidi w:val="0"/>
        <w:rPr>
          <w:rFonts w:hint="default"/>
          <w:highlight w:val="none"/>
        </w:rPr>
      </w:pPr>
      <w:r>
        <w:rPr>
          <w:rFonts w:hint="default"/>
          <w:highlight w:val="none"/>
        </w:rPr>
        <w:t>住院期间服务</w:t>
      </w:r>
      <w:r>
        <w:rPr>
          <w:rFonts w:hint="eastAsia"/>
          <w:highlight w:val="none"/>
          <w:lang w:eastAsia="zh-CN"/>
        </w:rPr>
        <w:t>：</w:t>
      </w:r>
      <w:r>
        <w:rPr>
          <w:rFonts w:hint="eastAsia"/>
          <w:highlight w:val="none"/>
          <w:lang w:val="en-US" w:eastAsia="zh-CN"/>
        </w:rPr>
        <w:t>支持费用预警、关键节点推送（检查、手术、用药等节点）等消息提醒功能。</w:t>
      </w:r>
    </w:p>
    <w:p w14:paraId="7970CB7F">
      <w:pPr>
        <w:pStyle w:val="72"/>
        <w:bidi w:val="0"/>
        <w:rPr>
          <w:rFonts w:hint="default"/>
          <w:highlight w:val="none"/>
          <w:lang w:val="en-US" w:eastAsia="zh-CN"/>
        </w:rPr>
      </w:pPr>
      <w:r>
        <w:rPr>
          <w:rFonts w:hint="default"/>
          <w:highlight w:val="none"/>
        </w:rPr>
        <w:t>住院费用与支付</w:t>
      </w:r>
      <w:r>
        <w:rPr>
          <w:rFonts w:hint="eastAsia"/>
          <w:highlight w:val="none"/>
          <w:lang w:eastAsia="zh-CN"/>
        </w:rPr>
        <w:t>：</w:t>
      </w:r>
      <w:r>
        <w:rPr>
          <w:rFonts w:hint="eastAsia"/>
          <w:highlight w:val="none"/>
          <w:lang w:val="en-US" w:eastAsia="zh-CN"/>
        </w:rPr>
        <w:t>对接收费管理模块，支持费用明细查询、支持预交金补缴、商保直付等支付项，对接HIS出院模块，支持出院通知、出院结算、出院小结、费用清单与发票、带药说明、复诊预约、自助出院等出院功能。</w:t>
      </w:r>
    </w:p>
    <w:p w14:paraId="228DCA03">
      <w:pPr>
        <w:pStyle w:val="72"/>
        <w:bidi w:val="0"/>
        <w:rPr>
          <w:rFonts w:hint="default"/>
          <w:highlight w:val="none"/>
          <w:lang w:val="en-US" w:eastAsia="zh-CN"/>
        </w:rPr>
      </w:pPr>
      <w:r>
        <w:rPr>
          <w:rFonts w:hint="default"/>
          <w:highlight w:val="none"/>
        </w:rPr>
        <w:t>支付与商保</w:t>
      </w:r>
      <w:r>
        <w:rPr>
          <w:rFonts w:hint="eastAsia"/>
          <w:highlight w:val="none"/>
          <w:lang w:eastAsia="zh-CN"/>
        </w:rPr>
        <w:t>：</w:t>
      </w:r>
      <w:r>
        <w:rPr>
          <w:rFonts w:hint="eastAsia"/>
          <w:highlight w:val="none"/>
          <w:lang w:val="en-US" w:eastAsia="zh-CN"/>
        </w:rPr>
        <w:t>上述环节内容涉及到费用支付，由后台收费管理系统开具费用并参考门诊预约的模式进行跳转支付及记录展示。</w:t>
      </w:r>
    </w:p>
    <w:p w14:paraId="65675929">
      <w:pPr>
        <w:pStyle w:val="73"/>
        <w:ind w:left="1250" w:leftChars="0" w:hanging="967" w:firstLineChars="0"/>
        <w:outlineLvl w:val="1"/>
        <w:rPr>
          <w:rFonts w:hint="default"/>
          <w:highlight w:val="none"/>
        </w:rPr>
      </w:pPr>
      <w:bookmarkStart w:id="11" w:name="_Toc24629"/>
      <w:r>
        <w:rPr>
          <w:rFonts w:hint="eastAsia" w:ascii="微软雅黑" w:hAnsi="微软雅黑" w:eastAsia="微软雅黑" w:cs="微软雅黑"/>
          <w:color w:val="000000"/>
          <w:szCs w:val="21"/>
          <w:highlight w:val="none"/>
          <w:lang w:val="en-US" w:eastAsia="zh-CN"/>
        </w:rPr>
        <w:t>商保支付</w:t>
      </w:r>
      <w:bookmarkEnd w:id="11"/>
    </w:p>
    <w:p w14:paraId="1E3CF9CF">
      <w:pPr>
        <w:pStyle w:val="72"/>
        <w:bidi w:val="0"/>
        <w:rPr>
          <w:rFonts w:hint="default"/>
          <w:highlight w:val="none"/>
          <w:lang w:val="en-US" w:eastAsia="zh-CN"/>
        </w:rPr>
      </w:pPr>
      <w:r>
        <w:rPr>
          <w:rFonts w:hint="default"/>
          <w:highlight w:val="none"/>
        </w:rPr>
        <w:t>保险机构与产品管理</w:t>
      </w:r>
      <w:r>
        <w:rPr>
          <w:rFonts w:hint="eastAsia"/>
          <w:highlight w:val="none"/>
          <w:lang w:eastAsia="zh-CN"/>
        </w:rPr>
        <w:t>：</w:t>
      </w:r>
      <w:r>
        <w:rPr>
          <w:rFonts w:hint="eastAsia"/>
          <w:highlight w:val="none"/>
          <w:lang w:val="en-US" w:eastAsia="zh-CN"/>
        </w:rPr>
        <w:t>对接院内商保平台，支持保险公司及套餐展示，展示已对接的国内外保险公司、保险产品、合作范围，展示各保险产品保障范围、赔付比例、免赔额、直付条件。展示保障范围、合作医院与科室等信息。</w:t>
      </w:r>
    </w:p>
    <w:p w14:paraId="6002FF4D">
      <w:pPr>
        <w:pStyle w:val="72"/>
        <w:bidi w:val="0"/>
        <w:rPr>
          <w:rFonts w:hint="default"/>
          <w:highlight w:val="none"/>
          <w:lang w:val="en-US" w:eastAsia="zh-CN"/>
        </w:rPr>
      </w:pPr>
      <w:r>
        <w:rPr>
          <w:rFonts w:hint="default"/>
          <w:highlight w:val="none"/>
          <w:lang w:val="en-US" w:eastAsia="zh-CN"/>
        </w:rPr>
        <w:t>保险资格验证</w:t>
      </w:r>
      <w:r>
        <w:rPr>
          <w:rFonts w:hint="eastAsia"/>
          <w:highlight w:val="none"/>
          <w:lang w:val="en-US" w:eastAsia="zh-CN"/>
        </w:rPr>
        <w:t>：支持</w:t>
      </w:r>
      <w:r>
        <w:rPr>
          <w:rFonts w:hint="default"/>
          <w:highlight w:val="none"/>
          <w:lang w:val="en-US" w:eastAsia="zh-CN"/>
        </w:rPr>
        <w:t>保单绑定</w:t>
      </w:r>
      <w:r>
        <w:rPr>
          <w:rFonts w:hint="eastAsia"/>
          <w:highlight w:val="none"/>
          <w:lang w:val="en-US" w:eastAsia="zh-CN"/>
        </w:rPr>
        <w:t>、</w:t>
      </w:r>
      <w:r>
        <w:rPr>
          <w:rFonts w:hint="default"/>
          <w:highlight w:val="none"/>
          <w:lang w:val="en-US" w:eastAsia="zh-CN"/>
        </w:rPr>
        <w:t>资格验证</w:t>
      </w:r>
      <w:r>
        <w:rPr>
          <w:rFonts w:hint="eastAsia"/>
          <w:highlight w:val="none"/>
          <w:lang w:val="en-US" w:eastAsia="zh-CN"/>
        </w:rPr>
        <w:t>、</w:t>
      </w:r>
      <w:r>
        <w:rPr>
          <w:rFonts w:hint="default"/>
          <w:highlight w:val="none"/>
          <w:lang w:val="en-US" w:eastAsia="zh-CN"/>
        </w:rPr>
        <w:t>多保单管理</w:t>
      </w:r>
      <w:r>
        <w:rPr>
          <w:rFonts w:hint="eastAsia"/>
          <w:highlight w:val="none"/>
          <w:lang w:val="en-US" w:eastAsia="zh-CN"/>
        </w:rPr>
        <w:t>、</w:t>
      </w:r>
      <w:r>
        <w:rPr>
          <w:rFonts w:hint="default"/>
          <w:highlight w:val="none"/>
          <w:lang w:val="en-US" w:eastAsia="zh-CN"/>
        </w:rPr>
        <w:t>验证结果告知</w:t>
      </w:r>
      <w:r>
        <w:rPr>
          <w:rFonts w:hint="eastAsia"/>
          <w:highlight w:val="none"/>
          <w:lang w:val="en-US" w:eastAsia="zh-CN"/>
        </w:rPr>
        <w:t>等功能。提供页面给</w:t>
      </w:r>
      <w:r>
        <w:rPr>
          <w:rFonts w:hint="default"/>
          <w:highlight w:val="none"/>
          <w:lang w:val="en-US" w:eastAsia="zh-CN"/>
        </w:rPr>
        <w:t>用户绑定保单，输入保单号、证件信息、保险公司。验证保单有效性、保障范围、直付资格。支持绑定多张保单，区分主险与补充险。用户</w:t>
      </w:r>
      <w:r>
        <w:rPr>
          <w:rFonts w:hint="eastAsia"/>
          <w:highlight w:val="none"/>
          <w:lang w:val="en-US" w:eastAsia="zh-CN"/>
        </w:rPr>
        <w:t>可查询</w:t>
      </w:r>
      <w:r>
        <w:rPr>
          <w:rFonts w:hint="default"/>
          <w:highlight w:val="none"/>
          <w:lang w:val="en-US" w:eastAsia="zh-CN"/>
        </w:rPr>
        <w:t>可直付、需预授权、需自费等</w:t>
      </w:r>
      <w:r>
        <w:rPr>
          <w:rFonts w:hint="eastAsia"/>
          <w:highlight w:val="none"/>
          <w:lang w:val="en-US" w:eastAsia="zh-CN"/>
        </w:rPr>
        <w:t>理论赔付</w:t>
      </w:r>
      <w:r>
        <w:rPr>
          <w:rFonts w:hint="default"/>
          <w:highlight w:val="none"/>
          <w:lang w:val="en-US" w:eastAsia="zh-CN"/>
        </w:rPr>
        <w:t>结果。</w:t>
      </w:r>
    </w:p>
    <w:p w14:paraId="0DC1BBAD">
      <w:pPr>
        <w:pStyle w:val="72"/>
        <w:bidi w:val="0"/>
        <w:rPr>
          <w:rFonts w:hint="default"/>
          <w:highlight w:val="none"/>
          <w:lang w:val="en-US" w:eastAsia="zh-CN"/>
        </w:rPr>
      </w:pPr>
      <w:r>
        <w:rPr>
          <w:rFonts w:hint="default"/>
          <w:highlight w:val="none"/>
          <w:lang w:val="en-US" w:eastAsia="zh-CN"/>
        </w:rPr>
        <w:t>直付申请与预授权</w:t>
      </w:r>
      <w:r>
        <w:rPr>
          <w:rFonts w:hint="eastAsia"/>
          <w:highlight w:val="none"/>
          <w:lang w:val="en-US" w:eastAsia="zh-CN"/>
        </w:rPr>
        <w:t>：支持自动</w:t>
      </w:r>
      <w:r>
        <w:rPr>
          <w:rFonts w:hint="default"/>
          <w:highlight w:val="none"/>
          <w:lang w:val="en-US" w:eastAsia="zh-CN"/>
        </w:rPr>
        <w:t>直付申请提交</w:t>
      </w:r>
      <w:r>
        <w:rPr>
          <w:rFonts w:hint="eastAsia"/>
          <w:highlight w:val="none"/>
          <w:lang w:val="en-US" w:eastAsia="zh-CN"/>
        </w:rPr>
        <w:t>、</w:t>
      </w:r>
      <w:r>
        <w:rPr>
          <w:rFonts w:hint="default"/>
          <w:highlight w:val="none"/>
          <w:lang w:val="en-US" w:eastAsia="zh-CN"/>
        </w:rPr>
        <w:t>预授权申请</w:t>
      </w:r>
      <w:r>
        <w:rPr>
          <w:rFonts w:hint="eastAsia"/>
          <w:highlight w:val="none"/>
          <w:lang w:val="en-US" w:eastAsia="zh-CN"/>
        </w:rPr>
        <w:t>、就诊</w:t>
      </w:r>
      <w:r>
        <w:rPr>
          <w:rFonts w:hint="default"/>
          <w:highlight w:val="none"/>
          <w:lang w:val="en-US" w:eastAsia="zh-CN"/>
        </w:rPr>
        <w:t>材料</w:t>
      </w:r>
      <w:r>
        <w:rPr>
          <w:rFonts w:hint="eastAsia"/>
          <w:highlight w:val="none"/>
          <w:lang w:val="en-US" w:eastAsia="zh-CN"/>
        </w:rPr>
        <w:t>自动</w:t>
      </w:r>
      <w:r>
        <w:rPr>
          <w:rFonts w:hint="default"/>
          <w:highlight w:val="none"/>
          <w:lang w:val="en-US" w:eastAsia="zh-CN"/>
        </w:rPr>
        <w:t>上传</w:t>
      </w:r>
      <w:r>
        <w:rPr>
          <w:rFonts w:hint="eastAsia"/>
          <w:highlight w:val="none"/>
          <w:lang w:val="en-US" w:eastAsia="zh-CN"/>
        </w:rPr>
        <w:t>、</w:t>
      </w:r>
      <w:r>
        <w:rPr>
          <w:rFonts w:hint="default"/>
          <w:highlight w:val="none"/>
          <w:lang w:val="en-US" w:eastAsia="zh-CN"/>
        </w:rPr>
        <w:t>审核进度查询</w:t>
      </w:r>
      <w:r>
        <w:rPr>
          <w:rFonts w:hint="eastAsia"/>
          <w:highlight w:val="none"/>
          <w:lang w:val="en-US" w:eastAsia="zh-CN"/>
        </w:rPr>
        <w:t>、</w:t>
      </w:r>
      <w:r>
        <w:rPr>
          <w:rFonts w:hint="default"/>
          <w:highlight w:val="none"/>
          <w:lang w:val="en-US" w:eastAsia="zh-CN"/>
        </w:rPr>
        <w:t>审核结果通知</w:t>
      </w:r>
      <w:r>
        <w:rPr>
          <w:rFonts w:hint="eastAsia"/>
          <w:highlight w:val="none"/>
          <w:lang w:val="en-US" w:eastAsia="zh-CN"/>
        </w:rPr>
        <w:t>等功能。</w:t>
      </w:r>
    </w:p>
    <w:p w14:paraId="72B12CB4">
      <w:pPr>
        <w:pStyle w:val="72"/>
        <w:bidi w:val="0"/>
        <w:rPr>
          <w:rFonts w:hint="default"/>
          <w:highlight w:val="none"/>
          <w:lang w:val="en-US" w:eastAsia="zh-CN"/>
        </w:rPr>
      </w:pPr>
      <w:r>
        <w:rPr>
          <w:rFonts w:hint="default"/>
          <w:highlight w:val="none"/>
          <w:lang w:val="en-US" w:eastAsia="zh-CN"/>
        </w:rPr>
        <w:t>直付结算</w:t>
      </w:r>
      <w:r>
        <w:rPr>
          <w:rFonts w:hint="eastAsia"/>
          <w:highlight w:val="none"/>
          <w:lang w:val="en-US" w:eastAsia="zh-CN"/>
        </w:rPr>
        <w:t>：对接院内各项系统模块，支持门诊挂号、诊查、检查、药费、住院费用、体检费用、点诊、会诊、疫苗接种费用等在内的直接付款结算，组合结算功能。</w:t>
      </w:r>
    </w:p>
    <w:p w14:paraId="6D422105">
      <w:pPr>
        <w:pStyle w:val="72"/>
        <w:bidi w:val="0"/>
        <w:rPr>
          <w:rFonts w:hint="default"/>
          <w:highlight w:val="none"/>
          <w:lang w:val="en-US" w:eastAsia="zh-CN"/>
        </w:rPr>
      </w:pPr>
      <w:r>
        <w:rPr>
          <w:rFonts w:hint="eastAsia"/>
          <w:highlight w:val="none"/>
          <w:lang w:val="en-US" w:eastAsia="zh-CN"/>
        </w:rPr>
        <w:t>账单及材料查询：支持理赔进度查询、理赔结果通知、理赔指引、费用明细查询、结算单生成、发票与凭证、保单直付记录、其它理赔记录、支付对照记录等账单材料查询功能。</w:t>
      </w:r>
    </w:p>
    <w:p w14:paraId="416FBF63">
      <w:pPr>
        <w:pStyle w:val="72"/>
        <w:bidi w:val="0"/>
        <w:rPr>
          <w:rFonts w:hint="default"/>
          <w:highlight w:val="none"/>
          <w:lang w:val="en-US" w:eastAsia="zh-CN"/>
        </w:rPr>
      </w:pPr>
      <w:r>
        <w:rPr>
          <w:rFonts w:hint="default"/>
          <w:highlight w:val="none"/>
          <w:lang w:val="en-US" w:eastAsia="zh-CN"/>
        </w:rPr>
        <w:t>消息与客服</w:t>
      </w:r>
      <w:r>
        <w:rPr>
          <w:rFonts w:hint="eastAsia"/>
          <w:highlight w:val="none"/>
          <w:lang w:val="en-US" w:eastAsia="zh-CN"/>
        </w:rPr>
        <w:t>：支持</w:t>
      </w:r>
      <w:r>
        <w:rPr>
          <w:rFonts w:hint="default"/>
          <w:highlight w:val="none"/>
          <w:lang w:val="en-US" w:eastAsia="zh-CN"/>
        </w:rPr>
        <w:t>消息通知</w:t>
      </w:r>
      <w:r>
        <w:rPr>
          <w:rFonts w:hint="eastAsia"/>
          <w:highlight w:val="none"/>
          <w:lang w:val="en-US" w:eastAsia="zh-CN"/>
        </w:rPr>
        <w:t>，对接商保系统，提供</w:t>
      </w:r>
      <w:r>
        <w:rPr>
          <w:rFonts w:hint="default"/>
          <w:highlight w:val="none"/>
          <w:lang w:val="en-US" w:eastAsia="zh-CN"/>
        </w:rPr>
        <w:t>资格验证、直付审核、结算完成、理赔进度等推送</w:t>
      </w:r>
      <w:r>
        <w:rPr>
          <w:rFonts w:hint="eastAsia"/>
          <w:highlight w:val="none"/>
          <w:lang w:val="en-US" w:eastAsia="zh-CN"/>
        </w:rPr>
        <w:t>服务，提供</w:t>
      </w:r>
      <w:r>
        <w:rPr>
          <w:rFonts w:hint="default"/>
          <w:highlight w:val="none"/>
          <w:lang w:val="en-US" w:eastAsia="zh-CN"/>
        </w:rPr>
        <w:t>在线客服</w:t>
      </w:r>
      <w:r>
        <w:rPr>
          <w:rFonts w:hint="eastAsia"/>
          <w:highlight w:val="none"/>
          <w:lang w:val="en-US" w:eastAsia="zh-CN"/>
        </w:rPr>
        <w:t>直接对接服务，提供申述模块</w:t>
      </w:r>
      <w:r>
        <w:rPr>
          <w:rFonts w:hint="default"/>
          <w:highlight w:val="none"/>
          <w:lang w:val="en-US" w:eastAsia="zh-CN"/>
        </w:rPr>
        <w:t>对商保支付服务提交投诉与建议。</w:t>
      </w:r>
    </w:p>
    <w:p w14:paraId="55F1A6E1">
      <w:pPr>
        <w:pStyle w:val="73"/>
        <w:ind w:left="1250" w:leftChars="0" w:hanging="967" w:firstLineChars="0"/>
        <w:outlineLvl w:val="1"/>
        <w:rPr>
          <w:rFonts w:hint="default"/>
          <w:highlight w:val="none"/>
        </w:rPr>
      </w:pPr>
      <w:bookmarkStart w:id="12" w:name="_Toc32325"/>
      <w:r>
        <w:rPr>
          <w:rFonts w:hint="eastAsia" w:ascii="微软雅黑" w:hAnsi="微软雅黑" w:eastAsia="微软雅黑" w:cs="微软雅黑"/>
          <w:color w:val="000000"/>
          <w:szCs w:val="21"/>
          <w:highlight w:val="none"/>
          <w:lang w:val="en-US" w:eastAsia="zh-CN"/>
        </w:rPr>
        <w:t>缴费服务</w:t>
      </w:r>
      <w:bookmarkEnd w:id="12"/>
    </w:p>
    <w:p w14:paraId="1552BDE4">
      <w:pPr>
        <w:pStyle w:val="72"/>
        <w:bidi w:val="0"/>
        <w:rPr>
          <w:rFonts w:hint="default"/>
          <w:highlight w:val="none"/>
        </w:rPr>
      </w:pPr>
      <w:r>
        <w:rPr>
          <w:rFonts w:hint="default"/>
          <w:highlight w:val="none"/>
        </w:rPr>
        <w:t>待缴费用查询</w:t>
      </w:r>
      <w:r>
        <w:rPr>
          <w:rFonts w:hint="eastAsia"/>
          <w:highlight w:val="none"/>
          <w:lang w:eastAsia="zh-CN"/>
        </w:rPr>
        <w:t>：对接</w:t>
      </w:r>
      <w:r>
        <w:rPr>
          <w:rFonts w:hint="eastAsia"/>
          <w:highlight w:val="none"/>
          <w:lang w:val="en-US" w:eastAsia="zh-CN"/>
        </w:rPr>
        <w:t>各项收费管理系统，</w:t>
      </w:r>
      <w:r>
        <w:rPr>
          <w:rFonts w:hint="eastAsia"/>
          <w:highlight w:val="none"/>
          <w:lang w:eastAsia="zh-CN"/>
        </w:rPr>
        <w:t>聚合展示挂号费、诊查费、检查费、检验费、药费、治疗费、住院预交金等待缴费用。支持切换本人及已绑定家属，查看对应待缴费用。</w:t>
      </w:r>
      <w:r>
        <w:rPr>
          <w:rFonts w:hint="eastAsia"/>
          <w:highlight w:val="none"/>
          <w:lang w:val="en-US" w:eastAsia="zh-CN"/>
        </w:rPr>
        <w:t>支持展示费用项目、单价、数量、金额、产生时间、所属科室/医生。支持缴费分类及待缴提醒。</w:t>
      </w:r>
    </w:p>
    <w:p w14:paraId="61B278B1">
      <w:pPr>
        <w:pStyle w:val="72"/>
        <w:bidi w:val="0"/>
        <w:rPr>
          <w:rFonts w:hint="default"/>
          <w:highlight w:val="none"/>
          <w:lang w:val="en-US" w:eastAsia="zh-CN"/>
        </w:rPr>
      </w:pPr>
      <w:r>
        <w:rPr>
          <w:rFonts w:hint="default"/>
          <w:highlight w:val="none"/>
        </w:rPr>
        <w:t>在线支付</w:t>
      </w:r>
      <w:r>
        <w:rPr>
          <w:rFonts w:hint="eastAsia"/>
          <w:highlight w:val="none"/>
          <w:lang w:eastAsia="zh-CN"/>
        </w:rPr>
        <w:t>：</w:t>
      </w:r>
      <w:r>
        <w:rPr>
          <w:rFonts w:hint="eastAsia"/>
          <w:highlight w:val="none"/>
          <w:lang w:val="en-US" w:eastAsia="zh-CN"/>
        </w:rPr>
        <w:t>支持多类支付方式选择，支持 Visa、Mastercard、JCB 等国际信用卡及跨境支付方式。支持本币或外币结算，展示汇率与折算金额。支持支付确认、支付结果回写各业务系统，更新费用状态。支持支付失败处理、支付安全保障（支付网关</w:t>
      </w:r>
      <w:r>
        <w:rPr>
          <w:rFonts w:hint="default"/>
          <w:highlight w:val="none"/>
          <w:lang w:val="en-US" w:eastAsia="zh-CN"/>
        </w:rPr>
        <w:t>、风控服务、审计日志服务</w:t>
      </w:r>
      <w:r>
        <w:rPr>
          <w:rFonts w:hint="eastAsia"/>
          <w:highlight w:val="none"/>
          <w:lang w:val="en-US" w:eastAsia="zh-CN"/>
        </w:rPr>
        <w:t>）。</w:t>
      </w:r>
    </w:p>
    <w:p w14:paraId="534A5DA3">
      <w:pPr>
        <w:pStyle w:val="72"/>
        <w:bidi w:val="0"/>
        <w:rPr>
          <w:rFonts w:hint="default"/>
          <w:highlight w:val="none"/>
          <w:lang w:val="en-US" w:eastAsia="zh-CN"/>
        </w:rPr>
      </w:pPr>
      <w:r>
        <w:rPr>
          <w:rFonts w:hint="default"/>
          <w:highlight w:val="none"/>
          <w:lang w:val="en-US" w:eastAsia="zh-CN"/>
        </w:rPr>
        <w:t>代付功能</w:t>
      </w:r>
      <w:r>
        <w:rPr>
          <w:rFonts w:hint="eastAsia"/>
          <w:highlight w:val="none"/>
          <w:lang w:val="en-US" w:eastAsia="zh-CN"/>
        </w:rPr>
        <w:t>：支持跳转亲友或第三方代为支付，支持为亲友代付。</w:t>
      </w:r>
    </w:p>
    <w:p w14:paraId="749E760F">
      <w:pPr>
        <w:pStyle w:val="72"/>
        <w:bidi w:val="0"/>
        <w:rPr>
          <w:rFonts w:hint="default"/>
          <w:highlight w:val="none"/>
          <w:lang w:val="en-US" w:eastAsia="zh-CN"/>
        </w:rPr>
      </w:pPr>
      <w:r>
        <w:rPr>
          <w:rFonts w:hint="default"/>
          <w:highlight w:val="none"/>
          <w:lang w:val="en-US" w:eastAsia="zh-CN"/>
        </w:rPr>
        <w:t>退费服务</w:t>
      </w:r>
      <w:r>
        <w:rPr>
          <w:rFonts w:hint="eastAsia"/>
          <w:highlight w:val="none"/>
          <w:lang w:val="en-US" w:eastAsia="zh-CN"/>
        </w:rPr>
        <w:t>：可退费的项目支持退费服务，流程参照院内退费流程，部分未使用项目可以走在线退费。支持退费申请、退费进度查询、退费结果通知、费用原路退回。</w:t>
      </w:r>
    </w:p>
    <w:p w14:paraId="3C713499">
      <w:pPr>
        <w:pStyle w:val="72"/>
        <w:bidi w:val="0"/>
        <w:rPr>
          <w:rFonts w:hint="default"/>
          <w:highlight w:val="none"/>
          <w:lang w:val="en-US" w:eastAsia="zh-CN"/>
        </w:rPr>
      </w:pPr>
      <w:r>
        <w:rPr>
          <w:rFonts w:hint="eastAsia"/>
          <w:highlight w:val="none"/>
          <w:lang w:val="en-US" w:eastAsia="zh-CN"/>
        </w:rPr>
        <w:t>押金支付及返还：支持按照项目收取押金及按照规定原路退还押金。</w:t>
      </w:r>
    </w:p>
    <w:p w14:paraId="40D5767D">
      <w:pPr>
        <w:pStyle w:val="72"/>
        <w:bidi w:val="0"/>
        <w:rPr>
          <w:rFonts w:hint="default"/>
          <w:highlight w:val="none"/>
          <w:lang w:val="en-US" w:eastAsia="zh-CN"/>
        </w:rPr>
      </w:pPr>
      <w:r>
        <w:rPr>
          <w:rFonts w:hint="default"/>
          <w:highlight w:val="none"/>
          <w:lang w:val="en-US" w:eastAsia="zh-CN"/>
        </w:rPr>
        <w:t>发票与凭证</w:t>
      </w:r>
      <w:r>
        <w:rPr>
          <w:rFonts w:hint="eastAsia"/>
          <w:highlight w:val="none"/>
          <w:lang w:val="en-US" w:eastAsia="zh-CN"/>
        </w:rPr>
        <w:t>：支持</w:t>
      </w:r>
      <w:r>
        <w:rPr>
          <w:highlight w:val="none"/>
        </w:rPr>
        <w:t>电子发票生成</w:t>
      </w:r>
      <w:r>
        <w:rPr>
          <w:rFonts w:hint="eastAsia"/>
          <w:highlight w:val="none"/>
          <w:lang w:eastAsia="zh-CN"/>
        </w:rPr>
        <w:t>、</w:t>
      </w:r>
      <w:r>
        <w:rPr>
          <w:highlight w:val="none"/>
        </w:rPr>
        <w:t>发票下载</w:t>
      </w:r>
      <w:r>
        <w:rPr>
          <w:rFonts w:hint="eastAsia"/>
          <w:highlight w:val="none"/>
          <w:lang w:eastAsia="zh-CN"/>
        </w:rPr>
        <w:t>、</w:t>
      </w:r>
      <w:r>
        <w:rPr>
          <w:rFonts w:hint="eastAsia"/>
          <w:highlight w:val="none"/>
          <w:lang w:val="en-US" w:eastAsia="zh-CN"/>
        </w:rPr>
        <w:t>多语言</w:t>
      </w:r>
      <w:r>
        <w:rPr>
          <w:highlight w:val="none"/>
        </w:rPr>
        <w:t>支付凭证</w:t>
      </w:r>
      <w:r>
        <w:rPr>
          <w:rFonts w:hint="eastAsia"/>
          <w:highlight w:val="none"/>
          <w:lang w:eastAsia="zh-CN"/>
        </w:rPr>
        <w:t>、</w:t>
      </w:r>
      <w:r>
        <w:rPr>
          <w:highlight w:val="none"/>
        </w:rPr>
        <w:t>发票推送</w:t>
      </w:r>
      <w:r>
        <w:rPr>
          <w:rFonts w:hint="eastAsia"/>
          <w:highlight w:val="none"/>
          <w:lang w:eastAsia="zh-CN"/>
        </w:rPr>
        <w:t>、</w:t>
      </w:r>
      <w:r>
        <w:rPr>
          <w:highlight w:val="none"/>
        </w:rPr>
        <w:t>发票抬头管理</w:t>
      </w:r>
      <w:r>
        <w:rPr>
          <w:rFonts w:hint="eastAsia"/>
          <w:highlight w:val="none"/>
          <w:lang w:val="en-US" w:eastAsia="zh-CN"/>
        </w:rPr>
        <w:t>等功能。</w:t>
      </w:r>
    </w:p>
    <w:p w14:paraId="4840A81E">
      <w:pPr>
        <w:pStyle w:val="72"/>
        <w:bidi w:val="0"/>
        <w:rPr>
          <w:rFonts w:hint="default"/>
          <w:highlight w:val="none"/>
          <w:lang w:val="en-US" w:eastAsia="zh-CN"/>
        </w:rPr>
      </w:pPr>
      <w:r>
        <w:rPr>
          <w:rFonts w:hint="default"/>
          <w:highlight w:val="none"/>
          <w:lang w:val="en-US" w:eastAsia="zh-CN"/>
        </w:rPr>
        <w:t>商保与医保</w:t>
      </w:r>
      <w:r>
        <w:rPr>
          <w:rFonts w:hint="eastAsia"/>
          <w:highlight w:val="none"/>
          <w:lang w:val="en-US" w:eastAsia="zh-CN"/>
        </w:rPr>
        <w:t>：支持</w:t>
      </w:r>
      <w:r>
        <w:rPr>
          <w:highlight w:val="none"/>
        </w:rPr>
        <w:t>商保直付</w:t>
      </w:r>
      <w:r>
        <w:rPr>
          <w:rFonts w:hint="eastAsia"/>
          <w:highlight w:val="none"/>
          <w:lang w:eastAsia="zh-CN"/>
        </w:rPr>
        <w:t>（</w:t>
      </w:r>
      <w:r>
        <w:rPr>
          <w:rFonts w:hint="eastAsia"/>
          <w:highlight w:val="none"/>
          <w:lang w:val="en-US" w:eastAsia="zh-CN"/>
        </w:rPr>
        <w:t>对接商保支付模块</w:t>
      </w:r>
      <w:r>
        <w:rPr>
          <w:rFonts w:hint="eastAsia"/>
          <w:highlight w:val="none"/>
          <w:lang w:eastAsia="zh-CN"/>
        </w:rPr>
        <w:t>）、</w:t>
      </w:r>
      <w:r>
        <w:rPr>
          <w:highlight w:val="none"/>
        </w:rPr>
        <w:t>多渠道支付</w:t>
      </w:r>
      <w:r>
        <w:rPr>
          <w:rFonts w:hint="eastAsia"/>
          <w:highlight w:val="none"/>
          <w:lang w:val="en-US" w:eastAsia="zh-CN"/>
        </w:rPr>
        <w:t>等功能。</w:t>
      </w:r>
    </w:p>
    <w:p w14:paraId="225C3AC2">
      <w:pPr>
        <w:pStyle w:val="72"/>
        <w:bidi w:val="0"/>
        <w:rPr>
          <w:rFonts w:hint="default"/>
          <w:highlight w:val="none"/>
          <w:lang w:val="en-US" w:eastAsia="zh-CN"/>
        </w:rPr>
      </w:pPr>
      <w:r>
        <w:rPr>
          <w:rFonts w:hint="default"/>
          <w:highlight w:val="none"/>
          <w:lang w:val="en-US" w:eastAsia="zh-CN"/>
        </w:rPr>
        <w:t>记录与查询</w:t>
      </w:r>
      <w:r>
        <w:rPr>
          <w:rFonts w:hint="eastAsia"/>
          <w:highlight w:val="none"/>
          <w:lang w:val="en-US" w:eastAsia="zh-CN"/>
        </w:rPr>
        <w:t>：提供</w:t>
      </w:r>
      <w:r>
        <w:rPr>
          <w:highlight w:val="none"/>
        </w:rPr>
        <w:t>缴费记录</w:t>
      </w:r>
      <w:r>
        <w:rPr>
          <w:rFonts w:hint="eastAsia"/>
          <w:highlight w:val="none"/>
          <w:lang w:eastAsia="zh-CN"/>
        </w:rPr>
        <w:t>、</w:t>
      </w:r>
      <w:r>
        <w:rPr>
          <w:highlight w:val="none"/>
        </w:rPr>
        <w:t>待缴记录</w:t>
      </w:r>
      <w:r>
        <w:rPr>
          <w:rFonts w:hint="eastAsia"/>
          <w:highlight w:val="none"/>
          <w:lang w:eastAsia="zh-CN"/>
        </w:rPr>
        <w:t>、</w:t>
      </w:r>
      <w:r>
        <w:rPr>
          <w:highlight w:val="none"/>
        </w:rPr>
        <w:t>退费记录</w:t>
      </w:r>
      <w:r>
        <w:rPr>
          <w:rFonts w:hint="eastAsia"/>
          <w:highlight w:val="none"/>
          <w:lang w:eastAsia="zh-CN"/>
        </w:rPr>
        <w:t>、</w:t>
      </w:r>
      <w:r>
        <w:rPr>
          <w:highlight w:val="none"/>
        </w:rPr>
        <w:t>发票记录</w:t>
      </w:r>
      <w:r>
        <w:rPr>
          <w:rFonts w:hint="eastAsia"/>
          <w:highlight w:val="none"/>
          <w:lang w:val="en-US" w:eastAsia="zh-CN"/>
        </w:rPr>
        <w:t>等记录查询。</w:t>
      </w:r>
    </w:p>
    <w:p w14:paraId="2B754692">
      <w:pPr>
        <w:pStyle w:val="72"/>
        <w:bidi w:val="0"/>
        <w:rPr>
          <w:rFonts w:hint="default"/>
          <w:highlight w:val="none"/>
          <w:lang w:val="en-US" w:eastAsia="zh-CN"/>
        </w:rPr>
      </w:pPr>
      <w:r>
        <w:rPr>
          <w:rFonts w:hint="default"/>
          <w:highlight w:val="none"/>
          <w:lang w:val="en-US" w:eastAsia="zh-CN"/>
        </w:rPr>
        <w:t>消息</w:t>
      </w:r>
      <w:r>
        <w:rPr>
          <w:rFonts w:hint="eastAsia"/>
          <w:highlight w:val="none"/>
          <w:lang w:val="en-US" w:eastAsia="zh-CN"/>
        </w:rPr>
        <w:t>提醒：支持</w:t>
      </w:r>
      <w:r>
        <w:rPr>
          <w:highlight w:val="none"/>
        </w:rPr>
        <w:t>待缴提醒、支付成功、退费进度、发票开具等推送。</w:t>
      </w:r>
      <w:r>
        <w:rPr>
          <w:rFonts w:hint="eastAsia"/>
          <w:highlight w:val="none"/>
          <w:lang w:val="en-US" w:eastAsia="zh-CN"/>
        </w:rPr>
        <w:t>支持</w:t>
      </w:r>
      <w:r>
        <w:rPr>
          <w:highlight w:val="none"/>
        </w:rPr>
        <w:t>支付失败、重复扣款、退费异常等问题</w:t>
      </w:r>
      <w:r>
        <w:rPr>
          <w:rFonts w:hint="eastAsia"/>
          <w:highlight w:val="none"/>
          <w:lang w:val="en-US" w:eastAsia="zh-CN"/>
        </w:rPr>
        <w:t>提醒</w:t>
      </w:r>
      <w:r>
        <w:rPr>
          <w:highlight w:val="none"/>
        </w:rPr>
        <w:t>处理。</w:t>
      </w:r>
    </w:p>
    <w:p w14:paraId="5DD21A1C">
      <w:pPr>
        <w:pStyle w:val="72"/>
        <w:bidi w:val="0"/>
        <w:rPr>
          <w:rFonts w:hint="default"/>
          <w:highlight w:val="none"/>
          <w:lang w:val="en-US" w:eastAsia="zh-CN"/>
        </w:rPr>
      </w:pPr>
      <w:r>
        <w:rPr>
          <w:rFonts w:hint="eastAsia"/>
          <w:highlight w:val="none"/>
          <w:lang w:val="en-US" w:eastAsia="zh-CN"/>
        </w:rPr>
        <w:t>支付风控：支持</w:t>
      </w:r>
      <w:r>
        <w:rPr>
          <w:highlight w:val="none"/>
        </w:rPr>
        <w:t>对异常交易、频繁退费等进行风控校验</w:t>
      </w:r>
      <w:r>
        <w:rPr>
          <w:rFonts w:hint="eastAsia"/>
          <w:highlight w:val="none"/>
          <w:lang w:val="en-US" w:eastAsia="zh-CN"/>
        </w:rPr>
        <w:t>功能</w:t>
      </w:r>
      <w:r>
        <w:rPr>
          <w:highlight w:val="none"/>
        </w:rPr>
        <w:t>。</w:t>
      </w:r>
      <w:r>
        <w:rPr>
          <w:rFonts w:hint="eastAsia"/>
          <w:highlight w:val="none"/>
          <w:lang w:val="en-US" w:eastAsia="zh-CN"/>
        </w:rPr>
        <w:t>支持</w:t>
      </w:r>
      <w:r>
        <w:rPr>
          <w:highlight w:val="none"/>
        </w:rPr>
        <w:t>身份核验</w:t>
      </w:r>
      <w:r>
        <w:rPr>
          <w:rFonts w:hint="eastAsia"/>
          <w:highlight w:val="none"/>
          <w:lang w:eastAsia="zh-CN"/>
        </w:rPr>
        <w:t>、</w:t>
      </w:r>
      <w:r>
        <w:rPr>
          <w:highlight w:val="none"/>
        </w:rPr>
        <w:t>合规留痕</w:t>
      </w:r>
      <w:r>
        <w:rPr>
          <w:rFonts w:hint="eastAsia"/>
          <w:highlight w:val="none"/>
          <w:lang w:eastAsia="zh-CN"/>
        </w:rPr>
        <w:t>、</w:t>
      </w:r>
      <w:r>
        <w:rPr>
          <w:highlight w:val="none"/>
        </w:rPr>
        <w:t>数据授权</w:t>
      </w:r>
      <w:r>
        <w:rPr>
          <w:rFonts w:hint="eastAsia"/>
          <w:highlight w:val="none"/>
          <w:lang w:val="en-US" w:eastAsia="zh-CN"/>
        </w:rPr>
        <w:t>等核验模块。</w:t>
      </w:r>
    </w:p>
    <w:p w14:paraId="3C2492BA">
      <w:pPr>
        <w:pStyle w:val="73"/>
        <w:ind w:left="1250" w:leftChars="0" w:hanging="967" w:firstLineChars="0"/>
        <w:outlineLvl w:val="1"/>
        <w:rPr>
          <w:rFonts w:hint="default"/>
          <w:highlight w:val="none"/>
        </w:rPr>
      </w:pPr>
      <w:bookmarkStart w:id="13" w:name="_Toc14311"/>
      <w:r>
        <w:rPr>
          <w:rFonts w:hint="eastAsia" w:ascii="微软雅黑" w:hAnsi="微软雅黑" w:eastAsia="微软雅黑" w:cs="微软雅黑"/>
          <w:color w:val="000000"/>
          <w:szCs w:val="21"/>
          <w:highlight w:val="none"/>
          <w:lang w:val="en-US" w:eastAsia="zh-CN"/>
        </w:rPr>
        <w:t>口腔/医美服务</w:t>
      </w:r>
      <w:bookmarkEnd w:id="13"/>
    </w:p>
    <w:p w14:paraId="1ADE577E">
      <w:pPr>
        <w:pStyle w:val="72"/>
        <w:bidi w:val="0"/>
        <w:rPr>
          <w:rFonts w:hint="default"/>
          <w:highlight w:val="none"/>
        </w:rPr>
      </w:pPr>
      <w:r>
        <w:rPr>
          <w:rFonts w:hint="default"/>
          <w:highlight w:val="none"/>
        </w:rPr>
        <w:t>项目分类展示</w:t>
      </w:r>
      <w:r>
        <w:rPr>
          <w:rFonts w:hint="eastAsia"/>
          <w:highlight w:val="none"/>
          <w:lang w:eastAsia="zh-CN"/>
        </w:rPr>
        <w:t>：按口腔诊疗、医疗美容两大方向分类</w:t>
      </w:r>
      <w:r>
        <w:rPr>
          <w:rFonts w:hint="eastAsia"/>
          <w:highlight w:val="none"/>
          <w:lang w:val="en-US" w:eastAsia="zh-CN"/>
        </w:rPr>
        <w:t>套餐</w:t>
      </w:r>
      <w:r>
        <w:rPr>
          <w:rFonts w:hint="eastAsia"/>
          <w:highlight w:val="none"/>
          <w:lang w:eastAsia="zh-CN"/>
        </w:rPr>
        <w:t>展示，口腔细分为种植、正畸、修复、洁牙、牙周等；医美细分为皮肤管理、抗衰、微整、整形等。</w:t>
      </w:r>
      <w:r>
        <w:rPr>
          <w:rFonts w:hint="eastAsia"/>
          <w:highlight w:val="none"/>
          <w:lang w:val="en-US" w:eastAsia="zh-CN"/>
        </w:rPr>
        <w:t>支持展示项目介绍、适应人群、禁忌症、治疗周期、恢复期、价格区间、可能风险。同时进行医生与机构展示、</w:t>
      </w:r>
      <w:r>
        <w:rPr>
          <w:highlight w:val="none"/>
        </w:rPr>
        <w:t>案例展示</w:t>
      </w:r>
      <w:r>
        <w:rPr>
          <w:rFonts w:hint="eastAsia"/>
          <w:highlight w:val="none"/>
          <w:lang w:eastAsia="zh-CN"/>
        </w:rPr>
        <w:t>、</w:t>
      </w:r>
      <w:r>
        <w:rPr>
          <w:highlight w:val="none"/>
        </w:rPr>
        <w:t>价格与优惠</w:t>
      </w:r>
      <w:r>
        <w:rPr>
          <w:rFonts w:hint="eastAsia"/>
          <w:highlight w:val="none"/>
          <w:lang w:val="en-US" w:eastAsia="zh-CN"/>
        </w:rPr>
        <w:t>展示。</w:t>
      </w:r>
    </w:p>
    <w:p w14:paraId="29D413A6">
      <w:pPr>
        <w:pStyle w:val="72"/>
        <w:bidi w:val="0"/>
        <w:rPr>
          <w:rFonts w:hint="default"/>
          <w:highlight w:val="none"/>
        </w:rPr>
      </w:pPr>
      <w:r>
        <w:rPr>
          <w:rFonts w:hint="default"/>
          <w:highlight w:val="none"/>
        </w:rPr>
        <w:t>面诊预约</w:t>
      </w:r>
      <w:r>
        <w:rPr>
          <w:rFonts w:hint="eastAsia"/>
          <w:highlight w:val="none"/>
          <w:lang w:eastAsia="zh-CN"/>
        </w:rPr>
        <w:t>：</w:t>
      </w:r>
      <w:r>
        <w:rPr>
          <w:rFonts w:hint="eastAsia"/>
          <w:highlight w:val="none"/>
          <w:lang w:val="en-US" w:eastAsia="zh-CN"/>
        </w:rPr>
        <w:t>支持用户可在线咨询医生</w:t>
      </w:r>
      <w:r>
        <w:rPr>
          <w:rStyle w:val="76"/>
          <w:rFonts w:hint="eastAsia"/>
          <w:highlight w:val="none"/>
          <w:lang w:val="en-US" w:eastAsia="zh-CN"/>
        </w:rPr>
        <w:t>或咨询师，了解项目与方案。支持</w:t>
      </w:r>
      <w:r>
        <w:rPr>
          <w:rStyle w:val="76"/>
          <w:highlight w:val="none"/>
        </w:rPr>
        <w:t>上传面部/口腔照片、影像资料、既往治疗记录。</w:t>
      </w:r>
      <w:r>
        <w:rPr>
          <w:rStyle w:val="76"/>
          <w:rFonts w:hint="eastAsia"/>
          <w:highlight w:val="none"/>
          <w:lang w:val="en-US" w:eastAsia="zh-CN"/>
        </w:rPr>
        <w:t>支持跳转预约和点诊页面</w:t>
      </w:r>
      <w:r>
        <w:rPr>
          <w:rStyle w:val="76"/>
          <w:highlight w:val="none"/>
        </w:rPr>
        <w:t>预约线下面诊时间、院区、医生。</w:t>
      </w:r>
    </w:p>
    <w:p w14:paraId="66206BE1">
      <w:pPr>
        <w:pStyle w:val="72"/>
        <w:bidi w:val="0"/>
        <w:rPr>
          <w:rFonts w:hint="default"/>
          <w:highlight w:val="none"/>
        </w:rPr>
      </w:pPr>
      <w:r>
        <w:rPr>
          <w:rFonts w:hint="eastAsia"/>
          <w:highlight w:val="none"/>
          <w:lang w:val="en-US" w:eastAsia="zh-CN"/>
        </w:rPr>
        <w:t>后续环节：在完成套餐选择和预约后，其余后续环节（评估与准备、费用与支付）回归门诊预约后执行。</w:t>
      </w:r>
    </w:p>
    <w:p w14:paraId="197C4686">
      <w:pPr>
        <w:pStyle w:val="73"/>
        <w:bidi w:val="0"/>
        <w:ind w:left="1250" w:leftChars="0" w:hanging="967" w:firstLineChars="0"/>
        <w:rPr>
          <w:rFonts w:hint="default"/>
          <w:highlight w:val="none"/>
        </w:rPr>
      </w:pPr>
      <w:r>
        <w:rPr>
          <w:rFonts w:hint="eastAsia" w:ascii="微软雅黑" w:hAnsi="微软雅黑" w:eastAsia="微软雅黑" w:cs="微软雅黑"/>
          <w:color w:val="000000"/>
          <w:szCs w:val="21"/>
          <w:highlight w:val="none"/>
          <w:lang w:val="en-US" w:eastAsia="zh-CN"/>
        </w:rPr>
        <w:t>报告查询服务</w:t>
      </w:r>
    </w:p>
    <w:p w14:paraId="411A5F5B">
      <w:pPr>
        <w:pStyle w:val="72"/>
        <w:bidi w:val="0"/>
        <w:rPr>
          <w:rFonts w:hint="default"/>
          <w:highlight w:val="none"/>
        </w:rPr>
      </w:pPr>
      <w:r>
        <w:rPr>
          <w:rFonts w:hint="default"/>
          <w:highlight w:val="none"/>
        </w:rPr>
        <w:t>报告</w:t>
      </w:r>
      <w:r>
        <w:rPr>
          <w:rFonts w:hint="eastAsia"/>
          <w:highlight w:val="none"/>
          <w:lang w:val="en-US" w:eastAsia="zh-CN"/>
        </w:rPr>
        <w:t>多语言展示：对接单据及短信管理模块，将原始报告转换成多语言报告进行输出并形成可展示页面。支持</w:t>
      </w:r>
      <w:r>
        <w:rPr>
          <w:highlight w:val="none"/>
        </w:rPr>
        <w:t>：按检查报告、检验报告、体检报告、影像报告、病理报告、基因检测报告等分类展示。</w:t>
      </w:r>
      <w:r>
        <w:rPr>
          <w:rFonts w:hint="eastAsia"/>
          <w:highlight w:val="none"/>
          <w:lang w:val="en-US" w:eastAsia="zh-CN"/>
        </w:rPr>
        <w:t>也可以</w:t>
      </w:r>
      <w:r>
        <w:rPr>
          <w:highlight w:val="none"/>
        </w:rPr>
        <w:t>按时间倒序展示报告列表，含报告名称、类型、出具时间、出具科室、报告状态。区分待出具、已出具、已阅、异常、危急值等状态。</w:t>
      </w:r>
      <w:r>
        <w:rPr>
          <w:rFonts w:hint="eastAsia"/>
          <w:highlight w:val="none"/>
          <w:lang w:val="en-US" w:eastAsia="zh-CN"/>
        </w:rPr>
        <w:t>支持</w:t>
      </w:r>
      <w:r>
        <w:rPr>
          <w:highlight w:val="none"/>
        </w:rPr>
        <w:t>按关键词、时间、类型、科室、就诊人搜索报告。</w:t>
      </w:r>
    </w:p>
    <w:p w14:paraId="71BCE4E5">
      <w:pPr>
        <w:pStyle w:val="72"/>
        <w:bidi w:val="0"/>
        <w:rPr>
          <w:rFonts w:hint="default"/>
          <w:highlight w:val="none"/>
        </w:rPr>
      </w:pPr>
      <w:r>
        <w:rPr>
          <w:rFonts w:hint="default"/>
          <w:highlight w:val="none"/>
        </w:rPr>
        <w:t>下载与分享</w:t>
      </w:r>
      <w:r>
        <w:rPr>
          <w:rFonts w:hint="eastAsia"/>
          <w:highlight w:val="none"/>
          <w:lang w:eastAsia="zh-CN"/>
        </w:rPr>
        <w:t>：</w:t>
      </w:r>
      <w:r>
        <w:rPr>
          <w:rFonts w:hint="eastAsia"/>
          <w:highlight w:val="none"/>
          <w:lang w:val="en-US" w:eastAsia="zh-CN"/>
        </w:rPr>
        <w:t>支持</w:t>
      </w:r>
      <w:r>
        <w:rPr>
          <w:highlight w:val="none"/>
        </w:rPr>
        <w:t>报告下载</w:t>
      </w:r>
      <w:r>
        <w:rPr>
          <w:rFonts w:hint="eastAsia"/>
          <w:highlight w:val="none"/>
          <w:lang w:eastAsia="zh-CN"/>
        </w:rPr>
        <w:t>、</w:t>
      </w:r>
      <w:r>
        <w:rPr>
          <w:highlight w:val="none"/>
        </w:rPr>
        <w:t>报告分享</w:t>
      </w:r>
      <w:r>
        <w:rPr>
          <w:rFonts w:hint="eastAsia"/>
          <w:highlight w:val="none"/>
          <w:lang w:eastAsia="zh-CN"/>
        </w:rPr>
        <w:t>，</w:t>
      </w:r>
      <w:r>
        <w:rPr>
          <w:rFonts w:hint="eastAsia"/>
          <w:highlight w:val="none"/>
          <w:lang w:val="en-US" w:eastAsia="zh-CN"/>
        </w:rPr>
        <w:t>支持报告水印，</w:t>
      </w:r>
      <w:r>
        <w:rPr>
          <w:highlight w:val="none"/>
        </w:rPr>
        <w:t>支持 PDF 等格式下载与打印。</w:t>
      </w:r>
    </w:p>
    <w:p w14:paraId="72563D0D">
      <w:pPr>
        <w:pStyle w:val="72"/>
        <w:bidi w:val="0"/>
        <w:rPr>
          <w:rFonts w:hint="default"/>
          <w:highlight w:val="none"/>
        </w:rPr>
      </w:pPr>
      <w:r>
        <w:rPr>
          <w:rFonts w:hint="default"/>
          <w:highlight w:val="none"/>
        </w:rPr>
        <w:t>报告提醒与通知</w:t>
      </w:r>
      <w:r>
        <w:rPr>
          <w:rFonts w:hint="eastAsia"/>
          <w:highlight w:val="none"/>
          <w:lang w:eastAsia="zh-CN"/>
        </w:rPr>
        <w:t>：</w:t>
      </w:r>
      <w:r>
        <w:rPr>
          <w:rFonts w:hint="eastAsia"/>
          <w:highlight w:val="none"/>
          <w:lang w:val="en-US" w:eastAsia="zh-CN"/>
        </w:rPr>
        <w:t>对接单据及短信管理模块，在</w:t>
      </w:r>
      <w:r>
        <w:rPr>
          <w:highlight w:val="none"/>
        </w:rPr>
        <w:t>报告出具后推送通知</w:t>
      </w:r>
      <w:r>
        <w:rPr>
          <w:rFonts w:hint="eastAsia"/>
          <w:highlight w:val="none"/>
          <w:lang w:eastAsia="zh-CN"/>
        </w:rPr>
        <w:t>，</w:t>
      </w:r>
      <w:r>
        <w:rPr>
          <w:highlight w:val="none"/>
        </w:rPr>
        <w:t>异常指标推送提醒与就医建议</w:t>
      </w:r>
      <w:r>
        <w:rPr>
          <w:rFonts w:hint="eastAsia"/>
          <w:highlight w:val="none"/>
          <w:lang w:eastAsia="zh-CN"/>
        </w:rPr>
        <w:t>，</w:t>
      </w:r>
      <w:r>
        <w:rPr>
          <w:highlight w:val="none"/>
        </w:rPr>
        <w:t>需复查项目推送复检提醒与预约入口</w:t>
      </w:r>
      <w:r>
        <w:rPr>
          <w:rFonts w:hint="eastAsia"/>
          <w:highlight w:val="none"/>
          <w:lang w:eastAsia="zh-CN"/>
        </w:rPr>
        <w:t>。</w:t>
      </w:r>
    </w:p>
    <w:p w14:paraId="09A730DD">
      <w:pPr>
        <w:pStyle w:val="72"/>
        <w:bidi w:val="0"/>
        <w:rPr>
          <w:rFonts w:hint="default"/>
          <w:highlight w:val="none"/>
        </w:rPr>
      </w:pPr>
      <w:r>
        <w:rPr>
          <w:rFonts w:hint="default"/>
          <w:highlight w:val="none"/>
        </w:rPr>
        <w:t>报告与健康档案</w:t>
      </w:r>
      <w:r>
        <w:rPr>
          <w:rFonts w:hint="eastAsia"/>
          <w:highlight w:val="none"/>
          <w:lang w:eastAsia="zh-CN"/>
        </w:rPr>
        <w:t>：</w:t>
      </w:r>
      <w:r>
        <w:rPr>
          <w:rFonts w:hint="eastAsia"/>
          <w:highlight w:val="none"/>
          <w:lang w:val="en-US" w:eastAsia="zh-CN"/>
        </w:rPr>
        <w:t>支持</w:t>
      </w:r>
      <w:r>
        <w:rPr>
          <w:highlight w:val="none"/>
        </w:rPr>
        <w:t>报告数据自动归集至个人电子健康档案。</w:t>
      </w:r>
      <w:r>
        <w:rPr>
          <w:rFonts w:hint="eastAsia"/>
          <w:highlight w:val="none"/>
          <w:lang w:val="en-US" w:eastAsia="zh-CN"/>
        </w:rPr>
        <w:t>支持</w:t>
      </w:r>
      <w:r>
        <w:rPr>
          <w:highlight w:val="none"/>
        </w:rPr>
        <w:t>查看历史报告查询、下载、分享记录。</w:t>
      </w:r>
    </w:p>
    <w:p w14:paraId="1CF873EB">
      <w:pPr>
        <w:pStyle w:val="73"/>
        <w:numPr>
          <w:ilvl w:val="1"/>
          <w:numId w:val="0"/>
        </w:numPr>
        <w:rPr>
          <w:rFonts w:hint="default"/>
          <w:highlight w:val="none"/>
        </w:rPr>
      </w:pPr>
    </w:p>
    <w:tbl>
      <w:tblPr>
        <w:tblStyle w:val="26"/>
        <w:tblW w:w="5000" w:type="pct"/>
        <w:tblInd w:w="0" w:type="dxa"/>
        <w:tblLayout w:type="autofit"/>
        <w:tblCellMar>
          <w:top w:w="0" w:type="dxa"/>
          <w:left w:w="108" w:type="dxa"/>
          <w:bottom w:w="0" w:type="dxa"/>
          <w:right w:w="108" w:type="dxa"/>
        </w:tblCellMar>
      </w:tblPr>
      <w:tblGrid>
        <w:gridCol w:w="1042"/>
        <w:gridCol w:w="8244"/>
      </w:tblGrid>
      <w:tr w14:paraId="3ABFA898">
        <w:tblPrEx>
          <w:tblCellMar>
            <w:top w:w="0" w:type="dxa"/>
            <w:left w:w="108" w:type="dxa"/>
            <w:bottom w:w="0" w:type="dxa"/>
            <w:right w:w="108" w:type="dxa"/>
          </w:tblCellMar>
        </w:tblPrEx>
        <w:trPr>
          <w:trHeight w:val="320"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2C729477">
            <w:pPr>
              <w:widowControl/>
              <w:snapToGrid w:val="0"/>
              <w:jc w:val="left"/>
              <w:rPr>
                <w:rFonts w:ascii="微软雅黑" w:hAnsi="微软雅黑" w:eastAsia="微软雅黑" w:cs="微软雅黑"/>
                <w:b/>
                <w:bCs/>
                <w:color w:val="000000"/>
                <w:szCs w:val="21"/>
                <w:highlight w:val="none"/>
              </w:rPr>
            </w:pPr>
            <w:r>
              <w:rPr>
                <w:rFonts w:hint="eastAsia" w:ascii="微软雅黑" w:hAnsi="微软雅黑" w:eastAsia="微软雅黑" w:cs="微软雅黑"/>
                <w:b/>
                <w:bCs/>
                <w:sz w:val="24"/>
                <w:szCs w:val="32"/>
                <w:highlight w:val="none"/>
              </w:rPr>
              <w:t>（二）国际医疗门诊医生工作站细项</w:t>
            </w:r>
          </w:p>
        </w:tc>
      </w:tr>
      <w:tr w14:paraId="3D242CEA">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4EB0B74F">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1</w:t>
            </w:r>
          </w:p>
        </w:tc>
        <w:tc>
          <w:tcPr>
            <w:tcW w:w="4438" w:type="pct"/>
            <w:tcBorders>
              <w:top w:val="single" w:color="auto" w:sz="4" w:space="0"/>
              <w:left w:val="single" w:color="auto" w:sz="4" w:space="0"/>
              <w:bottom w:val="single" w:color="auto" w:sz="4" w:space="0"/>
              <w:right w:val="single" w:color="auto" w:sz="4" w:space="0"/>
            </w:tcBorders>
            <w:vAlign w:val="center"/>
          </w:tcPr>
          <w:p w14:paraId="4290492F">
            <w:pPr>
              <w:widowControl/>
              <w:snapToGrid w:val="0"/>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lang w:val="en-US" w:eastAsia="zh-CN"/>
              </w:rPr>
              <w:t>模块构造</w:t>
            </w:r>
            <w:r>
              <w:rPr>
                <w:rFonts w:hint="eastAsia" w:ascii="微软雅黑" w:hAnsi="微软雅黑" w:eastAsia="微软雅黑" w:cs="微软雅黑"/>
                <w:color w:val="000000"/>
                <w:szCs w:val="21"/>
                <w:highlight w:val="none"/>
              </w:rPr>
              <w:t>：以嵌入窗口与接口轻量接入，不打断医生原有流程。</w:t>
            </w:r>
          </w:p>
        </w:tc>
      </w:tr>
      <w:tr w14:paraId="48AA96E1">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4D5CBF78">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2</w:t>
            </w:r>
          </w:p>
        </w:tc>
        <w:tc>
          <w:tcPr>
            <w:tcW w:w="4438" w:type="pct"/>
            <w:tcBorders>
              <w:top w:val="single" w:color="auto" w:sz="4" w:space="0"/>
              <w:left w:val="single" w:color="auto" w:sz="4" w:space="0"/>
              <w:bottom w:val="single" w:color="auto" w:sz="4" w:space="0"/>
              <w:right w:val="single" w:color="auto" w:sz="4" w:space="0"/>
            </w:tcBorders>
            <w:vAlign w:val="center"/>
          </w:tcPr>
          <w:p w14:paraId="59F6D0F1">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eastAsia="zh-CN"/>
              </w:rPr>
              <w:t>预约患者调用：</w:t>
            </w:r>
            <w:r>
              <w:rPr>
                <w:rFonts w:hint="eastAsia" w:ascii="微软雅黑" w:hAnsi="微软雅黑" w:eastAsia="微软雅黑" w:cs="微软雅黑"/>
                <w:color w:val="000000"/>
                <w:szCs w:val="21"/>
                <w:highlight w:val="none"/>
                <w:lang w:val="en-US" w:eastAsia="zh-CN"/>
              </w:rPr>
              <w:t>患者端的预约信息形成队列，信息同步，状态跟进。</w:t>
            </w:r>
          </w:p>
        </w:tc>
      </w:tr>
      <w:tr w14:paraId="1AE4C932">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64D6589E">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3</w:t>
            </w:r>
          </w:p>
        </w:tc>
        <w:tc>
          <w:tcPr>
            <w:tcW w:w="4438" w:type="pct"/>
            <w:tcBorders>
              <w:top w:val="single" w:color="auto" w:sz="4" w:space="0"/>
              <w:left w:val="single" w:color="auto" w:sz="4" w:space="0"/>
              <w:bottom w:val="single" w:color="auto" w:sz="4" w:space="0"/>
              <w:right w:val="single" w:color="auto" w:sz="4" w:space="0"/>
            </w:tcBorders>
            <w:vAlign w:val="center"/>
          </w:tcPr>
          <w:p w14:paraId="5B69928F">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rPr>
              <w:t>病历翻译调用</w:t>
            </w:r>
            <w:r>
              <w:rPr>
                <w:rFonts w:hint="eastAsia" w:ascii="微软雅黑" w:hAnsi="微软雅黑" w:eastAsia="微软雅黑" w:cs="微软雅黑"/>
                <w:color w:val="000000"/>
                <w:szCs w:val="21"/>
                <w:highlight w:val="none"/>
                <w:lang w:eastAsia="zh-CN"/>
              </w:rPr>
              <w:t>：</w:t>
            </w:r>
            <w:r>
              <w:rPr>
                <w:rFonts w:hint="eastAsia" w:ascii="微软雅黑" w:hAnsi="微软雅黑" w:eastAsia="微软雅黑" w:cs="微软雅黑"/>
                <w:color w:val="000000"/>
                <w:szCs w:val="21"/>
                <w:highlight w:val="none"/>
                <w:lang w:val="en-US" w:eastAsia="zh-CN"/>
              </w:rPr>
              <w:t>构建病历翻译接口，对基础病历以及诊断的部分按照字典进行对照。</w:t>
            </w:r>
          </w:p>
        </w:tc>
      </w:tr>
      <w:tr w14:paraId="23862EBA">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0DF90640">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4</w:t>
            </w:r>
          </w:p>
        </w:tc>
        <w:tc>
          <w:tcPr>
            <w:tcW w:w="4438" w:type="pct"/>
            <w:tcBorders>
              <w:top w:val="single" w:color="auto" w:sz="4" w:space="0"/>
              <w:left w:val="single" w:color="auto" w:sz="4" w:space="0"/>
              <w:bottom w:val="single" w:color="auto" w:sz="4" w:space="0"/>
              <w:right w:val="single" w:color="auto" w:sz="4" w:space="0"/>
            </w:tcBorders>
            <w:vAlign w:val="center"/>
          </w:tcPr>
          <w:p w14:paraId="137591FD">
            <w:pPr>
              <w:widowControl/>
              <w:snapToGrid w:val="0"/>
              <w:rPr>
                <w:rFonts w:hint="eastAsia" w:ascii="微软雅黑" w:hAnsi="微软雅黑" w:eastAsia="宋体" w:cs="微软雅黑"/>
                <w:color w:val="000000"/>
                <w:szCs w:val="21"/>
                <w:highlight w:val="none"/>
                <w:lang w:val="en-US" w:eastAsia="zh-CN"/>
              </w:rPr>
            </w:pPr>
            <w:r>
              <w:rPr>
                <w:rFonts w:hint="eastAsia" w:ascii="微软雅黑" w:hAnsi="微软雅黑" w:eastAsia="微软雅黑" w:cs="微软雅黑"/>
                <w:color w:val="000000"/>
                <w:szCs w:val="21"/>
                <w:highlight w:val="none"/>
              </w:rPr>
              <w:t>门诊排班调用</w:t>
            </w:r>
            <w:r>
              <w:rPr>
                <w:rFonts w:hint="eastAsia" w:ascii="微软雅黑" w:hAnsi="微软雅黑" w:eastAsia="微软雅黑" w:cs="微软雅黑"/>
                <w:color w:val="000000"/>
                <w:szCs w:val="21"/>
                <w:highlight w:val="none"/>
                <w:lang w:eastAsia="zh-CN"/>
              </w:rPr>
              <w:t>：</w:t>
            </w:r>
            <w:r>
              <w:rPr>
                <w:rFonts w:hint="eastAsia" w:ascii="微软雅黑" w:hAnsi="微软雅黑" w:eastAsia="微软雅黑" w:cs="微软雅黑"/>
                <w:color w:val="000000"/>
                <w:szCs w:val="21"/>
                <w:highlight w:val="none"/>
              </w:rPr>
              <w:t>查询并回传国际医疗排班，与预约联动</w:t>
            </w:r>
            <w:r>
              <w:rPr>
                <w:rFonts w:hint="eastAsia" w:ascii="微软雅黑" w:hAnsi="微软雅黑" w:eastAsia="微软雅黑" w:cs="微软雅黑"/>
                <w:color w:val="000000"/>
                <w:szCs w:val="21"/>
                <w:highlight w:val="none"/>
                <w:lang w:eastAsia="zh-CN"/>
              </w:rPr>
              <w:t>。</w:t>
            </w:r>
          </w:p>
        </w:tc>
      </w:tr>
      <w:tr w14:paraId="10C293A7">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3F74F836">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5</w:t>
            </w:r>
          </w:p>
        </w:tc>
        <w:tc>
          <w:tcPr>
            <w:tcW w:w="4438" w:type="pct"/>
            <w:tcBorders>
              <w:top w:val="single" w:color="auto" w:sz="4" w:space="0"/>
              <w:left w:val="single" w:color="auto" w:sz="4" w:space="0"/>
              <w:bottom w:val="single" w:color="auto" w:sz="4" w:space="0"/>
              <w:right w:val="single" w:color="auto" w:sz="4" w:space="0"/>
            </w:tcBorders>
            <w:vAlign w:val="center"/>
          </w:tcPr>
          <w:p w14:paraId="4678CF04">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rPr>
              <w:t>收费目录调用</w:t>
            </w:r>
            <w:r>
              <w:rPr>
                <w:rFonts w:hint="eastAsia" w:ascii="微软雅黑" w:hAnsi="微软雅黑" w:eastAsia="微软雅黑" w:cs="微软雅黑"/>
                <w:color w:val="000000"/>
                <w:szCs w:val="21"/>
                <w:highlight w:val="none"/>
                <w:lang w:eastAsia="zh-CN"/>
              </w:rPr>
              <w:t>：</w:t>
            </w:r>
            <w:r>
              <w:rPr>
                <w:rFonts w:hint="eastAsia" w:ascii="微软雅黑" w:hAnsi="微软雅黑" w:eastAsia="微软雅黑" w:cs="微软雅黑"/>
                <w:color w:val="000000"/>
                <w:szCs w:val="21"/>
                <w:highlight w:val="none"/>
                <w:lang w:val="en-US" w:eastAsia="zh-CN"/>
              </w:rPr>
              <w:t>收费处方开具除了能开具常规项目外，还需获取国际医疗收费项目。</w:t>
            </w:r>
          </w:p>
        </w:tc>
      </w:tr>
      <w:tr w14:paraId="030753D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6F6B24DE">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6</w:t>
            </w:r>
          </w:p>
        </w:tc>
        <w:tc>
          <w:tcPr>
            <w:tcW w:w="4438" w:type="pct"/>
            <w:tcBorders>
              <w:top w:val="single" w:color="auto" w:sz="4" w:space="0"/>
              <w:left w:val="single" w:color="auto" w:sz="4" w:space="0"/>
              <w:bottom w:val="single" w:color="auto" w:sz="4" w:space="0"/>
              <w:right w:val="single" w:color="auto" w:sz="4" w:space="0"/>
            </w:tcBorders>
            <w:vAlign w:val="center"/>
          </w:tcPr>
          <w:p w14:paraId="31E17780">
            <w:pPr>
              <w:widowControl/>
              <w:snapToGrid w:val="0"/>
              <w:rPr>
                <w:rFonts w:hint="default" w:ascii="微软雅黑" w:hAnsi="微软雅黑" w:eastAsia="微软雅黑" w:cs="微软雅黑"/>
                <w:color w:val="000000"/>
                <w:szCs w:val="21"/>
                <w:highlight w:val="none"/>
                <w:lang w:val="en-US"/>
              </w:rPr>
            </w:pPr>
            <w:r>
              <w:rPr>
                <w:rFonts w:hint="eastAsia" w:ascii="微软雅黑" w:hAnsi="微软雅黑" w:eastAsia="微软雅黑" w:cs="微软雅黑"/>
                <w:color w:val="000000"/>
                <w:szCs w:val="21"/>
                <w:highlight w:val="none"/>
              </w:rPr>
              <w:t>报告打印调用</w:t>
            </w:r>
            <w:r>
              <w:rPr>
                <w:rFonts w:hint="eastAsia" w:ascii="微软雅黑" w:hAnsi="微软雅黑" w:eastAsia="微软雅黑" w:cs="微软雅黑"/>
                <w:color w:val="000000"/>
                <w:szCs w:val="21"/>
                <w:highlight w:val="none"/>
                <w:lang w:eastAsia="zh-CN"/>
              </w:rPr>
              <w:t>：</w:t>
            </w:r>
            <w:r>
              <w:rPr>
                <w:rFonts w:hint="eastAsia" w:ascii="微软雅黑" w:hAnsi="微软雅黑" w:eastAsia="微软雅黑" w:cs="微软雅黑"/>
                <w:color w:val="000000"/>
                <w:szCs w:val="21"/>
                <w:highlight w:val="none"/>
                <w:lang w:val="en-US" w:eastAsia="zh-CN"/>
              </w:rPr>
              <w:t>对接单据及短信管理模块提交翻译，获取翻译好的文档对上页面按钮。</w:t>
            </w:r>
          </w:p>
        </w:tc>
      </w:tr>
      <w:tr w14:paraId="5E2E73C4">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44FEA68A">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7</w:t>
            </w:r>
          </w:p>
        </w:tc>
        <w:tc>
          <w:tcPr>
            <w:tcW w:w="4438" w:type="pct"/>
            <w:tcBorders>
              <w:top w:val="single" w:color="auto" w:sz="4" w:space="0"/>
              <w:left w:val="single" w:color="auto" w:sz="4" w:space="0"/>
              <w:bottom w:val="single" w:color="auto" w:sz="4" w:space="0"/>
              <w:right w:val="single" w:color="auto" w:sz="4" w:space="0"/>
            </w:tcBorders>
            <w:vAlign w:val="center"/>
          </w:tcPr>
          <w:p w14:paraId="7158253F">
            <w:pPr>
              <w:widowControl/>
              <w:snapToGrid w:val="0"/>
              <w:rPr>
                <w:rFonts w:hint="default" w:ascii="微软雅黑" w:hAnsi="微软雅黑" w:eastAsia="微软雅黑" w:cs="微软雅黑"/>
                <w:color w:val="000000"/>
                <w:szCs w:val="21"/>
                <w:highlight w:val="none"/>
                <w:lang w:val="en-US"/>
              </w:rPr>
            </w:pPr>
            <w:r>
              <w:rPr>
                <w:rFonts w:hint="eastAsia" w:ascii="微软雅黑" w:hAnsi="微软雅黑" w:eastAsia="微软雅黑" w:cs="微软雅黑"/>
                <w:color w:val="000000"/>
                <w:szCs w:val="21"/>
                <w:highlight w:val="none"/>
              </w:rPr>
              <w:t>就医群组调用</w:t>
            </w:r>
            <w:r>
              <w:rPr>
                <w:rFonts w:hint="eastAsia" w:ascii="微软雅黑" w:hAnsi="微软雅黑" w:eastAsia="微软雅黑" w:cs="微软雅黑"/>
                <w:color w:val="000000"/>
                <w:szCs w:val="21"/>
                <w:highlight w:val="none"/>
                <w:lang w:eastAsia="zh-CN"/>
              </w:rPr>
              <w:t>：</w:t>
            </w:r>
            <w:r>
              <w:rPr>
                <w:rFonts w:hint="eastAsia" w:ascii="微软雅黑" w:hAnsi="微软雅黑" w:eastAsia="微软雅黑" w:cs="微软雅黑"/>
                <w:color w:val="000000"/>
                <w:szCs w:val="21"/>
                <w:highlight w:val="none"/>
                <w:lang w:val="en-US" w:eastAsia="zh-CN"/>
              </w:rPr>
              <w:t>在界面提供就医群组按钮，点开可直接进入就医群组窗口沟通。</w:t>
            </w:r>
          </w:p>
        </w:tc>
      </w:tr>
      <w:tr w14:paraId="7ACE2A79">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5CCF7235">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8</w:t>
            </w:r>
          </w:p>
        </w:tc>
        <w:tc>
          <w:tcPr>
            <w:tcW w:w="4438" w:type="pct"/>
            <w:tcBorders>
              <w:top w:val="single" w:color="auto" w:sz="4" w:space="0"/>
              <w:left w:val="single" w:color="auto" w:sz="4" w:space="0"/>
              <w:bottom w:val="single" w:color="auto" w:sz="4" w:space="0"/>
              <w:right w:val="single" w:color="auto" w:sz="4" w:space="0"/>
            </w:tcBorders>
            <w:vAlign w:val="center"/>
          </w:tcPr>
          <w:p w14:paraId="3C9D3F4E">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签名调用：为其他语言单据提供签名能力。</w:t>
            </w:r>
          </w:p>
        </w:tc>
      </w:tr>
    </w:tbl>
    <w:p w14:paraId="7CDAB973">
      <w:pPr>
        <w:pStyle w:val="73"/>
        <w:numPr>
          <w:ilvl w:val="1"/>
          <w:numId w:val="4"/>
        </w:numPr>
        <w:bidi w:val="0"/>
        <w:rPr>
          <w:rFonts w:hint="default"/>
          <w:highlight w:val="none"/>
        </w:rPr>
      </w:pPr>
      <w:r>
        <w:rPr>
          <w:rFonts w:hint="eastAsia" w:ascii="微软雅黑" w:hAnsi="微软雅黑" w:eastAsia="微软雅黑" w:cs="微软雅黑"/>
          <w:color w:val="000000"/>
          <w:szCs w:val="21"/>
          <w:highlight w:val="none"/>
          <w:lang w:val="en-US" w:eastAsia="zh-CN"/>
        </w:rPr>
        <w:t>模块构造</w:t>
      </w:r>
      <w:r>
        <w:rPr>
          <w:rFonts w:hint="eastAsia" w:ascii="微软雅黑" w:hAnsi="微软雅黑" w:eastAsia="微软雅黑" w:cs="微软雅黑"/>
          <w:color w:val="000000"/>
          <w:szCs w:val="21"/>
          <w:highlight w:val="none"/>
        </w:rPr>
        <w:t>：</w:t>
      </w:r>
    </w:p>
    <w:p w14:paraId="2AB9EDC5">
      <w:pPr>
        <w:pStyle w:val="72"/>
        <w:bidi w:val="0"/>
        <w:rPr>
          <w:rFonts w:hint="default"/>
          <w:highlight w:val="none"/>
        </w:rPr>
      </w:pPr>
      <w:r>
        <w:rPr>
          <w:rFonts w:hint="eastAsia"/>
          <w:highlight w:val="none"/>
          <w:lang w:val="en-US" w:eastAsia="zh-CN"/>
        </w:rPr>
        <w:t>模块形态：不独立设置功能模块，但需提供窗口、接口等方式给 HIS 进行对接调用。由 HIS 门急诊工作站统一承载，国际医疗相关能力以嵌入窗口、悬浮按钮、接口调用等形式接入，不改变 HIS 工作站主界面结构。</w:t>
      </w:r>
    </w:p>
    <w:p w14:paraId="0B02BCAB">
      <w:pPr>
        <w:pStyle w:val="72"/>
        <w:bidi w:val="0"/>
        <w:rPr>
          <w:rFonts w:hint="default"/>
          <w:highlight w:val="none"/>
        </w:rPr>
      </w:pPr>
      <w:r>
        <w:rPr>
          <w:rFonts w:hint="eastAsia"/>
          <w:highlight w:val="none"/>
          <w:lang w:val="en-US" w:eastAsia="zh-CN"/>
        </w:rPr>
        <w:t>模块构造原则：保持医生端工作站的常规接诊流程不变化，HIS 接诊患者作为国际医疗中心患者处理，仅在门急诊工作站涉及和国际医疗相关需调用信息的时候提供嵌入窗口和接口对接协助，维持医生工作站在 HIS 上的整体工作流。国际医疗能力以“轻嵌入、可调用、不打断”为原则，避免影响医生原有操作习惯。</w:t>
      </w:r>
    </w:p>
    <w:p w14:paraId="2936567F">
      <w:pPr>
        <w:pStyle w:val="72"/>
        <w:bidi w:val="0"/>
        <w:rPr>
          <w:rFonts w:hint="default"/>
          <w:highlight w:val="none"/>
        </w:rPr>
      </w:pPr>
      <w:r>
        <w:rPr>
          <w:rFonts w:hint="default"/>
          <w:highlight w:val="none"/>
        </w:rPr>
        <w:t>鉴权与留痕：</w:t>
      </w:r>
      <w:r>
        <w:rPr>
          <w:rFonts w:hint="eastAsia"/>
          <w:highlight w:val="none"/>
          <w:lang w:val="en-US" w:eastAsia="zh-CN"/>
        </w:rPr>
        <w:t>调用方式应不存在需鉴权内容，如有必要，相应操作留痕需回传HIS系统</w:t>
      </w:r>
      <w:r>
        <w:rPr>
          <w:rFonts w:hint="default"/>
          <w:highlight w:val="none"/>
        </w:rPr>
        <w:t>。</w:t>
      </w:r>
    </w:p>
    <w:p w14:paraId="408BBF19">
      <w:pPr>
        <w:pStyle w:val="72"/>
        <w:bidi w:val="0"/>
        <w:rPr>
          <w:rFonts w:hint="default"/>
          <w:highlight w:val="none"/>
        </w:rPr>
      </w:pPr>
      <w:r>
        <w:rPr>
          <w:rFonts w:hint="default"/>
          <w:highlight w:val="none"/>
        </w:rPr>
        <w:t>性能要求：国际医疗相关调用需异步加载、按需加载，避免影响HIS工作站原有响应速度；收费目录等大数据量接口需做缓存与分页优化。</w:t>
      </w:r>
    </w:p>
    <w:p w14:paraId="1EB8561D">
      <w:pPr>
        <w:pStyle w:val="73"/>
        <w:bidi w:val="0"/>
        <w:rPr>
          <w:rFonts w:hint="default"/>
        </w:rPr>
      </w:pPr>
      <w:r>
        <w:rPr>
          <w:rFonts w:hint="eastAsia"/>
          <w:lang w:val="en-US" w:eastAsia="zh-CN"/>
        </w:rPr>
        <w:t>预约患者调用</w:t>
      </w:r>
    </w:p>
    <w:p w14:paraId="13664221">
      <w:pPr>
        <w:pStyle w:val="72"/>
        <w:bidi w:val="0"/>
        <w:rPr>
          <w:rFonts w:hint="default"/>
        </w:rPr>
      </w:pPr>
      <w:r>
        <w:rPr>
          <w:rFonts w:hint="eastAsia"/>
          <w:lang w:val="en-US" w:eastAsia="zh-CN"/>
        </w:rPr>
        <w:t>患者信息添补：获取患者的国际医疗基础信息添补，推送至HIS对应患者数据库。</w:t>
      </w:r>
    </w:p>
    <w:p w14:paraId="0CC26DAD">
      <w:pPr>
        <w:pStyle w:val="72"/>
        <w:bidi w:val="0"/>
        <w:rPr>
          <w:rFonts w:hint="default"/>
        </w:rPr>
      </w:pPr>
      <w:r>
        <w:rPr>
          <w:rFonts w:hint="eastAsia"/>
          <w:lang w:val="en-US" w:eastAsia="zh-CN"/>
        </w:rPr>
        <w:t>患者列表：获取国际医疗患者的预约列表以及点诊患者列表，推送至HIS对应排班，填补预约队列。</w:t>
      </w:r>
    </w:p>
    <w:p w14:paraId="40E88772">
      <w:pPr>
        <w:pStyle w:val="72"/>
        <w:bidi w:val="0"/>
        <w:rPr>
          <w:rFonts w:hint="default"/>
        </w:rPr>
      </w:pPr>
      <w:r>
        <w:rPr>
          <w:rFonts w:hint="eastAsia"/>
          <w:lang w:val="en-US" w:eastAsia="zh-CN"/>
        </w:rPr>
        <w:t>诊闭对接：对接HIS完诊后的信息，获取患者的各类状态，含已诊、未诊、退诊、转诊等，回写国际医疗模块，同步至患者端与就医群组。</w:t>
      </w:r>
    </w:p>
    <w:p w14:paraId="014FD1B0">
      <w:pPr>
        <w:pStyle w:val="72"/>
        <w:bidi w:val="0"/>
        <w:rPr>
          <w:rFonts w:hint="default"/>
        </w:rPr>
      </w:pPr>
      <w:r>
        <w:rPr>
          <w:rFonts w:hint="default"/>
        </w:rPr>
        <w:t>状态同步：预约、签到、</w:t>
      </w:r>
      <w:r>
        <w:rPr>
          <w:rFonts w:hint="eastAsia"/>
          <w:lang w:val="en-US" w:eastAsia="zh-CN"/>
        </w:rPr>
        <w:t>分诊、</w:t>
      </w:r>
      <w:r>
        <w:rPr>
          <w:rFonts w:hint="default"/>
        </w:rPr>
        <w:t>候诊、就诊、诊毕等状态实时同步，支持患者端、医生端、运营端状态一致。</w:t>
      </w:r>
    </w:p>
    <w:p w14:paraId="72FBF58A">
      <w:pPr>
        <w:pStyle w:val="72"/>
        <w:bidi w:val="0"/>
        <w:rPr>
          <w:rFonts w:hint="default"/>
        </w:rPr>
      </w:pPr>
      <w:r>
        <w:rPr>
          <w:rFonts w:hint="default"/>
        </w:rPr>
        <w:t>异常处理：号源冲突、排班变更等异常情况，对接</w:t>
      </w:r>
      <w:r>
        <w:rPr>
          <w:rFonts w:hint="eastAsia"/>
          <w:lang w:val="en-US" w:eastAsia="zh-CN"/>
        </w:rPr>
        <w:t>HIS对应</w:t>
      </w:r>
      <w:r>
        <w:rPr>
          <w:rFonts w:hint="default"/>
        </w:rPr>
        <w:t>模块处理，并推送提醒至医生端。</w:t>
      </w:r>
    </w:p>
    <w:p w14:paraId="73B6AA94">
      <w:pPr>
        <w:pStyle w:val="73"/>
        <w:bidi w:val="0"/>
        <w:rPr>
          <w:rFonts w:hint="default"/>
        </w:rPr>
      </w:pPr>
      <w:r>
        <w:rPr>
          <w:rFonts w:hint="eastAsia"/>
          <w:lang w:val="en-US" w:eastAsia="zh-CN"/>
        </w:rPr>
        <w:t>病历翻译调用</w:t>
      </w:r>
    </w:p>
    <w:p w14:paraId="508A8ED8">
      <w:pPr>
        <w:pStyle w:val="72"/>
        <w:bidi w:val="0"/>
        <w:rPr>
          <w:rFonts w:hint="default"/>
        </w:rPr>
      </w:pPr>
      <w:r>
        <w:rPr>
          <w:rFonts w:hint="default"/>
        </w:rPr>
        <w:t>翻译接口构建：构建病历翻译接口，对基础病历以及诊断的部分按照字典进行对照，支持主诉、现病史、既往史、过敏史、手术史、个人史、体格检查、辅助检查、诊断、诊疗计划等字段的翻译</w:t>
      </w:r>
      <w:r>
        <w:rPr>
          <w:rFonts w:hint="eastAsia"/>
          <w:lang w:eastAsia="zh-CN"/>
        </w:rPr>
        <w:t>。</w:t>
      </w:r>
    </w:p>
    <w:p w14:paraId="2767D921">
      <w:pPr>
        <w:pStyle w:val="72"/>
        <w:bidi w:val="0"/>
        <w:rPr>
          <w:rFonts w:hint="default"/>
        </w:rPr>
      </w:pPr>
      <w:r>
        <w:rPr>
          <w:rFonts w:hint="eastAsia"/>
          <w:lang w:val="en-US" w:eastAsia="zh-CN"/>
        </w:rPr>
        <w:t>双语</w:t>
      </w:r>
      <w:r>
        <w:rPr>
          <w:rFonts w:hint="default"/>
        </w:rPr>
        <w:t>字典对照：</w:t>
      </w:r>
      <w:r>
        <w:rPr>
          <w:rFonts w:hint="eastAsia"/>
          <w:lang w:val="en-US" w:eastAsia="zh-CN"/>
        </w:rPr>
        <w:t>诊断窗口内容需专业严谨对照</w:t>
      </w:r>
      <w:r>
        <w:rPr>
          <w:rFonts w:hint="default"/>
        </w:rPr>
        <w:t>。整体翻译加工</w:t>
      </w:r>
      <w:r>
        <w:rPr>
          <w:rFonts w:hint="eastAsia"/>
          <w:lang w:val="en-US" w:eastAsia="zh-CN"/>
        </w:rPr>
        <w:t>后</w:t>
      </w:r>
      <w:r>
        <w:rPr>
          <w:rFonts w:hint="default"/>
        </w:rPr>
        <w:t>，</w:t>
      </w:r>
      <w:r>
        <w:rPr>
          <w:rFonts w:hint="eastAsia"/>
          <w:lang w:val="en-US" w:eastAsia="zh-CN"/>
        </w:rPr>
        <w:t>需</w:t>
      </w:r>
      <w:r>
        <w:rPr>
          <w:rFonts w:hint="default"/>
        </w:rPr>
        <w:t>再由专业医护评审人员开展人工复核、校对优化，严格保障医疗术语精准合规、内容表述规范统一。</w:t>
      </w:r>
    </w:p>
    <w:p w14:paraId="6883A3C8">
      <w:pPr>
        <w:pStyle w:val="73"/>
        <w:bidi w:val="0"/>
        <w:rPr>
          <w:rFonts w:hint="default"/>
        </w:rPr>
      </w:pPr>
      <w:r>
        <w:rPr>
          <w:rFonts w:hint="eastAsia"/>
          <w:lang w:val="en-US" w:eastAsia="zh-CN"/>
        </w:rPr>
        <w:t>门诊排班调用</w:t>
      </w:r>
    </w:p>
    <w:p w14:paraId="37A27473">
      <w:pPr>
        <w:pStyle w:val="72"/>
        <w:bidi w:val="0"/>
        <w:rPr>
          <w:rFonts w:hint="default"/>
        </w:rPr>
      </w:pPr>
      <w:r>
        <w:t>排班查询</w:t>
      </w:r>
      <w:r>
        <w:rPr>
          <w:rFonts w:hint="default"/>
        </w:rPr>
        <w:t>：调用运营管理模块排班服务，查询医生国际医疗门诊排班</w:t>
      </w:r>
      <w:r>
        <w:rPr>
          <w:rFonts w:hint="eastAsia"/>
          <w:lang w:val="en-US" w:eastAsia="zh-CN"/>
        </w:rPr>
        <w:t>信息</w:t>
      </w:r>
      <w:r>
        <w:rPr>
          <w:rFonts w:hint="default"/>
        </w:rPr>
        <w:t>。</w:t>
      </w:r>
    </w:p>
    <w:p w14:paraId="1B39E405">
      <w:pPr>
        <w:pStyle w:val="72"/>
        <w:bidi w:val="0"/>
        <w:rPr>
          <w:rFonts w:hint="default"/>
        </w:rPr>
      </w:pPr>
      <w:r>
        <w:t>排班展示</w:t>
      </w:r>
      <w:r>
        <w:rPr>
          <w:rFonts w:hint="default"/>
        </w:rPr>
        <w:t>：</w:t>
      </w:r>
      <w:r>
        <w:rPr>
          <w:rFonts w:hint="eastAsia"/>
          <w:lang w:val="en-US" w:eastAsia="zh-CN"/>
        </w:rPr>
        <w:t>回传HIS</w:t>
      </w:r>
      <w:r>
        <w:rPr>
          <w:rFonts w:hint="default"/>
        </w:rPr>
        <w:t>展示当前医生国际医疗排班，含出诊时间、诊室、号源余量</w:t>
      </w:r>
      <w:r>
        <w:rPr>
          <w:rFonts w:hint="eastAsia"/>
          <w:lang w:val="en-US" w:eastAsia="zh-CN"/>
        </w:rPr>
        <w:t>等排班信息</w:t>
      </w:r>
      <w:r>
        <w:rPr>
          <w:rFonts w:hint="default"/>
        </w:rPr>
        <w:t>。</w:t>
      </w:r>
    </w:p>
    <w:p w14:paraId="7653AA22">
      <w:pPr>
        <w:pStyle w:val="72"/>
        <w:bidi w:val="0"/>
        <w:rPr>
          <w:rFonts w:hint="default"/>
        </w:rPr>
      </w:pPr>
      <w:r>
        <w:t>排班与预约联动</w:t>
      </w:r>
      <w:r>
        <w:rPr>
          <w:rFonts w:hint="default"/>
        </w:rPr>
        <w:t>：排班变更时实时同步预约模块，避免号源冲突与患者误约。</w:t>
      </w:r>
    </w:p>
    <w:p w14:paraId="46EAC06A">
      <w:pPr>
        <w:pStyle w:val="73"/>
        <w:bidi w:val="0"/>
        <w:rPr>
          <w:rFonts w:hint="default"/>
        </w:rPr>
      </w:pPr>
      <w:r>
        <w:rPr>
          <w:rFonts w:hint="eastAsia"/>
          <w:lang w:val="en-US" w:eastAsia="zh-CN"/>
        </w:rPr>
        <w:t>收费目录调用</w:t>
      </w:r>
    </w:p>
    <w:p w14:paraId="185F0FA2">
      <w:pPr>
        <w:pStyle w:val="72"/>
        <w:bidi w:val="0"/>
        <w:rPr>
          <w:rFonts w:hint="default"/>
        </w:rPr>
      </w:pPr>
      <w:r>
        <w:rPr>
          <w:rFonts w:hint="default"/>
        </w:rPr>
        <w:t>常规项目开具：</w:t>
      </w:r>
      <w:r>
        <w:rPr>
          <w:rFonts w:hint="eastAsia"/>
          <w:lang w:val="en-US" w:eastAsia="zh-CN"/>
        </w:rPr>
        <w:t>提供服务列表给医嘱项目开立。</w:t>
      </w:r>
      <w:r>
        <w:rPr>
          <w:rFonts w:hint="default"/>
        </w:rPr>
        <w:t>支持开具 HIS 常规收费项目</w:t>
      </w:r>
      <w:r>
        <w:rPr>
          <w:rFonts w:hint="eastAsia"/>
          <w:lang w:eastAsia="zh-CN"/>
        </w:rPr>
        <w:t>，</w:t>
      </w:r>
      <w:r>
        <w:rPr>
          <w:rFonts w:hint="eastAsia"/>
          <w:lang w:val="en-US" w:eastAsia="zh-CN"/>
        </w:rPr>
        <w:t>但价格目录参照国际医疗</w:t>
      </w:r>
      <w:r>
        <w:rPr>
          <w:rFonts w:hint="default"/>
        </w:rPr>
        <w:t>，含西药、治疗、检验、检查、手术、草药饮片、草药颗粒、其他、双通道等。</w:t>
      </w:r>
    </w:p>
    <w:p w14:paraId="763763D0">
      <w:pPr>
        <w:pStyle w:val="72"/>
        <w:bidi w:val="0"/>
        <w:rPr>
          <w:rFonts w:hint="default"/>
        </w:rPr>
      </w:pPr>
      <w:r>
        <w:rPr>
          <w:rFonts w:hint="default"/>
        </w:rPr>
        <w:t>国际医疗收费项目：收费处方开具除了能开具常规项目外，还需获取国际医疗收费项目，含国际诊疗价格、多币种价格、特殊渠道药品/耗材、专科服务包。</w:t>
      </w:r>
      <w:r>
        <w:rPr>
          <w:rFonts w:hint="eastAsia"/>
          <w:lang w:val="en-US" w:eastAsia="zh-CN"/>
        </w:rPr>
        <w:t>对照HIS原有模块，提供处置项目接口。</w:t>
      </w:r>
    </w:p>
    <w:p w14:paraId="4E1741AE">
      <w:pPr>
        <w:pStyle w:val="72"/>
        <w:bidi w:val="0"/>
        <w:rPr>
          <w:rFonts w:hint="default"/>
        </w:rPr>
      </w:pPr>
      <w:r>
        <w:rPr>
          <w:rFonts w:hint="default"/>
        </w:rPr>
        <w:t>多语言检索：支持中文、英文查找药品、收费项目、耗材、商品。</w:t>
      </w:r>
    </w:p>
    <w:p w14:paraId="761E2D7F">
      <w:pPr>
        <w:pStyle w:val="72"/>
        <w:bidi w:val="0"/>
        <w:rPr>
          <w:rFonts w:hint="default"/>
        </w:rPr>
      </w:pPr>
      <w:r>
        <w:rPr>
          <w:rFonts w:hint="eastAsia"/>
          <w:lang w:val="en-US" w:eastAsia="zh-CN"/>
        </w:rPr>
        <w:t>医嘱处方规则设置：允许自定义处方开具规则、收费规则等。</w:t>
      </w:r>
    </w:p>
    <w:p w14:paraId="495313C1">
      <w:pPr>
        <w:pStyle w:val="72"/>
        <w:bidi w:val="0"/>
        <w:rPr>
          <w:rFonts w:hint="default"/>
        </w:rPr>
      </w:pPr>
      <w:r>
        <w:t>性能优化</w:t>
      </w:r>
      <w:r>
        <w:rPr>
          <w:rFonts w:hint="default"/>
        </w:rPr>
        <w:t>：收费目录数据量大，需做缓存、分页、异步加载优化，避免影响医生工作站响应速度；国际医疗收费项目与常规项目分开加载，按需调用。</w:t>
      </w:r>
    </w:p>
    <w:p w14:paraId="62EBA698">
      <w:pPr>
        <w:pStyle w:val="72"/>
        <w:bidi w:val="0"/>
        <w:rPr>
          <w:rFonts w:hint="default"/>
        </w:rPr>
      </w:pPr>
      <w:r>
        <w:rPr>
          <w:rFonts w:hint="eastAsia"/>
          <w:lang w:val="en-US" w:eastAsia="zh-CN"/>
        </w:rPr>
        <w:t>国际项目结算：获取收费管理模块内的结算数据，返回金额等内容给HIS系统进行结算。</w:t>
      </w:r>
    </w:p>
    <w:p w14:paraId="7BDE1D39">
      <w:pPr>
        <w:pStyle w:val="73"/>
        <w:bidi w:val="0"/>
        <w:rPr>
          <w:rFonts w:hint="default"/>
        </w:rPr>
      </w:pPr>
      <w:r>
        <w:rPr>
          <w:rFonts w:hint="eastAsia"/>
          <w:lang w:val="en-US" w:eastAsia="zh-CN"/>
        </w:rPr>
        <w:t>报告打印调用</w:t>
      </w:r>
    </w:p>
    <w:p w14:paraId="204C0503">
      <w:pPr>
        <w:pStyle w:val="72"/>
        <w:bidi w:val="0"/>
        <w:rPr>
          <w:rFonts w:hint="default"/>
        </w:rPr>
      </w:pPr>
      <w:r>
        <w:rPr>
          <w:rFonts w:hint="default"/>
        </w:rPr>
        <w:t>报告翻译对接：对接单据及短信管理模块，将完成的</w:t>
      </w:r>
      <w:r>
        <w:rPr>
          <w:rFonts w:hint="eastAsia"/>
          <w:lang w:val="en-US" w:eastAsia="zh-CN"/>
        </w:rPr>
        <w:t>单据（病历、费用清单、检查导引单、检验导引单、检查电子单、缴费推送）</w:t>
      </w:r>
      <w:r>
        <w:rPr>
          <w:rFonts w:hint="default"/>
        </w:rPr>
        <w:t>提交翻译</w:t>
      </w:r>
      <w:r>
        <w:rPr>
          <w:rFonts w:hint="eastAsia"/>
          <w:lang w:eastAsia="zh-CN"/>
        </w:rPr>
        <w:t>。</w:t>
      </w:r>
    </w:p>
    <w:p w14:paraId="1EA23528">
      <w:pPr>
        <w:pStyle w:val="72"/>
        <w:bidi w:val="0"/>
        <w:ind w:left="1670" w:leftChars="0" w:hanging="1103" w:firstLineChars="0"/>
        <w:rPr>
          <w:rFonts w:hint="default"/>
        </w:rPr>
      </w:pPr>
      <w:r>
        <w:rPr>
          <w:rFonts w:hint="eastAsia"/>
          <w:lang w:val="en-US" w:eastAsia="zh-CN"/>
        </w:rPr>
        <w:t>报告打印对接：</w:t>
      </w:r>
      <w:r>
        <w:rPr>
          <w:rFonts w:hint="default"/>
        </w:rPr>
        <w:t>获取翻译好的文档对上</w:t>
      </w:r>
      <w:r>
        <w:rPr>
          <w:rFonts w:hint="eastAsia"/>
          <w:lang w:val="en-US" w:eastAsia="zh-CN"/>
        </w:rPr>
        <w:t>HIS</w:t>
      </w:r>
      <w:r>
        <w:rPr>
          <w:rFonts w:hint="default"/>
        </w:rPr>
        <w:t>页面</w:t>
      </w:r>
      <w:r>
        <w:rPr>
          <w:rFonts w:hint="eastAsia"/>
          <w:lang w:val="en-US" w:eastAsia="zh-CN"/>
        </w:rPr>
        <w:t>上</w:t>
      </w:r>
      <w:r>
        <w:rPr>
          <w:rFonts w:hint="default"/>
        </w:rPr>
        <w:t>打印按钮</w:t>
      </w:r>
      <w:r>
        <w:rPr>
          <w:rFonts w:hint="eastAsia"/>
          <w:lang w:eastAsia="zh-CN"/>
        </w:rPr>
        <w:t>，</w:t>
      </w:r>
      <w:r>
        <w:rPr>
          <w:rFonts w:hint="eastAsia"/>
          <w:lang w:val="en-US" w:eastAsia="zh-CN"/>
        </w:rPr>
        <w:t>允许选择中英文打印等</w:t>
      </w:r>
      <w:r>
        <w:rPr>
          <w:rFonts w:hint="default"/>
        </w:rPr>
        <w:t>。</w:t>
      </w:r>
    </w:p>
    <w:p w14:paraId="2A24D601">
      <w:pPr>
        <w:pStyle w:val="73"/>
        <w:bidi w:val="0"/>
        <w:rPr>
          <w:rFonts w:hint="default"/>
        </w:rPr>
      </w:pPr>
      <w:r>
        <w:rPr>
          <w:rFonts w:hint="eastAsia"/>
          <w:lang w:val="en-US" w:eastAsia="zh-CN"/>
        </w:rPr>
        <w:t>就医群组调用</w:t>
      </w:r>
    </w:p>
    <w:p w14:paraId="29E23FE5">
      <w:pPr>
        <w:pStyle w:val="72"/>
        <w:bidi w:val="0"/>
        <w:rPr>
          <w:rFonts w:hint="default"/>
        </w:rPr>
      </w:pPr>
      <w:r>
        <w:rPr>
          <w:rFonts w:hint="default"/>
        </w:rPr>
        <w:t>群组入口：在界面提供就医群组按钮，点开可直接进入就医群组窗口沟通。</w:t>
      </w:r>
    </w:p>
    <w:p w14:paraId="7B2CF862">
      <w:pPr>
        <w:pStyle w:val="72"/>
        <w:bidi w:val="0"/>
        <w:rPr>
          <w:rFonts w:hint="default"/>
        </w:rPr>
      </w:pPr>
      <w:r>
        <w:rPr>
          <w:rFonts w:hint="default"/>
        </w:rPr>
        <w:t>消息类型：支持文字、图片、语音、视频、文件、病历卡片、报告卡片等消息类型。支持报告一键转发入群组。群组关联具体预约单、挂号单、点诊单或会诊单，便于追溯。</w:t>
      </w:r>
    </w:p>
    <w:p w14:paraId="65A8BBF3">
      <w:pPr>
        <w:pStyle w:val="72"/>
        <w:bidi w:val="0"/>
        <w:rPr>
          <w:rFonts w:hint="default"/>
        </w:rPr>
      </w:pPr>
      <w:r>
        <w:rPr>
          <w:rFonts w:hint="default"/>
        </w:rPr>
        <w:t xml:space="preserve"> 群组提醒：群组新消息推送至消息提醒，支持多语言。</w:t>
      </w:r>
    </w:p>
    <w:p w14:paraId="3EE921BC">
      <w:pPr>
        <w:pStyle w:val="73"/>
        <w:bidi w:val="0"/>
        <w:rPr>
          <w:rFonts w:hint="default"/>
        </w:rPr>
      </w:pPr>
      <w:r>
        <w:rPr>
          <w:rFonts w:hint="default"/>
        </w:rPr>
        <w:t>签名调用</w:t>
      </w:r>
    </w:p>
    <w:p w14:paraId="40CA9BDA">
      <w:pPr>
        <w:pStyle w:val="72"/>
        <w:bidi w:val="0"/>
        <w:rPr>
          <w:rFonts w:hint="default"/>
        </w:rPr>
      </w:pPr>
      <w:r>
        <w:rPr>
          <w:rFonts w:hint="default"/>
        </w:rPr>
        <w:t>签名组件调用：调用系统统一签名组件，作为公共能力供医生工作站按需调用，避免重复建设。签名组件支持本地签名、CA 签名、第三方校验签名等多种方式，满足不同业务场景下的签署与验签需求。签名组件遵循国家密码管理局相关规范，支持国密算法，保障签名安全合规。</w:t>
      </w:r>
    </w:p>
    <w:p w14:paraId="1D778F05">
      <w:pPr>
        <w:pStyle w:val="72"/>
        <w:bidi w:val="0"/>
        <w:rPr>
          <w:rFonts w:hint="default"/>
        </w:rPr>
      </w:pPr>
      <w:r>
        <w:rPr>
          <w:rFonts w:hint="default"/>
        </w:rPr>
        <w:t>签名场景：支持处置签署、病历签署、处方签署等场景。</w:t>
      </w:r>
    </w:p>
    <w:p w14:paraId="72980D10">
      <w:pPr>
        <w:pStyle w:val="72"/>
        <w:bidi w:val="0"/>
        <w:rPr>
          <w:rFonts w:hint="default"/>
        </w:rPr>
      </w:pPr>
      <w:r>
        <w:t>对接院内系统</w:t>
      </w:r>
      <w:r>
        <w:rPr>
          <w:rFonts w:hint="default"/>
        </w:rPr>
        <w:t>：支持与院内电子签名系统、CA 机构、第三方校验平台对接，确保签名结果可验证、可审计、可追溯。</w:t>
      </w:r>
    </w:p>
    <w:p w14:paraId="7CE30370">
      <w:pPr>
        <w:pStyle w:val="73"/>
        <w:numPr>
          <w:ilvl w:val="1"/>
          <w:numId w:val="0"/>
        </w:numPr>
        <w:rPr>
          <w:rFonts w:hint="default"/>
          <w:highlight w:val="none"/>
        </w:rPr>
      </w:pPr>
    </w:p>
    <w:tbl>
      <w:tblPr>
        <w:tblStyle w:val="26"/>
        <w:tblW w:w="5000" w:type="pct"/>
        <w:tblInd w:w="0" w:type="dxa"/>
        <w:tblLayout w:type="autofit"/>
        <w:tblCellMar>
          <w:top w:w="0" w:type="dxa"/>
          <w:left w:w="108" w:type="dxa"/>
          <w:bottom w:w="0" w:type="dxa"/>
          <w:right w:w="108" w:type="dxa"/>
        </w:tblCellMar>
      </w:tblPr>
      <w:tblGrid>
        <w:gridCol w:w="1042"/>
        <w:gridCol w:w="8244"/>
      </w:tblGrid>
      <w:tr w14:paraId="4BC607AA">
        <w:tblPrEx>
          <w:tblCellMar>
            <w:top w:w="0" w:type="dxa"/>
            <w:left w:w="108" w:type="dxa"/>
            <w:bottom w:w="0" w:type="dxa"/>
            <w:right w:w="108" w:type="dxa"/>
          </w:tblCellMar>
        </w:tblPrEx>
        <w:trPr>
          <w:trHeight w:val="320"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4520380A">
            <w:pPr>
              <w:widowControl/>
              <w:snapToGrid w:val="0"/>
              <w:jc w:val="left"/>
              <w:outlineLvl w:val="1"/>
              <w:rPr>
                <w:rFonts w:ascii="微软雅黑" w:hAnsi="微软雅黑" w:eastAsia="微软雅黑" w:cs="微软雅黑"/>
                <w:b/>
                <w:bCs/>
                <w:color w:val="000000"/>
                <w:szCs w:val="21"/>
                <w:highlight w:val="none"/>
              </w:rPr>
            </w:pPr>
            <w:bookmarkStart w:id="14" w:name="_Toc28923"/>
            <w:r>
              <w:rPr>
                <w:rFonts w:hint="eastAsia" w:ascii="微软雅黑" w:hAnsi="微软雅黑" w:eastAsia="微软雅黑" w:cs="微软雅黑"/>
                <w:b/>
                <w:bCs/>
                <w:sz w:val="24"/>
                <w:szCs w:val="32"/>
                <w:highlight w:val="none"/>
              </w:rPr>
              <w:t>（</w:t>
            </w:r>
            <w:r>
              <w:rPr>
                <w:rFonts w:hint="eastAsia" w:ascii="微软雅黑" w:hAnsi="微软雅黑" w:eastAsia="微软雅黑" w:cs="微软雅黑"/>
                <w:b/>
                <w:bCs/>
                <w:sz w:val="24"/>
                <w:szCs w:val="32"/>
                <w:highlight w:val="none"/>
                <w:lang w:val="en-US" w:eastAsia="zh-CN"/>
              </w:rPr>
              <w:t>三</w:t>
            </w:r>
            <w:r>
              <w:rPr>
                <w:rFonts w:hint="eastAsia" w:ascii="微软雅黑" w:hAnsi="微软雅黑" w:eastAsia="微软雅黑" w:cs="微软雅黑"/>
                <w:b/>
                <w:bCs/>
                <w:sz w:val="24"/>
                <w:szCs w:val="32"/>
                <w:highlight w:val="none"/>
              </w:rPr>
              <w:t>）收费管理模块细项</w:t>
            </w:r>
            <w:bookmarkEnd w:id="14"/>
          </w:p>
        </w:tc>
      </w:tr>
      <w:tr w14:paraId="1164A5BB">
        <w:tblPrEx>
          <w:tblCellMar>
            <w:top w:w="0" w:type="dxa"/>
            <w:left w:w="108" w:type="dxa"/>
            <w:bottom w:w="0" w:type="dxa"/>
            <w:right w:w="108" w:type="dxa"/>
          </w:tblCellMar>
        </w:tblPrEx>
        <w:trPr>
          <w:trHeight w:val="341" w:hRule="atLeast"/>
        </w:trPr>
        <w:tc>
          <w:tcPr>
            <w:tcW w:w="561" w:type="pct"/>
            <w:tcBorders>
              <w:top w:val="single" w:color="auto" w:sz="4" w:space="0"/>
              <w:left w:val="single" w:color="auto" w:sz="4" w:space="0"/>
              <w:bottom w:val="single" w:color="auto" w:sz="4" w:space="0"/>
              <w:right w:val="single" w:color="auto" w:sz="4" w:space="0"/>
            </w:tcBorders>
            <w:vAlign w:val="center"/>
          </w:tcPr>
          <w:p w14:paraId="5BDDDFD7">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1</w:t>
            </w:r>
          </w:p>
        </w:tc>
        <w:tc>
          <w:tcPr>
            <w:tcW w:w="4438" w:type="pct"/>
            <w:tcBorders>
              <w:top w:val="single" w:color="auto" w:sz="4" w:space="0"/>
              <w:left w:val="single" w:color="auto" w:sz="4" w:space="0"/>
              <w:bottom w:val="single" w:color="auto" w:sz="4" w:space="0"/>
              <w:right w:val="single" w:color="auto" w:sz="4" w:space="0"/>
            </w:tcBorders>
            <w:vAlign w:val="center"/>
          </w:tcPr>
          <w:p w14:paraId="43CB148F">
            <w:pPr>
              <w:widowControl/>
              <w:snapToGrid w:val="0"/>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lang w:val="en-US" w:eastAsia="zh-CN"/>
              </w:rPr>
              <w:t>模块构造</w:t>
            </w:r>
            <w:r>
              <w:rPr>
                <w:rFonts w:hint="eastAsia" w:ascii="微软雅黑" w:hAnsi="微软雅黑" w:eastAsia="微软雅黑" w:cs="微软雅黑"/>
                <w:color w:val="000000"/>
                <w:szCs w:val="21"/>
                <w:highlight w:val="none"/>
              </w:rPr>
              <w:t>：</w:t>
            </w:r>
            <w:r>
              <w:rPr>
                <w:rFonts w:hint="eastAsia" w:ascii="微软雅黑" w:hAnsi="微软雅黑" w:eastAsia="微软雅黑" w:cs="微软雅黑"/>
                <w:color w:val="000000"/>
                <w:szCs w:val="21"/>
                <w:highlight w:val="none"/>
                <w:lang w:val="en-US" w:eastAsia="zh-CN"/>
              </w:rPr>
              <w:t>独立</w:t>
            </w:r>
            <w:r>
              <w:rPr>
                <w:rFonts w:hint="eastAsia" w:ascii="微软雅黑" w:hAnsi="微软雅黑" w:eastAsia="微软雅黑" w:cs="微软雅黑"/>
                <w:color w:val="000000"/>
                <w:szCs w:val="21"/>
                <w:highlight w:val="none"/>
              </w:rPr>
              <w:t>于 HIS 进行模块化</w:t>
            </w:r>
            <w:r>
              <w:rPr>
                <w:rFonts w:hint="eastAsia" w:ascii="微软雅黑" w:hAnsi="微软雅黑" w:eastAsia="微软雅黑" w:cs="微软雅黑"/>
                <w:color w:val="000000"/>
                <w:szCs w:val="21"/>
                <w:highlight w:val="none"/>
                <w:lang w:val="en-US" w:eastAsia="zh-CN"/>
              </w:rPr>
              <w:t>建设</w:t>
            </w:r>
            <w:r>
              <w:rPr>
                <w:rFonts w:hint="eastAsia" w:ascii="微软雅黑" w:hAnsi="微软雅黑" w:eastAsia="微软雅黑" w:cs="微软雅黑"/>
                <w:color w:val="000000"/>
                <w:szCs w:val="21"/>
                <w:highlight w:val="none"/>
              </w:rPr>
              <w:t>。</w:t>
            </w:r>
          </w:p>
        </w:tc>
      </w:tr>
      <w:tr w14:paraId="25995F0A">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0A6A2432">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2</w:t>
            </w:r>
          </w:p>
        </w:tc>
        <w:tc>
          <w:tcPr>
            <w:tcW w:w="4438" w:type="pct"/>
            <w:tcBorders>
              <w:top w:val="single" w:color="auto" w:sz="4" w:space="0"/>
              <w:left w:val="single" w:color="auto" w:sz="4" w:space="0"/>
              <w:bottom w:val="single" w:color="auto" w:sz="4" w:space="0"/>
              <w:right w:val="single" w:color="auto" w:sz="4" w:space="0"/>
            </w:tcBorders>
            <w:vAlign w:val="center"/>
          </w:tcPr>
          <w:p w14:paraId="555CA113">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基础信息维护：在 HIS 基础数据之上，添补国际医疗相关的基础信息。</w:t>
            </w:r>
          </w:p>
        </w:tc>
      </w:tr>
      <w:tr w14:paraId="5B0683EE">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56530665">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3</w:t>
            </w:r>
          </w:p>
        </w:tc>
        <w:tc>
          <w:tcPr>
            <w:tcW w:w="4438" w:type="pct"/>
            <w:tcBorders>
              <w:top w:val="single" w:color="auto" w:sz="4" w:space="0"/>
              <w:left w:val="single" w:color="auto" w:sz="4" w:space="0"/>
              <w:bottom w:val="single" w:color="auto" w:sz="4" w:space="0"/>
              <w:right w:val="single" w:color="auto" w:sz="4" w:space="0"/>
            </w:tcBorders>
            <w:vAlign w:val="center"/>
          </w:tcPr>
          <w:p w14:paraId="19D51FB5">
            <w:pPr>
              <w:widowControl/>
              <w:snapToGrid w:val="0"/>
              <w:rPr>
                <w:rFonts w:hint="eastAsia" w:ascii="微软雅黑" w:hAnsi="微软雅黑" w:eastAsia="微软雅黑" w:cs="微软雅黑"/>
                <w:color w:val="000000"/>
                <w:szCs w:val="21"/>
                <w:highlight w:val="none"/>
                <w:lang w:eastAsia="zh-CN"/>
              </w:rPr>
            </w:pPr>
            <w:r>
              <w:rPr>
                <w:rFonts w:hint="eastAsia" w:ascii="微软雅黑" w:hAnsi="微软雅黑" w:eastAsia="微软雅黑" w:cs="微软雅黑"/>
                <w:color w:val="000000"/>
                <w:szCs w:val="21"/>
                <w:highlight w:val="none"/>
              </w:rPr>
              <w:t>专科服务包管理</w:t>
            </w:r>
            <w:r>
              <w:rPr>
                <w:rFonts w:hint="eastAsia" w:ascii="微软雅黑" w:hAnsi="微软雅黑" w:eastAsia="微软雅黑" w:cs="微软雅黑"/>
                <w:color w:val="000000"/>
                <w:szCs w:val="21"/>
                <w:highlight w:val="none"/>
                <w:lang w:eastAsia="zh-CN"/>
              </w:rPr>
              <w:t>：以专属页面维护</w:t>
            </w:r>
            <w:r>
              <w:rPr>
                <w:rFonts w:hint="eastAsia" w:ascii="微软雅黑" w:hAnsi="微软雅黑" w:eastAsia="微软雅黑" w:cs="微软雅黑"/>
                <w:color w:val="000000"/>
                <w:szCs w:val="21"/>
                <w:highlight w:val="none"/>
                <w:lang w:val="en-US" w:eastAsia="zh-CN"/>
              </w:rPr>
              <w:t>专科项目</w:t>
            </w:r>
            <w:r>
              <w:rPr>
                <w:rFonts w:hint="eastAsia" w:ascii="微软雅黑" w:hAnsi="微软雅黑" w:eastAsia="微软雅黑" w:cs="微软雅黑"/>
                <w:color w:val="000000"/>
                <w:szCs w:val="21"/>
                <w:highlight w:val="none"/>
                <w:lang w:eastAsia="zh-CN"/>
              </w:rPr>
              <w:t>打包收费、模板配置、消耗项标记。</w:t>
            </w:r>
          </w:p>
        </w:tc>
      </w:tr>
      <w:tr w14:paraId="3B96EE8B">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3AC29E4B">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4</w:t>
            </w:r>
          </w:p>
        </w:tc>
        <w:tc>
          <w:tcPr>
            <w:tcW w:w="4438" w:type="pct"/>
            <w:tcBorders>
              <w:top w:val="single" w:color="auto" w:sz="4" w:space="0"/>
              <w:left w:val="single" w:color="auto" w:sz="4" w:space="0"/>
              <w:bottom w:val="single" w:color="auto" w:sz="4" w:space="0"/>
              <w:right w:val="single" w:color="auto" w:sz="4" w:space="0"/>
            </w:tcBorders>
            <w:vAlign w:val="center"/>
          </w:tcPr>
          <w:p w14:paraId="03382397">
            <w:pPr>
              <w:widowControl/>
              <w:snapToGrid w:val="0"/>
              <w:rPr>
                <w:rFonts w:hint="eastAsia" w:ascii="微软雅黑" w:hAnsi="微软雅黑" w:eastAsia="微软雅黑" w:cs="微软雅黑"/>
                <w:color w:val="000000"/>
                <w:szCs w:val="21"/>
                <w:highlight w:val="none"/>
                <w:lang w:eastAsia="zh-CN"/>
              </w:rPr>
            </w:pPr>
            <w:r>
              <w:rPr>
                <w:rFonts w:hint="eastAsia" w:ascii="微软雅黑" w:hAnsi="微软雅黑" w:eastAsia="微软雅黑" w:cs="微软雅黑"/>
                <w:color w:val="000000"/>
                <w:szCs w:val="21"/>
                <w:highlight w:val="none"/>
              </w:rPr>
              <w:t>订单与缴费记录管理</w:t>
            </w:r>
            <w:r>
              <w:rPr>
                <w:rFonts w:hint="eastAsia" w:ascii="微软雅黑" w:hAnsi="微软雅黑" w:eastAsia="微软雅黑" w:cs="微软雅黑"/>
                <w:color w:val="000000"/>
                <w:szCs w:val="21"/>
                <w:highlight w:val="none"/>
                <w:lang w:eastAsia="zh-CN"/>
              </w:rPr>
              <w:t>：统一管理各类订单、缴费、待缴、退费与核销记录。</w:t>
            </w:r>
          </w:p>
        </w:tc>
      </w:tr>
      <w:tr w14:paraId="0198BB92">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60EF8874">
            <w:pPr>
              <w:widowControl/>
              <w:snapToGrid w:val="0"/>
              <w:jc w:val="center"/>
              <w:rPr>
                <w:rFonts w:hint="default" w:ascii="微软雅黑" w:hAnsi="微软雅黑" w:eastAsia="微软雅黑" w:cs="微软雅黑"/>
                <w:color w:val="000000"/>
                <w:szCs w:val="21"/>
                <w:highlight w:val="none"/>
                <w:lang w:val="en-US" w:eastAsia="zh-CN"/>
              </w:rPr>
            </w:pPr>
            <w:bookmarkStart w:id="15" w:name="_Toc23032"/>
            <w:r>
              <w:rPr>
                <w:rFonts w:hint="eastAsia" w:ascii="微软雅黑" w:hAnsi="微软雅黑" w:eastAsia="微软雅黑" w:cs="微软雅黑"/>
                <w:color w:val="000000"/>
                <w:szCs w:val="21"/>
                <w:highlight w:val="none"/>
                <w:lang w:val="en-US" w:eastAsia="zh-CN"/>
              </w:rPr>
              <w:t>5</w:t>
            </w:r>
          </w:p>
        </w:tc>
        <w:tc>
          <w:tcPr>
            <w:tcW w:w="4438" w:type="pct"/>
            <w:tcBorders>
              <w:top w:val="single" w:color="auto" w:sz="4" w:space="0"/>
              <w:left w:val="single" w:color="auto" w:sz="4" w:space="0"/>
              <w:bottom w:val="single" w:color="auto" w:sz="4" w:space="0"/>
              <w:right w:val="single" w:color="auto" w:sz="4" w:space="0"/>
            </w:tcBorders>
            <w:vAlign w:val="center"/>
          </w:tcPr>
          <w:p w14:paraId="496AF783">
            <w:pPr>
              <w:widowControl/>
              <w:snapToGrid w:val="0"/>
              <w:rPr>
                <w:rFonts w:hint="eastAsia"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支付管理后台：统一收口银行、第三方支付、跨境支付等渠道，并建立退费接口。</w:t>
            </w:r>
          </w:p>
        </w:tc>
      </w:tr>
      <w:tr w14:paraId="546AA58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5B9AF650">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6</w:t>
            </w:r>
          </w:p>
        </w:tc>
        <w:tc>
          <w:tcPr>
            <w:tcW w:w="4438" w:type="pct"/>
            <w:tcBorders>
              <w:top w:val="single" w:color="auto" w:sz="4" w:space="0"/>
              <w:left w:val="single" w:color="auto" w:sz="4" w:space="0"/>
              <w:bottom w:val="single" w:color="auto" w:sz="4" w:space="0"/>
              <w:right w:val="single" w:color="auto" w:sz="4" w:space="0"/>
            </w:tcBorders>
            <w:vAlign w:val="center"/>
          </w:tcPr>
          <w:p w14:paraId="1299368C">
            <w:pPr>
              <w:widowControl/>
              <w:snapToGrid w:val="0"/>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rPr>
              <w:t>发票与凭证</w:t>
            </w:r>
            <w:r>
              <w:rPr>
                <w:rFonts w:hint="eastAsia" w:ascii="微软雅黑" w:hAnsi="微软雅黑" w:eastAsia="微软雅黑" w:cs="微软雅黑"/>
                <w:color w:val="000000"/>
                <w:szCs w:val="21"/>
                <w:highlight w:val="none"/>
                <w:lang w:val="en-US" w:eastAsia="zh-CN"/>
              </w:rPr>
              <w:t>管理：覆盖开票、下载、推送、退票、冲红、重开全流程。</w:t>
            </w:r>
          </w:p>
        </w:tc>
      </w:tr>
      <w:tr w14:paraId="72BBC6F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20A84707">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7</w:t>
            </w:r>
          </w:p>
        </w:tc>
        <w:tc>
          <w:tcPr>
            <w:tcW w:w="4438" w:type="pct"/>
            <w:tcBorders>
              <w:top w:val="single" w:color="auto" w:sz="4" w:space="0"/>
              <w:left w:val="single" w:color="auto" w:sz="4" w:space="0"/>
              <w:bottom w:val="single" w:color="auto" w:sz="4" w:space="0"/>
              <w:right w:val="single" w:color="auto" w:sz="4" w:space="0"/>
            </w:tcBorders>
            <w:vAlign w:val="center"/>
          </w:tcPr>
          <w:p w14:paraId="01351C73">
            <w:pPr>
              <w:widowControl/>
              <w:snapToGrid w:val="0"/>
              <w:rPr>
                <w:rFonts w:hint="eastAsia"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收费后对接：缴费成功后自动对接发药窗、检查、治疗、手术、耗材与住院医嘱执行。</w:t>
            </w:r>
          </w:p>
        </w:tc>
      </w:tr>
      <w:tr w14:paraId="47BE272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612DB065">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8</w:t>
            </w:r>
          </w:p>
        </w:tc>
        <w:tc>
          <w:tcPr>
            <w:tcW w:w="4438" w:type="pct"/>
            <w:tcBorders>
              <w:top w:val="single" w:color="auto" w:sz="4" w:space="0"/>
              <w:left w:val="single" w:color="auto" w:sz="4" w:space="0"/>
              <w:bottom w:val="single" w:color="auto" w:sz="4" w:space="0"/>
              <w:right w:val="single" w:color="auto" w:sz="4" w:space="0"/>
            </w:tcBorders>
            <w:vAlign w:val="center"/>
          </w:tcPr>
          <w:p w14:paraId="31793F3F">
            <w:pPr>
              <w:widowControl/>
              <w:snapToGrid w:val="0"/>
              <w:rPr>
                <w:rFonts w:hint="eastAsia"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消息推送与安全风控：以消息推送保障服务触达，以安全风控保障合规与资金安全。</w:t>
            </w:r>
          </w:p>
        </w:tc>
      </w:tr>
    </w:tbl>
    <w:p w14:paraId="64FD69B5">
      <w:pPr>
        <w:pStyle w:val="73"/>
        <w:numPr>
          <w:ilvl w:val="1"/>
          <w:numId w:val="5"/>
        </w:numPr>
        <w:ind w:left="1250" w:leftChars="0" w:hanging="967" w:firstLineChars="0"/>
        <w:outlineLvl w:val="2"/>
        <w:rPr>
          <w:rFonts w:hint="default"/>
          <w:highlight w:val="none"/>
        </w:rPr>
      </w:pPr>
      <w:r>
        <w:rPr>
          <w:rFonts w:hint="eastAsia"/>
          <w:highlight w:val="none"/>
          <w:lang w:val="en-US" w:eastAsia="zh-CN"/>
        </w:rPr>
        <w:t>模块构造</w:t>
      </w:r>
      <w:bookmarkEnd w:id="15"/>
    </w:p>
    <w:p w14:paraId="2B084040">
      <w:pPr>
        <w:pStyle w:val="72"/>
        <w:bidi w:val="0"/>
        <w:rPr>
          <w:rFonts w:hint="default"/>
          <w:highlight w:val="none"/>
          <w:lang w:val="en-US" w:eastAsia="zh-CN"/>
        </w:rPr>
      </w:pPr>
      <w:r>
        <w:rPr>
          <w:rFonts w:hint="eastAsia"/>
          <w:highlight w:val="none"/>
          <w:lang w:val="en-US" w:eastAsia="zh-CN"/>
        </w:rPr>
        <w:t>模块形态：该模块独立于 HIS 可执行程序，由 HIS 主界面菜单或功能入口跳转进入本模块。支持</w:t>
      </w:r>
      <w:r>
        <w:rPr>
          <w:rFonts w:hint="default"/>
          <w:highlight w:val="none"/>
          <w:lang w:val="en-US" w:eastAsia="zh-CN"/>
        </w:rPr>
        <w:t>单点登录继承</w:t>
      </w:r>
      <w:r>
        <w:rPr>
          <w:rFonts w:hint="eastAsia"/>
          <w:highlight w:val="none"/>
          <w:lang w:val="en-US" w:eastAsia="zh-CN"/>
        </w:rPr>
        <w:t>登录信息，操作留痕回传HIS系统。继承 HIS 单点登录状态，会话超时、强制下线等由 HIS 统一控制。</w:t>
      </w:r>
    </w:p>
    <w:p w14:paraId="1FEC065F">
      <w:pPr>
        <w:pStyle w:val="72"/>
        <w:bidi w:val="0"/>
        <w:rPr>
          <w:rFonts w:hint="default"/>
          <w:highlight w:val="none"/>
          <w:lang w:val="en-US" w:eastAsia="zh-CN"/>
        </w:rPr>
      </w:pPr>
      <w:r>
        <w:rPr>
          <w:rFonts w:hint="eastAsia"/>
          <w:highlight w:val="none"/>
          <w:lang w:val="en-US" w:eastAsia="zh-CN"/>
        </w:rPr>
        <w:t>模块构造原则：基于HIS的收费项目调用收费接口进行收费，回传结算，国际收费项目分单在本模块独立收费结算。支持专科专项包，支持收费规则自定义。</w:t>
      </w:r>
    </w:p>
    <w:p w14:paraId="0F30D8F0">
      <w:pPr>
        <w:pStyle w:val="72"/>
        <w:bidi w:val="0"/>
        <w:rPr>
          <w:rFonts w:hint="default"/>
          <w:highlight w:val="none"/>
          <w:lang w:val="en-US" w:eastAsia="zh-CN"/>
        </w:rPr>
      </w:pPr>
      <w:r>
        <w:rPr>
          <w:rFonts w:hint="eastAsia"/>
          <w:highlight w:val="none"/>
          <w:lang w:val="en-US" w:eastAsia="zh-CN"/>
        </w:rPr>
        <w:t>数据同步：该模块需从HIS同步价表维护的基本信息，包含医疗服务收费项目信息、药品信息、耗材项目信息等。</w:t>
      </w:r>
    </w:p>
    <w:p w14:paraId="52820BCE">
      <w:pPr>
        <w:pStyle w:val="72"/>
        <w:bidi w:val="0"/>
        <w:rPr>
          <w:rFonts w:hint="default"/>
          <w:highlight w:val="none"/>
          <w:lang w:val="en-US" w:eastAsia="zh-CN"/>
        </w:rPr>
      </w:pPr>
      <w:r>
        <w:rPr>
          <w:rFonts w:hint="eastAsia"/>
          <w:highlight w:val="none"/>
          <w:lang w:val="en-US" w:eastAsia="zh-CN"/>
        </w:rPr>
        <w:t>鉴权同步：菜单权限、按钮权限、数据权限、操作权限全部按 HIS 既有权限体系执行。</w:t>
      </w:r>
    </w:p>
    <w:p w14:paraId="335836AD">
      <w:pPr>
        <w:pStyle w:val="73"/>
        <w:bidi w:val="0"/>
        <w:rPr>
          <w:rFonts w:hint="default"/>
          <w:highlight w:val="none"/>
        </w:rPr>
      </w:pPr>
      <w:r>
        <w:rPr>
          <w:rFonts w:hint="eastAsia"/>
          <w:highlight w:val="none"/>
          <w:lang w:val="en-US" w:eastAsia="zh-CN"/>
        </w:rPr>
        <w:t>基础信息维护</w:t>
      </w:r>
    </w:p>
    <w:p w14:paraId="435C1EE8">
      <w:pPr>
        <w:pStyle w:val="72"/>
        <w:bidi w:val="0"/>
        <w:rPr>
          <w:rFonts w:hint="default"/>
          <w:highlight w:val="none"/>
        </w:rPr>
      </w:pPr>
      <w:r>
        <w:rPr>
          <w:rFonts w:hint="eastAsia"/>
          <w:highlight w:val="none"/>
          <w:lang w:val="en-US" w:eastAsia="zh-CN"/>
        </w:rPr>
        <w:t>基础项目信息维护：从HIS同步相应数据并展示，收费项目基础信息模块不可变动。</w:t>
      </w:r>
    </w:p>
    <w:p w14:paraId="7250A988">
      <w:pPr>
        <w:pStyle w:val="72"/>
        <w:bidi w:val="0"/>
        <w:rPr>
          <w:rFonts w:hint="default"/>
          <w:highlight w:val="none"/>
        </w:rPr>
      </w:pPr>
      <w:r>
        <w:rPr>
          <w:rFonts w:hint="default"/>
          <w:highlight w:val="none"/>
        </w:rPr>
        <w:t>国际医疗专属字段</w:t>
      </w:r>
      <w:r>
        <w:rPr>
          <w:rFonts w:hint="eastAsia"/>
          <w:highlight w:val="none"/>
          <w:lang w:val="en-US" w:eastAsia="zh-CN"/>
        </w:rPr>
        <w:t>维护：支持</w:t>
      </w:r>
      <w:r>
        <w:rPr>
          <w:highlight w:val="none"/>
        </w:rPr>
        <w:t>多语言名称</w:t>
      </w:r>
      <w:r>
        <w:rPr>
          <w:rFonts w:hint="eastAsia"/>
          <w:highlight w:val="none"/>
          <w:lang w:eastAsia="zh-CN"/>
        </w:rPr>
        <w:t>、</w:t>
      </w:r>
      <w:r>
        <w:rPr>
          <w:highlight w:val="none"/>
        </w:rPr>
        <w:t>国际通用名与商品名</w:t>
      </w:r>
      <w:r>
        <w:rPr>
          <w:rFonts w:hint="eastAsia"/>
          <w:highlight w:val="none"/>
          <w:lang w:eastAsia="zh-CN"/>
        </w:rPr>
        <w:t>、</w:t>
      </w:r>
      <w:r>
        <w:rPr>
          <w:highlight w:val="none"/>
        </w:rPr>
        <w:t>原研/仿制标识</w:t>
      </w:r>
      <w:r>
        <w:rPr>
          <w:rFonts w:hint="eastAsia"/>
          <w:highlight w:val="none"/>
          <w:lang w:eastAsia="zh-CN"/>
        </w:rPr>
        <w:t>、</w:t>
      </w:r>
      <w:r>
        <w:rPr>
          <w:highlight w:val="none"/>
        </w:rPr>
        <w:t>产地与注册信息</w:t>
      </w:r>
      <w:r>
        <w:rPr>
          <w:rFonts w:hint="eastAsia"/>
          <w:highlight w:val="none"/>
          <w:lang w:eastAsia="zh-CN"/>
        </w:rPr>
        <w:t>、</w:t>
      </w:r>
      <w:r>
        <w:rPr>
          <w:highlight w:val="none"/>
        </w:rPr>
        <w:t>国际诊疗价格</w:t>
      </w:r>
      <w:r>
        <w:rPr>
          <w:rFonts w:hint="eastAsia"/>
          <w:highlight w:val="none"/>
          <w:lang w:eastAsia="zh-CN"/>
        </w:rPr>
        <w:t>、</w:t>
      </w:r>
      <w:r>
        <w:rPr>
          <w:highlight w:val="none"/>
        </w:rPr>
        <w:t>多币种价格</w:t>
      </w:r>
      <w:r>
        <w:rPr>
          <w:rFonts w:hint="eastAsia"/>
          <w:highlight w:val="none"/>
          <w:lang w:eastAsia="zh-CN"/>
        </w:rPr>
        <w:t>、</w:t>
      </w:r>
      <w:r>
        <w:rPr>
          <w:highlight w:val="none"/>
        </w:rPr>
        <w:t>公示价格</w:t>
      </w:r>
      <w:r>
        <w:rPr>
          <w:rFonts w:hint="eastAsia"/>
          <w:highlight w:val="none"/>
          <w:lang w:val="en-US" w:eastAsia="zh-CN"/>
        </w:rPr>
        <w:t>等专属字段的添补维护。支持</w:t>
      </w:r>
      <w:r>
        <w:rPr>
          <w:highlight w:val="none"/>
        </w:rPr>
        <w:t>跨境可及性</w:t>
      </w:r>
      <w:r>
        <w:rPr>
          <w:rFonts w:hint="eastAsia"/>
          <w:highlight w:val="none"/>
          <w:lang w:val="en-US" w:eastAsia="zh-CN"/>
        </w:rPr>
        <w:t>字段，</w:t>
      </w:r>
      <w:r>
        <w:rPr>
          <w:highlight w:val="none"/>
        </w:rPr>
        <w:t>标识该</w:t>
      </w:r>
      <w:r>
        <w:rPr>
          <w:rFonts w:hint="eastAsia"/>
          <w:highlight w:val="none"/>
          <w:lang w:val="en-US" w:eastAsia="zh-CN"/>
        </w:rPr>
        <w:t>项目产品</w:t>
      </w:r>
      <w:r>
        <w:rPr>
          <w:highlight w:val="none"/>
        </w:rPr>
        <w:t>是否可跨境、是否需境外处方、是否受出口管制。</w:t>
      </w:r>
    </w:p>
    <w:p w14:paraId="5B4B51BC">
      <w:pPr>
        <w:pStyle w:val="72"/>
        <w:bidi w:val="0"/>
        <w:rPr>
          <w:rFonts w:hint="default"/>
          <w:highlight w:val="none"/>
        </w:rPr>
      </w:pPr>
      <w:r>
        <w:rPr>
          <w:rFonts w:hint="eastAsia"/>
          <w:highlight w:val="none"/>
        </w:rPr>
        <w:t>特殊渠道药品/耗材管理</w:t>
      </w:r>
      <w:r>
        <w:rPr>
          <w:rFonts w:hint="eastAsia"/>
          <w:highlight w:val="none"/>
          <w:lang w:eastAsia="zh-CN"/>
        </w:rPr>
        <w:t>：</w:t>
      </w:r>
      <w:r>
        <w:rPr>
          <w:rFonts w:hint="eastAsia"/>
          <w:highlight w:val="none"/>
          <w:lang w:val="en-US" w:eastAsia="zh-CN"/>
        </w:rPr>
        <w:t>允许项目新建，比如</w:t>
      </w:r>
      <w:r>
        <w:rPr>
          <w:highlight w:val="none"/>
        </w:rPr>
        <w:t>港澳药械通等特殊渠道药品/耗材，院内原始维护页无相关信息，需在国际医疗中心信息平台内新建独立管理模块。</w:t>
      </w:r>
      <w:r>
        <w:rPr>
          <w:rFonts w:hint="eastAsia"/>
          <w:highlight w:val="none"/>
          <w:lang w:val="en-US" w:eastAsia="zh-CN"/>
        </w:rPr>
        <w:t>需</w:t>
      </w:r>
      <w:r>
        <w:rPr>
          <w:rFonts w:hint="eastAsia"/>
          <w:highlight w:val="none"/>
        </w:rPr>
        <w:t>与普通药品/耗材分离</w:t>
      </w:r>
      <w:r>
        <w:rPr>
          <w:rFonts w:hint="eastAsia"/>
          <w:highlight w:val="none"/>
          <w:lang w:eastAsia="zh-CN"/>
        </w:rPr>
        <w:t>，</w:t>
      </w:r>
      <w:r>
        <w:rPr>
          <w:rFonts w:hint="eastAsia"/>
          <w:highlight w:val="none"/>
        </w:rPr>
        <w:t>普通药品/耗材同步自 HIS，特殊渠道药品/耗材在本模块独立维护，两者数据隔离、流程分离。</w:t>
      </w:r>
      <w:r>
        <w:rPr>
          <w:rFonts w:hint="eastAsia"/>
          <w:highlight w:val="none"/>
          <w:lang w:val="en-US" w:eastAsia="zh-CN"/>
        </w:rPr>
        <w:t>支出</w:t>
      </w:r>
      <w:r>
        <w:rPr>
          <w:highlight w:val="none"/>
        </w:rPr>
        <w:t>基础信息新建</w:t>
      </w:r>
      <w:r>
        <w:rPr>
          <w:rFonts w:hint="eastAsia"/>
          <w:highlight w:val="none"/>
          <w:lang w:eastAsia="zh-CN"/>
        </w:rPr>
        <w:t>，</w:t>
      </w:r>
      <w:r>
        <w:rPr>
          <w:rFonts w:hint="eastAsia"/>
          <w:highlight w:val="none"/>
          <w:lang w:val="en-US" w:eastAsia="zh-CN"/>
        </w:rPr>
        <w:t>项目分类、</w:t>
      </w:r>
      <w:r>
        <w:rPr>
          <w:highlight w:val="none"/>
        </w:rPr>
        <w:t>知情同意</w:t>
      </w:r>
      <w:r>
        <w:rPr>
          <w:rFonts w:hint="eastAsia"/>
          <w:highlight w:val="none"/>
          <w:lang w:val="en-US" w:eastAsia="zh-CN"/>
        </w:rPr>
        <w:t>等。支持</w:t>
      </w:r>
      <w:r>
        <w:rPr>
          <w:highlight w:val="none"/>
        </w:rPr>
        <w:t>渠道类型配置</w:t>
      </w:r>
      <w:r>
        <w:rPr>
          <w:rFonts w:hint="eastAsia"/>
          <w:highlight w:val="none"/>
          <w:lang w:eastAsia="zh-CN"/>
        </w:rPr>
        <w:t>、</w:t>
      </w:r>
      <w:r>
        <w:rPr>
          <w:highlight w:val="none"/>
        </w:rPr>
        <w:t>渠道政策维护</w:t>
      </w:r>
      <w:r>
        <w:rPr>
          <w:rFonts w:hint="eastAsia"/>
          <w:highlight w:val="none"/>
          <w:lang w:eastAsia="zh-CN"/>
        </w:rPr>
        <w:t>、</w:t>
      </w:r>
      <w:r>
        <w:rPr>
          <w:highlight w:val="none"/>
        </w:rPr>
        <w:t>渠道与</w:t>
      </w:r>
      <w:r>
        <w:rPr>
          <w:rFonts w:hint="eastAsia"/>
          <w:highlight w:val="none"/>
          <w:lang w:val="en-US" w:eastAsia="zh-CN"/>
        </w:rPr>
        <w:t>科室权限</w:t>
      </w:r>
      <w:r>
        <w:rPr>
          <w:highlight w:val="none"/>
        </w:rPr>
        <w:t>关联</w:t>
      </w:r>
      <w:r>
        <w:rPr>
          <w:rFonts w:hint="eastAsia"/>
          <w:highlight w:val="none"/>
          <w:lang w:eastAsia="zh-CN"/>
        </w:rPr>
        <w:t>、</w:t>
      </w:r>
      <w:r>
        <w:rPr>
          <w:highlight w:val="none"/>
        </w:rPr>
        <w:t>渠道状态管理</w:t>
      </w:r>
      <w:r>
        <w:rPr>
          <w:rFonts w:hint="eastAsia"/>
          <w:highlight w:val="none"/>
          <w:lang w:val="en-US" w:eastAsia="zh-CN"/>
        </w:rPr>
        <w:t>等。</w:t>
      </w:r>
    </w:p>
    <w:p w14:paraId="73774717">
      <w:pPr>
        <w:pStyle w:val="72"/>
        <w:bidi w:val="0"/>
        <w:rPr>
          <w:rFonts w:hint="default"/>
          <w:highlight w:val="none"/>
        </w:rPr>
      </w:pPr>
      <w:r>
        <w:rPr>
          <w:highlight w:val="none"/>
        </w:rPr>
        <w:t>商保目录</w:t>
      </w:r>
      <w:r>
        <w:rPr>
          <w:rFonts w:hint="eastAsia"/>
          <w:highlight w:val="none"/>
          <w:lang w:eastAsia="zh-CN"/>
        </w:rPr>
        <w:t>：</w:t>
      </w:r>
      <w:r>
        <w:rPr>
          <w:rFonts w:hint="eastAsia"/>
          <w:highlight w:val="none"/>
          <w:lang w:val="en-US" w:eastAsia="zh-CN"/>
        </w:rPr>
        <w:t>形成商保目录，</w:t>
      </w:r>
      <w:r>
        <w:rPr>
          <w:highlight w:val="none"/>
        </w:rPr>
        <w:t>标识该</w:t>
      </w:r>
      <w:r>
        <w:rPr>
          <w:rFonts w:hint="eastAsia"/>
          <w:highlight w:val="none"/>
          <w:lang w:val="en-US" w:eastAsia="zh-CN"/>
        </w:rPr>
        <w:t>项目</w:t>
      </w:r>
      <w:r>
        <w:rPr>
          <w:highlight w:val="none"/>
        </w:rPr>
        <w:t>是否在主要</w:t>
      </w:r>
      <w:r>
        <w:rPr>
          <w:rFonts w:hint="eastAsia"/>
          <w:highlight w:val="none"/>
          <w:lang w:val="en-US" w:eastAsia="zh-CN"/>
        </w:rPr>
        <w:t>对接的</w:t>
      </w:r>
      <w:r>
        <w:rPr>
          <w:highlight w:val="none"/>
        </w:rPr>
        <w:t>商保、医保目录内。</w:t>
      </w:r>
      <w:r>
        <w:rPr>
          <w:rFonts w:hint="eastAsia"/>
          <w:highlight w:val="none"/>
          <w:lang w:val="en-US" w:eastAsia="zh-CN"/>
        </w:rPr>
        <w:t>确认相应药品的收费模板形式等。</w:t>
      </w:r>
    </w:p>
    <w:p w14:paraId="540AEC4E">
      <w:pPr>
        <w:pStyle w:val="72"/>
        <w:bidi w:val="0"/>
        <w:rPr>
          <w:rFonts w:hint="default"/>
          <w:highlight w:val="none"/>
        </w:rPr>
      </w:pPr>
      <w:r>
        <w:rPr>
          <w:rFonts w:hint="eastAsia"/>
          <w:highlight w:val="none"/>
          <w:lang w:val="en-US" w:eastAsia="zh-CN"/>
        </w:rPr>
        <w:t>价格管理：建设国际医疗价表维护页面，支持医疗服务收费项目、药品、耗材、专科服务包的价格管理，医疗服务、药品、耗材价格中英文同步公示，适配大屏展示，符合医疗价格公示规范。</w:t>
      </w:r>
    </w:p>
    <w:p w14:paraId="5BB6BD01">
      <w:pPr>
        <w:pStyle w:val="73"/>
        <w:bidi w:val="0"/>
        <w:rPr>
          <w:rFonts w:hint="default"/>
          <w:highlight w:val="none"/>
        </w:rPr>
      </w:pPr>
      <w:r>
        <w:rPr>
          <w:rFonts w:hint="default"/>
          <w:highlight w:val="none"/>
        </w:rPr>
        <w:t>专科服务包管理</w:t>
      </w:r>
    </w:p>
    <w:p w14:paraId="4E3FD614">
      <w:pPr>
        <w:pStyle w:val="72"/>
        <w:bidi w:val="0"/>
        <w:rPr>
          <w:rFonts w:hint="default"/>
          <w:highlight w:val="none"/>
        </w:rPr>
      </w:pPr>
      <w:r>
        <w:rPr>
          <w:rFonts w:hint="default"/>
          <w:highlight w:val="none"/>
        </w:rPr>
        <w:t>专科服务包</w:t>
      </w:r>
      <w:r>
        <w:rPr>
          <w:rFonts w:hint="eastAsia"/>
          <w:highlight w:val="none"/>
          <w:lang w:val="en-US" w:eastAsia="zh-CN"/>
        </w:rPr>
        <w:t>维护页：在收费管理模块内设专科服务包专属维护页面，独立于普通收费项目维护。支持国际医疗服务打包收费，一个服务包对应多个收费项目、药品、耗材、治疗、检查等。服务包执行时，按实际消耗的药品、耗材数量扣减库存。</w:t>
      </w:r>
    </w:p>
    <w:p w14:paraId="713A48A3">
      <w:pPr>
        <w:pStyle w:val="72"/>
        <w:bidi w:val="0"/>
        <w:rPr>
          <w:rFonts w:hint="eastAsia"/>
          <w:highlight w:val="none"/>
          <w:lang w:eastAsia="zh-CN"/>
        </w:rPr>
      </w:pPr>
      <w:r>
        <w:rPr>
          <w:rFonts w:hint="default"/>
          <w:highlight w:val="none"/>
        </w:rPr>
        <w:t>模板化配置</w:t>
      </w:r>
      <w:r>
        <w:rPr>
          <w:rFonts w:hint="eastAsia"/>
          <w:highlight w:val="none"/>
          <w:lang w:eastAsia="zh-CN"/>
        </w:rPr>
        <w:t>：提供服务包模板，支持按专科、病种、服务类型快速创建服务包。支持不同药品、耗材的计价方式与计量单位，按规则自动折算与扣减。</w:t>
      </w:r>
      <w:r>
        <w:rPr>
          <w:highlight w:val="none"/>
        </w:rPr>
        <w:t>支持模板复制、另存为、批量套用。记录模板版本、修订历史、生效时间。支持多套餐组合、可选项目、必选项目。支持独立定价、优惠定价、多币种定价。</w:t>
      </w:r>
    </w:p>
    <w:p w14:paraId="21042752">
      <w:pPr>
        <w:pStyle w:val="73"/>
        <w:bidi w:val="0"/>
        <w:ind w:left="1250" w:leftChars="0" w:hanging="967" w:firstLineChars="0"/>
        <w:rPr>
          <w:rFonts w:hint="default"/>
          <w:highlight w:val="none"/>
        </w:rPr>
      </w:pPr>
      <w:r>
        <w:rPr>
          <w:rFonts w:hint="eastAsia"/>
          <w:highlight w:val="none"/>
          <w:lang w:val="en-US" w:eastAsia="zh-CN"/>
        </w:rPr>
        <w:t>订单与缴费记录管理</w:t>
      </w:r>
    </w:p>
    <w:p w14:paraId="03CD10D0">
      <w:pPr>
        <w:pStyle w:val="72"/>
        <w:bidi w:val="0"/>
        <w:rPr>
          <w:rFonts w:hint="default"/>
          <w:highlight w:val="none"/>
        </w:rPr>
      </w:pPr>
      <w:r>
        <w:rPr>
          <w:rFonts w:hint="eastAsia"/>
          <w:highlight w:val="none"/>
          <w:lang w:val="en-US" w:eastAsia="zh-CN"/>
        </w:rPr>
        <w:t>允许查询各类代缴费</w:t>
      </w:r>
      <w:r>
        <w:rPr>
          <w:highlight w:val="none"/>
        </w:rPr>
        <w:t>订单，支持一定规则内取消，</w:t>
      </w:r>
      <w:r>
        <w:rPr>
          <w:rFonts w:hint="eastAsia"/>
          <w:highlight w:val="none"/>
          <w:lang w:val="en-US" w:eastAsia="zh-CN"/>
        </w:rPr>
        <w:t>需要</w:t>
      </w:r>
      <w:r>
        <w:rPr>
          <w:highlight w:val="none"/>
        </w:rPr>
        <w:t>关联病历、处方。</w:t>
      </w:r>
      <w:r>
        <w:rPr>
          <w:rFonts w:hint="eastAsia"/>
          <w:highlight w:val="none"/>
          <w:lang w:val="en-US" w:eastAsia="zh-CN"/>
        </w:rPr>
        <w:t>各类收费</w:t>
      </w:r>
      <w:r>
        <w:rPr>
          <w:highlight w:val="none"/>
        </w:rPr>
        <w:t>订单</w:t>
      </w:r>
      <w:r>
        <w:rPr>
          <w:rFonts w:hint="eastAsia"/>
          <w:highlight w:val="none"/>
          <w:lang w:val="en-US" w:eastAsia="zh-CN"/>
        </w:rPr>
        <w:t>数据同步HIS系统。支持</w:t>
      </w:r>
      <w:r>
        <w:rPr>
          <w:highlight w:val="none"/>
        </w:rPr>
        <w:t>药品、处方及商品</w:t>
      </w:r>
      <w:r>
        <w:rPr>
          <w:rFonts w:hint="eastAsia"/>
          <w:highlight w:val="none"/>
          <w:lang w:val="en-US" w:eastAsia="zh-CN"/>
        </w:rPr>
        <w:t>处方执行</w:t>
      </w:r>
      <w:r>
        <w:rPr>
          <w:highlight w:val="none"/>
        </w:rPr>
        <w:t>状态管理，支持状态筛选、关键字查询</w:t>
      </w:r>
      <w:r>
        <w:rPr>
          <w:rFonts w:hint="eastAsia"/>
          <w:highlight w:val="none"/>
          <w:lang w:val="en-US" w:eastAsia="zh-CN"/>
        </w:rPr>
        <w:t>等基础查询功能</w:t>
      </w:r>
      <w:r>
        <w:rPr>
          <w:highlight w:val="none"/>
        </w:rPr>
        <w:t>。</w:t>
      </w:r>
      <w:r>
        <w:rPr>
          <w:rFonts w:hint="eastAsia"/>
          <w:highlight w:val="none"/>
          <w:lang w:val="en-US" w:eastAsia="zh-CN"/>
        </w:rPr>
        <w:t>支持按照本院HIS系统的校对获取收费单详情方式，比如二维码等。</w:t>
      </w:r>
      <w:r>
        <w:rPr>
          <w:highlight w:val="none"/>
        </w:rPr>
        <w:t>支持</w:t>
      </w:r>
      <w:r>
        <w:rPr>
          <w:rFonts w:hint="eastAsia"/>
          <w:highlight w:val="none"/>
          <w:lang w:val="en-US" w:eastAsia="zh-CN"/>
        </w:rPr>
        <w:t>按照</w:t>
      </w:r>
      <w:r>
        <w:rPr>
          <w:highlight w:val="none"/>
        </w:rPr>
        <w:t>一定规则内取消</w:t>
      </w:r>
      <w:r>
        <w:rPr>
          <w:rFonts w:hint="eastAsia"/>
          <w:highlight w:val="none"/>
          <w:lang w:val="en-US" w:eastAsia="zh-CN"/>
        </w:rPr>
        <w:t>收费</w:t>
      </w:r>
      <w:r>
        <w:rPr>
          <w:highlight w:val="none"/>
        </w:rPr>
        <w:t>，关联点诊预约、企业客户预约。</w:t>
      </w:r>
      <w:r>
        <w:rPr>
          <w:rFonts w:hint="eastAsia"/>
          <w:highlight w:val="none"/>
          <w:lang w:val="en-US" w:eastAsia="zh-CN"/>
        </w:rPr>
        <w:t>如在HIS有相应预交，则</w:t>
      </w:r>
      <w:r>
        <w:rPr>
          <w:highlight w:val="none"/>
        </w:rPr>
        <w:t>关联住院预交金、住院费用、出院结算。</w:t>
      </w:r>
    </w:p>
    <w:p w14:paraId="03B2459E">
      <w:pPr>
        <w:pStyle w:val="72"/>
        <w:bidi w:val="0"/>
        <w:rPr>
          <w:rFonts w:hint="default"/>
          <w:highlight w:val="none"/>
        </w:rPr>
      </w:pPr>
      <w:r>
        <w:rPr>
          <w:rFonts w:hint="eastAsia"/>
          <w:highlight w:val="none"/>
          <w:lang w:val="en-US" w:eastAsia="zh-CN"/>
        </w:rPr>
        <w:t>缴费记录管理：支持</w:t>
      </w:r>
      <w:r>
        <w:rPr>
          <w:highlight w:val="none"/>
        </w:rPr>
        <w:t>按时间、项目、科室、就诊人查询历史缴费记录</w:t>
      </w:r>
      <w:r>
        <w:rPr>
          <w:rFonts w:hint="eastAsia"/>
          <w:highlight w:val="none"/>
          <w:lang w:eastAsia="zh-CN"/>
        </w:rPr>
        <w:t>，</w:t>
      </w:r>
      <w:r>
        <w:rPr>
          <w:rFonts w:hint="eastAsia"/>
          <w:highlight w:val="none"/>
          <w:lang w:val="en-US" w:eastAsia="zh-CN"/>
        </w:rPr>
        <w:t>支持</w:t>
      </w:r>
      <w:r>
        <w:rPr>
          <w:highlight w:val="none"/>
        </w:rPr>
        <w:t>查看当前待缴费用与历史待缴记录</w:t>
      </w:r>
      <w:r>
        <w:rPr>
          <w:rFonts w:hint="eastAsia"/>
          <w:highlight w:val="none"/>
          <w:lang w:eastAsia="zh-CN"/>
        </w:rPr>
        <w:t>，</w:t>
      </w:r>
      <w:r>
        <w:rPr>
          <w:rFonts w:hint="eastAsia"/>
          <w:highlight w:val="none"/>
          <w:lang w:val="en-US" w:eastAsia="zh-CN"/>
        </w:rPr>
        <w:t>支持</w:t>
      </w:r>
      <w:r>
        <w:rPr>
          <w:highlight w:val="none"/>
        </w:rPr>
        <w:t>查看退费申请与退费到账记录</w:t>
      </w:r>
      <w:r>
        <w:rPr>
          <w:rFonts w:hint="eastAsia"/>
          <w:highlight w:val="none"/>
          <w:lang w:eastAsia="zh-CN"/>
        </w:rPr>
        <w:t>，</w:t>
      </w:r>
      <w:r>
        <w:rPr>
          <w:rFonts w:hint="eastAsia"/>
          <w:highlight w:val="none"/>
          <w:lang w:val="en-US" w:eastAsia="zh-CN"/>
        </w:rPr>
        <w:t>支持</w:t>
      </w:r>
      <w:r>
        <w:rPr>
          <w:highlight w:val="none"/>
        </w:rPr>
        <w:t>查看已开具电子发票与下载记录</w:t>
      </w:r>
      <w:r>
        <w:rPr>
          <w:rFonts w:hint="eastAsia"/>
          <w:highlight w:val="none"/>
          <w:lang w:eastAsia="zh-CN"/>
        </w:rPr>
        <w:t>，</w:t>
      </w:r>
      <w:r>
        <w:rPr>
          <w:rFonts w:hint="eastAsia"/>
          <w:highlight w:val="none"/>
          <w:lang w:val="en-US" w:eastAsia="zh-CN"/>
        </w:rPr>
        <w:t>支持</w:t>
      </w:r>
      <w:r>
        <w:rPr>
          <w:highlight w:val="none"/>
        </w:rPr>
        <w:t>查看各类订单历史记录。</w:t>
      </w:r>
      <w:r>
        <w:rPr>
          <w:rFonts w:hint="eastAsia"/>
          <w:highlight w:val="none"/>
          <w:lang w:val="en-US" w:eastAsia="zh-CN"/>
        </w:rPr>
        <w:t>支持查看各类核销记录</w:t>
      </w:r>
      <w:r>
        <w:rPr>
          <w:highlight w:val="none"/>
        </w:rPr>
        <w:t>。</w:t>
      </w:r>
    </w:p>
    <w:p w14:paraId="4761221F">
      <w:pPr>
        <w:pStyle w:val="73"/>
        <w:bidi w:val="0"/>
        <w:rPr>
          <w:rFonts w:hint="default"/>
          <w:highlight w:val="none"/>
        </w:rPr>
      </w:pPr>
      <w:r>
        <w:rPr>
          <w:rFonts w:hint="default"/>
          <w:highlight w:val="none"/>
        </w:rPr>
        <w:t>支付管理</w:t>
      </w:r>
      <w:r>
        <w:rPr>
          <w:rFonts w:hint="eastAsia"/>
          <w:highlight w:val="none"/>
          <w:lang w:val="en-US" w:eastAsia="zh-CN"/>
        </w:rPr>
        <w:t>后台</w:t>
      </w:r>
    </w:p>
    <w:p w14:paraId="3E07DB06">
      <w:pPr>
        <w:pStyle w:val="72"/>
        <w:bidi w:val="0"/>
        <w:rPr>
          <w:rFonts w:hint="default"/>
          <w:highlight w:val="none"/>
        </w:rPr>
      </w:pPr>
      <w:r>
        <w:rPr>
          <w:rFonts w:hint="eastAsia"/>
          <w:highlight w:val="none"/>
          <w:lang w:val="en-US" w:eastAsia="zh-CN"/>
        </w:rPr>
        <w:t>支付模块：构建与HIS支付体系类似但独立于HIS的支付体系。提供国际支付调用接口。支持跨境支付、普通支付、多币种结算、国际信用卡、商保结算等跨境支付方式。支持对接HIS收费部分进行跨系统分账结算支付。支持代付、代付授权、分笔支付、部分支付、支付记录关联。对接支付网关、费用中心。提供风控服务、审计日志服务。</w:t>
      </w:r>
    </w:p>
    <w:p w14:paraId="237E519C">
      <w:pPr>
        <w:pStyle w:val="72"/>
        <w:bidi w:val="0"/>
        <w:rPr>
          <w:rFonts w:hint="default"/>
          <w:highlight w:val="none"/>
        </w:rPr>
      </w:pPr>
      <w:r>
        <w:rPr>
          <w:rFonts w:hint="default"/>
          <w:highlight w:val="none"/>
        </w:rPr>
        <w:t>第三方支付</w:t>
      </w:r>
      <w:r>
        <w:rPr>
          <w:rFonts w:hint="eastAsia"/>
          <w:highlight w:val="none"/>
          <w:lang w:val="en-US" w:eastAsia="zh-CN"/>
        </w:rPr>
        <w:t>网关</w:t>
      </w:r>
      <w:r>
        <w:rPr>
          <w:rFonts w:hint="default"/>
          <w:highlight w:val="none"/>
        </w:rPr>
        <w:t>对接</w:t>
      </w:r>
      <w:r>
        <w:rPr>
          <w:rFonts w:hint="eastAsia"/>
          <w:highlight w:val="none"/>
          <w:lang w:eastAsia="zh-CN"/>
        </w:rPr>
        <w:t>：所有支付请求统一经支付网关，由网关路由到不同支付渠道。</w:t>
      </w:r>
      <w:r>
        <w:rPr>
          <w:highlight w:val="none"/>
        </w:rPr>
        <w:t>接入微信支付、支付宝、银联等第三方支付机构。对接</w:t>
      </w:r>
      <w:r>
        <w:rPr>
          <w:rFonts w:hint="default"/>
          <w:highlight w:val="none"/>
        </w:rPr>
        <w:t>银行接口、第三方支付接口、跨境支付服务、收单银行接口</w:t>
      </w:r>
      <w:r>
        <w:rPr>
          <w:rFonts w:hint="eastAsia"/>
          <w:highlight w:val="none"/>
          <w:lang w:eastAsia="zh-CN"/>
        </w:rPr>
        <w:t>。</w:t>
      </w:r>
      <w:r>
        <w:rPr>
          <w:highlight w:val="none"/>
        </w:rPr>
        <w:t>接入银行、第三方支付机构、跨境支付机构、收单银行等。支付渠道可配置启用、停用、优先级、限额、适用场景。对接</w:t>
      </w:r>
      <w:r>
        <w:rPr>
          <w:rFonts w:hint="default"/>
          <w:highlight w:val="none"/>
        </w:rPr>
        <w:t>风控服务。</w:t>
      </w:r>
    </w:p>
    <w:p w14:paraId="3DE1746E">
      <w:pPr>
        <w:pStyle w:val="72"/>
        <w:bidi w:val="0"/>
        <w:rPr>
          <w:rFonts w:hint="default"/>
          <w:highlight w:val="none"/>
        </w:rPr>
      </w:pPr>
      <w:r>
        <w:rPr>
          <w:rFonts w:hint="eastAsia"/>
          <w:highlight w:val="none"/>
          <w:lang w:val="en-US" w:eastAsia="zh-CN"/>
        </w:rPr>
        <w:t>银行入账对接：</w:t>
      </w:r>
      <w:r>
        <w:rPr>
          <w:highlight w:val="none"/>
        </w:rPr>
        <w:t>对接我院财务指定的收单银行，实现跨境支付与普通支付。</w:t>
      </w:r>
      <w:r>
        <w:rPr>
          <w:rFonts w:hint="eastAsia"/>
          <w:highlight w:val="none"/>
          <w:lang w:val="en-US" w:eastAsia="zh-CN"/>
        </w:rPr>
        <w:t>支持</w:t>
      </w:r>
      <w:r>
        <w:rPr>
          <w:highlight w:val="none"/>
        </w:rPr>
        <w:t>向银行发送付款请求</w:t>
      </w:r>
      <w:r>
        <w:rPr>
          <w:rFonts w:hint="eastAsia"/>
          <w:highlight w:val="none"/>
          <w:lang w:val="en-US" w:eastAsia="zh-CN"/>
        </w:rPr>
        <w:t>及退款需求，支持</w:t>
      </w:r>
      <w:r>
        <w:rPr>
          <w:highlight w:val="none"/>
        </w:rPr>
        <w:t>向银行发送查询订单信息请求。接收银行支付结果回调，更新订单与费用状态。</w:t>
      </w:r>
    </w:p>
    <w:p w14:paraId="4A318074">
      <w:pPr>
        <w:pStyle w:val="72"/>
        <w:bidi w:val="0"/>
        <w:rPr>
          <w:rFonts w:hint="default"/>
          <w:highlight w:val="none"/>
        </w:rPr>
      </w:pPr>
      <w:r>
        <w:rPr>
          <w:rFonts w:hint="eastAsia"/>
          <w:highlight w:val="none"/>
          <w:lang w:val="en-US" w:eastAsia="zh-CN"/>
        </w:rPr>
        <w:t>结算模块：提供国际结算调用接口。以</w:t>
      </w:r>
      <w:r>
        <w:rPr>
          <w:rStyle w:val="76"/>
          <w:rFonts w:hint="eastAsia"/>
          <w:highlight w:val="none"/>
          <w:lang w:val="en-US" w:eastAsia="zh-CN"/>
        </w:rPr>
        <w:t xml:space="preserve"> HIS 医嘱信息为基础数据源，抽取医嘱项目，基本项目在HIS结算，国际项目独立结算，最后</w:t>
      </w:r>
      <w:r>
        <w:rPr>
          <w:rStyle w:val="76"/>
          <w:highlight w:val="none"/>
        </w:rPr>
        <w:t>按规则生成结算单据，作为财务结算、商保结算、医保结算、对账的依据。结算统计规则可配置，支持按科室、医生、服务项目、时间、患者类型等维度统计。</w:t>
      </w:r>
      <w:r>
        <w:rPr>
          <w:rStyle w:val="76"/>
          <w:rFonts w:hint="eastAsia"/>
          <w:highlight w:val="none"/>
        </w:rPr>
        <w:t>结算数据源</w:t>
      </w:r>
      <w:r>
        <w:rPr>
          <w:rStyle w:val="76"/>
          <w:rFonts w:hint="eastAsia"/>
          <w:highlight w:val="none"/>
          <w:lang w:val="en-US" w:eastAsia="zh-CN"/>
        </w:rPr>
        <w:t>来自</w:t>
      </w:r>
      <w:r>
        <w:rPr>
          <w:rStyle w:val="76"/>
          <w:highlight w:val="none"/>
        </w:rPr>
        <w:t>HIS 医嘱</w:t>
      </w:r>
      <w:r>
        <w:rPr>
          <w:rStyle w:val="76"/>
          <w:rFonts w:hint="eastAsia"/>
          <w:highlight w:val="none"/>
          <w:lang w:eastAsia="zh-CN"/>
        </w:rPr>
        <w:t>（</w:t>
      </w:r>
      <w:r>
        <w:rPr>
          <w:rStyle w:val="76"/>
          <w:highlight w:val="none"/>
        </w:rPr>
        <w:t>医嘱类型、项目、数量、金额、执行状态</w:t>
      </w:r>
      <w:r>
        <w:rPr>
          <w:rStyle w:val="76"/>
          <w:rFonts w:hint="eastAsia"/>
          <w:highlight w:val="none"/>
          <w:lang w:val="en-US" w:eastAsia="zh-CN"/>
        </w:rPr>
        <w:t>等</w:t>
      </w:r>
      <w:r>
        <w:rPr>
          <w:rStyle w:val="76"/>
          <w:rFonts w:hint="eastAsia"/>
          <w:highlight w:val="none"/>
          <w:lang w:eastAsia="zh-CN"/>
        </w:rPr>
        <w:t>）、</w:t>
      </w:r>
      <w:r>
        <w:rPr>
          <w:rStyle w:val="76"/>
          <w:highlight w:val="none"/>
        </w:rPr>
        <w:t>HIS 收费</w:t>
      </w:r>
      <w:r>
        <w:rPr>
          <w:rStyle w:val="76"/>
          <w:rFonts w:hint="eastAsia"/>
          <w:highlight w:val="none"/>
          <w:lang w:eastAsia="zh-CN"/>
        </w:rPr>
        <w:t>（</w:t>
      </w:r>
      <w:r>
        <w:rPr>
          <w:rStyle w:val="76"/>
          <w:highlight w:val="none"/>
        </w:rPr>
        <w:t>收费信息，含收费项目、金额、支付状态</w:t>
      </w:r>
      <w:r>
        <w:rPr>
          <w:rStyle w:val="76"/>
          <w:rFonts w:hint="eastAsia"/>
          <w:highlight w:val="none"/>
          <w:lang w:val="en-US" w:eastAsia="zh-CN"/>
        </w:rPr>
        <w:t>等</w:t>
      </w:r>
      <w:r>
        <w:rPr>
          <w:rStyle w:val="76"/>
          <w:rFonts w:hint="eastAsia"/>
          <w:highlight w:val="none"/>
          <w:lang w:eastAsia="zh-CN"/>
        </w:rPr>
        <w:t>）、</w:t>
      </w:r>
      <w:r>
        <w:rPr>
          <w:rStyle w:val="76"/>
          <w:highlight w:val="none"/>
        </w:rPr>
        <w:t>患者信息</w:t>
      </w:r>
      <w:r>
        <w:rPr>
          <w:rStyle w:val="76"/>
          <w:rFonts w:hint="eastAsia"/>
          <w:highlight w:val="none"/>
          <w:lang w:eastAsia="zh-CN"/>
        </w:rPr>
        <w:t>（</w:t>
      </w:r>
      <w:r>
        <w:rPr>
          <w:rStyle w:val="76"/>
          <w:highlight w:val="none"/>
        </w:rPr>
        <w:t>患者类型、国籍、保险类型</w:t>
      </w:r>
      <w:r>
        <w:rPr>
          <w:rStyle w:val="76"/>
          <w:rFonts w:hint="eastAsia"/>
          <w:highlight w:val="none"/>
          <w:lang w:val="en-US" w:eastAsia="zh-CN"/>
        </w:rPr>
        <w:t>等</w:t>
      </w:r>
      <w:r>
        <w:rPr>
          <w:rStyle w:val="76"/>
          <w:rFonts w:hint="eastAsia"/>
          <w:highlight w:val="none"/>
          <w:lang w:eastAsia="zh-CN"/>
        </w:rPr>
        <w:t>）。</w:t>
      </w:r>
      <w:r>
        <w:rPr>
          <w:rStyle w:val="76"/>
          <w:rFonts w:hint="eastAsia"/>
          <w:highlight w:val="none"/>
          <w:lang w:val="en-US" w:eastAsia="zh-CN"/>
        </w:rPr>
        <w:t>允许适配</w:t>
      </w:r>
      <w:r>
        <w:rPr>
          <w:rStyle w:val="76"/>
          <w:highlight w:val="none"/>
        </w:rPr>
        <w:t>国际诊疗价格、折</w:t>
      </w:r>
      <w:r>
        <w:rPr>
          <w:highlight w:val="none"/>
        </w:rPr>
        <w:t>扣、优惠规则</w:t>
      </w:r>
      <w:r>
        <w:rPr>
          <w:rFonts w:hint="eastAsia"/>
          <w:highlight w:val="none"/>
          <w:lang w:eastAsia="zh-CN"/>
        </w:rPr>
        <w:t>，</w:t>
      </w:r>
      <w:r>
        <w:rPr>
          <w:rFonts w:hint="eastAsia"/>
          <w:highlight w:val="none"/>
          <w:lang w:val="en-US" w:eastAsia="zh-CN"/>
        </w:rPr>
        <w:t>适配</w:t>
      </w:r>
      <w:r>
        <w:rPr>
          <w:highlight w:val="none"/>
        </w:rPr>
        <w:t>商保、医保结算规则。</w:t>
      </w:r>
      <w:r>
        <w:rPr>
          <w:rFonts w:hint="eastAsia"/>
          <w:highlight w:val="none"/>
        </w:rPr>
        <w:t>结算单据</w:t>
      </w:r>
      <w:r>
        <w:rPr>
          <w:highlight w:val="none"/>
        </w:rPr>
        <w:t>支持定时触发、事件触发、手动触发。</w:t>
      </w:r>
      <w:r>
        <w:rPr>
          <w:rFonts w:hint="eastAsia"/>
          <w:highlight w:val="none"/>
          <w:lang w:val="en-US" w:eastAsia="zh-CN"/>
        </w:rPr>
        <w:t>单据形式参照HIS各类收费单据，可进行多语言自由配置，</w:t>
      </w:r>
      <w:r>
        <w:rPr>
          <w:highlight w:val="none"/>
        </w:rPr>
        <w:t>支持单据修订、作废、重生成。</w:t>
      </w:r>
      <w:r>
        <w:rPr>
          <w:rFonts w:hint="eastAsia"/>
          <w:highlight w:val="none"/>
          <w:lang w:val="en-US" w:eastAsia="zh-CN"/>
        </w:rPr>
        <w:t>接口可细化分为</w:t>
      </w:r>
      <w:r>
        <w:rPr>
          <w:highlight w:val="none"/>
        </w:rPr>
        <w:t>结算单据查询接口</w:t>
      </w:r>
      <w:r>
        <w:rPr>
          <w:rFonts w:hint="eastAsia"/>
          <w:highlight w:val="none"/>
          <w:lang w:eastAsia="zh-CN"/>
        </w:rPr>
        <w:t>、</w:t>
      </w:r>
      <w:r>
        <w:rPr>
          <w:highlight w:val="none"/>
        </w:rPr>
        <w:t>结算单据详情接口</w:t>
      </w:r>
      <w:r>
        <w:rPr>
          <w:rFonts w:hint="eastAsia"/>
          <w:highlight w:val="none"/>
          <w:lang w:val="en-US" w:eastAsia="zh-CN"/>
        </w:rPr>
        <w:t>等。</w:t>
      </w:r>
    </w:p>
    <w:p w14:paraId="6F0C66C7">
      <w:pPr>
        <w:pStyle w:val="72"/>
        <w:bidi w:val="0"/>
        <w:rPr>
          <w:rFonts w:hint="default"/>
          <w:highlight w:val="none"/>
        </w:rPr>
      </w:pPr>
      <w:r>
        <w:rPr>
          <w:rFonts w:hint="eastAsia"/>
          <w:highlight w:val="none"/>
          <w:lang w:val="en-US" w:eastAsia="zh-CN"/>
        </w:rPr>
        <w:t>退费模块：提供国际退费调用接口。</w:t>
      </w:r>
      <w:r>
        <w:rPr>
          <w:highlight w:val="none"/>
        </w:rPr>
        <w:t>所有退费请求统一经退费接口，由支付网关路由到原支付渠道。退费按原支付路径退回，银行、第三方支付、跨境支付、商保、医保分别处理。</w:t>
      </w:r>
      <w:r>
        <w:rPr>
          <w:rFonts w:hint="eastAsia"/>
          <w:highlight w:val="none"/>
          <w:lang w:val="en-US" w:eastAsia="zh-CN"/>
        </w:rPr>
        <w:t>支持</w:t>
      </w:r>
      <w:r>
        <w:rPr>
          <w:highlight w:val="none"/>
        </w:rPr>
        <w:t>退费与订单取消、退药、退检查、退治疗、退服务包核销等业务联动。</w:t>
      </w:r>
      <w:r>
        <w:rPr>
          <w:rFonts w:hint="eastAsia"/>
          <w:highlight w:val="none"/>
          <w:lang w:val="en-US" w:eastAsia="zh-CN"/>
        </w:rPr>
        <w:t>支持</w:t>
      </w:r>
      <w:r>
        <w:rPr>
          <w:highlight w:val="none"/>
        </w:rPr>
        <w:t>退费申请、审核、执行、到账全程留痕。</w:t>
      </w:r>
    </w:p>
    <w:p w14:paraId="4CE502DA">
      <w:pPr>
        <w:pStyle w:val="73"/>
        <w:bidi w:val="0"/>
        <w:ind w:left="1250" w:leftChars="0" w:hanging="967" w:firstLineChars="0"/>
        <w:rPr>
          <w:rFonts w:hint="default"/>
          <w:highlight w:val="none"/>
        </w:rPr>
      </w:pPr>
      <w:r>
        <w:rPr>
          <w:rFonts w:hint="default"/>
          <w:highlight w:val="none"/>
        </w:rPr>
        <w:t>发票与凭证</w:t>
      </w:r>
      <w:r>
        <w:rPr>
          <w:rFonts w:hint="eastAsia"/>
          <w:highlight w:val="none"/>
          <w:lang w:val="en-US" w:eastAsia="zh-CN"/>
        </w:rPr>
        <w:t>管理</w:t>
      </w:r>
    </w:p>
    <w:p w14:paraId="321FAE79">
      <w:pPr>
        <w:pStyle w:val="72"/>
        <w:bidi w:val="0"/>
        <w:rPr>
          <w:rFonts w:hint="default"/>
          <w:highlight w:val="none"/>
        </w:rPr>
      </w:pPr>
      <w:r>
        <w:rPr>
          <w:rFonts w:hint="default"/>
          <w:highlight w:val="none"/>
        </w:rPr>
        <w:t>电子发票生成</w:t>
      </w:r>
      <w:r>
        <w:rPr>
          <w:rFonts w:hint="eastAsia"/>
          <w:highlight w:val="none"/>
          <w:lang w:eastAsia="zh-CN"/>
        </w:rPr>
        <w:t>：</w:t>
      </w:r>
      <w:r>
        <w:rPr>
          <w:rFonts w:hint="eastAsia"/>
          <w:highlight w:val="none"/>
          <w:lang w:val="en-US" w:eastAsia="zh-CN"/>
        </w:rPr>
        <w:t>提供</w:t>
      </w:r>
      <w:r>
        <w:rPr>
          <w:rFonts w:hint="default"/>
          <w:highlight w:val="none"/>
        </w:rPr>
        <w:t>发票</w:t>
      </w:r>
      <w:r>
        <w:rPr>
          <w:rFonts w:hint="eastAsia"/>
          <w:highlight w:val="none"/>
          <w:lang w:val="en-US" w:eastAsia="zh-CN"/>
        </w:rPr>
        <w:t>生成接口，对接票据系统，</w:t>
      </w:r>
      <w:r>
        <w:rPr>
          <w:highlight w:val="none"/>
        </w:rPr>
        <w:t>缴费成功后生成电子发票。</w:t>
      </w:r>
      <w:r>
        <w:rPr>
          <w:rFonts w:hint="eastAsia"/>
          <w:highlight w:val="none"/>
          <w:lang w:val="en-US" w:eastAsia="zh-CN"/>
        </w:rPr>
        <w:t>对接</w:t>
      </w:r>
      <w:r>
        <w:rPr>
          <w:highlight w:val="none"/>
        </w:rPr>
        <w:t>电子发票服务</w:t>
      </w:r>
      <w:r>
        <w:rPr>
          <w:rFonts w:hint="eastAsia"/>
          <w:highlight w:val="none"/>
          <w:lang w:eastAsia="zh-CN"/>
        </w:rPr>
        <w:t>、</w:t>
      </w:r>
      <w:r>
        <w:rPr>
          <w:highlight w:val="none"/>
        </w:rPr>
        <w:t>税务系统</w:t>
      </w:r>
      <w:r>
        <w:rPr>
          <w:rFonts w:hint="eastAsia"/>
          <w:highlight w:val="none"/>
          <w:lang w:val="en-US" w:eastAsia="zh-CN"/>
        </w:rPr>
        <w:t>及</w:t>
      </w:r>
      <w:r>
        <w:rPr>
          <w:highlight w:val="none"/>
        </w:rPr>
        <w:t>支付网关</w:t>
      </w:r>
      <w:r>
        <w:rPr>
          <w:rFonts w:hint="eastAsia"/>
          <w:highlight w:val="none"/>
          <w:lang w:eastAsia="zh-CN"/>
        </w:rPr>
        <w:t>。</w:t>
      </w:r>
      <w:r>
        <w:rPr>
          <w:rFonts w:hint="eastAsia"/>
          <w:highlight w:val="none"/>
          <w:lang w:val="en-US" w:eastAsia="zh-CN"/>
        </w:rPr>
        <w:t>支持</w:t>
      </w:r>
      <w:r>
        <w:rPr>
          <w:highlight w:val="none"/>
        </w:rPr>
        <w:t>发票下载与推送</w:t>
      </w:r>
      <w:r>
        <w:rPr>
          <w:rFonts w:hint="eastAsia"/>
          <w:highlight w:val="none"/>
          <w:lang w:eastAsia="zh-CN"/>
        </w:rPr>
        <w:t>，</w:t>
      </w:r>
      <w:r>
        <w:rPr>
          <w:highlight w:val="none"/>
        </w:rPr>
        <w:t>生成多语言支付凭证</w:t>
      </w:r>
      <w:r>
        <w:rPr>
          <w:rFonts w:hint="eastAsia"/>
          <w:highlight w:val="none"/>
          <w:lang w:eastAsia="zh-CN"/>
        </w:rPr>
        <w:t>，</w:t>
      </w:r>
      <w:r>
        <w:rPr>
          <w:highlight w:val="none"/>
        </w:rPr>
        <w:t>支持个人、单位发票抬头管理</w:t>
      </w:r>
      <w:r>
        <w:rPr>
          <w:rFonts w:hint="eastAsia"/>
          <w:highlight w:val="none"/>
          <w:lang w:eastAsia="zh-CN"/>
        </w:rPr>
        <w:t>，</w:t>
      </w:r>
      <w:r>
        <w:rPr>
          <w:highlight w:val="none"/>
        </w:rPr>
        <w:t>生成多语言结算单，含保险支付与自付明细。</w:t>
      </w:r>
      <w:r>
        <w:rPr>
          <w:rFonts w:hint="eastAsia"/>
          <w:highlight w:val="none"/>
          <w:lang w:val="en-US" w:eastAsia="zh-CN"/>
        </w:rPr>
        <w:t>发票开立中所有信息需整理给财务系统。</w:t>
      </w:r>
    </w:p>
    <w:p w14:paraId="3CEB073F">
      <w:pPr>
        <w:pStyle w:val="72"/>
        <w:bidi w:val="0"/>
        <w:rPr>
          <w:rFonts w:hint="default"/>
          <w:highlight w:val="none"/>
        </w:rPr>
      </w:pPr>
      <w:r>
        <w:rPr>
          <w:rFonts w:hint="eastAsia"/>
          <w:highlight w:val="none"/>
          <w:lang w:val="en-US" w:eastAsia="zh-CN"/>
        </w:rPr>
        <w:t>退款退票冲红：</w:t>
      </w:r>
      <w:r>
        <w:rPr>
          <w:rFonts w:hint="eastAsia"/>
          <w:highlight w:val="none"/>
          <w:lang w:eastAsia="zh-CN"/>
        </w:rPr>
        <w:t>对接</w:t>
      </w:r>
      <w:r>
        <w:rPr>
          <w:rFonts w:hint="eastAsia"/>
          <w:highlight w:val="none"/>
          <w:lang w:val="en-US" w:eastAsia="zh-CN"/>
        </w:rPr>
        <w:t>HIS与</w:t>
      </w:r>
      <w:r>
        <w:rPr>
          <w:highlight w:val="none"/>
        </w:rPr>
        <w:t>财务系统</w:t>
      </w:r>
      <w:r>
        <w:rPr>
          <w:rFonts w:hint="eastAsia"/>
          <w:highlight w:val="none"/>
          <w:lang w:val="en-US" w:eastAsia="zh-CN"/>
        </w:rPr>
        <w:t>已成型接口，退费申请、审核、执行时，同步触发发票退票或冲红。</w:t>
      </w:r>
      <w:r>
        <w:rPr>
          <w:highlight w:val="none"/>
        </w:rPr>
        <w:t>开票、退票、冲红、重开全程留痕。</w:t>
      </w:r>
    </w:p>
    <w:p w14:paraId="6E341FC3">
      <w:pPr>
        <w:pStyle w:val="72"/>
        <w:bidi w:val="0"/>
        <w:rPr>
          <w:rFonts w:hint="default"/>
          <w:highlight w:val="none"/>
        </w:rPr>
      </w:pPr>
      <w:r>
        <w:rPr>
          <w:rFonts w:hint="default"/>
          <w:highlight w:val="none"/>
        </w:rPr>
        <w:t>对账与财务管理</w:t>
      </w:r>
      <w:r>
        <w:rPr>
          <w:rFonts w:hint="eastAsia"/>
          <w:highlight w:val="none"/>
          <w:lang w:eastAsia="zh-CN"/>
        </w:rPr>
        <w:t>：对接</w:t>
      </w:r>
      <w:r>
        <w:rPr>
          <w:rFonts w:hint="eastAsia"/>
          <w:highlight w:val="none"/>
          <w:lang w:val="en-US" w:eastAsia="zh-CN"/>
        </w:rPr>
        <w:t>HIS与</w:t>
      </w:r>
      <w:r>
        <w:rPr>
          <w:highlight w:val="none"/>
        </w:rPr>
        <w:t>财务系统</w:t>
      </w:r>
      <w:r>
        <w:rPr>
          <w:rFonts w:hint="eastAsia"/>
          <w:highlight w:val="none"/>
          <w:lang w:val="en-US" w:eastAsia="zh-CN"/>
        </w:rPr>
        <w:t>已成型接口进行</w:t>
      </w:r>
      <w:r>
        <w:rPr>
          <w:highlight w:val="none"/>
        </w:rPr>
        <w:t>对账管理</w:t>
      </w:r>
      <w:r>
        <w:rPr>
          <w:rFonts w:hint="eastAsia"/>
          <w:highlight w:val="none"/>
          <w:lang w:eastAsia="zh-CN"/>
        </w:rPr>
        <w:t>，</w:t>
      </w:r>
      <w:r>
        <w:rPr>
          <w:highlight w:val="none"/>
        </w:rPr>
        <w:t>核对本平台订单支付记录与银行、HIS、财务系统交易记录是否相符。</w:t>
      </w:r>
    </w:p>
    <w:p w14:paraId="36149958">
      <w:pPr>
        <w:pStyle w:val="72"/>
        <w:bidi w:val="0"/>
        <w:rPr>
          <w:rFonts w:hint="default"/>
          <w:highlight w:val="none"/>
        </w:rPr>
      </w:pPr>
      <w:r>
        <w:rPr>
          <w:highlight w:val="none"/>
        </w:rPr>
        <w:t>绩效数据采集</w:t>
      </w:r>
      <w:r>
        <w:rPr>
          <w:rFonts w:hint="eastAsia"/>
          <w:highlight w:val="none"/>
          <w:lang w:eastAsia="zh-CN"/>
        </w:rPr>
        <w:t>：对接</w:t>
      </w:r>
      <w:r>
        <w:rPr>
          <w:rFonts w:hint="eastAsia"/>
          <w:highlight w:val="none"/>
          <w:lang w:val="en-US" w:eastAsia="zh-CN"/>
        </w:rPr>
        <w:t>HIS与</w:t>
      </w:r>
      <w:r>
        <w:rPr>
          <w:highlight w:val="none"/>
        </w:rPr>
        <w:t>财务系统</w:t>
      </w:r>
      <w:r>
        <w:rPr>
          <w:rFonts w:hint="eastAsia"/>
          <w:highlight w:val="none"/>
          <w:lang w:val="en-US" w:eastAsia="zh-CN"/>
        </w:rPr>
        <w:t>已成型接口，提供</w:t>
      </w:r>
      <w:r>
        <w:rPr>
          <w:highlight w:val="none"/>
        </w:rPr>
        <w:t>院内绩效管理</w:t>
      </w:r>
      <w:r>
        <w:rPr>
          <w:rFonts w:hint="eastAsia"/>
          <w:highlight w:val="none"/>
          <w:lang w:val="en-US" w:eastAsia="zh-CN"/>
        </w:rPr>
        <w:t>数据</w:t>
      </w:r>
      <w:r>
        <w:rPr>
          <w:highlight w:val="none"/>
        </w:rPr>
        <w:t>、成本核算</w:t>
      </w:r>
      <w:r>
        <w:rPr>
          <w:rFonts w:hint="eastAsia"/>
          <w:highlight w:val="none"/>
          <w:lang w:val="en-US" w:eastAsia="zh-CN"/>
        </w:rPr>
        <w:t>数据</w:t>
      </w:r>
      <w:r>
        <w:rPr>
          <w:highlight w:val="none"/>
        </w:rPr>
        <w:t>、财务管理</w:t>
      </w:r>
      <w:r>
        <w:rPr>
          <w:rFonts w:hint="eastAsia"/>
          <w:highlight w:val="none"/>
          <w:lang w:val="en-US" w:eastAsia="zh-CN"/>
        </w:rPr>
        <w:t>数据</w:t>
      </w:r>
      <w:r>
        <w:rPr>
          <w:highlight w:val="none"/>
        </w:rPr>
        <w:t>，实现绩效数据自动采集</w:t>
      </w:r>
      <w:r>
        <w:rPr>
          <w:rFonts w:hint="eastAsia"/>
          <w:highlight w:val="none"/>
          <w:lang w:eastAsia="zh-CN"/>
        </w:rPr>
        <w:t>。</w:t>
      </w:r>
    </w:p>
    <w:p w14:paraId="05AB66A1">
      <w:pPr>
        <w:pStyle w:val="72"/>
        <w:bidi w:val="0"/>
        <w:rPr>
          <w:rFonts w:hint="default"/>
          <w:highlight w:val="none"/>
        </w:rPr>
      </w:pPr>
      <w:r>
        <w:rPr>
          <w:highlight w:val="none"/>
        </w:rPr>
        <w:t>统计分析</w:t>
      </w:r>
      <w:r>
        <w:rPr>
          <w:rFonts w:hint="eastAsia"/>
          <w:highlight w:val="none"/>
          <w:lang w:eastAsia="zh-CN"/>
        </w:rPr>
        <w:t>：对接</w:t>
      </w:r>
      <w:r>
        <w:rPr>
          <w:rFonts w:hint="eastAsia"/>
          <w:highlight w:val="none"/>
          <w:lang w:val="en-US" w:eastAsia="zh-CN"/>
        </w:rPr>
        <w:t>HIS与</w:t>
      </w:r>
      <w:r>
        <w:rPr>
          <w:highlight w:val="none"/>
        </w:rPr>
        <w:t>财务系统</w:t>
      </w:r>
      <w:r>
        <w:rPr>
          <w:rFonts w:hint="eastAsia"/>
          <w:highlight w:val="none"/>
          <w:lang w:val="en-US" w:eastAsia="zh-CN"/>
        </w:rPr>
        <w:t>已成型接口，提供</w:t>
      </w:r>
      <w:r>
        <w:rPr>
          <w:highlight w:val="none"/>
        </w:rPr>
        <w:t>各类统计报表和查询</w:t>
      </w:r>
      <w:r>
        <w:rPr>
          <w:rFonts w:hint="eastAsia"/>
          <w:highlight w:val="none"/>
          <w:lang w:val="en-US" w:eastAsia="zh-CN"/>
        </w:rPr>
        <w:t>的基础信息</w:t>
      </w:r>
      <w:r>
        <w:rPr>
          <w:highlight w:val="none"/>
        </w:rPr>
        <w:t>。</w:t>
      </w:r>
    </w:p>
    <w:p w14:paraId="25CEBBAC">
      <w:pPr>
        <w:pStyle w:val="72"/>
        <w:bidi w:val="0"/>
        <w:rPr>
          <w:rFonts w:hint="default"/>
          <w:highlight w:val="none"/>
        </w:rPr>
      </w:pPr>
      <w:r>
        <w:rPr>
          <w:highlight w:val="none"/>
        </w:rPr>
        <w:t>财务收支同步</w:t>
      </w:r>
      <w:r>
        <w:rPr>
          <w:rFonts w:hint="eastAsia"/>
          <w:highlight w:val="none"/>
          <w:lang w:eastAsia="zh-CN"/>
        </w:rPr>
        <w:t>：对接</w:t>
      </w:r>
      <w:r>
        <w:rPr>
          <w:rFonts w:hint="eastAsia"/>
          <w:highlight w:val="none"/>
          <w:lang w:val="en-US" w:eastAsia="zh-CN"/>
        </w:rPr>
        <w:t>HIS与</w:t>
      </w:r>
      <w:r>
        <w:rPr>
          <w:highlight w:val="none"/>
        </w:rPr>
        <w:t>财务系统</w:t>
      </w:r>
      <w:r>
        <w:rPr>
          <w:rFonts w:hint="eastAsia"/>
          <w:highlight w:val="none"/>
          <w:lang w:val="en-US" w:eastAsia="zh-CN"/>
        </w:rPr>
        <w:t>已成型接口，提供</w:t>
      </w:r>
      <w:r>
        <w:rPr>
          <w:highlight w:val="none"/>
        </w:rPr>
        <w:t>财务收支</w:t>
      </w:r>
      <w:r>
        <w:rPr>
          <w:rFonts w:hint="eastAsia"/>
          <w:highlight w:val="none"/>
          <w:lang w:val="en-US" w:eastAsia="zh-CN"/>
        </w:rPr>
        <w:t>同步信息。</w:t>
      </w:r>
    </w:p>
    <w:p w14:paraId="504979DC">
      <w:pPr>
        <w:pStyle w:val="73"/>
        <w:bidi w:val="0"/>
        <w:rPr>
          <w:rFonts w:hint="default"/>
          <w:highlight w:val="none"/>
        </w:rPr>
      </w:pPr>
      <w:r>
        <w:rPr>
          <w:rFonts w:hint="default"/>
          <w:highlight w:val="none"/>
        </w:rPr>
        <w:t>收费后对接</w:t>
      </w:r>
    </w:p>
    <w:p w14:paraId="4E056D43">
      <w:pPr>
        <w:pStyle w:val="72"/>
        <w:bidi w:val="0"/>
        <w:rPr>
          <w:rFonts w:hint="default"/>
          <w:highlight w:val="none"/>
        </w:rPr>
      </w:pPr>
      <w:r>
        <w:rPr>
          <w:rFonts w:hint="eastAsia"/>
          <w:highlight w:val="none"/>
          <w:lang w:val="en-US" w:eastAsia="zh-CN"/>
        </w:rPr>
        <w:t>医嘱执行对接：支持各类医嘱执行对接，按照HIS收费后模块对接各项医嘱服务接口。</w:t>
      </w:r>
      <w:r>
        <w:rPr>
          <w:highlight w:val="none"/>
        </w:rPr>
        <w:t>药品处方对接发药窗</w:t>
      </w:r>
      <w:r>
        <w:rPr>
          <w:rFonts w:hint="eastAsia"/>
          <w:highlight w:val="none"/>
          <w:lang w:eastAsia="zh-CN"/>
        </w:rPr>
        <w:t>、</w:t>
      </w:r>
      <w:r>
        <w:rPr>
          <w:highlight w:val="none"/>
        </w:rPr>
        <w:t>自动推送至药房系统，进入发药队列</w:t>
      </w:r>
      <w:r>
        <w:rPr>
          <w:rFonts w:hint="eastAsia"/>
          <w:highlight w:val="none"/>
          <w:lang w:eastAsia="zh-CN"/>
        </w:rPr>
        <w:t>；</w:t>
      </w:r>
      <w:r>
        <w:rPr>
          <w:highlight w:val="none"/>
        </w:rPr>
        <w:t>检验检查缴费成功后，触发预约或排队，</w:t>
      </w:r>
      <w:r>
        <w:rPr>
          <w:rFonts w:hint="eastAsia"/>
          <w:highlight w:val="none"/>
          <w:lang w:val="en-US" w:eastAsia="zh-CN"/>
        </w:rPr>
        <w:t>对接各个检查检验系统接口传递医嘱；</w:t>
      </w:r>
      <w:r>
        <w:rPr>
          <w:highlight w:val="none"/>
        </w:rPr>
        <w:t>治疗、处置项目缴费成功后</w:t>
      </w:r>
      <w:r>
        <w:rPr>
          <w:rFonts w:hint="eastAsia"/>
          <w:highlight w:val="none"/>
          <w:lang w:val="en-US" w:eastAsia="zh-CN"/>
        </w:rPr>
        <w:t>推送至业务系统触发执行项目；</w:t>
      </w:r>
      <w:r>
        <w:rPr>
          <w:highlight w:val="none"/>
        </w:rPr>
        <w:t>手术相关费用缴费成功后</w:t>
      </w:r>
      <w:r>
        <w:rPr>
          <w:rFonts w:hint="eastAsia"/>
          <w:highlight w:val="none"/>
          <w:lang w:val="en-US" w:eastAsia="zh-CN"/>
        </w:rPr>
        <w:t>对接HIS手术模块</w:t>
      </w:r>
      <w:r>
        <w:rPr>
          <w:highlight w:val="none"/>
        </w:rPr>
        <w:t>触发手术</w:t>
      </w:r>
      <w:r>
        <w:rPr>
          <w:rFonts w:hint="eastAsia"/>
          <w:highlight w:val="none"/>
          <w:lang w:val="en-US" w:eastAsia="zh-CN"/>
        </w:rPr>
        <w:t>流程等。</w:t>
      </w:r>
    </w:p>
    <w:p w14:paraId="7B8F42C0">
      <w:pPr>
        <w:pStyle w:val="72"/>
        <w:bidi w:val="0"/>
        <w:rPr>
          <w:rFonts w:hint="default"/>
          <w:highlight w:val="none"/>
        </w:rPr>
      </w:pPr>
      <w:r>
        <w:rPr>
          <w:highlight w:val="none"/>
        </w:rPr>
        <w:t>执行状态与消息通知</w:t>
      </w:r>
      <w:r>
        <w:rPr>
          <w:rFonts w:hint="eastAsia"/>
          <w:highlight w:val="none"/>
          <w:lang w:eastAsia="zh-CN"/>
        </w:rPr>
        <w:t>：</w:t>
      </w:r>
      <w:r>
        <w:rPr>
          <w:rFonts w:hint="eastAsia"/>
          <w:highlight w:val="none"/>
          <w:lang w:val="en-US" w:eastAsia="zh-CN"/>
        </w:rPr>
        <w:t>对接</w:t>
      </w:r>
      <w:r>
        <w:rPr>
          <w:highlight w:val="none"/>
        </w:rPr>
        <w:t>HIS 医嘱执行</w:t>
      </w:r>
      <w:r>
        <w:rPr>
          <w:rFonts w:hint="eastAsia"/>
          <w:highlight w:val="none"/>
          <w:lang w:val="en-US" w:eastAsia="zh-CN"/>
        </w:rPr>
        <w:t>等</w:t>
      </w:r>
      <w:r>
        <w:rPr>
          <w:highlight w:val="none"/>
        </w:rPr>
        <w:t>接口</w:t>
      </w:r>
      <w:r>
        <w:rPr>
          <w:rFonts w:hint="eastAsia"/>
          <w:highlight w:val="none"/>
          <w:lang w:eastAsia="zh-CN"/>
        </w:rPr>
        <w:t>。</w:t>
      </w:r>
      <w:r>
        <w:rPr>
          <w:rFonts w:hint="eastAsia"/>
          <w:highlight w:val="none"/>
          <w:lang w:val="en-US" w:eastAsia="zh-CN"/>
        </w:rPr>
        <w:t>支持</w:t>
      </w:r>
      <w:r>
        <w:rPr>
          <w:highlight w:val="none"/>
        </w:rPr>
        <w:t>按患者、订单、业务类型查看医嘱执行状态，推送发药就绪、检查预约、治疗排程、手术安排等提醒，处理执行失败、退药、退费、改约等异常，查看历史执行记录与状态。</w:t>
      </w:r>
      <w:r>
        <w:rPr>
          <w:rFonts w:hint="eastAsia"/>
          <w:highlight w:val="none"/>
          <w:lang w:val="en-US" w:eastAsia="zh-CN"/>
        </w:rPr>
        <w:t>需要按照电子病历要求形成闭环医嘱。</w:t>
      </w:r>
    </w:p>
    <w:p w14:paraId="32D27B5F">
      <w:pPr>
        <w:pStyle w:val="73"/>
        <w:bidi w:val="0"/>
        <w:ind w:left="1250" w:leftChars="0" w:hanging="967" w:firstLineChars="0"/>
        <w:rPr>
          <w:rFonts w:hint="default"/>
          <w:highlight w:val="none"/>
        </w:rPr>
      </w:pPr>
      <w:r>
        <w:rPr>
          <w:rFonts w:hint="eastAsia"/>
          <w:highlight w:val="none"/>
          <w:lang w:val="en-US" w:eastAsia="zh-CN"/>
        </w:rPr>
        <w:t>消息推送与安全风控</w:t>
      </w:r>
    </w:p>
    <w:p w14:paraId="7475201A">
      <w:pPr>
        <w:pStyle w:val="72"/>
        <w:bidi w:val="0"/>
        <w:rPr>
          <w:rFonts w:hint="default"/>
          <w:highlight w:val="none"/>
        </w:rPr>
      </w:pPr>
      <w:r>
        <w:rPr>
          <w:rFonts w:hint="eastAsia"/>
          <w:highlight w:val="none"/>
          <w:lang w:val="en-US" w:eastAsia="zh-CN"/>
        </w:rPr>
        <w:t>消息推送：支持推送各类收费计信息，患者端支持待缴提醒、支付成功、退费进度、发票开具、执行状态等推送，对接</w:t>
      </w:r>
      <w:r>
        <w:rPr>
          <w:rFonts w:hint="eastAsia"/>
          <w:highlight w:val="none"/>
        </w:rPr>
        <w:t>单据及短信管理模块细项</w:t>
      </w:r>
    </w:p>
    <w:p w14:paraId="39398041">
      <w:pPr>
        <w:pStyle w:val="72"/>
        <w:bidi w:val="0"/>
        <w:rPr>
          <w:rFonts w:hint="default"/>
          <w:highlight w:val="none"/>
        </w:rPr>
      </w:pPr>
      <w:r>
        <w:rPr>
          <w:highlight w:val="none"/>
        </w:rPr>
        <w:t>支付异常</w:t>
      </w:r>
      <w:r>
        <w:rPr>
          <w:rFonts w:hint="eastAsia"/>
          <w:highlight w:val="none"/>
          <w:lang w:val="en-US" w:eastAsia="zh-CN"/>
        </w:rPr>
        <w:t>处理：提供支付异常处理模块，对于</w:t>
      </w:r>
      <w:r>
        <w:rPr>
          <w:highlight w:val="none"/>
        </w:rPr>
        <w:t>支付失败、重复扣款、退费异常等问题处理</w:t>
      </w:r>
      <w:r>
        <w:rPr>
          <w:rFonts w:hint="eastAsia"/>
          <w:highlight w:val="none"/>
          <w:lang w:eastAsia="zh-CN"/>
        </w:rPr>
        <w:t>，</w:t>
      </w:r>
      <w:r>
        <w:rPr>
          <w:rFonts w:hint="eastAsia"/>
          <w:highlight w:val="none"/>
          <w:lang w:val="en-US" w:eastAsia="zh-CN"/>
        </w:rPr>
        <w:t>提供人工工单模块。</w:t>
      </w:r>
    </w:p>
    <w:p w14:paraId="6F83BF55">
      <w:pPr>
        <w:pStyle w:val="72"/>
        <w:bidi w:val="0"/>
        <w:rPr>
          <w:rFonts w:hint="eastAsia"/>
          <w:highlight w:val="none"/>
        </w:rPr>
      </w:pPr>
      <w:r>
        <w:rPr>
          <w:highlight w:val="none"/>
        </w:rPr>
        <w:t>支付风控</w:t>
      </w:r>
      <w:r>
        <w:rPr>
          <w:rFonts w:hint="eastAsia"/>
          <w:highlight w:val="none"/>
          <w:lang w:eastAsia="zh-CN"/>
        </w:rPr>
        <w:t>：</w:t>
      </w:r>
      <w:r>
        <w:rPr>
          <w:highlight w:val="none"/>
        </w:rPr>
        <w:t>对异常交易、频繁退费等进行风控校验。</w:t>
      </w:r>
      <w:r>
        <w:rPr>
          <w:rFonts w:hint="eastAsia"/>
          <w:highlight w:val="none"/>
        </w:rPr>
        <w:t>缴费、退费、代付、授权等操作全程留痕。</w:t>
      </w:r>
      <w:r>
        <w:rPr>
          <w:highlight w:val="none"/>
        </w:rPr>
        <w:t>写入</w:t>
      </w:r>
      <w:r>
        <w:rPr>
          <w:rFonts w:hint="eastAsia"/>
          <w:highlight w:val="none"/>
          <w:lang w:val="en-US" w:eastAsia="zh-CN"/>
        </w:rPr>
        <w:t>审计体系。</w:t>
      </w:r>
    </w:p>
    <w:p w14:paraId="3FE9C69B">
      <w:pPr>
        <w:pStyle w:val="72"/>
        <w:numPr>
          <w:ilvl w:val="2"/>
          <w:numId w:val="0"/>
        </w:numPr>
        <w:bidi w:val="0"/>
        <w:rPr>
          <w:rFonts w:hint="default"/>
          <w:highlight w:val="none"/>
        </w:rPr>
      </w:pPr>
    </w:p>
    <w:tbl>
      <w:tblPr>
        <w:tblStyle w:val="26"/>
        <w:tblW w:w="5000" w:type="pct"/>
        <w:tblInd w:w="0" w:type="dxa"/>
        <w:tblLayout w:type="autofit"/>
        <w:tblCellMar>
          <w:top w:w="0" w:type="dxa"/>
          <w:left w:w="108" w:type="dxa"/>
          <w:bottom w:w="0" w:type="dxa"/>
          <w:right w:w="108" w:type="dxa"/>
        </w:tblCellMar>
      </w:tblPr>
      <w:tblGrid>
        <w:gridCol w:w="1042"/>
        <w:gridCol w:w="8244"/>
      </w:tblGrid>
      <w:tr w14:paraId="37CFE49E">
        <w:tblPrEx>
          <w:tblCellMar>
            <w:top w:w="0" w:type="dxa"/>
            <w:left w:w="108" w:type="dxa"/>
            <w:bottom w:w="0" w:type="dxa"/>
            <w:right w:w="108" w:type="dxa"/>
          </w:tblCellMar>
        </w:tblPrEx>
        <w:trPr>
          <w:trHeight w:val="320"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47B3EF7B">
            <w:pPr>
              <w:widowControl/>
              <w:snapToGrid w:val="0"/>
              <w:jc w:val="left"/>
              <w:rPr>
                <w:rFonts w:ascii="微软雅黑" w:hAnsi="微软雅黑" w:eastAsia="微软雅黑" w:cs="微软雅黑"/>
                <w:b/>
                <w:bCs/>
                <w:color w:val="000000"/>
                <w:szCs w:val="21"/>
                <w:highlight w:val="none"/>
              </w:rPr>
            </w:pPr>
            <w:r>
              <w:rPr>
                <w:rFonts w:hint="eastAsia" w:ascii="微软雅黑" w:hAnsi="微软雅黑" w:eastAsia="微软雅黑" w:cs="微软雅黑"/>
                <w:b/>
                <w:bCs/>
                <w:sz w:val="24"/>
                <w:szCs w:val="32"/>
                <w:highlight w:val="none"/>
              </w:rPr>
              <w:t>（</w:t>
            </w:r>
            <w:r>
              <w:rPr>
                <w:rFonts w:hint="eastAsia" w:ascii="微软雅黑" w:hAnsi="微软雅黑" w:eastAsia="微软雅黑" w:cs="微软雅黑"/>
                <w:b/>
                <w:bCs/>
                <w:sz w:val="24"/>
                <w:szCs w:val="32"/>
                <w:highlight w:val="none"/>
                <w:lang w:val="en-US" w:eastAsia="zh-CN"/>
              </w:rPr>
              <w:t>四</w:t>
            </w:r>
            <w:r>
              <w:rPr>
                <w:rFonts w:hint="eastAsia" w:ascii="微软雅黑" w:hAnsi="微软雅黑" w:eastAsia="微软雅黑" w:cs="微软雅黑"/>
                <w:b/>
                <w:bCs/>
                <w:sz w:val="24"/>
                <w:szCs w:val="32"/>
                <w:highlight w:val="none"/>
              </w:rPr>
              <w:t>）国际项目库存管理模块细项</w:t>
            </w:r>
          </w:p>
        </w:tc>
      </w:tr>
      <w:tr w14:paraId="7D7B9B13">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06E7E2DD">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1</w:t>
            </w:r>
          </w:p>
        </w:tc>
        <w:tc>
          <w:tcPr>
            <w:tcW w:w="4438" w:type="pct"/>
            <w:tcBorders>
              <w:top w:val="single" w:color="auto" w:sz="4" w:space="0"/>
              <w:left w:val="single" w:color="auto" w:sz="4" w:space="0"/>
              <w:bottom w:val="single" w:color="auto" w:sz="4" w:space="0"/>
              <w:right w:val="single" w:color="auto" w:sz="4" w:space="0"/>
            </w:tcBorders>
            <w:vAlign w:val="center"/>
          </w:tcPr>
          <w:p w14:paraId="76F67F82">
            <w:pPr>
              <w:widowControl/>
              <w:snapToGrid w:val="0"/>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lang w:val="en-US" w:eastAsia="zh-CN"/>
              </w:rPr>
              <w:t>模块构造</w:t>
            </w:r>
            <w:r>
              <w:rPr>
                <w:rFonts w:hint="eastAsia" w:ascii="微软雅黑" w:hAnsi="微软雅黑" w:eastAsia="微软雅黑" w:cs="微软雅黑"/>
                <w:color w:val="000000"/>
                <w:szCs w:val="21"/>
                <w:highlight w:val="none"/>
              </w:rPr>
              <w:t>：</w:t>
            </w:r>
            <w:r>
              <w:rPr>
                <w:rFonts w:hint="eastAsia" w:ascii="微软雅黑" w:hAnsi="微软雅黑" w:eastAsia="微软雅黑" w:cs="微软雅黑"/>
                <w:color w:val="000000"/>
                <w:szCs w:val="21"/>
                <w:highlight w:val="none"/>
                <w:lang w:val="en-US" w:eastAsia="zh-CN"/>
              </w:rPr>
              <w:t>独立于</w:t>
            </w:r>
            <w:r>
              <w:rPr>
                <w:rFonts w:hint="eastAsia" w:ascii="微软雅黑" w:hAnsi="微软雅黑" w:eastAsia="微软雅黑" w:cs="微软雅黑"/>
                <w:color w:val="000000"/>
                <w:szCs w:val="21"/>
                <w:highlight w:val="none"/>
              </w:rPr>
              <w:t xml:space="preserve"> HIS 进行模块化</w:t>
            </w:r>
            <w:r>
              <w:rPr>
                <w:rFonts w:hint="eastAsia" w:ascii="微软雅黑" w:hAnsi="微软雅黑" w:eastAsia="微软雅黑" w:cs="微软雅黑"/>
                <w:color w:val="000000"/>
                <w:szCs w:val="21"/>
                <w:highlight w:val="none"/>
                <w:lang w:val="en-US" w:eastAsia="zh-CN"/>
              </w:rPr>
              <w:t>建设</w:t>
            </w:r>
            <w:r>
              <w:rPr>
                <w:rFonts w:hint="eastAsia" w:ascii="微软雅黑" w:hAnsi="微软雅黑" w:eastAsia="微软雅黑" w:cs="微软雅黑"/>
                <w:color w:val="000000"/>
                <w:szCs w:val="21"/>
                <w:highlight w:val="none"/>
              </w:rPr>
              <w:t>。</w:t>
            </w:r>
          </w:p>
        </w:tc>
      </w:tr>
      <w:tr w14:paraId="4C1FAB85">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4CB6385B">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2</w:t>
            </w:r>
          </w:p>
        </w:tc>
        <w:tc>
          <w:tcPr>
            <w:tcW w:w="4438" w:type="pct"/>
            <w:tcBorders>
              <w:top w:val="single" w:color="auto" w:sz="4" w:space="0"/>
              <w:left w:val="single" w:color="auto" w:sz="4" w:space="0"/>
              <w:bottom w:val="single" w:color="auto" w:sz="4" w:space="0"/>
              <w:right w:val="single" w:color="auto" w:sz="4" w:space="0"/>
            </w:tcBorders>
            <w:vAlign w:val="center"/>
          </w:tcPr>
          <w:p w14:paraId="7CA665B5">
            <w:pPr>
              <w:widowControl/>
              <w:snapToGrid w:val="0"/>
              <w:rPr>
                <w:rFonts w:hint="eastAsia" w:ascii="微软雅黑" w:hAnsi="微软雅黑" w:eastAsia="微软雅黑" w:cs="微软雅黑"/>
                <w:color w:val="000000"/>
                <w:szCs w:val="21"/>
                <w:highlight w:val="none"/>
                <w:lang w:eastAsia="zh-CN"/>
              </w:rPr>
            </w:pPr>
            <w:r>
              <w:rPr>
                <w:rFonts w:hint="eastAsia" w:ascii="微软雅黑" w:hAnsi="微软雅黑" w:eastAsia="微软雅黑" w:cs="微软雅黑"/>
                <w:color w:val="000000"/>
                <w:szCs w:val="21"/>
                <w:highlight w:val="none"/>
                <w:lang w:eastAsia="zh-CN"/>
              </w:rPr>
              <w:t>特殊渠道项目库存管理：针对</w:t>
            </w:r>
            <w:r>
              <w:rPr>
                <w:rFonts w:hint="eastAsia" w:ascii="微软雅黑" w:hAnsi="微软雅黑" w:eastAsia="微软雅黑" w:cs="微软雅黑"/>
                <w:color w:val="000000"/>
                <w:szCs w:val="21"/>
                <w:highlight w:val="none"/>
                <w:lang w:val="en-US" w:eastAsia="zh-CN"/>
              </w:rPr>
              <w:t>进口药械</w:t>
            </w:r>
            <w:r>
              <w:rPr>
                <w:rFonts w:hint="eastAsia" w:ascii="微软雅黑" w:hAnsi="微软雅黑" w:eastAsia="微软雅黑" w:cs="微软雅黑"/>
                <w:color w:val="000000"/>
                <w:szCs w:val="21"/>
                <w:highlight w:val="none"/>
                <w:lang w:eastAsia="zh-CN"/>
              </w:rPr>
              <w:t>等无院内原始维护信息的进口药品/耗材，在本模块内建轻量级</w:t>
            </w:r>
            <w:r>
              <w:rPr>
                <w:rFonts w:hint="eastAsia" w:ascii="微软雅黑" w:hAnsi="微软雅黑" w:eastAsia="微软雅黑" w:cs="微软雅黑"/>
                <w:color w:val="000000"/>
                <w:szCs w:val="21"/>
                <w:highlight w:val="none"/>
                <w:lang w:val="en-US" w:eastAsia="zh-CN"/>
              </w:rPr>
              <w:t>库存管理系统</w:t>
            </w:r>
            <w:r>
              <w:rPr>
                <w:rFonts w:hint="eastAsia" w:ascii="微软雅黑" w:hAnsi="微软雅黑" w:eastAsia="微软雅黑" w:cs="微软雅黑"/>
                <w:color w:val="000000"/>
                <w:szCs w:val="21"/>
                <w:highlight w:val="none"/>
                <w:lang w:eastAsia="zh-CN"/>
              </w:rPr>
              <w:t>，独立建账、独立追溯。</w:t>
            </w:r>
          </w:p>
        </w:tc>
      </w:tr>
      <w:tr w14:paraId="705BE0BB">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54D37434">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3</w:t>
            </w:r>
          </w:p>
        </w:tc>
        <w:tc>
          <w:tcPr>
            <w:tcW w:w="4438" w:type="pct"/>
            <w:tcBorders>
              <w:top w:val="single" w:color="auto" w:sz="4" w:space="0"/>
              <w:left w:val="single" w:color="auto" w:sz="4" w:space="0"/>
              <w:bottom w:val="single" w:color="auto" w:sz="4" w:space="0"/>
              <w:right w:val="single" w:color="auto" w:sz="4" w:space="0"/>
            </w:tcBorders>
            <w:vAlign w:val="center"/>
          </w:tcPr>
          <w:p w14:paraId="7594946B">
            <w:pPr>
              <w:widowControl/>
              <w:snapToGrid w:val="0"/>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收费扣库：衔接国际收费，普通收费项目调用 HIS 接口完成扣库与回滚，特殊渠道药品/耗材走本模块</w:t>
            </w:r>
            <w:r>
              <w:rPr>
                <w:rFonts w:hint="eastAsia" w:ascii="微软雅黑" w:hAnsi="微软雅黑" w:eastAsia="微软雅黑" w:cs="微软雅黑"/>
                <w:color w:val="000000"/>
                <w:szCs w:val="21"/>
                <w:highlight w:val="none"/>
                <w:lang w:val="en-US" w:eastAsia="zh-CN"/>
              </w:rPr>
              <w:t>库存管理系统</w:t>
            </w:r>
            <w:r>
              <w:rPr>
                <w:rFonts w:hint="eastAsia" w:ascii="微软雅黑" w:hAnsi="微软雅黑" w:eastAsia="微软雅黑" w:cs="微软雅黑"/>
                <w:color w:val="000000"/>
                <w:szCs w:val="21"/>
                <w:highlight w:val="none"/>
              </w:rPr>
              <w:t>。</w:t>
            </w:r>
          </w:p>
        </w:tc>
      </w:tr>
      <w:tr w14:paraId="0719B79A">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328693B7">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4</w:t>
            </w:r>
          </w:p>
        </w:tc>
        <w:tc>
          <w:tcPr>
            <w:tcW w:w="4438" w:type="pct"/>
            <w:tcBorders>
              <w:top w:val="single" w:color="auto" w:sz="4" w:space="0"/>
              <w:left w:val="single" w:color="auto" w:sz="4" w:space="0"/>
              <w:bottom w:val="single" w:color="auto" w:sz="4" w:space="0"/>
              <w:right w:val="single" w:color="auto" w:sz="4" w:space="0"/>
            </w:tcBorders>
            <w:vAlign w:val="center"/>
          </w:tcPr>
          <w:p w14:paraId="5653AE85">
            <w:pPr>
              <w:widowControl/>
              <w:snapToGrid w:val="0"/>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一物一码模块：对特殊渠道药品/耗材按最小包装单元实行一物一码管理。</w:t>
            </w:r>
          </w:p>
        </w:tc>
      </w:tr>
      <w:tr w14:paraId="2DED5837">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683B12AB">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5</w:t>
            </w:r>
          </w:p>
        </w:tc>
        <w:tc>
          <w:tcPr>
            <w:tcW w:w="4438" w:type="pct"/>
            <w:tcBorders>
              <w:top w:val="single" w:color="auto" w:sz="4" w:space="0"/>
              <w:left w:val="single" w:color="auto" w:sz="4" w:space="0"/>
              <w:bottom w:val="single" w:color="auto" w:sz="4" w:space="0"/>
              <w:right w:val="single" w:color="auto" w:sz="4" w:space="0"/>
            </w:tcBorders>
            <w:vAlign w:val="center"/>
          </w:tcPr>
          <w:p w14:paraId="33584A30">
            <w:pPr>
              <w:widowControl/>
              <w:snapToGrid w:val="0"/>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供应管理：特殊渠道</w:t>
            </w:r>
            <w:r>
              <w:rPr>
                <w:rFonts w:hint="eastAsia" w:ascii="微软雅黑" w:hAnsi="微软雅黑" w:eastAsia="微软雅黑" w:cs="微软雅黑"/>
                <w:color w:val="000000"/>
                <w:szCs w:val="21"/>
                <w:highlight w:val="none"/>
                <w:lang w:eastAsia="zh-CN"/>
              </w:rPr>
              <w:t>项目</w:t>
            </w:r>
            <w:r>
              <w:rPr>
                <w:rFonts w:hint="eastAsia" w:ascii="微软雅黑" w:hAnsi="微软雅黑" w:eastAsia="微软雅黑" w:cs="微软雅黑"/>
                <w:color w:val="000000"/>
                <w:szCs w:val="21"/>
                <w:highlight w:val="none"/>
              </w:rPr>
              <w:t>供应在本模块维护供货商、采购、跨境物流与缺货替代。</w:t>
            </w:r>
          </w:p>
        </w:tc>
      </w:tr>
      <w:tr w14:paraId="69FC2572">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7CB8F813">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6</w:t>
            </w:r>
          </w:p>
        </w:tc>
        <w:tc>
          <w:tcPr>
            <w:tcW w:w="4438" w:type="pct"/>
            <w:tcBorders>
              <w:top w:val="single" w:color="auto" w:sz="4" w:space="0"/>
              <w:left w:val="single" w:color="auto" w:sz="4" w:space="0"/>
              <w:bottom w:val="single" w:color="auto" w:sz="4" w:space="0"/>
              <w:right w:val="single" w:color="auto" w:sz="4" w:space="0"/>
            </w:tcBorders>
            <w:vAlign w:val="center"/>
          </w:tcPr>
          <w:p w14:paraId="19C5E9C8">
            <w:pPr>
              <w:widowControl/>
              <w:snapToGrid w:val="0"/>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报表与统计：生成</w:t>
            </w:r>
            <w:r>
              <w:rPr>
                <w:rFonts w:hint="eastAsia" w:ascii="微软雅黑" w:hAnsi="微软雅黑" w:eastAsia="微软雅黑" w:cs="微软雅黑"/>
                <w:color w:val="000000"/>
                <w:szCs w:val="21"/>
                <w:highlight w:val="none"/>
                <w:lang w:val="en-US" w:eastAsia="zh-CN"/>
              </w:rPr>
              <w:t>各项</w:t>
            </w:r>
            <w:r>
              <w:rPr>
                <w:rFonts w:hint="eastAsia" w:ascii="微软雅黑" w:hAnsi="微软雅黑" w:eastAsia="微软雅黑" w:cs="微软雅黑"/>
                <w:color w:val="000000"/>
                <w:szCs w:val="21"/>
                <w:highlight w:val="none"/>
              </w:rPr>
              <w:t>追溯与合规报表。</w:t>
            </w:r>
          </w:p>
        </w:tc>
      </w:tr>
      <w:tr w14:paraId="327F877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3083CCE1">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7</w:t>
            </w:r>
          </w:p>
        </w:tc>
        <w:tc>
          <w:tcPr>
            <w:tcW w:w="4438" w:type="pct"/>
            <w:tcBorders>
              <w:top w:val="single" w:color="auto" w:sz="4" w:space="0"/>
              <w:left w:val="single" w:color="auto" w:sz="4" w:space="0"/>
              <w:bottom w:val="single" w:color="auto" w:sz="4" w:space="0"/>
              <w:right w:val="single" w:color="auto" w:sz="4" w:space="0"/>
            </w:tcBorders>
            <w:vAlign w:val="center"/>
          </w:tcPr>
          <w:p w14:paraId="61EFDC22">
            <w:pPr>
              <w:widowControl/>
              <w:snapToGrid w:val="0"/>
              <w:rPr>
                <w:rFonts w:hint="eastAsia" w:ascii="微软雅黑" w:hAnsi="微软雅黑" w:eastAsia="微软雅黑" w:cs="微软雅黑"/>
                <w:color w:val="000000"/>
                <w:szCs w:val="21"/>
                <w:highlight w:val="none"/>
                <w:lang w:eastAsia="zh-CN"/>
              </w:rPr>
            </w:pPr>
            <w:r>
              <w:rPr>
                <w:rFonts w:hint="eastAsia" w:ascii="微软雅黑" w:hAnsi="微软雅黑" w:eastAsia="微软雅黑" w:cs="微软雅黑"/>
                <w:color w:val="000000"/>
                <w:szCs w:val="21"/>
                <w:highlight w:val="none"/>
              </w:rPr>
              <w:t>消息与风控合规</w:t>
            </w:r>
            <w:r>
              <w:rPr>
                <w:rFonts w:hint="eastAsia" w:ascii="微软雅黑" w:hAnsi="微软雅黑" w:eastAsia="微软雅黑" w:cs="微软雅黑"/>
                <w:color w:val="000000"/>
                <w:szCs w:val="21"/>
                <w:highlight w:val="none"/>
                <w:lang w:eastAsia="zh-CN"/>
              </w:rPr>
              <w:t>：以消息推送保障库存预警与异常触达。</w:t>
            </w:r>
          </w:p>
        </w:tc>
      </w:tr>
    </w:tbl>
    <w:p w14:paraId="1749E46D">
      <w:pPr>
        <w:pStyle w:val="73"/>
        <w:numPr>
          <w:ilvl w:val="1"/>
          <w:numId w:val="6"/>
        </w:numPr>
        <w:bidi w:val="0"/>
        <w:rPr>
          <w:rFonts w:hint="default"/>
          <w:highlight w:val="none"/>
        </w:rPr>
      </w:pPr>
      <w:r>
        <w:rPr>
          <w:rFonts w:hint="eastAsia"/>
          <w:highlight w:val="none"/>
          <w:lang w:val="en-US" w:eastAsia="zh-CN"/>
        </w:rPr>
        <w:t>模块构造</w:t>
      </w:r>
    </w:p>
    <w:p w14:paraId="104DC41D">
      <w:pPr>
        <w:pStyle w:val="72"/>
        <w:bidi w:val="0"/>
        <w:rPr>
          <w:rFonts w:hint="default"/>
          <w:highlight w:val="none"/>
        </w:rPr>
      </w:pPr>
      <w:r>
        <w:rPr>
          <w:rFonts w:hint="eastAsia"/>
          <w:highlight w:val="none"/>
          <w:lang w:val="en-US" w:eastAsia="zh-CN"/>
        </w:rPr>
        <w:t>模块形态：</w:t>
      </w:r>
      <w:r>
        <w:rPr>
          <w:rFonts w:hint="default"/>
          <w:highlight w:val="none"/>
        </w:rPr>
        <w:t>该模块</w:t>
      </w:r>
      <w:r>
        <w:rPr>
          <w:rFonts w:hint="eastAsia"/>
          <w:highlight w:val="none"/>
          <w:lang w:val="en-US" w:eastAsia="zh-CN"/>
        </w:rPr>
        <w:t xml:space="preserve">独立于 </w:t>
      </w:r>
      <w:r>
        <w:rPr>
          <w:rFonts w:hint="default"/>
          <w:highlight w:val="none"/>
        </w:rPr>
        <w:t>HIS 可执行程序，由 HIS 主界面菜单或功能入口跳转进入本模块。持单点登录继承登录信息，操作留痕回传HIS系统。继承 HIS 单点登录状态，会话超时、强制下线等由 HIS 统一控制。</w:t>
      </w:r>
    </w:p>
    <w:p w14:paraId="6D57DE39">
      <w:pPr>
        <w:pStyle w:val="72"/>
        <w:bidi w:val="0"/>
        <w:rPr>
          <w:rFonts w:hint="default"/>
          <w:highlight w:val="none"/>
        </w:rPr>
      </w:pPr>
      <w:r>
        <w:rPr>
          <w:rFonts w:hint="default"/>
          <w:highlight w:val="none"/>
        </w:rPr>
        <w:t>模块总体原则</w:t>
      </w:r>
      <w:r>
        <w:rPr>
          <w:rFonts w:hint="eastAsia"/>
          <w:highlight w:val="none"/>
          <w:lang w:eastAsia="zh-CN"/>
        </w:rPr>
        <w:t>：普通药品/耗材库存跟随 HIS，本模块只做</w:t>
      </w:r>
      <w:r>
        <w:rPr>
          <w:rFonts w:hint="eastAsia"/>
          <w:highlight w:val="none"/>
          <w:lang w:val="en-US" w:eastAsia="zh-CN"/>
        </w:rPr>
        <w:t>调用展示。仅</w:t>
      </w:r>
      <w:r>
        <w:rPr>
          <w:highlight w:val="none"/>
        </w:rPr>
        <w:t>特殊渠道药品/耗材库存</w:t>
      </w:r>
      <w:r>
        <w:rPr>
          <w:rFonts w:hint="eastAsia"/>
          <w:highlight w:val="none"/>
          <w:lang w:val="en-US" w:eastAsia="zh-CN"/>
        </w:rPr>
        <w:t>等项目在本模块</w:t>
      </w:r>
      <w:r>
        <w:rPr>
          <w:highlight w:val="none"/>
        </w:rPr>
        <w:t>独立管理</w:t>
      </w:r>
      <w:r>
        <w:rPr>
          <w:rFonts w:hint="eastAsia"/>
          <w:highlight w:val="none"/>
          <w:lang w:eastAsia="zh-CN"/>
        </w:rPr>
        <w:t>，</w:t>
      </w:r>
      <w:r>
        <w:rPr>
          <w:highlight w:val="none"/>
        </w:rPr>
        <w:t>覆盖进、存、用、耗、追溯最小闭环，不做全院级复杂库存。两条线数据隔离</w:t>
      </w:r>
      <w:r>
        <w:rPr>
          <w:rFonts w:hint="eastAsia"/>
          <w:highlight w:val="none"/>
          <w:lang w:eastAsia="zh-CN"/>
        </w:rPr>
        <w:t>，</w:t>
      </w:r>
      <w:r>
        <w:rPr>
          <w:highlight w:val="none"/>
        </w:rPr>
        <w:t>分开建账、分开查询、分开追溯。收费管理模块只传递消耗项标记与扣库触发信号，本模块负责扣库、计价、计量、回滚。</w:t>
      </w:r>
    </w:p>
    <w:p w14:paraId="2FA7C01C">
      <w:pPr>
        <w:pStyle w:val="72"/>
        <w:bidi w:val="0"/>
        <w:rPr>
          <w:rFonts w:hint="default"/>
          <w:highlight w:val="none"/>
        </w:rPr>
      </w:pPr>
      <w:r>
        <w:rPr>
          <w:rFonts w:hint="eastAsia"/>
          <w:highlight w:val="none"/>
          <w:lang w:val="en-US" w:eastAsia="zh-CN"/>
        </w:rPr>
        <w:t>一物一码</w:t>
      </w:r>
      <w:r>
        <w:rPr>
          <w:rStyle w:val="76"/>
          <w:rFonts w:hint="eastAsia"/>
          <w:highlight w:val="none"/>
          <w:lang w:val="en-US" w:eastAsia="zh-CN"/>
        </w:rPr>
        <w:t>管理：</w:t>
      </w:r>
      <w:r>
        <w:rPr>
          <w:rStyle w:val="76"/>
          <w:highlight w:val="none"/>
        </w:rPr>
        <w:t>对特殊渠道药品/耗材实行一物一码管理，最小包装单元唯一编码，全程可追溯。设独立的打码模块，负责编码生成、赋码、打码、标签打印、扫码识别。</w:t>
      </w:r>
    </w:p>
    <w:p w14:paraId="1A181EF5">
      <w:pPr>
        <w:pStyle w:val="73"/>
        <w:bidi w:val="0"/>
        <w:rPr>
          <w:rFonts w:hint="default"/>
          <w:highlight w:val="none"/>
        </w:rPr>
      </w:pPr>
      <w:r>
        <w:rPr>
          <w:rFonts w:hint="default"/>
          <w:highlight w:val="none"/>
        </w:rPr>
        <w:t>特殊渠道</w:t>
      </w:r>
      <w:r>
        <w:rPr>
          <w:rFonts w:hint="eastAsia"/>
          <w:highlight w:val="none"/>
          <w:lang w:val="en-US" w:eastAsia="zh-CN"/>
        </w:rPr>
        <w:t>项目库存管理</w:t>
      </w:r>
    </w:p>
    <w:p w14:paraId="6D851932">
      <w:pPr>
        <w:pStyle w:val="72"/>
        <w:bidi w:val="0"/>
        <w:rPr>
          <w:rFonts w:hint="default"/>
          <w:highlight w:val="none"/>
          <w:lang w:val="en-US"/>
        </w:rPr>
      </w:pPr>
      <w:r>
        <w:rPr>
          <w:rFonts w:hint="default"/>
          <w:highlight w:val="none"/>
        </w:rPr>
        <w:t>建</w:t>
      </w:r>
      <w:r>
        <w:rPr>
          <w:rFonts w:hint="eastAsia"/>
          <w:highlight w:val="none"/>
          <w:lang w:val="en-US" w:eastAsia="zh-CN"/>
        </w:rPr>
        <w:t>设</w:t>
      </w:r>
      <w:r>
        <w:rPr>
          <w:rFonts w:hint="default"/>
          <w:highlight w:val="none"/>
        </w:rPr>
        <w:t>特殊渠道药品基础</w:t>
      </w:r>
      <w:r>
        <w:rPr>
          <w:rFonts w:hint="eastAsia"/>
          <w:highlight w:val="none"/>
          <w:lang w:val="en-US" w:eastAsia="zh-CN"/>
        </w:rPr>
        <w:t>库存管理模块：仅面向类似港澳药械通等特殊渠道进口药品，在本模块内建轻量级 库存管理模块。</w:t>
      </w:r>
    </w:p>
    <w:p w14:paraId="1B5400D1">
      <w:pPr>
        <w:pStyle w:val="72"/>
        <w:bidi w:val="0"/>
        <w:rPr>
          <w:rFonts w:hint="eastAsia"/>
          <w:highlight w:val="none"/>
          <w:lang w:val="en-US" w:eastAsia="zh-CN"/>
        </w:rPr>
      </w:pPr>
      <w:r>
        <w:rPr>
          <w:rFonts w:hint="default"/>
          <w:highlight w:val="none"/>
          <w:lang w:val="en-US"/>
        </w:rPr>
        <w:t>基础字典</w:t>
      </w:r>
      <w:r>
        <w:rPr>
          <w:rFonts w:hint="eastAsia"/>
          <w:highlight w:val="none"/>
          <w:lang w:val="en-US" w:eastAsia="zh-CN"/>
        </w:rPr>
        <w:t>：支持维护特殊渠道药品、耗材字典、供货商字典、库位字典、批号规则（区分收费字典，仅维护进货相关信息）。药品基础信息参考HIS药品基本信息页，耗材参考HIS耗材信息及SPD耗材信息页，各模块基础信息要求与院内已建模块保持一致。</w:t>
      </w:r>
    </w:p>
    <w:p w14:paraId="0B4C8674">
      <w:pPr>
        <w:pStyle w:val="72"/>
        <w:bidi w:val="0"/>
        <w:rPr>
          <w:rFonts w:hint="eastAsia"/>
          <w:highlight w:val="none"/>
          <w:lang w:val="en-US" w:eastAsia="zh-CN"/>
        </w:rPr>
      </w:pPr>
      <w:r>
        <w:rPr>
          <w:rFonts w:hint="eastAsia"/>
          <w:highlight w:val="none"/>
          <w:lang w:val="en-US" w:eastAsia="zh-CN"/>
        </w:rPr>
        <w:t>支持</w:t>
      </w:r>
      <w:r>
        <w:rPr>
          <w:highlight w:val="none"/>
        </w:rPr>
        <w:t>采购与到货登记</w:t>
      </w:r>
      <w:r>
        <w:rPr>
          <w:rFonts w:hint="eastAsia"/>
          <w:highlight w:val="none"/>
          <w:lang w:eastAsia="zh-CN"/>
        </w:rPr>
        <w:t>，</w:t>
      </w:r>
      <w:r>
        <w:rPr>
          <w:rFonts w:hint="eastAsia"/>
          <w:highlight w:val="none"/>
          <w:lang w:val="en-US" w:eastAsia="zh-CN"/>
        </w:rPr>
        <w:t>比如</w:t>
      </w:r>
      <w:r>
        <w:rPr>
          <w:highlight w:val="none"/>
        </w:rPr>
        <w:t>登记采购申请、审批文号、到货信息、进口注册证号、批号、序列号、有效期</w:t>
      </w:r>
      <w:r>
        <w:rPr>
          <w:rFonts w:hint="eastAsia"/>
          <w:highlight w:val="none"/>
          <w:lang w:val="en-US" w:eastAsia="zh-CN"/>
        </w:rPr>
        <w:t>等。</w:t>
      </w:r>
    </w:p>
    <w:p w14:paraId="5F9B2CF9">
      <w:pPr>
        <w:pStyle w:val="72"/>
        <w:bidi w:val="0"/>
        <w:rPr>
          <w:rFonts w:hint="default"/>
          <w:highlight w:val="none"/>
          <w:lang w:val="en-US"/>
        </w:rPr>
      </w:pPr>
      <w:r>
        <w:rPr>
          <w:rFonts w:hint="eastAsia"/>
          <w:highlight w:val="none"/>
          <w:lang w:val="en-US" w:eastAsia="zh-CN"/>
        </w:rPr>
        <w:t>库存管理：支持</w:t>
      </w:r>
      <w:r>
        <w:rPr>
          <w:highlight w:val="none"/>
        </w:rPr>
        <w:t>入库管理</w:t>
      </w:r>
      <w:r>
        <w:rPr>
          <w:rFonts w:hint="eastAsia"/>
          <w:highlight w:val="none"/>
          <w:lang w:eastAsia="zh-CN"/>
        </w:rPr>
        <w:t>、</w:t>
      </w:r>
      <w:r>
        <w:rPr>
          <w:highlight w:val="none"/>
        </w:rPr>
        <w:t>出库管理</w:t>
      </w:r>
      <w:r>
        <w:rPr>
          <w:rFonts w:hint="eastAsia"/>
          <w:highlight w:val="none"/>
          <w:lang w:eastAsia="zh-CN"/>
        </w:rPr>
        <w:t>、</w:t>
      </w:r>
      <w:r>
        <w:rPr>
          <w:rFonts w:hint="eastAsia"/>
          <w:highlight w:val="none"/>
          <w:lang w:val="en-US" w:eastAsia="zh-CN"/>
        </w:rPr>
        <w:t>使用管理、</w:t>
      </w:r>
      <w:r>
        <w:rPr>
          <w:highlight w:val="none"/>
        </w:rPr>
        <w:t>库存查询</w:t>
      </w:r>
      <w:r>
        <w:rPr>
          <w:rFonts w:hint="eastAsia"/>
          <w:highlight w:val="none"/>
          <w:lang w:val="en-US" w:eastAsia="zh-CN"/>
        </w:rPr>
        <w:t>等。入库登记</w:t>
      </w:r>
      <w:r>
        <w:rPr>
          <w:highlight w:val="none"/>
        </w:rPr>
        <w:t>入库信息</w:t>
      </w:r>
      <w:r>
        <w:rPr>
          <w:rFonts w:hint="eastAsia"/>
          <w:highlight w:val="none"/>
          <w:lang w:eastAsia="zh-CN"/>
        </w:rPr>
        <w:t>，</w:t>
      </w:r>
      <w:r>
        <w:rPr>
          <w:rFonts w:hint="eastAsia"/>
          <w:highlight w:val="none"/>
          <w:lang w:val="en-US" w:eastAsia="zh-CN"/>
        </w:rPr>
        <w:t>出库关联医嘱。支持</w:t>
      </w:r>
      <w:r>
        <w:rPr>
          <w:highlight w:val="none"/>
        </w:rPr>
        <w:t>库存查询</w:t>
      </w:r>
      <w:r>
        <w:rPr>
          <w:rFonts w:hint="eastAsia"/>
          <w:highlight w:val="none"/>
          <w:lang w:eastAsia="zh-CN"/>
        </w:rPr>
        <w:t>，</w:t>
      </w:r>
      <w:r>
        <w:rPr>
          <w:rFonts w:hint="eastAsia"/>
          <w:highlight w:val="none"/>
          <w:lang w:val="en-US" w:eastAsia="zh-CN"/>
        </w:rPr>
        <w:t>包含</w:t>
      </w:r>
      <w:r>
        <w:rPr>
          <w:highlight w:val="none"/>
        </w:rPr>
        <w:t>可用数量</w:t>
      </w:r>
      <w:r>
        <w:rPr>
          <w:rFonts w:hint="eastAsia"/>
          <w:highlight w:val="none"/>
          <w:lang w:val="en-US" w:eastAsia="zh-CN"/>
        </w:rPr>
        <w:t>和</w:t>
      </w:r>
      <w:r>
        <w:rPr>
          <w:highlight w:val="none"/>
        </w:rPr>
        <w:t>锁定数量</w:t>
      </w:r>
      <w:r>
        <w:rPr>
          <w:rFonts w:hint="eastAsia"/>
          <w:highlight w:val="none"/>
          <w:lang w:val="en-US" w:eastAsia="zh-CN"/>
        </w:rPr>
        <w:t>等。支持</w:t>
      </w:r>
      <w:r>
        <w:rPr>
          <w:highlight w:val="none"/>
        </w:rPr>
        <w:t>库存预警</w:t>
      </w:r>
      <w:r>
        <w:rPr>
          <w:rFonts w:hint="eastAsia"/>
          <w:highlight w:val="none"/>
          <w:lang w:eastAsia="zh-CN"/>
        </w:rPr>
        <w:t>、</w:t>
      </w:r>
      <w:r>
        <w:rPr>
          <w:highlight w:val="none"/>
        </w:rPr>
        <w:t>库存盘点</w:t>
      </w:r>
      <w:r>
        <w:rPr>
          <w:rFonts w:hint="eastAsia"/>
          <w:highlight w:val="none"/>
          <w:lang w:eastAsia="zh-CN"/>
        </w:rPr>
        <w:t>、</w:t>
      </w:r>
      <w:r>
        <w:rPr>
          <w:highlight w:val="none"/>
        </w:rPr>
        <w:t>弃置与销毁</w:t>
      </w:r>
      <w:r>
        <w:rPr>
          <w:rFonts w:hint="eastAsia"/>
          <w:highlight w:val="none"/>
          <w:lang w:eastAsia="zh-CN"/>
        </w:rPr>
        <w:t>、</w:t>
      </w:r>
      <w:r>
        <w:rPr>
          <w:highlight w:val="none"/>
        </w:rPr>
        <w:t>召回管理</w:t>
      </w:r>
      <w:r>
        <w:rPr>
          <w:rFonts w:hint="eastAsia"/>
          <w:highlight w:val="none"/>
          <w:lang w:val="en-US" w:eastAsia="zh-CN"/>
        </w:rPr>
        <w:t>等库存基本模块。</w:t>
      </w:r>
    </w:p>
    <w:p w14:paraId="1DB905F5">
      <w:pPr>
        <w:pStyle w:val="73"/>
        <w:bidi w:val="0"/>
        <w:rPr>
          <w:rFonts w:hint="default"/>
          <w:highlight w:val="none"/>
        </w:rPr>
      </w:pPr>
      <w:r>
        <w:rPr>
          <w:rFonts w:hint="eastAsia"/>
          <w:highlight w:val="none"/>
          <w:lang w:val="en-US" w:eastAsia="zh-CN"/>
        </w:rPr>
        <w:t>收费扣库</w:t>
      </w:r>
    </w:p>
    <w:p w14:paraId="3FD07972">
      <w:pPr>
        <w:pStyle w:val="72"/>
        <w:bidi w:val="0"/>
        <w:rPr>
          <w:rFonts w:hint="default"/>
          <w:highlight w:val="none"/>
        </w:rPr>
      </w:pPr>
      <w:r>
        <w:rPr>
          <w:highlight w:val="none"/>
        </w:rPr>
        <w:t>消耗项接收</w:t>
      </w:r>
      <w:r>
        <w:rPr>
          <w:rFonts w:hint="eastAsia"/>
          <w:highlight w:val="none"/>
          <w:lang w:eastAsia="zh-CN"/>
        </w:rPr>
        <w:t>：</w:t>
      </w:r>
      <w:r>
        <w:rPr>
          <w:highlight w:val="none"/>
        </w:rPr>
        <w:t>接收收费管理模块传递的消耗项标记与扣库触发信号</w:t>
      </w:r>
      <w:r>
        <w:rPr>
          <w:rFonts w:hint="eastAsia"/>
          <w:highlight w:val="none"/>
          <w:lang w:eastAsia="zh-CN"/>
        </w:rPr>
        <w:t>。</w:t>
      </w:r>
      <w:r>
        <w:rPr>
          <w:highlight w:val="none"/>
        </w:rPr>
        <w:t>按实际消耗的收费项目数量扣减库存，普通收费项目走 HIS 接口，特殊渠道药品/耗材走本模块。支持先进先出、后进先出、加权平均、移动平均、个别计价等计价方式。支持拆零扣库、整包扣库、按剂量扣库。</w:t>
      </w:r>
    </w:p>
    <w:p w14:paraId="695D1E66">
      <w:pPr>
        <w:pStyle w:val="72"/>
        <w:bidi w:val="0"/>
        <w:rPr>
          <w:rFonts w:hint="default"/>
          <w:highlight w:val="none"/>
        </w:rPr>
      </w:pPr>
      <w:r>
        <w:rPr>
          <w:rFonts w:hint="default"/>
          <w:highlight w:val="none"/>
        </w:rPr>
        <w:t>普通</w:t>
      </w:r>
      <w:r>
        <w:rPr>
          <w:rFonts w:hint="eastAsia"/>
          <w:highlight w:val="none"/>
          <w:lang w:val="en-US" w:eastAsia="zh-CN"/>
        </w:rPr>
        <w:t>项目</w:t>
      </w:r>
      <w:r>
        <w:rPr>
          <w:rFonts w:hint="default"/>
          <w:highlight w:val="none"/>
        </w:rPr>
        <w:t>库存</w:t>
      </w:r>
      <w:r>
        <w:rPr>
          <w:rFonts w:hint="eastAsia"/>
          <w:highlight w:val="none"/>
          <w:lang w:val="en-US" w:eastAsia="zh-CN"/>
        </w:rPr>
        <w:t>扣取：衔接国际收费，接收收费管理模块传来的普通药品扣库需求，调用 HIS 对应接口完成库存操作。</w:t>
      </w:r>
      <w:r>
        <w:rPr>
          <w:highlight w:val="none"/>
        </w:rPr>
        <w:t>接收收费管理模块传递的扣库触发信号，含处方号、</w:t>
      </w:r>
      <w:r>
        <w:rPr>
          <w:rFonts w:hint="eastAsia"/>
          <w:highlight w:val="none"/>
          <w:lang w:val="en-US" w:eastAsia="zh-CN"/>
        </w:rPr>
        <w:t>项目</w:t>
      </w:r>
      <w:r>
        <w:rPr>
          <w:highlight w:val="none"/>
        </w:rPr>
        <w:t>、数量、患者、医生、科室。调用 HIS 库存接口校验实时库存、可用数量、批号效期、锁定状态。调用 HIS 对应接口完成库存扣减操作。将 HIS 扣库结果回写收费管理模块。</w:t>
      </w:r>
      <w:r>
        <w:rPr>
          <w:rFonts w:hint="eastAsia"/>
          <w:highlight w:val="none"/>
          <w:lang w:val="en-US" w:eastAsia="zh-CN"/>
        </w:rPr>
        <w:t>支持</w:t>
      </w:r>
      <w:r>
        <w:rPr>
          <w:highlight w:val="none"/>
        </w:rPr>
        <w:t>扣库失败</w:t>
      </w:r>
      <w:r>
        <w:rPr>
          <w:rFonts w:hint="eastAsia"/>
          <w:highlight w:val="none"/>
          <w:lang w:val="en-US" w:eastAsia="zh-CN"/>
        </w:rPr>
        <w:t>返回提醒</w:t>
      </w:r>
      <w:r>
        <w:rPr>
          <w:rFonts w:hint="eastAsia"/>
          <w:highlight w:val="none"/>
          <w:lang w:eastAsia="zh-CN"/>
        </w:rPr>
        <w:t>，</w:t>
      </w:r>
      <w:r>
        <w:rPr>
          <w:rFonts w:hint="eastAsia"/>
          <w:highlight w:val="none"/>
          <w:lang w:val="en-US" w:eastAsia="zh-CN"/>
        </w:rPr>
        <w:t>比如</w:t>
      </w:r>
      <w:r>
        <w:rPr>
          <w:highlight w:val="none"/>
        </w:rPr>
        <w:t>库存不足、批号过期</w:t>
      </w:r>
      <w:r>
        <w:rPr>
          <w:rFonts w:hint="eastAsia"/>
          <w:highlight w:val="none"/>
          <w:lang w:val="en-US" w:eastAsia="zh-CN"/>
        </w:rPr>
        <w:t>等。</w:t>
      </w:r>
      <w:r>
        <w:rPr>
          <w:highlight w:val="none"/>
        </w:rPr>
        <w:t>取消核销、退费、退药时，调用 HIS 接口回滚扣库。本模块不维护普通药品库存账，不直接修改 HIS 库存数据。</w:t>
      </w:r>
    </w:p>
    <w:p w14:paraId="48DFDF6F">
      <w:pPr>
        <w:pStyle w:val="73"/>
        <w:bidi w:val="0"/>
        <w:rPr>
          <w:rFonts w:hint="default"/>
          <w:highlight w:val="none"/>
        </w:rPr>
      </w:pPr>
      <w:r>
        <w:rPr>
          <w:rFonts w:hint="eastAsia"/>
          <w:highlight w:val="none"/>
          <w:lang w:val="en-US" w:eastAsia="zh-CN"/>
        </w:rPr>
        <w:t>一物一码模块</w:t>
      </w:r>
    </w:p>
    <w:p w14:paraId="0ECBD8D0">
      <w:pPr>
        <w:pStyle w:val="72"/>
        <w:bidi w:val="0"/>
        <w:rPr>
          <w:rFonts w:hint="default"/>
          <w:highlight w:val="none"/>
        </w:rPr>
      </w:pPr>
      <w:r>
        <w:rPr>
          <w:rFonts w:hint="eastAsia"/>
          <w:highlight w:val="none"/>
          <w:lang w:val="en-US" w:eastAsia="zh-CN"/>
        </w:rPr>
        <w:t>支持编码生成、赋码、打码、标签打印、扫码识别，支持</w:t>
      </w:r>
      <w:r>
        <w:rPr>
          <w:highlight w:val="none"/>
        </w:rPr>
        <w:t>按编码规则生成唯一编码，支持批量生成、单件生成。</w:t>
      </w:r>
      <w:r>
        <w:rPr>
          <w:rFonts w:hint="eastAsia"/>
          <w:highlight w:val="none"/>
          <w:lang w:val="en-US" w:eastAsia="zh-CN"/>
        </w:rPr>
        <w:t>支持</w:t>
      </w:r>
      <w:r>
        <w:rPr>
          <w:highlight w:val="none"/>
        </w:rPr>
        <w:t>将编码赋予最小包装单元，建立码与商品绑定关系。</w:t>
      </w:r>
    </w:p>
    <w:p w14:paraId="1569CFFB">
      <w:pPr>
        <w:pStyle w:val="72"/>
        <w:bidi w:val="0"/>
        <w:rPr>
          <w:rFonts w:hint="default"/>
          <w:highlight w:val="none"/>
        </w:rPr>
      </w:pPr>
      <w:r>
        <w:rPr>
          <w:rFonts w:hint="eastAsia"/>
          <w:highlight w:val="none"/>
          <w:lang w:val="en-US" w:eastAsia="zh-CN"/>
        </w:rPr>
        <w:t>编码扫码：</w:t>
      </w:r>
      <w:r>
        <w:rPr>
          <w:highlight w:val="none"/>
        </w:rPr>
        <w:t>支持二维码、条形码、RFID 等打码方式，支持标签模板配置与打印。支持扫码枪、PDA、手机扫码识别，返回编码对应商品与业务信息。打码后编码信息传递至库存模块，用于入库、出库、使用、追溯。编码信息形成一物一码追溯链。</w:t>
      </w:r>
    </w:p>
    <w:p w14:paraId="3C8BC3F1">
      <w:pPr>
        <w:pStyle w:val="73"/>
        <w:bidi w:val="0"/>
        <w:rPr>
          <w:rFonts w:hint="default"/>
          <w:highlight w:val="none"/>
        </w:rPr>
      </w:pPr>
      <w:r>
        <w:rPr>
          <w:rFonts w:hint="eastAsia"/>
          <w:highlight w:val="none"/>
          <w:lang w:val="en-US" w:eastAsia="zh-CN"/>
        </w:rPr>
        <w:t>供应管理</w:t>
      </w:r>
    </w:p>
    <w:p w14:paraId="01D4F899">
      <w:pPr>
        <w:pStyle w:val="72"/>
        <w:bidi w:val="0"/>
        <w:rPr>
          <w:rFonts w:hint="default"/>
          <w:highlight w:val="none"/>
        </w:rPr>
      </w:pPr>
      <w:r>
        <w:rPr>
          <w:rFonts w:hint="default"/>
          <w:highlight w:val="none"/>
        </w:rPr>
        <w:t>特殊渠道药品/耗材供应</w:t>
      </w:r>
      <w:r>
        <w:rPr>
          <w:rFonts w:hint="eastAsia"/>
          <w:highlight w:val="none"/>
          <w:lang w:eastAsia="zh-CN"/>
        </w:rPr>
        <w:t>：在本模块内维护特殊渠道供货商、采购、跨境配送信息，</w:t>
      </w:r>
      <w:r>
        <w:rPr>
          <w:highlight w:val="none"/>
        </w:rPr>
        <w:t>维护特殊渠道供货商资质、联系方式、合作协议。</w:t>
      </w:r>
    </w:p>
    <w:p w14:paraId="4C479E09">
      <w:pPr>
        <w:pStyle w:val="73"/>
        <w:bidi w:val="0"/>
        <w:ind w:left="1250" w:leftChars="0" w:hanging="967" w:firstLineChars="0"/>
        <w:rPr>
          <w:rFonts w:hint="default"/>
          <w:highlight w:val="none"/>
        </w:rPr>
      </w:pPr>
      <w:r>
        <w:rPr>
          <w:rFonts w:hint="default"/>
          <w:highlight w:val="none"/>
        </w:rPr>
        <w:t>报表与统计</w:t>
      </w:r>
    </w:p>
    <w:p w14:paraId="718E6767">
      <w:pPr>
        <w:pStyle w:val="72"/>
        <w:bidi w:val="0"/>
        <w:rPr>
          <w:rFonts w:hint="default"/>
          <w:highlight w:val="none"/>
        </w:rPr>
      </w:pPr>
      <w:r>
        <w:rPr>
          <w:highlight w:val="none"/>
        </w:rPr>
        <w:t>收费项目扣库报表</w:t>
      </w:r>
      <w:r>
        <w:rPr>
          <w:rFonts w:hint="eastAsia"/>
          <w:highlight w:val="none"/>
          <w:lang w:eastAsia="zh-CN"/>
        </w:rPr>
        <w:t>：</w:t>
      </w:r>
      <w:r>
        <w:rPr>
          <w:highlight w:val="none"/>
        </w:rPr>
        <w:t>生成特殊渠道药品/耗材库存报表，含入库、出库、使用、弃置、销毁。生成一物一码赋码、打码、扫码、追溯报表。生成扣库明细报表，含扣库量、回滚量、差异量、库存来源。</w:t>
      </w:r>
      <w:r>
        <w:rPr>
          <w:rFonts w:hint="eastAsia"/>
          <w:highlight w:val="none"/>
          <w:lang w:val="en-US" w:eastAsia="zh-CN"/>
        </w:rPr>
        <w:tab/>
      </w:r>
    </w:p>
    <w:p w14:paraId="1230DE07">
      <w:pPr>
        <w:pStyle w:val="73"/>
        <w:bidi w:val="0"/>
        <w:rPr>
          <w:rFonts w:hint="default"/>
          <w:highlight w:val="none"/>
        </w:rPr>
      </w:pPr>
      <w:r>
        <w:rPr>
          <w:rFonts w:hint="default"/>
          <w:highlight w:val="none"/>
        </w:rPr>
        <w:t>消息与风控合规</w:t>
      </w:r>
    </w:p>
    <w:p w14:paraId="0E42EB34">
      <w:pPr>
        <w:pStyle w:val="72"/>
        <w:bidi w:val="0"/>
        <w:ind w:left="1670" w:leftChars="0" w:hanging="1103" w:firstLineChars="0"/>
        <w:rPr>
          <w:rFonts w:hint="default"/>
          <w:highlight w:val="none"/>
        </w:rPr>
      </w:pPr>
      <w:r>
        <w:rPr>
          <w:rFonts w:hint="default"/>
          <w:highlight w:val="none"/>
        </w:rPr>
        <w:t>消息通知</w:t>
      </w:r>
      <w:r>
        <w:rPr>
          <w:rFonts w:hint="eastAsia"/>
          <w:highlight w:val="none"/>
          <w:lang w:eastAsia="zh-CN"/>
        </w:rPr>
        <w:t>：</w:t>
      </w:r>
      <w:r>
        <w:rPr>
          <w:rFonts w:hint="eastAsia"/>
          <w:highlight w:val="none"/>
          <w:lang w:val="en-US" w:eastAsia="zh-CN"/>
        </w:rPr>
        <w:t>支持低库存、近效期、过期、审批到期、召回、扣库失败、打码异常等推送。</w:t>
      </w:r>
    </w:p>
    <w:p w14:paraId="30818088">
      <w:pPr>
        <w:pStyle w:val="72"/>
        <w:bidi w:val="0"/>
        <w:ind w:left="1670" w:leftChars="0" w:hanging="1103" w:firstLineChars="0"/>
        <w:rPr>
          <w:rFonts w:hint="eastAsia"/>
          <w:highlight w:val="none"/>
          <w:lang w:eastAsia="zh-CN"/>
        </w:rPr>
      </w:pPr>
      <w:r>
        <w:rPr>
          <w:rFonts w:hint="default"/>
          <w:highlight w:val="none"/>
        </w:rPr>
        <w:t>库存风控</w:t>
      </w:r>
      <w:r>
        <w:rPr>
          <w:rFonts w:hint="eastAsia"/>
          <w:highlight w:val="none"/>
          <w:lang w:eastAsia="zh-CN"/>
        </w:rPr>
        <w:t>：对异常扣库、频繁回滚、大额出库、重复码、异常扫码等进行风控校验。核验操作人、使用人、患者一致性。</w:t>
      </w:r>
    </w:p>
    <w:p w14:paraId="61319410">
      <w:pPr>
        <w:pStyle w:val="72"/>
        <w:bidi w:val="0"/>
        <w:ind w:left="1670" w:leftChars="0" w:hanging="1103" w:firstLineChars="0"/>
        <w:rPr>
          <w:rFonts w:hint="eastAsia"/>
          <w:highlight w:val="none"/>
          <w:lang w:eastAsia="zh-CN"/>
        </w:rPr>
      </w:pPr>
      <w:r>
        <w:rPr>
          <w:rFonts w:hint="eastAsia"/>
          <w:highlight w:val="none"/>
          <w:lang w:eastAsia="zh-CN"/>
        </w:rPr>
        <w:t>合规留痕：入库、出库、使用、弃置、销毁、扣库、回滚、赋码、打码、扫码全程留痕。</w:t>
      </w:r>
    </w:p>
    <w:p w14:paraId="3445C07C">
      <w:pPr>
        <w:pStyle w:val="72"/>
        <w:bidi w:val="0"/>
        <w:ind w:left="1670" w:leftChars="0" w:hanging="1103" w:firstLineChars="0"/>
        <w:rPr>
          <w:rFonts w:hint="default"/>
          <w:highlight w:val="none"/>
        </w:rPr>
      </w:pPr>
      <w:r>
        <w:rPr>
          <w:rFonts w:hint="default"/>
          <w:highlight w:val="none"/>
        </w:rPr>
        <w:t>数据授权</w:t>
      </w:r>
      <w:r>
        <w:rPr>
          <w:rFonts w:hint="eastAsia"/>
          <w:highlight w:val="none"/>
          <w:lang w:eastAsia="zh-CN"/>
        </w:rPr>
        <w:t>：库存数据对外提供需经授权，遵循授权范围。</w:t>
      </w:r>
    </w:p>
    <w:p w14:paraId="0AF090CD">
      <w:pPr>
        <w:pStyle w:val="73"/>
        <w:numPr>
          <w:ilvl w:val="1"/>
          <w:numId w:val="0"/>
        </w:numPr>
        <w:ind w:left="283"/>
        <w:rPr>
          <w:rFonts w:hint="default"/>
          <w:color w:val="000000"/>
          <w:szCs w:val="21"/>
          <w:highlight w:val="none"/>
        </w:rPr>
      </w:pPr>
    </w:p>
    <w:tbl>
      <w:tblPr>
        <w:tblStyle w:val="26"/>
        <w:tblW w:w="5000" w:type="pct"/>
        <w:tblInd w:w="0" w:type="dxa"/>
        <w:tblLayout w:type="autofit"/>
        <w:tblCellMar>
          <w:top w:w="0" w:type="dxa"/>
          <w:left w:w="108" w:type="dxa"/>
          <w:bottom w:w="0" w:type="dxa"/>
          <w:right w:w="108" w:type="dxa"/>
        </w:tblCellMar>
      </w:tblPr>
      <w:tblGrid>
        <w:gridCol w:w="1042"/>
        <w:gridCol w:w="8244"/>
      </w:tblGrid>
      <w:tr w14:paraId="330CB181">
        <w:tblPrEx>
          <w:tblCellMar>
            <w:top w:w="0" w:type="dxa"/>
            <w:left w:w="108" w:type="dxa"/>
            <w:bottom w:w="0" w:type="dxa"/>
            <w:right w:w="108" w:type="dxa"/>
          </w:tblCellMar>
        </w:tblPrEx>
        <w:trPr>
          <w:trHeight w:val="320"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69623E7A">
            <w:pPr>
              <w:widowControl/>
              <w:snapToGrid w:val="0"/>
              <w:jc w:val="left"/>
              <w:outlineLvl w:val="1"/>
              <w:rPr>
                <w:rFonts w:ascii="微软雅黑" w:hAnsi="微软雅黑" w:eastAsia="微软雅黑" w:cs="微软雅黑"/>
                <w:b/>
                <w:bCs/>
                <w:color w:val="000000"/>
                <w:szCs w:val="21"/>
                <w:highlight w:val="none"/>
              </w:rPr>
            </w:pPr>
            <w:bookmarkStart w:id="16" w:name="_Toc30778"/>
            <w:r>
              <w:rPr>
                <w:rFonts w:hint="eastAsia" w:ascii="微软雅黑" w:hAnsi="微软雅黑" w:eastAsia="微软雅黑" w:cs="微软雅黑"/>
                <w:b/>
                <w:bCs/>
                <w:sz w:val="24"/>
                <w:szCs w:val="32"/>
                <w:highlight w:val="none"/>
              </w:rPr>
              <w:t>（</w:t>
            </w:r>
            <w:r>
              <w:rPr>
                <w:rFonts w:hint="eastAsia" w:ascii="微软雅黑" w:hAnsi="微软雅黑" w:eastAsia="微软雅黑" w:cs="微软雅黑"/>
                <w:b/>
                <w:bCs/>
                <w:sz w:val="24"/>
                <w:szCs w:val="32"/>
                <w:highlight w:val="none"/>
                <w:lang w:val="en-US" w:eastAsia="zh-CN"/>
              </w:rPr>
              <w:t>五</w:t>
            </w:r>
            <w:r>
              <w:rPr>
                <w:rFonts w:hint="eastAsia" w:ascii="微软雅黑" w:hAnsi="微软雅黑" w:eastAsia="微软雅黑" w:cs="微软雅黑"/>
                <w:b/>
                <w:bCs/>
                <w:sz w:val="24"/>
                <w:szCs w:val="32"/>
                <w:highlight w:val="none"/>
              </w:rPr>
              <w:t>）运营管理模块细项</w:t>
            </w:r>
            <w:bookmarkEnd w:id="16"/>
          </w:p>
        </w:tc>
      </w:tr>
      <w:tr w14:paraId="5997A589">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4B3FCAFA">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1</w:t>
            </w:r>
          </w:p>
        </w:tc>
        <w:tc>
          <w:tcPr>
            <w:tcW w:w="4438" w:type="pct"/>
            <w:tcBorders>
              <w:top w:val="single" w:color="auto" w:sz="4" w:space="0"/>
              <w:left w:val="single" w:color="auto" w:sz="4" w:space="0"/>
              <w:bottom w:val="single" w:color="auto" w:sz="4" w:space="0"/>
              <w:right w:val="single" w:color="auto" w:sz="4" w:space="0"/>
            </w:tcBorders>
            <w:shd w:val="clear" w:color="auto" w:fill="auto"/>
            <w:vAlign w:val="center"/>
          </w:tcPr>
          <w:p w14:paraId="654C1F70">
            <w:pPr>
              <w:widowControl/>
              <w:snapToGrid w:val="0"/>
              <w:rPr>
                <w:rFonts w:hint="default"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color w:val="000000"/>
                <w:szCs w:val="21"/>
                <w:highlight w:val="none"/>
                <w:lang w:val="en-US" w:eastAsia="zh-CN"/>
              </w:rPr>
              <w:t>模块构造</w:t>
            </w:r>
            <w:r>
              <w:rPr>
                <w:rFonts w:hint="eastAsia" w:ascii="微软雅黑" w:hAnsi="微软雅黑" w:eastAsia="微软雅黑" w:cs="微软雅黑"/>
                <w:color w:val="000000"/>
                <w:szCs w:val="21"/>
                <w:highlight w:val="none"/>
              </w:rPr>
              <w:t>：</w:t>
            </w:r>
            <w:r>
              <w:rPr>
                <w:rFonts w:hint="eastAsia" w:ascii="微软雅黑" w:hAnsi="微软雅黑" w:eastAsia="微软雅黑" w:cs="微软雅黑"/>
                <w:color w:val="000000"/>
                <w:szCs w:val="21"/>
                <w:highlight w:val="none"/>
                <w:lang w:val="en-US" w:eastAsia="zh-CN"/>
              </w:rPr>
              <w:t>独立</w:t>
            </w:r>
            <w:r>
              <w:rPr>
                <w:rFonts w:hint="eastAsia" w:ascii="微软雅黑" w:hAnsi="微软雅黑" w:eastAsia="微软雅黑" w:cs="微软雅黑"/>
                <w:color w:val="000000"/>
                <w:szCs w:val="21"/>
                <w:highlight w:val="none"/>
              </w:rPr>
              <w:t>于 HIS 进行模块化</w:t>
            </w:r>
            <w:r>
              <w:rPr>
                <w:rFonts w:hint="eastAsia" w:ascii="微软雅黑" w:hAnsi="微软雅黑" w:eastAsia="微软雅黑" w:cs="微软雅黑"/>
                <w:color w:val="000000"/>
                <w:szCs w:val="21"/>
                <w:highlight w:val="none"/>
                <w:lang w:val="en-US" w:eastAsia="zh-CN"/>
              </w:rPr>
              <w:t>建设</w:t>
            </w:r>
            <w:r>
              <w:rPr>
                <w:rFonts w:hint="eastAsia" w:ascii="微软雅黑" w:hAnsi="微软雅黑" w:eastAsia="微软雅黑" w:cs="微软雅黑"/>
                <w:color w:val="000000"/>
                <w:szCs w:val="21"/>
                <w:highlight w:val="none"/>
              </w:rPr>
              <w:t>。</w:t>
            </w:r>
          </w:p>
        </w:tc>
      </w:tr>
      <w:tr w14:paraId="371FF26D">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5961B281">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2</w:t>
            </w:r>
          </w:p>
        </w:tc>
        <w:tc>
          <w:tcPr>
            <w:tcW w:w="4438" w:type="pct"/>
            <w:tcBorders>
              <w:top w:val="single" w:color="auto" w:sz="4" w:space="0"/>
              <w:left w:val="single" w:color="auto" w:sz="4" w:space="0"/>
              <w:bottom w:val="single" w:color="auto" w:sz="4" w:space="0"/>
              <w:right w:val="single" w:color="auto" w:sz="4" w:space="0"/>
            </w:tcBorders>
            <w:vAlign w:val="center"/>
          </w:tcPr>
          <w:p w14:paraId="3C9EBA2E">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rPr>
              <w:t>人员信息维护：</w:t>
            </w:r>
            <w:r>
              <w:rPr>
                <w:rFonts w:hint="eastAsia" w:ascii="微软雅黑" w:hAnsi="微软雅黑" w:eastAsia="微软雅黑" w:cs="微软雅黑"/>
                <w:color w:val="000000"/>
                <w:szCs w:val="21"/>
                <w:highlight w:val="none"/>
                <w:lang w:val="en-US" w:eastAsia="zh-CN"/>
              </w:rPr>
              <w:t>提供模块维护人员基本信息，基本信息取自HIS，仅维护国际医疗信息。</w:t>
            </w:r>
          </w:p>
        </w:tc>
      </w:tr>
      <w:tr w14:paraId="60AB1F08">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1D8DA671">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3</w:t>
            </w:r>
          </w:p>
        </w:tc>
        <w:tc>
          <w:tcPr>
            <w:tcW w:w="4438" w:type="pct"/>
            <w:tcBorders>
              <w:top w:val="single" w:color="auto" w:sz="4" w:space="0"/>
              <w:left w:val="single" w:color="auto" w:sz="4" w:space="0"/>
              <w:bottom w:val="single" w:color="auto" w:sz="4" w:space="0"/>
              <w:right w:val="single" w:color="auto" w:sz="4" w:space="0"/>
            </w:tcBorders>
            <w:vAlign w:val="center"/>
          </w:tcPr>
          <w:p w14:paraId="438351AF">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rPr>
              <w:t>科室信息维护</w:t>
            </w:r>
            <w:r>
              <w:rPr>
                <w:rFonts w:hint="eastAsia" w:ascii="微软雅黑" w:hAnsi="微软雅黑" w:eastAsia="微软雅黑" w:cs="微软雅黑"/>
                <w:color w:val="000000"/>
                <w:szCs w:val="21"/>
                <w:highlight w:val="none"/>
                <w:lang w:eastAsia="zh-CN"/>
              </w:rPr>
              <w:t>：</w:t>
            </w:r>
            <w:r>
              <w:rPr>
                <w:rFonts w:hint="eastAsia" w:ascii="微软雅黑" w:hAnsi="微软雅黑" w:eastAsia="微软雅黑" w:cs="微软雅黑"/>
                <w:color w:val="000000"/>
                <w:szCs w:val="21"/>
                <w:highlight w:val="none"/>
                <w:lang w:val="en-US" w:eastAsia="zh-CN"/>
              </w:rPr>
              <w:t>对照医院接口获取医院人员科室树，增补科室国际医疗信息。</w:t>
            </w:r>
          </w:p>
        </w:tc>
      </w:tr>
      <w:tr w14:paraId="7772573E">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5C1DE170">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4</w:t>
            </w:r>
          </w:p>
        </w:tc>
        <w:tc>
          <w:tcPr>
            <w:tcW w:w="4438" w:type="pct"/>
            <w:tcBorders>
              <w:top w:val="single" w:color="auto" w:sz="4" w:space="0"/>
              <w:left w:val="single" w:color="auto" w:sz="4" w:space="0"/>
              <w:bottom w:val="single" w:color="auto" w:sz="4" w:space="0"/>
              <w:right w:val="single" w:color="auto" w:sz="4" w:space="0"/>
            </w:tcBorders>
            <w:vAlign w:val="center"/>
          </w:tcPr>
          <w:p w14:paraId="7C6B40B5">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预约系统对接：接受</w:t>
            </w:r>
            <w:r>
              <w:rPr>
                <w:rFonts w:hint="eastAsia" w:ascii="微软雅黑" w:hAnsi="微软雅黑" w:eastAsia="微软雅黑" w:cs="微软雅黑"/>
                <w:highlight w:val="none"/>
                <w:lang w:val="en-US" w:eastAsia="zh-CN"/>
              </w:rPr>
              <w:t>移动患者端用户平台的预约请求，形成预约信息并传给预约系统。</w:t>
            </w:r>
          </w:p>
        </w:tc>
      </w:tr>
      <w:tr w14:paraId="3056CB4D">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4563B6A8">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5</w:t>
            </w:r>
          </w:p>
        </w:tc>
        <w:tc>
          <w:tcPr>
            <w:tcW w:w="4438" w:type="pct"/>
            <w:tcBorders>
              <w:top w:val="single" w:color="auto" w:sz="4" w:space="0"/>
              <w:left w:val="single" w:color="auto" w:sz="4" w:space="0"/>
              <w:bottom w:val="single" w:color="auto" w:sz="4" w:space="0"/>
              <w:right w:val="single" w:color="auto" w:sz="4" w:space="0"/>
            </w:tcBorders>
            <w:vAlign w:val="center"/>
          </w:tcPr>
          <w:p w14:paraId="52D71E2D">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排班管理：形成排班管理后台，对照预约模块的展示。</w:t>
            </w:r>
          </w:p>
        </w:tc>
      </w:tr>
      <w:tr w14:paraId="6BF65440">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646D4333">
            <w:pPr>
              <w:widowControl/>
              <w:snapToGrid w:val="0"/>
              <w:jc w:val="center"/>
              <w:rPr>
                <w:rFonts w:ascii="微软雅黑" w:hAnsi="微软雅黑" w:eastAsia="微软雅黑" w:cs="微软雅黑"/>
                <w:color w:val="000000"/>
                <w:szCs w:val="21"/>
                <w:highlight w:val="none"/>
              </w:rPr>
            </w:pPr>
            <w:r>
              <w:rPr>
                <w:rFonts w:hint="eastAsia" w:ascii="微软雅黑" w:hAnsi="微软雅黑" w:eastAsia="微软雅黑" w:cs="微软雅黑"/>
                <w:color w:val="000000"/>
                <w:szCs w:val="21"/>
                <w:highlight w:val="none"/>
              </w:rPr>
              <w:t>6</w:t>
            </w:r>
          </w:p>
        </w:tc>
        <w:tc>
          <w:tcPr>
            <w:tcW w:w="4438" w:type="pct"/>
            <w:tcBorders>
              <w:top w:val="single" w:color="auto" w:sz="4" w:space="0"/>
              <w:left w:val="single" w:color="auto" w:sz="4" w:space="0"/>
              <w:bottom w:val="single" w:color="auto" w:sz="4" w:space="0"/>
              <w:right w:val="single" w:color="auto" w:sz="4" w:space="0"/>
            </w:tcBorders>
            <w:vAlign w:val="center"/>
          </w:tcPr>
          <w:p w14:paraId="745FCA02">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患者信息归档模块：将国际医疗系统上形成的信息，完整映射HIS上。</w:t>
            </w:r>
          </w:p>
        </w:tc>
      </w:tr>
      <w:tr w14:paraId="3AA1416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0464191C">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7</w:t>
            </w:r>
          </w:p>
        </w:tc>
        <w:tc>
          <w:tcPr>
            <w:tcW w:w="4438" w:type="pct"/>
            <w:tcBorders>
              <w:top w:val="single" w:color="auto" w:sz="4" w:space="0"/>
              <w:left w:val="single" w:color="auto" w:sz="4" w:space="0"/>
              <w:bottom w:val="single" w:color="auto" w:sz="4" w:space="0"/>
              <w:right w:val="single" w:color="auto" w:sz="4" w:space="0"/>
            </w:tcBorders>
            <w:vAlign w:val="center"/>
          </w:tcPr>
          <w:p w14:paraId="6836C5B0">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rPr>
              <w:t>用户与权限管理</w:t>
            </w:r>
            <w:r>
              <w:rPr>
                <w:rFonts w:hint="eastAsia" w:ascii="微软雅黑" w:hAnsi="微软雅黑" w:eastAsia="微软雅黑" w:cs="微软雅黑"/>
                <w:color w:val="000000"/>
                <w:szCs w:val="21"/>
                <w:highlight w:val="none"/>
                <w:lang w:val="en-US" w:eastAsia="zh-CN"/>
              </w:rPr>
              <w:t>模块：权限由HIS整体权限模块整体控制，接口传递权限信息。</w:t>
            </w:r>
          </w:p>
        </w:tc>
      </w:tr>
      <w:tr w14:paraId="56C648C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35F51C04">
            <w:pPr>
              <w:widowControl/>
              <w:snapToGrid w:val="0"/>
              <w:jc w:val="center"/>
              <w:rPr>
                <w:rFonts w:hint="eastAsia" w:ascii="微软雅黑" w:hAnsi="微软雅黑" w:eastAsia="微软雅黑" w:cs="微软雅黑"/>
                <w:color w:val="000000"/>
                <w:szCs w:val="21"/>
                <w:highlight w:val="none"/>
                <w:lang w:val="en-US" w:eastAsia="zh-CN"/>
              </w:rPr>
            </w:pPr>
            <w:bookmarkStart w:id="17" w:name="_Toc13705"/>
            <w:r>
              <w:rPr>
                <w:rFonts w:hint="eastAsia" w:ascii="微软雅黑" w:hAnsi="微软雅黑" w:eastAsia="微软雅黑" w:cs="微软雅黑"/>
                <w:color w:val="000000"/>
                <w:szCs w:val="21"/>
                <w:highlight w:val="none"/>
                <w:lang w:val="en-US" w:eastAsia="zh-CN"/>
              </w:rPr>
              <w:t>8</w:t>
            </w:r>
          </w:p>
        </w:tc>
        <w:tc>
          <w:tcPr>
            <w:tcW w:w="4438" w:type="pct"/>
            <w:tcBorders>
              <w:top w:val="single" w:color="auto" w:sz="4" w:space="0"/>
              <w:left w:val="single" w:color="auto" w:sz="4" w:space="0"/>
              <w:bottom w:val="single" w:color="auto" w:sz="4" w:space="0"/>
              <w:right w:val="single" w:color="auto" w:sz="4" w:space="0"/>
            </w:tcBorders>
            <w:vAlign w:val="center"/>
          </w:tcPr>
          <w:p w14:paraId="32C79273">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字典维护：维护对照字典等通用基础信息。</w:t>
            </w:r>
          </w:p>
        </w:tc>
      </w:tr>
      <w:tr w14:paraId="514724BA">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2926AA4C">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9</w:t>
            </w:r>
          </w:p>
        </w:tc>
        <w:tc>
          <w:tcPr>
            <w:tcW w:w="4438" w:type="pct"/>
            <w:tcBorders>
              <w:top w:val="single" w:color="auto" w:sz="4" w:space="0"/>
              <w:left w:val="single" w:color="auto" w:sz="4" w:space="0"/>
              <w:bottom w:val="single" w:color="auto" w:sz="4" w:space="0"/>
              <w:right w:val="single" w:color="auto" w:sz="4" w:space="0"/>
            </w:tcBorders>
            <w:vAlign w:val="center"/>
          </w:tcPr>
          <w:p w14:paraId="27D3B527">
            <w:pPr>
              <w:widowControl/>
              <w:snapToGrid w:val="0"/>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rPr>
              <w:t>统计分析</w:t>
            </w:r>
            <w:r>
              <w:rPr>
                <w:rFonts w:hint="eastAsia" w:ascii="微软雅黑" w:hAnsi="微软雅黑" w:eastAsia="微软雅黑" w:cs="微软雅黑"/>
                <w:color w:val="000000"/>
                <w:szCs w:val="21"/>
                <w:highlight w:val="none"/>
                <w:lang w:eastAsia="zh-CN"/>
              </w:rPr>
              <w:t>：</w:t>
            </w:r>
            <w:r>
              <w:rPr>
                <w:rFonts w:hint="eastAsia" w:ascii="微软雅黑" w:hAnsi="微软雅黑" w:eastAsia="微软雅黑" w:cs="微软雅黑"/>
                <w:color w:val="000000"/>
                <w:szCs w:val="21"/>
                <w:highlight w:val="none"/>
                <w:lang w:val="en-US" w:eastAsia="zh-CN"/>
              </w:rPr>
              <w:t>将其它模块的统计分析集中展示，分权限可阅读。</w:t>
            </w:r>
          </w:p>
        </w:tc>
      </w:tr>
      <w:tr w14:paraId="68075D5B">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1B391958">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10</w:t>
            </w:r>
          </w:p>
        </w:tc>
        <w:tc>
          <w:tcPr>
            <w:tcW w:w="4438" w:type="pct"/>
            <w:tcBorders>
              <w:top w:val="single" w:color="auto" w:sz="4" w:space="0"/>
              <w:left w:val="single" w:color="auto" w:sz="4" w:space="0"/>
              <w:bottom w:val="single" w:color="auto" w:sz="4" w:space="0"/>
              <w:right w:val="single" w:color="auto" w:sz="4" w:space="0"/>
            </w:tcBorders>
            <w:vAlign w:val="center"/>
          </w:tcPr>
          <w:p w14:paraId="3723894B">
            <w:pPr>
              <w:widowControl/>
              <w:snapToGrid w:val="0"/>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系统管理：痕迹管理、备份恢复、编码、字典、日志、配置等。</w:t>
            </w:r>
          </w:p>
        </w:tc>
      </w:tr>
    </w:tbl>
    <w:p w14:paraId="4B8B8211">
      <w:pPr>
        <w:pStyle w:val="73"/>
        <w:numPr>
          <w:ilvl w:val="1"/>
          <w:numId w:val="7"/>
        </w:numPr>
        <w:ind w:left="1250" w:leftChars="0" w:hanging="967" w:firstLineChars="0"/>
        <w:outlineLvl w:val="2"/>
        <w:rPr>
          <w:rFonts w:hint="default"/>
          <w:highlight w:val="none"/>
        </w:rPr>
      </w:pPr>
      <w:r>
        <w:rPr>
          <w:rFonts w:hint="eastAsia"/>
          <w:highlight w:val="none"/>
          <w:lang w:val="en-US" w:eastAsia="zh-CN"/>
        </w:rPr>
        <w:t>模块构造</w:t>
      </w:r>
      <w:bookmarkEnd w:id="17"/>
    </w:p>
    <w:p w14:paraId="25450EAC">
      <w:pPr>
        <w:pStyle w:val="72"/>
        <w:bidi w:val="0"/>
        <w:rPr>
          <w:rFonts w:hint="default"/>
          <w:highlight w:val="none"/>
        </w:rPr>
      </w:pPr>
      <w:r>
        <w:rPr>
          <w:rFonts w:hint="eastAsia"/>
          <w:highlight w:val="none"/>
          <w:lang w:val="en-US" w:eastAsia="zh-CN"/>
        </w:rPr>
        <w:t>模块形态：该模块为国际医疗平台的总体后台管理模块，系统的后台功能皆在此模块进行控制。</w:t>
      </w:r>
      <w:r>
        <w:rPr>
          <w:rFonts w:hint="default"/>
          <w:highlight w:val="none"/>
        </w:rPr>
        <w:t>该模块</w:t>
      </w:r>
      <w:r>
        <w:rPr>
          <w:rFonts w:hint="eastAsia"/>
          <w:highlight w:val="none"/>
          <w:lang w:val="en-US" w:eastAsia="zh-CN"/>
        </w:rPr>
        <w:t>独立于</w:t>
      </w:r>
      <w:r>
        <w:rPr>
          <w:rFonts w:hint="default"/>
          <w:highlight w:val="none"/>
        </w:rPr>
        <w:t xml:space="preserve"> HIS 可执行程序。</w:t>
      </w:r>
    </w:p>
    <w:p w14:paraId="0C278B12">
      <w:pPr>
        <w:pStyle w:val="72"/>
        <w:bidi w:val="0"/>
        <w:rPr>
          <w:rFonts w:hint="default"/>
          <w:highlight w:val="none"/>
        </w:rPr>
      </w:pPr>
      <w:r>
        <w:rPr>
          <w:rFonts w:hint="eastAsia"/>
          <w:highlight w:val="none"/>
          <w:lang w:val="en-US" w:eastAsia="zh-CN"/>
        </w:rPr>
        <w:t>模块构造原则：本模块只提供国际医疗额外基础数据、配置规则、权限审计、调度归档等公共支撑能力，各业务模块的专属维护页面仍归各模块，不重复维护。</w:t>
      </w:r>
    </w:p>
    <w:p w14:paraId="0DF6B483">
      <w:pPr>
        <w:pStyle w:val="73"/>
        <w:bidi w:val="0"/>
        <w:rPr>
          <w:rFonts w:hint="default"/>
          <w:highlight w:val="none"/>
        </w:rPr>
      </w:pPr>
      <w:r>
        <w:rPr>
          <w:rFonts w:hint="eastAsia"/>
          <w:highlight w:val="none"/>
          <w:lang w:val="en-US" w:eastAsia="zh-CN"/>
        </w:rPr>
        <w:t>人员信息维护</w:t>
      </w:r>
    </w:p>
    <w:p w14:paraId="723A7422">
      <w:pPr>
        <w:pStyle w:val="72"/>
        <w:bidi w:val="0"/>
        <w:rPr>
          <w:rFonts w:hint="default"/>
          <w:highlight w:val="none"/>
        </w:rPr>
      </w:pPr>
      <w:r>
        <w:rPr>
          <w:highlight w:val="none"/>
        </w:rPr>
        <w:t>基础信息同步</w:t>
      </w:r>
      <w:r>
        <w:rPr>
          <w:rFonts w:hint="eastAsia"/>
          <w:highlight w:val="none"/>
          <w:lang w:eastAsia="zh-CN"/>
        </w:rPr>
        <w:t>：</w:t>
      </w:r>
      <w:r>
        <w:rPr>
          <w:highlight w:val="none"/>
        </w:rPr>
        <w:t>从 HIS 同步人员基本信息，含姓名、工号、性别、职称、科室、执业资质</w:t>
      </w:r>
      <w:r>
        <w:rPr>
          <w:rFonts w:hint="eastAsia"/>
          <w:highlight w:val="none"/>
          <w:lang w:val="en-US" w:eastAsia="zh-CN"/>
        </w:rPr>
        <w:t>等信息，同步</w:t>
      </w:r>
      <w:r>
        <w:rPr>
          <w:highlight w:val="none"/>
        </w:rPr>
        <w:t>启用、停用、离职</w:t>
      </w:r>
      <w:r>
        <w:rPr>
          <w:rFonts w:hint="eastAsia"/>
          <w:highlight w:val="none"/>
          <w:lang w:val="en-US" w:eastAsia="zh-CN"/>
        </w:rPr>
        <w:t>等人员状态</w:t>
      </w:r>
    </w:p>
    <w:p w14:paraId="6E5936F5">
      <w:pPr>
        <w:pStyle w:val="72"/>
        <w:bidi w:val="0"/>
        <w:rPr>
          <w:rFonts w:hint="default"/>
          <w:highlight w:val="none"/>
        </w:rPr>
      </w:pPr>
      <w:r>
        <w:rPr>
          <w:highlight w:val="none"/>
        </w:rPr>
        <w:t>国际医疗信息增补</w:t>
      </w:r>
      <w:r>
        <w:rPr>
          <w:rFonts w:hint="eastAsia"/>
          <w:highlight w:val="none"/>
          <w:lang w:eastAsia="zh-CN"/>
        </w:rPr>
        <w:t>：</w:t>
      </w:r>
      <w:r>
        <w:rPr>
          <w:highlight w:val="none"/>
        </w:rPr>
        <w:t>仅维护国际医疗专属信息，含多语言姓名、国际诊疗资质、多点执业、语言能力、国际服务标签、简介。</w:t>
      </w:r>
      <w:r>
        <w:rPr>
          <w:rFonts w:hint="eastAsia"/>
          <w:highlight w:val="none"/>
          <w:lang w:val="en-US" w:eastAsia="zh-CN"/>
        </w:rPr>
        <w:t>相应信息回传HIS补全基本信息。</w:t>
      </w:r>
    </w:p>
    <w:p w14:paraId="482595B5">
      <w:pPr>
        <w:pStyle w:val="73"/>
        <w:bidi w:val="0"/>
        <w:rPr>
          <w:rFonts w:hint="default"/>
          <w:highlight w:val="none"/>
        </w:rPr>
      </w:pPr>
      <w:r>
        <w:rPr>
          <w:rFonts w:hint="default"/>
          <w:highlight w:val="none"/>
        </w:rPr>
        <w:t>科室信息维护</w:t>
      </w:r>
    </w:p>
    <w:p w14:paraId="5A264E3B">
      <w:pPr>
        <w:pStyle w:val="72"/>
        <w:bidi w:val="0"/>
        <w:rPr>
          <w:rFonts w:hint="default"/>
          <w:highlight w:val="none"/>
        </w:rPr>
      </w:pPr>
      <w:r>
        <w:rPr>
          <w:highlight w:val="none"/>
        </w:rPr>
        <w:t>科室树同步</w:t>
      </w:r>
      <w:r>
        <w:rPr>
          <w:rFonts w:hint="eastAsia"/>
          <w:highlight w:val="none"/>
          <w:lang w:eastAsia="zh-CN"/>
        </w:rPr>
        <w:t>：</w:t>
      </w:r>
      <w:r>
        <w:rPr>
          <w:highlight w:val="none"/>
        </w:rPr>
        <w:t>对照医院接口获取医院科室树</w:t>
      </w:r>
      <w:r>
        <w:rPr>
          <w:rFonts w:hint="eastAsia"/>
          <w:highlight w:val="none"/>
          <w:lang w:eastAsia="zh-CN"/>
        </w:rPr>
        <w:t>。</w:t>
      </w:r>
      <w:r>
        <w:rPr>
          <w:rFonts w:hint="eastAsia"/>
          <w:highlight w:val="none"/>
          <w:lang w:val="en-US" w:eastAsia="zh-CN"/>
        </w:rPr>
        <w:t>支持</w:t>
      </w:r>
      <w:r>
        <w:rPr>
          <w:highlight w:val="none"/>
        </w:rPr>
        <w:t>启用、停用、合并、拆分状态同步与维护</w:t>
      </w:r>
      <w:r>
        <w:rPr>
          <w:rFonts w:hint="eastAsia"/>
          <w:highlight w:val="none"/>
          <w:lang w:val="en-US" w:eastAsia="zh-CN"/>
        </w:rPr>
        <w:t>等科室状态管理。</w:t>
      </w:r>
    </w:p>
    <w:p w14:paraId="6D5C285C">
      <w:pPr>
        <w:pStyle w:val="72"/>
        <w:bidi w:val="0"/>
        <w:rPr>
          <w:rFonts w:hint="default"/>
          <w:highlight w:val="none"/>
        </w:rPr>
      </w:pPr>
      <w:r>
        <w:rPr>
          <w:rFonts w:hint="default"/>
          <w:highlight w:val="none"/>
        </w:rPr>
        <w:t>国际医疗信息增补</w:t>
      </w:r>
      <w:r>
        <w:rPr>
          <w:rFonts w:hint="eastAsia"/>
          <w:highlight w:val="none"/>
          <w:lang w:eastAsia="zh-CN"/>
        </w:rPr>
        <w:t>：</w:t>
      </w:r>
      <w:r>
        <w:rPr>
          <w:rFonts w:hint="eastAsia"/>
          <w:highlight w:val="none"/>
          <w:lang w:val="en-US" w:eastAsia="zh-CN"/>
        </w:rPr>
        <w:t>支持</w:t>
      </w:r>
      <w:r>
        <w:rPr>
          <w:highlight w:val="none"/>
        </w:rPr>
        <w:t>增补科室国际医疗信息，含繁体、英文名称、国际服务标识、多语言简介、位置</w:t>
      </w:r>
      <w:r>
        <w:rPr>
          <w:rFonts w:hint="eastAsia"/>
          <w:highlight w:val="none"/>
          <w:lang w:val="en-US" w:eastAsia="zh-CN"/>
        </w:rPr>
        <w:t>等信息</w:t>
      </w:r>
      <w:r>
        <w:rPr>
          <w:highlight w:val="none"/>
        </w:rPr>
        <w:t>。支持科室名称二次维护，不影响 HIS 原始数据。</w:t>
      </w:r>
    </w:p>
    <w:p w14:paraId="3E6EDB13">
      <w:pPr>
        <w:pStyle w:val="73"/>
        <w:bidi w:val="0"/>
        <w:rPr>
          <w:rFonts w:hint="default"/>
          <w:highlight w:val="none"/>
        </w:rPr>
      </w:pPr>
      <w:r>
        <w:rPr>
          <w:rFonts w:hint="eastAsia"/>
          <w:highlight w:val="none"/>
          <w:lang w:val="en-US" w:eastAsia="zh-CN"/>
        </w:rPr>
        <w:t>预约系统对接</w:t>
      </w:r>
    </w:p>
    <w:p w14:paraId="338A0471">
      <w:pPr>
        <w:pStyle w:val="72"/>
        <w:bidi w:val="0"/>
        <w:rPr>
          <w:rFonts w:hint="default"/>
          <w:highlight w:val="none"/>
        </w:rPr>
      </w:pPr>
      <w:r>
        <w:rPr>
          <w:highlight w:val="none"/>
        </w:rPr>
        <w:t>预约请求接收</w:t>
      </w:r>
      <w:r>
        <w:rPr>
          <w:rFonts w:hint="eastAsia"/>
          <w:highlight w:val="none"/>
          <w:lang w:eastAsia="zh-CN"/>
        </w:rPr>
        <w:t>：</w:t>
      </w:r>
      <w:r>
        <w:rPr>
          <w:highlight w:val="none"/>
        </w:rPr>
        <w:t>接收移动患者端用户平台的预约请求，含患者、科室、医生、时段、问诊形式。校验号源、排班、患者资格后形成预约信息。</w:t>
      </w:r>
    </w:p>
    <w:p w14:paraId="6ECF6107">
      <w:pPr>
        <w:pStyle w:val="72"/>
        <w:bidi w:val="0"/>
        <w:rPr>
          <w:rFonts w:hint="default"/>
          <w:highlight w:val="none"/>
        </w:rPr>
      </w:pPr>
      <w:r>
        <w:rPr>
          <w:highlight w:val="none"/>
        </w:rPr>
        <w:t>预约信息传递</w:t>
      </w:r>
      <w:r>
        <w:rPr>
          <w:rFonts w:hint="eastAsia"/>
          <w:highlight w:val="none"/>
          <w:lang w:eastAsia="zh-CN"/>
        </w:rPr>
        <w:t>：</w:t>
      </w:r>
      <w:r>
        <w:rPr>
          <w:highlight w:val="none"/>
        </w:rPr>
        <w:t>将预约信息传给预约系统，写入 HIS 挂号</w:t>
      </w:r>
      <w:r>
        <w:rPr>
          <w:rFonts w:hint="eastAsia"/>
          <w:highlight w:val="none"/>
          <w:lang w:val="en-US" w:eastAsia="zh-CN"/>
        </w:rPr>
        <w:t>并触发双语门诊叫号、预约接口</w:t>
      </w:r>
      <w:r>
        <w:rPr>
          <w:highlight w:val="none"/>
        </w:rPr>
        <w:t>。预约结果回写患者端与消息中心。</w:t>
      </w:r>
    </w:p>
    <w:p w14:paraId="797D00D8">
      <w:pPr>
        <w:pStyle w:val="72"/>
        <w:bidi w:val="0"/>
        <w:rPr>
          <w:rFonts w:hint="default"/>
          <w:highlight w:val="none"/>
        </w:rPr>
      </w:pPr>
      <w:r>
        <w:rPr>
          <w:highlight w:val="none"/>
        </w:rPr>
        <w:t>预约异常处理</w:t>
      </w:r>
      <w:r>
        <w:rPr>
          <w:rFonts w:hint="eastAsia"/>
          <w:highlight w:val="none"/>
          <w:lang w:eastAsia="zh-CN"/>
        </w:rPr>
        <w:t>：</w:t>
      </w:r>
      <w:r>
        <w:rPr>
          <w:highlight w:val="none"/>
        </w:rPr>
        <w:t>号源冲突、排班变更、患者资格不符异常</w:t>
      </w:r>
      <w:r>
        <w:rPr>
          <w:rFonts w:hint="eastAsia"/>
          <w:highlight w:val="none"/>
          <w:lang w:val="en-US" w:eastAsia="zh-CN"/>
        </w:rPr>
        <w:t>情况，对接院内各个服务模块系统进行处理</w:t>
      </w:r>
      <w:r>
        <w:rPr>
          <w:highlight w:val="none"/>
        </w:rPr>
        <w:t>。</w:t>
      </w:r>
    </w:p>
    <w:p w14:paraId="5C3B3B87">
      <w:pPr>
        <w:pStyle w:val="72"/>
        <w:bidi w:val="0"/>
        <w:rPr>
          <w:rFonts w:hint="default"/>
          <w:highlight w:val="none"/>
        </w:rPr>
      </w:pPr>
      <w:r>
        <w:rPr>
          <w:rFonts w:hint="eastAsia"/>
          <w:highlight w:val="none"/>
          <w:lang w:val="en-US" w:eastAsia="zh-CN"/>
        </w:rPr>
        <w:t>数据同步：同步HIS基础数据英文字段数据，如午别，科室，专业类别，挂号级别，人员英文信息。同步HIS排班数据，增加英文字段同步。同步预约挂号数据、预约支付信息、取消预约数据给HIS</w:t>
      </w:r>
      <w:r>
        <w:rPr>
          <w:rFonts w:hint="eastAsia"/>
          <w:highlight w:val="none"/>
          <w:lang w:eastAsia="zh-CN"/>
        </w:rPr>
        <w:t>。</w:t>
      </w:r>
    </w:p>
    <w:p w14:paraId="2B6F4894">
      <w:pPr>
        <w:pStyle w:val="73"/>
        <w:bidi w:val="0"/>
        <w:rPr>
          <w:rFonts w:hint="default"/>
          <w:highlight w:val="none"/>
        </w:rPr>
      </w:pPr>
      <w:r>
        <w:rPr>
          <w:rFonts w:hint="default"/>
          <w:highlight w:val="none"/>
        </w:rPr>
        <w:t>排班管理</w:t>
      </w:r>
    </w:p>
    <w:p w14:paraId="3A588CE3">
      <w:pPr>
        <w:pStyle w:val="72"/>
        <w:bidi w:val="0"/>
        <w:rPr>
          <w:rFonts w:hint="default"/>
          <w:highlight w:val="none"/>
        </w:rPr>
      </w:pPr>
      <w:r>
        <w:rPr>
          <w:rFonts w:hint="default"/>
          <w:highlight w:val="none"/>
        </w:rPr>
        <w:t>排班后台</w:t>
      </w:r>
      <w:r>
        <w:rPr>
          <w:rFonts w:hint="eastAsia"/>
          <w:highlight w:val="none"/>
          <w:lang w:eastAsia="zh-CN"/>
        </w:rPr>
        <w:t>：</w:t>
      </w:r>
      <w:r>
        <w:rPr>
          <w:rFonts w:hint="eastAsia"/>
          <w:highlight w:val="none"/>
          <w:lang w:val="en-US" w:eastAsia="zh-CN"/>
        </w:rPr>
        <w:t>建设和原有排班模块类似的页面，</w:t>
      </w:r>
      <w:r>
        <w:rPr>
          <w:highlight w:val="none"/>
        </w:rPr>
        <w:t>支持周排班、日排班、节假日配置。建立 24 小时跨时区互联网在线值班机制，满足全球患者实时接诊。支持线上门诊和线下门诊排班统一管理。支持医生临时排班</w:t>
      </w:r>
      <w:r>
        <w:rPr>
          <w:rFonts w:hint="eastAsia"/>
          <w:highlight w:val="none"/>
          <w:lang w:val="en-US" w:eastAsia="zh-CN"/>
        </w:rPr>
        <w:t>等</w:t>
      </w:r>
    </w:p>
    <w:p w14:paraId="0725FAE7">
      <w:pPr>
        <w:pStyle w:val="72"/>
        <w:bidi w:val="0"/>
        <w:rPr>
          <w:rFonts w:hint="default"/>
          <w:highlight w:val="none"/>
        </w:rPr>
      </w:pPr>
      <w:r>
        <w:rPr>
          <w:rFonts w:hint="eastAsia"/>
          <w:highlight w:val="none"/>
          <w:lang w:val="en-US" w:eastAsia="zh-CN"/>
        </w:rPr>
        <w:t>排班资源获取：对接HIS排班资源库、分诊台库等，用于生成国际医疗排班。</w:t>
      </w:r>
    </w:p>
    <w:p w14:paraId="7D27253D">
      <w:pPr>
        <w:pStyle w:val="72"/>
        <w:bidi w:val="0"/>
        <w:rPr>
          <w:rFonts w:hint="default"/>
          <w:highlight w:val="none"/>
        </w:rPr>
      </w:pPr>
      <w:r>
        <w:rPr>
          <w:highlight w:val="none"/>
        </w:rPr>
        <w:t>排班与预约联动</w:t>
      </w:r>
      <w:r>
        <w:rPr>
          <w:rFonts w:hint="eastAsia"/>
          <w:highlight w:val="none"/>
          <w:lang w:eastAsia="zh-CN"/>
        </w:rPr>
        <w:t>：</w:t>
      </w:r>
      <w:r>
        <w:rPr>
          <w:highlight w:val="none"/>
        </w:rPr>
        <w:t>排班变更实时同步预约模块，触发停诊、替诊通知</w:t>
      </w:r>
      <w:r>
        <w:rPr>
          <w:rFonts w:hint="eastAsia"/>
          <w:highlight w:val="none"/>
          <w:lang w:val="en-US" w:eastAsia="zh-CN"/>
        </w:rPr>
        <w:t>等</w:t>
      </w:r>
      <w:r>
        <w:rPr>
          <w:highlight w:val="none"/>
        </w:rPr>
        <w:t>。</w:t>
      </w:r>
    </w:p>
    <w:p w14:paraId="105F2369">
      <w:pPr>
        <w:pStyle w:val="72"/>
        <w:bidi w:val="0"/>
        <w:rPr>
          <w:rFonts w:hint="default"/>
          <w:highlight w:val="none"/>
        </w:rPr>
      </w:pPr>
      <w:r>
        <w:rPr>
          <w:rFonts w:hint="eastAsia"/>
          <w:highlight w:val="none"/>
          <w:lang w:val="en-US" w:eastAsia="zh-CN"/>
        </w:rPr>
        <w:t>HIS排班回传对照：排班数据完成后回传HIS系统，以构建整体排班模块。</w:t>
      </w:r>
    </w:p>
    <w:p w14:paraId="2D84762C">
      <w:pPr>
        <w:pStyle w:val="73"/>
        <w:bidi w:val="0"/>
        <w:rPr>
          <w:rFonts w:hint="default"/>
          <w:highlight w:val="none"/>
        </w:rPr>
      </w:pPr>
      <w:r>
        <w:rPr>
          <w:rFonts w:hint="eastAsia"/>
          <w:highlight w:val="none"/>
          <w:lang w:val="en-US" w:eastAsia="zh-CN"/>
        </w:rPr>
        <w:t>患者信息归档模块</w:t>
      </w:r>
    </w:p>
    <w:p w14:paraId="76EDC552">
      <w:pPr>
        <w:pStyle w:val="72"/>
        <w:bidi w:val="0"/>
        <w:rPr>
          <w:rFonts w:hint="default"/>
          <w:highlight w:val="none"/>
        </w:rPr>
      </w:pPr>
      <w:r>
        <w:rPr>
          <w:rFonts w:hint="default"/>
          <w:highlight w:val="none"/>
        </w:rPr>
        <w:t>信息映射</w:t>
      </w:r>
      <w:r>
        <w:rPr>
          <w:rFonts w:hint="eastAsia"/>
          <w:highlight w:val="none"/>
          <w:lang w:eastAsia="zh-CN"/>
        </w:rPr>
        <w:t>：</w:t>
      </w:r>
      <w:r>
        <w:rPr>
          <w:rFonts w:hint="default"/>
          <w:highlight w:val="none"/>
        </w:rPr>
        <w:t>将国际医疗系统上形成的信息完整映射至 HIS，含患者、</w:t>
      </w:r>
      <w:r>
        <w:rPr>
          <w:rFonts w:hint="eastAsia"/>
          <w:highlight w:val="none"/>
          <w:lang w:val="en-US" w:eastAsia="zh-CN"/>
        </w:rPr>
        <w:t>挂号</w:t>
      </w:r>
      <w:r>
        <w:rPr>
          <w:rFonts w:hint="default"/>
          <w:highlight w:val="none"/>
        </w:rPr>
        <w:t>、订单、结算</w:t>
      </w:r>
      <w:r>
        <w:rPr>
          <w:rFonts w:hint="eastAsia"/>
          <w:highlight w:val="none"/>
          <w:lang w:val="en-US" w:eastAsia="zh-CN"/>
        </w:rPr>
        <w:t>等，确保HIS病历完整性</w:t>
      </w:r>
      <w:r>
        <w:rPr>
          <w:rFonts w:hint="default"/>
          <w:highlight w:val="none"/>
        </w:rPr>
        <w:t>。</w:t>
      </w:r>
    </w:p>
    <w:p w14:paraId="35B2F78A">
      <w:pPr>
        <w:pStyle w:val="72"/>
        <w:bidi w:val="0"/>
        <w:rPr>
          <w:rFonts w:hint="default"/>
          <w:highlight w:val="none"/>
        </w:rPr>
      </w:pPr>
      <w:r>
        <w:rPr>
          <w:rFonts w:hint="default"/>
          <w:highlight w:val="none"/>
        </w:rPr>
        <w:t>映射规则配置</w:t>
      </w:r>
      <w:r>
        <w:rPr>
          <w:rFonts w:hint="eastAsia"/>
          <w:highlight w:val="none"/>
          <w:lang w:eastAsia="zh-CN"/>
        </w:rPr>
        <w:t>：</w:t>
      </w:r>
      <w:r>
        <w:rPr>
          <w:rFonts w:hint="eastAsia"/>
          <w:highlight w:val="none"/>
          <w:lang w:val="en-US" w:eastAsia="zh-CN"/>
        </w:rPr>
        <w:t>支持可</w:t>
      </w:r>
      <w:r>
        <w:rPr>
          <w:highlight w:val="none"/>
        </w:rPr>
        <w:t>配置</w:t>
      </w:r>
      <w:r>
        <w:rPr>
          <w:rFonts w:hint="eastAsia"/>
          <w:highlight w:val="none"/>
          <w:lang w:val="en-US" w:eastAsia="zh-CN"/>
        </w:rPr>
        <w:t>的</w:t>
      </w:r>
      <w:r>
        <w:rPr>
          <w:highlight w:val="none"/>
        </w:rPr>
        <w:t>国际医疗数据与 HIS 数据的映射关系</w:t>
      </w:r>
      <w:r>
        <w:rPr>
          <w:rFonts w:hint="eastAsia"/>
          <w:highlight w:val="none"/>
          <w:lang w:eastAsia="zh-CN"/>
        </w:rPr>
        <w:t>，</w:t>
      </w:r>
      <w:r>
        <w:rPr>
          <w:rFonts w:hint="eastAsia"/>
          <w:highlight w:val="none"/>
          <w:lang w:val="en-US" w:eastAsia="zh-CN"/>
        </w:rPr>
        <w:t>防止后续新增字段问题，支持同步或者不同步</w:t>
      </w:r>
      <w:r>
        <w:rPr>
          <w:highlight w:val="none"/>
        </w:rPr>
        <w:t>。</w:t>
      </w:r>
    </w:p>
    <w:p w14:paraId="3062FBFC">
      <w:pPr>
        <w:pStyle w:val="72"/>
        <w:bidi w:val="0"/>
        <w:rPr>
          <w:rFonts w:hint="default"/>
          <w:highlight w:val="none"/>
        </w:rPr>
      </w:pPr>
      <w:r>
        <w:rPr>
          <w:rFonts w:hint="eastAsia"/>
          <w:highlight w:val="none"/>
          <w:lang w:val="en-US" w:eastAsia="zh-CN"/>
        </w:rPr>
        <w:t>数据修改：支持数据修改及同步。</w:t>
      </w:r>
    </w:p>
    <w:p w14:paraId="786E2BFA">
      <w:pPr>
        <w:pStyle w:val="72"/>
        <w:bidi w:val="0"/>
        <w:rPr>
          <w:rFonts w:hint="default"/>
          <w:highlight w:val="none"/>
        </w:rPr>
      </w:pPr>
      <w:r>
        <w:rPr>
          <w:rFonts w:hint="default"/>
          <w:highlight w:val="none"/>
        </w:rPr>
        <w:t>一致性校验</w:t>
      </w:r>
      <w:r>
        <w:rPr>
          <w:rFonts w:hint="eastAsia"/>
          <w:highlight w:val="none"/>
          <w:lang w:eastAsia="zh-CN"/>
        </w:rPr>
        <w:t>：</w:t>
      </w:r>
      <w:r>
        <w:rPr>
          <w:rFonts w:hint="eastAsia"/>
          <w:highlight w:val="none"/>
          <w:lang w:val="en-US" w:eastAsia="zh-CN"/>
        </w:rPr>
        <w:t>支持</w:t>
      </w:r>
      <w:r>
        <w:rPr>
          <w:highlight w:val="none"/>
        </w:rPr>
        <w:t>定期校验国际医疗系统与 HIS 数据一致性，发现差异告警。</w:t>
      </w:r>
    </w:p>
    <w:p w14:paraId="60B80C44">
      <w:pPr>
        <w:pStyle w:val="73"/>
        <w:bidi w:val="0"/>
        <w:rPr>
          <w:rFonts w:hint="default"/>
          <w:highlight w:val="none"/>
        </w:rPr>
      </w:pPr>
      <w:r>
        <w:rPr>
          <w:rFonts w:hint="default"/>
          <w:highlight w:val="none"/>
        </w:rPr>
        <w:t>用户与权限管理模块</w:t>
      </w:r>
    </w:p>
    <w:p w14:paraId="724E7C64">
      <w:pPr>
        <w:pStyle w:val="72"/>
        <w:bidi w:val="0"/>
        <w:rPr>
          <w:rFonts w:hint="default"/>
          <w:highlight w:val="none"/>
        </w:rPr>
      </w:pPr>
      <w:r>
        <w:rPr>
          <w:rFonts w:hint="default"/>
          <w:highlight w:val="none"/>
        </w:rPr>
        <w:t>权限整体控制</w:t>
      </w:r>
      <w:r>
        <w:rPr>
          <w:rFonts w:hint="eastAsia"/>
          <w:highlight w:val="none"/>
          <w:lang w:eastAsia="zh-CN"/>
        </w:rPr>
        <w:t>：权限由 HIS 整体权限模块整体控制，本模块不新建角色体系。</w:t>
      </w:r>
      <w:r>
        <w:rPr>
          <w:rFonts w:hint="eastAsia"/>
          <w:highlight w:val="none"/>
          <w:lang w:val="en-US" w:eastAsia="zh-CN"/>
        </w:rPr>
        <w:t>总体模块权限划分参照HIS系统进行。</w:t>
      </w:r>
    </w:p>
    <w:p w14:paraId="74E8A9C6">
      <w:pPr>
        <w:pStyle w:val="72"/>
        <w:bidi w:val="0"/>
        <w:rPr>
          <w:rFonts w:hint="default"/>
          <w:highlight w:val="none"/>
        </w:rPr>
      </w:pPr>
      <w:r>
        <w:rPr>
          <w:highlight w:val="none"/>
        </w:rPr>
        <w:t>权限信息传递</w:t>
      </w:r>
      <w:r>
        <w:rPr>
          <w:rFonts w:hint="eastAsia"/>
          <w:highlight w:val="none"/>
          <w:lang w:eastAsia="zh-CN"/>
        </w:rPr>
        <w:t>：</w:t>
      </w:r>
      <w:r>
        <w:rPr>
          <w:highlight w:val="none"/>
        </w:rPr>
        <w:t>通过接口传递权限信息，供各模块读取。</w:t>
      </w:r>
      <w:r>
        <w:rPr>
          <w:rFonts w:hint="eastAsia"/>
          <w:highlight w:val="none"/>
          <w:lang w:val="en-US" w:eastAsia="zh-CN"/>
        </w:rPr>
        <w:t>支持</w:t>
      </w:r>
      <w:r>
        <w:rPr>
          <w:highlight w:val="none"/>
        </w:rPr>
        <w:t>角色功能映射</w:t>
      </w:r>
      <w:r>
        <w:rPr>
          <w:rFonts w:hint="eastAsia"/>
          <w:highlight w:val="none"/>
          <w:lang w:eastAsia="zh-CN"/>
        </w:rPr>
        <w:t>，</w:t>
      </w:r>
      <w:r>
        <w:rPr>
          <w:rFonts w:hint="eastAsia"/>
          <w:highlight w:val="none"/>
          <w:lang w:val="en-US" w:eastAsia="zh-CN"/>
        </w:rPr>
        <w:t>角色新增，模块功能开关，</w:t>
      </w:r>
      <w:r>
        <w:rPr>
          <w:highlight w:val="none"/>
        </w:rPr>
        <w:t>数据权限管理</w:t>
      </w:r>
    </w:p>
    <w:p w14:paraId="7B7903A7">
      <w:pPr>
        <w:pStyle w:val="72"/>
        <w:bidi w:val="0"/>
        <w:rPr>
          <w:rFonts w:hint="default"/>
          <w:highlight w:val="none"/>
        </w:rPr>
      </w:pPr>
      <w:r>
        <w:rPr>
          <w:highlight w:val="none"/>
        </w:rPr>
        <w:t>权限变更同步</w:t>
      </w:r>
      <w:r>
        <w:rPr>
          <w:rFonts w:hint="eastAsia"/>
          <w:highlight w:val="none"/>
          <w:lang w:eastAsia="zh-CN"/>
        </w:rPr>
        <w:t>：</w:t>
      </w:r>
      <w:r>
        <w:rPr>
          <w:highlight w:val="none"/>
        </w:rPr>
        <w:t>HIS 权限变更时实时同步各模块。</w:t>
      </w:r>
    </w:p>
    <w:p w14:paraId="2FBAD2C6">
      <w:pPr>
        <w:pStyle w:val="73"/>
        <w:bidi w:val="0"/>
        <w:rPr>
          <w:rFonts w:hint="default"/>
          <w:highlight w:val="none"/>
        </w:rPr>
      </w:pPr>
      <w:r>
        <w:rPr>
          <w:rFonts w:hint="default"/>
          <w:highlight w:val="none"/>
        </w:rPr>
        <w:t>字典维护</w:t>
      </w:r>
    </w:p>
    <w:p w14:paraId="6CEC1411">
      <w:pPr>
        <w:pStyle w:val="72"/>
        <w:bidi w:val="0"/>
        <w:rPr>
          <w:rFonts w:hint="default"/>
          <w:highlight w:val="none"/>
        </w:rPr>
      </w:pPr>
      <w:r>
        <w:rPr>
          <w:rFonts w:hint="eastAsia"/>
          <w:highlight w:val="none"/>
          <w:lang w:val="en-US" w:eastAsia="zh-CN"/>
        </w:rPr>
        <w:t>总体样式：参考HIS系统的字典模块进行建设</w:t>
      </w:r>
    </w:p>
    <w:p w14:paraId="38C50A97">
      <w:pPr>
        <w:pStyle w:val="72"/>
        <w:bidi w:val="0"/>
        <w:rPr>
          <w:rFonts w:hint="default"/>
          <w:highlight w:val="none"/>
        </w:rPr>
      </w:pPr>
      <w:r>
        <w:rPr>
          <w:highlight w:val="none"/>
        </w:rPr>
        <w:t>通用字典维护</w:t>
      </w:r>
      <w:r>
        <w:rPr>
          <w:rFonts w:hint="eastAsia"/>
          <w:highlight w:val="none"/>
          <w:lang w:eastAsia="zh-CN"/>
        </w:rPr>
        <w:t>：</w:t>
      </w:r>
      <w:r>
        <w:rPr>
          <w:highlight w:val="none"/>
        </w:rPr>
        <w:t>维护对照字典等通用基础信息，供各模块调用</w:t>
      </w:r>
      <w:r>
        <w:rPr>
          <w:rFonts w:hint="eastAsia"/>
          <w:highlight w:val="none"/>
          <w:lang w:eastAsia="zh-CN"/>
        </w:rPr>
        <w:t>，</w:t>
      </w:r>
      <w:r>
        <w:rPr>
          <w:rFonts w:hint="eastAsia"/>
          <w:highlight w:val="none"/>
          <w:lang w:val="en-US" w:eastAsia="zh-CN"/>
        </w:rPr>
        <w:t>比如</w:t>
      </w:r>
      <w:r>
        <w:rPr>
          <w:highlight w:val="none"/>
        </w:rPr>
        <w:t>收费项目、药品、耗材、诊室等编码字典。</w:t>
      </w:r>
    </w:p>
    <w:p w14:paraId="3386BC85">
      <w:pPr>
        <w:pStyle w:val="72"/>
        <w:bidi w:val="0"/>
        <w:rPr>
          <w:rFonts w:hint="default"/>
          <w:highlight w:val="none"/>
        </w:rPr>
      </w:pPr>
      <w:r>
        <w:rPr>
          <w:rFonts w:hint="eastAsia"/>
          <w:highlight w:val="none"/>
          <w:lang w:val="en-US" w:eastAsia="zh-CN"/>
        </w:rPr>
        <w:t>字典信息同步：如部分字典有需要，则</w:t>
      </w:r>
      <w:r>
        <w:rPr>
          <w:highlight w:val="none"/>
        </w:rPr>
        <w:t>与 HIS 字典同步，记录版本与修订历史。</w:t>
      </w:r>
    </w:p>
    <w:p w14:paraId="10C79742">
      <w:pPr>
        <w:pStyle w:val="72"/>
        <w:bidi w:val="0"/>
        <w:rPr>
          <w:rFonts w:hint="default"/>
          <w:highlight w:val="none"/>
        </w:rPr>
      </w:pPr>
      <w:r>
        <w:rPr>
          <w:rFonts w:hint="eastAsia"/>
          <w:highlight w:val="none"/>
          <w:lang w:val="en-US" w:eastAsia="zh-CN"/>
        </w:rPr>
        <w:t>多语言字典：</w:t>
      </w:r>
      <w:r>
        <w:rPr>
          <w:highlight w:val="none"/>
        </w:rPr>
        <w:t>统一维护字典的简体、繁体、英文版本。</w:t>
      </w:r>
    </w:p>
    <w:p w14:paraId="458D1208">
      <w:pPr>
        <w:pStyle w:val="73"/>
        <w:bidi w:val="0"/>
        <w:rPr>
          <w:rFonts w:hint="default"/>
          <w:highlight w:val="none"/>
        </w:rPr>
      </w:pPr>
      <w:r>
        <w:rPr>
          <w:rFonts w:hint="eastAsia"/>
          <w:highlight w:val="none"/>
        </w:rPr>
        <w:t>统计分析</w:t>
      </w:r>
    </w:p>
    <w:p w14:paraId="7E41BC40">
      <w:pPr>
        <w:pStyle w:val="72"/>
        <w:bidi w:val="0"/>
        <w:rPr>
          <w:rFonts w:hint="default"/>
          <w:highlight w:val="none"/>
        </w:rPr>
      </w:pPr>
      <w:r>
        <w:rPr>
          <w:rFonts w:hint="default"/>
          <w:highlight w:val="none"/>
        </w:rPr>
        <w:t>集中展示</w:t>
      </w:r>
      <w:r>
        <w:rPr>
          <w:rFonts w:hint="eastAsia"/>
          <w:highlight w:val="none"/>
          <w:lang w:eastAsia="zh-CN"/>
        </w:rPr>
        <w:t>：其它模块的统计分析集中展示，含预约、问诊、收费、库存、结算、服务包等。</w:t>
      </w:r>
      <w:r>
        <w:rPr>
          <w:rFonts w:hint="eastAsia"/>
          <w:highlight w:val="none"/>
          <w:lang w:val="en-US" w:eastAsia="zh-CN"/>
        </w:rPr>
        <w:t>门诊部分包含</w:t>
      </w:r>
      <w:r>
        <w:rPr>
          <w:rFonts w:hint="eastAsia"/>
          <w:highlight w:val="none"/>
          <w:lang w:eastAsia="zh-CN"/>
        </w:rPr>
        <w:t>门诊号源情况查询（新）、门诊号源情况查询汇总、门诊量人次汇总表、门诊一周出诊报表、专家号源查询统计、排班修改日志报表</w:t>
      </w:r>
      <w:r>
        <w:rPr>
          <w:rFonts w:hint="eastAsia"/>
          <w:highlight w:val="none"/>
          <w:lang w:val="en-US" w:eastAsia="zh-CN"/>
        </w:rPr>
        <w:t>等</w:t>
      </w:r>
      <w:r>
        <w:rPr>
          <w:rFonts w:hint="eastAsia"/>
          <w:highlight w:val="none"/>
          <w:lang w:eastAsia="zh-CN"/>
        </w:rPr>
        <w:t>。</w:t>
      </w:r>
      <w:r>
        <w:rPr>
          <w:rFonts w:hint="eastAsia"/>
          <w:highlight w:val="none"/>
          <w:lang w:val="en-US" w:eastAsia="zh-CN"/>
        </w:rPr>
        <w:t>收费管理部分包含收费员个人日结报表（收费员个人使用）、门诊收费缴款汇总表、操作员现金查询-8月11日后数据、发票查询、门诊收入结算方式汇总表、门诊费用分类汇总表、门诊诊查费冲减报表等。其余部分如HIS或者财务系统统计需要则也需对应回传。</w:t>
      </w:r>
    </w:p>
    <w:p w14:paraId="2E8960C4">
      <w:pPr>
        <w:pStyle w:val="72"/>
        <w:bidi w:val="0"/>
        <w:rPr>
          <w:rFonts w:hint="default"/>
          <w:highlight w:val="none"/>
        </w:rPr>
      </w:pPr>
      <w:r>
        <w:rPr>
          <w:highlight w:val="none"/>
        </w:rPr>
        <w:t>分权限阅读</w:t>
      </w:r>
      <w:r>
        <w:rPr>
          <w:rFonts w:hint="eastAsia"/>
          <w:highlight w:val="none"/>
          <w:lang w:eastAsia="zh-CN"/>
        </w:rPr>
        <w:t>：</w:t>
      </w:r>
      <w:r>
        <w:rPr>
          <w:highlight w:val="none"/>
        </w:rPr>
        <w:t>按权限控制可阅读的统计范围与维度。</w:t>
      </w:r>
    </w:p>
    <w:p w14:paraId="23CE7728">
      <w:pPr>
        <w:pStyle w:val="72"/>
        <w:bidi w:val="0"/>
        <w:rPr>
          <w:rFonts w:hint="default"/>
          <w:highlight w:val="none"/>
        </w:rPr>
      </w:pPr>
      <w:r>
        <w:rPr>
          <w:highlight w:val="none"/>
        </w:rPr>
        <w:t>多维度统计</w:t>
      </w:r>
      <w:r>
        <w:rPr>
          <w:rFonts w:hint="eastAsia"/>
          <w:highlight w:val="none"/>
          <w:lang w:eastAsia="zh-CN"/>
        </w:rPr>
        <w:t>：</w:t>
      </w:r>
      <w:r>
        <w:rPr>
          <w:rFonts w:hint="eastAsia"/>
          <w:highlight w:val="none"/>
          <w:lang w:val="en-US" w:eastAsia="zh-CN"/>
        </w:rPr>
        <w:t>如有需要，表格需设置查询分类方法，页面与HIS基本统计一致，比如</w:t>
      </w:r>
      <w:r>
        <w:rPr>
          <w:highlight w:val="none"/>
        </w:rPr>
        <w:t>支持按时间、科室、医生、服务项目、患者类型统计。</w:t>
      </w:r>
    </w:p>
    <w:p w14:paraId="164B3831">
      <w:pPr>
        <w:pStyle w:val="72"/>
        <w:bidi w:val="0"/>
        <w:rPr>
          <w:rFonts w:hint="default"/>
          <w:highlight w:val="none"/>
        </w:rPr>
      </w:pPr>
      <w:r>
        <w:rPr>
          <w:highlight w:val="none"/>
        </w:rPr>
        <w:t>报表导出</w:t>
      </w:r>
      <w:r>
        <w:rPr>
          <w:rFonts w:hint="eastAsia"/>
          <w:highlight w:val="none"/>
          <w:lang w:eastAsia="zh-CN"/>
        </w:rPr>
        <w:t>：</w:t>
      </w:r>
      <w:r>
        <w:rPr>
          <w:highlight w:val="none"/>
        </w:rPr>
        <w:t>支持报表导出，含 Excel、PDF 等格式。</w:t>
      </w:r>
    </w:p>
    <w:p w14:paraId="2E57AF3C">
      <w:pPr>
        <w:pStyle w:val="73"/>
        <w:bidi w:val="0"/>
        <w:rPr>
          <w:rFonts w:hint="default"/>
          <w:highlight w:val="none"/>
        </w:rPr>
      </w:pPr>
      <w:r>
        <w:rPr>
          <w:rFonts w:hint="default"/>
          <w:highlight w:val="none"/>
        </w:rPr>
        <w:t>系统管理</w:t>
      </w:r>
    </w:p>
    <w:p w14:paraId="2089A3B4">
      <w:pPr>
        <w:pStyle w:val="72"/>
        <w:bidi w:val="0"/>
        <w:rPr>
          <w:rFonts w:hint="eastAsia"/>
          <w:highlight w:val="none"/>
          <w:lang w:eastAsia="zh-CN"/>
        </w:rPr>
      </w:pPr>
      <w:r>
        <w:rPr>
          <w:rFonts w:hint="eastAsia"/>
          <w:highlight w:val="none"/>
          <w:lang w:val="en-US" w:eastAsia="zh-CN"/>
        </w:rPr>
        <w:t>系统</w:t>
      </w:r>
      <w:r>
        <w:rPr>
          <w:rFonts w:hint="default"/>
          <w:highlight w:val="none"/>
        </w:rPr>
        <w:t>痕迹管理</w:t>
      </w:r>
      <w:r>
        <w:rPr>
          <w:rFonts w:hint="eastAsia"/>
          <w:highlight w:val="none"/>
          <w:lang w:eastAsia="zh-CN"/>
        </w:rPr>
        <w:t>：各模块操作日志统一写入 HIS 审计体系。</w:t>
      </w:r>
      <w:r>
        <w:rPr>
          <w:rFonts w:hint="eastAsia"/>
          <w:highlight w:val="none"/>
          <w:lang w:val="en-US" w:eastAsia="zh-CN"/>
        </w:rPr>
        <w:t>支持</w:t>
      </w:r>
      <w:r>
        <w:rPr>
          <w:rFonts w:hint="eastAsia"/>
          <w:highlight w:val="none"/>
          <w:lang w:eastAsia="zh-CN"/>
        </w:rPr>
        <w:t>操作日志、登录日志、接口日志统一查询。</w:t>
      </w:r>
    </w:p>
    <w:p w14:paraId="6B83AFD0">
      <w:pPr>
        <w:pStyle w:val="72"/>
        <w:bidi w:val="0"/>
        <w:rPr>
          <w:rFonts w:hint="eastAsia"/>
          <w:highlight w:val="none"/>
          <w:lang w:eastAsia="zh-CN"/>
        </w:rPr>
      </w:pPr>
      <w:r>
        <w:rPr>
          <w:rFonts w:hint="eastAsia"/>
          <w:highlight w:val="none"/>
          <w:lang w:eastAsia="zh-CN"/>
        </w:rPr>
        <w:t>备份恢复：</w:t>
      </w:r>
      <w:r>
        <w:rPr>
          <w:rFonts w:hint="eastAsia"/>
          <w:highlight w:val="none"/>
          <w:lang w:val="en-US" w:eastAsia="zh-CN"/>
        </w:rPr>
        <w:t>支持定期备份，支持恢复。</w:t>
      </w:r>
    </w:p>
    <w:p w14:paraId="080A11E4">
      <w:pPr>
        <w:pStyle w:val="72"/>
        <w:bidi w:val="0"/>
        <w:rPr>
          <w:rFonts w:hint="default"/>
          <w:highlight w:val="none"/>
        </w:rPr>
      </w:pPr>
      <w:r>
        <w:rPr>
          <w:rFonts w:hint="eastAsia"/>
          <w:highlight w:val="none"/>
          <w:lang w:val="en-US" w:eastAsia="zh-CN"/>
        </w:rPr>
        <w:t>统一配置管理：支持统一维护系统参数、支持业务规则校验、支持阈值机制、支持功能开关。</w:t>
      </w:r>
    </w:p>
    <w:p w14:paraId="445421BF">
      <w:pPr>
        <w:pStyle w:val="72"/>
        <w:bidi w:val="0"/>
        <w:rPr>
          <w:rFonts w:hint="default"/>
          <w:highlight w:val="none"/>
        </w:rPr>
      </w:pPr>
      <w:r>
        <w:rPr>
          <w:highlight w:val="none"/>
        </w:rPr>
        <w:t>系统监控</w:t>
      </w:r>
      <w:r>
        <w:rPr>
          <w:rFonts w:hint="eastAsia"/>
          <w:highlight w:val="none"/>
          <w:lang w:eastAsia="zh-CN"/>
        </w:rPr>
        <w:t>：</w:t>
      </w:r>
      <w:r>
        <w:rPr>
          <w:rFonts w:hint="eastAsia"/>
          <w:highlight w:val="none"/>
          <w:lang w:val="en-US" w:eastAsia="zh-CN"/>
        </w:rPr>
        <w:t>支持</w:t>
      </w:r>
      <w:r>
        <w:rPr>
          <w:highlight w:val="none"/>
        </w:rPr>
        <w:t>监控系统运行状态、性能、异常。</w:t>
      </w:r>
    </w:p>
    <w:p w14:paraId="35F4064C">
      <w:pPr>
        <w:pStyle w:val="73"/>
        <w:numPr>
          <w:ilvl w:val="1"/>
          <w:numId w:val="0"/>
        </w:numPr>
        <w:bidi w:val="0"/>
        <w:ind w:left="283" w:leftChars="0"/>
        <w:rPr>
          <w:rFonts w:hint="default"/>
          <w:highlight w:val="none"/>
        </w:rPr>
      </w:pPr>
    </w:p>
    <w:tbl>
      <w:tblPr>
        <w:tblStyle w:val="26"/>
        <w:tblW w:w="5000" w:type="pct"/>
        <w:tblInd w:w="0" w:type="dxa"/>
        <w:tblLayout w:type="autofit"/>
        <w:tblCellMar>
          <w:top w:w="0" w:type="dxa"/>
          <w:left w:w="108" w:type="dxa"/>
          <w:bottom w:w="0" w:type="dxa"/>
          <w:right w:w="108" w:type="dxa"/>
        </w:tblCellMar>
      </w:tblPr>
      <w:tblGrid>
        <w:gridCol w:w="1042"/>
        <w:gridCol w:w="8244"/>
      </w:tblGrid>
      <w:tr w14:paraId="3364BC88">
        <w:tblPrEx>
          <w:tblCellMar>
            <w:top w:w="0" w:type="dxa"/>
            <w:left w:w="108" w:type="dxa"/>
            <w:bottom w:w="0" w:type="dxa"/>
            <w:right w:w="108" w:type="dxa"/>
          </w:tblCellMar>
        </w:tblPrEx>
        <w:trPr>
          <w:trHeight w:val="320"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41C83CF8">
            <w:pPr>
              <w:widowControl/>
              <w:snapToGrid w:val="0"/>
              <w:jc w:val="left"/>
              <w:rPr>
                <w:rFonts w:ascii="微软雅黑" w:hAnsi="微软雅黑" w:eastAsia="微软雅黑" w:cs="微软雅黑"/>
                <w:b/>
                <w:bCs/>
                <w:color w:val="000000"/>
                <w:szCs w:val="21"/>
                <w:highlight w:val="none"/>
              </w:rPr>
            </w:pPr>
            <w:r>
              <w:rPr>
                <w:rFonts w:hint="eastAsia" w:ascii="微软雅黑" w:hAnsi="微软雅黑" w:eastAsia="微软雅黑" w:cs="微软雅黑"/>
                <w:b/>
                <w:bCs/>
                <w:sz w:val="24"/>
                <w:szCs w:val="32"/>
                <w:highlight w:val="none"/>
                <w:lang w:eastAsia="zh-CN"/>
              </w:rPr>
              <w:t>（</w:t>
            </w:r>
            <w:r>
              <w:rPr>
                <w:rFonts w:hint="eastAsia" w:ascii="微软雅黑" w:hAnsi="微软雅黑" w:eastAsia="微软雅黑" w:cs="微软雅黑"/>
                <w:b/>
                <w:bCs/>
                <w:sz w:val="24"/>
                <w:szCs w:val="32"/>
                <w:highlight w:val="none"/>
                <w:lang w:val="en-US" w:eastAsia="zh-CN"/>
              </w:rPr>
              <w:t>六</w:t>
            </w:r>
            <w:r>
              <w:rPr>
                <w:rFonts w:hint="eastAsia" w:ascii="微软雅黑" w:hAnsi="微软雅黑" w:eastAsia="微软雅黑" w:cs="微软雅黑"/>
                <w:b/>
                <w:bCs/>
                <w:sz w:val="24"/>
                <w:szCs w:val="32"/>
                <w:highlight w:val="none"/>
                <w:lang w:eastAsia="zh-CN"/>
              </w:rPr>
              <w:t>）</w:t>
            </w:r>
            <w:r>
              <w:rPr>
                <w:rFonts w:hint="eastAsia" w:ascii="微软雅黑" w:hAnsi="微软雅黑" w:eastAsia="微软雅黑" w:cs="微软雅黑"/>
                <w:b/>
                <w:bCs/>
                <w:sz w:val="24"/>
                <w:szCs w:val="32"/>
                <w:highlight w:val="none"/>
              </w:rPr>
              <w:t>单据及短信管理模块细项</w:t>
            </w:r>
          </w:p>
        </w:tc>
      </w:tr>
      <w:tr w14:paraId="6F6C125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4C60015F">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1</w:t>
            </w:r>
          </w:p>
        </w:tc>
        <w:tc>
          <w:tcPr>
            <w:tcW w:w="4438" w:type="pct"/>
            <w:tcBorders>
              <w:top w:val="single" w:color="auto" w:sz="4" w:space="0"/>
              <w:left w:val="single" w:color="auto" w:sz="4" w:space="0"/>
              <w:bottom w:val="single" w:color="auto" w:sz="4" w:space="0"/>
              <w:right w:val="single" w:color="auto" w:sz="4" w:space="0"/>
            </w:tcBorders>
            <w:vAlign w:val="center"/>
          </w:tcPr>
          <w:p w14:paraId="5607533D">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模块构造：独立于HIS进行模块化建设。</w:t>
            </w:r>
          </w:p>
        </w:tc>
      </w:tr>
      <w:tr w14:paraId="204DCA7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62ED7F07">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2</w:t>
            </w:r>
          </w:p>
        </w:tc>
        <w:tc>
          <w:tcPr>
            <w:tcW w:w="4438" w:type="pct"/>
            <w:tcBorders>
              <w:top w:val="single" w:color="auto" w:sz="4" w:space="0"/>
              <w:left w:val="single" w:color="auto" w:sz="4" w:space="0"/>
              <w:bottom w:val="single" w:color="auto" w:sz="4" w:space="0"/>
              <w:right w:val="single" w:color="auto" w:sz="4" w:space="0"/>
            </w:tcBorders>
            <w:vAlign w:val="center"/>
          </w:tcPr>
          <w:p w14:paraId="0285085F">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单据清单管理：后台进行单据清单的统一管理。</w:t>
            </w:r>
          </w:p>
        </w:tc>
      </w:tr>
      <w:tr w14:paraId="2A76846D">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475A8AE6">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3</w:t>
            </w:r>
          </w:p>
        </w:tc>
        <w:tc>
          <w:tcPr>
            <w:tcW w:w="4438" w:type="pct"/>
            <w:tcBorders>
              <w:top w:val="single" w:color="auto" w:sz="4" w:space="0"/>
              <w:left w:val="single" w:color="auto" w:sz="4" w:space="0"/>
              <w:bottom w:val="single" w:color="auto" w:sz="4" w:space="0"/>
              <w:right w:val="single" w:color="auto" w:sz="4" w:space="0"/>
            </w:tcBorders>
            <w:vAlign w:val="center"/>
          </w:tcPr>
          <w:p w14:paraId="65D4BF49">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对外接口服务：提供对外的接口服务。</w:t>
            </w:r>
          </w:p>
        </w:tc>
      </w:tr>
      <w:tr w14:paraId="32474830">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71145221">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4</w:t>
            </w:r>
          </w:p>
        </w:tc>
        <w:tc>
          <w:tcPr>
            <w:tcW w:w="4438" w:type="pct"/>
            <w:tcBorders>
              <w:top w:val="single" w:color="auto" w:sz="4" w:space="0"/>
              <w:left w:val="single" w:color="auto" w:sz="4" w:space="0"/>
              <w:bottom w:val="single" w:color="auto" w:sz="4" w:space="0"/>
              <w:right w:val="single" w:color="auto" w:sz="4" w:space="0"/>
            </w:tcBorders>
            <w:vAlign w:val="center"/>
          </w:tcPr>
          <w:p w14:paraId="1EC95219">
            <w:pPr>
              <w:widowControl/>
              <w:snapToGrid w:val="0"/>
              <w:rPr>
                <w:rFonts w:hint="default" w:ascii="微软雅黑" w:hAnsi="微软雅黑" w:eastAsia="微软雅黑" w:cs="微软雅黑"/>
                <w:color w:val="000000"/>
                <w:szCs w:val="21"/>
                <w:highlight w:val="none"/>
                <w:lang w:val="en-US" w:eastAsia="zh-CN"/>
              </w:rPr>
            </w:pPr>
            <w:r>
              <w:rPr>
                <w:rFonts w:hint="default" w:ascii="微软雅黑" w:hAnsi="微软雅黑" w:eastAsia="微软雅黑" w:cs="微软雅黑"/>
                <w:color w:val="000000"/>
                <w:szCs w:val="21"/>
                <w:highlight w:val="none"/>
                <w:lang w:val="en-US" w:eastAsia="zh-CN"/>
              </w:rPr>
              <w:t>知情同意书及短信管理</w:t>
            </w:r>
            <w:r>
              <w:rPr>
                <w:rFonts w:hint="eastAsia" w:ascii="微软雅黑" w:hAnsi="微软雅黑" w:eastAsia="微软雅黑" w:cs="微软雅黑"/>
                <w:color w:val="000000"/>
                <w:szCs w:val="21"/>
                <w:highlight w:val="none"/>
                <w:lang w:val="en-US" w:eastAsia="zh-CN"/>
              </w:rPr>
              <w:t>：后台进行</w:t>
            </w:r>
            <w:r>
              <w:rPr>
                <w:rFonts w:hint="default" w:ascii="微软雅黑" w:hAnsi="微软雅黑" w:eastAsia="微软雅黑" w:cs="微软雅黑"/>
                <w:color w:val="000000"/>
                <w:szCs w:val="21"/>
                <w:highlight w:val="none"/>
                <w:lang w:val="en-US" w:eastAsia="zh-CN"/>
              </w:rPr>
              <w:t>知情同意书及短信</w:t>
            </w:r>
            <w:r>
              <w:rPr>
                <w:rFonts w:hint="eastAsia" w:ascii="微软雅黑" w:hAnsi="微软雅黑" w:eastAsia="微软雅黑" w:cs="微软雅黑"/>
                <w:color w:val="000000"/>
                <w:szCs w:val="21"/>
                <w:highlight w:val="none"/>
                <w:lang w:val="en-US" w:eastAsia="zh-CN"/>
              </w:rPr>
              <w:t>的统一管理。</w:t>
            </w:r>
          </w:p>
        </w:tc>
      </w:tr>
      <w:tr w14:paraId="5857D6A4">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6C049B80">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5</w:t>
            </w:r>
          </w:p>
        </w:tc>
        <w:tc>
          <w:tcPr>
            <w:tcW w:w="4438" w:type="pct"/>
            <w:tcBorders>
              <w:top w:val="single" w:color="auto" w:sz="4" w:space="0"/>
              <w:left w:val="single" w:color="auto" w:sz="4" w:space="0"/>
              <w:bottom w:val="single" w:color="auto" w:sz="4" w:space="0"/>
              <w:right w:val="single" w:color="auto" w:sz="4" w:space="0"/>
            </w:tcBorders>
            <w:vAlign w:val="center"/>
          </w:tcPr>
          <w:p w14:paraId="26B64CA2">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权限管理：后台权限控制。</w:t>
            </w:r>
          </w:p>
        </w:tc>
      </w:tr>
      <w:tr w14:paraId="6B65FE39">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39B74D23">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6</w:t>
            </w:r>
          </w:p>
        </w:tc>
        <w:tc>
          <w:tcPr>
            <w:tcW w:w="4438" w:type="pct"/>
            <w:tcBorders>
              <w:top w:val="single" w:color="auto" w:sz="4" w:space="0"/>
              <w:left w:val="single" w:color="auto" w:sz="4" w:space="0"/>
              <w:bottom w:val="single" w:color="auto" w:sz="4" w:space="0"/>
              <w:right w:val="single" w:color="auto" w:sz="4" w:space="0"/>
            </w:tcBorders>
            <w:vAlign w:val="center"/>
          </w:tcPr>
          <w:p w14:paraId="08367F0D">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其它信息管理：其它需要翻译的模块接口对接。</w:t>
            </w:r>
          </w:p>
        </w:tc>
      </w:tr>
    </w:tbl>
    <w:p w14:paraId="50D3536B">
      <w:pPr>
        <w:pStyle w:val="73"/>
        <w:numPr>
          <w:ilvl w:val="1"/>
          <w:numId w:val="8"/>
        </w:numPr>
        <w:bidi w:val="0"/>
        <w:rPr>
          <w:rFonts w:hint="default"/>
          <w:highlight w:val="none"/>
        </w:rPr>
      </w:pPr>
      <w:r>
        <w:rPr>
          <w:highlight w:val="none"/>
        </w:rPr>
        <w:t xml:space="preserve"> </w:t>
      </w:r>
      <w:r>
        <w:rPr>
          <w:rFonts w:hint="eastAsia"/>
          <w:highlight w:val="none"/>
          <w:lang w:val="en-US" w:eastAsia="zh-CN"/>
        </w:rPr>
        <w:t>模块构造</w:t>
      </w:r>
    </w:p>
    <w:p w14:paraId="2273213C">
      <w:pPr>
        <w:pStyle w:val="72"/>
        <w:bidi w:val="0"/>
        <w:rPr>
          <w:rFonts w:hint="default"/>
          <w:highlight w:val="none"/>
        </w:rPr>
      </w:pPr>
      <w:r>
        <w:rPr>
          <w:rFonts w:hint="eastAsia"/>
          <w:highlight w:val="none"/>
          <w:lang w:val="en-US" w:eastAsia="zh-CN"/>
        </w:rPr>
        <w:t>模块形态：该模块</w:t>
      </w:r>
      <w:r>
        <w:rPr>
          <w:rFonts w:hint="default"/>
          <w:highlight w:val="none"/>
        </w:rPr>
        <w:t>独立</w:t>
      </w:r>
      <w:r>
        <w:rPr>
          <w:rFonts w:hint="eastAsia"/>
          <w:highlight w:val="none"/>
          <w:lang w:val="en-US" w:eastAsia="zh-CN"/>
        </w:rPr>
        <w:t>建设，主要用于构造系统的短信和报告模块中间层功能。</w:t>
      </w:r>
    </w:p>
    <w:p w14:paraId="6ABFF6F2">
      <w:pPr>
        <w:pStyle w:val="72"/>
        <w:bidi w:val="0"/>
        <w:rPr>
          <w:rFonts w:hint="default"/>
          <w:highlight w:val="none"/>
        </w:rPr>
      </w:pPr>
      <w:r>
        <w:rPr>
          <w:rFonts w:hint="eastAsia"/>
          <w:highlight w:val="none"/>
          <w:lang w:val="en-US" w:eastAsia="zh-CN"/>
        </w:rPr>
        <w:t>模块构造原则：</w:t>
      </w:r>
      <w:r>
        <w:rPr>
          <w:rFonts w:hint="default"/>
          <w:highlight w:val="none"/>
        </w:rPr>
        <w:t>不替代</w:t>
      </w:r>
      <w:r>
        <w:rPr>
          <w:rFonts w:hint="eastAsia"/>
          <w:highlight w:val="none"/>
          <w:lang w:val="en-US" w:eastAsia="zh-CN"/>
        </w:rPr>
        <w:t>报告</w:t>
      </w:r>
      <w:r>
        <w:rPr>
          <w:rFonts w:hint="default"/>
          <w:highlight w:val="none"/>
        </w:rPr>
        <w:t>源系统，仅从原有报告系统获取已生成的单据，转换为多语言版本后对外提供接口</w:t>
      </w:r>
      <w:r>
        <w:rPr>
          <w:rFonts w:hint="eastAsia"/>
          <w:highlight w:val="none"/>
          <w:lang w:eastAsia="zh-CN"/>
        </w:rPr>
        <w:t>。</w:t>
      </w:r>
      <w:r>
        <w:rPr>
          <w:rFonts w:hint="eastAsia"/>
          <w:highlight w:val="none"/>
          <w:lang w:val="en-US" w:eastAsia="zh-CN"/>
        </w:rPr>
        <w:t>即“</w:t>
      </w:r>
      <w:r>
        <w:rPr>
          <w:rFonts w:hint="eastAsia"/>
          <w:highlight w:val="none"/>
          <w:lang w:eastAsia="zh-CN"/>
        </w:rPr>
        <w:t>源系统生成单据 → 本模块获取并翻译 → 形成多语言单据库 → 供互联网客户端及其他模块调用</w:t>
      </w:r>
      <w:r>
        <w:rPr>
          <w:rFonts w:hint="eastAsia"/>
          <w:highlight w:val="none"/>
          <w:lang w:val="en-US" w:eastAsia="zh-CN"/>
        </w:rPr>
        <w:t>”，翻译件与原件分离存储，所有需要多语言单据的模块，统一通过本模块接口获取，避免各模块重复对接源系统</w:t>
      </w:r>
      <w:r>
        <w:rPr>
          <w:rFonts w:hint="eastAsia"/>
          <w:highlight w:val="none"/>
          <w:lang w:eastAsia="zh-CN"/>
        </w:rPr>
        <w:t>。</w:t>
      </w:r>
    </w:p>
    <w:p w14:paraId="6AB2F774">
      <w:pPr>
        <w:pStyle w:val="73"/>
        <w:bidi w:val="0"/>
        <w:rPr>
          <w:rFonts w:hint="default"/>
          <w:highlight w:val="none"/>
        </w:rPr>
      </w:pPr>
      <w:r>
        <w:rPr>
          <w:rFonts w:hint="eastAsia"/>
          <w:highlight w:val="none"/>
          <w:lang w:val="en-US" w:eastAsia="zh-CN"/>
        </w:rPr>
        <w:t>单据清单管理</w:t>
      </w:r>
    </w:p>
    <w:p w14:paraId="177ACA82">
      <w:pPr>
        <w:pStyle w:val="72"/>
        <w:bidi w:val="0"/>
        <w:rPr>
          <w:rFonts w:hint="default"/>
          <w:highlight w:val="none"/>
        </w:rPr>
      </w:pPr>
      <w:r>
        <w:rPr>
          <w:rFonts w:hint="default"/>
          <w:highlight w:val="none"/>
        </w:rPr>
        <w:t>单据来源与类型管理</w:t>
      </w:r>
      <w:r>
        <w:rPr>
          <w:rFonts w:hint="eastAsia"/>
          <w:highlight w:val="none"/>
          <w:lang w:eastAsia="zh-CN"/>
        </w:rPr>
        <w:t>：</w:t>
      </w:r>
      <w:r>
        <w:rPr>
          <w:rFonts w:hint="eastAsia"/>
          <w:highlight w:val="none"/>
          <w:lang w:val="en-US" w:eastAsia="zh-CN"/>
        </w:rPr>
        <w:t>支持自定义</w:t>
      </w:r>
      <w:r>
        <w:rPr>
          <w:rFonts w:hint="eastAsia"/>
          <w:highlight w:val="none"/>
          <w:lang w:eastAsia="zh-CN"/>
        </w:rPr>
        <w:t>配置单据来源，管理病历报告单、检查报告、检验报告、影像报告、病理报告、体检报告、知情同意书、出院小结、诊断证明等类型。</w:t>
      </w:r>
      <w:r>
        <w:rPr>
          <w:rFonts w:hint="eastAsia"/>
          <w:highlight w:val="none"/>
          <w:lang w:val="en-US" w:eastAsia="zh-CN"/>
        </w:rPr>
        <w:t>支持维护各类单据的多语言模板，规范翻译格式与字段，支持配置源系统字段与多语言单据字段的映射关系。</w:t>
      </w:r>
    </w:p>
    <w:p w14:paraId="75FDEE0F">
      <w:pPr>
        <w:pStyle w:val="72"/>
        <w:bidi w:val="0"/>
        <w:rPr>
          <w:rFonts w:hint="default"/>
          <w:highlight w:val="none"/>
        </w:rPr>
      </w:pPr>
      <w:r>
        <w:rPr>
          <w:rFonts w:hint="default"/>
          <w:highlight w:val="none"/>
        </w:rPr>
        <w:t>单据获取与同步</w:t>
      </w:r>
      <w:r>
        <w:rPr>
          <w:rFonts w:hint="eastAsia"/>
          <w:highlight w:val="none"/>
          <w:lang w:eastAsia="zh-CN"/>
        </w:rPr>
        <w:t>：</w:t>
      </w:r>
      <w:r>
        <w:rPr>
          <w:rFonts w:hint="eastAsia"/>
          <w:highlight w:val="none"/>
          <w:lang w:val="en-US" w:eastAsia="zh-CN"/>
        </w:rPr>
        <w:t>支持单据自动获取，即</w:t>
      </w:r>
      <w:r>
        <w:rPr>
          <w:highlight w:val="none"/>
        </w:rPr>
        <w:t>源系统单据生成后，自动触发获取或定时批量拉取。同步单据的待出具、已出具、已修订、已作废等状态。支持增量同步与定时全量校对。</w:t>
      </w:r>
      <w:r>
        <w:rPr>
          <w:rFonts w:hint="eastAsia"/>
          <w:highlight w:val="none"/>
          <w:lang w:val="en-US" w:eastAsia="zh-CN"/>
        </w:rPr>
        <w:t>需为</w:t>
      </w:r>
      <w:r>
        <w:rPr>
          <w:highlight w:val="none"/>
        </w:rPr>
        <w:t>每份单据分配唯一标识，关联源系统单据号与患者信息。获取失败时记录日志并自动重试，超过阈值告警。</w:t>
      </w:r>
    </w:p>
    <w:p w14:paraId="3A191731">
      <w:pPr>
        <w:pStyle w:val="72"/>
        <w:bidi w:val="0"/>
        <w:rPr>
          <w:rFonts w:hint="eastAsia"/>
          <w:highlight w:val="none"/>
        </w:rPr>
      </w:pPr>
      <w:r>
        <w:rPr>
          <w:rFonts w:hint="default"/>
          <w:highlight w:val="none"/>
        </w:rPr>
        <w:t>人工校对</w:t>
      </w:r>
      <w:r>
        <w:rPr>
          <w:rFonts w:hint="eastAsia"/>
          <w:highlight w:val="none"/>
          <w:lang w:eastAsia="zh-CN"/>
        </w:rPr>
        <w:t>：</w:t>
      </w:r>
      <w:r>
        <w:rPr>
          <w:rFonts w:hint="eastAsia"/>
          <w:highlight w:val="none"/>
          <w:lang w:val="en-US" w:eastAsia="zh-CN"/>
        </w:rPr>
        <w:t>如某些单据有需要，需</w:t>
      </w:r>
      <w:r>
        <w:rPr>
          <w:highlight w:val="none"/>
        </w:rPr>
        <w:t>对机器翻译结果进行人工校对与修订，确保医学准确性。</w:t>
      </w:r>
      <w:r>
        <w:rPr>
          <w:rFonts w:hint="eastAsia"/>
          <w:highlight w:val="none"/>
          <w:lang w:val="en-US" w:eastAsia="zh-CN"/>
        </w:rPr>
        <w:t>形成人工校对流程，</w:t>
      </w:r>
      <w:r>
        <w:rPr>
          <w:highlight w:val="none"/>
        </w:rPr>
        <w:t>翻译完成后经审核确认，方可对外发布。</w:t>
      </w:r>
      <w:r>
        <w:rPr>
          <w:rFonts w:hint="eastAsia"/>
          <w:highlight w:val="none"/>
        </w:rPr>
        <w:t>跟踪待翻译、翻译中、待审核、已发布、已更新等状态。</w:t>
      </w:r>
    </w:p>
    <w:p w14:paraId="0227CB4D">
      <w:pPr>
        <w:pStyle w:val="72"/>
        <w:bidi w:val="0"/>
        <w:rPr>
          <w:rFonts w:hint="eastAsia"/>
          <w:highlight w:val="none"/>
        </w:rPr>
      </w:pPr>
      <w:r>
        <w:rPr>
          <w:rFonts w:hint="eastAsia"/>
          <w:highlight w:val="none"/>
          <w:lang w:val="en-US" w:eastAsia="zh-CN"/>
        </w:rPr>
        <w:t>单据回传：生成的多语言单据需回传至HIS在内的多个系统，确保单据唯一性。</w:t>
      </w:r>
    </w:p>
    <w:p w14:paraId="1C6A35FF">
      <w:pPr>
        <w:pStyle w:val="73"/>
        <w:bidi w:val="0"/>
        <w:rPr>
          <w:rFonts w:hint="eastAsia"/>
          <w:highlight w:val="none"/>
        </w:rPr>
      </w:pPr>
      <w:r>
        <w:rPr>
          <w:rFonts w:hint="eastAsia"/>
          <w:highlight w:val="none"/>
          <w:lang w:val="en-US" w:eastAsia="zh-CN"/>
        </w:rPr>
        <w:t>对外接口服务</w:t>
      </w:r>
    </w:p>
    <w:p w14:paraId="6A443F2C">
      <w:pPr>
        <w:pStyle w:val="72"/>
        <w:bidi w:val="0"/>
        <w:rPr>
          <w:rFonts w:hint="eastAsia"/>
          <w:highlight w:val="none"/>
        </w:rPr>
      </w:pPr>
      <w:r>
        <w:rPr>
          <w:rFonts w:hint="eastAsia"/>
          <w:highlight w:val="none"/>
        </w:rPr>
        <w:t>对外接口服务</w:t>
      </w:r>
      <w:r>
        <w:rPr>
          <w:rFonts w:hint="eastAsia"/>
          <w:highlight w:val="none"/>
          <w:lang w:eastAsia="zh-CN"/>
        </w:rPr>
        <w:t>：</w:t>
      </w:r>
      <w:r>
        <w:rPr>
          <w:rFonts w:hint="eastAsia"/>
          <w:highlight w:val="none"/>
          <w:lang w:val="en-US" w:eastAsia="zh-CN"/>
        </w:rPr>
        <w:t>提供</w:t>
      </w:r>
      <w:r>
        <w:rPr>
          <w:highlight w:val="none"/>
        </w:rPr>
        <w:t>单据查询接口</w:t>
      </w:r>
      <w:r>
        <w:rPr>
          <w:rFonts w:hint="eastAsia"/>
          <w:highlight w:val="none"/>
          <w:lang w:eastAsia="zh-CN"/>
        </w:rPr>
        <w:t>、</w:t>
      </w:r>
      <w:r>
        <w:rPr>
          <w:highlight w:val="none"/>
        </w:rPr>
        <w:t>单据下载接口</w:t>
      </w:r>
      <w:r>
        <w:rPr>
          <w:rFonts w:hint="eastAsia"/>
          <w:highlight w:val="none"/>
          <w:lang w:eastAsia="zh-CN"/>
        </w:rPr>
        <w:t>、</w:t>
      </w:r>
      <w:r>
        <w:rPr>
          <w:highlight w:val="none"/>
        </w:rPr>
        <w:t>单据推送接口</w:t>
      </w:r>
      <w:r>
        <w:rPr>
          <w:rFonts w:hint="eastAsia"/>
          <w:highlight w:val="none"/>
          <w:lang w:eastAsia="zh-CN"/>
        </w:rPr>
        <w:t>。</w:t>
      </w:r>
      <w:r>
        <w:rPr>
          <w:rFonts w:hint="eastAsia"/>
          <w:highlight w:val="none"/>
          <w:lang w:val="en-US" w:eastAsia="zh-CN"/>
        </w:rPr>
        <w:t>支持</w:t>
      </w:r>
      <w:r>
        <w:rPr>
          <w:highlight w:val="none"/>
        </w:rPr>
        <w:t>接口鉴权</w:t>
      </w:r>
      <w:r>
        <w:rPr>
          <w:rFonts w:hint="eastAsia"/>
          <w:highlight w:val="none"/>
          <w:lang w:eastAsia="zh-CN"/>
        </w:rPr>
        <w:t>，</w:t>
      </w:r>
      <w:r>
        <w:rPr>
          <w:rFonts w:hint="eastAsia"/>
          <w:highlight w:val="none"/>
          <w:lang w:val="en-US" w:eastAsia="zh-CN"/>
        </w:rPr>
        <w:t>整理</w:t>
      </w:r>
      <w:r>
        <w:rPr>
          <w:highlight w:val="none"/>
        </w:rPr>
        <w:t>接口调用记录</w:t>
      </w:r>
      <w:r>
        <w:rPr>
          <w:rFonts w:hint="eastAsia"/>
          <w:highlight w:val="none"/>
          <w:lang w:eastAsia="zh-CN"/>
        </w:rPr>
        <w:t>。</w:t>
      </w:r>
    </w:p>
    <w:p w14:paraId="61EA0813">
      <w:pPr>
        <w:pStyle w:val="73"/>
        <w:bidi w:val="0"/>
        <w:rPr>
          <w:rFonts w:hint="eastAsia"/>
          <w:highlight w:val="none"/>
        </w:rPr>
      </w:pPr>
      <w:r>
        <w:rPr>
          <w:rFonts w:hint="eastAsia"/>
          <w:highlight w:val="none"/>
          <w:lang w:val="en-US" w:eastAsia="zh-CN"/>
        </w:rPr>
        <w:t>知情同意书及短信管理</w:t>
      </w:r>
    </w:p>
    <w:p w14:paraId="2F59A82F">
      <w:pPr>
        <w:pStyle w:val="72"/>
        <w:numPr>
          <w:ilvl w:val="2"/>
          <w:numId w:val="8"/>
        </w:numPr>
        <w:bidi w:val="0"/>
        <w:ind w:left="1670" w:leftChars="0" w:hanging="1103" w:firstLineChars="0"/>
        <w:rPr>
          <w:rFonts w:hint="default"/>
          <w:highlight w:val="none"/>
        </w:rPr>
      </w:pPr>
      <w:r>
        <w:rPr>
          <w:rFonts w:hint="default"/>
          <w:highlight w:val="none"/>
        </w:rPr>
        <w:t>知情同意书</w:t>
      </w:r>
      <w:r>
        <w:rPr>
          <w:rFonts w:hint="eastAsia"/>
          <w:highlight w:val="none"/>
          <w:lang w:eastAsia="zh-CN"/>
        </w:rPr>
        <w:t>：</w:t>
      </w:r>
      <w:r>
        <w:rPr>
          <w:rFonts w:hint="eastAsia"/>
          <w:highlight w:val="none"/>
          <w:lang w:val="en-US" w:eastAsia="zh-CN"/>
        </w:rPr>
        <w:t>同院内报告模式，</w:t>
      </w:r>
      <w:r>
        <w:rPr>
          <w:rStyle w:val="76"/>
          <w:rFonts w:hint="eastAsia"/>
          <w:highlight w:val="none"/>
          <w:lang w:val="en-US" w:eastAsia="zh-CN"/>
        </w:rPr>
        <w:t>获取院内各项知情同意书，并形成</w:t>
      </w:r>
      <w:r>
        <w:rPr>
          <w:rStyle w:val="76"/>
          <w:highlight w:val="none"/>
        </w:rPr>
        <w:t>多语言模板</w:t>
      </w:r>
      <w:r>
        <w:rPr>
          <w:rStyle w:val="76"/>
          <w:rFonts w:hint="eastAsia"/>
          <w:highlight w:val="none"/>
          <w:lang w:eastAsia="zh-CN"/>
        </w:rPr>
        <w:t>，</w:t>
      </w:r>
      <w:r>
        <w:rPr>
          <w:rStyle w:val="76"/>
          <w:highlight w:val="none"/>
        </w:rPr>
        <w:t>支持患者在线签署多语言知情同意书。记录签署时间、签署人、版本、IP 等信息。签署完成后归档至单据库与电子病历。</w:t>
      </w:r>
    </w:p>
    <w:p w14:paraId="23A4459A">
      <w:pPr>
        <w:pStyle w:val="72"/>
        <w:numPr>
          <w:ilvl w:val="2"/>
          <w:numId w:val="8"/>
        </w:numPr>
        <w:bidi w:val="0"/>
        <w:ind w:left="1670" w:leftChars="0" w:hanging="1103" w:firstLineChars="0"/>
        <w:rPr>
          <w:rFonts w:hint="default"/>
          <w:highlight w:val="none"/>
        </w:rPr>
      </w:pPr>
      <w:r>
        <w:rPr>
          <w:rFonts w:hint="default"/>
          <w:highlight w:val="none"/>
        </w:rPr>
        <w:t>短信管理</w:t>
      </w:r>
      <w:r>
        <w:rPr>
          <w:rFonts w:hint="eastAsia"/>
          <w:highlight w:val="none"/>
          <w:lang w:eastAsia="zh-CN"/>
        </w:rPr>
        <w:t>：</w:t>
      </w:r>
      <w:r>
        <w:rPr>
          <w:rStyle w:val="76"/>
          <w:rFonts w:hint="eastAsia"/>
          <w:highlight w:val="none"/>
          <w:lang w:val="en-US" w:eastAsia="zh-CN"/>
        </w:rPr>
        <w:t>对接短信平台，提供模块进行短信管理。支持</w:t>
      </w:r>
      <w:r>
        <w:rPr>
          <w:rStyle w:val="76"/>
          <w:highlight w:val="none"/>
        </w:rPr>
        <w:t>短信模板管理</w:t>
      </w:r>
      <w:r>
        <w:rPr>
          <w:rStyle w:val="76"/>
          <w:rFonts w:hint="eastAsia"/>
          <w:highlight w:val="none"/>
          <w:lang w:eastAsia="zh-CN"/>
        </w:rPr>
        <w:t>、</w:t>
      </w:r>
      <w:r>
        <w:rPr>
          <w:rStyle w:val="76"/>
          <w:highlight w:val="none"/>
        </w:rPr>
        <w:t>发送规则配置</w:t>
      </w:r>
      <w:r>
        <w:rPr>
          <w:rStyle w:val="76"/>
          <w:rFonts w:hint="eastAsia"/>
          <w:highlight w:val="none"/>
          <w:lang w:eastAsia="zh-CN"/>
        </w:rPr>
        <w:t>、</w:t>
      </w:r>
      <w:r>
        <w:rPr>
          <w:rStyle w:val="76"/>
          <w:highlight w:val="none"/>
        </w:rPr>
        <w:t>发送状态跟踪</w:t>
      </w:r>
      <w:r>
        <w:rPr>
          <w:rStyle w:val="76"/>
          <w:rFonts w:hint="eastAsia"/>
          <w:highlight w:val="none"/>
          <w:lang w:eastAsia="zh-CN"/>
        </w:rPr>
        <w:t>、</w:t>
      </w:r>
      <w:r>
        <w:rPr>
          <w:rStyle w:val="76"/>
          <w:highlight w:val="none"/>
        </w:rPr>
        <w:t>失败重试</w:t>
      </w:r>
      <w:r>
        <w:rPr>
          <w:rStyle w:val="76"/>
          <w:rFonts w:hint="eastAsia"/>
          <w:highlight w:val="none"/>
          <w:lang w:eastAsia="zh-CN"/>
        </w:rPr>
        <w:t>、</w:t>
      </w:r>
      <w:r>
        <w:rPr>
          <w:rStyle w:val="76"/>
          <w:highlight w:val="none"/>
        </w:rPr>
        <w:t>短信记录查询</w:t>
      </w:r>
      <w:r>
        <w:rPr>
          <w:rStyle w:val="76"/>
          <w:rFonts w:hint="eastAsia"/>
          <w:highlight w:val="none"/>
          <w:lang w:eastAsia="zh-CN"/>
        </w:rPr>
        <w:t>。</w:t>
      </w:r>
      <w:r>
        <w:rPr>
          <w:rStyle w:val="76"/>
          <w:rFonts w:hint="eastAsia"/>
          <w:highlight w:val="none"/>
          <w:lang w:val="en-US" w:eastAsia="zh-CN"/>
        </w:rPr>
        <w:t>支持</w:t>
      </w:r>
      <w:r>
        <w:rPr>
          <w:rStyle w:val="76"/>
          <w:highlight w:val="none"/>
        </w:rPr>
        <w:t>维护预约提醒、报告出具、押金退还、就诊提醒等短信模板，支持多语言。</w:t>
      </w:r>
    </w:p>
    <w:p w14:paraId="7270F391">
      <w:pPr>
        <w:pStyle w:val="73"/>
        <w:bidi w:val="0"/>
        <w:rPr>
          <w:rFonts w:hint="default"/>
        </w:rPr>
      </w:pPr>
      <w:r>
        <w:rPr>
          <w:rFonts w:hint="eastAsia"/>
          <w:lang w:val="en-US" w:eastAsia="zh-CN"/>
        </w:rPr>
        <w:t>权限管理</w:t>
      </w:r>
    </w:p>
    <w:p w14:paraId="371A749C">
      <w:pPr>
        <w:pStyle w:val="72"/>
        <w:numPr>
          <w:ilvl w:val="2"/>
          <w:numId w:val="8"/>
        </w:numPr>
        <w:bidi w:val="0"/>
        <w:ind w:left="1670" w:leftChars="0" w:hanging="1103" w:firstLineChars="0"/>
        <w:rPr>
          <w:rFonts w:hint="default"/>
        </w:rPr>
      </w:pPr>
      <w:r>
        <w:rPr>
          <w:rFonts w:hint="default"/>
        </w:rPr>
        <w:t>权限与合规</w:t>
      </w:r>
      <w:r>
        <w:rPr>
          <w:rFonts w:hint="eastAsia"/>
          <w:lang w:eastAsia="zh-CN"/>
        </w:rPr>
        <w:t>：</w:t>
      </w:r>
      <w:r>
        <w:rPr>
          <w:rFonts w:hint="eastAsia"/>
          <w:lang w:val="en-US" w:eastAsia="zh-CN"/>
        </w:rPr>
        <w:t>对接HIS系</w:t>
      </w:r>
      <w:r>
        <w:rPr>
          <w:rStyle w:val="76"/>
          <w:rFonts w:hint="eastAsia"/>
          <w:lang w:val="en-US" w:eastAsia="zh-CN"/>
        </w:rPr>
        <w:t>统支持模块权限，</w:t>
      </w:r>
      <w:r>
        <w:rPr>
          <w:rStyle w:val="76"/>
        </w:rPr>
        <w:t>区分管理员、翻译人员、审核人员、接口调用方等角色权限。涉及境外用户单据时遵循相关法规。</w:t>
      </w:r>
    </w:p>
    <w:p w14:paraId="58CC4764">
      <w:pPr>
        <w:pStyle w:val="73"/>
        <w:bidi w:val="0"/>
        <w:rPr>
          <w:rFonts w:hint="default"/>
        </w:rPr>
      </w:pPr>
      <w:r>
        <w:rPr>
          <w:rFonts w:hint="eastAsia" w:ascii="微软雅黑" w:hAnsi="微软雅黑" w:eastAsia="微软雅黑" w:cs="微软雅黑"/>
          <w:color w:val="000000"/>
          <w:szCs w:val="21"/>
          <w:lang w:val="en-US" w:eastAsia="zh-CN"/>
        </w:rPr>
        <w:t>其它信息管理</w:t>
      </w:r>
    </w:p>
    <w:p w14:paraId="74C3BA1E">
      <w:pPr>
        <w:pStyle w:val="72"/>
        <w:bidi w:val="0"/>
        <w:rPr>
          <w:rFonts w:hint="default"/>
        </w:rPr>
      </w:pPr>
      <w:r>
        <w:rPr>
          <w:rFonts w:hint="eastAsia"/>
          <w:lang w:val="en-US" w:eastAsia="zh-CN"/>
        </w:rPr>
        <w:t>双语门诊叫号、预约：提供患者标识中英文对照翻译接口给门诊屏系统，包含文字和语音。显示当前被叫号的国际患者信息，并明确指示患者应前往的具体诊室。列表包括患者姓名、诊室号信息，确保患者能够准确找到检查地点。</w:t>
      </w:r>
    </w:p>
    <w:p w14:paraId="404102EF">
      <w:pPr>
        <w:pStyle w:val="72"/>
        <w:bidi w:val="0"/>
        <w:rPr>
          <w:rFonts w:hint="default"/>
        </w:rPr>
      </w:pPr>
      <w:r>
        <w:rPr>
          <w:rFonts w:hint="eastAsia"/>
          <w:lang w:val="en-US" w:eastAsia="zh-CN"/>
        </w:rPr>
        <w:t>双语医技预约：提供患者标识中英文对照翻译接口给医技预约等检查检验系统，方便患者了解当前排队情况。</w:t>
      </w:r>
    </w:p>
    <w:p w14:paraId="27011A01">
      <w:pPr>
        <w:pStyle w:val="73"/>
        <w:numPr>
          <w:ilvl w:val="1"/>
          <w:numId w:val="0"/>
        </w:numPr>
        <w:bidi w:val="0"/>
        <w:ind w:left="-253" w:leftChars="0"/>
        <w:rPr>
          <w:rFonts w:hint="default"/>
        </w:rPr>
      </w:pPr>
    </w:p>
    <w:tbl>
      <w:tblPr>
        <w:tblStyle w:val="26"/>
        <w:tblW w:w="5000" w:type="pct"/>
        <w:tblInd w:w="0" w:type="dxa"/>
        <w:tblLayout w:type="autofit"/>
        <w:tblCellMar>
          <w:top w:w="0" w:type="dxa"/>
          <w:left w:w="108" w:type="dxa"/>
          <w:bottom w:w="0" w:type="dxa"/>
          <w:right w:w="108" w:type="dxa"/>
        </w:tblCellMar>
      </w:tblPr>
      <w:tblGrid>
        <w:gridCol w:w="1042"/>
        <w:gridCol w:w="8244"/>
      </w:tblGrid>
      <w:tr w14:paraId="646E1580">
        <w:tblPrEx>
          <w:tblCellMar>
            <w:top w:w="0" w:type="dxa"/>
            <w:left w:w="108" w:type="dxa"/>
            <w:bottom w:w="0" w:type="dxa"/>
            <w:right w:w="108" w:type="dxa"/>
          </w:tblCellMar>
        </w:tblPrEx>
        <w:trPr>
          <w:trHeight w:val="320"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366B7981">
            <w:pPr>
              <w:widowControl/>
              <w:snapToGrid w:val="0"/>
              <w:jc w:val="left"/>
              <w:rPr>
                <w:rFonts w:ascii="微软雅黑" w:hAnsi="微软雅黑" w:eastAsia="微软雅黑" w:cs="微软雅黑"/>
                <w:b/>
                <w:bCs/>
                <w:color w:val="000000"/>
                <w:szCs w:val="21"/>
                <w:highlight w:val="none"/>
              </w:rPr>
            </w:pPr>
            <w:r>
              <w:rPr>
                <w:rFonts w:hint="eastAsia" w:ascii="微软雅黑" w:hAnsi="微软雅黑" w:eastAsia="微软雅黑" w:cs="微软雅黑"/>
                <w:b/>
                <w:bCs/>
                <w:sz w:val="24"/>
                <w:szCs w:val="32"/>
                <w:highlight w:val="none"/>
                <w:lang w:eastAsia="zh-CN"/>
              </w:rPr>
              <w:t>（</w:t>
            </w:r>
            <w:r>
              <w:rPr>
                <w:rFonts w:hint="eastAsia" w:ascii="微软雅黑" w:hAnsi="微软雅黑" w:eastAsia="微软雅黑" w:cs="微软雅黑"/>
                <w:b/>
                <w:bCs/>
                <w:sz w:val="24"/>
                <w:szCs w:val="32"/>
                <w:highlight w:val="none"/>
                <w:lang w:val="en-US" w:eastAsia="zh-CN"/>
              </w:rPr>
              <w:t>七</w:t>
            </w:r>
            <w:r>
              <w:rPr>
                <w:rFonts w:hint="eastAsia" w:ascii="微软雅黑" w:hAnsi="微软雅黑" w:eastAsia="微软雅黑" w:cs="微软雅黑"/>
                <w:b/>
                <w:bCs/>
                <w:sz w:val="24"/>
                <w:szCs w:val="32"/>
                <w:highlight w:val="none"/>
                <w:lang w:eastAsia="zh-CN"/>
              </w:rPr>
              <w:t>）国际医疗工作人员模块</w:t>
            </w:r>
            <w:r>
              <w:rPr>
                <w:rFonts w:hint="eastAsia" w:ascii="微软雅黑" w:hAnsi="微软雅黑" w:eastAsia="微软雅黑" w:cs="微软雅黑"/>
                <w:b/>
                <w:bCs/>
                <w:sz w:val="24"/>
                <w:szCs w:val="32"/>
                <w:highlight w:val="none"/>
              </w:rPr>
              <w:t>细项</w:t>
            </w:r>
          </w:p>
        </w:tc>
      </w:tr>
      <w:tr w14:paraId="4A67607F">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2A6D5592">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1</w:t>
            </w:r>
          </w:p>
        </w:tc>
        <w:tc>
          <w:tcPr>
            <w:tcW w:w="4438" w:type="pct"/>
            <w:tcBorders>
              <w:top w:val="single" w:color="auto" w:sz="4" w:space="0"/>
              <w:left w:val="single" w:color="auto" w:sz="4" w:space="0"/>
              <w:bottom w:val="single" w:color="auto" w:sz="4" w:space="0"/>
              <w:right w:val="single" w:color="auto" w:sz="4" w:space="0"/>
            </w:tcBorders>
            <w:vAlign w:val="center"/>
          </w:tcPr>
          <w:p w14:paraId="2E000DAC">
            <w:pPr>
              <w:widowControl/>
              <w:snapToGrid w:val="0"/>
              <w:rPr>
                <w:rFonts w:hint="default" w:ascii="微软雅黑" w:hAnsi="微软雅黑" w:eastAsia="微软雅黑" w:cs="微软雅黑"/>
                <w:color w:val="000000"/>
                <w:szCs w:val="21"/>
                <w:highlight w:val="none"/>
                <w:lang w:val="en-US" w:eastAsia="zh-CN"/>
              </w:rPr>
            </w:pPr>
            <w:r>
              <w:rPr>
                <w:rFonts w:hint="default" w:ascii="微软雅黑" w:hAnsi="微软雅黑" w:eastAsia="微软雅黑" w:cs="微软雅黑"/>
                <w:color w:val="000000"/>
                <w:szCs w:val="21"/>
                <w:highlight w:val="none"/>
                <w:lang w:val="en-US" w:eastAsia="zh-CN"/>
              </w:rPr>
              <w:t>模块构造</w:t>
            </w:r>
            <w:r>
              <w:rPr>
                <w:rFonts w:hint="eastAsia" w:ascii="微软雅黑" w:hAnsi="微软雅黑" w:eastAsia="微软雅黑" w:cs="微软雅黑"/>
                <w:color w:val="000000"/>
                <w:szCs w:val="21"/>
                <w:highlight w:val="none"/>
                <w:lang w:val="en-US" w:eastAsia="zh-CN"/>
              </w:rPr>
              <w:t>：采取多语言架构，独立建设。</w:t>
            </w:r>
          </w:p>
        </w:tc>
      </w:tr>
      <w:tr w14:paraId="16C5380C">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1047D09A">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2</w:t>
            </w:r>
          </w:p>
        </w:tc>
        <w:tc>
          <w:tcPr>
            <w:tcW w:w="4438" w:type="pct"/>
            <w:tcBorders>
              <w:top w:val="single" w:color="auto" w:sz="4" w:space="0"/>
              <w:left w:val="single" w:color="auto" w:sz="4" w:space="0"/>
              <w:bottom w:val="single" w:color="auto" w:sz="4" w:space="0"/>
              <w:right w:val="single" w:color="auto" w:sz="4" w:space="0"/>
            </w:tcBorders>
            <w:vAlign w:val="center"/>
          </w:tcPr>
          <w:p w14:paraId="5DE333D4">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辅助导诊：模块给予专人导诊指引，跟踪患者就医流程，服务于患者。</w:t>
            </w:r>
          </w:p>
        </w:tc>
      </w:tr>
      <w:tr w14:paraId="4EA3A95D">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4FE6A1A0">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3</w:t>
            </w:r>
          </w:p>
        </w:tc>
        <w:tc>
          <w:tcPr>
            <w:tcW w:w="4438" w:type="pct"/>
            <w:tcBorders>
              <w:top w:val="single" w:color="auto" w:sz="4" w:space="0"/>
              <w:left w:val="single" w:color="auto" w:sz="4" w:space="0"/>
              <w:bottom w:val="single" w:color="auto" w:sz="4" w:space="0"/>
              <w:right w:val="single" w:color="auto" w:sz="4" w:space="0"/>
            </w:tcBorders>
            <w:vAlign w:val="center"/>
          </w:tcPr>
          <w:p w14:paraId="51144E8F">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沟通互动：该模块提供第三者进入患者就医群组，与患者实时沟通。</w:t>
            </w:r>
          </w:p>
        </w:tc>
      </w:tr>
      <w:tr w14:paraId="32F20043">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51811A93">
            <w:pPr>
              <w:widowControl/>
              <w:snapToGrid w:val="0"/>
              <w:jc w:val="center"/>
              <w:rPr>
                <w:rFonts w:hint="eastAsia"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4</w:t>
            </w:r>
          </w:p>
        </w:tc>
        <w:tc>
          <w:tcPr>
            <w:tcW w:w="4438" w:type="pct"/>
            <w:tcBorders>
              <w:top w:val="single" w:color="auto" w:sz="4" w:space="0"/>
              <w:left w:val="single" w:color="auto" w:sz="4" w:space="0"/>
              <w:bottom w:val="single" w:color="auto" w:sz="4" w:space="0"/>
              <w:right w:val="single" w:color="auto" w:sz="4" w:space="0"/>
            </w:tcBorders>
            <w:vAlign w:val="center"/>
          </w:tcPr>
          <w:p w14:paraId="3B9F2530">
            <w:pPr>
              <w:widowControl/>
              <w:snapToGrid w:val="0"/>
              <w:rPr>
                <w:rFonts w:hint="default" w:ascii="微软雅黑" w:hAnsi="微软雅黑" w:eastAsia="微软雅黑" w:cs="微软雅黑"/>
                <w:color w:val="000000"/>
                <w:szCs w:val="21"/>
                <w:highlight w:val="none"/>
                <w:lang w:val="en-US" w:eastAsia="zh-CN"/>
              </w:rPr>
            </w:pPr>
            <w:r>
              <w:rPr>
                <w:rFonts w:hint="default" w:ascii="微软雅黑" w:hAnsi="微软雅黑" w:eastAsia="微软雅黑" w:cs="微软雅黑"/>
                <w:color w:val="000000"/>
                <w:szCs w:val="21"/>
                <w:highlight w:val="none"/>
                <w:lang w:val="en-US" w:eastAsia="zh-CN"/>
              </w:rPr>
              <w:t>患者服务协助</w:t>
            </w:r>
            <w:r>
              <w:rPr>
                <w:rFonts w:hint="eastAsia" w:ascii="微软雅黑" w:hAnsi="微软雅黑" w:eastAsia="微软雅黑" w:cs="微软雅黑"/>
                <w:color w:val="000000"/>
                <w:szCs w:val="21"/>
                <w:highlight w:val="none"/>
                <w:lang w:val="en-US" w:eastAsia="zh-CN"/>
              </w:rPr>
              <w:t>：该模块用于第三者接受授权后协助填写就诊人信息、证件核验与商保。</w:t>
            </w:r>
          </w:p>
        </w:tc>
      </w:tr>
      <w:tr w14:paraId="3EB2D97E">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04523B5D">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5</w:t>
            </w:r>
          </w:p>
        </w:tc>
        <w:tc>
          <w:tcPr>
            <w:tcW w:w="4438" w:type="pct"/>
            <w:tcBorders>
              <w:top w:val="single" w:color="auto" w:sz="4" w:space="0"/>
              <w:left w:val="single" w:color="auto" w:sz="4" w:space="0"/>
              <w:bottom w:val="single" w:color="auto" w:sz="4" w:space="0"/>
              <w:right w:val="single" w:color="auto" w:sz="4" w:space="0"/>
            </w:tcBorders>
            <w:vAlign w:val="center"/>
          </w:tcPr>
          <w:p w14:paraId="6F5A263A">
            <w:pPr>
              <w:widowControl/>
              <w:snapToGrid w:val="0"/>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其它</w:t>
            </w:r>
            <w:r>
              <w:rPr>
                <w:rFonts w:hint="default" w:ascii="微软雅黑" w:hAnsi="微软雅黑" w:eastAsia="微软雅黑" w:cs="微软雅黑"/>
                <w:color w:val="000000"/>
                <w:szCs w:val="21"/>
                <w:highlight w:val="none"/>
                <w:lang w:val="en-US" w:eastAsia="zh-CN"/>
              </w:rPr>
              <w:t>服务</w:t>
            </w:r>
            <w:r>
              <w:rPr>
                <w:rFonts w:hint="eastAsia" w:ascii="微软雅黑" w:hAnsi="微软雅黑" w:eastAsia="微软雅黑" w:cs="微软雅黑"/>
                <w:color w:val="000000"/>
                <w:szCs w:val="21"/>
                <w:highlight w:val="none"/>
                <w:lang w:val="en-US" w:eastAsia="zh-CN"/>
              </w:rPr>
              <w:t>：该模块提供邮件、国际短信、翻译、车接送、订酒店等例外服务。</w:t>
            </w:r>
          </w:p>
        </w:tc>
      </w:tr>
      <w:tr w14:paraId="21C9926D">
        <w:tblPrEx>
          <w:tblCellMar>
            <w:top w:w="0" w:type="dxa"/>
            <w:left w:w="108" w:type="dxa"/>
            <w:bottom w:w="0" w:type="dxa"/>
            <w:right w:w="108" w:type="dxa"/>
          </w:tblCellMar>
        </w:tblPrEx>
        <w:trPr>
          <w:trHeight w:val="90" w:hRule="atLeast"/>
        </w:trPr>
        <w:tc>
          <w:tcPr>
            <w:tcW w:w="561" w:type="pct"/>
            <w:tcBorders>
              <w:top w:val="single" w:color="auto" w:sz="4" w:space="0"/>
              <w:left w:val="single" w:color="auto" w:sz="4" w:space="0"/>
              <w:bottom w:val="single" w:color="auto" w:sz="4" w:space="0"/>
              <w:right w:val="single" w:color="auto" w:sz="4" w:space="0"/>
            </w:tcBorders>
            <w:vAlign w:val="center"/>
          </w:tcPr>
          <w:p w14:paraId="164268D2">
            <w:pPr>
              <w:widowControl/>
              <w:snapToGrid w:val="0"/>
              <w:jc w:val="center"/>
              <w:rPr>
                <w:rFonts w:hint="default" w:ascii="微软雅黑" w:hAnsi="微软雅黑" w:eastAsia="微软雅黑" w:cs="微软雅黑"/>
                <w:color w:val="000000"/>
                <w:szCs w:val="21"/>
                <w:highlight w:val="none"/>
                <w:lang w:val="en-US" w:eastAsia="zh-CN"/>
              </w:rPr>
            </w:pPr>
            <w:r>
              <w:rPr>
                <w:rFonts w:hint="eastAsia" w:ascii="微软雅黑" w:hAnsi="微软雅黑" w:eastAsia="微软雅黑" w:cs="微软雅黑"/>
                <w:color w:val="000000"/>
                <w:szCs w:val="21"/>
                <w:highlight w:val="none"/>
                <w:lang w:val="en-US" w:eastAsia="zh-CN"/>
              </w:rPr>
              <w:t>6</w:t>
            </w:r>
          </w:p>
        </w:tc>
        <w:tc>
          <w:tcPr>
            <w:tcW w:w="4438" w:type="pct"/>
            <w:tcBorders>
              <w:top w:val="single" w:color="auto" w:sz="4" w:space="0"/>
              <w:left w:val="single" w:color="auto" w:sz="4" w:space="0"/>
              <w:bottom w:val="single" w:color="auto" w:sz="4" w:space="0"/>
              <w:right w:val="single" w:color="auto" w:sz="4" w:space="0"/>
            </w:tcBorders>
            <w:vAlign w:val="center"/>
          </w:tcPr>
          <w:p w14:paraId="0D8FF394">
            <w:pPr>
              <w:widowControl/>
              <w:snapToGrid w:val="0"/>
              <w:rPr>
                <w:rFonts w:hint="default" w:ascii="微软雅黑" w:hAnsi="微软雅黑" w:eastAsia="微软雅黑" w:cs="微软雅黑"/>
                <w:color w:val="000000"/>
                <w:szCs w:val="21"/>
                <w:highlight w:val="none"/>
                <w:lang w:val="en-US" w:eastAsia="zh-CN"/>
              </w:rPr>
            </w:pPr>
            <w:r>
              <w:rPr>
                <w:rFonts w:hint="default" w:ascii="微软雅黑" w:hAnsi="微软雅黑" w:eastAsia="微软雅黑" w:cs="微软雅黑"/>
                <w:color w:val="000000"/>
                <w:szCs w:val="21"/>
                <w:highlight w:val="none"/>
                <w:lang w:val="en-US" w:eastAsia="zh-CN"/>
              </w:rPr>
              <w:t>风控与合规</w:t>
            </w:r>
            <w:r>
              <w:rPr>
                <w:rFonts w:hint="eastAsia" w:ascii="微软雅黑" w:hAnsi="微软雅黑" w:eastAsia="微软雅黑" w:cs="微软雅黑"/>
                <w:color w:val="000000"/>
                <w:szCs w:val="21"/>
                <w:highlight w:val="none"/>
                <w:lang w:val="en-US" w:eastAsia="zh-CN"/>
              </w:rPr>
              <w:t>：数据授权、多语言签名确认，服务全程留痕可审计。</w:t>
            </w:r>
          </w:p>
        </w:tc>
      </w:tr>
    </w:tbl>
    <w:p w14:paraId="001002E1">
      <w:pPr>
        <w:pStyle w:val="73"/>
        <w:numPr>
          <w:ilvl w:val="1"/>
          <w:numId w:val="9"/>
        </w:numPr>
        <w:bidi w:val="0"/>
        <w:rPr>
          <w:rFonts w:hint="default"/>
          <w:highlight w:val="none"/>
        </w:rPr>
      </w:pPr>
      <w:r>
        <w:rPr>
          <w:highlight w:val="none"/>
        </w:rPr>
        <w:t xml:space="preserve"> </w:t>
      </w:r>
      <w:r>
        <w:rPr>
          <w:rFonts w:hint="eastAsia"/>
          <w:highlight w:val="none"/>
          <w:lang w:val="en-US" w:eastAsia="zh-CN"/>
        </w:rPr>
        <w:t>模块构造</w:t>
      </w:r>
    </w:p>
    <w:p w14:paraId="53EBDEB7">
      <w:pPr>
        <w:pStyle w:val="72"/>
        <w:bidi w:val="0"/>
        <w:rPr>
          <w:rFonts w:hint="eastAsia"/>
          <w:lang w:val="en-US" w:eastAsia="zh-CN"/>
        </w:rPr>
      </w:pPr>
      <w:r>
        <w:rPr>
          <w:rFonts w:hint="eastAsia"/>
          <w:lang w:val="en-US" w:eastAsia="zh-CN"/>
        </w:rPr>
        <w:t>模块形态：支持在患者 APP 嵌入系统入口，界面文案、患者信息、报告、通知、常用语支持中文简体、中文繁体、英语等多语言。</w:t>
      </w:r>
    </w:p>
    <w:p w14:paraId="17F1BEC9">
      <w:pPr>
        <w:pStyle w:val="72"/>
        <w:bidi w:val="0"/>
        <w:rPr>
          <w:rFonts w:hint="eastAsia"/>
          <w:lang w:val="en-US" w:eastAsia="zh-CN"/>
        </w:rPr>
      </w:pPr>
      <w:r>
        <w:rPr>
          <w:rFonts w:hint="eastAsia"/>
          <w:lang w:val="en-US" w:eastAsia="zh-CN"/>
        </w:rPr>
        <w:t>模块构造原则：该模块为面向国际医疗辅助人员，包含临床人员和第三方人员的客制化应用模块。该模块区分导诊人员、健康管理师、翻译人员、客服人员、医生助理等角色，履行导诊、沟通、随访、额外服务的客制化服务项目功能。</w:t>
      </w:r>
    </w:p>
    <w:p w14:paraId="4C37E5F8">
      <w:pPr>
        <w:pStyle w:val="72"/>
        <w:bidi w:val="0"/>
        <w:rPr>
          <w:rFonts w:hint="eastAsia"/>
          <w:lang w:val="en-US" w:eastAsia="zh-CN"/>
        </w:rPr>
      </w:pPr>
      <w:r>
        <w:rPr>
          <w:rFonts w:hint="eastAsia"/>
          <w:lang w:val="en-US" w:eastAsia="zh-CN"/>
        </w:rPr>
        <w:t>多语言架构：界面文案、患者信息、报告、通知、常用语支持中文简体、中文繁体、英语等多语言。</w:t>
      </w:r>
    </w:p>
    <w:p w14:paraId="2CC0C940">
      <w:pPr>
        <w:pStyle w:val="73"/>
        <w:bidi w:val="0"/>
        <w:rPr>
          <w:rFonts w:hint="eastAsia"/>
          <w:lang w:val="en-US" w:eastAsia="zh-CN"/>
        </w:rPr>
      </w:pPr>
      <w:r>
        <w:rPr>
          <w:rFonts w:hint="eastAsia"/>
          <w:lang w:val="en-US" w:eastAsia="zh-CN"/>
        </w:rPr>
        <w:t>辅助导诊</w:t>
      </w:r>
    </w:p>
    <w:p w14:paraId="51C1290B">
      <w:pPr>
        <w:pStyle w:val="72"/>
        <w:bidi w:val="0"/>
        <w:rPr>
          <w:rFonts w:hint="eastAsia"/>
          <w:lang w:val="en-US" w:eastAsia="zh-CN"/>
        </w:rPr>
      </w:pPr>
      <w:r>
        <w:rPr>
          <w:rFonts w:hint="eastAsia"/>
          <w:lang w:val="en-US" w:eastAsia="zh-CN"/>
        </w:rPr>
        <w:t>导诊指引：模块支持展示患者当前就诊环节、下一步动作、地点与注意事项。对接HIS流程、检查检验预约接口，获取患者关键节点信息以及推送展示。跟踪患者从预约、签到、候诊、就诊、检查、缴费、取药到离院的完整流程。</w:t>
      </w:r>
    </w:p>
    <w:p w14:paraId="3451FAC4">
      <w:pPr>
        <w:pStyle w:val="72"/>
        <w:bidi w:val="0"/>
        <w:rPr>
          <w:rFonts w:hint="eastAsia"/>
          <w:lang w:val="en-US" w:eastAsia="zh-CN"/>
        </w:rPr>
      </w:pPr>
      <w:r>
        <w:rPr>
          <w:rFonts w:hint="eastAsia"/>
          <w:lang w:val="en-US" w:eastAsia="zh-CN"/>
        </w:rPr>
        <w:t>导诊任务提醒：支持按患者进度推送导诊任务，如提醒签到、提醒检查、提醒取药，支持患者迷路、检查冲突、缴费异常、语言不通时，导诊人员获取电话或者其它方式介入协助。</w:t>
      </w:r>
    </w:p>
    <w:p w14:paraId="2DC0BE39">
      <w:pPr>
        <w:pStyle w:val="72"/>
        <w:bidi w:val="0"/>
        <w:rPr>
          <w:rFonts w:hint="eastAsia"/>
          <w:lang w:val="en-US" w:eastAsia="zh-CN"/>
        </w:rPr>
      </w:pPr>
      <w:r>
        <w:rPr>
          <w:rFonts w:hint="eastAsia"/>
          <w:lang w:val="en-US" w:eastAsia="zh-CN"/>
        </w:rPr>
        <w:t>导诊记录：导诊过程记录形成完整工单工作流，记录导诊过程、协助事项、处理结果。</w:t>
      </w:r>
    </w:p>
    <w:p w14:paraId="4322BD39">
      <w:pPr>
        <w:pStyle w:val="73"/>
        <w:bidi w:val="0"/>
        <w:rPr>
          <w:rFonts w:hint="eastAsia"/>
          <w:lang w:val="en-US" w:eastAsia="zh-CN"/>
        </w:rPr>
      </w:pPr>
      <w:r>
        <w:rPr>
          <w:rFonts w:hint="eastAsia"/>
          <w:lang w:val="en-US" w:eastAsia="zh-CN"/>
        </w:rPr>
        <w:t>沟通互动</w:t>
      </w:r>
    </w:p>
    <w:p w14:paraId="61F6B4F4">
      <w:pPr>
        <w:pStyle w:val="72"/>
        <w:bidi w:val="0"/>
        <w:rPr>
          <w:rFonts w:hint="eastAsia"/>
          <w:lang w:val="en-US" w:eastAsia="zh-CN"/>
        </w:rPr>
      </w:pPr>
      <w:r>
        <w:rPr>
          <w:rFonts w:hint="eastAsia"/>
          <w:lang w:val="en-US" w:eastAsia="zh-CN"/>
        </w:rPr>
        <w:t>进入就医群组：支持患者相关人员进入患者就医群组，与患者、亲友、医生、会诊医生实时沟通。就医群组模块具体需求参见门诊预约模块就医群组。</w:t>
      </w:r>
    </w:p>
    <w:p w14:paraId="097FDB9A">
      <w:pPr>
        <w:pStyle w:val="72"/>
        <w:bidi w:val="0"/>
        <w:rPr>
          <w:rFonts w:hint="eastAsia"/>
          <w:lang w:val="en-US" w:eastAsia="zh-CN"/>
        </w:rPr>
      </w:pPr>
      <w:r>
        <w:rPr>
          <w:rFonts w:hint="eastAsia"/>
          <w:lang w:val="en-US" w:eastAsia="zh-CN"/>
        </w:rPr>
        <w:t>群组信息推送：群内信息、就医患者点选服务后推送相关信息给辅助人员。</w:t>
      </w:r>
    </w:p>
    <w:p w14:paraId="5D960075">
      <w:pPr>
        <w:pStyle w:val="73"/>
        <w:bidi w:val="0"/>
        <w:rPr>
          <w:rFonts w:hint="eastAsia"/>
          <w:lang w:val="en-US" w:eastAsia="zh-CN"/>
        </w:rPr>
      </w:pPr>
      <w:r>
        <w:rPr>
          <w:rFonts w:hint="eastAsia"/>
          <w:lang w:val="en-US" w:eastAsia="zh-CN"/>
        </w:rPr>
        <w:t>患者服务协助</w:t>
      </w:r>
    </w:p>
    <w:p w14:paraId="195E1C85">
      <w:pPr>
        <w:pStyle w:val="72"/>
        <w:bidi w:val="0"/>
        <w:ind w:left="1670" w:leftChars="0" w:hanging="1103" w:firstLineChars="0"/>
        <w:rPr>
          <w:rFonts w:hint="eastAsia"/>
          <w:lang w:val="en-US" w:eastAsia="zh-CN"/>
        </w:rPr>
      </w:pPr>
      <w:r>
        <w:rPr>
          <w:rFonts w:hint="eastAsia"/>
          <w:lang w:val="en-US" w:eastAsia="zh-CN"/>
        </w:rPr>
        <w:t>就诊人信息协助：允许在患者本人授权后协助患者完善就诊人信息、证件核验、保险信息等。支持人员在患者授权下代为上传证件照片（护照、永久居留证等）。</w:t>
      </w:r>
    </w:p>
    <w:p w14:paraId="65056FAE">
      <w:pPr>
        <w:pStyle w:val="72"/>
        <w:bidi w:val="0"/>
        <w:ind w:left="1670" w:leftChars="0" w:hanging="1103" w:firstLineChars="0"/>
        <w:rPr>
          <w:rFonts w:hint="eastAsia"/>
          <w:lang w:val="en-US" w:eastAsia="zh-CN"/>
        </w:rPr>
      </w:pPr>
      <w:r>
        <w:rPr>
          <w:rFonts w:hint="eastAsia"/>
          <w:lang w:val="en-US" w:eastAsia="zh-CN"/>
        </w:rPr>
        <w:t>商保协助：支持协助患者完成商保资格验证、直付申请、理赔材料准备。</w:t>
      </w:r>
    </w:p>
    <w:p w14:paraId="2683E383">
      <w:pPr>
        <w:pStyle w:val="73"/>
        <w:bidi w:val="0"/>
        <w:ind w:left="1250" w:leftChars="0" w:hanging="967" w:firstLineChars="0"/>
        <w:rPr>
          <w:rFonts w:hint="eastAsia"/>
          <w:lang w:val="en-US" w:eastAsia="zh-CN"/>
        </w:rPr>
      </w:pPr>
      <w:r>
        <w:rPr>
          <w:rFonts w:hint="eastAsia"/>
          <w:lang w:val="en-US" w:eastAsia="zh-CN"/>
        </w:rPr>
        <w:t>其它</w:t>
      </w:r>
      <w:r>
        <w:rPr>
          <w:rFonts w:hint="default"/>
          <w:lang w:val="en-US" w:eastAsia="zh-CN"/>
        </w:rPr>
        <w:t>服务</w:t>
      </w:r>
    </w:p>
    <w:p w14:paraId="42E96EB4">
      <w:pPr>
        <w:pStyle w:val="72"/>
        <w:bidi w:val="0"/>
        <w:rPr>
          <w:rFonts w:hint="eastAsia"/>
          <w:lang w:val="en-US" w:eastAsia="zh-CN"/>
        </w:rPr>
      </w:pPr>
      <w:r>
        <w:rPr>
          <w:rFonts w:hint="eastAsia"/>
          <w:lang w:val="en-US" w:eastAsia="zh-CN"/>
        </w:rPr>
        <w:t>例外服务：支持面向境外患者提供专人例外服务，涵盖邮件、国际短信、特殊翻译、车接送、订酒店等个性化服务。这些服务需作为服务项目给患者点选，按照服务包整体打包收费。</w:t>
      </w:r>
    </w:p>
    <w:p w14:paraId="7B8CECCC">
      <w:pPr>
        <w:pStyle w:val="72"/>
        <w:bidi w:val="0"/>
        <w:rPr>
          <w:rFonts w:hint="eastAsia"/>
          <w:lang w:val="en-US" w:eastAsia="zh-CN"/>
        </w:rPr>
      </w:pPr>
      <w:r>
        <w:rPr>
          <w:rFonts w:hint="eastAsia"/>
          <w:lang w:val="en-US" w:eastAsia="zh-CN"/>
        </w:rPr>
        <w:t>服务申请与受理：</w:t>
      </w:r>
      <w:r>
        <w:t>患者</w:t>
      </w:r>
      <w:r>
        <w:rPr>
          <w:rFonts w:hint="eastAsia"/>
          <w:lang w:val="en-US" w:eastAsia="zh-CN"/>
        </w:rPr>
        <w:t>在用户端用户群组内可</w:t>
      </w:r>
      <w:r>
        <w:t>发起服务申请，录入需求、时间、地点、联系人</w:t>
      </w:r>
      <w:r>
        <w:rPr>
          <w:rFonts w:hint="eastAsia"/>
          <w:lang w:val="en-US" w:eastAsia="zh-CN"/>
        </w:rPr>
        <w:t>等信息</w:t>
      </w:r>
      <w:r>
        <w:t>，提交后进入受理流程。</w:t>
      </w:r>
    </w:p>
    <w:p w14:paraId="2530F589">
      <w:pPr>
        <w:pStyle w:val="72"/>
        <w:bidi w:val="0"/>
        <w:rPr>
          <w:rFonts w:hint="eastAsia"/>
          <w:lang w:val="en-US" w:eastAsia="zh-CN"/>
        </w:rPr>
      </w:pPr>
      <w:r>
        <w:rPr>
          <w:rFonts w:hint="eastAsia"/>
          <w:lang w:val="en-US" w:eastAsia="zh-CN"/>
        </w:rPr>
        <w:t>服务分派与跟踪：系统</w:t>
      </w:r>
      <w:r>
        <w:t>将服务分派至对应人员或合作机构，跟踪服务进度与完成状态。</w:t>
      </w:r>
    </w:p>
    <w:p w14:paraId="58C5E91C">
      <w:pPr>
        <w:pStyle w:val="72"/>
        <w:bidi w:val="0"/>
        <w:rPr>
          <w:rFonts w:hint="eastAsia"/>
          <w:lang w:val="en-US" w:eastAsia="zh-CN"/>
        </w:rPr>
      </w:pPr>
      <w:r>
        <w:rPr>
          <w:rFonts w:hint="eastAsia"/>
          <w:lang w:val="en-US" w:eastAsia="zh-CN"/>
        </w:rPr>
        <w:t>服务投诉与评价：在完成工单后系统在患者群组内推送相关的提醒，允许患者进行服务投诉与评价。</w:t>
      </w:r>
    </w:p>
    <w:p w14:paraId="0B80BBD8">
      <w:pPr>
        <w:pStyle w:val="72"/>
        <w:bidi w:val="0"/>
        <w:rPr>
          <w:rFonts w:hint="eastAsia"/>
          <w:lang w:val="en-US" w:eastAsia="zh-CN"/>
        </w:rPr>
      </w:pPr>
      <w:r>
        <w:rPr>
          <w:rFonts w:hint="eastAsia"/>
          <w:lang w:val="en-US" w:eastAsia="zh-CN"/>
        </w:rPr>
        <w:t>对接收费模块：对接收费系统执行相关收费，完成后开启服务工单。</w:t>
      </w:r>
    </w:p>
    <w:p w14:paraId="5E3B0B25">
      <w:pPr>
        <w:pStyle w:val="72"/>
        <w:bidi w:val="0"/>
        <w:rPr>
          <w:rFonts w:hint="eastAsia"/>
          <w:lang w:val="en-US" w:eastAsia="zh-CN"/>
        </w:rPr>
      </w:pPr>
      <w:r>
        <w:rPr>
          <w:rFonts w:hint="eastAsia"/>
          <w:lang w:val="en-US" w:eastAsia="zh-CN"/>
        </w:rPr>
        <w:t>记录与统计：记录例外服务申请、受理、分派、执行、结算全过程。统计各类例外服务量、费用、满意度。生成例外服务运营报表，支持导出。</w:t>
      </w:r>
    </w:p>
    <w:p w14:paraId="7A786F84">
      <w:pPr>
        <w:pStyle w:val="73"/>
        <w:bidi w:val="0"/>
        <w:rPr>
          <w:rFonts w:hint="eastAsia"/>
          <w:lang w:val="en-US" w:eastAsia="zh-CN"/>
        </w:rPr>
      </w:pPr>
      <w:r>
        <w:rPr>
          <w:rFonts w:hint="default"/>
          <w:lang w:val="en-US" w:eastAsia="zh-CN"/>
        </w:rPr>
        <w:t>风控与合规</w:t>
      </w:r>
    </w:p>
    <w:p w14:paraId="6298EC9D">
      <w:pPr>
        <w:pStyle w:val="72"/>
        <w:bidi w:val="0"/>
        <w:ind w:left="1670" w:leftChars="0" w:hanging="1103" w:firstLineChars="0"/>
        <w:rPr>
          <w:rFonts w:hint="eastAsia"/>
          <w:lang w:val="en-US" w:eastAsia="zh-CN"/>
        </w:rPr>
      </w:pPr>
      <w:r>
        <w:rPr>
          <w:rFonts w:hint="eastAsia"/>
          <w:lang w:val="en-US" w:eastAsia="zh-CN"/>
        </w:rPr>
        <w:t>数据授权：涉及患者信息的服务需经患者授权。提供多语言授权页面给患者阅读并签名确认。</w:t>
      </w:r>
    </w:p>
    <w:p w14:paraId="4AF55DD9">
      <w:pPr>
        <w:pStyle w:val="72"/>
        <w:bidi w:val="0"/>
        <w:ind w:left="1670" w:leftChars="0" w:hanging="1103" w:firstLineChars="0"/>
        <w:rPr>
          <w:rFonts w:hint="eastAsia"/>
          <w:lang w:val="en-US" w:eastAsia="zh-CN"/>
        </w:rPr>
      </w:pPr>
      <w:r>
        <w:rPr>
          <w:rFonts w:hint="eastAsia"/>
          <w:lang w:val="en-US" w:eastAsia="zh-CN"/>
        </w:rPr>
        <w:t>合规留痕：支持服务申请、分派、执行、结算全程留痕。支持流程查取及审计。</w:t>
      </w:r>
    </w:p>
    <w:p w14:paraId="0B383B06">
      <w:pPr>
        <w:pStyle w:val="73"/>
        <w:numPr>
          <w:ilvl w:val="1"/>
          <w:numId w:val="0"/>
        </w:numPr>
        <w:bidi w:val="0"/>
        <w:ind w:left="-253" w:leftChars="0"/>
        <w:rPr>
          <w:rFonts w:hint="default"/>
          <w:highlight w:val="none"/>
          <w:lang w:val="en-US" w:eastAsia="zh-CN"/>
        </w:rPr>
      </w:pPr>
      <w:bookmarkStart w:id="21" w:name="_GoBack"/>
      <w:bookmarkEnd w:id="21"/>
    </w:p>
    <w:p w14:paraId="61483179">
      <w:pPr>
        <w:pStyle w:val="74"/>
        <w:numPr>
          <w:ilvl w:val="0"/>
          <w:numId w:val="3"/>
        </w:numPr>
        <w:rPr>
          <w:rFonts w:hint="default"/>
        </w:rPr>
      </w:pPr>
      <w:bookmarkStart w:id="18" w:name="_Toc11446"/>
      <w:r>
        <w:rPr>
          <w:rFonts w:hint="eastAsia"/>
          <w:lang w:val="en-US" w:eastAsia="zh-CN"/>
        </w:rPr>
        <w:t>项目其它需求</w:t>
      </w:r>
      <w:bookmarkEnd w:id="18"/>
    </w:p>
    <w:p w14:paraId="1C00CAA0">
      <w:pPr>
        <w:pStyle w:val="73"/>
        <w:numPr>
          <w:ilvl w:val="1"/>
          <w:numId w:val="10"/>
        </w:numPr>
        <w:bidi w:val="0"/>
        <w:ind w:left="1250" w:leftChars="0" w:hanging="967" w:firstLineChars="0"/>
        <w:rPr>
          <w:rFonts w:hint="default"/>
        </w:rPr>
      </w:pPr>
      <w:r>
        <w:rPr>
          <w:rFonts w:hint="default"/>
        </w:rPr>
        <w:t>界面整体按照 H5 架构统一构建，支持 PC 与手机双端自适应。其中国际医疗门诊医生工作站、收费管理模块、国际项目库存管理模块、运营管理模块、单据及短信管理模块因涉及大量数据录入、表格展示、批量操作与后台配置，整体页面偏向 PC 应用，以宽屏布局、多栏结构、密集信息展示为主，兼顾手机端基本查看与轻量操作。移动患者端用户平台、医疗人员 APP 因面向患者与医护人员的移动使用场景，整体页面偏向手机应用，以竖屏布局、卡片式展示、触控交互、消息推送为主，兼顾 PC 端基本访问。各端共用同一套 H5 技术底座与后端接口，按终端类型自适应呈现，保证体验一致、数据一致、权限一致。</w:t>
      </w:r>
    </w:p>
    <w:p w14:paraId="2A8627B0">
      <w:pPr>
        <w:pStyle w:val="73"/>
        <w:numPr>
          <w:ilvl w:val="1"/>
          <w:numId w:val="10"/>
        </w:numPr>
        <w:bidi w:val="0"/>
        <w:ind w:left="1250" w:leftChars="0" w:hanging="967" w:firstLineChars="0"/>
        <w:rPr>
          <w:rFonts w:hint="default"/>
        </w:rPr>
      </w:pPr>
      <w:r>
        <w:rPr>
          <w:rFonts w:hint="default"/>
        </w:rPr>
        <w:t>为保证系统完整性，</w:t>
      </w:r>
      <w:r>
        <w:rPr>
          <w:rFonts w:hint="eastAsia"/>
          <w:lang w:val="en-US" w:eastAsia="zh-CN"/>
        </w:rPr>
        <w:t>除常规跳转单点登录外，</w:t>
      </w:r>
      <w:r>
        <w:rPr>
          <w:rFonts w:hint="default"/>
        </w:rPr>
        <w:t>依然需要构建网页端独立登录页面，建立独立鉴权体系</w:t>
      </w:r>
      <w:r>
        <w:rPr>
          <w:rFonts w:hint="eastAsia"/>
          <w:lang w:eastAsia="zh-CN"/>
        </w:rPr>
        <w:t>。</w:t>
      </w:r>
      <w:r>
        <w:rPr>
          <w:rFonts w:hint="eastAsia"/>
          <w:lang w:val="en-US" w:eastAsia="zh-CN"/>
        </w:rPr>
        <w:t>即主体模块既可以直接网页登录，也可以走HIS应用跳转</w:t>
      </w:r>
      <w:r>
        <w:rPr>
          <w:rFonts w:hint="default"/>
        </w:rPr>
        <w:t>，两条路径均可进入。登录后进入国际医疗中心信息平台基本首页，</w:t>
      </w:r>
      <w:r>
        <w:rPr>
          <w:rFonts w:hint="eastAsia"/>
          <w:lang w:val="en-US" w:eastAsia="zh-CN"/>
        </w:rPr>
        <w:t>该页面首页还需要</w:t>
      </w:r>
      <w:r>
        <w:rPr>
          <w:rFonts w:hint="default"/>
        </w:rPr>
        <w:t>作为接入各模块的统一入口</w:t>
      </w:r>
      <w:r>
        <w:rPr>
          <w:rFonts w:hint="eastAsia"/>
          <w:lang w:val="en-US" w:eastAsia="zh-CN"/>
        </w:rPr>
        <w:t>等基本首页功能</w:t>
      </w:r>
      <w:r>
        <w:rPr>
          <w:rFonts w:hint="default"/>
        </w:rPr>
        <w:t>。</w:t>
      </w:r>
    </w:p>
    <w:p w14:paraId="7A230F7D">
      <w:pPr>
        <w:pStyle w:val="73"/>
        <w:numPr>
          <w:ilvl w:val="1"/>
          <w:numId w:val="10"/>
        </w:numPr>
        <w:bidi w:val="0"/>
        <w:ind w:left="1250" w:leftChars="0" w:hanging="967" w:firstLineChars="0"/>
        <w:rPr>
          <w:rFonts w:hint="default"/>
        </w:rPr>
      </w:pPr>
      <w:r>
        <w:rPr>
          <w:rFonts w:hint="default"/>
        </w:rPr>
        <w:t>系统需支持整体可调用、可验证的签名组件，作为公共能力供各模块统一调用，避免重复建设。签名组件应支持多种签名方式，包括本地签名、CA 签名、第三方校验签名等，满足不同业务场景下的签署与验签需求。组件需提供标准化接口，支持收费</w:t>
      </w:r>
      <w:r>
        <w:rPr>
          <w:rFonts w:hint="eastAsia"/>
          <w:lang w:val="en-US" w:eastAsia="zh-CN"/>
        </w:rPr>
        <w:t>单</w:t>
      </w:r>
      <w:r>
        <w:rPr>
          <w:rFonts w:hint="default"/>
        </w:rPr>
        <w:t>、库存</w:t>
      </w:r>
      <w:r>
        <w:rPr>
          <w:rFonts w:hint="eastAsia"/>
          <w:lang w:val="en-US" w:eastAsia="zh-CN"/>
        </w:rPr>
        <w:t>单</w:t>
      </w:r>
      <w:r>
        <w:rPr>
          <w:rFonts w:hint="default"/>
        </w:rPr>
        <w:t>、</w:t>
      </w:r>
      <w:r>
        <w:rPr>
          <w:rFonts w:hint="eastAsia"/>
          <w:lang w:val="en-US" w:eastAsia="zh-CN"/>
        </w:rPr>
        <w:t>其它</w:t>
      </w:r>
      <w:r>
        <w:rPr>
          <w:rFonts w:hint="default"/>
        </w:rPr>
        <w:t>单据、知情同意、电子处方、医疗文书等模块按需调用，实现签署、验签、留痕、追溯一体化。同时，签名组件需遵循国家密码管理局相关规范，支持国密算法，保障签名安全合规；支持与院内电子签名系统、CA 机构、第三方校验平台对接，确保签名结果可验证、可审计、可追溯，并与 HIS 鉴权、审计体系保持一致。</w:t>
      </w:r>
    </w:p>
    <w:p w14:paraId="464675C8">
      <w:pPr>
        <w:pStyle w:val="73"/>
        <w:numPr>
          <w:ilvl w:val="1"/>
          <w:numId w:val="10"/>
        </w:numPr>
        <w:bidi w:val="0"/>
        <w:ind w:left="1250" w:leftChars="0" w:hanging="967" w:firstLineChars="0"/>
        <w:rPr>
          <w:rFonts w:hint="default"/>
        </w:rPr>
      </w:pPr>
      <w:r>
        <w:rPr>
          <w:rFonts w:hint="default"/>
        </w:rPr>
        <w:t>系统需支持整体可调用、可验证的文件服务组件，作为公共能力供各模块统一调用，避免重复建设。组件应包含各类文件的</w:t>
      </w:r>
      <w:r>
        <w:rPr>
          <w:rFonts w:hint="eastAsia"/>
          <w:lang w:val="en-US" w:eastAsia="zh-CN"/>
        </w:rPr>
        <w:t>打印、</w:t>
      </w:r>
      <w:r>
        <w:rPr>
          <w:rFonts w:hint="default"/>
        </w:rPr>
        <w:t>预览与下载，支持 PDF、图片、Office 文档等常见格式；</w:t>
      </w:r>
      <w:r>
        <w:rPr>
          <w:rFonts w:hint="eastAsia"/>
          <w:lang w:val="en-US" w:eastAsia="zh-CN"/>
        </w:rPr>
        <w:t>支持打印预览和简单的打印选项（与HIS一致）。</w:t>
      </w:r>
      <w:r>
        <w:rPr>
          <w:rFonts w:hint="default"/>
        </w:rPr>
        <w:t>支持整体文件名编码，解决</w:t>
      </w:r>
      <w:r>
        <w:rPr>
          <w:rFonts w:hint="eastAsia"/>
          <w:lang w:val="en-US" w:eastAsia="zh-CN"/>
        </w:rPr>
        <w:t>文件名</w:t>
      </w:r>
      <w:r>
        <w:rPr>
          <w:rFonts w:hint="default"/>
        </w:rPr>
        <w:t>多语言、特殊字符文件名兼容问题；支持文件水印添加，可按患者、操作人、时间动态生成水印；支持文件签名、盖章，满足医疗文书、报告、知情同意书等合规要求。组件需提供标准化接口，实现文件上传、存储、预览、下载、签名、盖章、留痕、追溯一体化，并与 HIS 鉴权、审计体系保持一致。</w:t>
      </w:r>
    </w:p>
    <w:p w14:paraId="572CD0D4">
      <w:pPr>
        <w:pStyle w:val="73"/>
        <w:numPr>
          <w:ilvl w:val="1"/>
          <w:numId w:val="10"/>
        </w:numPr>
        <w:bidi w:val="0"/>
        <w:ind w:left="1250" w:leftChars="0" w:hanging="967" w:firstLineChars="0"/>
        <w:rPr>
          <w:rFonts w:hint="default"/>
        </w:rPr>
      </w:pPr>
      <w:r>
        <w:rPr>
          <w:rFonts w:hint="default"/>
        </w:rPr>
        <w:t>基于卫健委</w:t>
      </w:r>
      <w:r>
        <w:rPr>
          <w:rFonts w:hint="eastAsia"/>
          <w:lang w:val="en-US" w:eastAsia="zh-CN"/>
        </w:rPr>
        <w:t>规划</w:t>
      </w:r>
      <w:r>
        <w:rPr>
          <w:rFonts w:hint="default"/>
        </w:rPr>
        <w:t>，后续可能存在省市级国际互联网 APP 需要我院</w:t>
      </w:r>
      <w:r>
        <w:rPr>
          <w:rFonts w:hint="eastAsia"/>
          <w:lang w:val="en-US" w:eastAsia="zh-CN"/>
        </w:rPr>
        <w:t>国际医疗服务</w:t>
      </w:r>
      <w:r>
        <w:rPr>
          <w:rFonts w:hint="default"/>
        </w:rPr>
        <w:t>提供端口或新建接口进行对接的情况。为保障系统完整性与后续扩展能力，本项目需提前考虑对接需求</w:t>
      </w:r>
      <w:r>
        <w:rPr>
          <w:rFonts w:hint="eastAsia"/>
          <w:lang w:eastAsia="zh-CN"/>
        </w:rPr>
        <w:t>：</w:t>
      </w:r>
      <w:r>
        <w:rPr>
          <w:rFonts w:hint="default"/>
        </w:rPr>
        <w:t>一方面，应在现有移动患者端用户平台及互联网医院客户端基础上，预留标准化对外端口与接口能力，支持省市级国际互联网 APP 按规范接入；另一方面，如现有页面与接口无法满足对接要求，应支持单独建设对接页面，用于承载省市级平台的业务入口。对接页面与接口需遵循统一鉴权、统一数据标准、统一合规要求，支持双向身份绑定、权限传递、业务协同与数据回传。同时，对接方案需预留扩展空间，支持未来更多省市级或国家级平台的接入。</w:t>
      </w:r>
    </w:p>
    <w:p w14:paraId="76ACDF39">
      <w:pPr>
        <w:pStyle w:val="73"/>
        <w:numPr>
          <w:ilvl w:val="1"/>
          <w:numId w:val="10"/>
        </w:numPr>
        <w:bidi w:val="0"/>
        <w:ind w:left="1250" w:leftChars="0" w:hanging="967" w:firstLineChars="0"/>
        <w:rPr>
          <w:rFonts w:hint="default"/>
        </w:rPr>
      </w:pPr>
      <w:r>
        <w:rPr>
          <w:rFonts w:hint="eastAsia"/>
          <w:lang w:val="en-US" w:eastAsia="zh-CN"/>
        </w:rPr>
        <w:t>考虑到院方国际医疗中心后续可能实体落地，比如独立病房、独立诊区、独立药房、独立收费、独立结算等模块均可能单独建设，本项目需提前预留相关接口，避免后续重复建设。预留范围应覆盖床位管理、入出转、住院医嘱、护理、费用、诊室、排班、叫号、门诊病历、药房库存、发药、退药、处方流转、收费项目、价格、支付、退费、发票、结算规则、结算单据、对账、商保医保、体检、手术麻醉等方向。接口设计需遵循医院集成平台规范，采用标准协议与数据格式，预留字段与扩展点，支持启用、停用、路由、限流配置，调用记录纳入 HIS 审计体系，并提供完整接口文档、数据字典与调用示例。预留原则是不提前建设实体模块，只预留接口，不影响一期功能上线，后续实体落地时可平滑接入、快速扩展。</w:t>
      </w:r>
    </w:p>
    <w:p w14:paraId="06241802">
      <w:pPr>
        <w:pStyle w:val="73"/>
        <w:numPr>
          <w:ilvl w:val="1"/>
          <w:numId w:val="10"/>
        </w:numPr>
        <w:bidi w:val="0"/>
        <w:ind w:left="1250" w:leftChars="0" w:hanging="967" w:firstLineChars="0"/>
        <w:rPr>
          <w:rFonts w:hint="default"/>
        </w:rPr>
      </w:pPr>
      <w:r>
        <w:rPr>
          <w:rFonts w:hint="eastAsia"/>
          <w:lang w:val="en-US" w:eastAsia="zh-CN"/>
        </w:rPr>
        <w:t>本项目涉及国际医疗中心信息平台建设，产出包括软件、文档、流程、算法、模型等，院方需对项目信息产出进行知识产权保护，包含软著、专利等。承建商须配合院方申请软件著作权，提供源代码、文档、说明材料；配合挖掘可专利点，提供技术方案、附图、实施例；配合整理需求文档、设计文档、测试文档、用户手册等；明确项目产出知识产权归属院方或按合同约定；对项目信息产出承担保密义务，未经院方同意不得对外披露；保证交付成果不侵犯第三方知识产权，如涉及第三方需明确授权。承建商应指定专人配合院方知识产权工作，按院方要求提供材料，配合审核与申报，项目验收时同步提交知识产权相关材料，项目结束后继续配合院方知识产权维护。</w:t>
      </w:r>
    </w:p>
    <w:p w14:paraId="382969B1">
      <w:pPr>
        <w:pStyle w:val="73"/>
        <w:numPr>
          <w:ilvl w:val="1"/>
          <w:numId w:val="10"/>
        </w:numPr>
        <w:bidi w:val="0"/>
        <w:ind w:left="1250" w:leftChars="0" w:hanging="967" w:firstLineChars="0"/>
        <w:rPr>
          <w:rFonts w:hint="default"/>
        </w:rPr>
      </w:pPr>
      <w:r>
        <w:rPr>
          <w:rFonts w:hint="eastAsia"/>
          <w:lang w:val="en-US" w:eastAsia="zh-CN"/>
        </w:rPr>
        <w:t>院方需基于本项目完成科研成果产出，项目承建商需配合院内诊疗 AI 等改造计划，本项目需在数据、接口、模型、流程等方面为科研与 AI 改造提供支撑。承建商须配合院方整理、脱敏、归集科研所需数据，预留科研数据接口、统计接口、导出接口；配合院内诊疗 AI 改造计划，提供接口、数据、流程支持；配合预问诊报告、AI 辅助诊断、AI 病历生成等改造；配合 AI 初稿加人工审核的文书翻译流程；配合院方申报科研课题，提供技术材料与数据支持；配合院方发表论文、申报奖项、申请专利。承建商应按院方科研与 AI 改造计划分阶段提供支持，保证数据安全与合规，科研数据脱敏后使用，配合完成科研伦理审查与数据授权，项目验收时同步提交科研与 AI 配合相关材料。</w:t>
      </w:r>
    </w:p>
    <w:p w14:paraId="40B75866">
      <w:pPr>
        <w:pStyle w:val="74"/>
        <w:numPr>
          <w:ilvl w:val="0"/>
          <w:numId w:val="3"/>
        </w:numPr>
        <w:rPr>
          <w:rFonts w:hint="default"/>
        </w:rPr>
      </w:pPr>
      <w:bookmarkStart w:id="19" w:name="_Toc11345"/>
      <w:r>
        <w:t>项目工期</w:t>
      </w:r>
      <w:bookmarkEnd w:id="19"/>
    </w:p>
    <w:p w14:paraId="1A0DFDE6">
      <w:pPr>
        <w:pStyle w:val="73"/>
        <w:numPr>
          <w:ilvl w:val="1"/>
          <w:numId w:val="3"/>
        </w:numPr>
        <w:rPr>
          <w:rFonts w:hint="default"/>
        </w:rPr>
      </w:pPr>
      <w:r>
        <w:t>自合同签订日起，须在30个工作日内对《用户需求说明书》进行补充、确认或提出意见。</w:t>
      </w:r>
    </w:p>
    <w:p w14:paraId="71A12CDE">
      <w:pPr>
        <w:pStyle w:val="73"/>
        <w:numPr>
          <w:ilvl w:val="1"/>
          <w:numId w:val="3"/>
        </w:numPr>
        <w:rPr>
          <w:rFonts w:hint="default"/>
        </w:rPr>
      </w:pPr>
      <w:r>
        <w:t>对《用户需求说明书》提出意见后，院方组织进行用户需求调研，根据调研情况提供业务调研记录、现况分析、功能设计及说明，双方共同整理并在30个工作日内确认《需求规格说明书》。</w:t>
      </w:r>
    </w:p>
    <w:p w14:paraId="37AACC2E">
      <w:pPr>
        <w:pStyle w:val="73"/>
        <w:numPr>
          <w:ilvl w:val="1"/>
          <w:numId w:val="3"/>
        </w:numPr>
        <w:rPr>
          <w:rFonts w:hint="default"/>
        </w:rPr>
      </w:pPr>
      <w:r>
        <w:t>须在《需求规格说明书》确认后的6个月内完成实施导入和保证系统正常工作。</w:t>
      </w:r>
    </w:p>
    <w:p w14:paraId="4C7D93B3">
      <w:pPr>
        <w:pStyle w:val="73"/>
        <w:numPr>
          <w:ilvl w:val="1"/>
          <w:numId w:val="3"/>
        </w:numPr>
        <w:rPr>
          <w:rFonts w:hint="default"/>
        </w:rPr>
      </w:pPr>
      <w:r>
        <w:t>完成软件实施，并根据院方提出的新需求完成修改后，系统运行6个月以上无软件故障出现，则向院方申请验收。</w:t>
      </w:r>
    </w:p>
    <w:p w14:paraId="15839067">
      <w:pPr>
        <w:pStyle w:val="73"/>
        <w:numPr>
          <w:ilvl w:val="1"/>
          <w:numId w:val="3"/>
        </w:numPr>
        <w:rPr>
          <w:rFonts w:hint="default"/>
        </w:rPr>
      </w:pPr>
      <w:r>
        <w:t>软件验收完成后，供应商应提供24个月软件维护服务，维护服务的内容应包括但不仅限于软件的常规更新维护，按照模板帮助新增系统流程，进行软件的外观调整等。</w:t>
      </w:r>
    </w:p>
    <w:p w14:paraId="2DDC62FF">
      <w:pPr>
        <w:rPr>
          <w:rFonts w:ascii="微软雅黑" w:hAnsi="微软雅黑" w:eastAsia="微软雅黑" w:cs="微软雅黑"/>
          <w:lang w:val="zh-CN"/>
        </w:rPr>
      </w:pPr>
    </w:p>
    <w:p w14:paraId="2B384359">
      <w:pPr>
        <w:pStyle w:val="74"/>
        <w:numPr>
          <w:ilvl w:val="0"/>
          <w:numId w:val="3"/>
        </w:numPr>
        <w:rPr>
          <w:rFonts w:hint="default"/>
        </w:rPr>
      </w:pPr>
      <w:bookmarkStart w:id="20" w:name="_Toc9006"/>
      <w:r>
        <w:t>集成技术及实施服务要求</w:t>
      </w:r>
      <w:bookmarkEnd w:id="20"/>
    </w:p>
    <w:p w14:paraId="1FAF8556">
      <w:pPr>
        <w:pStyle w:val="73"/>
        <w:numPr>
          <w:ilvl w:val="1"/>
          <w:numId w:val="10"/>
        </w:numPr>
        <w:rPr>
          <w:rFonts w:hint="default"/>
        </w:rPr>
      </w:pPr>
      <w:r>
        <w:t>项目实施期内承建商提供专职工程师</w:t>
      </w:r>
      <w:r>
        <w:rPr>
          <w:rFonts w:hint="eastAsia"/>
          <w:lang w:val="en-US" w:eastAsia="zh-CN"/>
        </w:rPr>
        <w:t>3</w:t>
      </w:r>
      <w:r>
        <w:t>名</w:t>
      </w:r>
      <w:r>
        <w:rPr>
          <w:rFonts w:hint="eastAsia"/>
          <w:lang w:val="en-US" w:eastAsia="zh-CN"/>
        </w:rPr>
        <w:t>以上</w:t>
      </w:r>
      <w:r>
        <w:t>驻扎本院，工作时间与院方工作时间一致，并且提供7*24小时响应服务。</w:t>
      </w:r>
    </w:p>
    <w:p w14:paraId="54E4A3CC">
      <w:pPr>
        <w:pStyle w:val="73"/>
        <w:numPr>
          <w:ilvl w:val="1"/>
          <w:numId w:val="10"/>
        </w:numPr>
        <w:rPr>
          <w:rFonts w:hint="default"/>
        </w:rPr>
      </w:pPr>
      <w:r>
        <w:t>在项目实施前，结合院方项目需求，根据《网络安全等级保护制度》自评等保级别。需向医院提交设计方案进行安全评审，保证安全技术措施同步规划，系统建设根据信息系统安全等级保护要求进行建设。</w:t>
      </w:r>
    </w:p>
    <w:p w14:paraId="265FD522">
      <w:pPr>
        <w:pStyle w:val="73"/>
        <w:numPr>
          <w:ilvl w:val="1"/>
          <w:numId w:val="10"/>
        </w:numPr>
        <w:rPr>
          <w:rFonts w:hint="default"/>
        </w:rPr>
      </w:pPr>
      <w:r>
        <w:t>软件需通过院方信息部门组织的信息系统安全等级定级要求，项目承建商需依据国家最新等级保护标准完成系统功能建设；上线前软件需通过院方信息部门组织的安全测评、漏洞扫描、渗透测试等安全检查，项目承建商根据检测结果对安全漏洞进行整改。</w:t>
      </w:r>
    </w:p>
    <w:p w14:paraId="4A1972BA">
      <w:pPr>
        <w:pStyle w:val="73"/>
        <w:numPr>
          <w:ilvl w:val="1"/>
          <w:numId w:val="10"/>
        </w:numPr>
        <w:rPr>
          <w:rFonts w:hint="default"/>
        </w:rPr>
      </w:pPr>
      <w:r>
        <w:t>项目承建商需根据院方的详细需求，提交项目系统的安装、调试及培训实施方案，方案得到院方确认后实施，保证系统按时、正常地投入运行。</w:t>
      </w:r>
    </w:p>
    <w:p w14:paraId="051374B1">
      <w:pPr>
        <w:pStyle w:val="73"/>
        <w:numPr>
          <w:ilvl w:val="1"/>
          <w:numId w:val="10"/>
        </w:numPr>
        <w:rPr>
          <w:rFonts w:hint="default"/>
        </w:rPr>
      </w:pPr>
      <w:r>
        <w:t>项目承建商应为院方进行培训，包括使用培训和维护培训。承建商应提出详细的培训计划，提供培训教材。技术培训的内容必须覆盖产品的安装、日常操作和管理维护，以及基本的故障诊断与排错。包括数据库与开发技术培训、系统维护培训、高级用户培训、用户培训，并保证培训效果。</w:t>
      </w:r>
    </w:p>
    <w:p w14:paraId="129B2372">
      <w:pPr>
        <w:snapToGrid w:val="0"/>
        <w:spacing w:line="360" w:lineRule="auto"/>
        <w:rPr>
          <w:rFonts w:ascii="微软雅黑" w:hAnsi="微软雅黑" w:eastAsia="微软雅黑" w:cs="微软雅黑"/>
          <w:b/>
          <w:color w:val="FF0000"/>
          <w:sz w:val="30"/>
          <w:szCs w:val="30"/>
        </w:rPr>
      </w:pPr>
    </w:p>
    <w:sectPr>
      <w:footerReference r:id="rId3" w:type="default"/>
      <w:pgSz w:w="11906" w:h="16838"/>
      <w:pgMar w:top="1021" w:right="1418" w:bottom="102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BC929">
    <w:pPr>
      <w:pStyle w:val="18"/>
      <w:ind w:left="1441"/>
      <w:jc w:val="center"/>
      <w:rPr>
        <w:caps/>
        <w:color w:val="5B9BD5"/>
      </w:rPr>
    </w:pPr>
    <w:r>
      <w:rPr>
        <w:caps/>
        <w:color w:val="5B9BD5"/>
      </w:rPr>
      <w:fldChar w:fldCharType="begin"/>
    </w:r>
    <w:r>
      <w:rPr>
        <w:caps/>
        <w:color w:val="5B9BD5"/>
      </w:rPr>
      <w:instrText xml:space="preserve">PAGE   \* MERGEFORMAT</w:instrText>
    </w:r>
    <w:r>
      <w:rPr>
        <w:caps/>
        <w:color w:val="5B9BD5"/>
      </w:rPr>
      <w:fldChar w:fldCharType="separate"/>
    </w:r>
    <w:r>
      <w:rPr>
        <w:caps/>
        <w:color w:val="5B9BD5"/>
      </w:rPr>
      <w:t>1</w:t>
    </w:r>
    <w:r>
      <w:rPr>
        <w:caps/>
        <w:color w:val="5B9BD5"/>
      </w:rPr>
      <w:fldChar w:fldCharType="end"/>
    </w:r>
  </w:p>
  <w:p w14:paraId="5774CF67">
    <w:pPr>
      <w:pStyle w:val="1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15205"/>
    <w:multiLevelType w:val="multilevel"/>
    <w:tmpl w:val="29015205"/>
    <w:lvl w:ilvl="0" w:tentative="0">
      <w:start w:val="1"/>
      <w:numFmt w:val="decimal"/>
      <w:pStyle w:val="3"/>
      <w:lvlText w:val="%1"/>
      <w:lvlJc w:val="left"/>
      <w:pPr>
        <w:ind w:left="432" w:hanging="432"/>
      </w:pPr>
      <w:rPr>
        <w:rFonts w:hint="eastAsia"/>
      </w:rPr>
    </w:lvl>
    <w:lvl w:ilvl="1" w:tentative="0">
      <w:start w:val="1"/>
      <w:numFmt w:val="decimal"/>
      <w:lvlText w:val="4.%2"/>
      <w:lvlJc w:val="left"/>
      <w:pPr>
        <w:ind w:left="576" w:hanging="576"/>
      </w:pPr>
      <w:rPr>
        <w:rFonts w:hint="eastAsia"/>
      </w:rPr>
    </w:lvl>
    <w:lvl w:ilvl="2" w:tentative="0">
      <w:start w:val="1"/>
      <w:numFmt w:val="decimal"/>
      <w:lvlText w:val="6.2.%3"/>
      <w:lvlJc w:val="left"/>
      <w:pPr>
        <w:ind w:left="720" w:hanging="720"/>
      </w:pPr>
      <w:rPr>
        <w:rFonts w:hint="eastAsia"/>
      </w:rPr>
    </w:lvl>
    <w:lvl w:ilvl="3" w:tentative="0">
      <w:start w:val="1"/>
      <w:numFmt w:val="decimal"/>
      <w:pStyle w:val="6"/>
      <w:lvlText w:val="5.1.1.%4"/>
      <w:lvlJc w:val="left"/>
      <w:pPr>
        <w:ind w:left="864" w:hanging="864"/>
      </w:pPr>
      <w:rPr>
        <w:rFonts w:hint="eastAsia"/>
      </w:rPr>
    </w:lvl>
    <w:lvl w:ilvl="4" w:tentative="0">
      <w:start w:val="1"/>
      <w:numFmt w:val="decimal"/>
      <w:pStyle w:val="7"/>
      <w:lvlText w:val="5.1.1.1.%5"/>
      <w:lvlJc w:val="left"/>
      <w:pPr>
        <w:ind w:left="2142" w:hanging="1008"/>
      </w:pPr>
      <w:rPr>
        <w:rFonts w:hint="eastAsia"/>
      </w:rPr>
    </w:lvl>
    <w:lvl w:ilvl="5" w:tentative="0">
      <w:start w:val="1"/>
      <w:numFmt w:val="decimal"/>
      <w:pStyle w:val="8"/>
      <w:lvlText w:val="%1.%2.%3.%4.%5.%6"/>
      <w:lvlJc w:val="left"/>
      <w:pPr>
        <w:ind w:left="1152" w:hanging="1152"/>
      </w:pPr>
      <w:rPr>
        <w:rFonts w:hint="eastAsia"/>
      </w:rPr>
    </w:lvl>
    <w:lvl w:ilvl="6" w:tentative="0">
      <w:start w:val="1"/>
      <w:numFmt w:val="decimal"/>
      <w:pStyle w:val="9"/>
      <w:lvlText w:val="%1.%2.%3.%4.%5.%6.%7"/>
      <w:lvlJc w:val="left"/>
      <w:pPr>
        <w:ind w:left="1296" w:hanging="1296"/>
      </w:pPr>
      <w:rPr>
        <w:rFonts w:hint="eastAsia"/>
      </w:rPr>
    </w:lvl>
    <w:lvl w:ilvl="7" w:tentative="0">
      <w:start w:val="1"/>
      <w:numFmt w:val="decimal"/>
      <w:pStyle w:val="10"/>
      <w:lvlText w:val="%1.%2.%3.%4.%5.%6.%7.%8"/>
      <w:lvlJc w:val="left"/>
      <w:pPr>
        <w:ind w:left="1440" w:hanging="1440"/>
      </w:pPr>
      <w:rPr>
        <w:rFonts w:hint="eastAsia"/>
      </w:rPr>
    </w:lvl>
    <w:lvl w:ilvl="8" w:tentative="0">
      <w:start w:val="1"/>
      <w:numFmt w:val="decimal"/>
      <w:pStyle w:val="11"/>
      <w:lvlText w:val="%1.%2.%3.%4.%5.%6.%7.%8.%9"/>
      <w:lvlJc w:val="left"/>
      <w:pPr>
        <w:ind w:left="1584" w:hanging="1584"/>
      </w:pPr>
      <w:rPr>
        <w:rFonts w:hint="eastAsia"/>
      </w:rPr>
    </w:lvl>
  </w:abstractNum>
  <w:abstractNum w:abstractNumId="1">
    <w:nsid w:val="3EBB3C91"/>
    <w:multiLevelType w:val="multilevel"/>
    <w:tmpl w:val="3EBB3C91"/>
    <w:lvl w:ilvl="0" w:tentative="0">
      <w:start w:val="1"/>
      <w:numFmt w:val="decimal"/>
      <w:pStyle w:val="65"/>
      <w:lvlText w:val="%1. "/>
      <w:lvlJc w:val="left"/>
      <w:pPr>
        <w:ind w:left="420" w:hanging="420"/>
      </w:pPr>
      <w:rPr>
        <w:rFonts w:hint="default" w:ascii="Times New Roman" w:hAnsi="Times New Roman" w:eastAsia="宋体"/>
        <w:b/>
        <w:i w:val="0"/>
      </w:rPr>
    </w:lvl>
    <w:lvl w:ilvl="1" w:tentative="0">
      <w:start w:val="1"/>
      <w:numFmt w:val="decimal"/>
      <w:pStyle w:val="58"/>
      <w:isLgl/>
      <w:suff w:val="space"/>
      <w:lvlText w:val="%1.%2 "/>
      <w:lvlJc w:val="left"/>
      <w:pPr>
        <w:ind w:left="3913" w:hanging="794"/>
      </w:pPr>
      <w:rPr>
        <w:rFonts w:hint="eastAsia"/>
      </w:rPr>
    </w:lvl>
    <w:lvl w:ilvl="2" w:tentative="0">
      <w:start w:val="1"/>
      <w:numFmt w:val="decimal"/>
      <w:pStyle w:val="64"/>
      <w:isLgl/>
      <w:suff w:val="space"/>
      <w:lvlText w:val="%1.%2.%3 "/>
      <w:lvlJc w:val="left"/>
      <w:pPr>
        <w:ind w:left="907" w:hanging="907"/>
      </w:pPr>
      <w:rPr>
        <w:rFonts w:hint="eastAsia"/>
      </w:rPr>
    </w:lvl>
    <w:lvl w:ilvl="3" w:tentative="0">
      <w:start w:val="1"/>
      <w:numFmt w:val="decimal"/>
      <w:pStyle w:val="63"/>
      <w:isLgl/>
      <w:suff w:val="space"/>
      <w:lvlText w:val="%1.%2.%3.%4 "/>
      <w:lvlJc w:val="left"/>
      <w:pPr>
        <w:ind w:left="1021" w:hanging="1021"/>
      </w:pPr>
      <w:rPr>
        <w:rFonts w:hint="eastAsia"/>
      </w:rPr>
    </w:lvl>
    <w:lvl w:ilvl="4" w:tentative="0">
      <w:start w:val="1"/>
      <w:numFmt w:val="decimal"/>
      <w:pStyle w:val="68"/>
      <w:isLgl/>
      <w:suff w:val="space"/>
      <w:lvlText w:val="%1.%2.%3.%4.%5 "/>
      <w:lvlJc w:val="left"/>
      <w:pPr>
        <w:ind w:left="1134" w:hanging="1134"/>
      </w:pPr>
      <w:rPr>
        <w:rFonts w:hint="eastAsia"/>
      </w:rPr>
    </w:lvl>
    <w:lvl w:ilvl="5" w:tentative="0">
      <w:start w:val="1"/>
      <w:numFmt w:val="decimal"/>
      <w:pStyle w:val="62"/>
      <w:isLgl/>
      <w:suff w:val="space"/>
      <w:lvlText w:val="%1.%2.%3.%4.%5.%6 "/>
      <w:lvlJc w:val="left"/>
      <w:pPr>
        <w:ind w:left="1247" w:hanging="1247"/>
      </w:pPr>
      <w:rPr>
        <w:rFonts w:hint="eastAsia"/>
      </w:rPr>
    </w:lvl>
    <w:lvl w:ilvl="6" w:tentative="0">
      <w:start w:val="1"/>
      <w:numFmt w:val="decimal"/>
      <w:lvlRestart w:val="1"/>
      <w:pStyle w:val="57"/>
      <w:isLgl/>
      <w:suff w:val="space"/>
      <w:lvlText w:val="图 %1.%7 "/>
      <w:lvlJc w:val="left"/>
      <w:pPr>
        <w:ind w:left="0" w:firstLine="0"/>
      </w:pPr>
      <w:rPr>
        <w:rFonts w:hint="eastAsia"/>
      </w:rPr>
    </w:lvl>
    <w:lvl w:ilvl="7" w:tentative="0">
      <w:start w:val="1"/>
      <w:numFmt w:val="decimal"/>
      <w:lvlRestart w:val="1"/>
      <w:pStyle w:val="67"/>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520BB29D"/>
    <w:multiLevelType w:val="multilevel"/>
    <w:tmpl w:val="520BB29D"/>
    <w:lvl w:ilvl="0" w:tentative="0">
      <w:start w:val="1"/>
      <w:numFmt w:val="chineseCounting"/>
      <w:pStyle w:val="74"/>
      <w:lvlText w:val="%1、"/>
      <w:lvlJc w:val="left"/>
      <w:pPr>
        <w:ind w:left="1130" w:hanging="1130"/>
      </w:pPr>
      <w:rPr>
        <w:rFonts w:hint="eastAsia"/>
      </w:rPr>
    </w:lvl>
    <w:lvl w:ilvl="1" w:tentative="0">
      <w:start w:val="1"/>
      <w:numFmt w:val="decimalFullWidth"/>
      <w:pStyle w:val="73"/>
      <w:lvlText w:val="%2)"/>
      <w:lvlJc w:val="left"/>
      <w:pPr>
        <w:ind w:left="1250" w:hanging="967"/>
      </w:pPr>
      <w:rPr>
        <w:rFonts w:hint="eastAsia" w:ascii="微软雅黑" w:hAnsi="微软雅黑" w:eastAsia="微软雅黑" w:cs="微软雅黑"/>
      </w:rPr>
    </w:lvl>
    <w:lvl w:ilvl="2" w:tentative="0">
      <w:start w:val="1"/>
      <w:numFmt w:val="lowerRoman"/>
      <w:pStyle w:val="72"/>
      <w:lvlText w:val="%3."/>
      <w:lvlJc w:val="right"/>
      <w:pPr>
        <w:ind w:left="1670" w:hanging="1103"/>
      </w:pPr>
      <w:rPr>
        <w:rFonts w:hint="eastAsia"/>
      </w:rPr>
    </w:lvl>
    <w:lvl w:ilvl="3" w:tentative="0">
      <w:start w:val="1"/>
      <w:numFmt w:val="decimal"/>
      <w:lvlText w:val="%4."/>
      <w:lvlJc w:val="left"/>
      <w:pPr>
        <w:ind w:left="2090" w:hanging="420"/>
      </w:pPr>
      <w:rPr>
        <w:rFonts w:hint="eastAsia"/>
      </w:rPr>
    </w:lvl>
    <w:lvl w:ilvl="4" w:tentative="0">
      <w:start w:val="1"/>
      <w:numFmt w:val="lowerLetter"/>
      <w:lvlText w:val="%5)"/>
      <w:lvlJc w:val="left"/>
      <w:pPr>
        <w:ind w:left="2510" w:hanging="420"/>
      </w:pPr>
      <w:rPr>
        <w:rFonts w:hint="eastAsia"/>
      </w:rPr>
    </w:lvl>
    <w:lvl w:ilvl="5" w:tentative="0">
      <w:start w:val="1"/>
      <w:numFmt w:val="lowerRoman"/>
      <w:lvlText w:val="%6."/>
      <w:lvlJc w:val="right"/>
      <w:pPr>
        <w:ind w:left="2930" w:hanging="420"/>
      </w:pPr>
      <w:rPr>
        <w:rFonts w:hint="eastAsia"/>
      </w:rPr>
    </w:lvl>
    <w:lvl w:ilvl="6" w:tentative="0">
      <w:start w:val="1"/>
      <w:numFmt w:val="decimal"/>
      <w:lvlText w:val="%7."/>
      <w:lvlJc w:val="left"/>
      <w:pPr>
        <w:ind w:left="3350" w:hanging="420"/>
      </w:pPr>
      <w:rPr>
        <w:rFonts w:hint="eastAsia"/>
      </w:rPr>
    </w:lvl>
    <w:lvl w:ilvl="7" w:tentative="0">
      <w:start w:val="1"/>
      <w:numFmt w:val="lowerLetter"/>
      <w:lvlText w:val="%8)"/>
      <w:lvlJc w:val="left"/>
      <w:pPr>
        <w:ind w:left="3770" w:hanging="420"/>
      </w:pPr>
      <w:rPr>
        <w:rFonts w:hint="eastAsia"/>
      </w:rPr>
    </w:lvl>
    <w:lvl w:ilvl="8" w:tentative="0">
      <w:start w:val="1"/>
      <w:numFmt w:val="lowerRoman"/>
      <w:lvlText w:val="%9."/>
      <w:lvlJc w:val="right"/>
      <w:pPr>
        <w:ind w:left="4190" w:hanging="420"/>
      </w:pPr>
      <w:rPr>
        <w:rFonts w:hint="eastAsia"/>
      </w:rPr>
    </w:lvl>
  </w:abstractNum>
  <w:num w:numId="1">
    <w:abstractNumId w:val="0"/>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lMWJiNTg0NDEwNzNlNmUyZmViZDQ0OWFlODkwNjcifQ=="/>
  </w:docVars>
  <w:rsids>
    <w:rsidRoot w:val="00303343"/>
    <w:rsid w:val="000051D2"/>
    <w:rsid w:val="000079DD"/>
    <w:rsid w:val="00012DCC"/>
    <w:rsid w:val="00016B63"/>
    <w:rsid w:val="00042DAC"/>
    <w:rsid w:val="0004334E"/>
    <w:rsid w:val="00046B39"/>
    <w:rsid w:val="00054706"/>
    <w:rsid w:val="00066DE7"/>
    <w:rsid w:val="00074EDD"/>
    <w:rsid w:val="000757C1"/>
    <w:rsid w:val="00086AE0"/>
    <w:rsid w:val="0009064D"/>
    <w:rsid w:val="00090A18"/>
    <w:rsid w:val="000B41B7"/>
    <w:rsid w:val="000D5317"/>
    <w:rsid w:val="000E276C"/>
    <w:rsid w:val="00106D68"/>
    <w:rsid w:val="001106CE"/>
    <w:rsid w:val="001107F8"/>
    <w:rsid w:val="001116F6"/>
    <w:rsid w:val="001161EB"/>
    <w:rsid w:val="00121E40"/>
    <w:rsid w:val="0012322D"/>
    <w:rsid w:val="00123CDF"/>
    <w:rsid w:val="00123FCC"/>
    <w:rsid w:val="00135BF9"/>
    <w:rsid w:val="001365DD"/>
    <w:rsid w:val="00136606"/>
    <w:rsid w:val="00140E0C"/>
    <w:rsid w:val="0014437A"/>
    <w:rsid w:val="00153AB3"/>
    <w:rsid w:val="00156B1F"/>
    <w:rsid w:val="00162D29"/>
    <w:rsid w:val="00164878"/>
    <w:rsid w:val="00165091"/>
    <w:rsid w:val="00171903"/>
    <w:rsid w:val="0018200C"/>
    <w:rsid w:val="001833B6"/>
    <w:rsid w:val="00190CD2"/>
    <w:rsid w:val="00194BFE"/>
    <w:rsid w:val="001A22A1"/>
    <w:rsid w:val="001B4850"/>
    <w:rsid w:val="001B7966"/>
    <w:rsid w:val="001B7D79"/>
    <w:rsid w:val="001C23B3"/>
    <w:rsid w:val="001C7BC6"/>
    <w:rsid w:val="001D4A68"/>
    <w:rsid w:val="001D7749"/>
    <w:rsid w:val="001E3B38"/>
    <w:rsid w:val="00200054"/>
    <w:rsid w:val="002000DE"/>
    <w:rsid w:val="00202EFF"/>
    <w:rsid w:val="0020509F"/>
    <w:rsid w:val="00207A96"/>
    <w:rsid w:val="00214A6F"/>
    <w:rsid w:val="00221F1F"/>
    <w:rsid w:val="00223E47"/>
    <w:rsid w:val="00241D77"/>
    <w:rsid w:val="002509F5"/>
    <w:rsid w:val="002535AA"/>
    <w:rsid w:val="00261CBC"/>
    <w:rsid w:val="00265DE7"/>
    <w:rsid w:val="00270260"/>
    <w:rsid w:val="002722CA"/>
    <w:rsid w:val="002834D3"/>
    <w:rsid w:val="002853BF"/>
    <w:rsid w:val="00292528"/>
    <w:rsid w:val="002A01D6"/>
    <w:rsid w:val="002A4778"/>
    <w:rsid w:val="002C53D1"/>
    <w:rsid w:val="002D6BE1"/>
    <w:rsid w:val="002F31F1"/>
    <w:rsid w:val="003024F8"/>
    <w:rsid w:val="00303343"/>
    <w:rsid w:val="00303CAB"/>
    <w:rsid w:val="003042A2"/>
    <w:rsid w:val="00304636"/>
    <w:rsid w:val="00311322"/>
    <w:rsid w:val="00314487"/>
    <w:rsid w:val="00314A5A"/>
    <w:rsid w:val="00322973"/>
    <w:rsid w:val="003325F0"/>
    <w:rsid w:val="00341038"/>
    <w:rsid w:val="00352E7C"/>
    <w:rsid w:val="00353276"/>
    <w:rsid w:val="00360458"/>
    <w:rsid w:val="00366980"/>
    <w:rsid w:val="00370A5D"/>
    <w:rsid w:val="003802E2"/>
    <w:rsid w:val="00385E95"/>
    <w:rsid w:val="00385FED"/>
    <w:rsid w:val="00397B7E"/>
    <w:rsid w:val="003A7269"/>
    <w:rsid w:val="003C0FB7"/>
    <w:rsid w:val="003C6D81"/>
    <w:rsid w:val="003D0F80"/>
    <w:rsid w:val="003D2595"/>
    <w:rsid w:val="003E7083"/>
    <w:rsid w:val="003F3286"/>
    <w:rsid w:val="003F629F"/>
    <w:rsid w:val="00403938"/>
    <w:rsid w:val="00413DA3"/>
    <w:rsid w:val="00414171"/>
    <w:rsid w:val="0041787F"/>
    <w:rsid w:val="00423450"/>
    <w:rsid w:val="0042702D"/>
    <w:rsid w:val="00435C81"/>
    <w:rsid w:val="0044060A"/>
    <w:rsid w:val="00440F72"/>
    <w:rsid w:val="004565AA"/>
    <w:rsid w:val="00456A2C"/>
    <w:rsid w:val="004630DC"/>
    <w:rsid w:val="00474AE0"/>
    <w:rsid w:val="0047796F"/>
    <w:rsid w:val="00482931"/>
    <w:rsid w:val="00495574"/>
    <w:rsid w:val="004A44FF"/>
    <w:rsid w:val="004C2C5B"/>
    <w:rsid w:val="004E2D8F"/>
    <w:rsid w:val="004E5E61"/>
    <w:rsid w:val="004F1410"/>
    <w:rsid w:val="00500264"/>
    <w:rsid w:val="00510B1E"/>
    <w:rsid w:val="005120A9"/>
    <w:rsid w:val="00517D7C"/>
    <w:rsid w:val="00520646"/>
    <w:rsid w:val="0052176F"/>
    <w:rsid w:val="0052604B"/>
    <w:rsid w:val="0053088D"/>
    <w:rsid w:val="00534BF6"/>
    <w:rsid w:val="00537CDE"/>
    <w:rsid w:val="005409FC"/>
    <w:rsid w:val="005563D3"/>
    <w:rsid w:val="00575F76"/>
    <w:rsid w:val="005766CE"/>
    <w:rsid w:val="00580F0E"/>
    <w:rsid w:val="00591388"/>
    <w:rsid w:val="0059358B"/>
    <w:rsid w:val="005944F9"/>
    <w:rsid w:val="00596428"/>
    <w:rsid w:val="00596CC5"/>
    <w:rsid w:val="005A4D1C"/>
    <w:rsid w:val="005B046D"/>
    <w:rsid w:val="005B33AE"/>
    <w:rsid w:val="005C49D7"/>
    <w:rsid w:val="005C60FB"/>
    <w:rsid w:val="005C7EF5"/>
    <w:rsid w:val="005D1C7F"/>
    <w:rsid w:val="005D2402"/>
    <w:rsid w:val="005D2BF6"/>
    <w:rsid w:val="005D3A60"/>
    <w:rsid w:val="005E7C53"/>
    <w:rsid w:val="005F0356"/>
    <w:rsid w:val="005F73BC"/>
    <w:rsid w:val="00600923"/>
    <w:rsid w:val="006053FC"/>
    <w:rsid w:val="00612F3F"/>
    <w:rsid w:val="00620E68"/>
    <w:rsid w:val="00623637"/>
    <w:rsid w:val="006279C6"/>
    <w:rsid w:val="00644F1D"/>
    <w:rsid w:val="00646B59"/>
    <w:rsid w:val="006604C2"/>
    <w:rsid w:val="00677858"/>
    <w:rsid w:val="006861F5"/>
    <w:rsid w:val="00697FBB"/>
    <w:rsid w:val="006B2085"/>
    <w:rsid w:val="006B21B8"/>
    <w:rsid w:val="006B7B58"/>
    <w:rsid w:val="006C36EB"/>
    <w:rsid w:val="006D4B15"/>
    <w:rsid w:val="006D59F7"/>
    <w:rsid w:val="006E5E07"/>
    <w:rsid w:val="006F0434"/>
    <w:rsid w:val="00701D12"/>
    <w:rsid w:val="0070239F"/>
    <w:rsid w:val="007061AC"/>
    <w:rsid w:val="0072309C"/>
    <w:rsid w:val="0072695B"/>
    <w:rsid w:val="0074224C"/>
    <w:rsid w:val="00750A70"/>
    <w:rsid w:val="00752912"/>
    <w:rsid w:val="007556BE"/>
    <w:rsid w:val="007621CC"/>
    <w:rsid w:val="0076668A"/>
    <w:rsid w:val="00784C08"/>
    <w:rsid w:val="00785EDF"/>
    <w:rsid w:val="00786A29"/>
    <w:rsid w:val="00795F59"/>
    <w:rsid w:val="007C0A5B"/>
    <w:rsid w:val="007D22AB"/>
    <w:rsid w:val="007E71E6"/>
    <w:rsid w:val="007F5726"/>
    <w:rsid w:val="008168FB"/>
    <w:rsid w:val="00822BA6"/>
    <w:rsid w:val="008419E9"/>
    <w:rsid w:val="008548FB"/>
    <w:rsid w:val="008623FD"/>
    <w:rsid w:val="00866774"/>
    <w:rsid w:val="00873B97"/>
    <w:rsid w:val="008A62AC"/>
    <w:rsid w:val="008B2206"/>
    <w:rsid w:val="008C255D"/>
    <w:rsid w:val="008D3291"/>
    <w:rsid w:val="008D59AA"/>
    <w:rsid w:val="008E145D"/>
    <w:rsid w:val="008E2B56"/>
    <w:rsid w:val="008E69C8"/>
    <w:rsid w:val="00900232"/>
    <w:rsid w:val="00900BAA"/>
    <w:rsid w:val="00903734"/>
    <w:rsid w:val="00903878"/>
    <w:rsid w:val="00903CF6"/>
    <w:rsid w:val="009052C7"/>
    <w:rsid w:val="00905FFA"/>
    <w:rsid w:val="0092017A"/>
    <w:rsid w:val="00922032"/>
    <w:rsid w:val="00925C23"/>
    <w:rsid w:val="00927CCE"/>
    <w:rsid w:val="00927E08"/>
    <w:rsid w:val="009303FA"/>
    <w:rsid w:val="00941F0C"/>
    <w:rsid w:val="00943004"/>
    <w:rsid w:val="00966A88"/>
    <w:rsid w:val="00973A47"/>
    <w:rsid w:val="00981ED8"/>
    <w:rsid w:val="009822C7"/>
    <w:rsid w:val="00982AA3"/>
    <w:rsid w:val="009863EF"/>
    <w:rsid w:val="00986A41"/>
    <w:rsid w:val="0098719A"/>
    <w:rsid w:val="00991FF2"/>
    <w:rsid w:val="0099315B"/>
    <w:rsid w:val="00995DD9"/>
    <w:rsid w:val="009A579A"/>
    <w:rsid w:val="009B4476"/>
    <w:rsid w:val="009C1F02"/>
    <w:rsid w:val="009C3783"/>
    <w:rsid w:val="009C4E7E"/>
    <w:rsid w:val="009D6951"/>
    <w:rsid w:val="009D7DD1"/>
    <w:rsid w:val="009E0351"/>
    <w:rsid w:val="009E214B"/>
    <w:rsid w:val="009E53AF"/>
    <w:rsid w:val="009F0270"/>
    <w:rsid w:val="009F61FA"/>
    <w:rsid w:val="00A05796"/>
    <w:rsid w:val="00A13CB0"/>
    <w:rsid w:val="00A14FD8"/>
    <w:rsid w:val="00A22CA1"/>
    <w:rsid w:val="00A4595D"/>
    <w:rsid w:val="00A51146"/>
    <w:rsid w:val="00A61D3A"/>
    <w:rsid w:val="00A66833"/>
    <w:rsid w:val="00A70DCF"/>
    <w:rsid w:val="00A72437"/>
    <w:rsid w:val="00A73FDF"/>
    <w:rsid w:val="00A824B9"/>
    <w:rsid w:val="00A870DD"/>
    <w:rsid w:val="00A96157"/>
    <w:rsid w:val="00A969AF"/>
    <w:rsid w:val="00A9729E"/>
    <w:rsid w:val="00AA1F69"/>
    <w:rsid w:val="00AB348F"/>
    <w:rsid w:val="00AB7D36"/>
    <w:rsid w:val="00AC1390"/>
    <w:rsid w:val="00AC4663"/>
    <w:rsid w:val="00AE1DD2"/>
    <w:rsid w:val="00AE4106"/>
    <w:rsid w:val="00B12138"/>
    <w:rsid w:val="00B17749"/>
    <w:rsid w:val="00B17AE9"/>
    <w:rsid w:val="00B17C05"/>
    <w:rsid w:val="00B20334"/>
    <w:rsid w:val="00B20819"/>
    <w:rsid w:val="00B225B9"/>
    <w:rsid w:val="00B24AB1"/>
    <w:rsid w:val="00B36BD9"/>
    <w:rsid w:val="00B41A4C"/>
    <w:rsid w:val="00B43095"/>
    <w:rsid w:val="00B446CA"/>
    <w:rsid w:val="00B5093C"/>
    <w:rsid w:val="00B54356"/>
    <w:rsid w:val="00B55FE5"/>
    <w:rsid w:val="00B62917"/>
    <w:rsid w:val="00B74609"/>
    <w:rsid w:val="00B752B2"/>
    <w:rsid w:val="00B80E39"/>
    <w:rsid w:val="00B824A5"/>
    <w:rsid w:val="00B8588F"/>
    <w:rsid w:val="00B858F1"/>
    <w:rsid w:val="00B8684C"/>
    <w:rsid w:val="00BA5A2D"/>
    <w:rsid w:val="00BA5B8F"/>
    <w:rsid w:val="00BB2B54"/>
    <w:rsid w:val="00BC3CA1"/>
    <w:rsid w:val="00BC49E5"/>
    <w:rsid w:val="00BC6DB1"/>
    <w:rsid w:val="00BD3194"/>
    <w:rsid w:val="00BD5FA8"/>
    <w:rsid w:val="00BE23E5"/>
    <w:rsid w:val="00BE31E6"/>
    <w:rsid w:val="00BF757E"/>
    <w:rsid w:val="00BF7C0E"/>
    <w:rsid w:val="00BF7F5A"/>
    <w:rsid w:val="00C17719"/>
    <w:rsid w:val="00C20730"/>
    <w:rsid w:val="00C2470A"/>
    <w:rsid w:val="00C335D8"/>
    <w:rsid w:val="00C50E12"/>
    <w:rsid w:val="00C54491"/>
    <w:rsid w:val="00C610FB"/>
    <w:rsid w:val="00C71B43"/>
    <w:rsid w:val="00C74D8F"/>
    <w:rsid w:val="00C751A9"/>
    <w:rsid w:val="00C766DD"/>
    <w:rsid w:val="00C76BDF"/>
    <w:rsid w:val="00C775CE"/>
    <w:rsid w:val="00C8030E"/>
    <w:rsid w:val="00C91697"/>
    <w:rsid w:val="00C92EAA"/>
    <w:rsid w:val="00CA148F"/>
    <w:rsid w:val="00CA29F9"/>
    <w:rsid w:val="00CB1CD9"/>
    <w:rsid w:val="00CB6B73"/>
    <w:rsid w:val="00CC218D"/>
    <w:rsid w:val="00CC23D3"/>
    <w:rsid w:val="00CC6334"/>
    <w:rsid w:val="00CC677A"/>
    <w:rsid w:val="00CD008E"/>
    <w:rsid w:val="00CD49B4"/>
    <w:rsid w:val="00CD6EDC"/>
    <w:rsid w:val="00CE2D1F"/>
    <w:rsid w:val="00CF1561"/>
    <w:rsid w:val="00CF1A40"/>
    <w:rsid w:val="00CF36EF"/>
    <w:rsid w:val="00CF4AE2"/>
    <w:rsid w:val="00D1110F"/>
    <w:rsid w:val="00D15B10"/>
    <w:rsid w:val="00D23E20"/>
    <w:rsid w:val="00D30FA6"/>
    <w:rsid w:val="00D32842"/>
    <w:rsid w:val="00D407EB"/>
    <w:rsid w:val="00D454AB"/>
    <w:rsid w:val="00D536AB"/>
    <w:rsid w:val="00D54E0C"/>
    <w:rsid w:val="00D5537A"/>
    <w:rsid w:val="00D71136"/>
    <w:rsid w:val="00D77F36"/>
    <w:rsid w:val="00D9057D"/>
    <w:rsid w:val="00DA026E"/>
    <w:rsid w:val="00DA576E"/>
    <w:rsid w:val="00DB0A86"/>
    <w:rsid w:val="00DB57B7"/>
    <w:rsid w:val="00DC33CF"/>
    <w:rsid w:val="00DC3415"/>
    <w:rsid w:val="00DD3DE6"/>
    <w:rsid w:val="00DE4534"/>
    <w:rsid w:val="00DF3D3A"/>
    <w:rsid w:val="00DF4228"/>
    <w:rsid w:val="00E06670"/>
    <w:rsid w:val="00E17266"/>
    <w:rsid w:val="00E21214"/>
    <w:rsid w:val="00E255DF"/>
    <w:rsid w:val="00E47752"/>
    <w:rsid w:val="00E53030"/>
    <w:rsid w:val="00E56652"/>
    <w:rsid w:val="00E62C9E"/>
    <w:rsid w:val="00E63369"/>
    <w:rsid w:val="00E63569"/>
    <w:rsid w:val="00E80756"/>
    <w:rsid w:val="00E81F96"/>
    <w:rsid w:val="00E8302B"/>
    <w:rsid w:val="00E83E34"/>
    <w:rsid w:val="00E847A3"/>
    <w:rsid w:val="00E84F8C"/>
    <w:rsid w:val="00E85360"/>
    <w:rsid w:val="00E85641"/>
    <w:rsid w:val="00E85DA4"/>
    <w:rsid w:val="00E86B42"/>
    <w:rsid w:val="00E95892"/>
    <w:rsid w:val="00E97354"/>
    <w:rsid w:val="00EA6408"/>
    <w:rsid w:val="00EC0483"/>
    <w:rsid w:val="00EC33A4"/>
    <w:rsid w:val="00ED0897"/>
    <w:rsid w:val="00ED73FF"/>
    <w:rsid w:val="00ED7F01"/>
    <w:rsid w:val="00EE4612"/>
    <w:rsid w:val="00EE51DE"/>
    <w:rsid w:val="00EE609F"/>
    <w:rsid w:val="00EF5E01"/>
    <w:rsid w:val="00EF6EC0"/>
    <w:rsid w:val="00F02058"/>
    <w:rsid w:val="00F0343C"/>
    <w:rsid w:val="00F04CE5"/>
    <w:rsid w:val="00F13514"/>
    <w:rsid w:val="00F1360F"/>
    <w:rsid w:val="00F16AA8"/>
    <w:rsid w:val="00F21791"/>
    <w:rsid w:val="00F3226A"/>
    <w:rsid w:val="00F33DB0"/>
    <w:rsid w:val="00F45DB8"/>
    <w:rsid w:val="00F54D29"/>
    <w:rsid w:val="00F62BCD"/>
    <w:rsid w:val="00F74B77"/>
    <w:rsid w:val="00F764FE"/>
    <w:rsid w:val="00F80625"/>
    <w:rsid w:val="00F827B6"/>
    <w:rsid w:val="00F92BE5"/>
    <w:rsid w:val="00FA0574"/>
    <w:rsid w:val="00FB68D3"/>
    <w:rsid w:val="00FC4B75"/>
    <w:rsid w:val="00FE7554"/>
    <w:rsid w:val="00FF17FE"/>
    <w:rsid w:val="038D3451"/>
    <w:rsid w:val="03EC461B"/>
    <w:rsid w:val="06C7367B"/>
    <w:rsid w:val="0A4664AE"/>
    <w:rsid w:val="0DFA7935"/>
    <w:rsid w:val="1A1678A4"/>
    <w:rsid w:val="21CF43D4"/>
    <w:rsid w:val="23E96D0C"/>
    <w:rsid w:val="28220EE6"/>
    <w:rsid w:val="318D2E01"/>
    <w:rsid w:val="324B4DD1"/>
    <w:rsid w:val="3F544F90"/>
    <w:rsid w:val="413E130B"/>
    <w:rsid w:val="42200080"/>
    <w:rsid w:val="43A5270B"/>
    <w:rsid w:val="44661A09"/>
    <w:rsid w:val="488C513A"/>
    <w:rsid w:val="48CA33FC"/>
    <w:rsid w:val="4C005CBC"/>
    <w:rsid w:val="50226E86"/>
    <w:rsid w:val="51026F09"/>
    <w:rsid w:val="54671237"/>
    <w:rsid w:val="5A10717D"/>
    <w:rsid w:val="5B410F66"/>
    <w:rsid w:val="5BD92F2A"/>
    <w:rsid w:val="5E276C23"/>
    <w:rsid w:val="5EBC76FA"/>
    <w:rsid w:val="61897F29"/>
    <w:rsid w:val="624C7F79"/>
    <w:rsid w:val="639962F3"/>
    <w:rsid w:val="642936E5"/>
    <w:rsid w:val="68B159E8"/>
    <w:rsid w:val="6A226039"/>
    <w:rsid w:val="7036669C"/>
    <w:rsid w:val="72AF2ABE"/>
    <w:rsid w:val="73BB0416"/>
    <w:rsid w:val="7D080444"/>
    <w:rsid w:val="7D240BEB"/>
    <w:rsid w:val="7EE06CB6"/>
    <w:rsid w:val="7F013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autoRedefine/>
    <w:qFormat/>
    <w:uiPriority w:val="0"/>
    <w:pPr>
      <w:keepNext/>
      <w:keepLines/>
      <w:numPr>
        <w:ilvl w:val="0"/>
        <w:numId w:val="1"/>
      </w:numPr>
      <w:spacing w:before="340" w:after="330" w:line="578" w:lineRule="auto"/>
      <w:outlineLvl w:val="0"/>
    </w:pPr>
    <w:rPr>
      <w:b/>
      <w:bCs/>
      <w:kern w:val="44"/>
      <w:sz w:val="44"/>
      <w:szCs w:val="44"/>
      <w:lang w:val="zh-CN"/>
    </w:rPr>
  </w:style>
  <w:style w:type="paragraph" w:styleId="4">
    <w:name w:val="heading 2"/>
    <w:basedOn w:val="1"/>
    <w:next w:val="1"/>
    <w:link w:val="33"/>
    <w:autoRedefine/>
    <w:qFormat/>
    <w:uiPriority w:val="0"/>
    <w:pPr>
      <w:keepNext/>
      <w:keepLines/>
      <w:spacing w:before="260" w:after="260" w:line="416" w:lineRule="auto"/>
      <w:outlineLvl w:val="1"/>
    </w:pPr>
    <w:rPr>
      <w:rFonts w:ascii="等线 Light" w:hAnsi="等线 Light" w:eastAsia="等线 Light"/>
      <w:b/>
      <w:bCs/>
      <w:sz w:val="32"/>
      <w:szCs w:val="32"/>
      <w:lang w:val="zh-CN"/>
    </w:rPr>
  </w:style>
  <w:style w:type="paragraph" w:styleId="5">
    <w:name w:val="heading 3"/>
    <w:basedOn w:val="1"/>
    <w:next w:val="1"/>
    <w:link w:val="34"/>
    <w:autoRedefine/>
    <w:qFormat/>
    <w:uiPriority w:val="0"/>
    <w:pPr>
      <w:keepNext/>
      <w:keepLines/>
      <w:spacing w:before="260" w:after="260" w:line="416" w:lineRule="auto"/>
      <w:outlineLvl w:val="2"/>
    </w:pPr>
    <w:rPr>
      <w:b/>
      <w:bCs/>
      <w:sz w:val="30"/>
      <w:szCs w:val="30"/>
      <w:lang w:val="zh-CN"/>
    </w:rPr>
  </w:style>
  <w:style w:type="paragraph" w:styleId="6">
    <w:name w:val="heading 4"/>
    <w:basedOn w:val="1"/>
    <w:next w:val="1"/>
    <w:link w:val="35"/>
    <w:autoRedefine/>
    <w:qFormat/>
    <w:uiPriority w:val="0"/>
    <w:pPr>
      <w:keepNext/>
      <w:keepLines/>
      <w:numPr>
        <w:ilvl w:val="3"/>
        <w:numId w:val="1"/>
      </w:numPr>
      <w:spacing w:before="280" w:after="290" w:line="376" w:lineRule="auto"/>
      <w:outlineLvl w:val="3"/>
    </w:pPr>
    <w:rPr>
      <w:rFonts w:ascii="宋体" w:hAnsi="宋体"/>
      <w:b/>
      <w:bCs/>
      <w:sz w:val="28"/>
      <w:szCs w:val="28"/>
      <w:lang w:val="zh-CN"/>
    </w:rPr>
  </w:style>
  <w:style w:type="paragraph" w:styleId="7">
    <w:name w:val="heading 5"/>
    <w:basedOn w:val="1"/>
    <w:next w:val="1"/>
    <w:link w:val="36"/>
    <w:autoRedefine/>
    <w:qFormat/>
    <w:uiPriority w:val="0"/>
    <w:pPr>
      <w:keepNext/>
      <w:keepLines/>
      <w:numPr>
        <w:ilvl w:val="4"/>
        <w:numId w:val="1"/>
      </w:numPr>
      <w:spacing w:before="280" w:after="290" w:line="376" w:lineRule="auto"/>
      <w:outlineLvl w:val="4"/>
    </w:pPr>
    <w:rPr>
      <w:b/>
      <w:bCs/>
      <w:sz w:val="28"/>
      <w:szCs w:val="28"/>
      <w:lang w:val="zh-CN"/>
    </w:rPr>
  </w:style>
  <w:style w:type="paragraph" w:styleId="8">
    <w:name w:val="heading 6"/>
    <w:basedOn w:val="1"/>
    <w:next w:val="1"/>
    <w:link w:val="37"/>
    <w:autoRedefine/>
    <w:qFormat/>
    <w:uiPriority w:val="0"/>
    <w:pPr>
      <w:keepNext/>
      <w:keepLines/>
      <w:numPr>
        <w:ilvl w:val="5"/>
        <w:numId w:val="1"/>
      </w:numPr>
      <w:spacing w:before="240" w:after="64" w:line="320" w:lineRule="auto"/>
      <w:outlineLvl w:val="5"/>
    </w:pPr>
    <w:rPr>
      <w:rFonts w:ascii="等线 Light" w:hAnsi="等线 Light" w:eastAsia="等线 Light"/>
      <w:b/>
      <w:bCs/>
      <w:sz w:val="24"/>
      <w:lang w:val="zh-CN"/>
    </w:rPr>
  </w:style>
  <w:style w:type="paragraph" w:styleId="9">
    <w:name w:val="heading 7"/>
    <w:basedOn w:val="1"/>
    <w:next w:val="1"/>
    <w:link w:val="38"/>
    <w:autoRedefine/>
    <w:qFormat/>
    <w:uiPriority w:val="0"/>
    <w:pPr>
      <w:keepNext/>
      <w:keepLines/>
      <w:numPr>
        <w:ilvl w:val="6"/>
        <w:numId w:val="1"/>
      </w:numPr>
      <w:spacing w:before="240" w:after="64" w:line="320" w:lineRule="auto"/>
      <w:outlineLvl w:val="6"/>
    </w:pPr>
    <w:rPr>
      <w:b/>
      <w:bCs/>
      <w:sz w:val="24"/>
      <w:lang w:val="zh-CN"/>
    </w:rPr>
  </w:style>
  <w:style w:type="paragraph" w:styleId="10">
    <w:name w:val="heading 8"/>
    <w:basedOn w:val="1"/>
    <w:next w:val="1"/>
    <w:link w:val="39"/>
    <w:autoRedefine/>
    <w:qFormat/>
    <w:uiPriority w:val="0"/>
    <w:pPr>
      <w:keepNext/>
      <w:keepLines/>
      <w:numPr>
        <w:ilvl w:val="7"/>
        <w:numId w:val="1"/>
      </w:numPr>
      <w:spacing w:before="240" w:after="64" w:line="320" w:lineRule="auto"/>
      <w:outlineLvl w:val="7"/>
    </w:pPr>
    <w:rPr>
      <w:rFonts w:ascii="等线 Light" w:hAnsi="等线 Light" w:eastAsia="等线 Light"/>
      <w:sz w:val="24"/>
      <w:lang w:val="zh-CN"/>
    </w:rPr>
  </w:style>
  <w:style w:type="paragraph" w:styleId="11">
    <w:name w:val="heading 9"/>
    <w:basedOn w:val="1"/>
    <w:next w:val="1"/>
    <w:link w:val="40"/>
    <w:autoRedefine/>
    <w:qFormat/>
    <w:uiPriority w:val="0"/>
    <w:pPr>
      <w:keepNext/>
      <w:keepLines/>
      <w:numPr>
        <w:ilvl w:val="8"/>
        <w:numId w:val="1"/>
      </w:numPr>
      <w:spacing w:before="240" w:after="64" w:line="320" w:lineRule="auto"/>
      <w:outlineLvl w:val="8"/>
    </w:pPr>
    <w:rPr>
      <w:rFonts w:ascii="等线 Light" w:hAnsi="等线 Light" w:eastAsia="等线 Light"/>
      <w:szCs w:val="21"/>
      <w:lang w:val="zh-CN"/>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unhideWhenUsed/>
    <w:qFormat/>
    <w:uiPriority w:val="99"/>
    <w:pPr>
      <w:spacing w:after="120"/>
    </w:pPr>
  </w:style>
  <w:style w:type="paragraph" w:styleId="12">
    <w:name w:val="Normal Indent"/>
    <w:basedOn w:val="1"/>
    <w:link w:val="41"/>
    <w:autoRedefine/>
    <w:qFormat/>
    <w:uiPriority w:val="99"/>
    <w:pPr>
      <w:spacing w:before="120" w:beforeLines="50" w:line="360" w:lineRule="auto"/>
      <w:ind w:firstLine="512" w:firstLineChars="200"/>
    </w:pPr>
    <w:rPr>
      <w:spacing w:val="8"/>
      <w:sz w:val="24"/>
      <w:szCs w:val="20"/>
    </w:rPr>
  </w:style>
  <w:style w:type="paragraph" w:styleId="13">
    <w:name w:val="annotation text"/>
    <w:basedOn w:val="1"/>
    <w:link w:val="42"/>
    <w:autoRedefine/>
    <w:unhideWhenUsed/>
    <w:qFormat/>
    <w:uiPriority w:val="0"/>
    <w:pPr>
      <w:jc w:val="left"/>
    </w:pPr>
    <w:rPr>
      <w:kern w:val="0"/>
      <w:sz w:val="20"/>
      <w:lang w:val="zh-CN"/>
    </w:rPr>
  </w:style>
  <w:style w:type="paragraph" w:styleId="14">
    <w:name w:val="Body Text Indent"/>
    <w:basedOn w:val="1"/>
    <w:autoRedefine/>
    <w:qFormat/>
    <w:uiPriority w:val="0"/>
    <w:pPr>
      <w:spacing w:after="120"/>
      <w:ind w:left="420" w:leftChars="200"/>
    </w:pPr>
    <w:rPr>
      <w:rFonts w:ascii="Times New Roman" w:hAnsi="Times New Roman" w:cs="Times New Roman"/>
      <w:szCs w:val="24"/>
    </w:rPr>
  </w:style>
  <w:style w:type="paragraph" w:styleId="15">
    <w:name w:val="toc 3"/>
    <w:basedOn w:val="1"/>
    <w:next w:val="1"/>
    <w:qFormat/>
    <w:uiPriority w:val="0"/>
    <w:pPr>
      <w:ind w:left="840" w:leftChars="400"/>
    </w:pPr>
  </w:style>
  <w:style w:type="paragraph" w:styleId="16">
    <w:name w:val="Plain Text"/>
    <w:basedOn w:val="1"/>
    <w:link w:val="43"/>
    <w:autoRedefine/>
    <w:qFormat/>
    <w:uiPriority w:val="0"/>
    <w:rPr>
      <w:rFonts w:ascii="Calibri" w:hAnsi="Courier New"/>
      <w:szCs w:val="20"/>
      <w:lang w:val="zh-CN"/>
    </w:rPr>
  </w:style>
  <w:style w:type="paragraph" w:styleId="17">
    <w:name w:val="Balloon Text"/>
    <w:basedOn w:val="1"/>
    <w:link w:val="44"/>
    <w:autoRedefine/>
    <w:qFormat/>
    <w:uiPriority w:val="0"/>
    <w:rPr>
      <w:sz w:val="18"/>
      <w:szCs w:val="18"/>
      <w:lang w:val="zh-CN"/>
    </w:rPr>
  </w:style>
  <w:style w:type="paragraph" w:styleId="18">
    <w:name w:val="footer"/>
    <w:basedOn w:val="1"/>
    <w:link w:val="45"/>
    <w:autoRedefine/>
    <w:qFormat/>
    <w:uiPriority w:val="0"/>
    <w:pPr>
      <w:tabs>
        <w:tab w:val="center" w:pos="4153"/>
        <w:tab w:val="right" w:pos="8306"/>
      </w:tabs>
      <w:snapToGrid w:val="0"/>
      <w:jc w:val="left"/>
    </w:pPr>
    <w:rPr>
      <w:sz w:val="18"/>
      <w:szCs w:val="18"/>
      <w:lang w:val="zh-CN"/>
    </w:rPr>
  </w:style>
  <w:style w:type="paragraph" w:styleId="19">
    <w:name w:val="header"/>
    <w:basedOn w:val="1"/>
    <w:link w:val="46"/>
    <w:autoRedefine/>
    <w:qFormat/>
    <w:uiPriority w:val="0"/>
    <w:pPr>
      <w:pBdr>
        <w:bottom w:val="single" w:color="auto" w:sz="6" w:space="1"/>
      </w:pBdr>
      <w:tabs>
        <w:tab w:val="center" w:pos="4153"/>
        <w:tab w:val="right" w:pos="8306"/>
      </w:tabs>
      <w:snapToGrid w:val="0"/>
      <w:jc w:val="center"/>
    </w:pPr>
    <w:rPr>
      <w:sz w:val="18"/>
      <w:szCs w:val="18"/>
      <w:lang w:val="zh-CN"/>
    </w:rPr>
  </w:style>
  <w:style w:type="paragraph" w:styleId="20">
    <w:name w:val="toc 1"/>
    <w:basedOn w:val="1"/>
    <w:next w:val="1"/>
    <w:qFormat/>
    <w:uiPriority w:val="0"/>
  </w:style>
  <w:style w:type="paragraph" w:styleId="21">
    <w:name w:val="Subtitle"/>
    <w:basedOn w:val="1"/>
    <w:next w:val="1"/>
    <w:link w:val="71"/>
    <w:autoRedefine/>
    <w:qFormat/>
    <w:uiPriority w:val="0"/>
    <w:pPr>
      <w:spacing w:before="240" w:beforeLines="50" w:after="60" w:line="312" w:lineRule="auto"/>
      <w:ind w:firstLine="200" w:firstLineChars="200"/>
      <w:jc w:val="center"/>
      <w:outlineLvl w:val="1"/>
    </w:pPr>
    <w:rPr>
      <w:rFonts w:ascii="Cambria" w:hAnsi="Cambria"/>
      <w:b/>
      <w:bCs/>
      <w:kern w:val="28"/>
      <w:sz w:val="32"/>
      <w:szCs w:val="32"/>
      <w:lang w:eastAsia="en-US"/>
    </w:rPr>
  </w:style>
  <w:style w:type="paragraph" w:styleId="22">
    <w:name w:val="toc 2"/>
    <w:basedOn w:val="1"/>
    <w:next w:val="1"/>
    <w:qFormat/>
    <w:uiPriority w:val="0"/>
    <w:pPr>
      <w:ind w:left="420" w:leftChars="200"/>
    </w:pPr>
  </w:style>
  <w:style w:type="paragraph" w:styleId="23">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24">
    <w:name w:val="annotation subject"/>
    <w:basedOn w:val="13"/>
    <w:next w:val="13"/>
    <w:link w:val="75"/>
    <w:autoRedefine/>
    <w:qFormat/>
    <w:uiPriority w:val="0"/>
    <w:rPr>
      <w:b/>
      <w:bCs/>
      <w:kern w:val="2"/>
      <w:sz w:val="21"/>
      <w:lang w:val="en-US"/>
    </w:rPr>
  </w:style>
  <w:style w:type="paragraph" w:styleId="25">
    <w:name w:val="Body Text First Indent 2"/>
    <w:basedOn w:val="14"/>
    <w:autoRedefine/>
    <w:unhideWhenUsed/>
    <w:qFormat/>
    <w:uiPriority w:val="0"/>
    <w:pPr>
      <w:spacing w:after="0"/>
      <w:ind w:firstLine="200" w:firstLineChars="200"/>
    </w:pPr>
  </w:style>
  <w:style w:type="table" w:styleId="27">
    <w:name w:val="Table Grid"/>
    <w:basedOn w:val="26"/>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9">
    <w:name w:val="Strong"/>
    <w:basedOn w:val="28"/>
    <w:qFormat/>
    <w:uiPriority w:val="0"/>
    <w:rPr>
      <w:b/>
    </w:rPr>
  </w:style>
  <w:style w:type="character" w:styleId="30">
    <w:name w:val="Hyperlink"/>
    <w:autoRedefine/>
    <w:qFormat/>
    <w:uiPriority w:val="0"/>
    <w:rPr>
      <w:color w:val="0563C1"/>
      <w:u w:val="single"/>
    </w:rPr>
  </w:style>
  <w:style w:type="character" w:styleId="31">
    <w:name w:val="annotation reference"/>
    <w:autoRedefine/>
    <w:unhideWhenUsed/>
    <w:qFormat/>
    <w:uiPriority w:val="99"/>
    <w:rPr>
      <w:sz w:val="21"/>
      <w:szCs w:val="21"/>
    </w:rPr>
  </w:style>
  <w:style w:type="character" w:customStyle="1" w:styleId="32">
    <w:name w:val="标题 1 Char"/>
    <w:link w:val="3"/>
    <w:autoRedefine/>
    <w:qFormat/>
    <w:uiPriority w:val="0"/>
    <w:rPr>
      <w:b/>
      <w:bCs/>
      <w:kern w:val="44"/>
      <w:sz w:val="44"/>
      <w:szCs w:val="44"/>
      <w:lang w:val="zh-CN" w:eastAsia="zh-CN"/>
    </w:rPr>
  </w:style>
  <w:style w:type="character" w:customStyle="1" w:styleId="33">
    <w:name w:val="标题 2 Char"/>
    <w:link w:val="4"/>
    <w:autoRedefine/>
    <w:qFormat/>
    <w:uiPriority w:val="0"/>
    <w:rPr>
      <w:rFonts w:ascii="等线 Light" w:hAnsi="等线 Light" w:eastAsia="等线 Light" w:cs="Times New Roman"/>
      <w:b/>
      <w:bCs/>
      <w:kern w:val="2"/>
      <w:sz w:val="32"/>
      <w:szCs w:val="32"/>
    </w:rPr>
  </w:style>
  <w:style w:type="character" w:customStyle="1" w:styleId="34">
    <w:name w:val="标题 3 Char"/>
    <w:link w:val="5"/>
    <w:autoRedefine/>
    <w:qFormat/>
    <w:uiPriority w:val="0"/>
    <w:rPr>
      <w:b/>
      <w:bCs/>
      <w:kern w:val="2"/>
      <w:sz w:val="30"/>
      <w:szCs w:val="30"/>
    </w:rPr>
  </w:style>
  <w:style w:type="character" w:customStyle="1" w:styleId="35">
    <w:name w:val="标题 4 Char"/>
    <w:link w:val="6"/>
    <w:autoRedefine/>
    <w:qFormat/>
    <w:uiPriority w:val="0"/>
    <w:rPr>
      <w:rFonts w:ascii="宋体" w:hAnsi="宋体"/>
      <w:b/>
      <w:bCs/>
      <w:kern w:val="2"/>
      <w:sz w:val="28"/>
      <w:szCs w:val="28"/>
    </w:rPr>
  </w:style>
  <w:style w:type="character" w:customStyle="1" w:styleId="36">
    <w:name w:val="标题 5 Char"/>
    <w:link w:val="7"/>
    <w:autoRedefine/>
    <w:qFormat/>
    <w:uiPriority w:val="0"/>
    <w:rPr>
      <w:b/>
      <w:bCs/>
      <w:kern w:val="2"/>
      <w:sz w:val="28"/>
      <w:szCs w:val="28"/>
    </w:rPr>
  </w:style>
  <w:style w:type="character" w:customStyle="1" w:styleId="37">
    <w:name w:val="标题 6 Char"/>
    <w:link w:val="8"/>
    <w:autoRedefine/>
    <w:semiHidden/>
    <w:qFormat/>
    <w:uiPriority w:val="0"/>
    <w:rPr>
      <w:rFonts w:ascii="等线 Light" w:hAnsi="等线 Light" w:eastAsia="等线 Light"/>
      <w:b/>
      <w:bCs/>
      <w:kern w:val="2"/>
      <w:sz w:val="24"/>
      <w:szCs w:val="24"/>
    </w:rPr>
  </w:style>
  <w:style w:type="character" w:customStyle="1" w:styleId="38">
    <w:name w:val="标题 7 Char"/>
    <w:link w:val="9"/>
    <w:autoRedefine/>
    <w:semiHidden/>
    <w:qFormat/>
    <w:uiPriority w:val="0"/>
    <w:rPr>
      <w:b/>
      <w:bCs/>
      <w:kern w:val="2"/>
      <w:sz w:val="24"/>
      <w:szCs w:val="24"/>
    </w:rPr>
  </w:style>
  <w:style w:type="character" w:customStyle="1" w:styleId="39">
    <w:name w:val="标题 8 Char"/>
    <w:link w:val="10"/>
    <w:autoRedefine/>
    <w:semiHidden/>
    <w:qFormat/>
    <w:uiPriority w:val="0"/>
    <w:rPr>
      <w:rFonts w:ascii="等线 Light" w:hAnsi="等线 Light" w:eastAsia="等线 Light"/>
      <w:kern w:val="2"/>
      <w:sz w:val="24"/>
      <w:szCs w:val="24"/>
    </w:rPr>
  </w:style>
  <w:style w:type="character" w:customStyle="1" w:styleId="40">
    <w:name w:val="标题 9 Char"/>
    <w:link w:val="11"/>
    <w:autoRedefine/>
    <w:semiHidden/>
    <w:qFormat/>
    <w:uiPriority w:val="0"/>
    <w:rPr>
      <w:rFonts w:ascii="等线 Light" w:hAnsi="等线 Light" w:eastAsia="等线 Light"/>
      <w:kern w:val="2"/>
      <w:sz w:val="21"/>
      <w:szCs w:val="21"/>
    </w:rPr>
  </w:style>
  <w:style w:type="character" w:customStyle="1" w:styleId="41">
    <w:name w:val="正文缩进 Char"/>
    <w:link w:val="12"/>
    <w:autoRedefine/>
    <w:qFormat/>
    <w:uiPriority w:val="99"/>
    <w:rPr>
      <w:spacing w:val="8"/>
      <w:kern w:val="2"/>
      <w:sz w:val="24"/>
      <w:lang w:val="en-US" w:eastAsia="zh-CN"/>
    </w:rPr>
  </w:style>
  <w:style w:type="character" w:customStyle="1" w:styleId="42">
    <w:name w:val="批注文字 Char"/>
    <w:link w:val="13"/>
    <w:autoRedefine/>
    <w:qFormat/>
    <w:uiPriority w:val="0"/>
    <w:rPr>
      <w:szCs w:val="24"/>
    </w:rPr>
  </w:style>
  <w:style w:type="character" w:customStyle="1" w:styleId="43">
    <w:name w:val="纯文本 Char"/>
    <w:link w:val="16"/>
    <w:autoRedefine/>
    <w:qFormat/>
    <w:uiPriority w:val="0"/>
    <w:rPr>
      <w:rFonts w:ascii="Calibri" w:hAnsi="Courier New"/>
      <w:kern w:val="2"/>
      <w:sz w:val="21"/>
    </w:rPr>
  </w:style>
  <w:style w:type="character" w:customStyle="1" w:styleId="44">
    <w:name w:val="批注框文本 Char"/>
    <w:link w:val="17"/>
    <w:autoRedefine/>
    <w:qFormat/>
    <w:uiPriority w:val="0"/>
    <w:rPr>
      <w:kern w:val="2"/>
      <w:sz w:val="18"/>
      <w:szCs w:val="18"/>
    </w:rPr>
  </w:style>
  <w:style w:type="character" w:customStyle="1" w:styleId="45">
    <w:name w:val="页脚 Char"/>
    <w:link w:val="18"/>
    <w:autoRedefine/>
    <w:qFormat/>
    <w:uiPriority w:val="0"/>
    <w:rPr>
      <w:kern w:val="2"/>
      <w:sz w:val="18"/>
      <w:szCs w:val="18"/>
    </w:rPr>
  </w:style>
  <w:style w:type="character" w:customStyle="1" w:styleId="46">
    <w:name w:val="页眉 Char"/>
    <w:link w:val="19"/>
    <w:autoRedefine/>
    <w:qFormat/>
    <w:uiPriority w:val="0"/>
    <w:rPr>
      <w:kern w:val="2"/>
      <w:sz w:val="18"/>
      <w:szCs w:val="18"/>
    </w:rPr>
  </w:style>
  <w:style w:type="character" w:customStyle="1" w:styleId="47">
    <w:name w:val="已访问的超链接1"/>
    <w:autoRedefine/>
    <w:qFormat/>
    <w:uiPriority w:val="0"/>
    <w:rPr>
      <w:color w:val="800080"/>
      <w:u w:val="single"/>
    </w:rPr>
  </w:style>
  <w:style w:type="character" w:customStyle="1" w:styleId="48">
    <w:name w:val="正文（首行缩进2字符） Char"/>
    <w:link w:val="49"/>
    <w:autoRedefine/>
    <w:qFormat/>
    <w:uiPriority w:val="0"/>
    <w:rPr>
      <w:kern w:val="2"/>
      <w:sz w:val="24"/>
      <w:szCs w:val="24"/>
    </w:rPr>
  </w:style>
  <w:style w:type="paragraph" w:customStyle="1" w:styleId="49">
    <w:name w:val="正文（首行缩进2字符）"/>
    <w:basedOn w:val="1"/>
    <w:link w:val="48"/>
    <w:autoRedefine/>
    <w:qFormat/>
    <w:uiPriority w:val="0"/>
    <w:pPr>
      <w:spacing w:line="360" w:lineRule="auto"/>
      <w:ind w:firstLine="480" w:firstLineChars="200"/>
    </w:pPr>
    <w:rPr>
      <w:sz w:val="24"/>
      <w:lang w:val="zh-CN"/>
    </w:rPr>
  </w:style>
  <w:style w:type="character" w:customStyle="1" w:styleId="50">
    <w:name w:val="段落 Char1"/>
    <w:link w:val="51"/>
    <w:autoRedefine/>
    <w:qFormat/>
    <w:uiPriority w:val="0"/>
    <w:rPr>
      <w:rFonts w:eastAsia="仿宋_GB2312"/>
      <w:sz w:val="24"/>
      <w:szCs w:val="24"/>
      <w:lang w:val="en-US" w:eastAsia="zh-CN" w:bidi="ar-SA"/>
    </w:rPr>
  </w:style>
  <w:style w:type="paragraph" w:customStyle="1" w:styleId="51">
    <w:name w:val="段落"/>
    <w:link w:val="50"/>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sz w:val="24"/>
      <w:szCs w:val="24"/>
      <w:lang w:val="en-US" w:eastAsia="zh-CN" w:bidi="ar-SA"/>
    </w:rPr>
  </w:style>
  <w:style w:type="character" w:customStyle="1" w:styleId="52">
    <w:name w:val="正文（安华金和） Char"/>
    <w:link w:val="53"/>
    <w:autoRedefine/>
    <w:qFormat/>
    <w:uiPriority w:val="0"/>
    <w:rPr>
      <w:rFonts w:ascii="Arial" w:hAnsi="Arial"/>
      <w:sz w:val="21"/>
      <w:szCs w:val="21"/>
      <w:lang w:val="en-US" w:eastAsia="zh-CN" w:bidi="ar-SA"/>
    </w:rPr>
  </w:style>
  <w:style w:type="paragraph" w:customStyle="1" w:styleId="53">
    <w:name w:val="正文（安华金和）"/>
    <w:link w:val="52"/>
    <w:autoRedefine/>
    <w:qFormat/>
    <w:uiPriority w:val="0"/>
    <w:pPr>
      <w:widowControl w:val="0"/>
      <w:spacing w:line="360" w:lineRule="auto"/>
      <w:ind w:firstLine="200"/>
    </w:pPr>
    <w:rPr>
      <w:rFonts w:ascii="Arial" w:hAnsi="Arial" w:eastAsia="宋体" w:cs="Times New Roman"/>
      <w:sz w:val="21"/>
      <w:szCs w:val="21"/>
      <w:lang w:val="en-US" w:eastAsia="zh-CN" w:bidi="ar-SA"/>
    </w:rPr>
  </w:style>
  <w:style w:type="character" w:customStyle="1" w:styleId="54">
    <w:name w:val="页脚 字符"/>
    <w:autoRedefine/>
    <w:qFormat/>
    <w:uiPriority w:val="99"/>
  </w:style>
  <w:style w:type="character" w:customStyle="1" w:styleId="55">
    <w:name w:val="列出段落 Char"/>
    <w:link w:val="56"/>
    <w:autoRedefine/>
    <w:qFormat/>
    <w:uiPriority w:val="34"/>
    <w:rPr>
      <w:rFonts w:ascii="等线" w:hAnsi="等线" w:eastAsia="等线"/>
      <w:kern w:val="2"/>
      <w:sz w:val="21"/>
      <w:szCs w:val="22"/>
    </w:rPr>
  </w:style>
  <w:style w:type="paragraph" w:styleId="56">
    <w:name w:val="List Paragraph"/>
    <w:basedOn w:val="1"/>
    <w:link w:val="55"/>
    <w:autoRedefine/>
    <w:qFormat/>
    <w:uiPriority w:val="34"/>
    <w:pPr>
      <w:ind w:firstLine="420" w:firstLineChars="200"/>
    </w:pPr>
    <w:rPr>
      <w:rFonts w:ascii="等线" w:hAnsi="等线" w:eastAsia="等线"/>
      <w:szCs w:val="22"/>
      <w:lang w:val="zh-CN"/>
    </w:rPr>
  </w:style>
  <w:style w:type="paragraph" w:customStyle="1" w:styleId="57">
    <w:name w:val="插图标注（安华金和）"/>
    <w:next w:val="1"/>
    <w:autoRedefine/>
    <w:qFormat/>
    <w:uiPriority w:val="0"/>
    <w:pPr>
      <w:numPr>
        <w:ilvl w:val="6"/>
        <w:numId w:val="2"/>
      </w:numPr>
      <w:spacing w:after="156"/>
      <w:jc w:val="center"/>
    </w:pPr>
    <w:rPr>
      <w:rFonts w:ascii="Arial" w:hAnsi="Arial" w:eastAsia="宋体" w:cs="Arial"/>
      <w:sz w:val="21"/>
      <w:szCs w:val="21"/>
      <w:lang w:val="en-US" w:eastAsia="zh-CN" w:bidi="ar-SA"/>
    </w:rPr>
  </w:style>
  <w:style w:type="paragraph" w:customStyle="1" w:styleId="58">
    <w:name w:val="标题 2（DBSec）"/>
    <w:basedOn w:val="4"/>
    <w:next w:val="1"/>
    <w:autoRedefine/>
    <w:qFormat/>
    <w:uiPriority w:val="0"/>
    <w:pPr>
      <w:numPr>
        <w:ilvl w:val="1"/>
        <w:numId w:val="2"/>
      </w:numPr>
      <w:spacing w:line="415" w:lineRule="auto"/>
      <w:ind w:left="794" w:leftChars="200"/>
      <w:jc w:val="left"/>
    </w:pPr>
    <w:rPr>
      <w:rFonts w:ascii="Arial" w:hAnsi="Arial" w:eastAsia="黑体"/>
      <w:bCs w:val="0"/>
    </w:rPr>
  </w:style>
  <w:style w:type="paragraph" w:customStyle="1" w:styleId="59">
    <w:name w:val="Default"/>
    <w:autoRedefine/>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60">
    <w:name w:val="_Style 27"/>
    <w:basedOn w:val="1"/>
    <w:next w:val="56"/>
    <w:autoRedefine/>
    <w:qFormat/>
    <w:uiPriority w:val="34"/>
    <w:pPr>
      <w:widowControl/>
      <w:spacing w:line="240" w:lineRule="atLeast"/>
      <w:ind w:firstLine="420" w:firstLineChars="200"/>
    </w:pPr>
    <w:rPr>
      <w:rFonts w:ascii="Arial" w:hAnsi="Arial"/>
      <w:kern w:val="0"/>
      <w:szCs w:val="21"/>
    </w:rPr>
  </w:style>
  <w:style w:type="paragraph" w:customStyle="1" w:styleId="61">
    <w:name w:val="列出段落2"/>
    <w:basedOn w:val="1"/>
    <w:autoRedefine/>
    <w:qFormat/>
    <w:uiPriority w:val="99"/>
    <w:pPr>
      <w:widowControl/>
      <w:spacing w:line="240" w:lineRule="atLeast"/>
      <w:ind w:firstLine="420" w:firstLineChars="200"/>
    </w:pPr>
    <w:rPr>
      <w:rFonts w:ascii="Arial" w:hAnsi="Arial"/>
      <w:kern w:val="0"/>
      <w:szCs w:val="21"/>
    </w:rPr>
  </w:style>
  <w:style w:type="paragraph" w:customStyle="1" w:styleId="62">
    <w:name w:val="标题 6（有编号）（安华金和）"/>
    <w:basedOn w:val="1"/>
    <w:next w:val="1"/>
    <w:autoRedefine/>
    <w:qFormat/>
    <w:uiPriority w:val="0"/>
    <w:pPr>
      <w:keepNext/>
      <w:keepLines/>
      <w:numPr>
        <w:ilvl w:val="5"/>
        <w:numId w:val="2"/>
      </w:numPr>
      <w:spacing w:before="240" w:after="64" w:line="319" w:lineRule="auto"/>
      <w:ind w:left="0"/>
      <w:jc w:val="left"/>
      <w:outlineLvl w:val="5"/>
    </w:pPr>
    <w:rPr>
      <w:rFonts w:ascii="Arial" w:hAnsi="Arial" w:eastAsia="黑体"/>
      <w:b/>
      <w:kern w:val="0"/>
    </w:rPr>
  </w:style>
  <w:style w:type="paragraph" w:customStyle="1" w:styleId="63">
    <w:name w:val="标题 4（DBSec）"/>
    <w:basedOn w:val="6"/>
    <w:next w:val="1"/>
    <w:autoRedefine/>
    <w:qFormat/>
    <w:uiPriority w:val="0"/>
    <w:pPr>
      <w:widowControl/>
      <w:numPr>
        <w:numId w:val="2"/>
      </w:numPr>
      <w:spacing w:after="156"/>
      <w:ind w:left="200" w:leftChars="200"/>
      <w:jc w:val="left"/>
    </w:pPr>
    <w:rPr>
      <w:rFonts w:ascii="Arial" w:hAnsi="Arial" w:eastAsia="黑体"/>
      <w:bCs w:val="0"/>
      <w:kern w:val="0"/>
    </w:rPr>
  </w:style>
  <w:style w:type="paragraph" w:customStyle="1" w:styleId="64">
    <w:name w:val="标题 3（DBSec）"/>
    <w:basedOn w:val="5"/>
    <w:next w:val="1"/>
    <w:autoRedefine/>
    <w:qFormat/>
    <w:uiPriority w:val="0"/>
    <w:pPr>
      <w:numPr>
        <w:ilvl w:val="2"/>
        <w:numId w:val="2"/>
      </w:numPr>
      <w:tabs>
        <w:tab w:val="left" w:pos="960"/>
      </w:tabs>
      <w:spacing w:line="415" w:lineRule="auto"/>
      <w:ind w:left="200" w:leftChars="200"/>
      <w:jc w:val="left"/>
    </w:pPr>
    <w:rPr>
      <w:rFonts w:ascii="Arial" w:hAnsi="Arial" w:eastAsia="黑体"/>
      <w:bCs w:val="0"/>
      <w:kern w:val="0"/>
    </w:rPr>
  </w:style>
  <w:style w:type="paragraph" w:customStyle="1" w:styleId="65">
    <w:name w:val="标题 1（DBSec）"/>
    <w:basedOn w:val="3"/>
    <w:next w:val="1"/>
    <w:autoRedefine/>
    <w:qFormat/>
    <w:uiPriority w:val="0"/>
    <w:pPr>
      <w:pageBreakBefore/>
      <w:numPr>
        <w:numId w:val="2"/>
      </w:numPr>
      <w:pBdr>
        <w:bottom w:val="single" w:color="auto" w:sz="48" w:space="1"/>
      </w:pBdr>
      <w:spacing w:before="600" w:line="576" w:lineRule="auto"/>
      <w:ind w:left="200" w:leftChars="200"/>
      <w:jc w:val="left"/>
    </w:pPr>
    <w:rPr>
      <w:rFonts w:ascii="Arial" w:hAnsi="Arial" w:eastAsia="黑体"/>
      <w:lang w:val="en-US"/>
    </w:rPr>
  </w:style>
  <w:style w:type="paragraph" w:customStyle="1" w:styleId="66">
    <w:name w:val="彩色列表 - 着色 11"/>
    <w:basedOn w:val="1"/>
    <w:autoRedefine/>
    <w:qFormat/>
    <w:uiPriority w:val="34"/>
    <w:pPr>
      <w:spacing w:line="360" w:lineRule="auto"/>
      <w:ind w:firstLine="420" w:firstLineChars="200"/>
    </w:pPr>
    <w:rPr>
      <w:rFonts w:ascii="Arial" w:hAnsi="Arial"/>
      <w:szCs w:val="21"/>
    </w:rPr>
  </w:style>
  <w:style w:type="paragraph" w:customStyle="1" w:styleId="67">
    <w:name w:val="表格标注（安华金和）"/>
    <w:basedOn w:val="57"/>
    <w:next w:val="1"/>
    <w:autoRedefine/>
    <w:qFormat/>
    <w:uiPriority w:val="0"/>
    <w:pPr>
      <w:numPr>
        <w:ilvl w:val="7"/>
      </w:numPr>
    </w:pPr>
  </w:style>
  <w:style w:type="paragraph" w:customStyle="1" w:styleId="68">
    <w:name w:val="标题 5（有编号）（安华金和）"/>
    <w:basedOn w:val="1"/>
    <w:next w:val="1"/>
    <w:autoRedefine/>
    <w:qFormat/>
    <w:uiPriority w:val="0"/>
    <w:pPr>
      <w:keepNext/>
      <w:keepLines/>
      <w:numPr>
        <w:ilvl w:val="4"/>
        <w:numId w:val="2"/>
      </w:numPr>
      <w:spacing w:before="280" w:after="156" w:line="377" w:lineRule="auto"/>
      <w:ind w:left="0"/>
      <w:jc w:val="left"/>
      <w:outlineLvl w:val="4"/>
    </w:pPr>
    <w:rPr>
      <w:rFonts w:ascii="Arial" w:hAnsi="Arial" w:eastAsia="黑体"/>
      <w:b/>
      <w:kern w:val="0"/>
      <w:sz w:val="24"/>
      <w:szCs w:val="28"/>
    </w:rPr>
  </w:style>
  <w:style w:type="paragraph" w:customStyle="1" w:styleId="69">
    <w:name w:val="List Paragraph11"/>
    <w:basedOn w:val="1"/>
    <w:next w:val="1"/>
    <w:autoRedefine/>
    <w:qFormat/>
    <w:uiPriority w:val="34"/>
    <w:pPr>
      <w:spacing w:line="360" w:lineRule="auto"/>
      <w:ind w:firstLine="420" w:firstLineChars="200"/>
    </w:pPr>
    <w:rPr>
      <w:rFonts w:ascii="Verdana" w:hAnsi="Verdana"/>
      <w:color w:val="000000"/>
      <w:sz w:val="20"/>
      <w:szCs w:val="20"/>
    </w:rPr>
  </w:style>
  <w:style w:type="character" w:customStyle="1" w:styleId="70">
    <w:name w:val="批注文字 字符"/>
    <w:autoRedefine/>
    <w:qFormat/>
    <w:uiPriority w:val="99"/>
    <w:rPr>
      <w:kern w:val="2"/>
      <w:sz w:val="21"/>
      <w:szCs w:val="24"/>
    </w:rPr>
  </w:style>
  <w:style w:type="character" w:customStyle="1" w:styleId="71">
    <w:name w:val="副标题 Char"/>
    <w:link w:val="21"/>
    <w:autoRedefine/>
    <w:qFormat/>
    <w:uiPriority w:val="0"/>
    <w:rPr>
      <w:rFonts w:ascii="Cambria" w:hAnsi="Cambria"/>
      <w:b/>
      <w:bCs/>
      <w:kern w:val="28"/>
      <w:sz w:val="32"/>
      <w:szCs w:val="32"/>
      <w:lang w:eastAsia="en-US"/>
    </w:rPr>
  </w:style>
  <w:style w:type="paragraph" w:customStyle="1" w:styleId="72">
    <w:name w:val="条目3"/>
    <w:basedOn w:val="1"/>
    <w:link w:val="76"/>
    <w:autoRedefine/>
    <w:qFormat/>
    <w:uiPriority w:val="0"/>
    <w:pPr>
      <w:numPr>
        <w:ilvl w:val="2"/>
        <w:numId w:val="3"/>
      </w:numPr>
      <w:ind w:left="1134" w:hanging="567"/>
    </w:pPr>
    <w:rPr>
      <w:rFonts w:hint="eastAsia" w:ascii="微软雅黑" w:hAnsi="微软雅黑" w:eastAsia="微软雅黑" w:cs="微软雅黑"/>
      <w:sz w:val="18"/>
      <w:szCs w:val="18"/>
    </w:rPr>
  </w:style>
  <w:style w:type="paragraph" w:customStyle="1" w:styleId="73">
    <w:name w:val="条目2"/>
    <w:basedOn w:val="1"/>
    <w:autoRedefine/>
    <w:qFormat/>
    <w:uiPriority w:val="0"/>
    <w:pPr>
      <w:numPr>
        <w:ilvl w:val="1"/>
        <w:numId w:val="3"/>
      </w:numPr>
    </w:pPr>
    <w:rPr>
      <w:rFonts w:hint="eastAsia" w:ascii="微软雅黑" w:hAnsi="微软雅黑" w:eastAsia="微软雅黑" w:cs="微软雅黑"/>
    </w:rPr>
  </w:style>
  <w:style w:type="paragraph" w:customStyle="1" w:styleId="74">
    <w:name w:val="条目1"/>
    <w:basedOn w:val="1"/>
    <w:next w:val="1"/>
    <w:autoRedefine/>
    <w:qFormat/>
    <w:uiPriority w:val="0"/>
    <w:pPr>
      <w:keepNext/>
      <w:keepLines/>
      <w:numPr>
        <w:ilvl w:val="0"/>
        <w:numId w:val="3"/>
      </w:numPr>
      <w:spacing w:line="578" w:lineRule="auto"/>
      <w:outlineLvl w:val="0"/>
    </w:pPr>
    <w:rPr>
      <w:rFonts w:hint="eastAsia" w:ascii="微软雅黑" w:hAnsi="微软雅黑" w:eastAsia="微软雅黑" w:cs="微软雅黑"/>
      <w:b/>
      <w:bCs/>
      <w:kern w:val="44"/>
      <w:sz w:val="32"/>
      <w:szCs w:val="32"/>
      <w:lang w:val="zh-CN"/>
    </w:rPr>
  </w:style>
  <w:style w:type="character" w:customStyle="1" w:styleId="75">
    <w:name w:val="批注主题 Char"/>
    <w:basedOn w:val="42"/>
    <w:link w:val="24"/>
    <w:autoRedefine/>
    <w:qFormat/>
    <w:uiPriority w:val="0"/>
    <w:rPr>
      <w:b/>
      <w:bCs/>
      <w:kern w:val="2"/>
      <w:sz w:val="21"/>
      <w:szCs w:val="24"/>
    </w:rPr>
  </w:style>
  <w:style w:type="character" w:customStyle="1" w:styleId="76">
    <w:name w:val="条目3 Char"/>
    <w:link w:val="72"/>
    <w:qFormat/>
    <w:uiPriority w:val="0"/>
    <w:rPr>
      <w:rFonts w:hint="eastAsia" w:ascii="微软雅黑" w:hAnsi="微软雅黑" w:eastAsia="微软雅黑" w:cs="微软雅黑"/>
      <w:sz w:val="18"/>
      <w:szCs w:val="18"/>
    </w:rPr>
  </w:style>
  <w:style w:type="paragraph" w:customStyle="1" w:styleId="77">
    <w:name w:val="_正文段落"/>
    <w:qFormat/>
    <w:uiPriority w:val="0"/>
    <w:pPr>
      <w:spacing w:beforeLines="15" w:after="200" w:afterLines="30" w:line="360" w:lineRule="auto"/>
      <w:ind w:firstLine="200" w:firstLineChars="200"/>
    </w:pPr>
    <w:rPr>
      <w:rFonts w:ascii="宋体" w:hAnsi="Courier New" w:eastAsia="宋体" w:cs="Times New Roman"/>
      <w:kern w:val="2"/>
      <w:sz w:val="24"/>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7733</Words>
  <Characters>7815</Characters>
  <Lines>30</Lines>
  <Paragraphs>8</Paragraphs>
  <TotalTime>11</TotalTime>
  <ScaleCrop>false</ScaleCrop>
  <LinksUpToDate>false</LinksUpToDate>
  <CharactersWithSpaces>7836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2022-01-06T02:42:00Z</dcterms:created>
  <dc:creator>陈永辉</dc:creator>
  <cp:lastModifiedBy>邹</cp:lastModifiedBy>
  <cp:lastPrinted>2026-09-18T07:50:00Z</cp:lastPrinted>
  <dcterms:modified xsi:type="dcterms:W3CDTF">2026-09-23T03:30:42Z</dcterms:modified>
  <dc:title>1</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9D013796F4214C829788FEBBA11A4EF9_13</vt:lpwstr>
  </property>
  <property fmtid="{D5CDD505-2E9C-101B-9397-08002B2CF9AE}" pid="4" name="KSOTemplateDocerSaveRecord">
    <vt:lpwstr>eyJoZGlkIjoiZGZlMWJiNTg0NDEwNzNlNmUyZmViZDQ0OWFlODkwNjciLCJ1c2VySWQiOiIxMjY4MzMzNTYwIn0=</vt:lpwstr>
  </property>
</Properties>
</file>