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CE0C1">
      <w:pPr>
        <w:spacing w:before="100" w:beforeAutospacing="1" w:after="100" w:afterAutospacing="1"/>
        <w:ind w:firstLine="420" w:firstLineChars="0"/>
        <w:jc w:val="center"/>
        <w:rPr>
          <w:b/>
          <w:color w:val="auto"/>
          <w:sz w:val="44"/>
          <w:szCs w:val="44"/>
        </w:rPr>
      </w:pPr>
      <w:bookmarkStart w:id="0" w:name="_GoBack"/>
      <w:bookmarkEnd w:id="0"/>
      <w:r>
        <w:rPr>
          <w:rFonts w:hint="eastAsia"/>
          <w:b/>
          <w:bCs/>
          <w:color w:val="auto"/>
          <w:sz w:val="44"/>
          <w:szCs w:val="44"/>
          <w:lang w:eastAsia="zh-CN"/>
        </w:rPr>
        <w:t>信息技术应用创新服务器采购（一期）</w:t>
      </w:r>
      <w:r>
        <w:rPr>
          <w:rFonts w:hint="eastAsia"/>
          <w:b/>
          <w:bCs/>
          <w:color w:val="auto"/>
          <w:sz w:val="44"/>
          <w:szCs w:val="44"/>
        </w:rPr>
        <w:t>需求书</w:t>
      </w:r>
    </w:p>
    <w:p w14:paraId="08771F5D">
      <w:pPr>
        <w:pStyle w:val="2"/>
        <w:numPr>
          <w:ilvl w:val="0"/>
          <w:numId w:val="2"/>
        </w:numPr>
        <w:rPr>
          <w:rFonts w:ascii="宋体" w:hAnsi="宋体" w:eastAsia="宋体"/>
          <w:color w:val="auto"/>
        </w:rPr>
      </w:pPr>
      <w:r>
        <w:rPr>
          <w:rFonts w:hint="eastAsia" w:ascii="宋体" w:hAnsi="宋体" w:eastAsia="宋体"/>
          <w:color w:val="auto"/>
        </w:rPr>
        <w:t>项目名称</w:t>
      </w:r>
    </w:p>
    <w:p w14:paraId="5CFADEB1">
      <w:pPr>
        <w:spacing w:line="360" w:lineRule="auto"/>
        <w:ind w:left="432"/>
        <w:rPr>
          <w:rFonts w:hint="eastAsia" w:eastAsia="宋体"/>
          <w:color w:val="auto"/>
          <w:lang w:eastAsia="zh-CN"/>
        </w:rPr>
      </w:pPr>
      <w:r>
        <w:rPr>
          <w:rFonts w:hint="eastAsia"/>
          <w:color w:val="auto"/>
        </w:rPr>
        <w:t>项目名称：</w:t>
      </w:r>
      <w:r>
        <w:rPr>
          <w:rFonts w:hint="eastAsia"/>
          <w:color w:val="auto"/>
          <w:lang w:eastAsia="zh-CN"/>
        </w:rPr>
        <w:t>信息技术应用创新服务器采购（一期）</w:t>
      </w:r>
    </w:p>
    <w:p w14:paraId="74BB0770">
      <w:pPr>
        <w:spacing w:line="360" w:lineRule="auto"/>
        <w:ind w:left="432"/>
        <w:rPr>
          <w:rFonts w:hint="eastAsia"/>
          <w:color w:val="auto"/>
        </w:rPr>
      </w:pPr>
    </w:p>
    <w:p w14:paraId="1F3E1713">
      <w:pPr>
        <w:pStyle w:val="2"/>
        <w:numPr>
          <w:ilvl w:val="0"/>
          <w:numId w:val="2"/>
        </w:numPr>
        <w:ind w:left="637" w:leftChars="86"/>
        <w:rPr>
          <w:rFonts w:ascii="宋体" w:hAnsi="宋体" w:eastAsia="宋体"/>
          <w:color w:val="auto"/>
        </w:rPr>
      </w:pPr>
      <w:r>
        <w:rPr>
          <w:rFonts w:hint="eastAsia" w:ascii="宋体" w:hAnsi="宋体" w:eastAsia="宋体"/>
          <w:color w:val="auto"/>
        </w:rPr>
        <w:t>项目背景</w:t>
      </w:r>
    </w:p>
    <w:p w14:paraId="2F48F3D1">
      <w:pPr>
        <w:spacing w:line="360" w:lineRule="auto"/>
        <w:ind w:left="206" w:leftChars="86" w:firstLine="420"/>
        <w:rPr>
          <w:rFonts w:hint="eastAsia"/>
          <w:color w:val="auto"/>
        </w:rPr>
      </w:pPr>
      <w:r>
        <w:rPr>
          <w:rFonts w:hint="eastAsia"/>
          <w:color w:val="auto"/>
        </w:rPr>
        <w:t>本项目拟采购信创技术体系下的超融合架构与裸金属服务器，形成统一管理、弹性扩展、安全隔离的本地化基础设施资源池。</w:t>
      </w:r>
    </w:p>
    <w:p w14:paraId="3BB406D2">
      <w:pPr>
        <w:spacing w:line="360" w:lineRule="auto"/>
        <w:ind w:left="206" w:leftChars="86" w:firstLine="420"/>
        <w:rPr>
          <w:rFonts w:hint="eastAsia"/>
          <w:color w:val="auto"/>
          <w:lang w:eastAsia="zh-CN"/>
        </w:rPr>
      </w:pPr>
      <w:r>
        <w:rPr>
          <w:rFonts w:hint="eastAsia"/>
          <w:color w:val="auto"/>
        </w:rPr>
        <w:t>超融合节点采用国产芯片服务器与国产虚拟化软件，承载医院核心业务系统及数据库运行环境，实现计算、存储、网络资源的深度融合与按需扩展</w:t>
      </w:r>
      <w:r>
        <w:rPr>
          <w:rFonts w:hint="eastAsia"/>
          <w:color w:val="auto"/>
          <w:lang w:eastAsia="zh-CN"/>
        </w:rPr>
        <w:t>。</w:t>
      </w:r>
    </w:p>
    <w:p w14:paraId="4B156E6E">
      <w:pPr>
        <w:spacing w:line="360" w:lineRule="auto"/>
        <w:ind w:left="206" w:leftChars="86" w:firstLine="420"/>
        <w:rPr>
          <w:rFonts w:hint="eastAsia"/>
          <w:color w:val="auto"/>
        </w:rPr>
      </w:pPr>
      <w:r>
        <w:rPr>
          <w:rFonts w:hint="eastAsia"/>
          <w:color w:val="auto"/>
        </w:rPr>
        <w:t>裸金属服务器用于满足对计算性能、硬件独占及低延迟有高要求的业务场景，确保关键应用运行效率与隔离性。</w:t>
      </w:r>
    </w:p>
    <w:p w14:paraId="27ED9676">
      <w:pPr>
        <w:spacing w:line="360" w:lineRule="auto"/>
        <w:ind w:left="206" w:leftChars="86" w:firstLine="420"/>
        <w:rPr>
          <w:rFonts w:hint="eastAsia"/>
          <w:color w:val="auto"/>
        </w:rPr>
      </w:pPr>
    </w:p>
    <w:p w14:paraId="103A4822">
      <w:pPr>
        <w:pStyle w:val="2"/>
        <w:numPr>
          <w:ilvl w:val="0"/>
          <w:numId w:val="2"/>
        </w:numPr>
        <w:rPr>
          <w:rFonts w:ascii="宋体" w:hAnsi="宋体" w:eastAsia="宋体"/>
          <w:color w:val="auto"/>
        </w:rPr>
      </w:pPr>
      <w:r>
        <w:rPr>
          <w:rFonts w:hint="eastAsia" w:ascii="宋体" w:hAnsi="宋体" w:eastAsia="宋体"/>
          <w:color w:val="auto"/>
        </w:rPr>
        <w:t xml:space="preserve">采购设备清单 </w:t>
      </w:r>
    </w:p>
    <w:tbl>
      <w:tblPr>
        <w:tblStyle w:val="10"/>
        <w:tblpPr w:leftFromText="180" w:rightFromText="180" w:vertAnchor="text" w:horzAnchor="margin" w:tblpY="4"/>
        <w:tblW w:w="5000" w:type="pct"/>
        <w:tblInd w:w="0" w:type="dxa"/>
        <w:tblLayout w:type="autofit"/>
        <w:tblCellMar>
          <w:top w:w="15" w:type="dxa"/>
          <w:left w:w="15" w:type="dxa"/>
          <w:bottom w:w="15" w:type="dxa"/>
          <w:right w:w="15" w:type="dxa"/>
        </w:tblCellMar>
      </w:tblPr>
      <w:tblGrid>
        <w:gridCol w:w="758"/>
        <w:gridCol w:w="2750"/>
        <w:gridCol w:w="3609"/>
        <w:gridCol w:w="1219"/>
      </w:tblGrid>
      <w:tr w14:paraId="69C1DF5F">
        <w:tblPrEx>
          <w:tblCellMar>
            <w:top w:w="15" w:type="dxa"/>
            <w:left w:w="15" w:type="dxa"/>
            <w:bottom w:w="15" w:type="dxa"/>
            <w:right w:w="15" w:type="dxa"/>
          </w:tblCellMar>
        </w:tblPrEx>
        <w:trPr>
          <w:trHeight w:val="581" w:hRule="atLeast"/>
        </w:trPr>
        <w:tc>
          <w:tcPr>
            <w:tcW w:w="455" w:type="pct"/>
            <w:tcBorders>
              <w:top w:val="single" w:color="000000" w:sz="4" w:space="0"/>
              <w:left w:val="single" w:color="000000" w:sz="4" w:space="0"/>
              <w:bottom w:val="single" w:color="000000" w:sz="4" w:space="0"/>
              <w:right w:val="single" w:color="000000" w:sz="4" w:space="0"/>
            </w:tcBorders>
            <w:vAlign w:val="center"/>
          </w:tcPr>
          <w:p w14:paraId="26EDEF7C">
            <w:pPr>
              <w:spacing w:before="100" w:beforeAutospacing="1" w:after="100" w:afterAutospacing="1" w:line="360" w:lineRule="auto"/>
              <w:jc w:val="center"/>
              <w:rPr>
                <w:b/>
                <w:bCs/>
                <w:color w:val="auto"/>
              </w:rPr>
            </w:pPr>
            <w:r>
              <w:rPr>
                <w:b/>
                <w:bCs/>
                <w:color w:val="auto"/>
              </w:rPr>
              <w:t>序号</w:t>
            </w:r>
          </w:p>
        </w:tc>
        <w:tc>
          <w:tcPr>
            <w:tcW w:w="1649" w:type="pct"/>
            <w:tcBorders>
              <w:top w:val="single" w:color="000000" w:sz="4" w:space="0"/>
              <w:left w:val="single" w:color="000000" w:sz="4" w:space="0"/>
              <w:bottom w:val="single" w:color="000000" w:sz="4" w:space="0"/>
              <w:right w:val="single" w:color="000000" w:sz="4" w:space="0"/>
            </w:tcBorders>
            <w:vAlign w:val="center"/>
          </w:tcPr>
          <w:p w14:paraId="11092531">
            <w:pPr>
              <w:spacing w:before="100" w:beforeAutospacing="1" w:after="100" w:afterAutospacing="1" w:line="360" w:lineRule="auto"/>
              <w:jc w:val="center"/>
              <w:rPr>
                <w:b/>
                <w:bCs/>
                <w:color w:val="auto"/>
              </w:rPr>
            </w:pPr>
            <w:r>
              <w:rPr>
                <w:b/>
                <w:bCs/>
                <w:color w:val="auto"/>
              </w:rPr>
              <w:t>设备名称</w:t>
            </w:r>
          </w:p>
        </w:tc>
        <w:tc>
          <w:tcPr>
            <w:tcW w:w="2164" w:type="pct"/>
            <w:tcBorders>
              <w:top w:val="single" w:color="000000" w:sz="4" w:space="0"/>
              <w:left w:val="single" w:color="000000" w:sz="4" w:space="0"/>
              <w:bottom w:val="single" w:color="000000" w:sz="4" w:space="0"/>
              <w:right w:val="single" w:color="000000" w:sz="4" w:space="0"/>
            </w:tcBorders>
            <w:vAlign w:val="center"/>
          </w:tcPr>
          <w:p w14:paraId="26E484AC">
            <w:pPr>
              <w:spacing w:before="100" w:beforeAutospacing="1" w:after="100" w:afterAutospacing="1" w:line="360" w:lineRule="auto"/>
              <w:jc w:val="center"/>
              <w:rPr>
                <w:b/>
                <w:bCs/>
                <w:color w:val="auto"/>
              </w:rPr>
            </w:pPr>
            <w:r>
              <w:rPr>
                <w:rFonts w:hint="eastAsia"/>
                <w:b/>
                <w:bCs/>
                <w:color w:val="auto"/>
              </w:rPr>
              <w:t>规格</w:t>
            </w:r>
          </w:p>
        </w:tc>
        <w:tc>
          <w:tcPr>
            <w:tcW w:w="731" w:type="pct"/>
            <w:tcBorders>
              <w:top w:val="single" w:color="000000" w:sz="4" w:space="0"/>
              <w:left w:val="single" w:color="000000" w:sz="4" w:space="0"/>
              <w:bottom w:val="single" w:color="000000" w:sz="4" w:space="0"/>
              <w:right w:val="single" w:color="000000" w:sz="4" w:space="0"/>
            </w:tcBorders>
            <w:vAlign w:val="center"/>
          </w:tcPr>
          <w:p w14:paraId="27C272FB">
            <w:pPr>
              <w:spacing w:before="100" w:beforeAutospacing="1" w:after="100" w:afterAutospacing="1" w:line="360" w:lineRule="auto"/>
              <w:jc w:val="center"/>
              <w:rPr>
                <w:b/>
                <w:bCs/>
                <w:color w:val="auto"/>
              </w:rPr>
            </w:pPr>
            <w:r>
              <w:rPr>
                <w:b/>
                <w:bCs/>
                <w:color w:val="auto"/>
              </w:rPr>
              <w:t>数</w:t>
            </w:r>
            <w:r>
              <w:rPr>
                <w:rFonts w:hint="eastAsia"/>
                <w:b/>
                <w:bCs/>
                <w:color w:val="auto"/>
              </w:rPr>
              <w:t>量</w:t>
            </w:r>
          </w:p>
        </w:tc>
      </w:tr>
      <w:tr w14:paraId="6663EF9E">
        <w:tblPrEx>
          <w:tblCellMar>
            <w:top w:w="15" w:type="dxa"/>
            <w:left w:w="15" w:type="dxa"/>
            <w:bottom w:w="15" w:type="dxa"/>
            <w:right w:w="15" w:type="dxa"/>
          </w:tblCellMar>
        </w:tblPrEx>
        <w:trPr>
          <w:trHeight w:val="491" w:hRule="atLeast"/>
        </w:trPr>
        <w:tc>
          <w:tcPr>
            <w:tcW w:w="455" w:type="pct"/>
            <w:tcBorders>
              <w:top w:val="single" w:color="000000" w:sz="4" w:space="0"/>
              <w:left w:val="single" w:color="000000" w:sz="4" w:space="0"/>
              <w:bottom w:val="single" w:color="000000" w:sz="4" w:space="0"/>
              <w:right w:val="single" w:color="000000" w:sz="4" w:space="0"/>
            </w:tcBorders>
            <w:vAlign w:val="center"/>
          </w:tcPr>
          <w:p w14:paraId="4DA337B2">
            <w:pPr>
              <w:spacing w:before="100" w:beforeAutospacing="1" w:after="100" w:afterAutospacing="1" w:line="360" w:lineRule="auto"/>
              <w:jc w:val="center"/>
              <w:rPr>
                <w:color w:val="auto"/>
              </w:rPr>
            </w:pPr>
            <w:r>
              <w:rPr>
                <w:color w:val="auto"/>
              </w:rPr>
              <w:t>1</w:t>
            </w:r>
          </w:p>
        </w:tc>
        <w:tc>
          <w:tcPr>
            <w:tcW w:w="1649" w:type="pct"/>
            <w:tcBorders>
              <w:top w:val="single" w:color="000000" w:sz="4" w:space="0"/>
              <w:left w:val="single" w:color="000000" w:sz="4" w:space="0"/>
              <w:bottom w:val="single" w:color="000000" w:sz="4" w:space="0"/>
              <w:right w:val="single" w:color="000000" w:sz="4" w:space="0"/>
            </w:tcBorders>
            <w:vAlign w:val="center"/>
          </w:tcPr>
          <w:p w14:paraId="099C8EFE">
            <w:pPr>
              <w:spacing w:line="360" w:lineRule="auto"/>
              <w:jc w:val="center"/>
              <w:rPr>
                <w:color w:val="auto"/>
              </w:rPr>
            </w:pPr>
            <w:r>
              <w:rPr>
                <w:rFonts w:hint="eastAsia"/>
                <w:color w:val="auto"/>
              </w:rPr>
              <w:t>超融合服务器</w:t>
            </w:r>
          </w:p>
        </w:tc>
        <w:tc>
          <w:tcPr>
            <w:tcW w:w="2164" w:type="pct"/>
            <w:tcBorders>
              <w:top w:val="single" w:color="000000" w:sz="4" w:space="0"/>
              <w:left w:val="single" w:color="000000" w:sz="4" w:space="0"/>
              <w:bottom w:val="single" w:color="000000" w:sz="4" w:space="0"/>
              <w:right w:val="single" w:color="000000" w:sz="4" w:space="0"/>
            </w:tcBorders>
            <w:vAlign w:val="center"/>
          </w:tcPr>
          <w:p w14:paraId="56266C41">
            <w:pPr>
              <w:spacing w:line="360" w:lineRule="auto"/>
              <w:jc w:val="center"/>
              <w:rPr>
                <w:color w:val="auto"/>
              </w:rPr>
            </w:pPr>
            <w:r>
              <w:rPr>
                <w:rFonts w:hint="eastAsia"/>
                <w:color w:val="auto"/>
              </w:rPr>
              <w:t>详见4.1章节</w:t>
            </w:r>
          </w:p>
        </w:tc>
        <w:tc>
          <w:tcPr>
            <w:tcW w:w="731" w:type="pct"/>
            <w:tcBorders>
              <w:top w:val="single" w:color="000000" w:sz="4" w:space="0"/>
              <w:left w:val="single" w:color="000000" w:sz="4" w:space="0"/>
              <w:bottom w:val="single" w:color="000000" w:sz="4" w:space="0"/>
              <w:right w:val="single" w:color="000000" w:sz="4" w:space="0"/>
            </w:tcBorders>
            <w:vAlign w:val="center"/>
          </w:tcPr>
          <w:p w14:paraId="1B13EC7B">
            <w:pPr>
              <w:spacing w:line="360" w:lineRule="auto"/>
              <w:jc w:val="center"/>
              <w:rPr>
                <w:color w:val="auto"/>
              </w:rPr>
            </w:pPr>
            <w:r>
              <w:rPr>
                <w:rFonts w:hint="eastAsia"/>
                <w:color w:val="auto"/>
                <w:lang w:val="en-US" w:eastAsia="zh-CN"/>
              </w:rPr>
              <w:t>6</w:t>
            </w:r>
            <w:r>
              <w:rPr>
                <w:rFonts w:hint="eastAsia"/>
                <w:color w:val="auto"/>
              </w:rPr>
              <w:t>台</w:t>
            </w:r>
          </w:p>
        </w:tc>
      </w:tr>
      <w:tr w14:paraId="4CE7A229">
        <w:tblPrEx>
          <w:tblCellMar>
            <w:top w:w="15" w:type="dxa"/>
            <w:left w:w="15" w:type="dxa"/>
            <w:bottom w:w="15" w:type="dxa"/>
            <w:right w:w="15" w:type="dxa"/>
          </w:tblCellMar>
        </w:tblPrEx>
        <w:trPr>
          <w:trHeight w:val="491" w:hRule="atLeast"/>
        </w:trPr>
        <w:tc>
          <w:tcPr>
            <w:tcW w:w="455" w:type="pct"/>
            <w:tcBorders>
              <w:top w:val="single" w:color="000000" w:sz="4" w:space="0"/>
              <w:left w:val="single" w:color="000000" w:sz="4" w:space="0"/>
              <w:bottom w:val="single" w:color="000000" w:sz="4" w:space="0"/>
              <w:right w:val="single" w:color="000000" w:sz="4" w:space="0"/>
            </w:tcBorders>
            <w:vAlign w:val="center"/>
          </w:tcPr>
          <w:p w14:paraId="22EC5E6F">
            <w:pPr>
              <w:spacing w:before="100" w:beforeAutospacing="1" w:after="100" w:afterAutospacing="1" w:line="360" w:lineRule="auto"/>
              <w:jc w:val="center"/>
              <w:rPr>
                <w:color w:val="auto"/>
              </w:rPr>
            </w:pPr>
            <w:r>
              <w:rPr>
                <w:rFonts w:hint="eastAsia"/>
                <w:color w:val="auto"/>
              </w:rPr>
              <w:t>2</w:t>
            </w:r>
          </w:p>
        </w:tc>
        <w:tc>
          <w:tcPr>
            <w:tcW w:w="1649" w:type="pct"/>
            <w:tcBorders>
              <w:top w:val="single" w:color="000000" w:sz="4" w:space="0"/>
              <w:left w:val="single" w:color="000000" w:sz="4" w:space="0"/>
              <w:bottom w:val="single" w:color="000000" w:sz="4" w:space="0"/>
              <w:right w:val="single" w:color="000000" w:sz="4" w:space="0"/>
            </w:tcBorders>
            <w:vAlign w:val="center"/>
          </w:tcPr>
          <w:p w14:paraId="60EFA097">
            <w:pPr>
              <w:spacing w:line="360" w:lineRule="auto"/>
              <w:jc w:val="center"/>
              <w:rPr>
                <w:color w:val="auto"/>
              </w:rPr>
            </w:pPr>
            <w:r>
              <w:rPr>
                <w:rFonts w:hint="eastAsia"/>
                <w:color w:val="auto"/>
              </w:rPr>
              <w:t>超融合软件</w:t>
            </w:r>
          </w:p>
        </w:tc>
        <w:tc>
          <w:tcPr>
            <w:tcW w:w="2164" w:type="pct"/>
            <w:tcBorders>
              <w:top w:val="single" w:color="000000" w:sz="4" w:space="0"/>
              <w:left w:val="single" w:color="000000" w:sz="4" w:space="0"/>
              <w:bottom w:val="single" w:color="000000" w:sz="4" w:space="0"/>
              <w:right w:val="single" w:color="000000" w:sz="4" w:space="0"/>
            </w:tcBorders>
            <w:vAlign w:val="center"/>
          </w:tcPr>
          <w:p w14:paraId="63F099A5">
            <w:pPr>
              <w:spacing w:line="360" w:lineRule="auto"/>
              <w:jc w:val="center"/>
              <w:rPr>
                <w:color w:val="auto"/>
              </w:rPr>
            </w:pPr>
            <w:r>
              <w:rPr>
                <w:rFonts w:hint="eastAsia"/>
                <w:color w:val="auto"/>
              </w:rPr>
              <w:t>详见4.2章节</w:t>
            </w:r>
          </w:p>
        </w:tc>
        <w:tc>
          <w:tcPr>
            <w:tcW w:w="731" w:type="pct"/>
            <w:tcBorders>
              <w:top w:val="single" w:color="000000" w:sz="4" w:space="0"/>
              <w:left w:val="single" w:color="000000" w:sz="4" w:space="0"/>
              <w:bottom w:val="single" w:color="000000" w:sz="4" w:space="0"/>
              <w:right w:val="single" w:color="000000" w:sz="4" w:space="0"/>
            </w:tcBorders>
            <w:vAlign w:val="center"/>
          </w:tcPr>
          <w:p w14:paraId="20433226">
            <w:pPr>
              <w:spacing w:line="360" w:lineRule="auto"/>
              <w:jc w:val="center"/>
              <w:rPr>
                <w:color w:val="auto"/>
              </w:rPr>
            </w:pPr>
            <w:r>
              <w:rPr>
                <w:rFonts w:hint="eastAsia"/>
                <w:color w:val="auto"/>
              </w:rPr>
              <w:t>1套</w:t>
            </w:r>
          </w:p>
        </w:tc>
      </w:tr>
      <w:tr w14:paraId="5AC722ED">
        <w:tblPrEx>
          <w:tblCellMar>
            <w:top w:w="15" w:type="dxa"/>
            <w:left w:w="15" w:type="dxa"/>
            <w:bottom w:w="15" w:type="dxa"/>
            <w:right w:w="15" w:type="dxa"/>
          </w:tblCellMar>
        </w:tblPrEx>
        <w:trPr>
          <w:trHeight w:val="491" w:hRule="atLeast"/>
        </w:trPr>
        <w:tc>
          <w:tcPr>
            <w:tcW w:w="455" w:type="pct"/>
            <w:tcBorders>
              <w:top w:val="single" w:color="000000" w:sz="4" w:space="0"/>
              <w:left w:val="single" w:color="000000" w:sz="4" w:space="0"/>
              <w:bottom w:val="single" w:color="000000" w:sz="4" w:space="0"/>
              <w:right w:val="single" w:color="000000" w:sz="4" w:space="0"/>
            </w:tcBorders>
            <w:vAlign w:val="center"/>
          </w:tcPr>
          <w:p w14:paraId="59B6F0BA">
            <w:pPr>
              <w:spacing w:before="100" w:beforeAutospacing="1" w:after="100" w:afterAutospacing="1" w:line="360" w:lineRule="auto"/>
              <w:jc w:val="center"/>
              <w:rPr>
                <w:rFonts w:hint="eastAsia" w:eastAsia="宋体"/>
                <w:color w:val="auto"/>
                <w:lang w:eastAsia="zh-CN"/>
              </w:rPr>
            </w:pPr>
            <w:r>
              <w:rPr>
                <w:rFonts w:hint="eastAsia"/>
                <w:color w:val="auto"/>
                <w:lang w:val="en-US" w:eastAsia="zh-CN"/>
              </w:rPr>
              <w:t>3</w:t>
            </w:r>
          </w:p>
        </w:tc>
        <w:tc>
          <w:tcPr>
            <w:tcW w:w="1649" w:type="pct"/>
            <w:tcBorders>
              <w:top w:val="single" w:color="000000" w:sz="4" w:space="0"/>
              <w:left w:val="single" w:color="000000" w:sz="4" w:space="0"/>
              <w:bottom w:val="single" w:color="000000" w:sz="4" w:space="0"/>
              <w:right w:val="single" w:color="000000" w:sz="4" w:space="0"/>
            </w:tcBorders>
            <w:vAlign w:val="center"/>
          </w:tcPr>
          <w:p w14:paraId="5A3E0129">
            <w:pPr>
              <w:spacing w:line="360" w:lineRule="auto"/>
              <w:jc w:val="center"/>
              <w:rPr>
                <w:rFonts w:hint="default" w:eastAsia="宋体"/>
                <w:color w:val="auto"/>
                <w:lang w:val="en-US" w:eastAsia="zh-CN"/>
              </w:rPr>
            </w:pPr>
            <w:r>
              <w:rPr>
                <w:rFonts w:hint="eastAsia"/>
                <w:color w:val="auto"/>
                <w:lang w:val="en-US" w:eastAsia="zh-CN"/>
              </w:rPr>
              <w:t>裸金属服务器</w:t>
            </w:r>
          </w:p>
        </w:tc>
        <w:tc>
          <w:tcPr>
            <w:tcW w:w="2164" w:type="pct"/>
            <w:tcBorders>
              <w:top w:val="single" w:color="000000" w:sz="4" w:space="0"/>
              <w:left w:val="single" w:color="000000" w:sz="4" w:space="0"/>
              <w:bottom w:val="single" w:color="000000" w:sz="4" w:space="0"/>
              <w:right w:val="single" w:color="000000" w:sz="4" w:space="0"/>
            </w:tcBorders>
            <w:vAlign w:val="center"/>
          </w:tcPr>
          <w:p w14:paraId="17BF69D3">
            <w:pPr>
              <w:spacing w:line="360" w:lineRule="auto"/>
              <w:jc w:val="center"/>
              <w:rPr>
                <w:color w:val="auto"/>
              </w:rPr>
            </w:pPr>
            <w:r>
              <w:rPr>
                <w:rFonts w:hint="eastAsia"/>
                <w:color w:val="auto"/>
              </w:rPr>
              <w:t>详见4.</w:t>
            </w:r>
            <w:r>
              <w:rPr>
                <w:rFonts w:hint="eastAsia"/>
                <w:color w:val="auto"/>
                <w:lang w:val="en-US" w:eastAsia="zh-CN"/>
              </w:rPr>
              <w:t>3</w:t>
            </w:r>
            <w:r>
              <w:rPr>
                <w:rFonts w:hint="eastAsia"/>
                <w:color w:val="auto"/>
              </w:rPr>
              <w:t>章节</w:t>
            </w:r>
          </w:p>
        </w:tc>
        <w:tc>
          <w:tcPr>
            <w:tcW w:w="731" w:type="pct"/>
            <w:tcBorders>
              <w:top w:val="single" w:color="000000" w:sz="4" w:space="0"/>
              <w:left w:val="single" w:color="000000" w:sz="4" w:space="0"/>
              <w:bottom w:val="single" w:color="000000" w:sz="4" w:space="0"/>
              <w:right w:val="single" w:color="000000" w:sz="4" w:space="0"/>
            </w:tcBorders>
            <w:vAlign w:val="center"/>
          </w:tcPr>
          <w:p w14:paraId="254B74A8">
            <w:pPr>
              <w:spacing w:line="360" w:lineRule="auto"/>
              <w:jc w:val="center"/>
              <w:rPr>
                <w:color w:val="auto"/>
              </w:rPr>
            </w:pPr>
            <w:r>
              <w:rPr>
                <w:rFonts w:hint="eastAsia"/>
                <w:color w:val="auto"/>
                <w:lang w:val="en-US" w:eastAsia="zh-CN"/>
              </w:rPr>
              <w:t>4</w:t>
            </w:r>
            <w:r>
              <w:rPr>
                <w:rFonts w:hint="eastAsia"/>
                <w:color w:val="auto"/>
              </w:rPr>
              <w:t>台</w:t>
            </w:r>
          </w:p>
        </w:tc>
      </w:tr>
      <w:tr w14:paraId="159BCEF3">
        <w:tblPrEx>
          <w:tblCellMar>
            <w:top w:w="15" w:type="dxa"/>
            <w:left w:w="15" w:type="dxa"/>
            <w:bottom w:w="15" w:type="dxa"/>
            <w:right w:w="15" w:type="dxa"/>
          </w:tblCellMar>
        </w:tblPrEx>
        <w:trPr>
          <w:trHeight w:val="491" w:hRule="atLeast"/>
        </w:trPr>
        <w:tc>
          <w:tcPr>
            <w:tcW w:w="455" w:type="pct"/>
            <w:tcBorders>
              <w:top w:val="single" w:color="000000" w:sz="4" w:space="0"/>
              <w:left w:val="single" w:color="000000" w:sz="4" w:space="0"/>
              <w:bottom w:val="single" w:color="000000" w:sz="4" w:space="0"/>
              <w:right w:val="single" w:color="000000" w:sz="4" w:space="0"/>
            </w:tcBorders>
            <w:vAlign w:val="center"/>
          </w:tcPr>
          <w:p w14:paraId="750D3D3F">
            <w:pPr>
              <w:spacing w:before="100" w:beforeAutospacing="1" w:after="100" w:afterAutospacing="1" w:line="360" w:lineRule="auto"/>
              <w:jc w:val="center"/>
              <w:rPr>
                <w:rFonts w:hint="eastAsia" w:eastAsia="宋体"/>
                <w:color w:val="auto"/>
                <w:lang w:eastAsia="zh-CN"/>
              </w:rPr>
            </w:pPr>
            <w:r>
              <w:rPr>
                <w:rFonts w:hint="eastAsia"/>
                <w:color w:val="auto"/>
                <w:lang w:val="en-US" w:eastAsia="zh-CN"/>
              </w:rPr>
              <w:t>4</w:t>
            </w:r>
          </w:p>
        </w:tc>
        <w:tc>
          <w:tcPr>
            <w:tcW w:w="1649" w:type="pct"/>
            <w:tcBorders>
              <w:top w:val="single" w:color="000000" w:sz="4" w:space="0"/>
              <w:left w:val="single" w:color="000000" w:sz="4" w:space="0"/>
              <w:bottom w:val="single" w:color="000000" w:sz="4" w:space="0"/>
              <w:right w:val="single" w:color="000000" w:sz="4" w:space="0"/>
            </w:tcBorders>
            <w:vAlign w:val="center"/>
          </w:tcPr>
          <w:p w14:paraId="17F39FA3">
            <w:pPr>
              <w:spacing w:line="360" w:lineRule="auto"/>
              <w:jc w:val="center"/>
              <w:rPr>
                <w:color w:val="auto"/>
              </w:rPr>
            </w:pPr>
            <w:r>
              <w:rPr>
                <w:rFonts w:hint="eastAsia"/>
                <w:color w:val="auto"/>
              </w:rPr>
              <w:t>系统部署服务</w:t>
            </w:r>
          </w:p>
        </w:tc>
        <w:tc>
          <w:tcPr>
            <w:tcW w:w="2164" w:type="pct"/>
            <w:tcBorders>
              <w:top w:val="single" w:color="000000" w:sz="4" w:space="0"/>
              <w:left w:val="single" w:color="000000" w:sz="4" w:space="0"/>
              <w:bottom w:val="single" w:color="000000" w:sz="4" w:space="0"/>
              <w:right w:val="single" w:color="000000" w:sz="4" w:space="0"/>
            </w:tcBorders>
            <w:vAlign w:val="center"/>
          </w:tcPr>
          <w:p w14:paraId="783FEC87">
            <w:pPr>
              <w:spacing w:line="360" w:lineRule="auto"/>
              <w:jc w:val="center"/>
              <w:rPr>
                <w:color w:val="auto"/>
              </w:rPr>
            </w:pPr>
            <w:r>
              <w:rPr>
                <w:rFonts w:hint="eastAsia"/>
                <w:color w:val="auto"/>
              </w:rPr>
              <w:t>详见4.</w:t>
            </w:r>
            <w:r>
              <w:rPr>
                <w:rFonts w:hint="eastAsia"/>
                <w:color w:val="auto"/>
                <w:lang w:val="en-US" w:eastAsia="zh-CN"/>
              </w:rPr>
              <w:t>4</w:t>
            </w:r>
            <w:r>
              <w:rPr>
                <w:rFonts w:hint="eastAsia"/>
                <w:color w:val="auto"/>
              </w:rPr>
              <w:t>章节</w:t>
            </w:r>
          </w:p>
        </w:tc>
        <w:tc>
          <w:tcPr>
            <w:tcW w:w="731" w:type="pct"/>
            <w:tcBorders>
              <w:top w:val="single" w:color="000000" w:sz="4" w:space="0"/>
              <w:left w:val="single" w:color="000000" w:sz="4" w:space="0"/>
              <w:bottom w:val="single" w:color="000000" w:sz="4" w:space="0"/>
              <w:right w:val="single" w:color="000000" w:sz="4" w:space="0"/>
            </w:tcBorders>
            <w:vAlign w:val="center"/>
          </w:tcPr>
          <w:p w14:paraId="4761FFB6">
            <w:pPr>
              <w:spacing w:line="360" w:lineRule="auto"/>
              <w:jc w:val="center"/>
              <w:rPr>
                <w:color w:val="auto"/>
              </w:rPr>
            </w:pPr>
            <w:r>
              <w:rPr>
                <w:rFonts w:hint="eastAsia"/>
                <w:color w:val="auto"/>
              </w:rPr>
              <w:t>1项</w:t>
            </w:r>
          </w:p>
        </w:tc>
      </w:tr>
    </w:tbl>
    <w:p w14:paraId="155EEDFD">
      <w:pPr>
        <w:rPr>
          <w:color w:val="auto"/>
        </w:rPr>
      </w:pPr>
    </w:p>
    <w:p w14:paraId="6CB045C1">
      <w:pPr>
        <w:rPr>
          <w:color w:val="auto"/>
        </w:rPr>
      </w:pPr>
    </w:p>
    <w:p w14:paraId="75DCAEBE">
      <w:pPr>
        <w:pStyle w:val="2"/>
        <w:numPr>
          <w:ilvl w:val="0"/>
          <w:numId w:val="2"/>
        </w:numPr>
        <w:rPr>
          <w:rFonts w:ascii="宋体" w:hAnsi="宋体" w:eastAsia="宋体"/>
          <w:color w:val="auto"/>
        </w:rPr>
      </w:pPr>
      <w:r>
        <w:rPr>
          <w:rFonts w:hint="eastAsia" w:ascii="宋体" w:hAnsi="宋体" w:eastAsia="宋体"/>
          <w:color w:val="auto"/>
        </w:rPr>
        <w:t>详细配置参数</w:t>
      </w:r>
    </w:p>
    <w:p w14:paraId="2E2892D4">
      <w:pPr>
        <w:pStyle w:val="3"/>
        <w:bidi w:val="0"/>
        <w:rPr>
          <w:color w:val="auto"/>
        </w:rPr>
      </w:pPr>
      <w:r>
        <w:rPr>
          <w:rFonts w:hint="eastAsia"/>
          <w:color w:val="auto"/>
        </w:rPr>
        <w:t>4.1 超融合服务器参数要求</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2146"/>
        <w:gridCol w:w="5411"/>
      </w:tblGrid>
      <w:tr w14:paraId="2774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6" w:type="pct"/>
            <w:shd w:val="clear" w:color="auto" w:fill="auto"/>
            <w:vAlign w:val="center"/>
          </w:tcPr>
          <w:p w14:paraId="6512E3C3">
            <w:pPr>
              <w:spacing w:line="360" w:lineRule="auto"/>
              <w:jc w:val="center"/>
              <w:rPr>
                <w:b w:val="0"/>
                <w:bCs w:val="0"/>
                <w:color w:val="auto"/>
              </w:rPr>
            </w:pPr>
            <w:r>
              <w:rPr>
                <w:rFonts w:hint="eastAsia"/>
                <w:b w:val="0"/>
                <w:bCs w:val="0"/>
                <w:color w:val="auto"/>
              </w:rPr>
              <w:t>序号</w:t>
            </w:r>
          </w:p>
        </w:tc>
        <w:tc>
          <w:tcPr>
            <w:tcW w:w="1259" w:type="pct"/>
            <w:shd w:val="clear" w:color="auto" w:fill="auto"/>
            <w:vAlign w:val="center"/>
          </w:tcPr>
          <w:p w14:paraId="20B8A3E8">
            <w:pPr>
              <w:spacing w:line="360" w:lineRule="auto"/>
              <w:jc w:val="center"/>
              <w:rPr>
                <w:b w:val="0"/>
                <w:bCs w:val="0"/>
                <w:color w:val="auto"/>
              </w:rPr>
            </w:pPr>
            <w:r>
              <w:rPr>
                <w:rFonts w:hint="eastAsia"/>
                <w:b w:val="0"/>
                <w:bCs w:val="0"/>
                <w:color w:val="auto"/>
              </w:rPr>
              <w:t>指标项</w:t>
            </w:r>
          </w:p>
        </w:tc>
        <w:tc>
          <w:tcPr>
            <w:tcW w:w="3174" w:type="pct"/>
            <w:shd w:val="clear" w:color="auto" w:fill="auto"/>
            <w:vAlign w:val="center"/>
          </w:tcPr>
          <w:p w14:paraId="6674BC9E">
            <w:pPr>
              <w:spacing w:line="360" w:lineRule="auto"/>
              <w:jc w:val="center"/>
              <w:rPr>
                <w:b w:val="0"/>
                <w:bCs w:val="0"/>
                <w:color w:val="auto"/>
              </w:rPr>
            </w:pPr>
            <w:r>
              <w:rPr>
                <w:rFonts w:hint="eastAsia"/>
                <w:b w:val="0"/>
                <w:bCs w:val="0"/>
                <w:color w:val="auto"/>
              </w:rPr>
              <w:t>技术规格要求</w:t>
            </w:r>
          </w:p>
        </w:tc>
      </w:tr>
      <w:tr w14:paraId="33FF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6" w:type="pct"/>
            <w:shd w:val="clear" w:color="auto" w:fill="auto"/>
            <w:vAlign w:val="center"/>
          </w:tcPr>
          <w:p w14:paraId="4A1782F7">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72940F41">
            <w:pPr>
              <w:spacing w:line="360" w:lineRule="auto"/>
              <w:rPr>
                <w:b w:val="0"/>
                <w:bCs w:val="0"/>
                <w:color w:val="auto"/>
              </w:rPr>
            </w:pPr>
            <w:r>
              <w:rPr>
                <w:rFonts w:hint="eastAsia"/>
                <w:b w:val="0"/>
                <w:bCs w:val="0"/>
                <w:color w:val="auto"/>
              </w:rPr>
              <w:t>CPU规格</w:t>
            </w:r>
          </w:p>
        </w:tc>
        <w:tc>
          <w:tcPr>
            <w:tcW w:w="3174" w:type="pct"/>
            <w:shd w:val="clear" w:color="auto" w:fill="auto"/>
            <w:vAlign w:val="center"/>
          </w:tcPr>
          <w:p w14:paraId="2063FD9C">
            <w:pPr>
              <w:spacing w:line="360" w:lineRule="auto"/>
              <w:rPr>
                <w:b w:val="0"/>
                <w:bCs w:val="0"/>
                <w:color w:val="auto"/>
              </w:rPr>
            </w:pPr>
            <w:r>
              <w:rPr>
                <w:rFonts w:hint="eastAsia"/>
                <w:b w:val="0"/>
                <w:bCs w:val="0"/>
                <w:color w:val="auto"/>
              </w:rPr>
              <w:t>≥</w:t>
            </w:r>
            <w:r>
              <w:rPr>
                <w:b w:val="0"/>
                <w:bCs w:val="0"/>
                <w:color w:val="auto"/>
              </w:rPr>
              <w:t>两颗</w:t>
            </w:r>
            <w:r>
              <w:rPr>
                <w:rFonts w:hint="eastAsia"/>
                <w:b w:val="0"/>
                <w:bCs w:val="0"/>
                <w:color w:val="auto"/>
              </w:rPr>
              <w:t>C</w:t>
            </w:r>
            <w:r>
              <w:rPr>
                <w:b w:val="0"/>
                <w:bCs w:val="0"/>
                <w:color w:val="auto"/>
              </w:rPr>
              <w:t>86国芯处理器</w:t>
            </w:r>
            <w:r>
              <w:rPr>
                <w:rFonts w:hint="eastAsia"/>
                <w:b w:val="0"/>
                <w:bCs w:val="0"/>
                <w:color w:val="auto"/>
              </w:rPr>
              <w:t>，单颗处理器主频≥</w:t>
            </w:r>
            <w:r>
              <w:rPr>
                <w:b w:val="0"/>
                <w:bCs w:val="0"/>
                <w:color w:val="auto"/>
              </w:rPr>
              <w:t>2.</w:t>
            </w:r>
            <w:r>
              <w:rPr>
                <w:rFonts w:hint="eastAsia"/>
                <w:b w:val="0"/>
                <w:bCs w:val="0"/>
                <w:color w:val="auto"/>
                <w:lang w:val="en-US" w:eastAsia="zh-CN"/>
              </w:rPr>
              <w:t>2</w:t>
            </w:r>
            <w:r>
              <w:rPr>
                <w:rFonts w:hint="eastAsia"/>
                <w:b w:val="0"/>
                <w:bCs w:val="0"/>
                <w:color w:val="auto"/>
              </w:rPr>
              <w:t>GHz ，单颗处理器物理核心数≥</w:t>
            </w:r>
            <w:r>
              <w:rPr>
                <w:rFonts w:hint="eastAsia"/>
                <w:b w:val="0"/>
                <w:bCs w:val="0"/>
                <w:color w:val="auto"/>
                <w:lang w:val="en-US" w:eastAsia="zh-CN"/>
              </w:rPr>
              <w:t>64</w:t>
            </w:r>
            <w:r>
              <w:rPr>
                <w:rFonts w:hint="eastAsia"/>
                <w:b w:val="0"/>
                <w:bCs w:val="0"/>
                <w:color w:val="auto"/>
              </w:rPr>
              <w:t>，支持超线程，单颗处理器线程数≥</w:t>
            </w:r>
            <w:r>
              <w:rPr>
                <w:rFonts w:hint="eastAsia"/>
                <w:b w:val="0"/>
                <w:bCs w:val="0"/>
                <w:color w:val="auto"/>
                <w:lang w:val="en-US" w:eastAsia="zh-CN"/>
              </w:rPr>
              <w:t>128</w:t>
            </w:r>
            <w:r>
              <w:rPr>
                <w:rFonts w:hint="eastAsia"/>
                <w:b w:val="0"/>
                <w:bCs w:val="0"/>
                <w:color w:val="auto"/>
              </w:rPr>
              <w:t>，</w:t>
            </w:r>
            <w:r>
              <w:rPr>
                <w:rFonts w:hint="eastAsia"/>
                <w:b w:val="0"/>
                <w:bCs w:val="0"/>
                <w:color w:val="auto"/>
                <w:szCs w:val="21"/>
              </w:rPr>
              <w:t>内置密码模块或密码协处理器，可实现SM2、SM3和SM4国密算法的硬件加速。</w:t>
            </w:r>
          </w:p>
        </w:tc>
      </w:tr>
      <w:tr w14:paraId="210B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6" w:type="pct"/>
            <w:shd w:val="clear" w:color="auto" w:fill="auto"/>
            <w:vAlign w:val="center"/>
          </w:tcPr>
          <w:p w14:paraId="4FFEACC5">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7836D063">
            <w:pPr>
              <w:spacing w:line="360" w:lineRule="auto"/>
              <w:rPr>
                <w:b w:val="0"/>
                <w:bCs w:val="0"/>
                <w:color w:val="auto"/>
              </w:rPr>
            </w:pPr>
            <w:r>
              <w:rPr>
                <w:rFonts w:hint="eastAsia"/>
                <w:b w:val="0"/>
                <w:bCs w:val="0"/>
                <w:color w:val="auto"/>
              </w:rPr>
              <w:t>主板支持的CPU 和内存情况</w:t>
            </w:r>
          </w:p>
        </w:tc>
        <w:tc>
          <w:tcPr>
            <w:tcW w:w="3174" w:type="pct"/>
            <w:shd w:val="clear" w:color="auto" w:fill="auto"/>
            <w:vAlign w:val="center"/>
          </w:tcPr>
          <w:p w14:paraId="69E56976">
            <w:pPr>
              <w:spacing w:line="360" w:lineRule="auto"/>
              <w:rPr>
                <w:b w:val="0"/>
                <w:bCs w:val="0"/>
                <w:color w:val="auto"/>
              </w:rPr>
            </w:pPr>
            <w:r>
              <w:rPr>
                <w:b w:val="0"/>
                <w:bCs w:val="0"/>
                <w:color w:val="auto"/>
              </w:rPr>
              <w:t>供应商给出主板支持的 CPU 和内存的型号数量</w:t>
            </w:r>
          </w:p>
        </w:tc>
      </w:tr>
      <w:tr w14:paraId="0218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6" w:type="pct"/>
            <w:shd w:val="clear" w:color="auto" w:fill="auto"/>
            <w:vAlign w:val="center"/>
          </w:tcPr>
          <w:p w14:paraId="5C9196B2">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6CB66978">
            <w:pPr>
              <w:spacing w:line="360" w:lineRule="auto"/>
              <w:rPr>
                <w:b w:val="0"/>
                <w:bCs w:val="0"/>
                <w:color w:val="auto"/>
              </w:rPr>
            </w:pPr>
            <w:r>
              <w:rPr>
                <w:rFonts w:hint="eastAsia"/>
                <w:b w:val="0"/>
                <w:bCs w:val="0"/>
                <w:color w:val="auto"/>
              </w:rPr>
              <w:t>主板内存槽数量</w:t>
            </w:r>
          </w:p>
        </w:tc>
        <w:tc>
          <w:tcPr>
            <w:tcW w:w="3174" w:type="pct"/>
            <w:shd w:val="clear" w:color="auto" w:fill="auto"/>
            <w:vAlign w:val="center"/>
          </w:tcPr>
          <w:p w14:paraId="247182B5">
            <w:pPr>
              <w:spacing w:line="360" w:lineRule="auto"/>
              <w:rPr>
                <w:b w:val="0"/>
                <w:bCs w:val="0"/>
                <w:color w:val="auto"/>
              </w:rPr>
            </w:pPr>
            <w:r>
              <w:rPr>
                <w:rFonts w:hint="eastAsia"/>
                <w:b w:val="0"/>
                <w:bCs w:val="0"/>
                <w:color w:val="auto"/>
              </w:rPr>
              <w:t>支持≥</w:t>
            </w:r>
            <w:r>
              <w:rPr>
                <w:rFonts w:hint="eastAsia"/>
                <w:b w:val="0"/>
                <w:bCs w:val="0"/>
                <w:color w:val="auto"/>
                <w:lang w:val="en-US" w:eastAsia="zh-CN"/>
              </w:rPr>
              <w:t>32</w:t>
            </w:r>
            <w:r>
              <w:rPr>
                <w:rFonts w:hint="eastAsia"/>
                <w:b w:val="0"/>
                <w:bCs w:val="0"/>
                <w:color w:val="auto"/>
              </w:rPr>
              <w:t>个DDR</w:t>
            </w:r>
            <w:r>
              <w:rPr>
                <w:rFonts w:hint="eastAsia"/>
                <w:b w:val="0"/>
                <w:bCs w:val="0"/>
                <w:color w:val="auto"/>
                <w:lang w:val="en-US" w:eastAsia="zh-CN"/>
              </w:rPr>
              <w:t>5</w:t>
            </w:r>
            <w:r>
              <w:rPr>
                <w:rFonts w:hint="eastAsia"/>
                <w:b w:val="0"/>
                <w:bCs w:val="0"/>
                <w:color w:val="auto"/>
              </w:rPr>
              <w:t xml:space="preserve"> DIMM内存插槽</w:t>
            </w:r>
          </w:p>
        </w:tc>
      </w:tr>
      <w:tr w14:paraId="7107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2E8B3C26">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E8F4CB5">
            <w:pPr>
              <w:spacing w:line="360" w:lineRule="auto"/>
              <w:rPr>
                <w:b w:val="0"/>
                <w:bCs w:val="0"/>
                <w:color w:val="auto"/>
              </w:rPr>
            </w:pPr>
            <w:r>
              <w:rPr>
                <w:rFonts w:hint="eastAsia"/>
                <w:b w:val="0"/>
                <w:bCs w:val="0"/>
                <w:color w:val="auto"/>
              </w:rPr>
              <w:t>主板存储接口</w:t>
            </w:r>
          </w:p>
        </w:tc>
        <w:tc>
          <w:tcPr>
            <w:tcW w:w="3174" w:type="pct"/>
            <w:shd w:val="clear" w:color="auto" w:fill="auto"/>
            <w:vAlign w:val="center"/>
          </w:tcPr>
          <w:p w14:paraId="4A7E797F">
            <w:pPr>
              <w:spacing w:line="360" w:lineRule="auto"/>
              <w:rPr>
                <w:b w:val="0"/>
                <w:bCs w:val="0"/>
                <w:color w:val="auto"/>
              </w:rPr>
            </w:pPr>
            <w:r>
              <w:rPr>
                <w:rFonts w:hint="eastAsia"/>
                <w:b w:val="0"/>
                <w:bCs w:val="0"/>
                <w:color w:val="auto"/>
              </w:rPr>
              <w:t>至少支持SAS 、SATA、M.2 、U.2等存储接口中的1种。</w:t>
            </w:r>
          </w:p>
        </w:tc>
      </w:tr>
      <w:tr w14:paraId="01EC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52EC1C38">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47036B88">
            <w:pPr>
              <w:spacing w:line="360" w:lineRule="auto"/>
              <w:rPr>
                <w:b w:val="0"/>
                <w:bCs w:val="0"/>
                <w:color w:val="auto"/>
              </w:rPr>
            </w:pPr>
            <w:r>
              <w:rPr>
                <w:rFonts w:hint="eastAsia"/>
                <w:b w:val="0"/>
                <w:bCs w:val="0"/>
                <w:color w:val="auto"/>
              </w:rPr>
              <w:t>PCIe插槽接口</w:t>
            </w:r>
          </w:p>
        </w:tc>
        <w:tc>
          <w:tcPr>
            <w:tcW w:w="3174" w:type="pct"/>
            <w:shd w:val="clear" w:color="auto" w:fill="auto"/>
            <w:vAlign w:val="center"/>
          </w:tcPr>
          <w:p w14:paraId="69411C6A">
            <w:pPr>
              <w:spacing w:line="360" w:lineRule="auto"/>
              <w:rPr>
                <w:b w:val="0"/>
                <w:bCs w:val="0"/>
                <w:color w:val="auto"/>
              </w:rPr>
            </w:pPr>
            <w:r>
              <w:rPr>
                <w:rFonts w:hint="eastAsia"/>
                <w:b w:val="0"/>
                <w:bCs w:val="0"/>
                <w:color w:val="auto"/>
              </w:rPr>
              <w:t>符合PCIe3 .0或以上的高速串行计算机扩展总线标准，PCIe的接口速率与位宽需保证向下兼容。</w:t>
            </w:r>
          </w:p>
        </w:tc>
      </w:tr>
      <w:tr w14:paraId="2AC1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584DAA2B">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6860CB7">
            <w:pPr>
              <w:spacing w:line="360" w:lineRule="auto"/>
              <w:rPr>
                <w:b w:val="0"/>
                <w:bCs w:val="0"/>
                <w:color w:val="auto"/>
              </w:rPr>
            </w:pPr>
            <w:r>
              <w:rPr>
                <w:rFonts w:hint="eastAsia"/>
                <w:b w:val="0"/>
                <w:bCs w:val="0"/>
                <w:color w:val="auto"/>
              </w:rPr>
              <w:t>主板PCIe插槽数量及规格</w:t>
            </w:r>
          </w:p>
        </w:tc>
        <w:tc>
          <w:tcPr>
            <w:tcW w:w="3174" w:type="pct"/>
            <w:shd w:val="clear" w:color="auto" w:fill="auto"/>
            <w:vAlign w:val="center"/>
          </w:tcPr>
          <w:p w14:paraId="4FA291D6">
            <w:pPr>
              <w:spacing w:line="360" w:lineRule="auto"/>
              <w:rPr>
                <w:b w:val="0"/>
                <w:bCs w:val="0"/>
                <w:color w:val="auto"/>
              </w:rPr>
            </w:pPr>
            <w:r>
              <w:rPr>
                <w:rFonts w:hint="eastAsia"/>
                <w:b w:val="0"/>
                <w:bCs w:val="0"/>
                <w:color w:val="auto"/>
              </w:rPr>
              <w:t>高度≥44 .45mm双路或以上服务器PCIe插槽或接口≥5个。单路服务器PCIe插槽或接口应≥4个，可通过扩展卡进行插槽扩展。</w:t>
            </w:r>
          </w:p>
        </w:tc>
      </w:tr>
      <w:tr w14:paraId="73FA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5F07894F">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F2B8A98">
            <w:pPr>
              <w:spacing w:line="360" w:lineRule="auto"/>
              <w:rPr>
                <w:b w:val="0"/>
                <w:bCs w:val="0"/>
                <w:color w:val="auto"/>
              </w:rPr>
            </w:pPr>
            <w:r>
              <w:rPr>
                <w:rFonts w:hint="eastAsia"/>
                <w:b w:val="0"/>
                <w:bCs w:val="0"/>
                <w:color w:val="auto"/>
              </w:rPr>
              <w:t>板载网络接口</w:t>
            </w:r>
          </w:p>
        </w:tc>
        <w:tc>
          <w:tcPr>
            <w:tcW w:w="3174" w:type="pct"/>
            <w:shd w:val="clear" w:color="auto" w:fill="auto"/>
            <w:vAlign w:val="center"/>
          </w:tcPr>
          <w:p w14:paraId="0470BC78">
            <w:pPr>
              <w:spacing w:line="360" w:lineRule="auto"/>
              <w:rPr>
                <w:b w:val="0"/>
                <w:bCs w:val="0"/>
                <w:color w:val="auto"/>
              </w:rPr>
            </w:pPr>
            <w:r>
              <w:rPr>
                <w:rFonts w:hint="eastAsia"/>
                <w:b w:val="0"/>
                <w:bCs w:val="0"/>
                <w:color w:val="auto"/>
              </w:rPr>
              <w:t>支持≥1个1GE板载网络接口。</w:t>
            </w:r>
          </w:p>
        </w:tc>
      </w:tr>
      <w:tr w14:paraId="3753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7D5C6045">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5BE63120">
            <w:pPr>
              <w:spacing w:line="360" w:lineRule="auto"/>
              <w:rPr>
                <w:b w:val="0"/>
                <w:bCs w:val="0"/>
                <w:color w:val="auto"/>
              </w:rPr>
            </w:pPr>
            <w:r>
              <w:rPr>
                <w:rFonts w:hint="eastAsia"/>
                <w:b w:val="0"/>
                <w:bCs w:val="0"/>
                <w:color w:val="auto"/>
              </w:rPr>
              <w:t>主板OCP插槽数量</w:t>
            </w:r>
          </w:p>
        </w:tc>
        <w:tc>
          <w:tcPr>
            <w:tcW w:w="3174" w:type="pct"/>
            <w:shd w:val="clear" w:color="auto" w:fill="auto"/>
            <w:vAlign w:val="center"/>
          </w:tcPr>
          <w:p w14:paraId="28F76E6B">
            <w:pPr>
              <w:spacing w:line="360" w:lineRule="auto"/>
              <w:rPr>
                <w:b w:val="0"/>
                <w:bCs w:val="0"/>
                <w:color w:val="auto"/>
              </w:rPr>
            </w:pPr>
            <w:r>
              <w:rPr>
                <w:rFonts w:hint="eastAsia"/>
                <w:b w:val="0"/>
                <w:bCs w:val="0"/>
                <w:color w:val="auto"/>
              </w:rPr>
              <w:t>支持≥1个OCP</w:t>
            </w:r>
            <w:r>
              <w:rPr>
                <w:rFonts w:hint="eastAsia"/>
                <w:b w:val="0"/>
                <w:bCs w:val="0"/>
                <w:color w:val="auto"/>
                <w:lang w:val="en-US" w:eastAsia="zh-CN"/>
              </w:rPr>
              <w:t>3</w:t>
            </w:r>
            <w:r>
              <w:rPr>
                <w:rFonts w:hint="eastAsia"/>
                <w:b w:val="0"/>
                <w:bCs w:val="0"/>
                <w:color w:val="auto"/>
              </w:rPr>
              <w:t xml:space="preserve"> .0及以上插槽。</w:t>
            </w:r>
          </w:p>
        </w:tc>
      </w:tr>
      <w:tr w14:paraId="40D0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6" w:type="pct"/>
            <w:shd w:val="clear" w:color="auto" w:fill="auto"/>
            <w:vAlign w:val="center"/>
          </w:tcPr>
          <w:p w14:paraId="268DF137">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E6B84FA">
            <w:pPr>
              <w:spacing w:line="360" w:lineRule="auto"/>
              <w:rPr>
                <w:b w:val="0"/>
                <w:bCs w:val="0"/>
                <w:color w:val="auto"/>
              </w:rPr>
            </w:pPr>
            <w:r>
              <w:rPr>
                <w:rFonts w:hint="eastAsia"/>
                <w:b w:val="0"/>
                <w:bCs w:val="0"/>
                <w:color w:val="auto"/>
              </w:rPr>
              <w:t>内存数量</w:t>
            </w:r>
          </w:p>
        </w:tc>
        <w:tc>
          <w:tcPr>
            <w:tcW w:w="3174" w:type="pct"/>
            <w:shd w:val="clear" w:color="auto" w:fill="auto"/>
            <w:vAlign w:val="center"/>
          </w:tcPr>
          <w:p w14:paraId="6DD934EC">
            <w:pPr>
              <w:spacing w:line="360" w:lineRule="auto"/>
              <w:rPr>
                <w:b w:val="0"/>
                <w:bCs w:val="0"/>
                <w:color w:val="auto"/>
              </w:rPr>
            </w:pPr>
            <w:r>
              <w:rPr>
                <w:rFonts w:hint="eastAsia"/>
                <w:b w:val="0"/>
                <w:bCs w:val="0"/>
                <w:color w:val="auto"/>
              </w:rPr>
              <w:t>≥</w:t>
            </w:r>
            <w:r>
              <w:rPr>
                <w:rFonts w:hint="eastAsia"/>
                <w:b w:val="0"/>
                <w:bCs w:val="0"/>
                <w:color w:val="auto"/>
                <w:lang w:val="en-US" w:eastAsia="zh-CN"/>
              </w:rPr>
              <w:t>32</w:t>
            </w:r>
            <w:r>
              <w:rPr>
                <w:rFonts w:hint="eastAsia"/>
                <w:b w:val="0"/>
                <w:bCs w:val="0"/>
                <w:color w:val="auto"/>
              </w:rPr>
              <w:t>条</w:t>
            </w:r>
          </w:p>
        </w:tc>
      </w:tr>
      <w:tr w14:paraId="4DE7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E705D88">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07C0D053">
            <w:pPr>
              <w:spacing w:line="360" w:lineRule="auto"/>
              <w:rPr>
                <w:b w:val="0"/>
                <w:bCs w:val="0"/>
                <w:color w:val="auto"/>
              </w:rPr>
            </w:pPr>
            <w:r>
              <w:rPr>
                <w:rFonts w:hint="eastAsia"/>
                <w:b w:val="0"/>
                <w:bCs w:val="0"/>
                <w:color w:val="auto"/>
              </w:rPr>
              <w:t>内存规格</w:t>
            </w:r>
          </w:p>
        </w:tc>
        <w:tc>
          <w:tcPr>
            <w:tcW w:w="3174" w:type="pct"/>
            <w:shd w:val="clear" w:color="auto" w:fill="auto"/>
            <w:vAlign w:val="center"/>
          </w:tcPr>
          <w:p w14:paraId="0B04B02F">
            <w:pPr>
              <w:spacing w:line="360" w:lineRule="auto"/>
              <w:rPr>
                <w:b w:val="0"/>
                <w:bCs w:val="0"/>
                <w:color w:val="auto"/>
              </w:rPr>
            </w:pPr>
            <w:r>
              <w:rPr>
                <w:rFonts w:hint="eastAsia"/>
                <w:b w:val="0"/>
                <w:bCs w:val="0"/>
                <w:color w:val="auto"/>
              </w:rPr>
              <w:t>每条内存条≥64GB DDR</w:t>
            </w:r>
            <w:r>
              <w:rPr>
                <w:rFonts w:hint="eastAsia"/>
                <w:b w:val="0"/>
                <w:bCs w:val="0"/>
                <w:color w:val="auto"/>
                <w:lang w:val="en-US" w:eastAsia="zh-CN"/>
              </w:rPr>
              <w:t>5</w:t>
            </w:r>
          </w:p>
        </w:tc>
      </w:tr>
      <w:tr w14:paraId="7AAE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4E9B6C50">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B971C6B">
            <w:pPr>
              <w:spacing w:line="360" w:lineRule="auto"/>
              <w:rPr>
                <w:b w:val="0"/>
                <w:bCs w:val="0"/>
                <w:color w:val="auto"/>
              </w:rPr>
            </w:pPr>
            <w:r>
              <w:rPr>
                <w:rFonts w:hint="eastAsia"/>
                <w:b w:val="0"/>
                <w:bCs w:val="0"/>
                <w:color w:val="auto"/>
              </w:rPr>
              <w:t>硬盘类型</w:t>
            </w:r>
          </w:p>
        </w:tc>
        <w:tc>
          <w:tcPr>
            <w:tcW w:w="3174" w:type="pct"/>
            <w:shd w:val="clear" w:color="auto" w:fill="auto"/>
            <w:vAlign w:val="center"/>
          </w:tcPr>
          <w:p w14:paraId="2F2A092B">
            <w:pPr>
              <w:spacing w:line="360" w:lineRule="auto"/>
              <w:rPr>
                <w:b w:val="0"/>
                <w:bCs w:val="0"/>
                <w:color w:val="auto"/>
              </w:rPr>
            </w:pPr>
            <w:r>
              <w:rPr>
                <w:rFonts w:hint="eastAsia"/>
                <w:b w:val="0"/>
                <w:bCs w:val="0"/>
                <w:color w:val="auto"/>
              </w:rPr>
              <w:t xml:space="preserve">支持 </w:t>
            </w:r>
            <w:r>
              <w:rPr>
                <w:rFonts w:hint="eastAsia"/>
                <w:b w:val="0"/>
                <w:bCs w:val="0"/>
                <w:color w:val="auto"/>
                <w:lang w:val="en-US" w:eastAsia="zh-CN"/>
              </w:rPr>
              <w:t>SATA、SAS、</w:t>
            </w:r>
            <w:r>
              <w:rPr>
                <w:rFonts w:hint="eastAsia"/>
                <w:b w:val="0"/>
                <w:bCs w:val="0"/>
                <w:color w:val="auto"/>
              </w:rPr>
              <w:t>NVMe 硬盘</w:t>
            </w:r>
          </w:p>
        </w:tc>
      </w:tr>
      <w:tr w14:paraId="0EBD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1225DBDE">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51708639">
            <w:pPr>
              <w:spacing w:line="360" w:lineRule="auto"/>
              <w:rPr>
                <w:b w:val="0"/>
                <w:bCs w:val="0"/>
                <w:color w:val="auto"/>
              </w:rPr>
            </w:pPr>
            <w:r>
              <w:rPr>
                <w:rFonts w:hint="eastAsia"/>
                <w:b w:val="0"/>
                <w:bCs w:val="0"/>
                <w:color w:val="auto"/>
              </w:rPr>
              <w:t>硬磁盘实配容量及数量</w:t>
            </w:r>
          </w:p>
        </w:tc>
        <w:tc>
          <w:tcPr>
            <w:tcW w:w="3174" w:type="pct"/>
            <w:shd w:val="clear" w:color="auto" w:fill="auto"/>
            <w:vAlign w:val="center"/>
          </w:tcPr>
          <w:p w14:paraId="64DA29D9">
            <w:pPr>
              <w:spacing w:line="360" w:lineRule="auto"/>
              <w:rPr>
                <w:b w:val="0"/>
                <w:bCs w:val="0"/>
                <w:color w:val="auto"/>
              </w:rPr>
            </w:pPr>
            <w:r>
              <w:rPr>
                <w:b w:val="0"/>
                <w:bCs w:val="0"/>
                <w:color w:val="auto"/>
              </w:rPr>
              <w:t>a)配置≥2块</w:t>
            </w:r>
            <w:r>
              <w:rPr>
                <w:rFonts w:hint="eastAsia"/>
                <w:b w:val="0"/>
                <w:bCs w:val="0"/>
                <w:color w:val="auto"/>
                <w:lang w:val="en-US" w:eastAsia="zh-CN"/>
              </w:rPr>
              <w:t>48</w:t>
            </w:r>
            <w:r>
              <w:rPr>
                <w:b w:val="0"/>
                <w:bCs w:val="0"/>
                <w:color w:val="auto"/>
              </w:rPr>
              <w:t xml:space="preserve">0GB </w:t>
            </w:r>
            <w:r>
              <w:rPr>
                <w:rFonts w:hint="eastAsia"/>
                <w:b w:val="0"/>
                <w:bCs w:val="0"/>
                <w:color w:val="auto"/>
                <w:lang w:val="en-US" w:eastAsia="zh-CN"/>
              </w:rPr>
              <w:t>SATA</w:t>
            </w:r>
            <w:r>
              <w:rPr>
                <w:b w:val="0"/>
                <w:bCs w:val="0"/>
                <w:color w:val="auto"/>
              </w:rPr>
              <w:t xml:space="preserve"> SSD固态硬盘；</w:t>
            </w:r>
          </w:p>
          <w:p w14:paraId="20844E50">
            <w:pPr>
              <w:spacing w:line="360" w:lineRule="auto"/>
              <w:rPr>
                <w:b w:val="0"/>
                <w:bCs w:val="0"/>
                <w:color w:val="auto"/>
              </w:rPr>
            </w:pPr>
            <w:r>
              <w:rPr>
                <w:b w:val="0"/>
                <w:bCs w:val="0"/>
                <w:color w:val="auto"/>
              </w:rPr>
              <w:t>b)配置≥</w:t>
            </w:r>
            <w:r>
              <w:rPr>
                <w:rFonts w:hint="eastAsia"/>
                <w:b w:val="0"/>
                <w:bCs w:val="0"/>
                <w:color w:val="auto"/>
                <w:lang w:val="en-US" w:eastAsia="zh-CN"/>
              </w:rPr>
              <w:t>8块NVME SSD数据盘，每块数据盘容量≥3.2TB；</w:t>
            </w:r>
          </w:p>
        </w:tc>
      </w:tr>
      <w:tr w14:paraId="6D22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08066766">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78B96AC0">
            <w:pPr>
              <w:spacing w:line="360" w:lineRule="auto"/>
              <w:rPr>
                <w:b w:val="0"/>
                <w:bCs w:val="0"/>
                <w:color w:val="auto"/>
              </w:rPr>
            </w:pPr>
            <w:r>
              <w:rPr>
                <w:rFonts w:hint="eastAsia"/>
                <w:b w:val="0"/>
                <w:bCs w:val="0"/>
                <w:color w:val="auto"/>
              </w:rPr>
              <w:t>硬盘插槽数量及规格</w:t>
            </w:r>
          </w:p>
        </w:tc>
        <w:tc>
          <w:tcPr>
            <w:tcW w:w="3174" w:type="pct"/>
            <w:shd w:val="clear" w:color="auto" w:fill="auto"/>
            <w:vAlign w:val="center"/>
          </w:tcPr>
          <w:p w14:paraId="7C413884">
            <w:pPr>
              <w:spacing w:line="360" w:lineRule="auto"/>
              <w:rPr>
                <w:b w:val="0"/>
                <w:bCs w:val="0"/>
                <w:color w:val="auto"/>
              </w:rPr>
            </w:pPr>
            <w:r>
              <w:rPr>
                <w:rFonts w:hint="eastAsia"/>
                <w:b w:val="0"/>
                <w:bCs w:val="0"/>
                <w:color w:val="auto"/>
              </w:rPr>
              <w:t>配置的硬盘尺寸支持2.5 英寸、3.5 英寸硬磁盘。服务器支持的硬盘数量应≥1</w:t>
            </w:r>
            <w:r>
              <w:rPr>
                <w:rFonts w:hint="eastAsia"/>
                <w:b w:val="0"/>
                <w:bCs w:val="0"/>
                <w:color w:val="auto"/>
                <w:lang w:val="en-US" w:eastAsia="zh-CN"/>
              </w:rPr>
              <w:t>2</w:t>
            </w:r>
            <w:r>
              <w:rPr>
                <w:rFonts w:hint="eastAsia"/>
                <w:b w:val="0"/>
                <w:bCs w:val="0"/>
                <w:color w:val="auto"/>
              </w:rPr>
              <w:t>块</w:t>
            </w:r>
            <w:r>
              <w:rPr>
                <w:rFonts w:hint="eastAsia"/>
                <w:b w:val="0"/>
                <w:bCs w:val="0"/>
                <w:color w:val="auto"/>
                <w:lang w:val="en-US" w:eastAsia="zh-CN"/>
              </w:rPr>
              <w:t>3.5寸硬盘 或 ≥24块2.5寸硬盘</w:t>
            </w:r>
            <w:r>
              <w:rPr>
                <w:rFonts w:hint="eastAsia"/>
                <w:b w:val="0"/>
                <w:bCs w:val="0"/>
                <w:color w:val="auto"/>
              </w:rPr>
              <w:t>。</w:t>
            </w:r>
          </w:p>
        </w:tc>
      </w:tr>
      <w:tr w14:paraId="6864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4D9AD9EC">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48A7036F">
            <w:pPr>
              <w:spacing w:line="360" w:lineRule="auto"/>
              <w:rPr>
                <w:b w:val="0"/>
                <w:bCs w:val="0"/>
                <w:color w:val="auto"/>
              </w:rPr>
            </w:pPr>
            <w:r>
              <w:rPr>
                <w:rFonts w:hint="eastAsia"/>
                <w:b w:val="0"/>
                <w:bCs w:val="0"/>
                <w:color w:val="auto"/>
              </w:rPr>
              <w:t>网口速率和数量</w:t>
            </w:r>
          </w:p>
        </w:tc>
        <w:tc>
          <w:tcPr>
            <w:tcW w:w="3174" w:type="pct"/>
            <w:shd w:val="clear" w:color="auto" w:fill="auto"/>
            <w:vAlign w:val="center"/>
          </w:tcPr>
          <w:p w14:paraId="4A3B84DA">
            <w:pPr>
              <w:spacing w:line="360" w:lineRule="auto"/>
              <w:rPr>
                <w:b w:val="0"/>
                <w:bCs w:val="0"/>
                <w:color w:val="auto"/>
              </w:rPr>
            </w:pPr>
            <w:r>
              <w:rPr>
                <w:rFonts w:hint="eastAsia"/>
                <w:b w:val="0"/>
                <w:bCs w:val="0"/>
                <w:color w:val="auto"/>
              </w:rPr>
              <w:t>≥4个1GE网口。</w:t>
            </w:r>
          </w:p>
        </w:tc>
      </w:tr>
      <w:tr w14:paraId="02D8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720E19BB">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1FE14B2">
            <w:pPr>
              <w:spacing w:line="360" w:lineRule="auto"/>
              <w:rPr>
                <w:b w:val="0"/>
                <w:bCs w:val="0"/>
                <w:color w:val="auto"/>
              </w:rPr>
            </w:pPr>
            <w:r>
              <w:rPr>
                <w:rFonts w:hint="eastAsia"/>
                <w:b w:val="0"/>
                <w:bCs w:val="0"/>
                <w:color w:val="auto"/>
              </w:rPr>
              <w:t>独立网卡规格</w:t>
            </w:r>
          </w:p>
        </w:tc>
        <w:tc>
          <w:tcPr>
            <w:tcW w:w="3174" w:type="pct"/>
            <w:shd w:val="clear" w:color="auto" w:fill="auto"/>
            <w:vAlign w:val="center"/>
          </w:tcPr>
          <w:p w14:paraId="2B6CAA96">
            <w:pPr>
              <w:spacing w:line="360" w:lineRule="auto"/>
              <w:rPr>
                <w:b w:val="0"/>
                <w:bCs w:val="0"/>
                <w:color w:val="auto"/>
              </w:rPr>
            </w:pPr>
            <w:r>
              <w:rPr>
                <w:rFonts w:hint="eastAsia"/>
                <w:b w:val="0"/>
                <w:bCs w:val="0"/>
                <w:color w:val="auto"/>
              </w:rPr>
              <w:t>≥</w:t>
            </w:r>
            <w:r>
              <w:rPr>
                <w:rFonts w:hint="eastAsia"/>
                <w:b w:val="0"/>
                <w:bCs w:val="0"/>
                <w:color w:val="auto"/>
                <w:lang w:val="en-US" w:eastAsia="zh-CN"/>
              </w:rPr>
              <w:t>2</w:t>
            </w:r>
            <w:r>
              <w:rPr>
                <w:rFonts w:hint="eastAsia"/>
                <w:b w:val="0"/>
                <w:bCs w:val="0"/>
                <w:color w:val="auto"/>
              </w:rPr>
              <w:t>块10/25GbE SFP28</w:t>
            </w:r>
            <w:r>
              <w:rPr>
                <w:rFonts w:hint="eastAsia"/>
                <w:b w:val="0"/>
                <w:bCs w:val="0"/>
                <w:color w:val="auto"/>
                <w:lang w:val="en-US" w:eastAsia="zh-CN"/>
              </w:rPr>
              <w:t xml:space="preserve">  </w:t>
            </w:r>
            <w:r>
              <w:rPr>
                <w:rFonts w:hint="eastAsia"/>
                <w:b w:val="0"/>
                <w:bCs w:val="0"/>
                <w:color w:val="auto"/>
              </w:rPr>
              <w:t>2 端口 PCIe 以太网适配器(满配光模块)</w:t>
            </w:r>
          </w:p>
        </w:tc>
      </w:tr>
      <w:tr w14:paraId="63BF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59D393BC">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4D781BF">
            <w:pPr>
              <w:spacing w:line="360" w:lineRule="auto"/>
              <w:rPr>
                <w:b w:val="0"/>
                <w:bCs w:val="0"/>
                <w:color w:val="auto"/>
              </w:rPr>
            </w:pPr>
            <w:r>
              <w:rPr>
                <w:rFonts w:hint="eastAsia"/>
                <w:b w:val="0"/>
                <w:bCs w:val="0"/>
                <w:color w:val="auto"/>
              </w:rPr>
              <w:t>外部接口规格</w:t>
            </w:r>
          </w:p>
        </w:tc>
        <w:tc>
          <w:tcPr>
            <w:tcW w:w="3174" w:type="pct"/>
            <w:shd w:val="clear" w:color="auto" w:fill="auto"/>
            <w:vAlign w:val="center"/>
          </w:tcPr>
          <w:p w14:paraId="7A993CD2">
            <w:pPr>
              <w:spacing w:line="360" w:lineRule="auto"/>
              <w:rPr>
                <w:b w:val="0"/>
                <w:bCs w:val="0"/>
                <w:color w:val="auto"/>
              </w:rPr>
            </w:pPr>
            <w:r>
              <w:rPr>
                <w:rFonts w:hint="eastAsia"/>
                <w:b w:val="0"/>
                <w:bCs w:val="0"/>
                <w:color w:val="auto"/>
              </w:rPr>
              <w:t>≥</w:t>
            </w:r>
            <w:r>
              <w:rPr>
                <w:rFonts w:hint="eastAsia"/>
                <w:b w:val="0"/>
                <w:bCs w:val="0"/>
                <w:color w:val="auto"/>
                <w:lang w:val="en-US" w:eastAsia="zh-CN"/>
              </w:rPr>
              <w:t>4</w:t>
            </w:r>
            <w:r>
              <w:rPr>
                <w:rFonts w:hint="eastAsia"/>
                <w:b w:val="0"/>
                <w:bCs w:val="0"/>
                <w:color w:val="auto"/>
              </w:rPr>
              <w:t>个USB ， ≥1个VGA。</w:t>
            </w:r>
          </w:p>
        </w:tc>
      </w:tr>
      <w:tr w14:paraId="71F1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3CE9D98E">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724BE5DD">
            <w:pPr>
              <w:spacing w:line="360" w:lineRule="auto"/>
              <w:rPr>
                <w:b w:val="0"/>
                <w:bCs w:val="0"/>
                <w:color w:val="auto"/>
              </w:rPr>
            </w:pPr>
            <w:r>
              <w:rPr>
                <w:rFonts w:hint="eastAsia"/>
                <w:b w:val="0"/>
                <w:bCs w:val="0"/>
                <w:color w:val="auto"/>
              </w:rPr>
              <w:t>电源规格</w:t>
            </w:r>
          </w:p>
        </w:tc>
        <w:tc>
          <w:tcPr>
            <w:tcW w:w="3174" w:type="pct"/>
            <w:shd w:val="clear" w:color="auto" w:fill="auto"/>
            <w:vAlign w:val="center"/>
          </w:tcPr>
          <w:p w14:paraId="64BE41D9">
            <w:pPr>
              <w:spacing w:line="360" w:lineRule="auto"/>
              <w:rPr>
                <w:b w:val="0"/>
                <w:bCs w:val="0"/>
                <w:color w:val="auto"/>
              </w:rPr>
            </w:pPr>
            <w:r>
              <w:rPr>
                <w:rFonts w:hint="eastAsia"/>
                <w:b w:val="0"/>
                <w:bCs w:val="0"/>
                <w:color w:val="auto"/>
              </w:rPr>
              <w:t>≥2个白金热插拔电源模块。</w:t>
            </w:r>
          </w:p>
        </w:tc>
      </w:tr>
      <w:tr w14:paraId="35CE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4926D6CA">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restart"/>
            <w:shd w:val="clear" w:color="auto" w:fill="auto"/>
            <w:vAlign w:val="center"/>
          </w:tcPr>
          <w:p w14:paraId="720AD607">
            <w:pPr>
              <w:spacing w:line="360" w:lineRule="auto"/>
              <w:rPr>
                <w:b w:val="0"/>
                <w:bCs w:val="0"/>
                <w:color w:val="auto"/>
              </w:rPr>
            </w:pPr>
            <w:r>
              <w:rPr>
                <w:rFonts w:hint="eastAsia"/>
                <w:b w:val="0"/>
                <w:bCs w:val="0"/>
                <w:color w:val="auto"/>
              </w:rPr>
              <w:t>服务器外规和结构</w:t>
            </w:r>
          </w:p>
        </w:tc>
        <w:tc>
          <w:tcPr>
            <w:tcW w:w="3174" w:type="pct"/>
            <w:shd w:val="clear" w:color="auto" w:fill="auto"/>
            <w:vAlign w:val="center"/>
          </w:tcPr>
          <w:p w14:paraId="24C1B1CC">
            <w:pPr>
              <w:spacing w:line="360" w:lineRule="auto"/>
              <w:rPr>
                <w:b w:val="0"/>
                <w:bCs w:val="0"/>
                <w:color w:val="auto"/>
              </w:rPr>
            </w:pPr>
            <w:r>
              <w:rPr>
                <w:rFonts w:hint="eastAsia"/>
                <w:b w:val="0"/>
                <w:bCs w:val="0"/>
                <w:color w:val="auto"/>
              </w:rPr>
              <w:t>服务器的零部件应紧固无松动，可插拔部件应可靠连接，开关、按钮和其它控制部件应灵活可靠，布局方便使用。</w:t>
            </w:r>
          </w:p>
        </w:tc>
      </w:tr>
      <w:tr w14:paraId="5575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6" w:type="pct"/>
            <w:shd w:val="clear" w:color="auto" w:fill="auto"/>
            <w:vAlign w:val="center"/>
          </w:tcPr>
          <w:p w14:paraId="5295023F">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398415CF">
            <w:pPr>
              <w:spacing w:line="360" w:lineRule="auto"/>
              <w:rPr>
                <w:b w:val="0"/>
                <w:bCs w:val="0"/>
                <w:color w:val="auto"/>
              </w:rPr>
            </w:pPr>
          </w:p>
        </w:tc>
        <w:tc>
          <w:tcPr>
            <w:tcW w:w="3174" w:type="pct"/>
            <w:shd w:val="clear" w:color="auto" w:fill="auto"/>
            <w:vAlign w:val="center"/>
          </w:tcPr>
          <w:p w14:paraId="1B4587C2">
            <w:pPr>
              <w:spacing w:line="360" w:lineRule="auto"/>
              <w:rPr>
                <w:b w:val="0"/>
                <w:bCs w:val="0"/>
                <w:color w:val="auto"/>
              </w:rPr>
            </w:pPr>
            <w:r>
              <w:rPr>
                <w:rFonts w:hint="eastAsia"/>
                <w:b w:val="0"/>
                <w:bCs w:val="0"/>
                <w:color w:val="auto"/>
              </w:rPr>
              <w:t>服务器表面不应有明显的凹痕、划伤、裂缝、变形和污染等。表面涂层均匀，不应起泡、龟裂、脱落和磨损，金属零部 件无锈蚀及其它机械损伤。</w:t>
            </w:r>
          </w:p>
        </w:tc>
      </w:tr>
      <w:tr w14:paraId="58AB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26B81177">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7E82D0AD">
            <w:pPr>
              <w:spacing w:line="360" w:lineRule="auto"/>
              <w:rPr>
                <w:b w:val="0"/>
                <w:bCs w:val="0"/>
                <w:color w:val="auto"/>
              </w:rPr>
            </w:pPr>
          </w:p>
        </w:tc>
        <w:tc>
          <w:tcPr>
            <w:tcW w:w="3174" w:type="pct"/>
            <w:shd w:val="clear" w:color="auto" w:fill="auto"/>
            <w:vAlign w:val="center"/>
          </w:tcPr>
          <w:p w14:paraId="7B8C83DD">
            <w:pPr>
              <w:spacing w:line="360" w:lineRule="auto"/>
              <w:rPr>
                <w:b w:val="0"/>
                <w:bCs w:val="0"/>
                <w:color w:val="auto"/>
              </w:rPr>
            </w:pPr>
            <w:r>
              <w:rPr>
                <w:rFonts w:hint="eastAsia"/>
                <w:b w:val="0"/>
                <w:bCs w:val="0"/>
                <w:color w:val="auto"/>
              </w:rPr>
              <w:t>服务器表面说明功能的文字、符号和标志应清晰、端正且牢固。</w:t>
            </w:r>
          </w:p>
        </w:tc>
      </w:tr>
      <w:tr w14:paraId="75BD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502FF935">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5B78372D">
            <w:pPr>
              <w:spacing w:line="360" w:lineRule="auto"/>
              <w:rPr>
                <w:b w:val="0"/>
                <w:bCs w:val="0"/>
                <w:color w:val="auto"/>
              </w:rPr>
            </w:pPr>
          </w:p>
        </w:tc>
        <w:tc>
          <w:tcPr>
            <w:tcW w:w="3174" w:type="pct"/>
            <w:shd w:val="clear" w:color="auto" w:fill="auto"/>
            <w:vAlign w:val="center"/>
          </w:tcPr>
          <w:p w14:paraId="2DE999C8">
            <w:pPr>
              <w:spacing w:line="360" w:lineRule="auto"/>
              <w:rPr>
                <w:b w:val="0"/>
                <w:bCs w:val="0"/>
                <w:color w:val="auto"/>
              </w:rPr>
            </w:pPr>
            <w:r>
              <w:rPr>
                <w:rFonts w:hint="eastAsia"/>
                <w:b w:val="0"/>
                <w:bCs w:val="0"/>
                <w:color w:val="auto"/>
              </w:rPr>
              <w:t>服务器的显著位置支持提供运行状态的指示功能，并在随机文件中明确具体含义。</w:t>
            </w:r>
          </w:p>
        </w:tc>
      </w:tr>
      <w:tr w14:paraId="72C0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6" w:type="pct"/>
            <w:shd w:val="clear" w:color="auto" w:fill="auto"/>
            <w:vAlign w:val="center"/>
          </w:tcPr>
          <w:p w14:paraId="7CE7F3F0">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69862D74">
            <w:pPr>
              <w:spacing w:line="360" w:lineRule="auto"/>
              <w:rPr>
                <w:b w:val="0"/>
                <w:bCs w:val="0"/>
                <w:color w:val="auto"/>
              </w:rPr>
            </w:pPr>
          </w:p>
        </w:tc>
        <w:tc>
          <w:tcPr>
            <w:tcW w:w="3174" w:type="pct"/>
            <w:shd w:val="clear" w:color="auto" w:fill="auto"/>
            <w:vAlign w:val="center"/>
          </w:tcPr>
          <w:p w14:paraId="5B8AB14D">
            <w:pPr>
              <w:spacing w:line="360" w:lineRule="auto"/>
              <w:rPr>
                <w:b w:val="0"/>
                <w:bCs w:val="0"/>
                <w:color w:val="auto"/>
              </w:rPr>
            </w:pPr>
            <w:r>
              <w:rPr>
                <w:rFonts w:hint="eastAsia"/>
                <w:b w:val="0"/>
                <w:bCs w:val="0"/>
                <w:color w:val="auto"/>
              </w:rPr>
              <w:t>机架、机箱的尺寸应符合通用机柜的安装要求，插入总线插座的电路板接口外形尺寸应符合有关总线标准的规定，将机 箱固定在机柜上，机箱底面最大下垂变形不得干涉相邻机体。</w:t>
            </w:r>
          </w:p>
        </w:tc>
      </w:tr>
      <w:tr w14:paraId="34EF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7DE2F9E">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51D5A939">
            <w:pPr>
              <w:spacing w:line="360" w:lineRule="auto"/>
              <w:rPr>
                <w:b w:val="0"/>
                <w:bCs w:val="0"/>
                <w:color w:val="auto"/>
              </w:rPr>
            </w:pPr>
          </w:p>
        </w:tc>
        <w:tc>
          <w:tcPr>
            <w:tcW w:w="3174" w:type="pct"/>
            <w:shd w:val="clear" w:color="auto" w:fill="auto"/>
            <w:vAlign w:val="center"/>
          </w:tcPr>
          <w:p w14:paraId="0CC9CDF8">
            <w:pPr>
              <w:spacing w:line="360" w:lineRule="auto"/>
              <w:rPr>
                <w:b w:val="0"/>
                <w:bCs w:val="0"/>
                <w:color w:val="auto"/>
              </w:rPr>
            </w:pPr>
            <w:r>
              <w:rPr>
                <w:rFonts w:hint="eastAsia"/>
                <w:b w:val="0"/>
                <w:bCs w:val="0"/>
                <w:color w:val="auto"/>
              </w:rPr>
              <w:t>高密度服务器需给出CPU个数与机柜高度。</w:t>
            </w:r>
          </w:p>
        </w:tc>
      </w:tr>
      <w:tr w14:paraId="1CE7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5FBE8F58">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2C8E074D">
            <w:pPr>
              <w:spacing w:line="360" w:lineRule="auto"/>
              <w:rPr>
                <w:b w:val="0"/>
                <w:bCs w:val="0"/>
                <w:color w:val="auto"/>
              </w:rPr>
            </w:pPr>
          </w:p>
        </w:tc>
        <w:tc>
          <w:tcPr>
            <w:tcW w:w="3174" w:type="pct"/>
            <w:shd w:val="clear" w:color="auto" w:fill="auto"/>
            <w:vAlign w:val="center"/>
          </w:tcPr>
          <w:p w14:paraId="5FBAD0C4">
            <w:pPr>
              <w:spacing w:line="360" w:lineRule="auto"/>
              <w:rPr>
                <w:b w:val="0"/>
                <w:bCs w:val="0"/>
                <w:color w:val="auto"/>
              </w:rPr>
            </w:pPr>
            <w:r>
              <w:rPr>
                <w:rFonts w:hint="eastAsia"/>
                <w:b w:val="0"/>
                <w:bCs w:val="0"/>
                <w:color w:val="auto"/>
              </w:rPr>
              <w:t>服务器尺寸具体要求在随机的文件中明确。</w:t>
            </w:r>
          </w:p>
        </w:tc>
      </w:tr>
      <w:tr w14:paraId="7DFD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6" w:type="pct"/>
            <w:shd w:val="clear" w:color="auto" w:fill="auto"/>
            <w:vAlign w:val="center"/>
          </w:tcPr>
          <w:p w14:paraId="02CDC009">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A4CC45B">
            <w:pPr>
              <w:spacing w:line="360" w:lineRule="auto"/>
              <w:rPr>
                <w:b w:val="0"/>
                <w:bCs w:val="0"/>
                <w:color w:val="auto"/>
              </w:rPr>
            </w:pPr>
            <w:r>
              <w:rPr>
                <w:rFonts w:hint="eastAsia"/>
                <w:b w:val="0"/>
                <w:bCs w:val="0"/>
                <w:color w:val="auto"/>
              </w:rPr>
              <w:t>服务器尺寸（高×宽 ×深 )</w:t>
            </w:r>
          </w:p>
        </w:tc>
        <w:tc>
          <w:tcPr>
            <w:tcW w:w="3174" w:type="pct"/>
            <w:shd w:val="clear" w:color="auto" w:fill="auto"/>
            <w:vAlign w:val="center"/>
          </w:tcPr>
          <w:p w14:paraId="5E159B8B">
            <w:pPr>
              <w:spacing w:line="360" w:lineRule="auto"/>
              <w:rPr>
                <w:b w:val="0"/>
                <w:bCs w:val="0"/>
                <w:color w:val="auto"/>
              </w:rPr>
            </w:pPr>
            <w:r>
              <w:rPr>
                <w:rFonts w:hint="eastAsia"/>
                <w:b w:val="0"/>
                <w:bCs w:val="0"/>
                <w:color w:val="auto"/>
              </w:rPr>
              <w:t>服务器尺寸设计应遵循标准化、系列化的要求，机箱的内部结构符合通用部件的安装需要，服务器高度≥8</w:t>
            </w:r>
            <w:r>
              <w:rPr>
                <w:rFonts w:hint="eastAsia"/>
                <w:b w:val="0"/>
                <w:bCs w:val="0"/>
                <w:color w:val="auto"/>
                <w:lang w:val="en-US" w:eastAsia="zh-CN"/>
              </w:rPr>
              <w:t>6</w:t>
            </w:r>
            <w:r>
              <w:rPr>
                <w:rFonts w:hint="eastAsia"/>
                <w:b w:val="0"/>
                <w:bCs w:val="0"/>
                <w:color w:val="auto"/>
              </w:rPr>
              <w:t>毫米、 宽度≥44</w:t>
            </w:r>
            <w:r>
              <w:rPr>
                <w:rFonts w:hint="eastAsia"/>
                <w:b w:val="0"/>
                <w:bCs w:val="0"/>
                <w:color w:val="auto"/>
                <w:lang w:val="en-US" w:eastAsia="zh-CN"/>
              </w:rPr>
              <w:t>0</w:t>
            </w:r>
            <w:r>
              <w:rPr>
                <w:rFonts w:hint="eastAsia"/>
                <w:b w:val="0"/>
                <w:bCs w:val="0"/>
                <w:color w:val="auto"/>
              </w:rPr>
              <w:t>毫米、深度≥60</w:t>
            </w:r>
            <w:r>
              <w:rPr>
                <w:rFonts w:hint="eastAsia"/>
                <w:b w:val="0"/>
                <w:bCs w:val="0"/>
                <w:color w:val="auto"/>
                <w:lang w:val="en-US" w:eastAsia="zh-CN"/>
              </w:rPr>
              <w:t>0</w:t>
            </w:r>
            <w:r>
              <w:rPr>
                <w:rFonts w:hint="eastAsia"/>
                <w:b w:val="0"/>
                <w:bCs w:val="0"/>
                <w:color w:val="auto"/>
              </w:rPr>
              <w:t>毫米。</w:t>
            </w:r>
          </w:p>
        </w:tc>
      </w:tr>
      <w:tr w14:paraId="4F00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6" w:type="pct"/>
            <w:shd w:val="clear" w:color="auto" w:fill="auto"/>
            <w:vAlign w:val="center"/>
          </w:tcPr>
          <w:p w14:paraId="711ED4EA">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46DB12D0">
            <w:pPr>
              <w:spacing w:line="360" w:lineRule="auto"/>
              <w:rPr>
                <w:b w:val="0"/>
                <w:bCs w:val="0"/>
                <w:color w:val="auto"/>
              </w:rPr>
            </w:pPr>
            <w:r>
              <w:rPr>
                <w:rFonts w:hint="eastAsia"/>
                <w:b w:val="0"/>
                <w:bCs w:val="0"/>
                <w:color w:val="auto"/>
              </w:rPr>
              <w:t>环境适应性</w:t>
            </w:r>
          </w:p>
        </w:tc>
        <w:tc>
          <w:tcPr>
            <w:tcW w:w="3174" w:type="pct"/>
            <w:shd w:val="clear" w:color="auto" w:fill="auto"/>
            <w:vAlign w:val="center"/>
          </w:tcPr>
          <w:p w14:paraId="5D6D8E80">
            <w:pPr>
              <w:spacing w:line="360" w:lineRule="auto"/>
              <w:rPr>
                <w:rFonts w:hint="eastAsia" w:eastAsia="宋体"/>
                <w:b w:val="0"/>
                <w:bCs w:val="0"/>
                <w:color w:val="auto"/>
                <w:lang w:eastAsia="zh-CN"/>
              </w:rPr>
            </w:pPr>
            <w:r>
              <w:rPr>
                <w:rFonts w:hint="eastAsia"/>
                <w:b w:val="0"/>
                <w:bCs w:val="0"/>
                <w:color w:val="auto"/>
              </w:rPr>
              <w:t>气候环境适应性应符合 GB/T9813.3 的有关规定，工作温度 10～35℃ , 贮存运输温度-40～55℃; 工作相对湿度 35%～80%，贮存运输相对湿度 20％～93%</w:t>
            </w:r>
            <w:r>
              <w:rPr>
                <w:rFonts w:hint="eastAsia"/>
                <w:b w:val="0"/>
                <w:bCs w:val="0"/>
                <w:color w:val="auto"/>
                <w:lang w:eastAsia="zh-CN"/>
              </w:rPr>
              <w:t>；</w:t>
            </w:r>
          </w:p>
        </w:tc>
      </w:tr>
      <w:tr w14:paraId="0B50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945390E">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1FAABE2E">
            <w:pPr>
              <w:spacing w:line="360" w:lineRule="auto"/>
              <w:rPr>
                <w:b w:val="0"/>
                <w:bCs w:val="0"/>
                <w:color w:val="auto"/>
              </w:rPr>
            </w:pPr>
            <w:r>
              <w:rPr>
                <w:rFonts w:hint="eastAsia"/>
                <w:b w:val="0"/>
                <w:bCs w:val="0"/>
                <w:color w:val="auto"/>
              </w:rPr>
              <w:t>机械环境适应性</w:t>
            </w:r>
          </w:p>
        </w:tc>
        <w:tc>
          <w:tcPr>
            <w:tcW w:w="3174" w:type="pct"/>
            <w:shd w:val="clear" w:color="auto" w:fill="auto"/>
            <w:vAlign w:val="center"/>
          </w:tcPr>
          <w:p w14:paraId="744EBA5B">
            <w:pPr>
              <w:spacing w:line="360" w:lineRule="auto"/>
              <w:rPr>
                <w:b w:val="0"/>
                <w:bCs w:val="0"/>
                <w:color w:val="auto"/>
              </w:rPr>
            </w:pPr>
            <w:r>
              <w:rPr>
                <w:rFonts w:hint="eastAsia"/>
                <w:b w:val="0"/>
                <w:bCs w:val="0"/>
                <w:color w:val="auto"/>
              </w:rPr>
              <w:t>机械环境适应性应符合GB/T9813.3的有关规定。</w:t>
            </w:r>
          </w:p>
        </w:tc>
      </w:tr>
      <w:tr w14:paraId="5121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1F93B774">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00F19EC8">
            <w:pPr>
              <w:spacing w:line="360" w:lineRule="auto"/>
              <w:rPr>
                <w:b w:val="0"/>
                <w:bCs w:val="0"/>
                <w:color w:val="auto"/>
              </w:rPr>
            </w:pPr>
            <w:r>
              <w:rPr>
                <w:rFonts w:hint="eastAsia"/>
                <w:b w:val="0"/>
                <w:bCs w:val="0"/>
                <w:color w:val="auto"/>
              </w:rPr>
              <w:t>噪声</w:t>
            </w:r>
          </w:p>
        </w:tc>
        <w:tc>
          <w:tcPr>
            <w:tcW w:w="3174" w:type="pct"/>
            <w:shd w:val="clear" w:color="auto" w:fill="auto"/>
            <w:vAlign w:val="center"/>
          </w:tcPr>
          <w:p w14:paraId="506516A1">
            <w:pPr>
              <w:spacing w:line="360" w:lineRule="auto"/>
              <w:rPr>
                <w:b w:val="0"/>
                <w:bCs w:val="0"/>
                <w:color w:val="auto"/>
              </w:rPr>
            </w:pPr>
            <w:r>
              <w:rPr>
                <w:rFonts w:hint="eastAsia"/>
                <w:b w:val="0"/>
                <w:bCs w:val="0"/>
                <w:color w:val="auto"/>
              </w:rPr>
              <w:t>符合 GB/T 9813.3的有关规定。</w:t>
            </w:r>
          </w:p>
        </w:tc>
      </w:tr>
      <w:tr w14:paraId="69EE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1D71C07A">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FF1BEA5">
            <w:pPr>
              <w:spacing w:line="360" w:lineRule="auto"/>
              <w:rPr>
                <w:b w:val="0"/>
                <w:bCs w:val="0"/>
                <w:color w:val="auto"/>
              </w:rPr>
            </w:pPr>
            <w:r>
              <w:rPr>
                <w:rFonts w:hint="eastAsia"/>
                <w:b w:val="0"/>
                <w:bCs w:val="0"/>
                <w:color w:val="auto"/>
              </w:rPr>
              <w:t>机柜尺寸</w:t>
            </w:r>
          </w:p>
        </w:tc>
        <w:tc>
          <w:tcPr>
            <w:tcW w:w="3174" w:type="pct"/>
            <w:shd w:val="clear" w:color="auto" w:fill="auto"/>
            <w:vAlign w:val="center"/>
          </w:tcPr>
          <w:p w14:paraId="682B8DDD">
            <w:pPr>
              <w:spacing w:line="360" w:lineRule="auto"/>
              <w:rPr>
                <w:b w:val="0"/>
                <w:bCs w:val="0"/>
                <w:color w:val="auto"/>
              </w:rPr>
            </w:pPr>
            <w:r>
              <w:rPr>
                <w:rFonts w:hint="eastAsia"/>
                <w:b w:val="0"/>
                <w:bCs w:val="0"/>
                <w:color w:val="auto"/>
              </w:rPr>
              <w:t>机柜宽度≥600毫米，高度≥2000毫米，深度≥800毫米。</w:t>
            </w:r>
          </w:p>
        </w:tc>
      </w:tr>
      <w:tr w14:paraId="2917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77152E49">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029DAC45">
            <w:pPr>
              <w:spacing w:line="360" w:lineRule="auto"/>
              <w:rPr>
                <w:b w:val="0"/>
                <w:bCs w:val="0"/>
                <w:color w:val="auto"/>
              </w:rPr>
            </w:pPr>
            <w:r>
              <w:rPr>
                <w:rFonts w:hint="eastAsia"/>
                <w:b w:val="0"/>
                <w:bCs w:val="0"/>
                <w:color w:val="auto"/>
              </w:rPr>
              <w:t>主板外部</w:t>
            </w:r>
          </w:p>
        </w:tc>
        <w:tc>
          <w:tcPr>
            <w:tcW w:w="3174" w:type="pct"/>
            <w:shd w:val="clear" w:color="auto" w:fill="auto"/>
            <w:vAlign w:val="center"/>
          </w:tcPr>
          <w:p w14:paraId="75E68F61">
            <w:pPr>
              <w:spacing w:line="360" w:lineRule="auto"/>
              <w:rPr>
                <w:b w:val="0"/>
                <w:bCs w:val="0"/>
                <w:color w:val="auto"/>
              </w:rPr>
            </w:pPr>
            <w:r>
              <w:rPr>
                <w:rFonts w:hint="eastAsia"/>
                <w:b w:val="0"/>
                <w:bCs w:val="0"/>
                <w:color w:val="auto"/>
              </w:rPr>
              <w:t>支持 USB 、显示、管理等接口。</w:t>
            </w:r>
          </w:p>
        </w:tc>
      </w:tr>
      <w:tr w14:paraId="5C69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652B50A">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DF804AB">
            <w:pPr>
              <w:spacing w:line="360" w:lineRule="auto"/>
              <w:rPr>
                <w:b w:val="0"/>
                <w:bCs w:val="0"/>
                <w:color w:val="auto"/>
              </w:rPr>
            </w:pPr>
            <w:r>
              <w:rPr>
                <w:rFonts w:hint="eastAsia"/>
                <w:b w:val="0"/>
                <w:bCs w:val="0"/>
                <w:color w:val="auto"/>
              </w:rPr>
              <w:t>网络功能</w:t>
            </w:r>
          </w:p>
        </w:tc>
        <w:tc>
          <w:tcPr>
            <w:tcW w:w="3174" w:type="pct"/>
            <w:shd w:val="clear" w:color="auto" w:fill="auto"/>
            <w:vAlign w:val="center"/>
          </w:tcPr>
          <w:p w14:paraId="1ED7EB44">
            <w:pPr>
              <w:spacing w:line="360" w:lineRule="auto"/>
              <w:rPr>
                <w:b w:val="0"/>
                <w:bCs w:val="0"/>
                <w:color w:val="auto"/>
              </w:rPr>
            </w:pPr>
            <w:r>
              <w:rPr>
                <w:rFonts w:hint="eastAsia"/>
                <w:b w:val="0"/>
                <w:bCs w:val="0"/>
                <w:color w:val="auto"/>
              </w:rPr>
              <w:t>支持网络连接、网络访问、数据交换和网络管控功能。</w:t>
            </w:r>
          </w:p>
        </w:tc>
      </w:tr>
      <w:tr w14:paraId="02D6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4EB01CF5">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5553CA1B">
            <w:pPr>
              <w:spacing w:line="360" w:lineRule="auto"/>
              <w:rPr>
                <w:b w:val="0"/>
                <w:bCs w:val="0"/>
                <w:color w:val="auto"/>
              </w:rPr>
            </w:pPr>
            <w:r>
              <w:rPr>
                <w:rFonts w:hint="eastAsia"/>
                <w:b w:val="0"/>
                <w:bCs w:val="0"/>
                <w:color w:val="auto"/>
              </w:rPr>
              <w:t>电源热插拔</w:t>
            </w:r>
          </w:p>
        </w:tc>
        <w:tc>
          <w:tcPr>
            <w:tcW w:w="3174" w:type="pct"/>
            <w:shd w:val="clear" w:color="auto" w:fill="auto"/>
            <w:vAlign w:val="center"/>
          </w:tcPr>
          <w:p w14:paraId="0A7D4541">
            <w:pPr>
              <w:spacing w:line="360" w:lineRule="auto"/>
              <w:rPr>
                <w:b w:val="0"/>
                <w:bCs w:val="0"/>
                <w:color w:val="auto"/>
              </w:rPr>
            </w:pPr>
            <w:r>
              <w:rPr>
                <w:rFonts w:hint="eastAsia"/>
                <w:b w:val="0"/>
                <w:bCs w:val="0"/>
                <w:color w:val="auto"/>
              </w:rPr>
              <w:t>整机电源模块具备热插拔功能。</w:t>
            </w:r>
          </w:p>
        </w:tc>
      </w:tr>
      <w:tr w14:paraId="6370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7A241FB5">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56E14B5B">
            <w:pPr>
              <w:spacing w:line="360" w:lineRule="auto"/>
              <w:rPr>
                <w:b w:val="0"/>
                <w:bCs w:val="0"/>
                <w:color w:val="auto"/>
              </w:rPr>
            </w:pPr>
            <w:r>
              <w:rPr>
                <w:rFonts w:hint="eastAsia"/>
                <w:b w:val="0"/>
                <w:bCs w:val="0"/>
                <w:color w:val="auto"/>
              </w:rPr>
              <w:t>电源过流保护</w:t>
            </w:r>
          </w:p>
        </w:tc>
        <w:tc>
          <w:tcPr>
            <w:tcW w:w="3174" w:type="pct"/>
            <w:shd w:val="clear" w:color="auto" w:fill="auto"/>
            <w:vAlign w:val="center"/>
          </w:tcPr>
          <w:p w14:paraId="1C14C258">
            <w:pPr>
              <w:spacing w:line="360" w:lineRule="auto"/>
              <w:rPr>
                <w:b w:val="0"/>
                <w:bCs w:val="0"/>
                <w:color w:val="auto"/>
              </w:rPr>
            </w:pPr>
            <w:r>
              <w:rPr>
                <w:rFonts w:hint="eastAsia"/>
                <w:b w:val="0"/>
                <w:bCs w:val="0"/>
                <w:color w:val="auto"/>
              </w:rPr>
              <w:t>支持过流及短路保护的功能。</w:t>
            </w:r>
          </w:p>
        </w:tc>
      </w:tr>
      <w:tr w14:paraId="0539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B16750E">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57958887">
            <w:pPr>
              <w:spacing w:line="360" w:lineRule="auto"/>
              <w:rPr>
                <w:b w:val="0"/>
                <w:bCs w:val="0"/>
                <w:color w:val="auto"/>
              </w:rPr>
            </w:pPr>
            <w:r>
              <w:rPr>
                <w:rFonts w:hint="eastAsia"/>
                <w:b w:val="0"/>
                <w:bCs w:val="0"/>
                <w:color w:val="auto"/>
              </w:rPr>
              <w:t>服务器散热方式</w:t>
            </w:r>
          </w:p>
        </w:tc>
        <w:tc>
          <w:tcPr>
            <w:tcW w:w="3174" w:type="pct"/>
            <w:shd w:val="clear" w:color="auto" w:fill="auto"/>
            <w:vAlign w:val="center"/>
          </w:tcPr>
          <w:p w14:paraId="1EA39935">
            <w:pPr>
              <w:spacing w:line="360" w:lineRule="auto"/>
              <w:rPr>
                <w:b w:val="0"/>
                <w:bCs w:val="0"/>
                <w:color w:val="auto"/>
              </w:rPr>
            </w:pPr>
            <w:r>
              <w:rPr>
                <w:rFonts w:hint="eastAsia"/>
                <w:b w:val="0"/>
                <w:bCs w:val="0"/>
                <w:color w:val="auto"/>
              </w:rPr>
              <w:t>≥4个热插拔冗余风扇，支持N+1冗余，支持熔断保护与恢复功能。</w:t>
            </w:r>
          </w:p>
        </w:tc>
      </w:tr>
      <w:tr w14:paraId="7507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1FACEFE">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restart"/>
            <w:shd w:val="clear" w:color="auto" w:fill="auto"/>
            <w:vAlign w:val="center"/>
          </w:tcPr>
          <w:p w14:paraId="0DE3A8AA">
            <w:pPr>
              <w:spacing w:line="360" w:lineRule="auto"/>
              <w:rPr>
                <w:b w:val="0"/>
                <w:bCs w:val="0"/>
                <w:color w:val="auto"/>
              </w:rPr>
            </w:pPr>
            <w:r>
              <w:rPr>
                <w:rFonts w:hint="eastAsia"/>
                <w:b w:val="0"/>
                <w:bCs w:val="0"/>
                <w:color w:val="auto"/>
              </w:rPr>
              <w:t>BMC固件基础功能</w:t>
            </w:r>
          </w:p>
        </w:tc>
        <w:tc>
          <w:tcPr>
            <w:tcW w:w="3174" w:type="pct"/>
            <w:shd w:val="clear" w:color="auto" w:fill="auto"/>
            <w:vAlign w:val="center"/>
          </w:tcPr>
          <w:p w14:paraId="71CA32B0">
            <w:pPr>
              <w:spacing w:line="360" w:lineRule="auto"/>
              <w:rPr>
                <w:b w:val="0"/>
                <w:bCs w:val="0"/>
                <w:color w:val="auto"/>
              </w:rPr>
            </w:pPr>
            <w:r>
              <w:rPr>
                <w:rFonts w:hint="eastAsia"/>
                <w:b w:val="0"/>
                <w:bCs w:val="0"/>
                <w:color w:val="auto"/>
              </w:rPr>
              <w:t>支持DHCP设置网络功能；</w:t>
            </w:r>
          </w:p>
        </w:tc>
      </w:tr>
      <w:tr w14:paraId="664F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38C20D13">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077C5B43">
            <w:pPr>
              <w:spacing w:line="360" w:lineRule="auto"/>
              <w:rPr>
                <w:b w:val="0"/>
                <w:bCs w:val="0"/>
                <w:color w:val="auto"/>
              </w:rPr>
            </w:pPr>
          </w:p>
        </w:tc>
        <w:tc>
          <w:tcPr>
            <w:tcW w:w="3174" w:type="pct"/>
            <w:shd w:val="clear" w:color="auto" w:fill="auto"/>
            <w:vAlign w:val="center"/>
          </w:tcPr>
          <w:p w14:paraId="48C5C626">
            <w:pPr>
              <w:spacing w:line="360" w:lineRule="auto"/>
              <w:rPr>
                <w:b w:val="0"/>
                <w:bCs w:val="0"/>
                <w:color w:val="auto"/>
              </w:rPr>
            </w:pPr>
            <w:r>
              <w:rPr>
                <w:rFonts w:hint="eastAsia"/>
                <w:b w:val="0"/>
                <w:bCs w:val="0"/>
                <w:color w:val="auto"/>
              </w:rPr>
              <w:t>支持静态IP设置网络功能。</w:t>
            </w:r>
          </w:p>
        </w:tc>
      </w:tr>
      <w:tr w14:paraId="1A64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0FCCD9B5">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40C8A1A3">
            <w:pPr>
              <w:spacing w:line="360" w:lineRule="auto"/>
              <w:rPr>
                <w:b w:val="0"/>
                <w:bCs w:val="0"/>
                <w:color w:val="auto"/>
              </w:rPr>
            </w:pPr>
          </w:p>
        </w:tc>
        <w:tc>
          <w:tcPr>
            <w:tcW w:w="3174" w:type="pct"/>
            <w:shd w:val="clear" w:color="auto" w:fill="auto"/>
            <w:vAlign w:val="center"/>
          </w:tcPr>
          <w:p w14:paraId="6BEDBC7C">
            <w:pPr>
              <w:spacing w:line="360" w:lineRule="auto"/>
              <w:rPr>
                <w:b w:val="0"/>
                <w:bCs w:val="0"/>
                <w:color w:val="auto"/>
              </w:rPr>
            </w:pPr>
            <w:r>
              <w:rPr>
                <w:rFonts w:hint="eastAsia"/>
                <w:b w:val="0"/>
                <w:bCs w:val="0"/>
                <w:color w:val="auto"/>
              </w:rPr>
              <w:t>支持设备日志记录，包括但不限于登录日志、操作日志和报警日志等功能，</w:t>
            </w:r>
          </w:p>
        </w:tc>
      </w:tr>
      <w:tr w14:paraId="26EC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27EC0AFC">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256E3B44">
            <w:pPr>
              <w:spacing w:line="360" w:lineRule="auto"/>
              <w:rPr>
                <w:b w:val="0"/>
                <w:bCs w:val="0"/>
                <w:color w:val="auto"/>
              </w:rPr>
            </w:pPr>
          </w:p>
        </w:tc>
        <w:tc>
          <w:tcPr>
            <w:tcW w:w="3174" w:type="pct"/>
            <w:shd w:val="clear" w:color="auto" w:fill="auto"/>
            <w:vAlign w:val="center"/>
          </w:tcPr>
          <w:p w14:paraId="10E471C1">
            <w:pPr>
              <w:spacing w:line="360" w:lineRule="auto"/>
              <w:rPr>
                <w:b w:val="0"/>
                <w:bCs w:val="0"/>
                <w:color w:val="auto"/>
              </w:rPr>
            </w:pPr>
            <w:r>
              <w:rPr>
                <w:rFonts w:hint="eastAsia"/>
                <w:b w:val="0"/>
                <w:bCs w:val="0"/>
                <w:color w:val="auto"/>
              </w:rPr>
              <w:t>支持日志信息导出和记录删除功能。</w:t>
            </w:r>
          </w:p>
        </w:tc>
      </w:tr>
      <w:tr w14:paraId="4811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00D9561">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04289E3B">
            <w:pPr>
              <w:spacing w:line="360" w:lineRule="auto"/>
              <w:rPr>
                <w:b w:val="0"/>
                <w:bCs w:val="0"/>
                <w:color w:val="auto"/>
              </w:rPr>
            </w:pPr>
          </w:p>
        </w:tc>
        <w:tc>
          <w:tcPr>
            <w:tcW w:w="3174" w:type="pct"/>
            <w:shd w:val="clear" w:color="auto" w:fill="auto"/>
            <w:vAlign w:val="center"/>
          </w:tcPr>
          <w:p w14:paraId="254AF7CE">
            <w:pPr>
              <w:spacing w:line="360" w:lineRule="auto"/>
              <w:rPr>
                <w:b w:val="0"/>
                <w:bCs w:val="0"/>
                <w:color w:val="auto"/>
              </w:rPr>
            </w:pPr>
            <w:r>
              <w:rPr>
                <w:rFonts w:hint="eastAsia"/>
                <w:b w:val="0"/>
                <w:bCs w:val="0"/>
                <w:color w:val="auto"/>
              </w:rPr>
              <w:t>支持通过管理接口向外输出准确的报警信息功能；</w:t>
            </w:r>
          </w:p>
        </w:tc>
      </w:tr>
      <w:tr w14:paraId="58C6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5DACC6C1">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4851CACE">
            <w:pPr>
              <w:spacing w:line="360" w:lineRule="auto"/>
              <w:rPr>
                <w:b w:val="0"/>
                <w:bCs w:val="0"/>
                <w:color w:val="auto"/>
              </w:rPr>
            </w:pPr>
          </w:p>
        </w:tc>
        <w:tc>
          <w:tcPr>
            <w:tcW w:w="3174" w:type="pct"/>
            <w:shd w:val="clear" w:color="auto" w:fill="auto"/>
            <w:vAlign w:val="center"/>
          </w:tcPr>
          <w:p w14:paraId="04DE21DF">
            <w:pPr>
              <w:spacing w:line="360" w:lineRule="auto"/>
              <w:rPr>
                <w:b w:val="0"/>
                <w:bCs w:val="0"/>
                <w:color w:val="auto"/>
              </w:rPr>
            </w:pPr>
            <w:r>
              <w:rPr>
                <w:rFonts w:hint="eastAsia"/>
                <w:b w:val="0"/>
                <w:bCs w:val="0"/>
                <w:color w:val="auto"/>
              </w:rPr>
              <w:t>设备的 BMC 管理软件应能够按报警的严重程度进行区分；</w:t>
            </w:r>
          </w:p>
        </w:tc>
      </w:tr>
      <w:tr w14:paraId="2F80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4463ED36">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488FFC72">
            <w:pPr>
              <w:spacing w:line="360" w:lineRule="auto"/>
              <w:rPr>
                <w:b w:val="0"/>
                <w:bCs w:val="0"/>
                <w:color w:val="auto"/>
              </w:rPr>
            </w:pPr>
          </w:p>
        </w:tc>
        <w:tc>
          <w:tcPr>
            <w:tcW w:w="3174" w:type="pct"/>
            <w:shd w:val="clear" w:color="auto" w:fill="auto"/>
            <w:vAlign w:val="center"/>
          </w:tcPr>
          <w:p w14:paraId="56D4745C">
            <w:pPr>
              <w:spacing w:line="360" w:lineRule="auto"/>
              <w:rPr>
                <w:b w:val="0"/>
                <w:bCs w:val="0"/>
                <w:color w:val="auto"/>
              </w:rPr>
            </w:pPr>
            <w:r>
              <w:rPr>
                <w:rFonts w:hint="eastAsia"/>
                <w:b w:val="0"/>
                <w:bCs w:val="0"/>
                <w:color w:val="auto"/>
              </w:rPr>
              <w:t>支持 IPMI2 .0 、SNMP 或 Redfish等接口功能。</w:t>
            </w:r>
          </w:p>
        </w:tc>
      </w:tr>
      <w:tr w14:paraId="0D03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566" w:type="pct"/>
            <w:shd w:val="clear" w:color="auto" w:fill="auto"/>
            <w:vAlign w:val="center"/>
          </w:tcPr>
          <w:p w14:paraId="7AD941F7">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7BC49936">
            <w:pPr>
              <w:spacing w:line="360" w:lineRule="auto"/>
              <w:rPr>
                <w:b w:val="0"/>
                <w:bCs w:val="0"/>
                <w:color w:val="auto"/>
              </w:rPr>
            </w:pPr>
          </w:p>
        </w:tc>
        <w:tc>
          <w:tcPr>
            <w:tcW w:w="3174" w:type="pct"/>
            <w:shd w:val="clear" w:color="auto" w:fill="auto"/>
            <w:vAlign w:val="center"/>
          </w:tcPr>
          <w:p w14:paraId="4036AFD1">
            <w:pPr>
              <w:spacing w:line="360" w:lineRule="auto"/>
              <w:rPr>
                <w:b w:val="0"/>
                <w:bCs w:val="0"/>
                <w:color w:val="auto"/>
              </w:rPr>
            </w:pPr>
            <w:r>
              <w:rPr>
                <w:rFonts w:hint="eastAsia"/>
                <w:b w:val="0"/>
                <w:bCs w:val="0"/>
                <w:color w:val="auto"/>
              </w:rPr>
              <w:t>支持键盘、 鼠标和视频的重定向、文本控制台的重定向、远程虚拟媒体、高可靠的硬件监控和管理功能。</w:t>
            </w:r>
          </w:p>
        </w:tc>
      </w:tr>
      <w:tr w14:paraId="163B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640AB341">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098B9DB5">
            <w:pPr>
              <w:spacing w:line="360" w:lineRule="auto"/>
              <w:rPr>
                <w:b w:val="0"/>
                <w:bCs w:val="0"/>
                <w:color w:val="auto"/>
              </w:rPr>
            </w:pPr>
          </w:p>
        </w:tc>
        <w:tc>
          <w:tcPr>
            <w:tcW w:w="3174" w:type="pct"/>
            <w:shd w:val="clear" w:color="auto" w:fill="auto"/>
            <w:vAlign w:val="center"/>
          </w:tcPr>
          <w:p w14:paraId="4C2DDB1B">
            <w:pPr>
              <w:spacing w:line="360" w:lineRule="auto"/>
              <w:rPr>
                <w:b w:val="0"/>
                <w:bCs w:val="0"/>
                <w:color w:val="auto"/>
              </w:rPr>
            </w:pPr>
            <w:r>
              <w:rPr>
                <w:rFonts w:hint="eastAsia"/>
                <w:b w:val="0"/>
                <w:bCs w:val="0"/>
                <w:color w:val="auto"/>
              </w:rPr>
              <w:t>支持基于网络开启、关闭和重启设备的功能，并查询当前设备开机运行状态。</w:t>
            </w:r>
          </w:p>
        </w:tc>
      </w:tr>
      <w:tr w14:paraId="7EA8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252D1D8">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3E48EDB6">
            <w:pPr>
              <w:spacing w:line="360" w:lineRule="auto"/>
              <w:rPr>
                <w:b w:val="0"/>
                <w:bCs w:val="0"/>
                <w:color w:val="auto"/>
              </w:rPr>
            </w:pPr>
          </w:p>
        </w:tc>
        <w:tc>
          <w:tcPr>
            <w:tcW w:w="3174" w:type="pct"/>
            <w:shd w:val="clear" w:color="auto" w:fill="auto"/>
            <w:vAlign w:val="center"/>
          </w:tcPr>
          <w:p w14:paraId="0ED43956">
            <w:pPr>
              <w:spacing w:line="360" w:lineRule="auto"/>
              <w:rPr>
                <w:b w:val="0"/>
                <w:bCs w:val="0"/>
                <w:color w:val="auto"/>
              </w:rPr>
            </w:pPr>
            <w:r>
              <w:rPr>
                <w:rFonts w:hint="eastAsia"/>
                <w:b w:val="0"/>
                <w:bCs w:val="0"/>
                <w:color w:val="auto"/>
              </w:rPr>
              <w:t>支持故障提示功能，并可通过接口读取服务器故障信息。</w:t>
            </w:r>
          </w:p>
        </w:tc>
      </w:tr>
      <w:tr w14:paraId="2856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1B1FAFFD">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29AF4DE9">
            <w:pPr>
              <w:spacing w:line="360" w:lineRule="auto"/>
              <w:rPr>
                <w:b w:val="0"/>
                <w:bCs w:val="0"/>
                <w:color w:val="auto"/>
              </w:rPr>
            </w:pPr>
          </w:p>
        </w:tc>
        <w:tc>
          <w:tcPr>
            <w:tcW w:w="3174" w:type="pct"/>
            <w:shd w:val="clear" w:color="auto" w:fill="auto"/>
            <w:vAlign w:val="center"/>
          </w:tcPr>
          <w:p w14:paraId="454CA4AF">
            <w:pPr>
              <w:spacing w:line="360" w:lineRule="auto"/>
              <w:rPr>
                <w:b w:val="0"/>
                <w:bCs w:val="0"/>
                <w:color w:val="auto"/>
              </w:rPr>
            </w:pPr>
            <w:r>
              <w:rPr>
                <w:rFonts w:hint="eastAsia"/>
                <w:b w:val="0"/>
                <w:bCs w:val="0"/>
                <w:color w:val="auto"/>
              </w:rPr>
              <w:t>支持基于网络的固件更新功能，包括BMC和BIOS等；</w:t>
            </w:r>
          </w:p>
        </w:tc>
      </w:tr>
      <w:tr w14:paraId="0A9D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1D72F56D">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5E3E1BE8">
            <w:pPr>
              <w:spacing w:line="360" w:lineRule="auto"/>
              <w:rPr>
                <w:b w:val="0"/>
                <w:bCs w:val="0"/>
                <w:color w:val="auto"/>
              </w:rPr>
            </w:pPr>
          </w:p>
        </w:tc>
        <w:tc>
          <w:tcPr>
            <w:tcW w:w="3174" w:type="pct"/>
            <w:shd w:val="clear" w:color="auto" w:fill="auto"/>
            <w:vAlign w:val="center"/>
          </w:tcPr>
          <w:p w14:paraId="0FC16DCC">
            <w:pPr>
              <w:spacing w:line="360" w:lineRule="auto"/>
              <w:rPr>
                <w:b w:val="0"/>
                <w:bCs w:val="0"/>
                <w:color w:val="auto"/>
              </w:rPr>
            </w:pPr>
            <w:r>
              <w:rPr>
                <w:rFonts w:hint="eastAsia"/>
                <w:b w:val="0"/>
                <w:bCs w:val="0"/>
                <w:color w:val="auto"/>
              </w:rPr>
              <w:t>支持基于网络安装操作系统的功能，并可通过网络控制台访问设备；</w:t>
            </w:r>
          </w:p>
        </w:tc>
      </w:tr>
      <w:tr w14:paraId="153B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67DDD63A">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44706708">
            <w:pPr>
              <w:spacing w:line="360" w:lineRule="auto"/>
              <w:rPr>
                <w:b w:val="0"/>
                <w:bCs w:val="0"/>
                <w:color w:val="auto"/>
              </w:rPr>
            </w:pPr>
          </w:p>
        </w:tc>
        <w:tc>
          <w:tcPr>
            <w:tcW w:w="3174" w:type="pct"/>
            <w:shd w:val="clear" w:color="auto" w:fill="auto"/>
            <w:vAlign w:val="center"/>
          </w:tcPr>
          <w:p w14:paraId="272D7054">
            <w:pPr>
              <w:spacing w:line="360" w:lineRule="auto"/>
              <w:rPr>
                <w:b w:val="0"/>
                <w:bCs w:val="0"/>
                <w:color w:val="auto"/>
              </w:rPr>
            </w:pPr>
            <w:r>
              <w:rPr>
                <w:rFonts w:hint="eastAsia"/>
                <w:b w:val="0"/>
                <w:bCs w:val="0"/>
                <w:color w:val="auto"/>
              </w:rPr>
              <w:t>支持通过本地的硬盘或光驱等存储设备，基于网络完成设备的操作系统安装功能</w:t>
            </w:r>
          </w:p>
        </w:tc>
      </w:tr>
      <w:tr w14:paraId="69AA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1735A1AA">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7F87C641">
            <w:pPr>
              <w:spacing w:line="360" w:lineRule="auto"/>
              <w:rPr>
                <w:b w:val="0"/>
                <w:bCs w:val="0"/>
                <w:color w:val="auto"/>
              </w:rPr>
            </w:pPr>
          </w:p>
        </w:tc>
        <w:tc>
          <w:tcPr>
            <w:tcW w:w="3174" w:type="pct"/>
            <w:shd w:val="clear" w:color="auto" w:fill="auto"/>
            <w:vAlign w:val="center"/>
          </w:tcPr>
          <w:p w14:paraId="16CDA11B">
            <w:pPr>
              <w:spacing w:line="360" w:lineRule="auto"/>
              <w:rPr>
                <w:b w:val="0"/>
                <w:bCs w:val="0"/>
                <w:color w:val="auto"/>
              </w:rPr>
            </w:pPr>
            <w:r>
              <w:rPr>
                <w:rFonts w:hint="eastAsia"/>
                <w:b w:val="0"/>
                <w:bCs w:val="0"/>
                <w:color w:val="auto"/>
              </w:rPr>
              <w:t>支持通过浏览器打开管理界面并登录功能。</w:t>
            </w:r>
          </w:p>
        </w:tc>
      </w:tr>
      <w:tr w14:paraId="6BE0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41C39A9B">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080F11B1">
            <w:pPr>
              <w:spacing w:line="360" w:lineRule="auto"/>
              <w:rPr>
                <w:b w:val="0"/>
                <w:bCs w:val="0"/>
                <w:color w:val="auto"/>
              </w:rPr>
            </w:pPr>
          </w:p>
        </w:tc>
        <w:tc>
          <w:tcPr>
            <w:tcW w:w="3174" w:type="pct"/>
            <w:shd w:val="clear" w:color="auto" w:fill="auto"/>
            <w:vAlign w:val="center"/>
          </w:tcPr>
          <w:p w14:paraId="45265D8F">
            <w:pPr>
              <w:spacing w:line="360" w:lineRule="auto"/>
              <w:rPr>
                <w:b w:val="0"/>
                <w:bCs w:val="0"/>
                <w:color w:val="auto"/>
              </w:rPr>
            </w:pPr>
            <w:r>
              <w:rPr>
                <w:rFonts w:hint="eastAsia"/>
                <w:b w:val="0"/>
                <w:bCs w:val="0"/>
                <w:color w:val="auto"/>
              </w:rPr>
              <w:t>支持设置口令策略功能；</w:t>
            </w:r>
          </w:p>
        </w:tc>
      </w:tr>
      <w:tr w14:paraId="2E83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10804992">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24932C8C">
            <w:pPr>
              <w:spacing w:line="360" w:lineRule="auto"/>
              <w:rPr>
                <w:b w:val="0"/>
                <w:bCs w:val="0"/>
                <w:color w:val="auto"/>
              </w:rPr>
            </w:pPr>
          </w:p>
        </w:tc>
        <w:tc>
          <w:tcPr>
            <w:tcW w:w="3174" w:type="pct"/>
            <w:shd w:val="clear" w:color="auto" w:fill="auto"/>
            <w:vAlign w:val="center"/>
          </w:tcPr>
          <w:p w14:paraId="3D20CDC7">
            <w:pPr>
              <w:spacing w:line="360" w:lineRule="auto"/>
              <w:rPr>
                <w:b w:val="0"/>
                <w:bCs w:val="0"/>
                <w:color w:val="auto"/>
              </w:rPr>
            </w:pPr>
            <w:r>
              <w:rPr>
                <w:rFonts w:hint="eastAsia"/>
                <w:b w:val="0"/>
                <w:bCs w:val="0"/>
                <w:color w:val="auto"/>
              </w:rPr>
              <w:t>支持访问权限设置功能，并通过日志记录访问事件。</w:t>
            </w:r>
          </w:p>
        </w:tc>
      </w:tr>
      <w:tr w14:paraId="5319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767F6EAE">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11C5EF31">
            <w:pPr>
              <w:spacing w:line="360" w:lineRule="auto"/>
              <w:rPr>
                <w:b w:val="0"/>
                <w:bCs w:val="0"/>
                <w:color w:val="auto"/>
              </w:rPr>
            </w:pPr>
          </w:p>
        </w:tc>
        <w:tc>
          <w:tcPr>
            <w:tcW w:w="3174" w:type="pct"/>
            <w:shd w:val="clear" w:color="auto" w:fill="auto"/>
            <w:vAlign w:val="center"/>
          </w:tcPr>
          <w:p w14:paraId="7175E684">
            <w:pPr>
              <w:spacing w:line="360" w:lineRule="auto"/>
              <w:rPr>
                <w:b w:val="0"/>
                <w:bCs w:val="0"/>
                <w:color w:val="auto"/>
              </w:rPr>
            </w:pPr>
            <w:r>
              <w:rPr>
                <w:rFonts w:hint="eastAsia"/>
                <w:b w:val="0"/>
                <w:bCs w:val="0"/>
                <w:color w:val="auto"/>
              </w:rPr>
              <w:t>支持对出厂默认的用户名及口令进行安全保护功能，并提供默认口令修改提示。</w:t>
            </w:r>
          </w:p>
        </w:tc>
      </w:tr>
      <w:tr w14:paraId="2DE9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CB4FD99">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1671814B">
            <w:pPr>
              <w:spacing w:line="360" w:lineRule="auto"/>
              <w:rPr>
                <w:b w:val="0"/>
                <w:bCs w:val="0"/>
                <w:color w:val="auto"/>
              </w:rPr>
            </w:pPr>
          </w:p>
        </w:tc>
        <w:tc>
          <w:tcPr>
            <w:tcW w:w="3174" w:type="pct"/>
            <w:shd w:val="clear" w:color="auto" w:fill="auto"/>
            <w:vAlign w:val="center"/>
          </w:tcPr>
          <w:p w14:paraId="1B79E241">
            <w:pPr>
              <w:spacing w:line="360" w:lineRule="auto"/>
              <w:rPr>
                <w:b w:val="0"/>
                <w:bCs w:val="0"/>
                <w:color w:val="auto"/>
              </w:rPr>
            </w:pPr>
            <w:r>
              <w:rPr>
                <w:rFonts w:hint="eastAsia"/>
                <w:b w:val="0"/>
                <w:bCs w:val="0"/>
                <w:color w:val="auto"/>
              </w:rPr>
              <w:t>支持读取服务器CPU等核心器件的温度功能。</w:t>
            </w:r>
          </w:p>
        </w:tc>
      </w:tr>
      <w:tr w14:paraId="0A64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76BCFE2B">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4B6F9FC5">
            <w:pPr>
              <w:spacing w:line="360" w:lineRule="auto"/>
              <w:rPr>
                <w:b w:val="0"/>
                <w:bCs w:val="0"/>
                <w:color w:val="auto"/>
              </w:rPr>
            </w:pPr>
          </w:p>
        </w:tc>
        <w:tc>
          <w:tcPr>
            <w:tcW w:w="3174" w:type="pct"/>
            <w:shd w:val="clear" w:color="auto" w:fill="auto"/>
            <w:vAlign w:val="center"/>
          </w:tcPr>
          <w:p w14:paraId="145134D7">
            <w:pPr>
              <w:spacing w:line="360" w:lineRule="auto"/>
              <w:rPr>
                <w:b w:val="0"/>
                <w:bCs w:val="0"/>
                <w:color w:val="auto"/>
              </w:rPr>
            </w:pPr>
            <w:r>
              <w:rPr>
                <w:rFonts w:hint="eastAsia"/>
                <w:b w:val="0"/>
                <w:bCs w:val="0"/>
                <w:color w:val="auto"/>
              </w:rPr>
              <w:t>支持通过外部管理工具进行BMC参数设置的功能，并可基于网络通过外部管理工具对BMC进行管理。</w:t>
            </w:r>
          </w:p>
        </w:tc>
      </w:tr>
      <w:tr w14:paraId="1EB1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5B3119A2">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05B13984">
            <w:pPr>
              <w:spacing w:line="360" w:lineRule="auto"/>
              <w:rPr>
                <w:b w:val="0"/>
                <w:bCs w:val="0"/>
                <w:color w:val="auto"/>
              </w:rPr>
            </w:pPr>
          </w:p>
        </w:tc>
        <w:tc>
          <w:tcPr>
            <w:tcW w:w="3174" w:type="pct"/>
            <w:shd w:val="clear" w:color="auto" w:fill="auto"/>
            <w:vAlign w:val="center"/>
          </w:tcPr>
          <w:p w14:paraId="7AF83260">
            <w:pPr>
              <w:spacing w:line="360" w:lineRule="auto"/>
              <w:rPr>
                <w:b w:val="0"/>
                <w:bCs w:val="0"/>
                <w:color w:val="auto"/>
              </w:rPr>
            </w:pPr>
            <w:r>
              <w:rPr>
                <w:rFonts w:hint="eastAsia"/>
                <w:b w:val="0"/>
                <w:bCs w:val="0"/>
                <w:color w:val="auto"/>
              </w:rPr>
              <w:t>支持基于网络实现开关机和复位控制的功能。</w:t>
            </w:r>
          </w:p>
        </w:tc>
      </w:tr>
      <w:tr w14:paraId="2BD8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19AC8A67">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0B464306">
            <w:pPr>
              <w:spacing w:line="360" w:lineRule="auto"/>
              <w:rPr>
                <w:b w:val="0"/>
                <w:bCs w:val="0"/>
                <w:color w:val="auto"/>
              </w:rPr>
            </w:pPr>
          </w:p>
        </w:tc>
        <w:tc>
          <w:tcPr>
            <w:tcW w:w="3174" w:type="pct"/>
            <w:shd w:val="clear" w:color="auto" w:fill="auto"/>
            <w:vAlign w:val="center"/>
          </w:tcPr>
          <w:p w14:paraId="2185FA19">
            <w:pPr>
              <w:spacing w:line="360" w:lineRule="auto"/>
              <w:rPr>
                <w:b w:val="0"/>
                <w:bCs w:val="0"/>
                <w:color w:val="auto"/>
              </w:rPr>
            </w:pPr>
            <w:r>
              <w:rPr>
                <w:rFonts w:hint="eastAsia"/>
                <w:b w:val="0"/>
                <w:bCs w:val="0"/>
                <w:color w:val="auto"/>
              </w:rPr>
              <w:t>BMC 启动时间应不超过180s ，实现功能包括网络、IPMI、散热、传感器服务可用。</w:t>
            </w:r>
          </w:p>
        </w:tc>
      </w:tr>
      <w:tr w14:paraId="1F9C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26AAA701">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restart"/>
            <w:shd w:val="clear" w:color="auto" w:fill="auto"/>
            <w:vAlign w:val="center"/>
          </w:tcPr>
          <w:p w14:paraId="7BD5A86D">
            <w:pPr>
              <w:spacing w:line="360" w:lineRule="auto"/>
              <w:rPr>
                <w:b w:val="0"/>
                <w:bCs w:val="0"/>
                <w:color w:val="auto"/>
              </w:rPr>
            </w:pPr>
            <w:r>
              <w:rPr>
                <w:rFonts w:hint="eastAsia"/>
                <w:b w:val="0"/>
                <w:bCs w:val="0"/>
                <w:color w:val="auto"/>
              </w:rPr>
              <w:t>BIOS固件基 础功能</w:t>
            </w:r>
          </w:p>
        </w:tc>
        <w:tc>
          <w:tcPr>
            <w:tcW w:w="3174" w:type="pct"/>
            <w:shd w:val="clear" w:color="auto" w:fill="auto"/>
            <w:vAlign w:val="center"/>
          </w:tcPr>
          <w:p w14:paraId="4EAB6059">
            <w:pPr>
              <w:spacing w:line="360" w:lineRule="auto"/>
              <w:rPr>
                <w:b w:val="0"/>
                <w:bCs w:val="0"/>
                <w:color w:val="auto"/>
              </w:rPr>
            </w:pPr>
            <w:r>
              <w:rPr>
                <w:rFonts w:hint="eastAsia"/>
                <w:b w:val="0"/>
                <w:bCs w:val="0"/>
                <w:color w:val="auto"/>
              </w:rPr>
              <w:t>支持查看PCIe设备信息，SATA设备信息功能。</w:t>
            </w:r>
          </w:p>
        </w:tc>
      </w:tr>
      <w:tr w14:paraId="7D70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40F17BFC">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0B2E4964">
            <w:pPr>
              <w:spacing w:line="360" w:lineRule="auto"/>
              <w:rPr>
                <w:b w:val="0"/>
                <w:bCs w:val="0"/>
                <w:color w:val="auto"/>
              </w:rPr>
            </w:pPr>
          </w:p>
        </w:tc>
        <w:tc>
          <w:tcPr>
            <w:tcW w:w="3174" w:type="pct"/>
            <w:shd w:val="clear" w:color="auto" w:fill="auto"/>
            <w:vAlign w:val="center"/>
          </w:tcPr>
          <w:p w14:paraId="09C248D0">
            <w:pPr>
              <w:spacing w:line="360" w:lineRule="auto"/>
              <w:rPr>
                <w:b w:val="0"/>
                <w:bCs w:val="0"/>
                <w:color w:val="auto"/>
              </w:rPr>
            </w:pPr>
            <w:r>
              <w:rPr>
                <w:rFonts w:hint="eastAsia"/>
                <w:b w:val="0"/>
                <w:bCs w:val="0"/>
                <w:color w:val="auto"/>
              </w:rPr>
              <w:t>支持操作系统安装和引导功能，应并向操作系统提供计算机主板信息和服务接口。</w:t>
            </w:r>
          </w:p>
        </w:tc>
      </w:tr>
      <w:tr w14:paraId="3999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4F6E896C">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5E9AD9C3">
            <w:pPr>
              <w:spacing w:line="360" w:lineRule="auto"/>
              <w:rPr>
                <w:b w:val="0"/>
                <w:bCs w:val="0"/>
                <w:color w:val="auto"/>
              </w:rPr>
            </w:pPr>
          </w:p>
        </w:tc>
        <w:tc>
          <w:tcPr>
            <w:tcW w:w="3174" w:type="pct"/>
            <w:shd w:val="clear" w:color="auto" w:fill="auto"/>
            <w:vAlign w:val="center"/>
          </w:tcPr>
          <w:p w14:paraId="75A0EC65">
            <w:pPr>
              <w:spacing w:line="360" w:lineRule="auto"/>
              <w:rPr>
                <w:b w:val="0"/>
                <w:bCs w:val="0"/>
                <w:color w:val="auto"/>
              </w:rPr>
            </w:pPr>
            <w:r>
              <w:rPr>
                <w:rFonts w:hint="eastAsia"/>
                <w:b w:val="0"/>
                <w:bCs w:val="0"/>
                <w:color w:val="auto"/>
              </w:rPr>
              <w:t>支持设置启动顺序，并按照设置的启动顺序启动功能。</w:t>
            </w:r>
          </w:p>
        </w:tc>
      </w:tr>
      <w:tr w14:paraId="6831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05BF9AD">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43864EA5">
            <w:pPr>
              <w:spacing w:line="360" w:lineRule="auto"/>
              <w:rPr>
                <w:b w:val="0"/>
                <w:bCs w:val="0"/>
                <w:color w:val="auto"/>
              </w:rPr>
            </w:pPr>
          </w:p>
        </w:tc>
        <w:tc>
          <w:tcPr>
            <w:tcW w:w="3174" w:type="pct"/>
            <w:shd w:val="clear" w:color="auto" w:fill="auto"/>
            <w:vAlign w:val="center"/>
          </w:tcPr>
          <w:p w14:paraId="1283DFE5">
            <w:pPr>
              <w:spacing w:line="360" w:lineRule="auto"/>
              <w:rPr>
                <w:b w:val="0"/>
                <w:bCs w:val="0"/>
                <w:color w:val="auto"/>
              </w:rPr>
            </w:pPr>
            <w:r>
              <w:rPr>
                <w:rFonts w:hint="eastAsia"/>
                <w:b w:val="0"/>
                <w:bCs w:val="0"/>
                <w:color w:val="auto"/>
              </w:rPr>
              <w:t>支持安全启动功能。</w:t>
            </w:r>
          </w:p>
        </w:tc>
      </w:tr>
      <w:tr w14:paraId="3A5F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3AE92957">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1DE3B1BE">
            <w:pPr>
              <w:spacing w:line="360" w:lineRule="auto"/>
              <w:rPr>
                <w:b w:val="0"/>
                <w:bCs w:val="0"/>
                <w:color w:val="auto"/>
              </w:rPr>
            </w:pPr>
          </w:p>
        </w:tc>
        <w:tc>
          <w:tcPr>
            <w:tcW w:w="3174" w:type="pct"/>
            <w:shd w:val="clear" w:color="auto" w:fill="auto"/>
            <w:vAlign w:val="center"/>
          </w:tcPr>
          <w:p w14:paraId="43269646">
            <w:pPr>
              <w:spacing w:line="360" w:lineRule="auto"/>
              <w:rPr>
                <w:b w:val="0"/>
                <w:bCs w:val="0"/>
                <w:color w:val="auto"/>
              </w:rPr>
            </w:pPr>
            <w:r>
              <w:rPr>
                <w:rFonts w:hint="eastAsia"/>
                <w:b w:val="0"/>
                <w:bCs w:val="0"/>
                <w:color w:val="auto"/>
              </w:rPr>
              <w:t>支持设置口令、修改口令、验证口令功能。</w:t>
            </w:r>
          </w:p>
        </w:tc>
      </w:tr>
      <w:tr w14:paraId="7798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6DC4864">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4BD1E8F6">
            <w:pPr>
              <w:spacing w:line="360" w:lineRule="auto"/>
              <w:rPr>
                <w:b w:val="0"/>
                <w:bCs w:val="0"/>
                <w:color w:val="auto"/>
              </w:rPr>
            </w:pPr>
          </w:p>
        </w:tc>
        <w:tc>
          <w:tcPr>
            <w:tcW w:w="3174" w:type="pct"/>
            <w:shd w:val="clear" w:color="auto" w:fill="auto"/>
            <w:vAlign w:val="center"/>
          </w:tcPr>
          <w:p w14:paraId="4EE30DE4">
            <w:pPr>
              <w:spacing w:line="360" w:lineRule="auto"/>
              <w:rPr>
                <w:b w:val="0"/>
                <w:bCs w:val="0"/>
                <w:color w:val="auto"/>
              </w:rPr>
            </w:pPr>
            <w:r>
              <w:rPr>
                <w:rFonts w:hint="eastAsia"/>
                <w:b w:val="0"/>
                <w:bCs w:val="0"/>
                <w:color w:val="auto"/>
              </w:rPr>
              <w:t>支持板载显示控制或独立显卡的显示控制功能。</w:t>
            </w:r>
          </w:p>
        </w:tc>
      </w:tr>
      <w:tr w14:paraId="6084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3BED210F">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131A0775">
            <w:pPr>
              <w:spacing w:line="360" w:lineRule="auto"/>
              <w:rPr>
                <w:b w:val="0"/>
                <w:bCs w:val="0"/>
                <w:color w:val="auto"/>
              </w:rPr>
            </w:pPr>
          </w:p>
        </w:tc>
        <w:tc>
          <w:tcPr>
            <w:tcW w:w="3174" w:type="pct"/>
            <w:shd w:val="clear" w:color="auto" w:fill="auto"/>
            <w:vAlign w:val="center"/>
          </w:tcPr>
          <w:p w14:paraId="689CC029">
            <w:pPr>
              <w:spacing w:line="360" w:lineRule="auto"/>
              <w:rPr>
                <w:b w:val="0"/>
                <w:bCs w:val="0"/>
                <w:color w:val="auto"/>
              </w:rPr>
            </w:pPr>
            <w:r>
              <w:rPr>
                <w:rFonts w:hint="eastAsia"/>
                <w:b w:val="0"/>
                <w:bCs w:val="0"/>
                <w:color w:val="auto"/>
              </w:rPr>
              <w:t>支持RAID识别和启动功能。</w:t>
            </w:r>
          </w:p>
        </w:tc>
      </w:tr>
      <w:tr w14:paraId="15E0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11172E5">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7571B40C">
            <w:pPr>
              <w:spacing w:line="360" w:lineRule="auto"/>
              <w:rPr>
                <w:b w:val="0"/>
                <w:bCs w:val="0"/>
                <w:color w:val="auto"/>
              </w:rPr>
            </w:pPr>
          </w:p>
        </w:tc>
        <w:tc>
          <w:tcPr>
            <w:tcW w:w="3174" w:type="pct"/>
            <w:shd w:val="clear" w:color="auto" w:fill="auto"/>
            <w:vAlign w:val="center"/>
          </w:tcPr>
          <w:p w14:paraId="2615300A">
            <w:pPr>
              <w:spacing w:line="360" w:lineRule="auto"/>
              <w:rPr>
                <w:b w:val="0"/>
                <w:bCs w:val="0"/>
                <w:color w:val="auto"/>
              </w:rPr>
            </w:pPr>
            <w:r>
              <w:rPr>
                <w:rFonts w:hint="eastAsia"/>
                <w:b w:val="0"/>
                <w:bCs w:val="0"/>
                <w:color w:val="auto"/>
              </w:rPr>
              <w:t>支持串口重定向功能。</w:t>
            </w:r>
          </w:p>
        </w:tc>
      </w:tr>
      <w:tr w14:paraId="45B7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8D518B3">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52217CFE">
            <w:pPr>
              <w:spacing w:line="360" w:lineRule="auto"/>
              <w:rPr>
                <w:b w:val="0"/>
                <w:bCs w:val="0"/>
                <w:color w:val="auto"/>
              </w:rPr>
            </w:pPr>
          </w:p>
        </w:tc>
        <w:tc>
          <w:tcPr>
            <w:tcW w:w="3174" w:type="pct"/>
            <w:shd w:val="clear" w:color="auto" w:fill="auto"/>
            <w:vAlign w:val="center"/>
          </w:tcPr>
          <w:p w14:paraId="69C500AD">
            <w:pPr>
              <w:spacing w:line="360" w:lineRule="auto"/>
              <w:rPr>
                <w:b w:val="0"/>
                <w:bCs w:val="0"/>
                <w:color w:val="auto"/>
              </w:rPr>
            </w:pPr>
            <w:r>
              <w:rPr>
                <w:rFonts w:hint="eastAsia"/>
                <w:b w:val="0"/>
                <w:bCs w:val="0"/>
                <w:color w:val="auto"/>
              </w:rPr>
              <w:t>支持固件更新功能。</w:t>
            </w:r>
          </w:p>
        </w:tc>
      </w:tr>
      <w:tr w14:paraId="7279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3898853A">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4E3BDEC2">
            <w:pPr>
              <w:spacing w:line="360" w:lineRule="auto"/>
              <w:rPr>
                <w:b w:val="0"/>
                <w:bCs w:val="0"/>
                <w:color w:val="auto"/>
              </w:rPr>
            </w:pPr>
          </w:p>
        </w:tc>
        <w:tc>
          <w:tcPr>
            <w:tcW w:w="3174" w:type="pct"/>
            <w:shd w:val="clear" w:color="auto" w:fill="auto"/>
            <w:vAlign w:val="center"/>
          </w:tcPr>
          <w:p w14:paraId="69DD8666">
            <w:pPr>
              <w:spacing w:line="360" w:lineRule="auto"/>
              <w:rPr>
                <w:b w:val="0"/>
                <w:bCs w:val="0"/>
                <w:color w:val="auto"/>
              </w:rPr>
            </w:pPr>
            <w:r>
              <w:rPr>
                <w:rFonts w:hint="eastAsia"/>
                <w:b w:val="0"/>
                <w:bCs w:val="0"/>
                <w:color w:val="auto"/>
              </w:rPr>
              <w:t>支持BIOS固件设置的恢复出厂功能。</w:t>
            </w:r>
          </w:p>
        </w:tc>
      </w:tr>
      <w:tr w14:paraId="237A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4B8576DB">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5A2D8EF1">
            <w:pPr>
              <w:spacing w:line="360" w:lineRule="auto"/>
              <w:rPr>
                <w:b w:val="0"/>
                <w:bCs w:val="0"/>
                <w:color w:val="auto"/>
              </w:rPr>
            </w:pPr>
          </w:p>
        </w:tc>
        <w:tc>
          <w:tcPr>
            <w:tcW w:w="3174" w:type="pct"/>
            <w:shd w:val="clear" w:color="auto" w:fill="auto"/>
            <w:vAlign w:val="center"/>
          </w:tcPr>
          <w:p w14:paraId="20D19629">
            <w:pPr>
              <w:spacing w:line="360" w:lineRule="auto"/>
              <w:rPr>
                <w:b w:val="0"/>
                <w:bCs w:val="0"/>
                <w:color w:val="auto"/>
              </w:rPr>
            </w:pPr>
            <w:r>
              <w:rPr>
                <w:rFonts w:hint="eastAsia"/>
                <w:b w:val="0"/>
                <w:bCs w:val="0"/>
                <w:color w:val="auto"/>
              </w:rPr>
              <w:t>支持网络引导启用和关闭功能。</w:t>
            </w:r>
          </w:p>
        </w:tc>
      </w:tr>
      <w:tr w14:paraId="37E5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2789C999">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6C07C646">
            <w:pPr>
              <w:spacing w:line="360" w:lineRule="auto"/>
              <w:rPr>
                <w:b w:val="0"/>
                <w:bCs w:val="0"/>
                <w:color w:val="auto"/>
              </w:rPr>
            </w:pPr>
            <w:r>
              <w:rPr>
                <w:rFonts w:hint="eastAsia"/>
                <w:b w:val="0"/>
                <w:bCs w:val="0"/>
                <w:color w:val="auto"/>
              </w:rPr>
              <w:t>远程控制</w:t>
            </w:r>
          </w:p>
        </w:tc>
        <w:tc>
          <w:tcPr>
            <w:tcW w:w="3174" w:type="pct"/>
            <w:shd w:val="clear" w:color="auto" w:fill="auto"/>
            <w:vAlign w:val="center"/>
          </w:tcPr>
          <w:p w14:paraId="014E6784">
            <w:pPr>
              <w:spacing w:line="360" w:lineRule="auto"/>
              <w:rPr>
                <w:b w:val="0"/>
                <w:bCs w:val="0"/>
                <w:color w:val="auto"/>
              </w:rPr>
            </w:pPr>
            <w:r>
              <w:rPr>
                <w:rFonts w:hint="eastAsia"/>
                <w:b w:val="0"/>
                <w:bCs w:val="0"/>
                <w:color w:val="auto"/>
              </w:rPr>
              <w:t>支持远程关机和重新启动功能。</w:t>
            </w:r>
          </w:p>
        </w:tc>
      </w:tr>
      <w:tr w14:paraId="4E39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089AE916">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9ECB614">
            <w:pPr>
              <w:spacing w:line="360" w:lineRule="auto"/>
              <w:rPr>
                <w:b w:val="0"/>
                <w:bCs w:val="0"/>
                <w:color w:val="auto"/>
              </w:rPr>
            </w:pPr>
            <w:r>
              <w:rPr>
                <w:rFonts w:hint="eastAsia"/>
                <w:b w:val="0"/>
                <w:bCs w:val="0"/>
                <w:color w:val="auto"/>
              </w:rPr>
              <w:t>操作系统及驱动的升级</w:t>
            </w:r>
          </w:p>
        </w:tc>
        <w:tc>
          <w:tcPr>
            <w:tcW w:w="3174" w:type="pct"/>
            <w:shd w:val="clear" w:color="auto" w:fill="auto"/>
            <w:vAlign w:val="center"/>
          </w:tcPr>
          <w:p w14:paraId="4911E2E0">
            <w:pPr>
              <w:spacing w:line="360" w:lineRule="auto"/>
              <w:rPr>
                <w:b w:val="0"/>
                <w:bCs w:val="0"/>
                <w:color w:val="auto"/>
              </w:rPr>
            </w:pPr>
            <w:r>
              <w:rPr>
                <w:rFonts w:hint="eastAsia"/>
                <w:b w:val="0"/>
                <w:bCs w:val="0"/>
                <w:color w:val="auto"/>
              </w:rPr>
              <w:t>支持通过网络、闪存盘对操作系统、驱动进行升级。</w:t>
            </w:r>
          </w:p>
        </w:tc>
      </w:tr>
      <w:tr w14:paraId="27F4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E3FD199">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restart"/>
            <w:shd w:val="clear" w:color="auto" w:fill="auto"/>
            <w:vAlign w:val="center"/>
          </w:tcPr>
          <w:p w14:paraId="41589061">
            <w:pPr>
              <w:spacing w:line="360" w:lineRule="auto"/>
              <w:rPr>
                <w:b w:val="0"/>
                <w:bCs w:val="0"/>
                <w:color w:val="auto"/>
              </w:rPr>
            </w:pPr>
            <w:r>
              <w:rPr>
                <w:rFonts w:hint="eastAsia"/>
                <w:b w:val="0"/>
                <w:bCs w:val="0"/>
                <w:color w:val="auto"/>
              </w:rPr>
              <w:t>操作系统功能</w:t>
            </w:r>
          </w:p>
        </w:tc>
        <w:tc>
          <w:tcPr>
            <w:tcW w:w="3174" w:type="pct"/>
            <w:shd w:val="clear" w:color="auto" w:fill="auto"/>
            <w:vAlign w:val="center"/>
          </w:tcPr>
          <w:p w14:paraId="7DA7C31C">
            <w:pPr>
              <w:spacing w:line="360" w:lineRule="auto"/>
              <w:rPr>
                <w:b w:val="0"/>
                <w:bCs w:val="0"/>
                <w:color w:val="auto"/>
              </w:rPr>
            </w:pPr>
            <w:r>
              <w:rPr>
                <w:rFonts w:hint="eastAsia"/>
                <w:b w:val="0"/>
                <w:bCs w:val="0"/>
                <w:color w:val="auto"/>
              </w:rPr>
              <w:t>支持访问控制、安全审计、网络接入鉴别等功能。</w:t>
            </w:r>
          </w:p>
        </w:tc>
      </w:tr>
      <w:tr w14:paraId="2A33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7C7E702D">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19A26663">
            <w:pPr>
              <w:spacing w:line="360" w:lineRule="auto"/>
              <w:rPr>
                <w:b w:val="0"/>
                <w:bCs w:val="0"/>
                <w:color w:val="auto"/>
              </w:rPr>
            </w:pPr>
          </w:p>
        </w:tc>
        <w:tc>
          <w:tcPr>
            <w:tcW w:w="3174" w:type="pct"/>
            <w:shd w:val="clear" w:color="auto" w:fill="auto"/>
            <w:vAlign w:val="center"/>
          </w:tcPr>
          <w:p w14:paraId="063E96FF">
            <w:pPr>
              <w:spacing w:line="360" w:lineRule="auto"/>
              <w:rPr>
                <w:b w:val="0"/>
                <w:bCs w:val="0"/>
                <w:color w:val="auto"/>
              </w:rPr>
            </w:pPr>
            <w:r>
              <w:rPr>
                <w:rFonts w:hint="eastAsia"/>
                <w:b w:val="0"/>
                <w:bCs w:val="0"/>
                <w:color w:val="auto"/>
              </w:rPr>
              <w:t>操作系统其他功能应满足操作系统政府采购需求标准中加*的指标要求。</w:t>
            </w:r>
          </w:p>
        </w:tc>
      </w:tr>
      <w:tr w14:paraId="09ED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F706641">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660F9797">
            <w:pPr>
              <w:spacing w:line="360" w:lineRule="auto"/>
              <w:rPr>
                <w:b w:val="0"/>
                <w:bCs w:val="0"/>
                <w:color w:val="auto"/>
              </w:rPr>
            </w:pPr>
            <w:r>
              <w:rPr>
                <w:rFonts w:hint="eastAsia"/>
                <w:b w:val="0"/>
                <w:bCs w:val="0"/>
                <w:color w:val="auto"/>
              </w:rPr>
              <w:t>中文信息处理</w:t>
            </w:r>
          </w:p>
        </w:tc>
        <w:tc>
          <w:tcPr>
            <w:tcW w:w="3174" w:type="pct"/>
            <w:shd w:val="clear" w:color="auto" w:fill="auto"/>
            <w:vAlign w:val="center"/>
          </w:tcPr>
          <w:p w14:paraId="7F375CBC">
            <w:pPr>
              <w:spacing w:line="360" w:lineRule="auto"/>
              <w:rPr>
                <w:b w:val="0"/>
                <w:bCs w:val="0"/>
                <w:color w:val="auto"/>
              </w:rPr>
            </w:pPr>
            <w:r>
              <w:rPr>
                <w:rFonts w:hint="eastAsia"/>
                <w:b w:val="0"/>
                <w:bCs w:val="0"/>
                <w:color w:val="auto"/>
              </w:rPr>
              <w:t>涉及中文信息处理内容应符合GB18030要求。</w:t>
            </w:r>
          </w:p>
        </w:tc>
      </w:tr>
      <w:tr w14:paraId="4D0D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7A34215A">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CF06B23">
            <w:pPr>
              <w:spacing w:line="360" w:lineRule="auto"/>
              <w:rPr>
                <w:b w:val="0"/>
                <w:bCs w:val="0"/>
                <w:color w:val="auto"/>
              </w:rPr>
            </w:pPr>
            <w:r>
              <w:rPr>
                <w:rFonts w:hint="eastAsia"/>
                <w:b w:val="0"/>
                <w:bCs w:val="0"/>
                <w:color w:val="auto"/>
              </w:rPr>
              <w:t>故障检测</w:t>
            </w:r>
          </w:p>
        </w:tc>
        <w:tc>
          <w:tcPr>
            <w:tcW w:w="3174" w:type="pct"/>
            <w:shd w:val="clear" w:color="auto" w:fill="auto"/>
            <w:vAlign w:val="center"/>
          </w:tcPr>
          <w:p w14:paraId="6E4AF7B4">
            <w:pPr>
              <w:spacing w:line="360" w:lineRule="auto"/>
              <w:rPr>
                <w:b w:val="0"/>
                <w:bCs w:val="0"/>
                <w:color w:val="auto"/>
              </w:rPr>
            </w:pPr>
            <w:r>
              <w:rPr>
                <w:rFonts w:hint="eastAsia"/>
                <w:b w:val="0"/>
                <w:bCs w:val="0"/>
                <w:color w:val="auto"/>
              </w:rPr>
              <w:t>支持故障检测功能，可以检测到具体的FRU（内存、硬盘等）的故障并发出告警声音。</w:t>
            </w:r>
          </w:p>
        </w:tc>
      </w:tr>
      <w:tr w14:paraId="67DF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1CF39526">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47ADA1C7">
            <w:pPr>
              <w:spacing w:line="360" w:lineRule="auto"/>
              <w:rPr>
                <w:b w:val="0"/>
                <w:bCs w:val="0"/>
                <w:color w:val="auto"/>
              </w:rPr>
            </w:pPr>
            <w:r>
              <w:rPr>
                <w:rFonts w:hint="eastAsia"/>
                <w:b w:val="0"/>
                <w:bCs w:val="0"/>
                <w:color w:val="auto"/>
              </w:rPr>
              <w:t>弱口令字典检查</w:t>
            </w:r>
          </w:p>
        </w:tc>
        <w:tc>
          <w:tcPr>
            <w:tcW w:w="3174" w:type="pct"/>
            <w:shd w:val="clear" w:color="auto" w:fill="auto"/>
            <w:vAlign w:val="center"/>
          </w:tcPr>
          <w:p w14:paraId="6B243A5D">
            <w:pPr>
              <w:spacing w:line="360" w:lineRule="auto"/>
              <w:rPr>
                <w:b w:val="0"/>
                <w:bCs w:val="0"/>
                <w:color w:val="auto"/>
              </w:rPr>
            </w:pPr>
            <w:r>
              <w:rPr>
                <w:rFonts w:hint="eastAsia"/>
                <w:b w:val="0"/>
                <w:bCs w:val="0"/>
                <w:color w:val="auto"/>
              </w:rPr>
              <w:t>支持弱口令字典检查功能，出现在弱口令字典中的字符串不能被设置为用户口令。</w:t>
            </w:r>
          </w:p>
        </w:tc>
      </w:tr>
      <w:tr w14:paraId="3F07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1538156D">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39AA7E7">
            <w:pPr>
              <w:spacing w:line="360" w:lineRule="auto"/>
              <w:rPr>
                <w:b w:val="0"/>
                <w:bCs w:val="0"/>
                <w:color w:val="auto"/>
              </w:rPr>
            </w:pPr>
            <w:r>
              <w:rPr>
                <w:rFonts w:hint="eastAsia"/>
                <w:b w:val="0"/>
                <w:bCs w:val="0"/>
                <w:color w:val="auto"/>
              </w:rPr>
              <w:t>白名单访问控制</w:t>
            </w:r>
          </w:p>
        </w:tc>
        <w:tc>
          <w:tcPr>
            <w:tcW w:w="3174" w:type="pct"/>
            <w:shd w:val="clear" w:color="auto" w:fill="auto"/>
            <w:vAlign w:val="center"/>
          </w:tcPr>
          <w:p w14:paraId="7F281052">
            <w:pPr>
              <w:spacing w:line="360" w:lineRule="auto"/>
              <w:rPr>
                <w:b w:val="0"/>
                <w:bCs w:val="0"/>
                <w:color w:val="auto"/>
              </w:rPr>
            </w:pPr>
            <w:r>
              <w:rPr>
                <w:rFonts w:hint="eastAsia"/>
                <w:b w:val="0"/>
                <w:bCs w:val="0"/>
                <w:color w:val="auto"/>
              </w:rPr>
              <w:t>支持基于时间、IP 或 MAC 白名单访问控制。</w:t>
            </w:r>
          </w:p>
        </w:tc>
      </w:tr>
      <w:tr w14:paraId="5EA2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0F155018">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FAE6782">
            <w:pPr>
              <w:spacing w:line="360" w:lineRule="auto"/>
              <w:rPr>
                <w:b w:val="0"/>
                <w:bCs w:val="0"/>
                <w:color w:val="auto"/>
              </w:rPr>
            </w:pPr>
            <w:r>
              <w:rPr>
                <w:rFonts w:hint="eastAsia"/>
                <w:b w:val="0"/>
                <w:bCs w:val="0"/>
                <w:color w:val="auto"/>
              </w:rPr>
              <w:t>二次鉴别</w:t>
            </w:r>
          </w:p>
        </w:tc>
        <w:tc>
          <w:tcPr>
            <w:tcW w:w="3174" w:type="pct"/>
            <w:shd w:val="clear" w:color="auto" w:fill="auto"/>
            <w:vAlign w:val="center"/>
          </w:tcPr>
          <w:p w14:paraId="20C5C84F">
            <w:pPr>
              <w:spacing w:line="360" w:lineRule="auto"/>
              <w:rPr>
                <w:b w:val="0"/>
                <w:bCs w:val="0"/>
                <w:color w:val="auto"/>
              </w:rPr>
            </w:pPr>
            <w:r>
              <w:rPr>
                <w:rFonts w:hint="eastAsia"/>
                <w:b w:val="0"/>
                <w:bCs w:val="0"/>
                <w:color w:val="auto"/>
              </w:rPr>
              <w:t>支持二次鉴别功能。对于用户配置、权限配置、公钥导入等重要的管理操作，已登录用户应通过二次鉴别后，才能执行操作。</w:t>
            </w:r>
          </w:p>
        </w:tc>
      </w:tr>
      <w:tr w14:paraId="65FA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13D56733">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7CE4BA3C">
            <w:pPr>
              <w:spacing w:line="360" w:lineRule="auto"/>
              <w:rPr>
                <w:b w:val="0"/>
                <w:bCs w:val="0"/>
                <w:color w:val="auto"/>
              </w:rPr>
            </w:pPr>
            <w:r>
              <w:rPr>
                <w:rFonts w:hint="eastAsia"/>
                <w:b w:val="0"/>
                <w:bCs w:val="0"/>
                <w:color w:val="auto"/>
              </w:rPr>
              <w:t>密码证书安全加密存储</w:t>
            </w:r>
          </w:p>
        </w:tc>
        <w:tc>
          <w:tcPr>
            <w:tcW w:w="3174" w:type="pct"/>
            <w:shd w:val="clear" w:color="auto" w:fill="auto"/>
            <w:vAlign w:val="center"/>
          </w:tcPr>
          <w:p w14:paraId="6DC97E2A">
            <w:pPr>
              <w:spacing w:line="360" w:lineRule="auto"/>
              <w:rPr>
                <w:b w:val="0"/>
                <w:bCs w:val="0"/>
                <w:color w:val="auto"/>
              </w:rPr>
            </w:pPr>
            <w:r>
              <w:rPr>
                <w:rFonts w:hint="eastAsia"/>
                <w:b w:val="0"/>
                <w:bCs w:val="0"/>
                <w:color w:val="auto"/>
              </w:rPr>
              <w:t>支持对带外管理系统中的用户口令和证书等敏感信息进行加密存储，禁止使用私有的和业界已知不安全的密码算法。</w:t>
            </w:r>
          </w:p>
        </w:tc>
      </w:tr>
      <w:tr w14:paraId="2191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42F30AD7">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00F3C51B">
            <w:pPr>
              <w:spacing w:line="360" w:lineRule="auto"/>
              <w:rPr>
                <w:b w:val="0"/>
                <w:bCs w:val="0"/>
                <w:color w:val="auto"/>
              </w:rPr>
            </w:pPr>
            <w:r>
              <w:rPr>
                <w:rFonts w:hint="eastAsia"/>
                <w:b w:val="0"/>
                <w:bCs w:val="0"/>
                <w:color w:val="auto"/>
              </w:rPr>
              <w:t>敏感信息安全加密传输</w:t>
            </w:r>
          </w:p>
        </w:tc>
        <w:tc>
          <w:tcPr>
            <w:tcW w:w="3174" w:type="pct"/>
            <w:shd w:val="clear" w:color="auto" w:fill="auto"/>
            <w:vAlign w:val="center"/>
          </w:tcPr>
          <w:p w14:paraId="22DD5EF9">
            <w:pPr>
              <w:spacing w:line="360" w:lineRule="auto"/>
              <w:rPr>
                <w:b w:val="0"/>
                <w:bCs w:val="0"/>
                <w:color w:val="auto"/>
              </w:rPr>
            </w:pPr>
            <w:r>
              <w:rPr>
                <w:rFonts w:hint="eastAsia"/>
                <w:b w:val="0"/>
                <w:bCs w:val="0"/>
                <w:color w:val="auto"/>
              </w:rPr>
              <w:t>支持使用安全的传输加密协议（如SSH或 HTTPS 等）传输用户的敏感信息。</w:t>
            </w:r>
          </w:p>
        </w:tc>
      </w:tr>
      <w:tr w14:paraId="6E61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6" w:type="pct"/>
            <w:shd w:val="clear" w:color="auto" w:fill="auto"/>
            <w:vAlign w:val="center"/>
          </w:tcPr>
          <w:p w14:paraId="5B3E9943">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0B8A78EC">
            <w:pPr>
              <w:spacing w:line="360" w:lineRule="auto"/>
              <w:rPr>
                <w:b w:val="0"/>
                <w:bCs w:val="0"/>
                <w:color w:val="auto"/>
              </w:rPr>
            </w:pPr>
            <w:r>
              <w:rPr>
                <w:rFonts w:hint="eastAsia"/>
                <w:b w:val="0"/>
                <w:bCs w:val="0"/>
                <w:color w:val="auto"/>
              </w:rPr>
              <w:t>研发过程安全</w:t>
            </w:r>
          </w:p>
        </w:tc>
        <w:tc>
          <w:tcPr>
            <w:tcW w:w="3174" w:type="pct"/>
            <w:shd w:val="clear" w:color="auto" w:fill="auto"/>
            <w:vAlign w:val="center"/>
          </w:tcPr>
          <w:p w14:paraId="5A4D9BDF">
            <w:pPr>
              <w:spacing w:line="360" w:lineRule="auto"/>
              <w:rPr>
                <w:b w:val="0"/>
                <w:bCs w:val="0"/>
                <w:color w:val="auto"/>
              </w:rPr>
            </w:pPr>
            <w:r>
              <w:rPr>
                <w:rFonts w:hint="eastAsia"/>
                <w:b w:val="0"/>
                <w:bCs w:val="0"/>
                <w:color w:val="auto"/>
              </w:rPr>
              <w:t>供应商应承诺，生产商已建立从需求、设计、开发、测试、维护端到端的开发流程管理机制，输出和保存开发流程中每个阶段的产品需求清单、设计文档、开发文档、测试记录等材料，保证各个流程可追溯。</w:t>
            </w:r>
          </w:p>
        </w:tc>
      </w:tr>
      <w:tr w14:paraId="4F65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330FA5BC">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7A55F5A2">
            <w:pPr>
              <w:spacing w:line="360" w:lineRule="auto"/>
              <w:rPr>
                <w:b w:val="0"/>
                <w:bCs w:val="0"/>
                <w:color w:val="auto"/>
              </w:rPr>
            </w:pPr>
            <w:r>
              <w:rPr>
                <w:rFonts w:hint="eastAsia"/>
                <w:b w:val="0"/>
                <w:bCs w:val="0"/>
                <w:color w:val="auto"/>
              </w:rPr>
              <w:t>物理安全</w:t>
            </w:r>
          </w:p>
        </w:tc>
        <w:tc>
          <w:tcPr>
            <w:tcW w:w="3174" w:type="pct"/>
            <w:shd w:val="clear" w:color="auto" w:fill="auto"/>
            <w:vAlign w:val="center"/>
          </w:tcPr>
          <w:p w14:paraId="4EBD4DF9">
            <w:pPr>
              <w:spacing w:line="360" w:lineRule="auto"/>
              <w:rPr>
                <w:b w:val="0"/>
                <w:bCs w:val="0"/>
                <w:color w:val="auto"/>
              </w:rPr>
            </w:pPr>
            <w:r>
              <w:rPr>
                <w:rFonts w:hint="eastAsia"/>
                <w:b w:val="0"/>
                <w:bCs w:val="0"/>
                <w:color w:val="auto"/>
              </w:rPr>
              <w:t>安全要求应符合 GB 4943.1 的规定。</w:t>
            </w:r>
          </w:p>
        </w:tc>
      </w:tr>
      <w:tr w14:paraId="2297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76D1233A">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504153E4">
            <w:pPr>
              <w:spacing w:line="360" w:lineRule="auto"/>
              <w:rPr>
                <w:b w:val="0"/>
                <w:bCs w:val="0"/>
                <w:color w:val="auto"/>
              </w:rPr>
            </w:pPr>
            <w:r>
              <w:rPr>
                <w:rFonts w:hint="eastAsia"/>
                <w:b w:val="0"/>
                <w:bCs w:val="0"/>
                <w:color w:val="auto"/>
              </w:rPr>
              <w:t>限用物质的限量要求</w:t>
            </w:r>
          </w:p>
        </w:tc>
        <w:tc>
          <w:tcPr>
            <w:tcW w:w="3174" w:type="pct"/>
            <w:shd w:val="clear" w:color="auto" w:fill="auto"/>
            <w:vAlign w:val="center"/>
          </w:tcPr>
          <w:p w14:paraId="753C3A5A">
            <w:pPr>
              <w:spacing w:line="360" w:lineRule="auto"/>
              <w:rPr>
                <w:b w:val="0"/>
                <w:bCs w:val="0"/>
                <w:color w:val="auto"/>
              </w:rPr>
            </w:pPr>
            <w:r>
              <w:rPr>
                <w:rFonts w:hint="eastAsia"/>
                <w:b w:val="0"/>
                <w:bCs w:val="0"/>
                <w:color w:val="auto"/>
              </w:rPr>
              <w:t>限用物质的限量应符合 GB/T 26572的要求。</w:t>
            </w:r>
          </w:p>
        </w:tc>
      </w:tr>
      <w:tr w14:paraId="1DA7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27CE27B5">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AD615AF">
            <w:pPr>
              <w:spacing w:line="360" w:lineRule="auto"/>
              <w:rPr>
                <w:b w:val="0"/>
                <w:bCs w:val="0"/>
                <w:color w:val="auto"/>
              </w:rPr>
            </w:pPr>
            <w:r>
              <w:rPr>
                <w:rFonts w:hint="eastAsia"/>
                <w:b w:val="0"/>
                <w:bCs w:val="0"/>
                <w:color w:val="auto"/>
              </w:rPr>
              <w:t>CPU性能</w:t>
            </w:r>
          </w:p>
        </w:tc>
        <w:tc>
          <w:tcPr>
            <w:tcW w:w="3174" w:type="pct"/>
            <w:shd w:val="clear" w:color="auto" w:fill="auto"/>
            <w:vAlign w:val="center"/>
          </w:tcPr>
          <w:p w14:paraId="720AA6A0">
            <w:pPr>
              <w:spacing w:line="360" w:lineRule="auto"/>
              <w:rPr>
                <w:b w:val="0"/>
                <w:bCs w:val="0"/>
                <w:color w:val="auto"/>
              </w:rPr>
            </w:pPr>
            <w:r>
              <w:rPr>
                <w:rFonts w:hint="eastAsia"/>
                <w:b w:val="0"/>
                <w:bCs w:val="0"/>
                <w:color w:val="auto"/>
              </w:rPr>
              <w:t>CPU主频≥</w:t>
            </w:r>
            <w:r>
              <w:rPr>
                <w:b w:val="0"/>
                <w:bCs w:val="0"/>
                <w:color w:val="auto"/>
              </w:rPr>
              <w:t>2.</w:t>
            </w:r>
            <w:r>
              <w:rPr>
                <w:rFonts w:hint="eastAsia"/>
                <w:b w:val="0"/>
                <w:bCs w:val="0"/>
                <w:color w:val="auto"/>
                <w:lang w:val="en-US" w:eastAsia="zh-CN"/>
              </w:rPr>
              <w:t>2</w:t>
            </w:r>
            <w:r>
              <w:rPr>
                <w:rFonts w:hint="eastAsia"/>
                <w:b w:val="0"/>
                <w:bCs w:val="0"/>
                <w:color w:val="auto"/>
              </w:rPr>
              <w:t>GHz ，单CPU核数≥</w:t>
            </w:r>
            <w:r>
              <w:rPr>
                <w:rFonts w:hint="eastAsia"/>
                <w:b w:val="0"/>
                <w:bCs w:val="0"/>
                <w:color w:val="auto"/>
                <w:lang w:val="en-US" w:eastAsia="zh-CN"/>
              </w:rPr>
              <w:t>64</w:t>
            </w:r>
            <w:r>
              <w:rPr>
                <w:rFonts w:hint="eastAsia"/>
                <w:b w:val="0"/>
                <w:bCs w:val="0"/>
                <w:color w:val="auto"/>
              </w:rPr>
              <w:t>核</w:t>
            </w:r>
          </w:p>
        </w:tc>
      </w:tr>
      <w:tr w14:paraId="4E4E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31E85A38">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9D9EC5D">
            <w:pPr>
              <w:spacing w:line="360" w:lineRule="auto"/>
              <w:rPr>
                <w:b w:val="0"/>
                <w:bCs w:val="0"/>
                <w:color w:val="auto"/>
              </w:rPr>
            </w:pPr>
            <w:r>
              <w:rPr>
                <w:rFonts w:hint="eastAsia"/>
                <w:b w:val="0"/>
                <w:bCs w:val="0"/>
                <w:color w:val="auto"/>
              </w:rPr>
              <w:t>单内存模块内容</w:t>
            </w:r>
          </w:p>
        </w:tc>
        <w:tc>
          <w:tcPr>
            <w:tcW w:w="3174" w:type="pct"/>
            <w:shd w:val="clear" w:color="auto" w:fill="auto"/>
            <w:vAlign w:val="center"/>
          </w:tcPr>
          <w:p w14:paraId="784D7357">
            <w:pPr>
              <w:spacing w:line="360" w:lineRule="auto"/>
              <w:rPr>
                <w:b w:val="0"/>
                <w:bCs w:val="0"/>
                <w:color w:val="auto"/>
              </w:rPr>
            </w:pPr>
            <w:r>
              <w:rPr>
                <w:rFonts w:hint="eastAsia"/>
                <w:b w:val="0"/>
                <w:bCs w:val="0"/>
                <w:color w:val="auto"/>
              </w:rPr>
              <w:t>≥64GB</w:t>
            </w:r>
          </w:p>
        </w:tc>
      </w:tr>
      <w:tr w14:paraId="1C8A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566" w:type="pct"/>
            <w:shd w:val="clear" w:color="auto" w:fill="auto"/>
            <w:vAlign w:val="center"/>
          </w:tcPr>
          <w:p w14:paraId="3D9CAA2D">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E396640">
            <w:pPr>
              <w:spacing w:line="360" w:lineRule="auto"/>
              <w:rPr>
                <w:b w:val="0"/>
                <w:bCs w:val="0"/>
                <w:color w:val="auto"/>
              </w:rPr>
            </w:pPr>
            <w:r>
              <w:rPr>
                <w:rFonts w:hint="eastAsia"/>
                <w:b w:val="0"/>
                <w:bCs w:val="0"/>
                <w:color w:val="auto"/>
              </w:rPr>
              <w:t>内存速率</w:t>
            </w:r>
          </w:p>
        </w:tc>
        <w:tc>
          <w:tcPr>
            <w:tcW w:w="3174" w:type="pct"/>
            <w:shd w:val="clear" w:color="auto" w:fill="auto"/>
            <w:vAlign w:val="center"/>
          </w:tcPr>
          <w:p w14:paraId="3B14804A">
            <w:pPr>
              <w:spacing w:line="360" w:lineRule="auto"/>
              <w:rPr>
                <w:b w:val="0"/>
                <w:bCs w:val="0"/>
                <w:color w:val="auto"/>
              </w:rPr>
            </w:pPr>
            <w:r>
              <w:rPr>
                <w:rFonts w:hint="eastAsia"/>
                <w:b w:val="0"/>
                <w:bCs w:val="0"/>
                <w:color w:val="auto"/>
              </w:rPr>
              <w:t>≥</w:t>
            </w:r>
            <w:r>
              <w:rPr>
                <w:rFonts w:hint="eastAsia"/>
                <w:b w:val="0"/>
                <w:bCs w:val="0"/>
                <w:color w:val="auto"/>
                <w:lang w:val="en-US" w:eastAsia="zh-CN"/>
              </w:rPr>
              <w:t>48</w:t>
            </w:r>
            <w:r>
              <w:rPr>
                <w:rFonts w:hint="eastAsia"/>
                <w:b w:val="0"/>
                <w:bCs w:val="0"/>
                <w:color w:val="auto"/>
              </w:rPr>
              <w:t>00MHz。</w:t>
            </w:r>
          </w:p>
        </w:tc>
      </w:tr>
      <w:tr w14:paraId="5BB0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44FEF30">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0997B24C">
            <w:pPr>
              <w:spacing w:line="360" w:lineRule="auto"/>
              <w:rPr>
                <w:b w:val="0"/>
                <w:bCs w:val="0"/>
                <w:color w:val="auto"/>
              </w:rPr>
            </w:pPr>
            <w:r>
              <w:rPr>
                <w:rFonts w:hint="eastAsia"/>
                <w:b w:val="0"/>
                <w:bCs w:val="0"/>
                <w:color w:val="auto"/>
              </w:rPr>
              <w:t>电源能耗</w:t>
            </w:r>
          </w:p>
        </w:tc>
        <w:tc>
          <w:tcPr>
            <w:tcW w:w="3174" w:type="pct"/>
            <w:shd w:val="clear" w:color="auto" w:fill="auto"/>
            <w:vAlign w:val="center"/>
          </w:tcPr>
          <w:p w14:paraId="1B9FC762">
            <w:pPr>
              <w:spacing w:line="360" w:lineRule="auto"/>
              <w:rPr>
                <w:b w:val="0"/>
                <w:bCs w:val="0"/>
                <w:color w:val="auto"/>
              </w:rPr>
            </w:pPr>
            <w:r>
              <w:rPr>
                <w:rFonts w:hint="eastAsia"/>
                <w:b w:val="0"/>
                <w:bCs w:val="0"/>
                <w:color w:val="auto"/>
              </w:rPr>
              <w:t>符合 GB/T 9813.3 的有关规定。</w:t>
            </w:r>
          </w:p>
        </w:tc>
      </w:tr>
      <w:tr w14:paraId="568F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245523F7">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7151820F">
            <w:pPr>
              <w:spacing w:line="360" w:lineRule="auto"/>
              <w:rPr>
                <w:b w:val="0"/>
                <w:bCs w:val="0"/>
                <w:color w:val="auto"/>
              </w:rPr>
            </w:pPr>
            <w:r>
              <w:rPr>
                <w:rFonts w:hint="eastAsia"/>
                <w:b w:val="0"/>
                <w:bCs w:val="0"/>
                <w:color w:val="auto"/>
              </w:rPr>
              <w:t>内存兼容性</w:t>
            </w:r>
          </w:p>
        </w:tc>
        <w:tc>
          <w:tcPr>
            <w:tcW w:w="3174" w:type="pct"/>
            <w:shd w:val="clear" w:color="auto" w:fill="auto"/>
            <w:vAlign w:val="center"/>
          </w:tcPr>
          <w:p w14:paraId="5EF776A7">
            <w:pPr>
              <w:spacing w:line="360" w:lineRule="auto"/>
              <w:rPr>
                <w:b w:val="0"/>
                <w:bCs w:val="0"/>
                <w:color w:val="auto"/>
              </w:rPr>
            </w:pPr>
            <w:r>
              <w:rPr>
                <w:rFonts w:hint="eastAsia"/>
                <w:b w:val="0"/>
                <w:bCs w:val="0"/>
                <w:color w:val="auto"/>
              </w:rPr>
              <w:t>适配 3 种及以上厂商的内存产品，且均不低于产品支持的内存规格。</w:t>
            </w:r>
          </w:p>
        </w:tc>
      </w:tr>
      <w:tr w14:paraId="52F6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668EB03D">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0B0BF5A5">
            <w:pPr>
              <w:spacing w:line="360" w:lineRule="auto"/>
              <w:rPr>
                <w:b w:val="0"/>
                <w:bCs w:val="0"/>
                <w:color w:val="auto"/>
              </w:rPr>
            </w:pPr>
            <w:r>
              <w:rPr>
                <w:rFonts w:hint="eastAsia"/>
                <w:b w:val="0"/>
                <w:bCs w:val="0"/>
                <w:color w:val="auto"/>
              </w:rPr>
              <w:t>固态存储兼容性</w:t>
            </w:r>
          </w:p>
        </w:tc>
        <w:tc>
          <w:tcPr>
            <w:tcW w:w="3174" w:type="pct"/>
            <w:shd w:val="clear" w:color="auto" w:fill="auto"/>
            <w:vAlign w:val="center"/>
          </w:tcPr>
          <w:p w14:paraId="64DB7A7B">
            <w:pPr>
              <w:spacing w:line="360" w:lineRule="auto"/>
              <w:rPr>
                <w:b w:val="0"/>
                <w:bCs w:val="0"/>
                <w:color w:val="auto"/>
              </w:rPr>
            </w:pPr>
            <w:r>
              <w:rPr>
                <w:rFonts w:hint="eastAsia"/>
                <w:b w:val="0"/>
                <w:bCs w:val="0"/>
                <w:color w:val="auto"/>
              </w:rPr>
              <w:t>适配 3 种或以上厂商的固态存储产品，且均不低于产品支持的固态存储设备规格。</w:t>
            </w:r>
          </w:p>
        </w:tc>
      </w:tr>
      <w:tr w14:paraId="21A1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59C0D648">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55E96C56">
            <w:pPr>
              <w:spacing w:line="360" w:lineRule="auto"/>
              <w:rPr>
                <w:b w:val="0"/>
                <w:bCs w:val="0"/>
                <w:color w:val="auto"/>
              </w:rPr>
            </w:pPr>
            <w:r>
              <w:rPr>
                <w:rFonts w:hint="eastAsia"/>
                <w:b w:val="0"/>
                <w:bCs w:val="0"/>
                <w:color w:val="auto"/>
              </w:rPr>
              <w:t>网卡兼容</w:t>
            </w:r>
          </w:p>
        </w:tc>
        <w:tc>
          <w:tcPr>
            <w:tcW w:w="3174" w:type="pct"/>
            <w:shd w:val="clear" w:color="auto" w:fill="auto"/>
            <w:vAlign w:val="center"/>
          </w:tcPr>
          <w:p w14:paraId="76EDF375">
            <w:pPr>
              <w:spacing w:line="360" w:lineRule="auto"/>
              <w:rPr>
                <w:b w:val="0"/>
                <w:bCs w:val="0"/>
                <w:color w:val="auto"/>
              </w:rPr>
            </w:pPr>
            <w:r>
              <w:rPr>
                <w:rFonts w:hint="eastAsia"/>
                <w:b w:val="0"/>
                <w:bCs w:val="0"/>
                <w:color w:val="auto"/>
              </w:rPr>
              <w:t>网卡应适配两种或以上厂商产品。</w:t>
            </w:r>
          </w:p>
        </w:tc>
      </w:tr>
      <w:tr w14:paraId="2933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589B99A3">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6461E1AC">
            <w:pPr>
              <w:spacing w:line="360" w:lineRule="auto"/>
              <w:rPr>
                <w:b w:val="0"/>
                <w:bCs w:val="0"/>
                <w:color w:val="auto"/>
              </w:rPr>
            </w:pPr>
            <w:r>
              <w:rPr>
                <w:rFonts w:hint="eastAsia"/>
                <w:b w:val="0"/>
                <w:bCs w:val="0"/>
                <w:color w:val="auto"/>
              </w:rPr>
              <w:t>功能卡兼容</w:t>
            </w:r>
          </w:p>
        </w:tc>
        <w:tc>
          <w:tcPr>
            <w:tcW w:w="3174" w:type="pct"/>
            <w:shd w:val="clear" w:color="auto" w:fill="auto"/>
            <w:vAlign w:val="center"/>
          </w:tcPr>
          <w:p w14:paraId="1A1B6D10">
            <w:pPr>
              <w:spacing w:line="360" w:lineRule="auto"/>
              <w:rPr>
                <w:b w:val="0"/>
                <w:bCs w:val="0"/>
                <w:color w:val="auto"/>
              </w:rPr>
            </w:pPr>
            <w:r>
              <w:rPr>
                <w:rFonts w:hint="eastAsia"/>
                <w:b w:val="0"/>
                <w:bCs w:val="0"/>
                <w:color w:val="auto"/>
              </w:rPr>
              <w:t>内置或适配符合 PCIe 的功能卡，如：网络功能卡、存储功能卡及图形显示功能卡。</w:t>
            </w:r>
          </w:p>
        </w:tc>
      </w:tr>
      <w:tr w14:paraId="0687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6" w:type="pct"/>
            <w:shd w:val="clear" w:color="auto" w:fill="auto"/>
            <w:vAlign w:val="center"/>
          </w:tcPr>
          <w:p w14:paraId="3EE6F715">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DA1B0CD">
            <w:pPr>
              <w:spacing w:line="360" w:lineRule="auto"/>
              <w:rPr>
                <w:b w:val="0"/>
                <w:bCs w:val="0"/>
                <w:color w:val="auto"/>
              </w:rPr>
            </w:pPr>
            <w:r>
              <w:rPr>
                <w:rFonts w:hint="eastAsia"/>
                <w:b w:val="0"/>
                <w:bCs w:val="0"/>
                <w:color w:val="auto"/>
              </w:rPr>
              <w:t>外设兼容性</w:t>
            </w:r>
          </w:p>
        </w:tc>
        <w:tc>
          <w:tcPr>
            <w:tcW w:w="3174" w:type="pct"/>
            <w:shd w:val="clear" w:color="auto" w:fill="auto"/>
            <w:vAlign w:val="center"/>
          </w:tcPr>
          <w:p w14:paraId="7F088FF2">
            <w:pPr>
              <w:spacing w:line="360" w:lineRule="auto"/>
              <w:rPr>
                <w:b w:val="0"/>
                <w:bCs w:val="0"/>
                <w:color w:val="auto"/>
              </w:rPr>
            </w:pPr>
            <w:r>
              <w:rPr>
                <w:rFonts w:hint="eastAsia"/>
                <w:b w:val="0"/>
                <w:bCs w:val="0"/>
                <w:color w:val="auto"/>
              </w:rPr>
              <w:t>兼容多种主流生产商的外部设备，包括显示器、键盘、 鼠标、闪存盘、移动硬盘、USB 光驱及 KVM 等，要求使用不同厂商的外部设备时，系统均能正常识别和安装驱动。</w:t>
            </w:r>
          </w:p>
        </w:tc>
      </w:tr>
      <w:tr w14:paraId="1302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B7735CA">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77574C10">
            <w:pPr>
              <w:spacing w:line="360" w:lineRule="auto"/>
              <w:rPr>
                <w:b w:val="0"/>
                <w:bCs w:val="0"/>
                <w:color w:val="auto"/>
              </w:rPr>
            </w:pPr>
            <w:r>
              <w:rPr>
                <w:rFonts w:hint="eastAsia"/>
                <w:b w:val="0"/>
                <w:bCs w:val="0"/>
                <w:color w:val="auto"/>
              </w:rPr>
              <w:t>数据库兼容</w:t>
            </w:r>
          </w:p>
        </w:tc>
        <w:tc>
          <w:tcPr>
            <w:tcW w:w="3174" w:type="pct"/>
            <w:shd w:val="clear" w:color="auto" w:fill="auto"/>
            <w:vAlign w:val="center"/>
          </w:tcPr>
          <w:p w14:paraId="6B0DFF2A">
            <w:pPr>
              <w:spacing w:line="360" w:lineRule="auto"/>
              <w:rPr>
                <w:b w:val="0"/>
                <w:bCs w:val="0"/>
                <w:color w:val="auto"/>
              </w:rPr>
            </w:pPr>
            <w:r>
              <w:rPr>
                <w:rFonts w:hint="eastAsia"/>
                <w:b w:val="0"/>
                <w:bCs w:val="0"/>
                <w:color w:val="auto"/>
              </w:rPr>
              <w:t>兼容 3 个及以上厂商的数据库产品。</w:t>
            </w:r>
          </w:p>
        </w:tc>
      </w:tr>
      <w:tr w14:paraId="7045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71DC3E1D">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947C7BC">
            <w:pPr>
              <w:spacing w:line="360" w:lineRule="auto"/>
              <w:rPr>
                <w:b w:val="0"/>
                <w:bCs w:val="0"/>
                <w:color w:val="auto"/>
              </w:rPr>
            </w:pPr>
            <w:r>
              <w:rPr>
                <w:rFonts w:hint="eastAsia"/>
                <w:b w:val="0"/>
                <w:bCs w:val="0"/>
                <w:color w:val="auto"/>
              </w:rPr>
              <w:t>中间件兼容</w:t>
            </w:r>
          </w:p>
        </w:tc>
        <w:tc>
          <w:tcPr>
            <w:tcW w:w="3174" w:type="pct"/>
            <w:shd w:val="clear" w:color="auto" w:fill="auto"/>
            <w:vAlign w:val="center"/>
          </w:tcPr>
          <w:p w14:paraId="41C65209">
            <w:pPr>
              <w:spacing w:line="360" w:lineRule="auto"/>
              <w:rPr>
                <w:b w:val="0"/>
                <w:bCs w:val="0"/>
                <w:color w:val="auto"/>
              </w:rPr>
            </w:pPr>
            <w:r>
              <w:rPr>
                <w:rFonts w:hint="eastAsia"/>
                <w:b w:val="0"/>
                <w:bCs w:val="0"/>
                <w:color w:val="auto"/>
              </w:rPr>
              <w:t>兼容 3 个及以上厂商的中间件产品。</w:t>
            </w:r>
          </w:p>
        </w:tc>
      </w:tr>
      <w:tr w14:paraId="4166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47DB0F0B">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39DCEBCB">
            <w:pPr>
              <w:spacing w:line="360" w:lineRule="auto"/>
              <w:rPr>
                <w:b w:val="0"/>
                <w:bCs w:val="0"/>
                <w:color w:val="auto"/>
              </w:rPr>
            </w:pPr>
            <w:r>
              <w:rPr>
                <w:rFonts w:hint="eastAsia"/>
                <w:b w:val="0"/>
                <w:bCs w:val="0"/>
                <w:color w:val="auto"/>
              </w:rPr>
              <w:t>平台软件兼容</w:t>
            </w:r>
          </w:p>
        </w:tc>
        <w:tc>
          <w:tcPr>
            <w:tcW w:w="3174" w:type="pct"/>
            <w:shd w:val="clear" w:color="auto" w:fill="auto"/>
            <w:vAlign w:val="center"/>
          </w:tcPr>
          <w:p w14:paraId="6B4E9991">
            <w:pPr>
              <w:spacing w:line="360" w:lineRule="auto"/>
              <w:rPr>
                <w:b w:val="0"/>
                <w:bCs w:val="0"/>
                <w:color w:val="auto"/>
              </w:rPr>
            </w:pPr>
            <w:r>
              <w:rPr>
                <w:rFonts w:hint="eastAsia"/>
                <w:b w:val="0"/>
                <w:bCs w:val="0"/>
                <w:color w:val="auto"/>
              </w:rPr>
              <w:t>兼容 3 个及以上厂商的大数据平台。</w:t>
            </w:r>
          </w:p>
        </w:tc>
      </w:tr>
      <w:tr w14:paraId="5A90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D91B6CC">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A1E7498">
            <w:pPr>
              <w:spacing w:line="360" w:lineRule="auto"/>
              <w:rPr>
                <w:b w:val="0"/>
                <w:bCs w:val="0"/>
                <w:color w:val="auto"/>
              </w:rPr>
            </w:pPr>
            <w:r>
              <w:rPr>
                <w:rFonts w:hint="eastAsia"/>
                <w:b w:val="0"/>
                <w:bCs w:val="0"/>
                <w:color w:val="auto"/>
              </w:rPr>
              <w:t>整机可靠性</w:t>
            </w:r>
          </w:p>
        </w:tc>
        <w:tc>
          <w:tcPr>
            <w:tcW w:w="3174" w:type="pct"/>
            <w:shd w:val="clear" w:color="auto" w:fill="auto"/>
            <w:vAlign w:val="center"/>
          </w:tcPr>
          <w:p w14:paraId="6D6BC5CE">
            <w:pPr>
              <w:spacing w:line="360" w:lineRule="auto"/>
              <w:rPr>
                <w:b w:val="0"/>
                <w:bCs w:val="0"/>
                <w:color w:val="auto"/>
              </w:rPr>
            </w:pPr>
            <w:r>
              <w:rPr>
                <w:rFonts w:hint="eastAsia"/>
                <w:b w:val="0"/>
                <w:bCs w:val="0"/>
                <w:color w:val="auto"/>
              </w:rPr>
              <w:t>m1 值（MTBF 的不可接受值）不得低于 30000h。</w:t>
            </w:r>
          </w:p>
        </w:tc>
      </w:tr>
      <w:tr w14:paraId="6209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FDF7B8E">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6B93EEEB">
            <w:pPr>
              <w:spacing w:line="360" w:lineRule="auto"/>
              <w:rPr>
                <w:b w:val="0"/>
                <w:bCs w:val="0"/>
                <w:color w:val="auto"/>
              </w:rPr>
            </w:pPr>
            <w:r>
              <w:rPr>
                <w:rFonts w:hint="eastAsia"/>
                <w:b w:val="0"/>
                <w:bCs w:val="0"/>
                <w:color w:val="auto"/>
              </w:rPr>
              <w:t>风扇可靠性</w:t>
            </w:r>
          </w:p>
        </w:tc>
        <w:tc>
          <w:tcPr>
            <w:tcW w:w="3174" w:type="pct"/>
            <w:shd w:val="clear" w:color="auto" w:fill="auto"/>
            <w:vAlign w:val="center"/>
          </w:tcPr>
          <w:p w14:paraId="2541A2A3">
            <w:pPr>
              <w:spacing w:line="360" w:lineRule="auto"/>
              <w:rPr>
                <w:b w:val="0"/>
                <w:bCs w:val="0"/>
                <w:color w:val="auto"/>
              </w:rPr>
            </w:pPr>
            <w:r>
              <w:rPr>
                <w:rFonts w:hint="eastAsia"/>
                <w:b w:val="0"/>
                <w:bCs w:val="0"/>
                <w:color w:val="auto"/>
              </w:rPr>
              <w:t>风扇寿命应不低于 40000h。</w:t>
            </w:r>
          </w:p>
        </w:tc>
      </w:tr>
      <w:tr w14:paraId="1FDA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0F12D821">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60FA23C2">
            <w:pPr>
              <w:spacing w:line="360" w:lineRule="auto"/>
              <w:rPr>
                <w:b w:val="0"/>
                <w:bCs w:val="0"/>
                <w:color w:val="auto"/>
              </w:rPr>
            </w:pPr>
            <w:r>
              <w:rPr>
                <w:rFonts w:hint="eastAsia"/>
                <w:b w:val="0"/>
                <w:bCs w:val="0"/>
                <w:color w:val="auto"/>
              </w:rPr>
              <w:t>部件可靠性</w:t>
            </w:r>
          </w:p>
        </w:tc>
        <w:tc>
          <w:tcPr>
            <w:tcW w:w="3174" w:type="pct"/>
            <w:shd w:val="clear" w:color="auto" w:fill="auto"/>
            <w:vAlign w:val="center"/>
          </w:tcPr>
          <w:p w14:paraId="773AA509">
            <w:pPr>
              <w:spacing w:line="360" w:lineRule="auto"/>
              <w:rPr>
                <w:b w:val="0"/>
                <w:bCs w:val="0"/>
                <w:color w:val="auto"/>
              </w:rPr>
            </w:pPr>
            <w:r>
              <w:rPr>
                <w:rFonts w:hint="eastAsia"/>
                <w:b w:val="0"/>
                <w:bCs w:val="0"/>
                <w:color w:val="auto"/>
              </w:rPr>
              <w:t>支持硬盘、电源、风扇热插拔(内置风扇除外)。</w:t>
            </w:r>
          </w:p>
        </w:tc>
      </w:tr>
      <w:tr w14:paraId="651E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14341809">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2D8AC8B8">
            <w:pPr>
              <w:spacing w:line="360" w:lineRule="auto"/>
              <w:rPr>
                <w:b w:val="0"/>
                <w:bCs w:val="0"/>
                <w:color w:val="auto"/>
              </w:rPr>
            </w:pPr>
            <w:r>
              <w:rPr>
                <w:rFonts w:hint="eastAsia"/>
                <w:b w:val="0"/>
                <w:bCs w:val="0"/>
                <w:color w:val="auto"/>
              </w:rPr>
              <w:t>标志、包装 、运输和贮存</w:t>
            </w:r>
          </w:p>
        </w:tc>
        <w:tc>
          <w:tcPr>
            <w:tcW w:w="3174" w:type="pct"/>
            <w:shd w:val="clear" w:color="auto" w:fill="auto"/>
            <w:vAlign w:val="center"/>
          </w:tcPr>
          <w:p w14:paraId="4042FE34">
            <w:pPr>
              <w:spacing w:line="360" w:lineRule="auto"/>
              <w:rPr>
                <w:b w:val="0"/>
                <w:bCs w:val="0"/>
                <w:color w:val="auto"/>
              </w:rPr>
            </w:pPr>
            <w:r>
              <w:rPr>
                <w:rFonts w:hint="eastAsia"/>
                <w:b w:val="0"/>
                <w:bCs w:val="0"/>
                <w:color w:val="auto"/>
              </w:rPr>
              <w:t>符合 GB/T 9813.3 和商品包装政府采购需求标准的相关规定。</w:t>
            </w:r>
          </w:p>
        </w:tc>
      </w:tr>
      <w:tr w14:paraId="44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FD1E613">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restart"/>
            <w:shd w:val="clear" w:color="auto" w:fill="auto"/>
            <w:vAlign w:val="center"/>
          </w:tcPr>
          <w:p w14:paraId="62745E30">
            <w:pPr>
              <w:spacing w:line="360" w:lineRule="auto"/>
              <w:rPr>
                <w:b w:val="0"/>
                <w:bCs w:val="0"/>
                <w:color w:val="auto"/>
              </w:rPr>
            </w:pPr>
            <w:r>
              <w:rPr>
                <w:rFonts w:hint="eastAsia"/>
                <w:b w:val="0"/>
                <w:bCs w:val="0"/>
                <w:color w:val="auto"/>
              </w:rPr>
              <w:t>服务响应</w:t>
            </w:r>
          </w:p>
        </w:tc>
        <w:tc>
          <w:tcPr>
            <w:tcW w:w="3174" w:type="pct"/>
            <w:shd w:val="clear" w:color="auto" w:fill="auto"/>
            <w:vAlign w:val="center"/>
          </w:tcPr>
          <w:p w14:paraId="254E37DF">
            <w:pPr>
              <w:spacing w:line="360" w:lineRule="auto"/>
              <w:rPr>
                <w:b w:val="0"/>
                <w:bCs w:val="0"/>
                <w:color w:val="auto"/>
              </w:rPr>
            </w:pPr>
            <w:r>
              <w:rPr>
                <w:rFonts w:hint="eastAsia"/>
                <w:b w:val="0"/>
                <w:bCs w:val="0"/>
                <w:color w:val="auto"/>
              </w:rPr>
              <w:t>提供电话、电子邮件、远程连接等多种形式服务。</w:t>
            </w:r>
          </w:p>
        </w:tc>
      </w:tr>
      <w:tr w14:paraId="3B58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69C80EFF">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3AF43BD5">
            <w:pPr>
              <w:spacing w:line="360" w:lineRule="auto"/>
              <w:rPr>
                <w:b w:val="0"/>
                <w:bCs w:val="0"/>
                <w:color w:val="auto"/>
              </w:rPr>
            </w:pPr>
          </w:p>
        </w:tc>
        <w:tc>
          <w:tcPr>
            <w:tcW w:w="3174" w:type="pct"/>
            <w:shd w:val="clear" w:color="auto" w:fill="auto"/>
            <w:vAlign w:val="center"/>
          </w:tcPr>
          <w:p w14:paraId="46A82322">
            <w:pPr>
              <w:spacing w:line="360" w:lineRule="auto"/>
              <w:rPr>
                <w:b w:val="0"/>
                <w:bCs w:val="0"/>
                <w:color w:val="auto"/>
              </w:rPr>
            </w:pPr>
            <w:r>
              <w:rPr>
                <w:rFonts w:hint="eastAsia"/>
                <w:b w:val="0"/>
                <w:bCs w:val="0"/>
                <w:color w:val="auto"/>
              </w:rPr>
              <w:t>提供同城 4h 、异地 12h 技术响应服务，2 个工作日解决问题，对于未能解决的问题和故障应提供可行的升级方案，并提供周转设备。</w:t>
            </w:r>
          </w:p>
        </w:tc>
      </w:tr>
      <w:tr w14:paraId="0869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558495C5">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5A729276">
            <w:pPr>
              <w:spacing w:line="360" w:lineRule="auto"/>
              <w:rPr>
                <w:b w:val="0"/>
                <w:bCs w:val="0"/>
                <w:color w:val="auto"/>
              </w:rPr>
            </w:pPr>
          </w:p>
        </w:tc>
        <w:tc>
          <w:tcPr>
            <w:tcW w:w="3174" w:type="pct"/>
            <w:shd w:val="clear" w:color="auto" w:fill="auto"/>
            <w:vAlign w:val="center"/>
          </w:tcPr>
          <w:p w14:paraId="7869A848">
            <w:pPr>
              <w:spacing w:line="360" w:lineRule="auto"/>
              <w:rPr>
                <w:b w:val="0"/>
                <w:bCs w:val="0"/>
                <w:color w:val="auto"/>
              </w:rPr>
            </w:pPr>
            <w:r>
              <w:rPr>
                <w:rFonts w:hint="eastAsia"/>
                <w:b w:val="0"/>
                <w:bCs w:val="0"/>
                <w:color w:val="auto"/>
              </w:rPr>
              <w:t>符合专业服务体系标准要求，提供原厂中文服务。</w:t>
            </w:r>
          </w:p>
        </w:tc>
      </w:tr>
      <w:tr w14:paraId="7DE6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5F4A7E7F">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47E3BB88">
            <w:pPr>
              <w:spacing w:line="360" w:lineRule="auto"/>
              <w:rPr>
                <w:b w:val="0"/>
                <w:bCs w:val="0"/>
                <w:color w:val="auto"/>
              </w:rPr>
            </w:pPr>
          </w:p>
        </w:tc>
        <w:tc>
          <w:tcPr>
            <w:tcW w:w="3174" w:type="pct"/>
            <w:shd w:val="clear" w:color="auto" w:fill="auto"/>
            <w:vAlign w:val="center"/>
          </w:tcPr>
          <w:p w14:paraId="069E31BE">
            <w:pPr>
              <w:spacing w:line="360" w:lineRule="auto"/>
              <w:rPr>
                <w:b w:val="0"/>
                <w:bCs w:val="0"/>
                <w:color w:val="auto"/>
              </w:rPr>
            </w:pPr>
            <w:r>
              <w:rPr>
                <w:rFonts w:hint="eastAsia"/>
                <w:b w:val="0"/>
                <w:bCs w:val="0"/>
                <w:color w:val="auto"/>
              </w:rPr>
              <w:t>服务周期内提供产品的维修、换件和升级服务。</w:t>
            </w:r>
          </w:p>
        </w:tc>
      </w:tr>
      <w:tr w14:paraId="10D9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20B69868">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18019B2F">
            <w:pPr>
              <w:spacing w:line="360" w:lineRule="auto"/>
              <w:rPr>
                <w:b w:val="0"/>
                <w:bCs w:val="0"/>
                <w:color w:val="auto"/>
              </w:rPr>
            </w:pPr>
            <w:r>
              <w:rPr>
                <w:rFonts w:hint="eastAsia"/>
                <w:b w:val="0"/>
                <w:bCs w:val="0"/>
                <w:color w:val="auto"/>
              </w:rPr>
              <w:t>培训服务</w:t>
            </w:r>
          </w:p>
        </w:tc>
        <w:tc>
          <w:tcPr>
            <w:tcW w:w="3174" w:type="pct"/>
            <w:shd w:val="clear" w:color="auto" w:fill="auto"/>
            <w:vAlign w:val="center"/>
          </w:tcPr>
          <w:p w14:paraId="10AB25E8">
            <w:pPr>
              <w:spacing w:line="360" w:lineRule="auto"/>
              <w:rPr>
                <w:b w:val="0"/>
                <w:bCs w:val="0"/>
                <w:color w:val="auto"/>
              </w:rPr>
            </w:pPr>
            <w:r>
              <w:rPr>
                <w:rFonts w:hint="eastAsia"/>
                <w:b w:val="0"/>
                <w:bCs w:val="0"/>
                <w:color w:val="auto"/>
              </w:rPr>
              <w:t>供应商提供培训材料、产品手册、培训视频等培训相关内容。</w:t>
            </w:r>
          </w:p>
        </w:tc>
      </w:tr>
      <w:tr w14:paraId="5653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11BAB80D">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restart"/>
            <w:shd w:val="clear" w:color="auto" w:fill="auto"/>
            <w:vAlign w:val="center"/>
          </w:tcPr>
          <w:p w14:paraId="43337941">
            <w:pPr>
              <w:spacing w:line="360" w:lineRule="auto"/>
              <w:rPr>
                <w:b w:val="0"/>
                <w:bCs w:val="0"/>
                <w:color w:val="auto"/>
              </w:rPr>
            </w:pPr>
            <w:r>
              <w:rPr>
                <w:rFonts w:hint="eastAsia"/>
                <w:b w:val="0"/>
                <w:bCs w:val="0"/>
                <w:color w:val="auto"/>
              </w:rPr>
              <w:t>服务周期</w:t>
            </w:r>
          </w:p>
        </w:tc>
        <w:tc>
          <w:tcPr>
            <w:tcW w:w="3174" w:type="pct"/>
            <w:shd w:val="clear" w:color="auto" w:fill="auto"/>
            <w:vAlign w:val="center"/>
          </w:tcPr>
          <w:p w14:paraId="28BF84BD">
            <w:pPr>
              <w:spacing w:line="360" w:lineRule="auto"/>
              <w:rPr>
                <w:b w:val="0"/>
                <w:bCs w:val="0"/>
                <w:color w:val="auto"/>
              </w:rPr>
            </w:pPr>
            <w:r>
              <w:rPr>
                <w:rFonts w:hint="eastAsia"/>
                <w:b w:val="0"/>
                <w:bCs w:val="0"/>
                <w:color w:val="auto"/>
              </w:rPr>
              <w:t>提供原厂商首次安装服务和≥3年7*24小时产品免费服务周期（含换件和维修）。</w:t>
            </w:r>
          </w:p>
        </w:tc>
      </w:tr>
      <w:tr w14:paraId="0B8C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F22DD36">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278D54FC">
            <w:pPr>
              <w:spacing w:line="360" w:lineRule="auto"/>
              <w:rPr>
                <w:b w:val="0"/>
                <w:bCs w:val="0"/>
                <w:color w:val="auto"/>
              </w:rPr>
            </w:pPr>
          </w:p>
        </w:tc>
        <w:tc>
          <w:tcPr>
            <w:tcW w:w="3174" w:type="pct"/>
            <w:shd w:val="clear" w:color="auto" w:fill="auto"/>
            <w:vAlign w:val="center"/>
          </w:tcPr>
          <w:p w14:paraId="7401FE77">
            <w:pPr>
              <w:spacing w:line="360" w:lineRule="auto"/>
              <w:rPr>
                <w:b w:val="0"/>
                <w:bCs w:val="0"/>
                <w:color w:val="auto"/>
              </w:rPr>
            </w:pPr>
            <w:r>
              <w:rPr>
                <w:rFonts w:hint="eastAsia"/>
                <w:b w:val="0"/>
                <w:bCs w:val="0"/>
                <w:color w:val="auto"/>
              </w:rPr>
              <w:t>产品停止服务时间应提前 1 年告知客户。</w:t>
            </w:r>
          </w:p>
        </w:tc>
      </w:tr>
      <w:tr w14:paraId="5DFD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19D7198F">
            <w:pPr>
              <w:pStyle w:val="17"/>
              <w:numPr>
                <w:ilvl w:val="0"/>
                <w:numId w:val="3"/>
              </w:numPr>
              <w:spacing w:line="360" w:lineRule="auto"/>
              <w:ind w:firstLineChars="0"/>
              <w:jc w:val="center"/>
              <w:rPr>
                <w:rFonts w:ascii="宋体" w:hAnsi="宋体" w:eastAsia="宋体"/>
                <w:b w:val="0"/>
                <w:bCs w:val="0"/>
                <w:color w:val="auto"/>
              </w:rPr>
            </w:pPr>
          </w:p>
        </w:tc>
        <w:tc>
          <w:tcPr>
            <w:tcW w:w="1259" w:type="pct"/>
            <w:vMerge w:val="continue"/>
            <w:vAlign w:val="center"/>
          </w:tcPr>
          <w:p w14:paraId="6BFC3C0B">
            <w:pPr>
              <w:spacing w:line="360" w:lineRule="auto"/>
              <w:rPr>
                <w:b w:val="0"/>
                <w:bCs w:val="0"/>
                <w:color w:val="auto"/>
              </w:rPr>
            </w:pPr>
          </w:p>
        </w:tc>
        <w:tc>
          <w:tcPr>
            <w:tcW w:w="3174" w:type="pct"/>
            <w:shd w:val="clear" w:color="auto" w:fill="auto"/>
            <w:vAlign w:val="center"/>
          </w:tcPr>
          <w:p w14:paraId="46985B92">
            <w:pPr>
              <w:spacing w:line="360" w:lineRule="auto"/>
              <w:rPr>
                <w:b w:val="0"/>
                <w:bCs w:val="0"/>
                <w:color w:val="auto"/>
              </w:rPr>
            </w:pPr>
            <w:r>
              <w:rPr>
                <w:rFonts w:hint="eastAsia"/>
                <w:b w:val="0"/>
                <w:bCs w:val="0"/>
                <w:color w:val="auto"/>
              </w:rPr>
              <w:t>产品发布日期需在随机文件中明确。</w:t>
            </w:r>
          </w:p>
        </w:tc>
      </w:tr>
      <w:tr w14:paraId="5C05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6BD4D2CE">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5EA81B40">
            <w:pPr>
              <w:spacing w:line="360" w:lineRule="auto"/>
              <w:rPr>
                <w:b w:val="0"/>
                <w:bCs w:val="0"/>
                <w:color w:val="auto"/>
              </w:rPr>
            </w:pPr>
            <w:r>
              <w:rPr>
                <w:rFonts w:hint="eastAsia"/>
                <w:b w:val="0"/>
                <w:bCs w:val="0"/>
                <w:color w:val="auto"/>
              </w:rPr>
              <w:t>工具要求</w:t>
            </w:r>
          </w:p>
        </w:tc>
        <w:tc>
          <w:tcPr>
            <w:tcW w:w="3174" w:type="pct"/>
            <w:shd w:val="clear" w:color="auto" w:fill="auto"/>
            <w:vAlign w:val="center"/>
          </w:tcPr>
          <w:p w14:paraId="722A4E2C">
            <w:pPr>
              <w:spacing w:line="360" w:lineRule="auto"/>
              <w:rPr>
                <w:b w:val="0"/>
                <w:bCs w:val="0"/>
                <w:color w:val="auto"/>
              </w:rPr>
            </w:pPr>
            <w:r>
              <w:rPr>
                <w:rFonts w:hint="eastAsia"/>
                <w:b w:val="0"/>
                <w:bCs w:val="0"/>
                <w:color w:val="auto"/>
              </w:rPr>
              <w:t>供应商提供设置服务器硬件、辅助操作系统安装等功能的辅助工具和管理软件。且随附软件应具有合法授权或版权。</w:t>
            </w:r>
          </w:p>
        </w:tc>
      </w:tr>
      <w:tr w14:paraId="2745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6A309D60">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66125A2B">
            <w:pPr>
              <w:spacing w:line="360" w:lineRule="auto"/>
              <w:rPr>
                <w:b w:val="0"/>
                <w:bCs w:val="0"/>
                <w:color w:val="auto"/>
              </w:rPr>
            </w:pPr>
            <w:r>
              <w:rPr>
                <w:rFonts w:hint="eastAsia"/>
                <w:b w:val="0"/>
                <w:bCs w:val="0"/>
                <w:color w:val="auto"/>
              </w:rPr>
              <w:t>驱动按照升级指引</w:t>
            </w:r>
          </w:p>
        </w:tc>
        <w:tc>
          <w:tcPr>
            <w:tcW w:w="3174" w:type="pct"/>
            <w:shd w:val="clear" w:color="auto" w:fill="auto"/>
            <w:vAlign w:val="center"/>
          </w:tcPr>
          <w:p w14:paraId="691A0BD8">
            <w:pPr>
              <w:spacing w:line="360" w:lineRule="auto"/>
              <w:rPr>
                <w:b w:val="0"/>
                <w:bCs w:val="0"/>
                <w:color w:val="auto"/>
              </w:rPr>
            </w:pPr>
            <w:r>
              <w:rPr>
                <w:rFonts w:hint="eastAsia"/>
                <w:b w:val="0"/>
                <w:bCs w:val="0"/>
                <w:color w:val="auto"/>
              </w:rPr>
              <w:t>供应商提供出厂安装的配件所需的驱动程序，形式包括但不限于驱动光盘、驱动下载链接等。其他配件应提供指引。</w:t>
            </w:r>
          </w:p>
        </w:tc>
      </w:tr>
      <w:tr w14:paraId="4974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29361788">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1B3185D7">
            <w:pPr>
              <w:spacing w:line="360" w:lineRule="auto"/>
              <w:rPr>
                <w:b w:val="0"/>
                <w:bCs w:val="0"/>
                <w:color w:val="auto"/>
              </w:rPr>
            </w:pPr>
            <w:r>
              <w:rPr>
                <w:rFonts w:hint="eastAsia"/>
                <w:b w:val="0"/>
                <w:bCs w:val="0"/>
                <w:color w:val="auto"/>
              </w:rPr>
              <w:t>管理软件</w:t>
            </w:r>
          </w:p>
        </w:tc>
        <w:tc>
          <w:tcPr>
            <w:tcW w:w="3174" w:type="pct"/>
            <w:shd w:val="clear" w:color="auto" w:fill="auto"/>
            <w:vAlign w:val="center"/>
          </w:tcPr>
          <w:p w14:paraId="55E83CE1">
            <w:pPr>
              <w:spacing w:line="360" w:lineRule="auto"/>
              <w:rPr>
                <w:b w:val="0"/>
                <w:bCs w:val="0"/>
                <w:color w:val="auto"/>
              </w:rPr>
            </w:pPr>
            <w:r>
              <w:rPr>
                <w:rFonts w:hint="eastAsia"/>
                <w:b w:val="0"/>
                <w:bCs w:val="0"/>
                <w:color w:val="auto"/>
              </w:rPr>
              <w:t>具备资源管理、系统管理、性能监控、健康监控、基于网络控制、报警设置功能。</w:t>
            </w:r>
          </w:p>
        </w:tc>
      </w:tr>
      <w:tr w14:paraId="15B8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132AC66E">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6B0B1352">
            <w:pPr>
              <w:spacing w:line="360" w:lineRule="auto"/>
              <w:rPr>
                <w:b w:val="0"/>
                <w:bCs w:val="0"/>
                <w:color w:val="auto"/>
              </w:rPr>
            </w:pPr>
            <w:r>
              <w:rPr>
                <w:rFonts w:hint="eastAsia"/>
                <w:b w:val="0"/>
                <w:bCs w:val="0"/>
                <w:color w:val="auto"/>
              </w:rPr>
              <w:t>厂家升级产品软件与扩容服务</w:t>
            </w:r>
          </w:p>
        </w:tc>
        <w:tc>
          <w:tcPr>
            <w:tcW w:w="3174" w:type="pct"/>
            <w:shd w:val="clear" w:color="auto" w:fill="auto"/>
            <w:vAlign w:val="center"/>
          </w:tcPr>
          <w:p w14:paraId="22F114D2">
            <w:pPr>
              <w:spacing w:line="360" w:lineRule="auto"/>
              <w:rPr>
                <w:b w:val="0"/>
                <w:bCs w:val="0"/>
                <w:color w:val="auto"/>
              </w:rPr>
            </w:pPr>
            <w:r>
              <w:rPr>
                <w:rFonts w:hint="eastAsia"/>
                <w:b w:val="0"/>
                <w:bCs w:val="0"/>
                <w:color w:val="auto"/>
              </w:rPr>
              <w:t>供应商提供原厂级的部件/软件产品升级和扩容能力。</w:t>
            </w:r>
          </w:p>
        </w:tc>
      </w:tr>
      <w:tr w14:paraId="51B3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6" w:type="pct"/>
            <w:shd w:val="clear" w:color="auto" w:fill="auto"/>
            <w:vAlign w:val="center"/>
          </w:tcPr>
          <w:p w14:paraId="6278E348">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52B43E36">
            <w:pPr>
              <w:spacing w:line="360" w:lineRule="auto"/>
              <w:rPr>
                <w:b w:val="0"/>
                <w:bCs w:val="0"/>
                <w:color w:val="auto"/>
              </w:rPr>
            </w:pPr>
            <w:r>
              <w:rPr>
                <w:rFonts w:hint="eastAsia"/>
                <w:b w:val="0"/>
                <w:bCs w:val="0"/>
                <w:color w:val="auto"/>
              </w:rPr>
              <w:t>提供上门服务</w:t>
            </w:r>
          </w:p>
        </w:tc>
        <w:tc>
          <w:tcPr>
            <w:tcW w:w="3174" w:type="pct"/>
            <w:shd w:val="clear" w:color="auto" w:fill="auto"/>
            <w:vAlign w:val="center"/>
          </w:tcPr>
          <w:p w14:paraId="67C37D86">
            <w:pPr>
              <w:spacing w:line="360" w:lineRule="auto"/>
              <w:rPr>
                <w:b w:val="0"/>
                <w:bCs w:val="0"/>
                <w:color w:val="auto"/>
              </w:rPr>
            </w:pPr>
            <w:r>
              <w:rPr>
                <w:rFonts w:hint="eastAsia"/>
                <w:b w:val="0"/>
                <w:bCs w:val="0"/>
                <w:color w:val="auto"/>
              </w:rPr>
              <w:t>供应商具备提供上门服务的能力(可收费)。</w:t>
            </w:r>
          </w:p>
        </w:tc>
      </w:tr>
      <w:tr w14:paraId="47EF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6B1139E1">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0EE65950">
            <w:pPr>
              <w:spacing w:line="360" w:lineRule="auto"/>
              <w:rPr>
                <w:b w:val="0"/>
                <w:bCs w:val="0"/>
                <w:color w:val="auto"/>
              </w:rPr>
            </w:pPr>
            <w:r>
              <w:rPr>
                <w:rFonts w:hint="eastAsia"/>
                <w:b w:val="0"/>
                <w:bCs w:val="0"/>
                <w:color w:val="auto"/>
              </w:rPr>
              <w:t>抗干扰性</w:t>
            </w:r>
          </w:p>
        </w:tc>
        <w:tc>
          <w:tcPr>
            <w:tcW w:w="3174" w:type="pct"/>
            <w:shd w:val="clear" w:color="auto" w:fill="auto"/>
            <w:vAlign w:val="center"/>
          </w:tcPr>
          <w:p w14:paraId="35FD0D2F">
            <w:pPr>
              <w:spacing w:line="360" w:lineRule="auto"/>
              <w:rPr>
                <w:b w:val="0"/>
                <w:bCs w:val="0"/>
                <w:color w:val="auto"/>
              </w:rPr>
            </w:pPr>
            <w:r>
              <w:rPr>
                <w:rFonts w:hint="eastAsia"/>
                <w:b w:val="0"/>
                <w:bCs w:val="0"/>
                <w:color w:val="auto"/>
              </w:rPr>
              <w:t>当产品部件出现供应风险时，应通知客户并提供风险应对方案确保产品的服务保障，必要时应停止相关受影响产品的销售。</w:t>
            </w:r>
          </w:p>
        </w:tc>
      </w:tr>
      <w:tr w14:paraId="4F36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6" w:type="pct"/>
            <w:shd w:val="clear" w:color="auto" w:fill="auto"/>
            <w:vAlign w:val="center"/>
          </w:tcPr>
          <w:p w14:paraId="4A98F913">
            <w:pPr>
              <w:pStyle w:val="17"/>
              <w:numPr>
                <w:ilvl w:val="0"/>
                <w:numId w:val="3"/>
              </w:numPr>
              <w:spacing w:line="360" w:lineRule="auto"/>
              <w:ind w:firstLineChars="0"/>
              <w:jc w:val="center"/>
              <w:rPr>
                <w:rFonts w:ascii="宋体" w:hAnsi="宋体" w:eastAsia="宋体"/>
                <w:b w:val="0"/>
                <w:bCs w:val="0"/>
                <w:color w:val="auto"/>
              </w:rPr>
            </w:pPr>
          </w:p>
        </w:tc>
        <w:tc>
          <w:tcPr>
            <w:tcW w:w="1259" w:type="pct"/>
            <w:shd w:val="clear" w:color="auto" w:fill="auto"/>
            <w:vAlign w:val="center"/>
          </w:tcPr>
          <w:p w14:paraId="69981BFA">
            <w:pPr>
              <w:spacing w:line="360" w:lineRule="auto"/>
              <w:rPr>
                <w:b w:val="0"/>
                <w:bCs w:val="0"/>
                <w:color w:val="auto"/>
              </w:rPr>
            </w:pPr>
            <w:r>
              <w:rPr>
                <w:rFonts w:hint="eastAsia"/>
                <w:b w:val="0"/>
                <w:bCs w:val="0"/>
                <w:color w:val="auto"/>
              </w:rPr>
              <w:t>供应能力证明</w:t>
            </w:r>
          </w:p>
        </w:tc>
        <w:tc>
          <w:tcPr>
            <w:tcW w:w="3174" w:type="pct"/>
            <w:shd w:val="clear" w:color="auto" w:fill="auto"/>
            <w:vAlign w:val="center"/>
          </w:tcPr>
          <w:p w14:paraId="0B762A01">
            <w:pPr>
              <w:spacing w:line="360" w:lineRule="auto"/>
              <w:rPr>
                <w:b w:val="0"/>
                <w:bCs w:val="0"/>
                <w:color w:val="auto"/>
              </w:rPr>
            </w:pPr>
            <w:r>
              <w:rPr>
                <w:rFonts w:hint="eastAsia"/>
                <w:b w:val="0"/>
                <w:bCs w:val="0"/>
                <w:color w:val="auto"/>
              </w:rPr>
              <w:t>供应商提供供应链稳定承诺书，确保产品的部件在产品服务周期内稳定供货。</w:t>
            </w:r>
          </w:p>
        </w:tc>
      </w:tr>
    </w:tbl>
    <w:p w14:paraId="031780A0">
      <w:pPr>
        <w:rPr>
          <w:color w:val="auto"/>
        </w:rPr>
      </w:pPr>
    </w:p>
    <w:p w14:paraId="2562AAAC">
      <w:pPr>
        <w:pStyle w:val="3"/>
        <w:bidi w:val="0"/>
        <w:rPr>
          <w:rFonts w:hint="eastAsia"/>
          <w:color w:val="auto"/>
        </w:rPr>
      </w:pPr>
      <w:r>
        <w:rPr>
          <w:rFonts w:hint="eastAsia"/>
          <w:color w:val="auto"/>
        </w:rPr>
        <w:t>4.2 超融合软件参数要求</w:t>
      </w:r>
    </w:p>
    <w:tbl>
      <w:tblPr>
        <w:tblStyle w:val="10"/>
        <w:tblW w:w="5000" w:type="pct"/>
        <w:tblInd w:w="0" w:type="dxa"/>
        <w:shd w:val="clear" w:color="auto" w:fill="FFFFFF" w:themeFill="background1"/>
        <w:tblLayout w:type="autofit"/>
        <w:tblCellMar>
          <w:top w:w="0" w:type="dxa"/>
          <w:left w:w="108" w:type="dxa"/>
          <w:bottom w:w="0" w:type="dxa"/>
          <w:right w:w="108" w:type="dxa"/>
        </w:tblCellMar>
      </w:tblPr>
      <w:tblGrid>
        <w:gridCol w:w="813"/>
        <w:gridCol w:w="1217"/>
        <w:gridCol w:w="1420"/>
        <w:gridCol w:w="5072"/>
      </w:tblGrid>
      <w:tr w14:paraId="4E4F887E">
        <w:tblPrEx>
          <w:shd w:val="clear" w:color="auto" w:fill="FFFFFF" w:themeFill="background1"/>
          <w:tblCellMar>
            <w:top w:w="0" w:type="dxa"/>
            <w:left w:w="108" w:type="dxa"/>
            <w:bottom w:w="0" w:type="dxa"/>
            <w:right w:w="108" w:type="dxa"/>
          </w:tblCellMar>
        </w:tblPrEx>
        <w:trPr>
          <w:trHeight w:val="300" w:hRule="atLeast"/>
        </w:trPr>
        <w:tc>
          <w:tcPr>
            <w:tcW w:w="47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2391D">
            <w:pPr>
              <w:spacing w:line="360" w:lineRule="auto"/>
              <w:jc w:val="center"/>
              <w:rPr>
                <w:b w:val="0"/>
                <w:bCs w:val="0"/>
              </w:rPr>
            </w:pPr>
            <w:r>
              <w:rPr>
                <w:b w:val="0"/>
                <w:bCs w:val="0"/>
              </w:rPr>
              <w:t>序号</w:t>
            </w:r>
          </w:p>
        </w:tc>
        <w:tc>
          <w:tcPr>
            <w:tcW w:w="1547" w:type="pct"/>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A6B413">
            <w:pPr>
              <w:spacing w:line="360" w:lineRule="auto"/>
              <w:jc w:val="center"/>
              <w:rPr>
                <w:b w:val="0"/>
                <w:bCs w:val="0"/>
              </w:rPr>
            </w:pPr>
            <w:r>
              <w:rPr>
                <w:b w:val="0"/>
                <w:bCs w:val="0"/>
              </w:rPr>
              <w:t>指标项</w:t>
            </w:r>
          </w:p>
        </w:tc>
        <w:tc>
          <w:tcPr>
            <w:tcW w:w="297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5E25ED">
            <w:pPr>
              <w:spacing w:line="360" w:lineRule="auto"/>
              <w:jc w:val="center"/>
              <w:rPr>
                <w:b w:val="0"/>
                <w:bCs w:val="0"/>
              </w:rPr>
            </w:pPr>
            <w:r>
              <w:rPr>
                <w:b w:val="0"/>
                <w:bCs w:val="0"/>
              </w:rPr>
              <w:t>技术规格要求</w:t>
            </w:r>
          </w:p>
        </w:tc>
      </w:tr>
      <w:tr w14:paraId="5FF5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44F91A43">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restart"/>
            <w:shd w:val="clear" w:color="auto" w:fill="FFFFFF" w:themeFill="background1"/>
            <w:vAlign w:val="center"/>
          </w:tcPr>
          <w:p w14:paraId="16B39B2B">
            <w:pPr>
              <w:spacing w:line="360" w:lineRule="auto"/>
              <w:jc w:val="both"/>
              <w:rPr>
                <w:b w:val="0"/>
                <w:bCs w:val="0"/>
              </w:rPr>
            </w:pPr>
            <w:r>
              <w:rPr>
                <w:rFonts w:hint="eastAsia"/>
                <w:b w:val="0"/>
                <w:bCs w:val="0"/>
              </w:rPr>
              <w:t>超融合平台软件</w:t>
            </w:r>
          </w:p>
        </w:tc>
        <w:tc>
          <w:tcPr>
            <w:tcW w:w="833" w:type="pct"/>
            <w:shd w:val="clear" w:color="auto" w:fill="FFFFFF" w:themeFill="background1"/>
            <w:vAlign w:val="center"/>
          </w:tcPr>
          <w:p w14:paraId="77A57278">
            <w:pPr>
              <w:spacing w:line="360" w:lineRule="auto"/>
              <w:jc w:val="both"/>
              <w:rPr>
                <w:b w:val="0"/>
                <w:bCs w:val="0"/>
              </w:rPr>
            </w:pPr>
            <w:r>
              <w:rPr>
                <w:rFonts w:hint="eastAsia"/>
                <w:b w:val="0"/>
                <w:bCs w:val="0"/>
              </w:rPr>
              <w:t>宿主机OS</w:t>
            </w:r>
          </w:p>
        </w:tc>
        <w:tc>
          <w:tcPr>
            <w:tcW w:w="2975" w:type="pct"/>
            <w:shd w:val="clear" w:color="auto" w:fill="FFFFFF" w:themeFill="background1"/>
            <w:vAlign w:val="center"/>
          </w:tcPr>
          <w:p w14:paraId="7CF31A6D">
            <w:pPr>
              <w:spacing w:line="360" w:lineRule="auto"/>
              <w:rPr>
                <w:b w:val="0"/>
                <w:bCs w:val="0"/>
              </w:rPr>
            </w:pPr>
            <w:r>
              <w:rPr>
                <w:rFonts w:hint="eastAsia"/>
                <w:b w:val="0"/>
                <w:bCs w:val="0"/>
              </w:rPr>
              <w:t>超融合平台宿主机操作系统内核已完成国产化改造，需采用符合安全可靠等级Ⅰ级的操作系统进行研发，实现自主可控，无需担心国产化兼容性问题。（提供中国信息安全测评中心或国家保密科技测评中心的安全可靠测评结果公告截图证明）</w:t>
            </w:r>
          </w:p>
        </w:tc>
      </w:tr>
      <w:tr w14:paraId="0E77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6D2D3307">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18290DC3">
            <w:pPr>
              <w:spacing w:line="360" w:lineRule="auto"/>
              <w:rPr>
                <w:b w:val="0"/>
                <w:bCs w:val="0"/>
              </w:rPr>
            </w:pPr>
          </w:p>
        </w:tc>
        <w:tc>
          <w:tcPr>
            <w:tcW w:w="833" w:type="pct"/>
            <w:shd w:val="clear" w:color="auto" w:fill="FFFFFF" w:themeFill="background1"/>
            <w:vAlign w:val="center"/>
          </w:tcPr>
          <w:p w14:paraId="5CAC2FE9">
            <w:pPr>
              <w:spacing w:line="360" w:lineRule="auto"/>
              <w:rPr>
                <w:b w:val="0"/>
                <w:bCs w:val="0"/>
              </w:rPr>
            </w:pPr>
            <w:r>
              <w:rPr>
                <w:rFonts w:hint="eastAsia"/>
                <w:b w:val="0"/>
                <w:bCs w:val="0"/>
              </w:rPr>
              <w:t>许可要求</w:t>
            </w:r>
          </w:p>
        </w:tc>
        <w:tc>
          <w:tcPr>
            <w:tcW w:w="2975" w:type="pct"/>
            <w:shd w:val="clear" w:color="auto" w:fill="FFFFFF" w:themeFill="background1"/>
            <w:vAlign w:val="center"/>
          </w:tcPr>
          <w:p w14:paraId="7E8B5959">
            <w:pPr>
              <w:spacing w:line="360" w:lineRule="auto"/>
              <w:rPr>
                <w:b w:val="0"/>
                <w:bCs w:val="0"/>
              </w:rPr>
            </w:pPr>
            <w:r>
              <w:rPr>
                <w:rFonts w:hint="eastAsia"/>
                <w:b w:val="0"/>
                <w:bCs w:val="0"/>
              </w:rPr>
              <w:t>提供不少于12个CPU许可授权，提供不少于6套国产化操作系统授权。超融合授权不限制单个集群宿主机数量，超融合授权不限制单个节点硬盘容量。授权包含多集群管理、虚拟机动态资源添加、分布式防火墙、虚拟机备份（不限制虚拟机数量）、</w:t>
            </w:r>
            <w:r>
              <w:rPr>
                <w:b w:val="0"/>
                <w:bCs w:val="0"/>
              </w:rPr>
              <w:t>七层网络攻击防护</w:t>
            </w:r>
            <w:r>
              <w:rPr>
                <w:rFonts w:hint="eastAsia"/>
                <w:b w:val="0"/>
                <w:bCs w:val="0"/>
              </w:rPr>
              <w:t>等功能；（需提供供应商承诺函，并加盖公章）</w:t>
            </w:r>
          </w:p>
        </w:tc>
      </w:tr>
      <w:tr w14:paraId="5EE6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4089A668">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31CC19D6">
            <w:pPr>
              <w:spacing w:line="360" w:lineRule="auto"/>
              <w:rPr>
                <w:b w:val="0"/>
                <w:bCs w:val="0"/>
              </w:rPr>
            </w:pPr>
          </w:p>
        </w:tc>
        <w:tc>
          <w:tcPr>
            <w:tcW w:w="833" w:type="pct"/>
            <w:shd w:val="clear" w:color="auto" w:fill="FFFFFF" w:themeFill="background1"/>
            <w:vAlign w:val="center"/>
          </w:tcPr>
          <w:p w14:paraId="278384EF">
            <w:pPr>
              <w:spacing w:line="360" w:lineRule="auto"/>
              <w:rPr>
                <w:b w:val="0"/>
                <w:bCs w:val="0"/>
              </w:rPr>
            </w:pPr>
            <w:r>
              <w:rPr>
                <w:rFonts w:hint="eastAsia"/>
                <w:b w:val="0"/>
                <w:bCs w:val="0"/>
              </w:rPr>
              <w:t>基本要求</w:t>
            </w:r>
          </w:p>
        </w:tc>
        <w:tc>
          <w:tcPr>
            <w:tcW w:w="2975" w:type="pct"/>
            <w:shd w:val="clear" w:color="auto" w:fill="FFFFFF" w:themeFill="background1"/>
            <w:vAlign w:val="center"/>
          </w:tcPr>
          <w:p w14:paraId="04BC13F1">
            <w:pPr>
              <w:spacing w:line="360" w:lineRule="auto"/>
              <w:rPr>
                <w:b w:val="0"/>
                <w:bCs w:val="0"/>
              </w:rPr>
            </w:pPr>
            <w:r>
              <w:rPr>
                <w:rFonts w:hint="eastAsia"/>
                <w:b w:val="0"/>
                <w:bCs w:val="0"/>
              </w:rPr>
              <w:t>需保证产品软件为非OEM，且虚拟化管理软件、计算虚拟化软件、存储虚拟化软件、网络虚拟化软件为同一品牌。</w:t>
            </w:r>
            <w:r>
              <w:rPr>
                <w:rFonts w:ascii="Calibri" w:hAnsi="Calibri" w:cs="Calibri"/>
                <w:b w:val="0"/>
                <w:bCs w:val="0"/>
              </w:rPr>
              <w:t>﻿</w:t>
            </w:r>
          </w:p>
        </w:tc>
      </w:tr>
      <w:tr w14:paraId="6409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45FB067E">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6F4B4CB5">
            <w:pPr>
              <w:spacing w:line="360" w:lineRule="auto"/>
              <w:rPr>
                <w:b w:val="0"/>
                <w:bCs w:val="0"/>
              </w:rPr>
            </w:pPr>
          </w:p>
        </w:tc>
        <w:tc>
          <w:tcPr>
            <w:tcW w:w="833" w:type="pct"/>
            <w:shd w:val="clear" w:color="auto" w:fill="FFFFFF" w:themeFill="background1"/>
            <w:vAlign w:val="center"/>
          </w:tcPr>
          <w:p w14:paraId="3AE2E2CE">
            <w:pPr>
              <w:spacing w:line="360" w:lineRule="auto"/>
              <w:rPr>
                <w:b w:val="0"/>
                <w:bCs w:val="0"/>
              </w:rPr>
            </w:pPr>
            <w:r>
              <w:rPr>
                <w:rFonts w:hint="eastAsia"/>
                <w:b w:val="0"/>
                <w:bCs w:val="0"/>
              </w:rPr>
              <w:t>扩展能力</w:t>
            </w:r>
          </w:p>
        </w:tc>
        <w:tc>
          <w:tcPr>
            <w:tcW w:w="2975" w:type="pct"/>
            <w:shd w:val="clear" w:color="auto" w:fill="FFFFFF" w:themeFill="background1"/>
            <w:vAlign w:val="center"/>
          </w:tcPr>
          <w:p w14:paraId="2A00972B">
            <w:pPr>
              <w:spacing w:line="360" w:lineRule="auto"/>
              <w:rPr>
                <w:b w:val="0"/>
                <w:bCs w:val="0"/>
              </w:rPr>
            </w:pPr>
            <w:r>
              <w:rPr>
                <w:b w:val="0"/>
                <w:bCs w:val="0"/>
              </w:rPr>
              <w:t>超融合软件需支持集群在线横向扩展，单集群节点数量上限</w:t>
            </w:r>
            <w:r>
              <w:rPr>
                <w:rFonts w:hint="eastAsia"/>
                <w:b w:val="0"/>
                <w:bCs w:val="0"/>
              </w:rPr>
              <w:t>≥</w:t>
            </w:r>
            <w:r>
              <w:rPr>
                <w:b w:val="0"/>
                <w:bCs w:val="0"/>
              </w:rPr>
              <w:t>2</w:t>
            </w:r>
            <w:r>
              <w:rPr>
                <w:rFonts w:hint="eastAsia"/>
                <w:b w:val="0"/>
                <w:bCs w:val="0"/>
              </w:rPr>
              <w:t>4</w:t>
            </w:r>
            <w:r>
              <w:rPr>
                <w:b w:val="0"/>
                <w:bCs w:val="0"/>
              </w:rPr>
              <w:t>个，且扩展过程中业务不中断，集群性能随节点增加呈线性增长。</w:t>
            </w:r>
          </w:p>
        </w:tc>
      </w:tr>
      <w:tr w14:paraId="2C04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766A734A">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restart"/>
            <w:shd w:val="clear" w:color="auto" w:fill="FFFFFF" w:themeFill="background1"/>
            <w:vAlign w:val="center"/>
          </w:tcPr>
          <w:p w14:paraId="10F1F867">
            <w:pPr>
              <w:spacing w:line="360" w:lineRule="auto"/>
              <w:jc w:val="both"/>
              <w:rPr>
                <w:b w:val="0"/>
                <w:bCs w:val="0"/>
              </w:rPr>
            </w:pPr>
            <w:r>
              <w:rPr>
                <w:rFonts w:hint="eastAsia"/>
                <w:b w:val="0"/>
                <w:bCs w:val="0"/>
              </w:rPr>
              <w:t>超融合平台-计算虚拟化功能</w:t>
            </w:r>
          </w:p>
          <w:p w14:paraId="64345F56">
            <w:pPr>
              <w:spacing w:line="360" w:lineRule="auto"/>
              <w:jc w:val="both"/>
              <w:rPr>
                <w:b w:val="0"/>
                <w:bCs w:val="0"/>
              </w:rPr>
            </w:pPr>
          </w:p>
        </w:tc>
        <w:tc>
          <w:tcPr>
            <w:tcW w:w="833" w:type="pct"/>
            <w:shd w:val="clear" w:color="auto" w:fill="FFFFFF" w:themeFill="background1"/>
            <w:vAlign w:val="center"/>
          </w:tcPr>
          <w:p w14:paraId="1702B861">
            <w:pPr>
              <w:spacing w:line="360" w:lineRule="auto"/>
              <w:rPr>
                <w:b w:val="0"/>
                <w:bCs w:val="0"/>
              </w:rPr>
            </w:pPr>
            <w:r>
              <w:rPr>
                <w:rFonts w:hint="eastAsia"/>
                <w:b w:val="0"/>
                <w:bCs w:val="0"/>
              </w:rPr>
              <w:t>运维管理</w:t>
            </w:r>
          </w:p>
        </w:tc>
        <w:tc>
          <w:tcPr>
            <w:tcW w:w="2975" w:type="pct"/>
            <w:shd w:val="clear" w:color="auto" w:fill="FFFFFF" w:themeFill="background1"/>
            <w:vAlign w:val="center"/>
          </w:tcPr>
          <w:p w14:paraId="6099E27B">
            <w:pPr>
              <w:spacing w:line="360" w:lineRule="auto"/>
              <w:rPr>
                <w:b w:val="0"/>
                <w:bCs w:val="0"/>
              </w:rPr>
            </w:pPr>
            <w:r>
              <w:rPr>
                <w:b w:val="0"/>
                <w:bCs w:val="0"/>
              </w:rPr>
              <w:t>支持以集群形式统一管理计算资源、 存储资源、 网络资源的功能</w:t>
            </w:r>
            <w:r>
              <w:rPr>
                <w:rFonts w:hint="eastAsia"/>
                <w:b w:val="0"/>
                <w:bCs w:val="0"/>
              </w:rPr>
              <w:t>，提供虚拟机删除、开关机、挂起、重启、关闭、关闭电源、克隆、迁移、备份、模板导出、快照、标签管理等功能，以上功能均需支持批量操作。</w:t>
            </w:r>
          </w:p>
        </w:tc>
      </w:tr>
      <w:tr w14:paraId="223B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77" w:type="pct"/>
            <w:shd w:val="clear" w:color="auto" w:fill="FFFFFF" w:themeFill="background1"/>
            <w:vAlign w:val="center"/>
          </w:tcPr>
          <w:p w14:paraId="02BB4490">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12BF948B">
            <w:pPr>
              <w:spacing w:line="360" w:lineRule="auto"/>
              <w:jc w:val="both"/>
              <w:rPr>
                <w:b w:val="0"/>
                <w:bCs w:val="0"/>
              </w:rPr>
            </w:pPr>
          </w:p>
        </w:tc>
        <w:tc>
          <w:tcPr>
            <w:tcW w:w="833" w:type="pct"/>
            <w:shd w:val="clear" w:color="auto" w:fill="FFFFFF" w:themeFill="background1"/>
            <w:vAlign w:val="center"/>
          </w:tcPr>
          <w:p w14:paraId="46F50BF6">
            <w:pPr>
              <w:spacing w:line="360" w:lineRule="auto"/>
              <w:rPr>
                <w:b w:val="0"/>
                <w:bCs w:val="0"/>
              </w:rPr>
            </w:pPr>
            <w:r>
              <w:rPr>
                <w:rFonts w:hint="eastAsia"/>
                <w:b w:val="0"/>
                <w:bCs w:val="0"/>
              </w:rPr>
              <w:t>在线升级</w:t>
            </w:r>
          </w:p>
        </w:tc>
        <w:tc>
          <w:tcPr>
            <w:tcW w:w="2975" w:type="pct"/>
            <w:shd w:val="clear" w:color="auto" w:fill="FFFFFF" w:themeFill="background1"/>
            <w:vAlign w:val="center"/>
          </w:tcPr>
          <w:p w14:paraId="3C030607">
            <w:pPr>
              <w:spacing w:line="360" w:lineRule="auto"/>
              <w:rPr>
                <w:b w:val="0"/>
                <w:bCs w:val="0"/>
              </w:rPr>
            </w:pPr>
            <w:r>
              <w:rPr>
                <w:rFonts w:hint="eastAsia"/>
                <w:b w:val="0"/>
                <w:bCs w:val="0"/>
              </w:rPr>
              <w:t>超融合平台支持在线升级且不影响业务；为保证升级时间与步骤可控，升级过程中支持对升级节点进行升级顺序编排、升级暂停。（需提供产品功能截图，并加盖供应商公章）</w:t>
            </w:r>
          </w:p>
        </w:tc>
      </w:tr>
      <w:tr w14:paraId="1F8D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477" w:type="pct"/>
            <w:shd w:val="clear" w:color="auto" w:fill="FFFFFF" w:themeFill="background1"/>
            <w:vAlign w:val="center"/>
          </w:tcPr>
          <w:p w14:paraId="0D837A0B">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54807B35">
            <w:pPr>
              <w:spacing w:line="360" w:lineRule="auto"/>
              <w:rPr>
                <w:b w:val="0"/>
                <w:bCs w:val="0"/>
              </w:rPr>
            </w:pPr>
          </w:p>
        </w:tc>
        <w:tc>
          <w:tcPr>
            <w:tcW w:w="833" w:type="pct"/>
            <w:shd w:val="clear" w:color="auto" w:fill="FFFFFF" w:themeFill="background1"/>
            <w:vAlign w:val="center"/>
          </w:tcPr>
          <w:p w14:paraId="32419ABD">
            <w:pPr>
              <w:spacing w:line="360" w:lineRule="auto"/>
              <w:rPr>
                <w:b w:val="0"/>
                <w:bCs w:val="0"/>
              </w:rPr>
            </w:pPr>
            <w:r>
              <w:rPr>
                <w:rFonts w:hint="eastAsia"/>
                <w:b w:val="0"/>
                <w:bCs w:val="0"/>
              </w:rPr>
              <w:t>维护管理</w:t>
            </w:r>
          </w:p>
        </w:tc>
        <w:tc>
          <w:tcPr>
            <w:tcW w:w="2975" w:type="pct"/>
            <w:shd w:val="clear" w:color="auto" w:fill="FFFFFF" w:themeFill="background1"/>
            <w:vAlign w:val="center"/>
          </w:tcPr>
          <w:p w14:paraId="23CD9A0B">
            <w:pPr>
              <w:spacing w:line="360" w:lineRule="auto"/>
              <w:rPr>
                <w:b w:val="0"/>
                <w:bCs w:val="0"/>
              </w:rPr>
            </w:pPr>
            <w:r>
              <w:rPr>
                <w:rFonts w:hint="eastAsia"/>
                <w:b w:val="0"/>
                <w:bCs w:val="0"/>
              </w:rPr>
              <w:t>要求支持漏洞及版本信息巡检，推送补丁及升级信息，并支持补丁管理、更新、回滚。（需提供产品功能截图，并加盖供应商公章）</w:t>
            </w:r>
          </w:p>
        </w:tc>
      </w:tr>
      <w:tr w14:paraId="0096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57" w:hRule="atLeast"/>
        </w:trPr>
        <w:tc>
          <w:tcPr>
            <w:tcW w:w="477" w:type="pct"/>
            <w:shd w:val="clear" w:color="auto" w:fill="FFFFFF" w:themeFill="background1"/>
            <w:vAlign w:val="center"/>
          </w:tcPr>
          <w:p w14:paraId="6E40A7ED">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220EBAD6">
            <w:pPr>
              <w:spacing w:line="360" w:lineRule="auto"/>
              <w:rPr>
                <w:b w:val="0"/>
                <w:bCs w:val="0"/>
              </w:rPr>
            </w:pPr>
          </w:p>
        </w:tc>
        <w:tc>
          <w:tcPr>
            <w:tcW w:w="833" w:type="pct"/>
            <w:shd w:val="clear" w:color="auto" w:fill="FFFFFF" w:themeFill="background1"/>
            <w:vAlign w:val="center"/>
          </w:tcPr>
          <w:p w14:paraId="10427637">
            <w:pPr>
              <w:spacing w:line="360" w:lineRule="auto"/>
              <w:rPr>
                <w:b w:val="0"/>
                <w:bCs w:val="0"/>
              </w:rPr>
            </w:pPr>
            <w:r>
              <w:rPr>
                <w:rFonts w:hint="eastAsia"/>
                <w:b w:val="0"/>
                <w:bCs w:val="0"/>
              </w:rPr>
              <w:t>资源预留</w:t>
            </w:r>
          </w:p>
        </w:tc>
        <w:tc>
          <w:tcPr>
            <w:tcW w:w="2975" w:type="pct"/>
            <w:shd w:val="clear" w:color="auto" w:fill="FFFFFF" w:themeFill="background1"/>
            <w:vAlign w:val="center"/>
          </w:tcPr>
          <w:p w14:paraId="7F0B515F">
            <w:pPr>
              <w:spacing w:line="360" w:lineRule="auto"/>
              <w:rPr>
                <w:b w:val="0"/>
                <w:bCs w:val="0"/>
              </w:rPr>
            </w:pPr>
            <w:r>
              <w:rPr>
                <w:b w:val="0"/>
                <w:bCs w:val="0"/>
              </w:rPr>
              <w:t>为防止高负载下的资源争抢，</w:t>
            </w:r>
            <w:r>
              <w:rPr>
                <w:rStyle w:val="13"/>
                <w:b w:val="0"/>
                <w:bCs w:val="0"/>
              </w:rPr>
              <w:t>超融合平台需支持CPU预留</w:t>
            </w:r>
            <w:r>
              <w:rPr>
                <w:rStyle w:val="13"/>
                <w:rFonts w:hint="eastAsia"/>
                <w:b w:val="0"/>
                <w:bCs w:val="0"/>
              </w:rPr>
              <w:t>功能</w:t>
            </w:r>
            <w:r>
              <w:rPr>
                <w:rStyle w:val="13"/>
                <w:b w:val="0"/>
                <w:bCs w:val="0"/>
              </w:rPr>
              <w:t>与动态优先级保障</w:t>
            </w:r>
            <w:r>
              <w:rPr>
                <w:b w:val="0"/>
                <w:bCs w:val="0"/>
              </w:rPr>
              <w:t>，确保高优先级业务优先获取资源且不受低优先级任务干扰，兼顾性能与利用率。</w:t>
            </w:r>
            <w:r>
              <w:rPr>
                <w:rStyle w:val="13"/>
                <w:b w:val="0"/>
                <w:bCs w:val="0"/>
              </w:rPr>
              <w:t>支持针对周期性业务配置定时CPU预留策略，并支持设置主机级统一预留比例</w:t>
            </w:r>
            <w:r>
              <w:rPr>
                <w:b w:val="0"/>
                <w:bCs w:val="0"/>
              </w:rPr>
              <w:t>，保障核心虚拟机资源供给。</w:t>
            </w:r>
            <w:r>
              <w:rPr>
                <w:rFonts w:hint="eastAsia"/>
                <w:b w:val="0"/>
                <w:bCs w:val="0"/>
              </w:rPr>
              <w:t>（需提供产品功能截图，并加盖供应商公章）</w:t>
            </w:r>
          </w:p>
        </w:tc>
      </w:tr>
      <w:tr w14:paraId="24F8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477" w:type="pct"/>
            <w:shd w:val="clear" w:color="auto" w:fill="FFFFFF" w:themeFill="background1"/>
            <w:vAlign w:val="center"/>
          </w:tcPr>
          <w:p w14:paraId="38E34AE7">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031F2567">
            <w:pPr>
              <w:spacing w:line="360" w:lineRule="auto"/>
              <w:rPr>
                <w:b w:val="0"/>
                <w:bCs w:val="0"/>
              </w:rPr>
            </w:pPr>
          </w:p>
        </w:tc>
        <w:tc>
          <w:tcPr>
            <w:tcW w:w="833" w:type="pct"/>
            <w:shd w:val="clear" w:color="auto" w:fill="FFFFFF" w:themeFill="background1"/>
            <w:vAlign w:val="center"/>
          </w:tcPr>
          <w:p w14:paraId="1E19A1ED">
            <w:pPr>
              <w:spacing w:line="360" w:lineRule="auto"/>
              <w:rPr>
                <w:b w:val="0"/>
                <w:bCs w:val="0"/>
              </w:rPr>
            </w:pPr>
            <w:r>
              <w:rPr>
                <w:rFonts w:hint="eastAsia"/>
                <w:b w:val="0"/>
                <w:bCs w:val="0"/>
              </w:rPr>
              <w:t>内存分层</w:t>
            </w:r>
          </w:p>
        </w:tc>
        <w:tc>
          <w:tcPr>
            <w:tcW w:w="2975" w:type="pct"/>
            <w:shd w:val="clear" w:color="auto" w:fill="FFFFFF" w:themeFill="background1"/>
            <w:vAlign w:val="center"/>
          </w:tcPr>
          <w:p w14:paraId="22F9EA93">
            <w:pPr>
              <w:spacing w:line="360" w:lineRule="auto"/>
              <w:rPr>
                <w:b w:val="0"/>
                <w:bCs w:val="0"/>
              </w:rPr>
            </w:pPr>
            <w:r>
              <w:rPr>
                <w:b w:val="0"/>
                <w:bCs w:val="0"/>
              </w:rPr>
              <w:t>支持内存分层功能，可将本地NVMe设备作为第二层辅助内存接入虚拟机，实现虚拟机内存页在DRAM与NVMe之间的冷热数据自动分层调度；支持根据不同业务场景需求，按主机和虚拟机粒度开启或关闭内存分层功能，并支持在主机和虚拟机不停机的情况下进行配置调整。</w:t>
            </w:r>
            <w:r>
              <w:rPr>
                <w:rFonts w:hint="eastAsia"/>
                <w:b w:val="0"/>
                <w:bCs w:val="0"/>
              </w:rPr>
              <w:t>（需提供产品功能截图，并加盖供应商公章）</w:t>
            </w:r>
          </w:p>
        </w:tc>
      </w:tr>
      <w:tr w14:paraId="38D2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3754AAAD">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116C28BB">
            <w:pPr>
              <w:spacing w:line="360" w:lineRule="auto"/>
              <w:rPr>
                <w:b w:val="0"/>
                <w:bCs w:val="0"/>
              </w:rPr>
            </w:pPr>
          </w:p>
        </w:tc>
        <w:tc>
          <w:tcPr>
            <w:tcW w:w="833" w:type="pct"/>
            <w:shd w:val="clear" w:color="auto" w:fill="FFFFFF" w:themeFill="background1"/>
            <w:vAlign w:val="center"/>
          </w:tcPr>
          <w:p w14:paraId="076BBC93">
            <w:pPr>
              <w:spacing w:line="360" w:lineRule="auto"/>
              <w:rPr>
                <w:b w:val="0"/>
                <w:bCs w:val="0"/>
              </w:rPr>
            </w:pPr>
            <w:r>
              <w:rPr>
                <w:rFonts w:hint="eastAsia"/>
                <w:b w:val="0"/>
                <w:bCs w:val="0"/>
              </w:rPr>
              <w:t>外置存储</w:t>
            </w:r>
          </w:p>
        </w:tc>
        <w:tc>
          <w:tcPr>
            <w:tcW w:w="2975" w:type="pct"/>
            <w:shd w:val="clear" w:color="auto" w:fill="FFFFFF" w:themeFill="background1"/>
            <w:vAlign w:val="center"/>
          </w:tcPr>
          <w:p w14:paraId="61A38B33">
            <w:pPr>
              <w:spacing w:line="360" w:lineRule="auto"/>
              <w:rPr>
                <w:b w:val="0"/>
                <w:bCs w:val="0"/>
              </w:rPr>
            </w:pPr>
            <w:r>
              <w:rPr>
                <w:b w:val="0"/>
                <w:bCs w:val="0"/>
              </w:rPr>
              <w:t>为充分利用医院现有存储资源，要求超融合支持挂载外置第三方FC存储、iSCSI存储、NFS存储和对象存储，支持将FC存储和iSCSI存储作为虚拟机运行存储，支持将FC存储、iSCSI存储、NFS存储和对象存储作为备份存储池用于存储虚拟机备份文件。（</w:t>
            </w:r>
            <w:r>
              <w:rPr>
                <w:rFonts w:hint="eastAsia"/>
                <w:b w:val="0"/>
                <w:bCs w:val="0"/>
              </w:rPr>
              <w:t>需</w:t>
            </w:r>
            <w:r>
              <w:rPr>
                <w:b w:val="0"/>
                <w:bCs w:val="0"/>
              </w:rPr>
              <w:t>提供支持挂载外置第三方FC存储、iSCSI存储、NFS存储和对象存储的产品功能截图</w:t>
            </w:r>
            <w:r>
              <w:rPr>
                <w:rFonts w:hint="eastAsia"/>
                <w:b w:val="0"/>
                <w:bCs w:val="0"/>
              </w:rPr>
              <w:t>，并加盖供应商公章</w:t>
            </w:r>
            <w:r>
              <w:rPr>
                <w:b w:val="0"/>
                <w:bCs w:val="0"/>
              </w:rPr>
              <w:t>）</w:t>
            </w:r>
          </w:p>
        </w:tc>
      </w:tr>
      <w:tr w14:paraId="5BA1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57" w:hRule="atLeast"/>
        </w:trPr>
        <w:tc>
          <w:tcPr>
            <w:tcW w:w="477" w:type="pct"/>
            <w:shd w:val="clear" w:color="auto" w:fill="FFFFFF" w:themeFill="background1"/>
            <w:vAlign w:val="center"/>
          </w:tcPr>
          <w:p w14:paraId="05D5D44E">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553621E4">
            <w:pPr>
              <w:spacing w:line="360" w:lineRule="auto"/>
              <w:rPr>
                <w:b w:val="0"/>
                <w:bCs w:val="0"/>
              </w:rPr>
            </w:pPr>
          </w:p>
        </w:tc>
        <w:tc>
          <w:tcPr>
            <w:tcW w:w="833" w:type="pct"/>
            <w:shd w:val="clear" w:color="auto" w:fill="FFFFFF" w:themeFill="background1"/>
            <w:vAlign w:val="center"/>
          </w:tcPr>
          <w:p w14:paraId="17ACC542">
            <w:pPr>
              <w:spacing w:line="360" w:lineRule="auto"/>
              <w:rPr>
                <w:b w:val="0"/>
                <w:bCs w:val="0"/>
              </w:rPr>
            </w:pPr>
            <w:r>
              <w:rPr>
                <w:rFonts w:hint="eastAsia"/>
                <w:b w:val="0"/>
                <w:bCs w:val="0"/>
              </w:rPr>
              <w:t>虚拟机迁移</w:t>
            </w:r>
          </w:p>
        </w:tc>
        <w:tc>
          <w:tcPr>
            <w:tcW w:w="2975" w:type="pct"/>
            <w:shd w:val="clear" w:color="auto" w:fill="FFFFFF" w:themeFill="background1"/>
            <w:vAlign w:val="center"/>
          </w:tcPr>
          <w:p w14:paraId="5AE80762">
            <w:pPr>
              <w:spacing w:line="360" w:lineRule="auto"/>
              <w:rPr>
                <w:b w:val="0"/>
                <w:bCs w:val="0"/>
              </w:rPr>
            </w:pPr>
            <w:r>
              <w:rPr>
                <w:rFonts w:ascii="Calibri" w:hAnsi="Calibri" w:cs="Calibri"/>
                <w:b w:val="0"/>
                <w:bCs w:val="0"/>
              </w:rPr>
              <w:t>﻿</w:t>
            </w:r>
            <w:r>
              <w:rPr>
                <w:b w:val="0"/>
                <w:bCs w:val="0"/>
              </w:rPr>
              <w:t>支持虚拟机关机或运行状态下的跨主机、 跨存储</w:t>
            </w:r>
            <w:r>
              <w:rPr>
                <w:rFonts w:hint="eastAsia"/>
                <w:b w:val="0"/>
                <w:bCs w:val="0"/>
              </w:rPr>
              <w:t>和跨集群</w:t>
            </w:r>
            <w:r>
              <w:rPr>
                <w:b w:val="0"/>
                <w:bCs w:val="0"/>
              </w:rPr>
              <w:t>的迁移功能</w:t>
            </w:r>
            <w:r>
              <w:rPr>
                <w:rFonts w:hint="eastAsia"/>
                <w:b w:val="0"/>
                <w:bCs w:val="0"/>
              </w:rPr>
              <w:t>。（需提供产品功能截图，并加盖供应商公章）</w:t>
            </w:r>
          </w:p>
        </w:tc>
      </w:tr>
      <w:tr w14:paraId="63EC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477" w:type="pct"/>
            <w:shd w:val="clear" w:color="auto" w:fill="FFFFFF" w:themeFill="background1"/>
            <w:vAlign w:val="center"/>
          </w:tcPr>
          <w:p w14:paraId="519CAA51">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692F960C">
            <w:pPr>
              <w:spacing w:line="360" w:lineRule="auto"/>
              <w:rPr>
                <w:b w:val="0"/>
                <w:bCs w:val="0"/>
              </w:rPr>
            </w:pPr>
          </w:p>
        </w:tc>
        <w:tc>
          <w:tcPr>
            <w:tcW w:w="833" w:type="pct"/>
            <w:shd w:val="clear" w:color="auto" w:fill="FFFFFF" w:themeFill="background1"/>
            <w:vAlign w:val="center"/>
          </w:tcPr>
          <w:p w14:paraId="22DB473A">
            <w:pPr>
              <w:spacing w:line="360" w:lineRule="auto"/>
              <w:rPr>
                <w:b w:val="0"/>
                <w:bCs w:val="0"/>
              </w:rPr>
            </w:pPr>
            <w:r>
              <w:rPr>
                <w:rFonts w:hint="eastAsia"/>
                <w:b w:val="0"/>
                <w:bCs w:val="0"/>
              </w:rPr>
              <w:t>虚拟机持续数据保护</w:t>
            </w:r>
          </w:p>
        </w:tc>
        <w:tc>
          <w:tcPr>
            <w:tcW w:w="2975" w:type="pct"/>
            <w:shd w:val="clear" w:color="auto" w:fill="FFFFFF" w:themeFill="background1"/>
            <w:vAlign w:val="center"/>
          </w:tcPr>
          <w:p w14:paraId="1B796DC4">
            <w:pPr>
              <w:spacing w:line="360" w:lineRule="auto"/>
              <w:rPr>
                <w:b w:val="0"/>
                <w:bCs w:val="0"/>
              </w:rPr>
            </w:pPr>
            <w:r>
              <w:rPr>
                <w:rFonts w:hint="eastAsia"/>
                <w:b w:val="0"/>
                <w:bCs w:val="0"/>
              </w:rPr>
              <w:t>超融合平台支持原生实现虚拟机粒度持续数据保护（CDP）能力，采用无代理（Agentless）架构，无需在Guest OS内安装任何插件，彻底规避对业务系统性能与稳定性的侵扰。技术指标满足RPO≤1秒。（需提供产品功能截图，并加盖公章）</w:t>
            </w:r>
          </w:p>
        </w:tc>
      </w:tr>
      <w:tr w14:paraId="3307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477" w:type="pct"/>
            <w:shd w:val="clear" w:color="auto" w:fill="FFFFFF" w:themeFill="background1"/>
            <w:vAlign w:val="center"/>
          </w:tcPr>
          <w:p w14:paraId="055B03BC">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restart"/>
            <w:shd w:val="clear" w:color="auto" w:fill="FFFFFF" w:themeFill="background1"/>
            <w:vAlign w:val="center"/>
          </w:tcPr>
          <w:p w14:paraId="0C703AAE">
            <w:pPr>
              <w:spacing w:line="360" w:lineRule="auto"/>
              <w:rPr>
                <w:b w:val="0"/>
                <w:bCs w:val="0"/>
              </w:rPr>
            </w:pPr>
            <w:r>
              <w:rPr>
                <w:rFonts w:hint="eastAsia"/>
                <w:b w:val="0"/>
                <w:bCs w:val="0"/>
              </w:rPr>
              <w:t>超融合平台-存储虚拟化功能</w:t>
            </w:r>
          </w:p>
          <w:p w14:paraId="300C6BF0">
            <w:pPr>
              <w:spacing w:line="360" w:lineRule="auto"/>
              <w:jc w:val="both"/>
              <w:rPr>
                <w:b w:val="0"/>
                <w:bCs w:val="0"/>
              </w:rPr>
            </w:pPr>
          </w:p>
        </w:tc>
        <w:tc>
          <w:tcPr>
            <w:tcW w:w="833" w:type="pct"/>
            <w:shd w:val="clear" w:color="auto" w:fill="FFFFFF" w:themeFill="background1"/>
            <w:vAlign w:val="center"/>
          </w:tcPr>
          <w:p w14:paraId="0ACECB89">
            <w:pPr>
              <w:spacing w:line="360" w:lineRule="auto"/>
              <w:rPr>
                <w:b w:val="0"/>
                <w:bCs w:val="0"/>
              </w:rPr>
            </w:pPr>
            <w:r>
              <w:rPr>
                <w:rFonts w:hint="eastAsia"/>
                <w:b w:val="0"/>
                <w:bCs w:val="0"/>
              </w:rPr>
              <w:t>存储策略</w:t>
            </w:r>
          </w:p>
        </w:tc>
        <w:tc>
          <w:tcPr>
            <w:tcW w:w="2975" w:type="pct"/>
            <w:shd w:val="clear" w:color="auto" w:fill="FFFFFF" w:themeFill="background1"/>
            <w:vAlign w:val="center"/>
          </w:tcPr>
          <w:p w14:paraId="36A613E4">
            <w:pPr>
              <w:rPr>
                <w:b w:val="0"/>
                <w:bCs w:val="0"/>
              </w:rPr>
            </w:pPr>
            <w:r>
              <w:rPr>
                <w:rFonts w:hint="eastAsia"/>
                <w:b w:val="0"/>
                <w:bCs w:val="0"/>
              </w:rPr>
              <w:t>超融合平台应支持基于虚拟磁盘粒度的存储策略配置，</w:t>
            </w:r>
            <w:r>
              <w:rPr>
                <w:b w:val="0"/>
                <w:bCs w:val="0"/>
              </w:rPr>
              <w:t>支持对单个虚拟机的不同虚拟磁盘应用不同存储策略</w:t>
            </w:r>
            <w:r>
              <w:rPr>
                <w:rFonts w:hint="eastAsia"/>
                <w:b w:val="0"/>
                <w:bCs w:val="0"/>
              </w:rPr>
              <w:t>，存储策略包含副本数和条带数设置。</w:t>
            </w:r>
          </w:p>
          <w:p w14:paraId="238C8067">
            <w:pPr>
              <w:spacing w:line="360" w:lineRule="auto"/>
              <w:rPr>
                <w:b w:val="0"/>
                <w:bCs w:val="0"/>
              </w:rPr>
            </w:pPr>
            <w:r>
              <w:rPr>
                <w:rFonts w:hint="eastAsia"/>
                <w:b w:val="0"/>
                <w:bCs w:val="0"/>
              </w:rPr>
              <w:t>（需提供产品功能截图，并加盖供应商公章）</w:t>
            </w:r>
          </w:p>
        </w:tc>
      </w:tr>
      <w:tr w14:paraId="23F3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477" w:type="pct"/>
            <w:shd w:val="clear" w:color="auto" w:fill="FFFFFF" w:themeFill="background1"/>
            <w:vAlign w:val="center"/>
          </w:tcPr>
          <w:p w14:paraId="668C1A6B">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338369BE">
            <w:pPr>
              <w:spacing w:line="360" w:lineRule="auto"/>
              <w:jc w:val="both"/>
              <w:rPr>
                <w:b w:val="0"/>
                <w:bCs w:val="0"/>
              </w:rPr>
            </w:pPr>
          </w:p>
        </w:tc>
        <w:tc>
          <w:tcPr>
            <w:tcW w:w="833" w:type="pct"/>
            <w:shd w:val="clear" w:color="auto" w:fill="FFFFFF" w:themeFill="background1"/>
            <w:vAlign w:val="center"/>
          </w:tcPr>
          <w:p w14:paraId="653EA62B">
            <w:pPr>
              <w:spacing w:line="360" w:lineRule="auto"/>
              <w:rPr>
                <w:b w:val="0"/>
                <w:bCs w:val="0"/>
              </w:rPr>
            </w:pPr>
            <w:r>
              <w:rPr>
                <w:rFonts w:hint="eastAsia"/>
                <w:b w:val="0"/>
                <w:bCs w:val="0"/>
              </w:rPr>
              <w:t>IO本地化</w:t>
            </w:r>
          </w:p>
        </w:tc>
        <w:tc>
          <w:tcPr>
            <w:tcW w:w="2975" w:type="pct"/>
            <w:shd w:val="clear" w:color="auto" w:fill="FFFFFF" w:themeFill="background1"/>
            <w:vAlign w:val="center"/>
          </w:tcPr>
          <w:p w14:paraId="05A0F433">
            <w:pPr>
              <w:spacing w:line="360" w:lineRule="auto"/>
              <w:rPr>
                <w:b w:val="0"/>
                <w:bCs w:val="0"/>
              </w:rPr>
            </w:pPr>
            <w:r>
              <w:rPr>
                <w:rFonts w:ascii="Calibri" w:hAnsi="Calibri" w:cs="Calibri"/>
                <w:b w:val="0"/>
                <w:bCs w:val="0"/>
              </w:rPr>
              <w:t>﻿</w:t>
            </w:r>
            <w:r>
              <w:rPr>
                <w:b w:val="0"/>
                <w:bCs w:val="0"/>
              </w:rPr>
              <w:t>支持虚拟机基于副本的数据本地化的功能， 虚拟机</w:t>
            </w:r>
            <w:r>
              <w:rPr>
                <w:rFonts w:ascii="Helvetica" w:hAnsi="Helvetica" w:cs="Helvetica" w:eastAsiaTheme="minorEastAsia"/>
                <w:b w:val="0"/>
                <w:bCs w:val="0"/>
              </w:rPr>
              <w:t>所有读 IO 仅访问本地并降低虚拟机跨节点数据读取带来的网络负载</w:t>
            </w:r>
            <w:r>
              <w:rPr>
                <w:rFonts w:hint="eastAsia" w:ascii="Helvetica" w:hAnsi="Helvetica" w:cs="Helvetica" w:eastAsiaTheme="minorEastAsia"/>
                <w:b w:val="0"/>
                <w:bCs w:val="0"/>
              </w:rPr>
              <w:t>，提升虚拟机性能。</w:t>
            </w:r>
            <w:r>
              <w:rPr>
                <w:rFonts w:hint="eastAsia"/>
                <w:b w:val="0"/>
                <w:bCs w:val="0"/>
              </w:rPr>
              <w:t>（需提供产品功能截图，并加盖供应商公章）</w:t>
            </w:r>
          </w:p>
        </w:tc>
      </w:tr>
      <w:tr w14:paraId="44FE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477" w:type="pct"/>
            <w:shd w:val="clear" w:color="auto" w:fill="FFFFFF" w:themeFill="background1"/>
            <w:vAlign w:val="center"/>
          </w:tcPr>
          <w:p w14:paraId="14F5BE7F">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64FAF643">
            <w:pPr>
              <w:spacing w:line="360" w:lineRule="auto"/>
              <w:jc w:val="both"/>
              <w:rPr>
                <w:b w:val="0"/>
                <w:bCs w:val="0"/>
              </w:rPr>
            </w:pPr>
          </w:p>
        </w:tc>
        <w:tc>
          <w:tcPr>
            <w:tcW w:w="833" w:type="pct"/>
            <w:shd w:val="clear" w:color="auto" w:fill="FFFFFF" w:themeFill="background1"/>
            <w:vAlign w:val="center"/>
          </w:tcPr>
          <w:p w14:paraId="799DDAE0">
            <w:pPr>
              <w:spacing w:line="360" w:lineRule="auto"/>
              <w:rPr>
                <w:b w:val="0"/>
                <w:bCs w:val="0"/>
              </w:rPr>
            </w:pPr>
            <w:r>
              <w:rPr>
                <w:rFonts w:hint="eastAsia"/>
                <w:b w:val="0"/>
                <w:bCs w:val="0"/>
              </w:rPr>
              <w:t>智能数据恢复</w:t>
            </w:r>
          </w:p>
        </w:tc>
        <w:tc>
          <w:tcPr>
            <w:tcW w:w="2975" w:type="pct"/>
            <w:shd w:val="clear" w:color="auto" w:fill="FFFFFF" w:themeFill="background1"/>
            <w:vAlign w:val="center"/>
          </w:tcPr>
          <w:p w14:paraId="787A1826">
            <w:pPr>
              <w:spacing w:line="360" w:lineRule="auto"/>
              <w:rPr>
                <w:b w:val="0"/>
                <w:bCs w:val="0"/>
              </w:rPr>
            </w:pPr>
            <w:r>
              <w:rPr>
                <w:b w:val="0"/>
                <w:bCs w:val="0"/>
              </w:rPr>
              <w:t>支持数据恢复自动调节的功能， 根据业务繁忙程度自动调节数据恢复速率</w:t>
            </w:r>
            <w:r>
              <w:rPr>
                <w:rFonts w:hint="eastAsia"/>
                <w:b w:val="0"/>
                <w:bCs w:val="0"/>
              </w:rPr>
              <w:t>。（需提供产品功能截图，并加盖供应商公章）</w:t>
            </w:r>
          </w:p>
        </w:tc>
      </w:tr>
      <w:tr w14:paraId="12FD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46670FF0">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2AF1C472">
            <w:pPr>
              <w:spacing w:line="360" w:lineRule="auto"/>
              <w:rPr>
                <w:b w:val="0"/>
                <w:bCs w:val="0"/>
              </w:rPr>
            </w:pPr>
          </w:p>
        </w:tc>
        <w:tc>
          <w:tcPr>
            <w:tcW w:w="833" w:type="pct"/>
            <w:shd w:val="clear" w:color="auto" w:fill="FFFFFF" w:themeFill="background1"/>
            <w:vAlign w:val="center"/>
          </w:tcPr>
          <w:p w14:paraId="15A0C801">
            <w:pPr>
              <w:spacing w:line="360" w:lineRule="auto"/>
              <w:rPr>
                <w:b w:val="0"/>
                <w:bCs w:val="0"/>
              </w:rPr>
            </w:pPr>
            <w:r>
              <w:rPr>
                <w:rFonts w:hint="eastAsia"/>
                <w:b w:val="0"/>
                <w:bCs w:val="0"/>
              </w:rPr>
              <w:t>在线副本变更</w:t>
            </w:r>
          </w:p>
        </w:tc>
        <w:tc>
          <w:tcPr>
            <w:tcW w:w="2975" w:type="pct"/>
            <w:shd w:val="clear" w:color="auto" w:fill="FFFFFF" w:themeFill="background1"/>
            <w:vAlign w:val="center"/>
          </w:tcPr>
          <w:p w14:paraId="67DD9D51">
            <w:pPr>
              <w:spacing w:line="360" w:lineRule="auto"/>
              <w:rPr>
                <w:b w:val="0"/>
                <w:bCs w:val="0"/>
              </w:rPr>
            </w:pPr>
            <w:r>
              <w:rPr>
                <w:rFonts w:ascii="Calibri" w:hAnsi="Calibri" w:cs="Calibri"/>
                <w:b w:val="0"/>
                <w:bCs w:val="0"/>
              </w:rPr>
              <w:t>﻿</w:t>
            </w:r>
            <w:r>
              <w:rPr>
                <w:b w:val="0"/>
                <w:bCs w:val="0"/>
              </w:rPr>
              <w:t>支持在线提升虚拟机的副本数量， 提升过程中虚拟机不需要重启</w:t>
            </w:r>
            <w:r>
              <w:rPr>
                <w:rFonts w:hint="eastAsia"/>
                <w:b w:val="0"/>
                <w:bCs w:val="0"/>
              </w:rPr>
              <w:t>。</w:t>
            </w:r>
          </w:p>
        </w:tc>
      </w:tr>
      <w:tr w14:paraId="7320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477" w:type="pct"/>
            <w:shd w:val="clear" w:color="auto" w:fill="FFFFFF" w:themeFill="background1"/>
            <w:vAlign w:val="center"/>
          </w:tcPr>
          <w:p w14:paraId="1D85C2EC">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107D4AC0">
            <w:pPr>
              <w:spacing w:line="360" w:lineRule="auto"/>
              <w:rPr>
                <w:b w:val="0"/>
                <w:bCs w:val="0"/>
              </w:rPr>
            </w:pPr>
          </w:p>
        </w:tc>
        <w:tc>
          <w:tcPr>
            <w:tcW w:w="833" w:type="pct"/>
            <w:shd w:val="clear" w:color="auto" w:fill="FFFFFF" w:themeFill="background1"/>
            <w:vAlign w:val="center"/>
          </w:tcPr>
          <w:p w14:paraId="6667AEA7">
            <w:pPr>
              <w:spacing w:line="360" w:lineRule="auto"/>
              <w:rPr>
                <w:b w:val="0"/>
                <w:bCs w:val="0"/>
              </w:rPr>
            </w:pPr>
            <w:r>
              <w:rPr>
                <w:rFonts w:hint="eastAsia"/>
                <w:b w:val="0"/>
                <w:bCs w:val="0"/>
              </w:rPr>
              <w:t>存储分卷</w:t>
            </w:r>
          </w:p>
        </w:tc>
        <w:tc>
          <w:tcPr>
            <w:tcW w:w="2975" w:type="pct"/>
            <w:shd w:val="clear" w:color="auto" w:fill="FFFFFF" w:themeFill="background1"/>
            <w:vAlign w:val="center"/>
          </w:tcPr>
          <w:p w14:paraId="0A72C00B">
            <w:pPr>
              <w:spacing w:line="360" w:lineRule="auto"/>
              <w:rPr>
                <w:b w:val="0"/>
                <w:bCs w:val="0"/>
              </w:rPr>
            </w:pPr>
            <w:r>
              <w:rPr>
                <w:rFonts w:hint="eastAsia"/>
                <w:b w:val="0"/>
                <w:bCs w:val="0"/>
              </w:rPr>
              <w:t>超融合平台应支持存储分卷（多存储卷）功能，</w:t>
            </w:r>
            <w:r>
              <w:rPr>
                <w:rFonts w:asciiTheme="minorEastAsia" w:hAnsiTheme="minorEastAsia" w:eastAsiaTheme="minorEastAsia"/>
                <w:b w:val="0"/>
                <w:bCs w:val="0"/>
                <w:color w:val="000000"/>
                <w:sz w:val="24"/>
                <w:szCs w:val="24"/>
              </w:rPr>
              <w:t>可</w:t>
            </w:r>
            <w:r>
              <w:rPr>
                <w:rFonts w:hint="eastAsia" w:asciiTheme="minorEastAsia" w:hAnsiTheme="minorEastAsia" w:eastAsiaTheme="minorEastAsia"/>
                <w:b w:val="0"/>
                <w:bCs w:val="0"/>
                <w:color w:val="000000"/>
                <w:sz w:val="24"/>
                <w:szCs w:val="24"/>
              </w:rPr>
              <w:t>同时</w:t>
            </w:r>
            <w:r>
              <w:rPr>
                <w:rFonts w:asciiTheme="minorEastAsia" w:hAnsiTheme="minorEastAsia" w:eastAsiaTheme="minorEastAsia"/>
                <w:b w:val="0"/>
                <w:bCs w:val="0"/>
                <w:color w:val="000000"/>
                <w:sz w:val="24"/>
                <w:szCs w:val="24"/>
              </w:rPr>
              <w:t>创建全 SSD</w:t>
            </w:r>
            <w:r>
              <w:rPr>
                <w:rFonts w:hint="eastAsia" w:asciiTheme="minorEastAsia" w:hAnsiTheme="minorEastAsia" w:eastAsiaTheme="minorEastAsia"/>
                <w:b w:val="0"/>
                <w:bCs w:val="0"/>
                <w:color w:val="000000"/>
                <w:sz w:val="24"/>
                <w:szCs w:val="24"/>
              </w:rPr>
              <w:t>（固态硬盘）</w:t>
            </w:r>
            <w:r>
              <w:rPr>
                <w:rFonts w:asciiTheme="minorEastAsia" w:hAnsiTheme="minorEastAsia" w:eastAsiaTheme="minorEastAsia"/>
                <w:b w:val="0"/>
                <w:bCs w:val="0"/>
                <w:color w:val="000000"/>
                <w:sz w:val="24"/>
                <w:szCs w:val="24"/>
              </w:rPr>
              <w:t xml:space="preserve"> 高性能存储</w:t>
            </w:r>
            <w:r>
              <w:rPr>
                <w:rFonts w:hint="eastAsia" w:asciiTheme="minorEastAsia" w:hAnsiTheme="minorEastAsia" w:eastAsiaTheme="minorEastAsia"/>
                <w:b w:val="0"/>
                <w:bCs w:val="0"/>
                <w:color w:val="000000"/>
                <w:sz w:val="24"/>
                <w:szCs w:val="24"/>
              </w:rPr>
              <w:t>卷</w:t>
            </w:r>
            <w:r>
              <w:rPr>
                <w:rFonts w:asciiTheme="minorEastAsia" w:hAnsiTheme="minorEastAsia" w:eastAsiaTheme="minorEastAsia"/>
                <w:b w:val="0"/>
                <w:bCs w:val="0"/>
                <w:color w:val="000000"/>
                <w:sz w:val="24"/>
                <w:szCs w:val="24"/>
              </w:rPr>
              <w:t>和 SSD</w:t>
            </w:r>
            <w:r>
              <w:rPr>
                <w:rFonts w:hint="eastAsia" w:asciiTheme="minorEastAsia" w:hAnsiTheme="minorEastAsia" w:eastAsiaTheme="minorEastAsia"/>
                <w:b w:val="0"/>
                <w:bCs w:val="0"/>
                <w:color w:val="000000"/>
                <w:sz w:val="24"/>
                <w:szCs w:val="24"/>
              </w:rPr>
              <w:t>（固态硬盘）</w:t>
            </w:r>
            <w:r>
              <w:rPr>
                <w:rFonts w:asciiTheme="minorEastAsia" w:hAnsiTheme="minorEastAsia" w:eastAsiaTheme="minorEastAsia"/>
                <w:b w:val="0"/>
                <w:bCs w:val="0"/>
                <w:color w:val="000000"/>
                <w:sz w:val="24"/>
                <w:szCs w:val="24"/>
              </w:rPr>
              <w:t>+HDD</w:t>
            </w:r>
            <w:r>
              <w:rPr>
                <w:rFonts w:hint="eastAsia" w:asciiTheme="minorEastAsia" w:hAnsiTheme="minorEastAsia" w:eastAsiaTheme="minorEastAsia"/>
                <w:b w:val="0"/>
                <w:bCs w:val="0"/>
                <w:color w:val="000000"/>
                <w:sz w:val="24"/>
                <w:szCs w:val="24"/>
              </w:rPr>
              <w:t>（机械硬盘）</w:t>
            </w:r>
            <w:r>
              <w:rPr>
                <w:rFonts w:asciiTheme="minorEastAsia" w:hAnsiTheme="minorEastAsia" w:eastAsiaTheme="minorEastAsia"/>
                <w:b w:val="0"/>
                <w:bCs w:val="0"/>
                <w:color w:val="000000"/>
                <w:sz w:val="24"/>
                <w:szCs w:val="24"/>
              </w:rPr>
              <w:t xml:space="preserve"> 大容量存储</w:t>
            </w:r>
            <w:r>
              <w:rPr>
                <w:rFonts w:hint="eastAsia" w:asciiTheme="minorEastAsia" w:hAnsiTheme="minorEastAsia" w:eastAsiaTheme="minorEastAsia"/>
                <w:b w:val="0"/>
                <w:bCs w:val="0"/>
                <w:color w:val="000000"/>
                <w:sz w:val="24"/>
                <w:szCs w:val="24"/>
              </w:rPr>
              <w:t>卷</w:t>
            </w:r>
            <w:r>
              <w:rPr>
                <w:rFonts w:asciiTheme="minorEastAsia" w:hAnsiTheme="minorEastAsia" w:eastAsiaTheme="minorEastAsia"/>
                <w:b w:val="0"/>
                <w:bCs w:val="0"/>
                <w:color w:val="000000"/>
                <w:sz w:val="24"/>
                <w:szCs w:val="24"/>
              </w:rPr>
              <w:t>，满足不同业务的性能与容量需求。</w:t>
            </w:r>
          </w:p>
          <w:p w14:paraId="211F8391">
            <w:pPr>
              <w:spacing w:line="360" w:lineRule="auto"/>
              <w:rPr>
                <w:b w:val="0"/>
                <w:bCs w:val="0"/>
              </w:rPr>
            </w:pPr>
            <w:r>
              <w:rPr>
                <w:rFonts w:hint="eastAsia"/>
                <w:b w:val="0"/>
                <w:bCs w:val="0"/>
              </w:rPr>
              <w:t>（需提供产品功能截图，并加盖供应商公章）</w:t>
            </w:r>
          </w:p>
        </w:tc>
      </w:tr>
      <w:tr w14:paraId="46B3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477" w:type="pct"/>
            <w:shd w:val="clear" w:color="auto" w:fill="FFFFFF" w:themeFill="background1"/>
            <w:vAlign w:val="center"/>
          </w:tcPr>
          <w:p w14:paraId="23AC55A4">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restart"/>
            <w:shd w:val="clear" w:color="auto" w:fill="FFFFFF" w:themeFill="background1"/>
            <w:vAlign w:val="center"/>
          </w:tcPr>
          <w:p w14:paraId="6CCA44ED">
            <w:pPr>
              <w:spacing w:line="360" w:lineRule="auto"/>
              <w:rPr>
                <w:b w:val="0"/>
                <w:bCs w:val="0"/>
              </w:rPr>
            </w:pPr>
            <w:r>
              <w:rPr>
                <w:rFonts w:hint="eastAsia"/>
                <w:b w:val="0"/>
                <w:bCs w:val="0"/>
              </w:rPr>
              <w:t>超融合平台-网络虚拟化功能</w:t>
            </w:r>
          </w:p>
        </w:tc>
        <w:tc>
          <w:tcPr>
            <w:tcW w:w="833" w:type="pct"/>
            <w:shd w:val="clear" w:color="auto" w:fill="FFFFFF" w:themeFill="background1"/>
            <w:vAlign w:val="center"/>
          </w:tcPr>
          <w:p w14:paraId="36FDD610">
            <w:pPr>
              <w:spacing w:line="360" w:lineRule="auto"/>
              <w:rPr>
                <w:b w:val="0"/>
                <w:bCs w:val="0"/>
              </w:rPr>
            </w:pPr>
            <w:r>
              <w:rPr>
                <w:rFonts w:hint="eastAsia"/>
                <w:b w:val="0"/>
                <w:bCs w:val="0"/>
              </w:rPr>
              <w:t>网络可视化</w:t>
            </w:r>
          </w:p>
        </w:tc>
        <w:tc>
          <w:tcPr>
            <w:tcW w:w="2975" w:type="pct"/>
            <w:shd w:val="clear" w:color="auto" w:fill="FFFFFF" w:themeFill="background1"/>
            <w:vAlign w:val="center"/>
          </w:tcPr>
          <w:p w14:paraId="6ACA19DC">
            <w:pPr>
              <w:spacing w:line="360" w:lineRule="auto"/>
              <w:rPr>
                <w:b w:val="0"/>
                <w:bCs w:val="0"/>
              </w:rPr>
            </w:pPr>
            <w:r>
              <w:rPr>
                <w:rFonts w:hint="eastAsia"/>
                <w:b w:val="0"/>
                <w:bCs w:val="0"/>
              </w:rPr>
              <w:t>超融合平台支持网络可视化功能，</w:t>
            </w:r>
            <w:r>
              <w:rPr>
                <w:rFonts w:ascii="Calibri" w:hAnsi="Calibri" w:cs="Calibri"/>
                <w:b w:val="0"/>
                <w:bCs w:val="0"/>
              </w:rPr>
              <w:t>﻿</w:t>
            </w:r>
            <w:r>
              <w:rPr>
                <w:b w:val="0"/>
                <w:bCs w:val="0"/>
              </w:rPr>
              <w:t>支持查看、 修改虚拟网络拓扑</w:t>
            </w:r>
            <w:r>
              <w:rPr>
                <w:rFonts w:hint="eastAsia"/>
                <w:b w:val="0"/>
                <w:bCs w:val="0"/>
              </w:rPr>
              <w:t>，</w:t>
            </w:r>
            <w:r>
              <w:rPr>
                <w:rFonts w:ascii="Calibri" w:hAnsi="Calibri" w:cs="Calibri"/>
                <w:b w:val="0"/>
                <w:bCs w:val="0"/>
              </w:rPr>
              <w:t>﻿</w:t>
            </w:r>
            <w:r>
              <w:rPr>
                <w:b w:val="0"/>
                <w:bCs w:val="0"/>
              </w:rPr>
              <w:t>支持查看</w:t>
            </w:r>
            <w:r>
              <w:rPr>
                <w:rFonts w:hint="eastAsia"/>
                <w:b w:val="0"/>
                <w:bCs w:val="0"/>
              </w:rPr>
              <w:t>虚拟机之间</w:t>
            </w:r>
            <w:r>
              <w:rPr>
                <w:b w:val="0"/>
                <w:bCs w:val="0"/>
              </w:rPr>
              <w:t>流量访问关系</w:t>
            </w:r>
            <w:r>
              <w:rPr>
                <w:rFonts w:hint="eastAsia"/>
                <w:b w:val="0"/>
                <w:bCs w:val="0"/>
              </w:rPr>
              <w:t>。</w:t>
            </w:r>
          </w:p>
        </w:tc>
      </w:tr>
      <w:tr w14:paraId="145C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79374BBE">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35BACB7B">
            <w:pPr>
              <w:spacing w:line="360" w:lineRule="auto"/>
              <w:jc w:val="both"/>
              <w:rPr>
                <w:b w:val="0"/>
                <w:bCs w:val="0"/>
              </w:rPr>
            </w:pPr>
          </w:p>
        </w:tc>
        <w:tc>
          <w:tcPr>
            <w:tcW w:w="833" w:type="pct"/>
            <w:shd w:val="clear" w:color="auto" w:fill="FFFFFF" w:themeFill="background1"/>
            <w:vAlign w:val="center"/>
          </w:tcPr>
          <w:p w14:paraId="0D0B22F2">
            <w:pPr>
              <w:spacing w:line="360" w:lineRule="auto"/>
              <w:rPr>
                <w:b w:val="0"/>
                <w:bCs w:val="0"/>
              </w:rPr>
            </w:pPr>
            <w:r>
              <w:rPr>
                <w:rFonts w:hint="eastAsia"/>
                <w:b w:val="0"/>
                <w:bCs w:val="0"/>
              </w:rPr>
              <w:t>分布式防火墙</w:t>
            </w:r>
          </w:p>
        </w:tc>
        <w:tc>
          <w:tcPr>
            <w:tcW w:w="2975" w:type="pct"/>
            <w:shd w:val="clear" w:color="auto" w:fill="FFFFFF" w:themeFill="background1"/>
            <w:vAlign w:val="center"/>
          </w:tcPr>
          <w:p w14:paraId="19494715">
            <w:pPr>
              <w:spacing w:line="360" w:lineRule="auto"/>
              <w:rPr>
                <w:b w:val="0"/>
                <w:bCs w:val="0"/>
              </w:rPr>
            </w:pPr>
            <w:r>
              <w:rPr>
                <w:rFonts w:hint="eastAsia"/>
                <w:b w:val="0"/>
                <w:bCs w:val="0"/>
              </w:rPr>
              <w:t>超融合平台应内置分布式虚拟防火墙（东西向微隔离）功能，支持基于虚拟机、虚拟机组、虚拟机业务标签、IP地址、IP范围及IP组灵活定义安全访问控制策略；支持源/目的/协议/状态的精细化策略配置，策略随虚拟机跨主机迁移自动跟随生效。</w:t>
            </w:r>
          </w:p>
        </w:tc>
      </w:tr>
      <w:tr w14:paraId="4681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57F96F9E">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4F7DE7E2">
            <w:pPr>
              <w:spacing w:line="360" w:lineRule="auto"/>
              <w:rPr>
                <w:b w:val="0"/>
                <w:bCs w:val="0"/>
              </w:rPr>
            </w:pPr>
          </w:p>
        </w:tc>
        <w:tc>
          <w:tcPr>
            <w:tcW w:w="833" w:type="pct"/>
            <w:shd w:val="clear" w:color="auto" w:fill="FFFFFF" w:themeFill="background1"/>
            <w:vAlign w:val="center"/>
          </w:tcPr>
          <w:p w14:paraId="54E8C737">
            <w:pPr>
              <w:spacing w:line="360" w:lineRule="auto"/>
              <w:rPr>
                <w:b w:val="0"/>
                <w:bCs w:val="0"/>
              </w:rPr>
            </w:pPr>
            <w:r>
              <w:rPr>
                <w:rFonts w:hint="eastAsia"/>
                <w:b w:val="0"/>
                <w:bCs w:val="0"/>
              </w:rPr>
              <w:t>网络故障检测</w:t>
            </w:r>
          </w:p>
        </w:tc>
        <w:tc>
          <w:tcPr>
            <w:tcW w:w="2975" w:type="pct"/>
            <w:shd w:val="clear" w:color="auto" w:fill="FFFFFF" w:themeFill="background1"/>
            <w:vAlign w:val="center"/>
          </w:tcPr>
          <w:p w14:paraId="2DF45068">
            <w:pPr>
              <w:spacing w:line="360" w:lineRule="auto"/>
              <w:rPr>
                <w:b w:val="0"/>
                <w:bCs w:val="0"/>
              </w:rPr>
            </w:pPr>
            <w:r>
              <w:rPr>
                <w:b w:val="0"/>
                <w:bCs w:val="0"/>
              </w:rPr>
              <w:t>为保障网络传输的可靠性，针对所有网口光衰导致的时延、闪断等网络性能异常的情况，超融合业务服务器可实现定位到包括管理网口、业务网口、存储网口等聚合网口里具体链路的网络亚健康检测的告警。</w:t>
            </w:r>
            <w:r>
              <w:rPr>
                <w:rFonts w:hint="eastAsia"/>
                <w:b w:val="0"/>
                <w:bCs w:val="0"/>
              </w:rPr>
              <w:t>（需提供产品功能截图，并加盖供应商公章）</w:t>
            </w:r>
          </w:p>
        </w:tc>
      </w:tr>
      <w:tr w14:paraId="4778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72361552">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6E7444D5">
            <w:pPr>
              <w:spacing w:line="360" w:lineRule="auto"/>
              <w:rPr>
                <w:b w:val="0"/>
                <w:bCs w:val="0"/>
              </w:rPr>
            </w:pPr>
          </w:p>
        </w:tc>
        <w:tc>
          <w:tcPr>
            <w:tcW w:w="833" w:type="pct"/>
            <w:shd w:val="clear" w:color="auto" w:fill="FFFFFF" w:themeFill="background1"/>
            <w:vAlign w:val="center"/>
          </w:tcPr>
          <w:p w14:paraId="19ACD59E">
            <w:pPr>
              <w:spacing w:line="360" w:lineRule="auto"/>
              <w:rPr>
                <w:b w:val="0"/>
                <w:bCs w:val="0"/>
              </w:rPr>
            </w:pPr>
            <w:r>
              <w:rPr>
                <w:rFonts w:hint="eastAsia"/>
                <w:b w:val="0"/>
                <w:bCs w:val="0"/>
              </w:rPr>
              <w:t>流量镜像</w:t>
            </w:r>
          </w:p>
        </w:tc>
        <w:tc>
          <w:tcPr>
            <w:tcW w:w="2975" w:type="pct"/>
            <w:shd w:val="clear" w:color="auto" w:fill="FFFFFF" w:themeFill="background1"/>
            <w:vAlign w:val="center"/>
          </w:tcPr>
          <w:p w14:paraId="768C02A0">
            <w:pPr>
              <w:spacing w:line="360" w:lineRule="auto"/>
              <w:rPr>
                <w:b w:val="0"/>
                <w:bCs w:val="0"/>
              </w:rPr>
            </w:pPr>
            <w:r>
              <w:rPr>
                <w:b w:val="0"/>
                <w:bCs w:val="0"/>
              </w:rPr>
              <w:t>超融合平台支持</w:t>
            </w:r>
            <w:r>
              <w:rPr>
                <w:rFonts w:hint="eastAsia"/>
                <w:b w:val="0"/>
                <w:bCs w:val="0"/>
              </w:rPr>
              <w:t>流量</w:t>
            </w:r>
            <w:r>
              <w:rPr>
                <w:b w:val="0"/>
                <w:bCs w:val="0"/>
              </w:rPr>
              <w:t>镜像（Traffic Mirroring）功能，可将指定虚拟网络或虚拟机网卡的流量（入向/出向/双向）镜像至</w:t>
            </w:r>
            <w:r>
              <w:rPr>
                <w:rFonts w:hint="eastAsia"/>
                <w:b w:val="0"/>
                <w:bCs w:val="0"/>
              </w:rPr>
              <w:t>流量</w:t>
            </w:r>
            <w:r>
              <w:rPr>
                <w:b w:val="0"/>
                <w:bCs w:val="0"/>
              </w:rPr>
              <w:t>审计虚拟机或</w:t>
            </w:r>
            <w:r>
              <w:rPr>
                <w:rFonts w:hint="eastAsia"/>
                <w:b w:val="0"/>
                <w:bCs w:val="0"/>
              </w:rPr>
              <w:t>外部安全</w:t>
            </w:r>
            <w:r>
              <w:rPr>
                <w:b w:val="0"/>
                <w:bCs w:val="0"/>
              </w:rPr>
              <w:t>设备。满足等级保护及相关合规对东西向与南北向流量审计的要求。</w:t>
            </w:r>
            <w:r>
              <w:rPr>
                <w:rFonts w:hint="eastAsia"/>
                <w:b w:val="0"/>
                <w:bCs w:val="0"/>
              </w:rPr>
              <w:t>（需提供产品功能截图，并加盖供应商公章）</w:t>
            </w:r>
          </w:p>
        </w:tc>
      </w:tr>
      <w:tr w14:paraId="7CCC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05302842">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54ACBFC8">
            <w:pPr>
              <w:spacing w:line="360" w:lineRule="auto"/>
              <w:rPr>
                <w:b w:val="0"/>
                <w:bCs w:val="0"/>
              </w:rPr>
            </w:pPr>
          </w:p>
        </w:tc>
        <w:tc>
          <w:tcPr>
            <w:tcW w:w="833" w:type="pct"/>
            <w:shd w:val="clear" w:color="auto" w:fill="FFFFFF" w:themeFill="background1"/>
            <w:vAlign w:val="center"/>
          </w:tcPr>
          <w:p w14:paraId="146ACB2C">
            <w:pPr>
              <w:spacing w:line="360" w:lineRule="auto"/>
              <w:rPr>
                <w:b w:val="0"/>
                <w:bCs w:val="0"/>
              </w:rPr>
            </w:pPr>
            <w:r>
              <w:rPr>
                <w:rFonts w:hint="eastAsia"/>
                <w:b w:val="0"/>
                <w:bCs w:val="0"/>
              </w:rPr>
              <w:t>微隔离能力</w:t>
            </w:r>
          </w:p>
        </w:tc>
        <w:tc>
          <w:tcPr>
            <w:tcW w:w="2975" w:type="pct"/>
            <w:shd w:val="clear" w:color="auto" w:fill="FFFFFF" w:themeFill="background1"/>
            <w:vAlign w:val="center"/>
          </w:tcPr>
          <w:p w14:paraId="5385C6F6">
            <w:pPr>
              <w:spacing w:line="360" w:lineRule="auto"/>
              <w:rPr>
                <w:b w:val="0"/>
                <w:bCs w:val="0"/>
              </w:rPr>
            </w:pPr>
            <w:r>
              <w:rPr>
                <w:b w:val="0"/>
                <w:bCs w:val="0"/>
              </w:rPr>
              <w:t>超融合平台支持通过内置能力或联动第三方安全产品实现</w:t>
            </w:r>
            <w:r>
              <w:rPr>
                <w:rFonts w:hint="eastAsia"/>
                <w:b w:val="0"/>
                <w:bCs w:val="0"/>
              </w:rPr>
              <w:t>虚拟机</w:t>
            </w:r>
            <w:r>
              <w:rPr>
                <w:b w:val="0"/>
                <w:bCs w:val="0"/>
              </w:rPr>
              <w:t>微隔离能力，实现基于业务访问关系和历史流量的微隔离策略分析与推荐；支持策略试运行机制，可在不阻断业务的前提下验证策略有效性，并支持在确认无误后正式下发生效。</w:t>
            </w:r>
            <w:r>
              <w:rPr>
                <w:rFonts w:hint="eastAsia"/>
                <w:b w:val="0"/>
                <w:bCs w:val="0"/>
              </w:rPr>
              <w:t>（需提供产品功能截图，并加盖供应商公章）</w:t>
            </w:r>
          </w:p>
        </w:tc>
      </w:tr>
      <w:tr w14:paraId="65C6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77" w:type="pct"/>
            <w:shd w:val="clear" w:color="auto" w:fill="FFFFFF" w:themeFill="background1"/>
            <w:vAlign w:val="center"/>
          </w:tcPr>
          <w:p w14:paraId="18AC6CA1">
            <w:pPr>
              <w:pStyle w:val="17"/>
              <w:numPr>
                <w:ilvl w:val="0"/>
                <w:numId w:val="4"/>
              </w:numPr>
              <w:spacing w:line="360" w:lineRule="auto"/>
              <w:ind w:firstLineChars="0"/>
              <w:jc w:val="center"/>
              <w:rPr>
                <w:rFonts w:ascii="宋体" w:hAnsi="宋体" w:eastAsia="宋体"/>
                <w:b w:val="0"/>
                <w:bCs w:val="0"/>
                <w:sz w:val="24"/>
                <w:szCs w:val="32"/>
              </w:rPr>
            </w:pPr>
          </w:p>
        </w:tc>
        <w:tc>
          <w:tcPr>
            <w:tcW w:w="714" w:type="pct"/>
            <w:vMerge w:val="continue"/>
            <w:shd w:val="clear" w:color="auto" w:fill="FFFFFF" w:themeFill="background1"/>
            <w:vAlign w:val="center"/>
          </w:tcPr>
          <w:p w14:paraId="29D00CD2">
            <w:pPr>
              <w:spacing w:line="360" w:lineRule="auto"/>
              <w:rPr>
                <w:b w:val="0"/>
                <w:bCs w:val="0"/>
              </w:rPr>
            </w:pPr>
          </w:p>
        </w:tc>
        <w:tc>
          <w:tcPr>
            <w:tcW w:w="833" w:type="pct"/>
            <w:shd w:val="clear" w:color="auto" w:fill="FFFFFF" w:themeFill="background1"/>
            <w:vAlign w:val="center"/>
          </w:tcPr>
          <w:p w14:paraId="2D888DD6">
            <w:pPr>
              <w:spacing w:line="360" w:lineRule="auto"/>
              <w:rPr>
                <w:b w:val="0"/>
                <w:bCs w:val="0"/>
              </w:rPr>
            </w:pPr>
            <w:r>
              <w:rPr>
                <w:rFonts w:hint="eastAsia"/>
                <w:b w:val="0"/>
                <w:bCs w:val="0"/>
              </w:rPr>
              <w:t>网络安全防护</w:t>
            </w:r>
          </w:p>
        </w:tc>
        <w:tc>
          <w:tcPr>
            <w:tcW w:w="2975" w:type="pct"/>
            <w:shd w:val="clear" w:color="auto" w:fill="FFFFFF" w:themeFill="background1"/>
            <w:vAlign w:val="center"/>
          </w:tcPr>
          <w:p w14:paraId="6AB61166">
            <w:pPr>
              <w:spacing w:line="360" w:lineRule="auto"/>
              <w:rPr>
                <w:b w:val="0"/>
                <w:bCs w:val="0"/>
              </w:rPr>
            </w:pPr>
            <w:r>
              <w:rPr>
                <w:b w:val="0"/>
                <w:bCs w:val="0"/>
              </w:rPr>
              <w:t>超融合平台支持通过内置能力或联动第三方安全产品实现分布式七层网络攻击防护能力。支持以虚拟机为粒度，对指定虚拟机、批量虚拟机、指定IP、指定IP范围开启网络防护功能，且不因IP地址变更或迁移等情况导致安全能力失效。</w:t>
            </w:r>
            <w:r>
              <w:rPr>
                <w:rFonts w:hint="eastAsia"/>
                <w:b w:val="0"/>
                <w:bCs w:val="0"/>
              </w:rPr>
              <w:t>（需提供产品功能截图，并加盖供应商公章）</w:t>
            </w:r>
          </w:p>
        </w:tc>
      </w:tr>
      <w:tr w14:paraId="0FDC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477" w:type="pct"/>
            <w:shd w:val="clear" w:color="auto" w:fill="FFFFFF" w:themeFill="background1"/>
            <w:vAlign w:val="center"/>
          </w:tcPr>
          <w:p w14:paraId="118D71B9">
            <w:pPr>
              <w:pStyle w:val="17"/>
              <w:numPr>
                <w:ilvl w:val="0"/>
                <w:numId w:val="4"/>
              </w:numPr>
              <w:spacing w:line="360" w:lineRule="auto"/>
              <w:ind w:firstLineChars="0"/>
              <w:jc w:val="center"/>
              <w:rPr>
                <w:rFonts w:ascii="宋体" w:hAnsi="宋体" w:eastAsia="宋体"/>
                <w:b w:val="0"/>
                <w:bCs w:val="0"/>
                <w:sz w:val="24"/>
                <w:szCs w:val="32"/>
              </w:rPr>
            </w:pPr>
          </w:p>
        </w:tc>
        <w:tc>
          <w:tcPr>
            <w:tcW w:w="714" w:type="pct"/>
            <w:shd w:val="clear" w:color="auto" w:fill="FFFFFF" w:themeFill="background1"/>
            <w:vAlign w:val="center"/>
          </w:tcPr>
          <w:p w14:paraId="49B226A9">
            <w:pPr>
              <w:spacing w:line="360" w:lineRule="auto"/>
              <w:rPr>
                <w:b w:val="0"/>
                <w:bCs w:val="0"/>
              </w:rPr>
            </w:pPr>
            <w:r>
              <w:rPr>
                <w:rFonts w:hint="eastAsia"/>
                <w:b w:val="0"/>
                <w:bCs w:val="0"/>
              </w:rPr>
              <w:t>售后服务要求</w:t>
            </w:r>
          </w:p>
        </w:tc>
        <w:tc>
          <w:tcPr>
            <w:tcW w:w="833" w:type="pct"/>
            <w:shd w:val="clear" w:color="auto" w:fill="FFFFFF" w:themeFill="background1"/>
            <w:vAlign w:val="center"/>
          </w:tcPr>
          <w:p w14:paraId="07B9B9D4">
            <w:pPr>
              <w:spacing w:line="360" w:lineRule="auto"/>
              <w:rPr>
                <w:b w:val="0"/>
                <w:bCs w:val="0"/>
                <w:color w:val="FF0000"/>
              </w:rPr>
            </w:pPr>
            <w:r>
              <w:rPr>
                <w:rFonts w:hint="eastAsia"/>
                <w:b w:val="0"/>
                <w:bCs w:val="0"/>
              </w:rPr>
              <w:t>售后服务</w:t>
            </w:r>
          </w:p>
        </w:tc>
        <w:tc>
          <w:tcPr>
            <w:tcW w:w="2975" w:type="pct"/>
            <w:shd w:val="clear" w:color="auto" w:fill="FFFFFF" w:themeFill="background1"/>
            <w:vAlign w:val="center"/>
          </w:tcPr>
          <w:p w14:paraId="696F817D">
            <w:pPr>
              <w:spacing w:line="360" w:lineRule="auto"/>
              <w:rPr>
                <w:b w:val="0"/>
                <w:bCs w:val="0"/>
                <w:color w:val="FF0000"/>
              </w:rPr>
            </w:pPr>
            <w:r>
              <w:rPr>
                <w:rFonts w:hint="eastAsia"/>
                <w:b w:val="0"/>
                <w:bCs w:val="0"/>
              </w:rPr>
              <w:t>提供原厂商首次安装服务和≥3年7*24小时产品免费服务周期。</w:t>
            </w:r>
          </w:p>
        </w:tc>
      </w:tr>
    </w:tbl>
    <w:p w14:paraId="646F6EE9"/>
    <w:p w14:paraId="7F7A2616">
      <w:pPr>
        <w:rPr>
          <w:color w:val="auto"/>
        </w:rPr>
      </w:pPr>
    </w:p>
    <w:p w14:paraId="5E186A73">
      <w:pPr>
        <w:pStyle w:val="3"/>
        <w:bidi w:val="0"/>
        <w:rPr>
          <w:color w:val="auto"/>
        </w:rPr>
      </w:pPr>
      <w:r>
        <w:rPr>
          <w:rFonts w:hint="eastAsia"/>
          <w:color w:val="auto"/>
        </w:rPr>
        <w:t>4.</w:t>
      </w:r>
      <w:r>
        <w:rPr>
          <w:rFonts w:hint="eastAsia"/>
          <w:color w:val="auto"/>
          <w:lang w:val="en-US" w:eastAsia="zh-CN"/>
        </w:rPr>
        <w:t>3 裸金属</w:t>
      </w:r>
      <w:r>
        <w:rPr>
          <w:color w:val="auto"/>
        </w:rPr>
        <w:t>服务器</w:t>
      </w:r>
      <w:r>
        <w:rPr>
          <w:rFonts w:hint="eastAsia"/>
          <w:color w:val="auto"/>
        </w:rPr>
        <w:t>参数要求</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58"/>
        <w:gridCol w:w="2146"/>
        <w:gridCol w:w="5418"/>
      </w:tblGrid>
      <w:tr w14:paraId="0095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2" w:type="pct"/>
            <w:shd w:val="clear" w:color="auto" w:fill="FFFFFF" w:themeFill="background1"/>
            <w:vAlign w:val="center"/>
          </w:tcPr>
          <w:p w14:paraId="36D095FA">
            <w:pPr>
              <w:spacing w:line="360" w:lineRule="auto"/>
              <w:jc w:val="center"/>
              <w:rPr>
                <w:b w:val="0"/>
                <w:bCs w:val="0"/>
                <w:color w:val="auto"/>
              </w:rPr>
            </w:pPr>
            <w:r>
              <w:rPr>
                <w:rFonts w:hint="eastAsia"/>
                <w:b w:val="0"/>
                <w:bCs w:val="0"/>
                <w:color w:val="auto"/>
              </w:rPr>
              <w:t>序号</w:t>
            </w:r>
          </w:p>
        </w:tc>
        <w:tc>
          <w:tcPr>
            <w:tcW w:w="1259" w:type="pct"/>
            <w:shd w:val="clear" w:color="auto" w:fill="FFFFFF" w:themeFill="background1"/>
            <w:vAlign w:val="center"/>
          </w:tcPr>
          <w:p w14:paraId="1BCB0BEA">
            <w:pPr>
              <w:spacing w:line="360" w:lineRule="auto"/>
              <w:jc w:val="center"/>
              <w:rPr>
                <w:b w:val="0"/>
                <w:bCs w:val="0"/>
                <w:color w:val="auto"/>
              </w:rPr>
            </w:pPr>
            <w:r>
              <w:rPr>
                <w:rFonts w:hint="eastAsia"/>
                <w:b w:val="0"/>
                <w:bCs w:val="0"/>
                <w:color w:val="auto"/>
              </w:rPr>
              <w:t>指标项</w:t>
            </w:r>
          </w:p>
        </w:tc>
        <w:tc>
          <w:tcPr>
            <w:tcW w:w="3178" w:type="pct"/>
            <w:shd w:val="clear" w:color="auto" w:fill="FFFFFF" w:themeFill="background1"/>
            <w:vAlign w:val="center"/>
          </w:tcPr>
          <w:p w14:paraId="5794BFF6">
            <w:pPr>
              <w:spacing w:line="360" w:lineRule="auto"/>
              <w:jc w:val="center"/>
              <w:rPr>
                <w:b w:val="0"/>
                <w:bCs w:val="0"/>
                <w:color w:val="auto"/>
              </w:rPr>
            </w:pPr>
            <w:r>
              <w:rPr>
                <w:rFonts w:hint="eastAsia"/>
                <w:b w:val="0"/>
                <w:bCs w:val="0"/>
                <w:color w:val="auto"/>
              </w:rPr>
              <w:t>技术规格要求</w:t>
            </w:r>
          </w:p>
        </w:tc>
      </w:tr>
      <w:tr w14:paraId="42DD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2" w:type="pct"/>
            <w:shd w:val="clear" w:color="auto" w:fill="FFFFFF" w:themeFill="background1"/>
            <w:vAlign w:val="center"/>
          </w:tcPr>
          <w:p w14:paraId="26A3171D">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18FF337F">
            <w:pPr>
              <w:spacing w:line="360" w:lineRule="auto"/>
              <w:rPr>
                <w:b w:val="0"/>
                <w:bCs w:val="0"/>
                <w:color w:val="auto"/>
              </w:rPr>
            </w:pPr>
            <w:r>
              <w:rPr>
                <w:rFonts w:hint="eastAsia"/>
                <w:b w:val="0"/>
                <w:bCs w:val="0"/>
                <w:color w:val="auto"/>
              </w:rPr>
              <w:t>CPU规格</w:t>
            </w:r>
          </w:p>
        </w:tc>
        <w:tc>
          <w:tcPr>
            <w:tcW w:w="3178" w:type="pct"/>
            <w:shd w:val="clear" w:color="auto" w:fill="FFFFFF" w:themeFill="background1"/>
            <w:vAlign w:val="center"/>
          </w:tcPr>
          <w:p w14:paraId="11674C0E">
            <w:pPr>
              <w:spacing w:line="360" w:lineRule="auto"/>
              <w:rPr>
                <w:b w:val="0"/>
                <w:bCs w:val="0"/>
                <w:color w:val="auto"/>
              </w:rPr>
            </w:pPr>
            <w:r>
              <w:rPr>
                <w:rFonts w:hint="eastAsia"/>
                <w:b w:val="0"/>
                <w:bCs w:val="0"/>
                <w:color w:val="auto"/>
              </w:rPr>
              <w:t>≥两颗处理器，单个ARM处理器主频≥2.6GHz，物理核心数≥64 ，线程数≥64 ，热设计功耗≤180W，L3缓存≥64MB ，PCI Express 通道数的最大值≥8 ，支持内存速率≥DDR4 2933MHz</w:t>
            </w:r>
          </w:p>
        </w:tc>
      </w:tr>
      <w:tr w14:paraId="14EA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601723DD">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3C32AA37">
            <w:pPr>
              <w:spacing w:line="360" w:lineRule="auto"/>
              <w:rPr>
                <w:b w:val="0"/>
                <w:bCs w:val="0"/>
                <w:color w:val="auto"/>
              </w:rPr>
            </w:pPr>
            <w:r>
              <w:rPr>
                <w:rFonts w:hint="eastAsia"/>
                <w:b w:val="0"/>
                <w:bCs w:val="0"/>
                <w:color w:val="auto"/>
              </w:rPr>
              <w:t>主板支持的 CPU 和内存情况</w:t>
            </w:r>
          </w:p>
        </w:tc>
        <w:tc>
          <w:tcPr>
            <w:tcW w:w="3178" w:type="pct"/>
            <w:shd w:val="clear" w:color="auto" w:fill="FFFFFF" w:themeFill="background1"/>
            <w:vAlign w:val="center"/>
          </w:tcPr>
          <w:p w14:paraId="7EB8DC5D">
            <w:pPr>
              <w:spacing w:line="360" w:lineRule="auto"/>
              <w:rPr>
                <w:b w:val="0"/>
                <w:bCs w:val="0"/>
                <w:color w:val="auto"/>
              </w:rPr>
            </w:pPr>
            <w:r>
              <w:rPr>
                <w:b w:val="0"/>
                <w:bCs w:val="0"/>
                <w:color w:val="auto"/>
              </w:rPr>
              <w:t>供应商给出主板支持的 CPU 和内存的型号数量</w:t>
            </w:r>
          </w:p>
        </w:tc>
      </w:tr>
      <w:tr w14:paraId="6AC4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7231694F">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A2E3399">
            <w:pPr>
              <w:spacing w:line="360" w:lineRule="auto"/>
              <w:rPr>
                <w:b w:val="0"/>
                <w:bCs w:val="0"/>
                <w:color w:val="auto"/>
              </w:rPr>
            </w:pPr>
            <w:r>
              <w:rPr>
                <w:rFonts w:hint="eastAsia"/>
                <w:b w:val="0"/>
                <w:bCs w:val="0"/>
                <w:color w:val="auto"/>
              </w:rPr>
              <w:t>主板内存槽数量</w:t>
            </w:r>
          </w:p>
        </w:tc>
        <w:tc>
          <w:tcPr>
            <w:tcW w:w="3178" w:type="pct"/>
            <w:shd w:val="clear" w:color="auto" w:fill="FFFFFF" w:themeFill="background1"/>
            <w:vAlign w:val="center"/>
          </w:tcPr>
          <w:p w14:paraId="297E3BB1">
            <w:pPr>
              <w:spacing w:line="360" w:lineRule="auto"/>
              <w:rPr>
                <w:b w:val="0"/>
                <w:bCs w:val="0"/>
                <w:color w:val="auto"/>
              </w:rPr>
            </w:pPr>
            <w:r>
              <w:rPr>
                <w:rFonts w:hint="eastAsia"/>
                <w:b w:val="0"/>
                <w:bCs w:val="0"/>
                <w:color w:val="auto"/>
              </w:rPr>
              <w:t>支持≥</w:t>
            </w:r>
            <w:r>
              <w:rPr>
                <w:rFonts w:hint="eastAsia"/>
                <w:b w:val="0"/>
                <w:bCs w:val="0"/>
                <w:color w:val="auto"/>
                <w:lang w:val="en-US" w:eastAsia="zh-CN"/>
              </w:rPr>
              <w:t>32</w:t>
            </w:r>
            <w:r>
              <w:rPr>
                <w:rFonts w:hint="eastAsia"/>
                <w:b w:val="0"/>
                <w:bCs w:val="0"/>
                <w:color w:val="auto"/>
              </w:rPr>
              <w:t>个DDR4内存插槽</w:t>
            </w:r>
          </w:p>
        </w:tc>
      </w:tr>
      <w:tr w14:paraId="7CB2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1E5D9240">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D66D118">
            <w:pPr>
              <w:spacing w:line="360" w:lineRule="auto"/>
              <w:rPr>
                <w:b w:val="0"/>
                <w:bCs w:val="0"/>
                <w:color w:val="auto"/>
              </w:rPr>
            </w:pPr>
            <w:r>
              <w:rPr>
                <w:rFonts w:hint="eastAsia"/>
                <w:b w:val="0"/>
                <w:bCs w:val="0"/>
                <w:color w:val="auto"/>
              </w:rPr>
              <w:t>主板存储接口</w:t>
            </w:r>
          </w:p>
        </w:tc>
        <w:tc>
          <w:tcPr>
            <w:tcW w:w="3178" w:type="pct"/>
            <w:shd w:val="clear" w:color="auto" w:fill="FFFFFF" w:themeFill="background1"/>
            <w:vAlign w:val="center"/>
          </w:tcPr>
          <w:p w14:paraId="7C70567D">
            <w:pPr>
              <w:spacing w:line="360" w:lineRule="auto"/>
              <w:rPr>
                <w:b w:val="0"/>
                <w:bCs w:val="0"/>
                <w:color w:val="auto"/>
              </w:rPr>
            </w:pPr>
            <w:r>
              <w:rPr>
                <w:b w:val="0"/>
                <w:bCs w:val="0"/>
                <w:color w:val="auto"/>
              </w:rPr>
              <w:t>支持SATA、SAS、M.2、U.2等存储接口</w:t>
            </w:r>
          </w:p>
        </w:tc>
      </w:tr>
      <w:tr w14:paraId="1303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206FFC57">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76D4C8CD">
            <w:pPr>
              <w:spacing w:line="360" w:lineRule="auto"/>
              <w:rPr>
                <w:b w:val="0"/>
                <w:bCs w:val="0"/>
                <w:color w:val="auto"/>
              </w:rPr>
            </w:pPr>
            <w:r>
              <w:rPr>
                <w:rFonts w:hint="eastAsia"/>
                <w:b w:val="0"/>
                <w:bCs w:val="0"/>
                <w:color w:val="auto"/>
              </w:rPr>
              <w:t>PCIe插槽接口</w:t>
            </w:r>
          </w:p>
        </w:tc>
        <w:tc>
          <w:tcPr>
            <w:tcW w:w="3178" w:type="pct"/>
            <w:shd w:val="clear" w:color="auto" w:fill="FFFFFF" w:themeFill="background1"/>
            <w:vAlign w:val="center"/>
          </w:tcPr>
          <w:p w14:paraId="5C2859A1">
            <w:pPr>
              <w:spacing w:line="360" w:lineRule="auto"/>
              <w:rPr>
                <w:b w:val="0"/>
                <w:bCs w:val="0"/>
                <w:color w:val="auto"/>
              </w:rPr>
            </w:pPr>
            <w:r>
              <w:rPr>
                <w:rFonts w:hint="eastAsia"/>
                <w:b w:val="0"/>
                <w:bCs w:val="0"/>
                <w:color w:val="auto"/>
              </w:rPr>
              <w:t>符合PCIe3 .0或以上的高速串行计算机扩展总线标准，PCIe的接口速率与位宽需保证向下兼容。</w:t>
            </w:r>
          </w:p>
        </w:tc>
      </w:tr>
      <w:tr w14:paraId="6966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562" w:type="pct"/>
            <w:shd w:val="clear" w:color="auto" w:fill="FFFFFF" w:themeFill="background1"/>
            <w:vAlign w:val="center"/>
          </w:tcPr>
          <w:p w14:paraId="72980C73">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31563DD0">
            <w:pPr>
              <w:spacing w:line="360" w:lineRule="auto"/>
              <w:rPr>
                <w:b w:val="0"/>
                <w:bCs w:val="0"/>
                <w:color w:val="auto"/>
              </w:rPr>
            </w:pPr>
            <w:r>
              <w:rPr>
                <w:rFonts w:hint="eastAsia"/>
                <w:b w:val="0"/>
                <w:bCs w:val="0"/>
                <w:color w:val="auto"/>
              </w:rPr>
              <w:t>主板PCIe插槽数量及规格</w:t>
            </w:r>
          </w:p>
        </w:tc>
        <w:tc>
          <w:tcPr>
            <w:tcW w:w="3178" w:type="pct"/>
            <w:shd w:val="clear" w:color="auto" w:fill="FFFFFF" w:themeFill="background1"/>
            <w:vAlign w:val="center"/>
          </w:tcPr>
          <w:p w14:paraId="548E1274">
            <w:pPr>
              <w:spacing w:line="360" w:lineRule="auto"/>
              <w:rPr>
                <w:b w:val="0"/>
                <w:bCs w:val="0"/>
                <w:color w:val="auto"/>
              </w:rPr>
            </w:pPr>
            <w:r>
              <w:rPr>
                <w:rFonts w:hint="eastAsia"/>
                <w:b w:val="0"/>
                <w:bCs w:val="0"/>
                <w:color w:val="auto"/>
              </w:rPr>
              <w:t>高度≥44 .45mm双路或以上服务器PCIe插槽或接口≥5个。单路服务器PCIe插槽或接口应≥4个，可通过扩展卡进行插槽扩展。</w:t>
            </w:r>
          </w:p>
        </w:tc>
      </w:tr>
      <w:tr w14:paraId="4313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1BD2130A">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55E8BFFB">
            <w:pPr>
              <w:spacing w:line="360" w:lineRule="auto"/>
              <w:rPr>
                <w:b w:val="0"/>
                <w:bCs w:val="0"/>
                <w:color w:val="auto"/>
              </w:rPr>
            </w:pPr>
            <w:r>
              <w:rPr>
                <w:rFonts w:hint="eastAsia"/>
                <w:b w:val="0"/>
                <w:bCs w:val="0"/>
                <w:color w:val="auto"/>
              </w:rPr>
              <w:t>板载网络接口</w:t>
            </w:r>
          </w:p>
        </w:tc>
        <w:tc>
          <w:tcPr>
            <w:tcW w:w="3178" w:type="pct"/>
            <w:shd w:val="clear" w:color="auto" w:fill="FFFFFF" w:themeFill="background1"/>
            <w:vAlign w:val="center"/>
          </w:tcPr>
          <w:p w14:paraId="5D19D527">
            <w:pPr>
              <w:spacing w:line="360" w:lineRule="auto"/>
              <w:rPr>
                <w:b w:val="0"/>
                <w:bCs w:val="0"/>
                <w:color w:val="auto"/>
              </w:rPr>
            </w:pPr>
            <w:r>
              <w:rPr>
                <w:rFonts w:hint="eastAsia"/>
                <w:b w:val="0"/>
                <w:bCs w:val="0"/>
                <w:color w:val="auto"/>
              </w:rPr>
              <w:t>支持≥1个1GE板载网络接口。</w:t>
            </w:r>
          </w:p>
        </w:tc>
      </w:tr>
      <w:tr w14:paraId="5E84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2A3EB944">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7E94D089">
            <w:pPr>
              <w:spacing w:line="360" w:lineRule="auto"/>
              <w:rPr>
                <w:b w:val="0"/>
                <w:bCs w:val="0"/>
                <w:color w:val="auto"/>
              </w:rPr>
            </w:pPr>
            <w:r>
              <w:rPr>
                <w:rFonts w:hint="eastAsia"/>
                <w:b w:val="0"/>
                <w:bCs w:val="0"/>
                <w:color w:val="auto"/>
              </w:rPr>
              <w:t>内存数量</w:t>
            </w:r>
          </w:p>
        </w:tc>
        <w:tc>
          <w:tcPr>
            <w:tcW w:w="3178" w:type="pct"/>
            <w:shd w:val="clear" w:color="auto" w:fill="FFFFFF" w:themeFill="background1"/>
            <w:vAlign w:val="center"/>
          </w:tcPr>
          <w:p w14:paraId="2E11089D">
            <w:pPr>
              <w:spacing w:line="360" w:lineRule="auto"/>
              <w:rPr>
                <w:b w:val="0"/>
                <w:bCs w:val="0"/>
                <w:color w:val="auto"/>
              </w:rPr>
            </w:pPr>
            <w:r>
              <w:rPr>
                <w:rFonts w:hint="eastAsia"/>
                <w:b w:val="0"/>
                <w:bCs w:val="0"/>
                <w:color w:val="auto"/>
              </w:rPr>
              <w:t>≥16条</w:t>
            </w:r>
          </w:p>
        </w:tc>
      </w:tr>
      <w:tr w14:paraId="1B24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A7DDAF5">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615C01E5">
            <w:pPr>
              <w:spacing w:line="360" w:lineRule="auto"/>
              <w:rPr>
                <w:b w:val="0"/>
                <w:bCs w:val="0"/>
                <w:color w:val="auto"/>
              </w:rPr>
            </w:pPr>
            <w:r>
              <w:rPr>
                <w:rFonts w:hint="eastAsia"/>
                <w:b w:val="0"/>
                <w:bCs w:val="0"/>
                <w:color w:val="auto"/>
              </w:rPr>
              <w:t>内存规格</w:t>
            </w:r>
          </w:p>
        </w:tc>
        <w:tc>
          <w:tcPr>
            <w:tcW w:w="3178" w:type="pct"/>
            <w:shd w:val="clear" w:color="auto" w:fill="FFFFFF" w:themeFill="background1"/>
            <w:vAlign w:val="center"/>
          </w:tcPr>
          <w:p w14:paraId="21C19957">
            <w:pPr>
              <w:spacing w:line="360" w:lineRule="auto"/>
              <w:rPr>
                <w:b w:val="0"/>
                <w:bCs w:val="0"/>
                <w:color w:val="auto"/>
              </w:rPr>
            </w:pPr>
            <w:r>
              <w:rPr>
                <w:rFonts w:hint="eastAsia"/>
                <w:b w:val="0"/>
                <w:bCs w:val="0"/>
                <w:color w:val="auto"/>
              </w:rPr>
              <w:t xml:space="preserve">每条内存条≥64GB DDR4 </w:t>
            </w:r>
            <w:r>
              <w:rPr>
                <w:rFonts w:hint="eastAsia"/>
                <w:b w:val="0"/>
                <w:bCs w:val="0"/>
                <w:color w:val="auto"/>
                <w:lang w:val="en-US" w:eastAsia="zh-CN"/>
              </w:rPr>
              <w:t>2933</w:t>
            </w:r>
            <w:r>
              <w:rPr>
                <w:rFonts w:hint="eastAsia"/>
                <w:b w:val="0"/>
                <w:bCs w:val="0"/>
                <w:color w:val="auto"/>
              </w:rPr>
              <w:t>MHz</w:t>
            </w:r>
          </w:p>
        </w:tc>
      </w:tr>
      <w:tr w14:paraId="0F23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764D733F">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29AF8299">
            <w:pPr>
              <w:spacing w:line="360" w:lineRule="auto"/>
              <w:rPr>
                <w:b w:val="0"/>
                <w:bCs w:val="0"/>
                <w:color w:val="auto"/>
              </w:rPr>
            </w:pPr>
            <w:r>
              <w:rPr>
                <w:rFonts w:hint="eastAsia"/>
                <w:b w:val="0"/>
                <w:bCs w:val="0"/>
                <w:color w:val="auto"/>
              </w:rPr>
              <w:t>硬盘类型</w:t>
            </w:r>
          </w:p>
        </w:tc>
        <w:tc>
          <w:tcPr>
            <w:tcW w:w="3178" w:type="pct"/>
            <w:shd w:val="clear" w:color="auto" w:fill="FFFFFF" w:themeFill="background1"/>
            <w:vAlign w:val="center"/>
          </w:tcPr>
          <w:p w14:paraId="4D31EB77">
            <w:pPr>
              <w:spacing w:line="360" w:lineRule="auto"/>
              <w:rPr>
                <w:b w:val="0"/>
                <w:bCs w:val="0"/>
                <w:color w:val="auto"/>
              </w:rPr>
            </w:pPr>
            <w:r>
              <w:rPr>
                <w:rFonts w:hint="eastAsia"/>
                <w:b w:val="0"/>
                <w:bCs w:val="0"/>
                <w:color w:val="auto"/>
              </w:rPr>
              <w:t>支持SAS/NVMe硬盘</w:t>
            </w:r>
          </w:p>
        </w:tc>
      </w:tr>
      <w:tr w14:paraId="1410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248E3DB6">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5EEFD74C">
            <w:pPr>
              <w:spacing w:line="360" w:lineRule="auto"/>
              <w:rPr>
                <w:b w:val="0"/>
                <w:bCs w:val="0"/>
                <w:color w:val="auto"/>
              </w:rPr>
            </w:pPr>
            <w:r>
              <w:rPr>
                <w:rFonts w:hint="eastAsia"/>
                <w:b w:val="0"/>
                <w:bCs w:val="0"/>
                <w:color w:val="auto"/>
              </w:rPr>
              <w:t>硬磁盘实配容量及数量</w:t>
            </w:r>
          </w:p>
        </w:tc>
        <w:tc>
          <w:tcPr>
            <w:tcW w:w="3178" w:type="pct"/>
            <w:shd w:val="clear" w:color="auto" w:fill="FFFFFF" w:themeFill="background1"/>
            <w:vAlign w:val="center"/>
          </w:tcPr>
          <w:p w14:paraId="32236CC1">
            <w:pPr>
              <w:spacing w:line="360" w:lineRule="auto"/>
              <w:rPr>
                <w:b w:val="0"/>
                <w:bCs w:val="0"/>
                <w:color w:val="auto"/>
              </w:rPr>
            </w:pPr>
            <w:r>
              <w:rPr>
                <w:rFonts w:hint="eastAsia"/>
                <w:b w:val="0"/>
                <w:bCs w:val="0"/>
                <w:color w:val="auto"/>
              </w:rPr>
              <w:t>≥2块480GB SATA SSD，配置相同数量的硬盘托架。</w:t>
            </w:r>
          </w:p>
        </w:tc>
      </w:tr>
      <w:tr w14:paraId="3274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238C396A">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3689B4CC">
            <w:pPr>
              <w:spacing w:line="360" w:lineRule="auto"/>
              <w:rPr>
                <w:b w:val="0"/>
                <w:bCs w:val="0"/>
                <w:color w:val="auto"/>
              </w:rPr>
            </w:pPr>
            <w:r>
              <w:rPr>
                <w:rFonts w:hint="eastAsia"/>
                <w:b w:val="0"/>
                <w:bCs w:val="0"/>
                <w:color w:val="auto"/>
              </w:rPr>
              <w:t>硬盘插槽数量及规格</w:t>
            </w:r>
          </w:p>
        </w:tc>
        <w:tc>
          <w:tcPr>
            <w:tcW w:w="3178" w:type="pct"/>
            <w:shd w:val="clear" w:color="auto" w:fill="FFFFFF" w:themeFill="background1"/>
            <w:vAlign w:val="center"/>
          </w:tcPr>
          <w:p w14:paraId="5BE9C695">
            <w:pPr>
              <w:spacing w:line="360" w:lineRule="auto"/>
              <w:rPr>
                <w:b w:val="0"/>
                <w:bCs w:val="0"/>
                <w:color w:val="auto"/>
              </w:rPr>
            </w:pPr>
            <w:r>
              <w:rPr>
                <w:rFonts w:hint="eastAsia"/>
                <w:b w:val="0"/>
                <w:bCs w:val="0"/>
                <w:color w:val="auto"/>
              </w:rPr>
              <w:t>配置的硬盘尺寸支持2.5 英寸硬磁盘。机箱高度≥87.1mm的服务器支持的硬盘数量应≥8块。</w:t>
            </w:r>
          </w:p>
        </w:tc>
      </w:tr>
      <w:tr w14:paraId="59C3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2DA34063">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7939F9FF">
            <w:pPr>
              <w:spacing w:line="360" w:lineRule="auto"/>
              <w:rPr>
                <w:b w:val="0"/>
                <w:bCs w:val="0"/>
                <w:color w:val="auto"/>
              </w:rPr>
            </w:pPr>
            <w:r>
              <w:rPr>
                <w:rFonts w:hint="eastAsia"/>
                <w:b w:val="0"/>
                <w:bCs w:val="0"/>
                <w:color w:val="auto"/>
              </w:rPr>
              <w:t>RAID 卡支持的 SAS接口数</w:t>
            </w:r>
          </w:p>
        </w:tc>
        <w:tc>
          <w:tcPr>
            <w:tcW w:w="3178" w:type="pct"/>
            <w:shd w:val="clear" w:color="auto" w:fill="FFFFFF" w:themeFill="background1"/>
            <w:vAlign w:val="center"/>
          </w:tcPr>
          <w:p w14:paraId="4038AFF6">
            <w:pPr>
              <w:spacing w:line="360" w:lineRule="auto"/>
              <w:rPr>
                <w:b w:val="0"/>
                <w:bCs w:val="0"/>
                <w:color w:val="auto"/>
              </w:rPr>
            </w:pPr>
            <w:r>
              <w:rPr>
                <w:rFonts w:hint="eastAsia"/>
                <w:b w:val="0"/>
                <w:bCs w:val="0"/>
                <w:color w:val="auto"/>
              </w:rPr>
              <w:t>≥8</w:t>
            </w:r>
          </w:p>
        </w:tc>
      </w:tr>
      <w:tr w14:paraId="611F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286B687F">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922C9F4">
            <w:pPr>
              <w:spacing w:line="360" w:lineRule="auto"/>
              <w:rPr>
                <w:b w:val="0"/>
                <w:bCs w:val="0"/>
                <w:color w:val="auto"/>
              </w:rPr>
            </w:pPr>
            <w:r>
              <w:rPr>
                <w:rFonts w:hint="eastAsia"/>
                <w:b w:val="0"/>
                <w:bCs w:val="0"/>
                <w:color w:val="auto"/>
              </w:rPr>
              <w:t>RAID 卡 RAID 级别支持</w:t>
            </w:r>
          </w:p>
        </w:tc>
        <w:tc>
          <w:tcPr>
            <w:tcW w:w="3178" w:type="pct"/>
            <w:shd w:val="clear" w:color="auto" w:fill="FFFFFF" w:themeFill="background1"/>
            <w:vAlign w:val="center"/>
          </w:tcPr>
          <w:p w14:paraId="56AA5F85">
            <w:pPr>
              <w:spacing w:line="360" w:lineRule="auto"/>
              <w:rPr>
                <w:b w:val="0"/>
                <w:bCs w:val="0"/>
                <w:color w:val="auto"/>
              </w:rPr>
            </w:pPr>
            <w:r>
              <w:rPr>
                <w:rFonts w:hint="eastAsia"/>
                <w:b w:val="0"/>
                <w:bCs w:val="0"/>
                <w:color w:val="auto"/>
              </w:rPr>
              <w:t>RAID 模式支持 RAID 0/1/10/5，存储型支持 RAID 0/1/5/6/10/50/60</w:t>
            </w:r>
          </w:p>
        </w:tc>
      </w:tr>
      <w:tr w14:paraId="62ED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4FA040A2">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2DC4B57F">
            <w:pPr>
              <w:spacing w:line="360" w:lineRule="auto"/>
              <w:rPr>
                <w:b w:val="0"/>
                <w:bCs w:val="0"/>
                <w:color w:val="auto"/>
              </w:rPr>
            </w:pPr>
            <w:r>
              <w:rPr>
                <w:rFonts w:hint="eastAsia"/>
                <w:b w:val="0"/>
                <w:bCs w:val="0"/>
                <w:color w:val="auto"/>
              </w:rPr>
              <w:t>HBA卡端口数量</w:t>
            </w:r>
          </w:p>
        </w:tc>
        <w:tc>
          <w:tcPr>
            <w:tcW w:w="3178" w:type="pct"/>
            <w:shd w:val="clear" w:color="auto" w:fill="FFFFFF" w:themeFill="background1"/>
            <w:vAlign w:val="center"/>
          </w:tcPr>
          <w:p w14:paraId="6E739377">
            <w:pPr>
              <w:spacing w:line="360" w:lineRule="auto"/>
              <w:rPr>
                <w:b w:val="0"/>
                <w:bCs w:val="0"/>
                <w:color w:val="auto"/>
              </w:rPr>
            </w:pPr>
            <w:r>
              <w:rPr>
                <w:rFonts w:hint="eastAsia"/>
                <w:b w:val="0"/>
                <w:bCs w:val="0"/>
                <w:color w:val="auto"/>
              </w:rPr>
              <w:t>≥1块32Gb 2 端口 适配器</w:t>
            </w:r>
          </w:p>
        </w:tc>
      </w:tr>
      <w:tr w14:paraId="2D28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0DCF7F7A">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E448A0E">
            <w:pPr>
              <w:spacing w:line="360" w:lineRule="auto"/>
              <w:rPr>
                <w:b w:val="0"/>
                <w:bCs w:val="0"/>
                <w:color w:val="auto"/>
              </w:rPr>
            </w:pPr>
            <w:r>
              <w:rPr>
                <w:rFonts w:hint="eastAsia"/>
                <w:b w:val="0"/>
                <w:bCs w:val="0"/>
                <w:color w:val="auto"/>
              </w:rPr>
              <w:t>网口速率和数量</w:t>
            </w:r>
          </w:p>
        </w:tc>
        <w:tc>
          <w:tcPr>
            <w:tcW w:w="3178" w:type="pct"/>
            <w:shd w:val="clear" w:color="auto" w:fill="FFFFFF" w:themeFill="background1"/>
            <w:vAlign w:val="center"/>
          </w:tcPr>
          <w:p w14:paraId="367121BD">
            <w:pPr>
              <w:spacing w:line="360" w:lineRule="auto"/>
              <w:rPr>
                <w:b w:val="0"/>
                <w:bCs w:val="0"/>
                <w:color w:val="auto"/>
              </w:rPr>
            </w:pPr>
            <w:r>
              <w:rPr>
                <w:rFonts w:hint="eastAsia"/>
                <w:b w:val="0"/>
                <w:bCs w:val="0"/>
                <w:color w:val="auto"/>
              </w:rPr>
              <w:t>≥4个1GE网口。</w:t>
            </w:r>
          </w:p>
        </w:tc>
      </w:tr>
      <w:tr w14:paraId="5AE4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599E3B4C">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3E2267B1">
            <w:pPr>
              <w:spacing w:line="360" w:lineRule="auto"/>
              <w:rPr>
                <w:b w:val="0"/>
                <w:bCs w:val="0"/>
                <w:color w:val="auto"/>
              </w:rPr>
            </w:pPr>
            <w:r>
              <w:rPr>
                <w:rFonts w:hint="eastAsia"/>
                <w:b w:val="0"/>
                <w:bCs w:val="0"/>
                <w:color w:val="auto"/>
              </w:rPr>
              <w:t>独立网卡规格</w:t>
            </w:r>
          </w:p>
        </w:tc>
        <w:tc>
          <w:tcPr>
            <w:tcW w:w="3178" w:type="pct"/>
            <w:shd w:val="clear" w:color="auto" w:fill="FFFFFF" w:themeFill="background1"/>
            <w:vAlign w:val="center"/>
          </w:tcPr>
          <w:p w14:paraId="48F0D9E7">
            <w:pPr>
              <w:spacing w:line="360" w:lineRule="auto"/>
              <w:rPr>
                <w:b w:val="0"/>
                <w:bCs w:val="0"/>
                <w:color w:val="auto"/>
              </w:rPr>
            </w:pPr>
            <w:r>
              <w:rPr>
                <w:rFonts w:hint="eastAsia"/>
                <w:b w:val="0"/>
                <w:bCs w:val="0"/>
                <w:color w:val="auto"/>
              </w:rPr>
              <w:t>≥</w:t>
            </w:r>
            <w:r>
              <w:rPr>
                <w:rFonts w:hint="eastAsia"/>
                <w:b w:val="0"/>
                <w:bCs w:val="0"/>
                <w:color w:val="auto"/>
                <w:lang w:val="en-US" w:eastAsia="zh-CN"/>
              </w:rPr>
              <w:t>2</w:t>
            </w:r>
            <w:r>
              <w:rPr>
                <w:rFonts w:hint="eastAsia"/>
                <w:b w:val="0"/>
                <w:bCs w:val="0"/>
                <w:color w:val="auto"/>
              </w:rPr>
              <w:t>块2端口</w:t>
            </w:r>
            <w:r>
              <w:rPr>
                <w:rFonts w:hint="eastAsia"/>
                <w:b w:val="0"/>
                <w:bCs w:val="0"/>
                <w:color w:val="auto"/>
                <w:lang w:val="en-US" w:eastAsia="zh-CN"/>
              </w:rPr>
              <w:t>25G</w:t>
            </w:r>
            <w:r>
              <w:rPr>
                <w:rFonts w:hint="eastAsia"/>
                <w:b w:val="0"/>
                <w:bCs w:val="0"/>
                <w:color w:val="auto"/>
              </w:rPr>
              <w:t>光接口网卡(满配光模块)</w:t>
            </w:r>
          </w:p>
        </w:tc>
      </w:tr>
      <w:tr w14:paraId="48D2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3F864C4B">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697788D">
            <w:pPr>
              <w:spacing w:line="360" w:lineRule="auto"/>
              <w:rPr>
                <w:b w:val="0"/>
                <w:bCs w:val="0"/>
                <w:color w:val="auto"/>
              </w:rPr>
            </w:pPr>
            <w:r>
              <w:rPr>
                <w:rFonts w:hint="eastAsia"/>
                <w:b w:val="0"/>
                <w:bCs w:val="0"/>
                <w:color w:val="auto"/>
              </w:rPr>
              <w:t>外部接口规格</w:t>
            </w:r>
          </w:p>
        </w:tc>
        <w:tc>
          <w:tcPr>
            <w:tcW w:w="3178" w:type="pct"/>
            <w:shd w:val="clear" w:color="auto" w:fill="FFFFFF" w:themeFill="background1"/>
            <w:vAlign w:val="center"/>
          </w:tcPr>
          <w:p w14:paraId="3BF889FF">
            <w:pPr>
              <w:spacing w:line="360" w:lineRule="auto"/>
              <w:rPr>
                <w:b w:val="0"/>
                <w:bCs w:val="0"/>
                <w:color w:val="auto"/>
              </w:rPr>
            </w:pPr>
            <w:r>
              <w:rPr>
                <w:rFonts w:hint="eastAsia"/>
                <w:b w:val="0"/>
                <w:bCs w:val="0"/>
                <w:color w:val="auto"/>
              </w:rPr>
              <w:t>≥4个USB 3.0， ≥1个VGA。</w:t>
            </w:r>
          </w:p>
        </w:tc>
      </w:tr>
      <w:tr w14:paraId="3B06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42CD8D63">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1C0AB261">
            <w:pPr>
              <w:spacing w:line="360" w:lineRule="auto"/>
              <w:rPr>
                <w:b w:val="0"/>
                <w:bCs w:val="0"/>
                <w:color w:val="auto"/>
              </w:rPr>
            </w:pPr>
            <w:r>
              <w:rPr>
                <w:rFonts w:hint="eastAsia"/>
                <w:b w:val="0"/>
                <w:bCs w:val="0"/>
                <w:color w:val="auto"/>
              </w:rPr>
              <w:t>电源规格</w:t>
            </w:r>
          </w:p>
        </w:tc>
        <w:tc>
          <w:tcPr>
            <w:tcW w:w="3178" w:type="pct"/>
            <w:shd w:val="clear" w:color="auto" w:fill="FFFFFF" w:themeFill="background1"/>
            <w:vAlign w:val="center"/>
          </w:tcPr>
          <w:p w14:paraId="616A031C">
            <w:pPr>
              <w:spacing w:line="360" w:lineRule="auto"/>
              <w:rPr>
                <w:b w:val="0"/>
                <w:bCs w:val="0"/>
                <w:color w:val="auto"/>
              </w:rPr>
            </w:pPr>
            <w:r>
              <w:rPr>
                <w:rFonts w:hint="eastAsia"/>
                <w:b w:val="0"/>
                <w:bCs w:val="0"/>
                <w:color w:val="auto"/>
              </w:rPr>
              <w:t>≥2个白金热插拔电源模块。</w:t>
            </w:r>
          </w:p>
        </w:tc>
      </w:tr>
      <w:tr w14:paraId="489E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75B14F86">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restart"/>
            <w:shd w:val="clear" w:color="auto" w:fill="FFFFFF" w:themeFill="background1"/>
            <w:vAlign w:val="center"/>
          </w:tcPr>
          <w:p w14:paraId="184D7207">
            <w:pPr>
              <w:spacing w:line="360" w:lineRule="auto"/>
              <w:rPr>
                <w:b w:val="0"/>
                <w:bCs w:val="0"/>
                <w:color w:val="auto"/>
              </w:rPr>
            </w:pPr>
            <w:r>
              <w:rPr>
                <w:rFonts w:hint="eastAsia"/>
                <w:b w:val="0"/>
                <w:bCs w:val="0"/>
                <w:color w:val="auto"/>
              </w:rPr>
              <w:t>服务器外规和结构</w:t>
            </w:r>
          </w:p>
        </w:tc>
        <w:tc>
          <w:tcPr>
            <w:tcW w:w="3178" w:type="pct"/>
            <w:shd w:val="clear" w:color="auto" w:fill="FFFFFF" w:themeFill="background1"/>
            <w:vAlign w:val="center"/>
          </w:tcPr>
          <w:p w14:paraId="6E1C2406">
            <w:pPr>
              <w:spacing w:line="360" w:lineRule="auto"/>
              <w:rPr>
                <w:b w:val="0"/>
                <w:bCs w:val="0"/>
                <w:color w:val="auto"/>
              </w:rPr>
            </w:pPr>
            <w:r>
              <w:rPr>
                <w:rFonts w:hint="eastAsia"/>
                <w:b w:val="0"/>
                <w:bCs w:val="0"/>
                <w:color w:val="auto"/>
              </w:rPr>
              <w:t>服务器的零部件应紧固无松动，可插拔部件应可靠连接，开关、按钮和其它控制部件应灵活可靠，布局方便使用。</w:t>
            </w:r>
          </w:p>
        </w:tc>
      </w:tr>
      <w:tr w14:paraId="30BB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0" w:hRule="atLeast"/>
        </w:trPr>
        <w:tc>
          <w:tcPr>
            <w:tcW w:w="562" w:type="pct"/>
            <w:shd w:val="clear" w:color="auto" w:fill="FFFFFF" w:themeFill="background1"/>
            <w:vAlign w:val="center"/>
          </w:tcPr>
          <w:p w14:paraId="2055F39C">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53D3E57A">
            <w:pPr>
              <w:spacing w:line="360" w:lineRule="auto"/>
              <w:rPr>
                <w:b w:val="0"/>
                <w:bCs w:val="0"/>
                <w:color w:val="auto"/>
              </w:rPr>
            </w:pPr>
          </w:p>
        </w:tc>
        <w:tc>
          <w:tcPr>
            <w:tcW w:w="3178" w:type="pct"/>
            <w:shd w:val="clear" w:color="auto" w:fill="FFFFFF" w:themeFill="background1"/>
            <w:vAlign w:val="center"/>
          </w:tcPr>
          <w:p w14:paraId="03175244">
            <w:pPr>
              <w:spacing w:line="360" w:lineRule="auto"/>
              <w:rPr>
                <w:b w:val="0"/>
                <w:bCs w:val="0"/>
                <w:color w:val="auto"/>
              </w:rPr>
            </w:pPr>
            <w:r>
              <w:rPr>
                <w:rFonts w:hint="eastAsia"/>
                <w:b w:val="0"/>
                <w:bCs w:val="0"/>
                <w:color w:val="auto"/>
              </w:rPr>
              <w:t>服务器表面不应有明显的凹痕、划伤、裂缝、变形和污染等。表面涂层均匀，不应起泡、龟裂、脱落和磨损，金属零部 件无锈蚀及其它机械损伤。</w:t>
            </w:r>
          </w:p>
        </w:tc>
      </w:tr>
      <w:tr w14:paraId="2389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77EBA842">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6DD137F8">
            <w:pPr>
              <w:spacing w:line="360" w:lineRule="auto"/>
              <w:rPr>
                <w:b w:val="0"/>
                <w:bCs w:val="0"/>
                <w:color w:val="auto"/>
              </w:rPr>
            </w:pPr>
          </w:p>
        </w:tc>
        <w:tc>
          <w:tcPr>
            <w:tcW w:w="3178" w:type="pct"/>
            <w:shd w:val="clear" w:color="auto" w:fill="FFFFFF" w:themeFill="background1"/>
            <w:vAlign w:val="center"/>
          </w:tcPr>
          <w:p w14:paraId="0E5D120B">
            <w:pPr>
              <w:spacing w:line="360" w:lineRule="auto"/>
              <w:rPr>
                <w:b w:val="0"/>
                <w:bCs w:val="0"/>
                <w:color w:val="auto"/>
              </w:rPr>
            </w:pPr>
            <w:r>
              <w:rPr>
                <w:rFonts w:hint="eastAsia"/>
                <w:b w:val="0"/>
                <w:bCs w:val="0"/>
                <w:color w:val="auto"/>
              </w:rPr>
              <w:t>服务器表面说明功能的文字、符号和标志应清晰、端正且牢固。</w:t>
            </w:r>
          </w:p>
        </w:tc>
      </w:tr>
      <w:tr w14:paraId="07FD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506E735C">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6129D1F9">
            <w:pPr>
              <w:spacing w:line="360" w:lineRule="auto"/>
              <w:rPr>
                <w:b w:val="0"/>
                <w:bCs w:val="0"/>
                <w:color w:val="auto"/>
              </w:rPr>
            </w:pPr>
          </w:p>
        </w:tc>
        <w:tc>
          <w:tcPr>
            <w:tcW w:w="3178" w:type="pct"/>
            <w:shd w:val="clear" w:color="auto" w:fill="FFFFFF" w:themeFill="background1"/>
            <w:vAlign w:val="center"/>
          </w:tcPr>
          <w:p w14:paraId="1C691FFD">
            <w:pPr>
              <w:spacing w:line="360" w:lineRule="auto"/>
              <w:rPr>
                <w:b w:val="0"/>
                <w:bCs w:val="0"/>
                <w:color w:val="auto"/>
              </w:rPr>
            </w:pPr>
            <w:r>
              <w:rPr>
                <w:rFonts w:hint="eastAsia"/>
                <w:b w:val="0"/>
                <w:bCs w:val="0"/>
                <w:color w:val="auto"/>
              </w:rPr>
              <w:t>服务器的显著位置支持提供运行状态的指示功能，并在随机文件中明确具体含义。</w:t>
            </w:r>
          </w:p>
        </w:tc>
      </w:tr>
      <w:tr w14:paraId="47C0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2" w:type="pct"/>
            <w:shd w:val="clear" w:color="auto" w:fill="FFFFFF" w:themeFill="background1"/>
            <w:vAlign w:val="center"/>
          </w:tcPr>
          <w:p w14:paraId="68C5E4CA">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40A6679B">
            <w:pPr>
              <w:spacing w:line="360" w:lineRule="auto"/>
              <w:rPr>
                <w:b w:val="0"/>
                <w:bCs w:val="0"/>
                <w:color w:val="auto"/>
              </w:rPr>
            </w:pPr>
          </w:p>
        </w:tc>
        <w:tc>
          <w:tcPr>
            <w:tcW w:w="3178" w:type="pct"/>
            <w:shd w:val="clear" w:color="auto" w:fill="FFFFFF" w:themeFill="background1"/>
            <w:vAlign w:val="center"/>
          </w:tcPr>
          <w:p w14:paraId="4AE17E8C">
            <w:pPr>
              <w:spacing w:line="360" w:lineRule="auto"/>
              <w:rPr>
                <w:b w:val="0"/>
                <w:bCs w:val="0"/>
                <w:color w:val="auto"/>
              </w:rPr>
            </w:pPr>
            <w:r>
              <w:rPr>
                <w:rFonts w:hint="eastAsia"/>
                <w:b w:val="0"/>
                <w:bCs w:val="0"/>
                <w:color w:val="auto"/>
              </w:rPr>
              <w:t>机架、机箱的尺寸应符合通用机柜的安装要求，插入总线插座的电路板接口外形尺寸应符合有关总线标准的规定，将机 箱固定在机柜上，机箱底面最大下垂变形不得干涉相邻机体。</w:t>
            </w:r>
          </w:p>
        </w:tc>
      </w:tr>
      <w:tr w14:paraId="1820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F09BE72">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71D9E5B8">
            <w:pPr>
              <w:spacing w:line="360" w:lineRule="auto"/>
              <w:rPr>
                <w:b w:val="0"/>
                <w:bCs w:val="0"/>
                <w:color w:val="auto"/>
              </w:rPr>
            </w:pPr>
          </w:p>
        </w:tc>
        <w:tc>
          <w:tcPr>
            <w:tcW w:w="3178" w:type="pct"/>
            <w:shd w:val="clear" w:color="auto" w:fill="FFFFFF" w:themeFill="background1"/>
            <w:vAlign w:val="center"/>
          </w:tcPr>
          <w:p w14:paraId="4F4EABC5">
            <w:pPr>
              <w:spacing w:line="360" w:lineRule="auto"/>
              <w:rPr>
                <w:b w:val="0"/>
                <w:bCs w:val="0"/>
                <w:color w:val="auto"/>
              </w:rPr>
            </w:pPr>
            <w:r>
              <w:rPr>
                <w:rFonts w:hint="eastAsia"/>
                <w:b w:val="0"/>
                <w:bCs w:val="0"/>
                <w:color w:val="auto"/>
              </w:rPr>
              <w:t>高密度服务器需给出CPU个数与机柜高度。</w:t>
            </w:r>
          </w:p>
        </w:tc>
      </w:tr>
      <w:tr w14:paraId="529C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7C927FC9">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53755807">
            <w:pPr>
              <w:spacing w:line="360" w:lineRule="auto"/>
              <w:rPr>
                <w:b w:val="0"/>
                <w:bCs w:val="0"/>
                <w:color w:val="auto"/>
              </w:rPr>
            </w:pPr>
          </w:p>
        </w:tc>
        <w:tc>
          <w:tcPr>
            <w:tcW w:w="3178" w:type="pct"/>
            <w:shd w:val="clear" w:color="auto" w:fill="FFFFFF" w:themeFill="background1"/>
            <w:vAlign w:val="center"/>
          </w:tcPr>
          <w:p w14:paraId="57BEED24">
            <w:pPr>
              <w:spacing w:line="360" w:lineRule="auto"/>
              <w:rPr>
                <w:b w:val="0"/>
                <w:bCs w:val="0"/>
                <w:color w:val="auto"/>
              </w:rPr>
            </w:pPr>
            <w:r>
              <w:rPr>
                <w:rFonts w:hint="eastAsia"/>
                <w:b w:val="0"/>
                <w:bCs w:val="0"/>
                <w:color w:val="auto"/>
              </w:rPr>
              <w:t>服务器尺寸具体要求在随机的文件中明确。</w:t>
            </w:r>
          </w:p>
        </w:tc>
      </w:tr>
      <w:tr w14:paraId="03AD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2" w:type="pct"/>
            <w:shd w:val="clear" w:color="auto" w:fill="FFFFFF" w:themeFill="background1"/>
            <w:vAlign w:val="center"/>
          </w:tcPr>
          <w:p w14:paraId="167049E9">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1723DB76">
            <w:pPr>
              <w:spacing w:line="360" w:lineRule="auto"/>
              <w:rPr>
                <w:b w:val="0"/>
                <w:bCs w:val="0"/>
                <w:color w:val="auto"/>
              </w:rPr>
            </w:pPr>
            <w:r>
              <w:rPr>
                <w:rFonts w:hint="eastAsia"/>
                <w:b w:val="0"/>
                <w:bCs w:val="0"/>
                <w:color w:val="auto"/>
              </w:rPr>
              <w:t>服务器尺寸（高×宽 ×深 )</w:t>
            </w:r>
          </w:p>
        </w:tc>
        <w:tc>
          <w:tcPr>
            <w:tcW w:w="3178" w:type="pct"/>
            <w:shd w:val="clear" w:color="auto" w:fill="FFFFFF" w:themeFill="background1"/>
            <w:vAlign w:val="center"/>
          </w:tcPr>
          <w:p w14:paraId="55A70666">
            <w:pPr>
              <w:spacing w:line="360" w:lineRule="auto"/>
              <w:rPr>
                <w:b w:val="0"/>
                <w:bCs w:val="0"/>
                <w:color w:val="auto"/>
              </w:rPr>
            </w:pPr>
            <w:r>
              <w:rPr>
                <w:rFonts w:hint="eastAsia"/>
                <w:b w:val="0"/>
                <w:bCs w:val="0"/>
                <w:color w:val="auto"/>
              </w:rPr>
              <w:t>服务器尺寸设计应遵循标准化、系列化的要求，机箱的内部结构符合通用部件的安装需要，服务器高度≥8</w:t>
            </w:r>
            <w:r>
              <w:rPr>
                <w:rFonts w:hint="eastAsia"/>
                <w:b w:val="0"/>
                <w:bCs w:val="0"/>
                <w:color w:val="auto"/>
                <w:lang w:val="en-US" w:eastAsia="zh-CN"/>
              </w:rPr>
              <w:t>6</w:t>
            </w:r>
            <w:r>
              <w:rPr>
                <w:rFonts w:hint="eastAsia"/>
                <w:b w:val="0"/>
                <w:bCs w:val="0"/>
                <w:color w:val="auto"/>
              </w:rPr>
              <w:t>毫米、 宽度≥44</w:t>
            </w:r>
            <w:r>
              <w:rPr>
                <w:rFonts w:hint="eastAsia"/>
                <w:b w:val="0"/>
                <w:bCs w:val="0"/>
                <w:color w:val="auto"/>
                <w:lang w:val="en-US" w:eastAsia="zh-CN"/>
              </w:rPr>
              <w:t>0</w:t>
            </w:r>
            <w:r>
              <w:rPr>
                <w:rFonts w:hint="eastAsia"/>
                <w:b w:val="0"/>
                <w:bCs w:val="0"/>
                <w:color w:val="auto"/>
              </w:rPr>
              <w:t>毫米、深度≥60</w:t>
            </w:r>
            <w:r>
              <w:rPr>
                <w:rFonts w:hint="eastAsia"/>
                <w:b w:val="0"/>
                <w:bCs w:val="0"/>
                <w:color w:val="auto"/>
                <w:lang w:val="en-US" w:eastAsia="zh-CN"/>
              </w:rPr>
              <w:t>0</w:t>
            </w:r>
            <w:r>
              <w:rPr>
                <w:rFonts w:hint="eastAsia"/>
                <w:b w:val="0"/>
                <w:bCs w:val="0"/>
                <w:color w:val="auto"/>
              </w:rPr>
              <w:t>毫米。</w:t>
            </w:r>
          </w:p>
        </w:tc>
      </w:tr>
      <w:tr w14:paraId="1C35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2" w:type="pct"/>
            <w:shd w:val="clear" w:color="auto" w:fill="FFFFFF" w:themeFill="background1"/>
            <w:vAlign w:val="center"/>
          </w:tcPr>
          <w:p w14:paraId="0913C019">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1948BB4D">
            <w:pPr>
              <w:spacing w:line="360" w:lineRule="auto"/>
              <w:rPr>
                <w:b w:val="0"/>
                <w:bCs w:val="0"/>
                <w:color w:val="auto"/>
              </w:rPr>
            </w:pPr>
            <w:r>
              <w:rPr>
                <w:rFonts w:hint="eastAsia"/>
                <w:b w:val="0"/>
                <w:bCs w:val="0"/>
                <w:color w:val="auto"/>
              </w:rPr>
              <w:t>环境适应性</w:t>
            </w:r>
          </w:p>
        </w:tc>
        <w:tc>
          <w:tcPr>
            <w:tcW w:w="3178" w:type="pct"/>
            <w:shd w:val="clear" w:color="auto" w:fill="FFFFFF" w:themeFill="background1"/>
            <w:vAlign w:val="center"/>
          </w:tcPr>
          <w:p w14:paraId="1646263B">
            <w:pPr>
              <w:spacing w:line="360" w:lineRule="auto"/>
              <w:rPr>
                <w:b w:val="0"/>
                <w:bCs w:val="0"/>
                <w:color w:val="auto"/>
              </w:rPr>
            </w:pPr>
            <w:r>
              <w:rPr>
                <w:rFonts w:hint="eastAsia"/>
                <w:b w:val="0"/>
                <w:bCs w:val="0"/>
                <w:color w:val="auto"/>
              </w:rPr>
              <w:t>气候环境适应性应符合 GB/T9813.3 的有关规定，工作温度 10～35℃ , 贮存运输温度-40～55℃; 工作相对湿度 35%～80%，贮存运输相对湿度 20％～93%（40℃) ; 大气压86～106kPa。</w:t>
            </w:r>
          </w:p>
        </w:tc>
      </w:tr>
      <w:tr w14:paraId="74F9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92388C5">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D50F105">
            <w:pPr>
              <w:spacing w:line="360" w:lineRule="auto"/>
              <w:rPr>
                <w:b w:val="0"/>
                <w:bCs w:val="0"/>
                <w:color w:val="auto"/>
              </w:rPr>
            </w:pPr>
            <w:r>
              <w:rPr>
                <w:rFonts w:hint="eastAsia"/>
                <w:b w:val="0"/>
                <w:bCs w:val="0"/>
                <w:color w:val="auto"/>
              </w:rPr>
              <w:t>机械环境适应性</w:t>
            </w:r>
          </w:p>
        </w:tc>
        <w:tc>
          <w:tcPr>
            <w:tcW w:w="3178" w:type="pct"/>
            <w:shd w:val="clear" w:color="auto" w:fill="FFFFFF" w:themeFill="background1"/>
            <w:vAlign w:val="center"/>
          </w:tcPr>
          <w:p w14:paraId="753B09F4">
            <w:pPr>
              <w:spacing w:line="360" w:lineRule="auto"/>
              <w:rPr>
                <w:b w:val="0"/>
                <w:bCs w:val="0"/>
                <w:color w:val="auto"/>
              </w:rPr>
            </w:pPr>
            <w:r>
              <w:rPr>
                <w:rFonts w:hint="eastAsia"/>
                <w:b w:val="0"/>
                <w:bCs w:val="0"/>
                <w:color w:val="auto"/>
              </w:rPr>
              <w:t>机械环境适应性应符合GB/T9813.3的有关规定。</w:t>
            </w:r>
          </w:p>
        </w:tc>
      </w:tr>
      <w:tr w14:paraId="6446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77F383E5">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23D71F2B">
            <w:pPr>
              <w:spacing w:line="360" w:lineRule="auto"/>
              <w:rPr>
                <w:b w:val="0"/>
                <w:bCs w:val="0"/>
                <w:color w:val="auto"/>
              </w:rPr>
            </w:pPr>
            <w:r>
              <w:rPr>
                <w:rFonts w:hint="eastAsia"/>
                <w:b w:val="0"/>
                <w:bCs w:val="0"/>
                <w:color w:val="auto"/>
              </w:rPr>
              <w:t>噪声</w:t>
            </w:r>
          </w:p>
        </w:tc>
        <w:tc>
          <w:tcPr>
            <w:tcW w:w="3178" w:type="pct"/>
            <w:shd w:val="clear" w:color="auto" w:fill="FFFFFF" w:themeFill="background1"/>
            <w:vAlign w:val="center"/>
          </w:tcPr>
          <w:p w14:paraId="0ED3894B">
            <w:pPr>
              <w:spacing w:line="360" w:lineRule="auto"/>
              <w:rPr>
                <w:b w:val="0"/>
                <w:bCs w:val="0"/>
                <w:color w:val="auto"/>
              </w:rPr>
            </w:pPr>
            <w:r>
              <w:rPr>
                <w:rFonts w:hint="eastAsia"/>
                <w:b w:val="0"/>
                <w:bCs w:val="0"/>
                <w:color w:val="auto"/>
              </w:rPr>
              <w:t>符合 GB/T 9813.3的有关规定，在产品说明中给出具体测试值塔式服务器噪声在空闲状态下不大于50dB。</w:t>
            </w:r>
          </w:p>
        </w:tc>
      </w:tr>
      <w:tr w14:paraId="3A79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304D29B4">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774B95E9">
            <w:pPr>
              <w:spacing w:line="360" w:lineRule="auto"/>
              <w:rPr>
                <w:b w:val="0"/>
                <w:bCs w:val="0"/>
                <w:color w:val="auto"/>
              </w:rPr>
            </w:pPr>
            <w:r>
              <w:rPr>
                <w:rFonts w:hint="eastAsia"/>
                <w:b w:val="0"/>
                <w:bCs w:val="0"/>
                <w:color w:val="auto"/>
              </w:rPr>
              <w:t>机柜尺寸</w:t>
            </w:r>
          </w:p>
        </w:tc>
        <w:tc>
          <w:tcPr>
            <w:tcW w:w="3178" w:type="pct"/>
            <w:shd w:val="clear" w:color="auto" w:fill="FFFFFF" w:themeFill="background1"/>
            <w:vAlign w:val="center"/>
          </w:tcPr>
          <w:p w14:paraId="29C30A93">
            <w:pPr>
              <w:spacing w:line="360" w:lineRule="auto"/>
              <w:rPr>
                <w:b w:val="0"/>
                <w:bCs w:val="0"/>
                <w:color w:val="auto"/>
              </w:rPr>
            </w:pPr>
            <w:r>
              <w:rPr>
                <w:rFonts w:hint="eastAsia"/>
                <w:b w:val="0"/>
                <w:bCs w:val="0"/>
                <w:color w:val="auto"/>
              </w:rPr>
              <w:t>机柜宽度≥600毫米，高度≥2000毫米，深度≥800毫米。</w:t>
            </w:r>
          </w:p>
        </w:tc>
      </w:tr>
      <w:tr w14:paraId="1B54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B63707E">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007AB64">
            <w:pPr>
              <w:spacing w:line="360" w:lineRule="auto"/>
              <w:rPr>
                <w:b w:val="0"/>
                <w:bCs w:val="0"/>
                <w:color w:val="auto"/>
              </w:rPr>
            </w:pPr>
            <w:r>
              <w:rPr>
                <w:rFonts w:hint="eastAsia"/>
                <w:b w:val="0"/>
                <w:bCs w:val="0"/>
                <w:color w:val="auto"/>
              </w:rPr>
              <w:t>主板外部</w:t>
            </w:r>
          </w:p>
        </w:tc>
        <w:tc>
          <w:tcPr>
            <w:tcW w:w="3178" w:type="pct"/>
            <w:shd w:val="clear" w:color="auto" w:fill="FFFFFF" w:themeFill="background1"/>
            <w:vAlign w:val="center"/>
          </w:tcPr>
          <w:p w14:paraId="0146FC97">
            <w:pPr>
              <w:spacing w:line="360" w:lineRule="auto"/>
              <w:rPr>
                <w:b w:val="0"/>
                <w:bCs w:val="0"/>
                <w:color w:val="auto"/>
              </w:rPr>
            </w:pPr>
            <w:r>
              <w:rPr>
                <w:rFonts w:hint="eastAsia"/>
                <w:b w:val="0"/>
                <w:bCs w:val="0"/>
                <w:color w:val="auto"/>
              </w:rPr>
              <w:t>支持 USB 、显示、管理等接口。</w:t>
            </w:r>
          </w:p>
        </w:tc>
      </w:tr>
      <w:tr w14:paraId="5516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A9FA49F">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290DAD04">
            <w:pPr>
              <w:spacing w:line="360" w:lineRule="auto"/>
              <w:rPr>
                <w:b w:val="0"/>
                <w:bCs w:val="0"/>
                <w:color w:val="auto"/>
              </w:rPr>
            </w:pPr>
            <w:r>
              <w:rPr>
                <w:rFonts w:hint="eastAsia"/>
                <w:b w:val="0"/>
                <w:bCs w:val="0"/>
                <w:color w:val="auto"/>
              </w:rPr>
              <w:t>网络功能</w:t>
            </w:r>
          </w:p>
        </w:tc>
        <w:tc>
          <w:tcPr>
            <w:tcW w:w="3178" w:type="pct"/>
            <w:shd w:val="clear" w:color="auto" w:fill="FFFFFF" w:themeFill="background1"/>
            <w:vAlign w:val="center"/>
          </w:tcPr>
          <w:p w14:paraId="0CB3497C">
            <w:pPr>
              <w:spacing w:line="360" w:lineRule="auto"/>
              <w:rPr>
                <w:b w:val="0"/>
                <w:bCs w:val="0"/>
                <w:color w:val="auto"/>
              </w:rPr>
            </w:pPr>
            <w:r>
              <w:rPr>
                <w:rFonts w:hint="eastAsia"/>
                <w:b w:val="0"/>
                <w:bCs w:val="0"/>
                <w:color w:val="auto"/>
              </w:rPr>
              <w:t>支持网络连接、网络访问、数据交换和网络管控功能。</w:t>
            </w:r>
          </w:p>
        </w:tc>
      </w:tr>
      <w:tr w14:paraId="4D83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BC3BDC2">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536B917F">
            <w:pPr>
              <w:spacing w:line="360" w:lineRule="auto"/>
              <w:rPr>
                <w:b w:val="0"/>
                <w:bCs w:val="0"/>
                <w:color w:val="auto"/>
              </w:rPr>
            </w:pPr>
            <w:r>
              <w:rPr>
                <w:rFonts w:hint="eastAsia"/>
                <w:b w:val="0"/>
                <w:bCs w:val="0"/>
                <w:color w:val="auto"/>
              </w:rPr>
              <w:t>电源热插拔</w:t>
            </w:r>
          </w:p>
        </w:tc>
        <w:tc>
          <w:tcPr>
            <w:tcW w:w="3178" w:type="pct"/>
            <w:shd w:val="clear" w:color="auto" w:fill="FFFFFF" w:themeFill="background1"/>
            <w:vAlign w:val="center"/>
          </w:tcPr>
          <w:p w14:paraId="60B9A886">
            <w:pPr>
              <w:spacing w:line="360" w:lineRule="auto"/>
              <w:rPr>
                <w:b w:val="0"/>
                <w:bCs w:val="0"/>
                <w:color w:val="auto"/>
              </w:rPr>
            </w:pPr>
            <w:r>
              <w:rPr>
                <w:rFonts w:hint="eastAsia"/>
                <w:b w:val="0"/>
                <w:bCs w:val="0"/>
                <w:color w:val="auto"/>
              </w:rPr>
              <w:t>整机电源模块具备热插拔功能。</w:t>
            </w:r>
          </w:p>
        </w:tc>
      </w:tr>
      <w:tr w14:paraId="4648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46B91D65">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26352BA1">
            <w:pPr>
              <w:spacing w:line="360" w:lineRule="auto"/>
              <w:rPr>
                <w:b w:val="0"/>
                <w:bCs w:val="0"/>
                <w:color w:val="auto"/>
              </w:rPr>
            </w:pPr>
            <w:r>
              <w:rPr>
                <w:rFonts w:hint="eastAsia"/>
                <w:b w:val="0"/>
                <w:bCs w:val="0"/>
                <w:color w:val="auto"/>
              </w:rPr>
              <w:t>电源过流保护</w:t>
            </w:r>
          </w:p>
        </w:tc>
        <w:tc>
          <w:tcPr>
            <w:tcW w:w="3178" w:type="pct"/>
            <w:shd w:val="clear" w:color="auto" w:fill="FFFFFF" w:themeFill="background1"/>
            <w:vAlign w:val="center"/>
          </w:tcPr>
          <w:p w14:paraId="60D77FA0">
            <w:pPr>
              <w:spacing w:line="360" w:lineRule="auto"/>
              <w:rPr>
                <w:b w:val="0"/>
                <w:bCs w:val="0"/>
                <w:color w:val="auto"/>
              </w:rPr>
            </w:pPr>
            <w:r>
              <w:rPr>
                <w:rFonts w:hint="eastAsia"/>
                <w:b w:val="0"/>
                <w:bCs w:val="0"/>
                <w:color w:val="auto"/>
              </w:rPr>
              <w:t>支持过流及短路保护的功能。</w:t>
            </w:r>
          </w:p>
        </w:tc>
      </w:tr>
      <w:tr w14:paraId="63A2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732C24C7">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F2964B2">
            <w:pPr>
              <w:spacing w:line="360" w:lineRule="auto"/>
              <w:rPr>
                <w:b w:val="0"/>
                <w:bCs w:val="0"/>
                <w:color w:val="auto"/>
              </w:rPr>
            </w:pPr>
            <w:r>
              <w:rPr>
                <w:rFonts w:hint="eastAsia"/>
                <w:b w:val="0"/>
                <w:bCs w:val="0"/>
                <w:color w:val="auto"/>
              </w:rPr>
              <w:t>服务器散热方式</w:t>
            </w:r>
          </w:p>
        </w:tc>
        <w:tc>
          <w:tcPr>
            <w:tcW w:w="3178" w:type="pct"/>
            <w:shd w:val="clear" w:color="auto" w:fill="FFFFFF" w:themeFill="background1"/>
            <w:vAlign w:val="center"/>
          </w:tcPr>
          <w:p w14:paraId="4208B8B6">
            <w:pPr>
              <w:spacing w:line="360" w:lineRule="auto"/>
              <w:rPr>
                <w:b w:val="0"/>
                <w:bCs w:val="0"/>
                <w:color w:val="auto"/>
              </w:rPr>
            </w:pPr>
            <w:r>
              <w:rPr>
                <w:rFonts w:hint="eastAsia"/>
                <w:b w:val="0"/>
                <w:bCs w:val="0"/>
                <w:color w:val="auto"/>
              </w:rPr>
              <w:t>≥4个热插拔冗余风扇，支持N+1冗余，支持熔断保护与恢复功能。</w:t>
            </w:r>
          </w:p>
        </w:tc>
      </w:tr>
      <w:tr w14:paraId="388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350AE867">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restart"/>
            <w:shd w:val="clear" w:color="auto" w:fill="FFFFFF" w:themeFill="background1"/>
            <w:vAlign w:val="center"/>
          </w:tcPr>
          <w:p w14:paraId="5FEFFCAC">
            <w:pPr>
              <w:spacing w:line="360" w:lineRule="auto"/>
              <w:rPr>
                <w:b w:val="0"/>
                <w:bCs w:val="0"/>
                <w:color w:val="auto"/>
              </w:rPr>
            </w:pPr>
            <w:r>
              <w:rPr>
                <w:rFonts w:hint="eastAsia"/>
                <w:b w:val="0"/>
                <w:bCs w:val="0"/>
                <w:color w:val="auto"/>
              </w:rPr>
              <w:t>BMC固件基础功能</w:t>
            </w:r>
          </w:p>
        </w:tc>
        <w:tc>
          <w:tcPr>
            <w:tcW w:w="3178" w:type="pct"/>
            <w:shd w:val="clear" w:color="auto" w:fill="FFFFFF" w:themeFill="background1"/>
            <w:vAlign w:val="center"/>
          </w:tcPr>
          <w:p w14:paraId="14BD2DAD">
            <w:pPr>
              <w:spacing w:line="360" w:lineRule="auto"/>
              <w:rPr>
                <w:b w:val="0"/>
                <w:bCs w:val="0"/>
                <w:color w:val="auto"/>
              </w:rPr>
            </w:pPr>
            <w:r>
              <w:rPr>
                <w:rFonts w:hint="eastAsia"/>
                <w:b w:val="0"/>
                <w:bCs w:val="0"/>
                <w:color w:val="auto"/>
              </w:rPr>
              <w:t>支持DHCP设置网络功能；</w:t>
            </w:r>
          </w:p>
        </w:tc>
      </w:tr>
      <w:tr w14:paraId="47A5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FC0FD07">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304694DF">
            <w:pPr>
              <w:spacing w:line="360" w:lineRule="auto"/>
              <w:rPr>
                <w:b w:val="0"/>
                <w:bCs w:val="0"/>
                <w:color w:val="auto"/>
              </w:rPr>
            </w:pPr>
          </w:p>
        </w:tc>
        <w:tc>
          <w:tcPr>
            <w:tcW w:w="3178" w:type="pct"/>
            <w:shd w:val="clear" w:color="auto" w:fill="FFFFFF" w:themeFill="background1"/>
            <w:vAlign w:val="center"/>
          </w:tcPr>
          <w:p w14:paraId="1ECA081B">
            <w:pPr>
              <w:spacing w:line="360" w:lineRule="auto"/>
              <w:rPr>
                <w:b w:val="0"/>
                <w:bCs w:val="0"/>
                <w:color w:val="auto"/>
              </w:rPr>
            </w:pPr>
            <w:r>
              <w:rPr>
                <w:rFonts w:hint="eastAsia"/>
                <w:b w:val="0"/>
                <w:bCs w:val="0"/>
                <w:color w:val="auto"/>
              </w:rPr>
              <w:t>支持静态IP设置网络功能。</w:t>
            </w:r>
          </w:p>
        </w:tc>
      </w:tr>
      <w:tr w14:paraId="4713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00CBB89B">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29BC95D5">
            <w:pPr>
              <w:spacing w:line="360" w:lineRule="auto"/>
              <w:rPr>
                <w:b w:val="0"/>
                <w:bCs w:val="0"/>
                <w:color w:val="auto"/>
              </w:rPr>
            </w:pPr>
          </w:p>
        </w:tc>
        <w:tc>
          <w:tcPr>
            <w:tcW w:w="3178" w:type="pct"/>
            <w:shd w:val="clear" w:color="auto" w:fill="FFFFFF" w:themeFill="background1"/>
            <w:vAlign w:val="center"/>
          </w:tcPr>
          <w:p w14:paraId="42CCD4FC">
            <w:pPr>
              <w:spacing w:line="360" w:lineRule="auto"/>
              <w:rPr>
                <w:b w:val="0"/>
                <w:bCs w:val="0"/>
                <w:color w:val="auto"/>
              </w:rPr>
            </w:pPr>
            <w:r>
              <w:rPr>
                <w:rFonts w:hint="eastAsia"/>
                <w:b w:val="0"/>
                <w:bCs w:val="0"/>
                <w:color w:val="auto"/>
              </w:rPr>
              <w:t>支持设备日志记录，包括但不限于登录日志、操作日志和报警日志等功能，</w:t>
            </w:r>
          </w:p>
        </w:tc>
      </w:tr>
      <w:tr w14:paraId="544E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188E0016">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21A16C0F">
            <w:pPr>
              <w:spacing w:line="360" w:lineRule="auto"/>
              <w:rPr>
                <w:b w:val="0"/>
                <w:bCs w:val="0"/>
                <w:color w:val="auto"/>
              </w:rPr>
            </w:pPr>
          </w:p>
        </w:tc>
        <w:tc>
          <w:tcPr>
            <w:tcW w:w="3178" w:type="pct"/>
            <w:shd w:val="clear" w:color="auto" w:fill="FFFFFF" w:themeFill="background1"/>
            <w:vAlign w:val="center"/>
          </w:tcPr>
          <w:p w14:paraId="48BB4B8C">
            <w:pPr>
              <w:spacing w:line="360" w:lineRule="auto"/>
              <w:rPr>
                <w:b w:val="0"/>
                <w:bCs w:val="0"/>
                <w:color w:val="auto"/>
              </w:rPr>
            </w:pPr>
            <w:r>
              <w:rPr>
                <w:rFonts w:hint="eastAsia"/>
                <w:b w:val="0"/>
                <w:bCs w:val="0"/>
                <w:color w:val="auto"/>
              </w:rPr>
              <w:t>支持日志信息导出和记录删除功能。</w:t>
            </w:r>
          </w:p>
        </w:tc>
      </w:tr>
      <w:tr w14:paraId="43CA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7055BD06">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33B4FBB0">
            <w:pPr>
              <w:spacing w:line="360" w:lineRule="auto"/>
              <w:rPr>
                <w:b w:val="0"/>
                <w:bCs w:val="0"/>
                <w:color w:val="auto"/>
              </w:rPr>
            </w:pPr>
          </w:p>
        </w:tc>
        <w:tc>
          <w:tcPr>
            <w:tcW w:w="3178" w:type="pct"/>
            <w:shd w:val="clear" w:color="auto" w:fill="FFFFFF" w:themeFill="background1"/>
            <w:vAlign w:val="center"/>
          </w:tcPr>
          <w:p w14:paraId="41285825">
            <w:pPr>
              <w:spacing w:line="360" w:lineRule="auto"/>
              <w:rPr>
                <w:b w:val="0"/>
                <w:bCs w:val="0"/>
                <w:color w:val="auto"/>
              </w:rPr>
            </w:pPr>
            <w:r>
              <w:rPr>
                <w:rFonts w:hint="eastAsia"/>
                <w:b w:val="0"/>
                <w:bCs w:val="0"/>
                <w:color w:val="auto"/>
              </w:rPr>
              <w:t>支持通过管理接口向外输出准确的报警信息功能；</w:t>
            </w:r>
          </w:p>
        </w:tc>
      </w:tr>
      <w:tr w14:paraId="524B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7DA4583B">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01AA327A">
            <w:pPr>
              <w:spacing w:line="360" w:lineRule="auto"/>
              <w:rPr>
                <w:b w:val="0"/>
                <w:bCs w:val="0"/>
                <w:color w:val="auto"/>
              </w:rPr>
            </w:pPr>
          </w:p>
        </w:tc>
        <w:tc>
          <w:tcPr>
            <w:tcW w:w="3178" w:type="pct"/>
            <w:shd w:val="clear" w:color="auto" w:fill="FFFFFF" w:themeFill="background1"/>
            <w:vAlign w:val="center"/>
          </w:tcPr>
          <w:p w14:paraId="795F263E">
            <w:pPr>
              <w:spacing w:line="360" w:lineRule="auto"/>
              <w:rPr>
                <w:b w:val="0"/>
                <w:bCs w:val="0"/>
                <w:color w:val="auto"/>
              </w:rPr>
            </w:pPr>
            <w:r>
              <w:rPr>
                <w:rFonts w:hint="eastAsia"/>
                <w:b w:val="0"/>
                <w:bCs w:val="0"/>
                <w:color w:val="auto"/>
              </w:rPr>
              <w:t>设备的 BMC 管理软件应能够按报警的严重程度进行区分；</w:t>
            </w:r>
          </w:p>
        </w:tc>
      </w:tr>
      <w:tr w14:paraId="4529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433040C">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5738E5E2">
            <w:pPr>
              <w:spacing w:line="360" w:lineRule="auto"/>
              <w:rPr>
                <w:b w:val="0"/>
                <w:bCs w:val="0"/>
                <w:color w:val="auto"/>
              </w:rPr>
            </w:pPr>
          </w:p>
        </w:tc>
        <w:tc>
          <w:tcPr>
            <w:tcW w:w="3178" w:type="pct"/>
            <w:shd w:val="clear" w:color="auto" w:fill="FFFFFF" w:themeFill="background1"/>
            <w:vAlign w:val="center"/>
          </w:tcPr>
          <w:p w14:paraId="3CD7FD9F">
            <w:pPr>
              <w:spacing w:line="360" w:lineRule="auto"/>
              <w:rPr>
                <w:b w:val="0"/>
                <w:bCs w:val="0"/>
                <w:color w:val="auto"/>
              </w:rPr>
            </w:pPr>
            <w:r>
              <w:rPr>
                <w:rFonts w:hint="eastAsia"/>
                <w:b w:val="0"/>
                <w:bCs w:val="0"/>
                <w:color w:val="auto"/>
              </w:rPr>
              <w:t>支持 IPMI2 .0 、SNMP 或 Redfish等接口功能。</w:t>
            </w:r>
          </w:p>
        </w:tc>
      </w:tr>
      <w:tr w14:paraId="535D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60E4277A">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0D4A8846">
            <w:pPr>
              <w:spacing w:line="360" w:lineRule="auto"/>
              <w:rPr>
                <w:b w:val="0"/>
                <w:bCs w:val="0"/>
                <w:color w:val="auto"/>
              </w:rPr>
            </w:pPr>
          </w:p>
        </w:tc>
        <w:tc>
          <w:tcPr>
            <w:tcW w:w="3178" w:type="pct"/>
            <w:shd w:val="clear" w:color="auto" w:fill="FFFFFF" w:themeFill="background1"/>
            <w:vAlign w:val="center"/>
          </w:tcPr>
          <w:p w14:paraId="7F5AA44A">
            <w:pPr>
              <w:spacing w:line="360" w:lineRule="auto"/>
              <w:rPr>
                <w:b w:val="0"/>
                <w:bCs w:val="0"/>
                <w:color w:val="auto"/>
              </w:rPr>
            </w:pPr>
            <w:r>
              <w:rPr>
                <w:rFonts w:hint="eastAsia"/>
                <w:b w:val="0"/>
                <w:bCs w:val="0"/>
                <w:color w:val="auto"/>
              </w:rPr>
              <w:t>支持键盘、 鼠标和视频的重定向、文本控制台的重定向、远程虚拟媒体、高可靠的硬件监控和管理功能。</w:t>
            </w:r>
          </w:p>
        </w:tc>
      </w:tr>
      <w:tr w14:paraId="1EED9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3604D9E6">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76EF16F3">
            <w:pPr>
              <w:spacing w:line="360" w:lineRule="auto"/>
              <w:rPr>
                <w:b w:val="0"/>
                <w:bCs w:val="0"/>
                <w:color w:val="auto"/>
              </w:rPr>
            </w:pPr>
          </w:p>
        </w:tc>
        <w:tc>
          <w:tcPr>
            <w:tcW w:w="3178" w:type="pct"/>
            <w:shd w:val="clear" w:color="auto" w:fill="FFFFFF" w:themeFill="background1"/>
            <w:vAlign w:val="center"/>
          </w:tcPr>
          <w:p w14:paraId="4D505C31">
            <w:pPr>
              <w:spacing w:line="360" w:lineRule="auto"/>
              <w:rPr>
                <w:b w:val="0"/>
                <w:bCs w:val="0"/>
                <w:color w:val="auto"/>
              </w:rPr>
            </w:pPr>
            <w:r>
              <w:rPr>
                <w:rFonts w:hint="eastAsia"/>
                <w:b w:val="0"/>
                <w:bCs w:val="0"/>
                <w:color w:val="auto"/>
              </w:rPr>
              <w:t>支持基于网络开启、关闭和重启设备的功能，并查询当前设备开机运行状态。</w:t>
            </w:r>
          </w:p>
        </w:tc>
      </w:tr>
      <w:tr w14:paraId="613E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2EEC98C">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5D2366A3">
            <w:pPr>
              <w:spacing w:line="360" w:lineRule="auto"/>
              <w:rPr>
                <w:b w:val="0"/>
                <w:bCs w:val="0"/>
                <w:color w:val="auto"/>
              </w:rPr>
            </w:pPr>
          </w:p>
        </w:tc>
        <w:tc>
          <w:tcPr>
            <w:tcW w:w="3178" w:type="pct"/>
            <w:shd w:val="clear" w:color="auto" w:fill="FFFFFF" w:themeFill="background1"/>
            <w:vAlign w:val="center"/>
          </w:tcPr>
          <w:p w14:paraId="32256FCE">
            <w:pPr>
              <w:spacing w:line="360" w:lineRule="auto"/>
              <w:rPr>
                <w:b w:val="0"/>
                <w:bCs w:val="0"/>
                <w:color w:val="auto"/>
              </w:rPr>
            </w:pPr>
            <w:r>
              <w:rPr>
                <w:rFonts w:hint="eastAsia"/>
                <w:b w:val="0"/>
                <w:bCs w:val="0"/>
                <w:color w:val="auto"/>
              </w:rPr>
              <w:t>支持故障提示功能，并可通过接口读取服务器故障信息。</w:t>
            </w:r>
          </w:p>
        </w:tc>
      </w:tr>
      <w:tr w14:paraId="0881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DE3D601">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5750AD43">
            <w:pPr>
              <w:spacing w:line="360" w:lineRule="auto"/>
              <w:rPr>
                <w:b w:val="0"/>
                <w:bCs w:val="0"/>
                <w:color w:val="auto"/>
              </w:rPr>
            </w:pPr>
          </w:p>
        </w:tc>
        <w:tc>
          <w:tcPr>
            <w:tcW w:w="3178" w:type="pct"/>
            <w:shd w:val="clear" w:color="auto" w:fill="FFFFFF" w:themeFill="background1"/>
            <w:vAlign w:val="center"/>
          </w:tcPr>
          <w:p w14:paraId="4D13B7DC">
            <w:pPr>
              <w:spacing w:line="360" w:lineRule="auto"/>
              <w:rPr>
                <w:b w:val="0"/>
                <w:bCs w:val="0"/>
                <w:color w:val="auto"/>
              </w:rPr>
            </w:pPr>
            <w:r>
              <w:rPr>
                <w:rFonts w:hint="eastAsia"/>
                <w:b w:val="0"/>
                <w:bCs w:val="0"/>
                <w:color w:val="auto"/>
              </w:rPr>
              <w:t>支持基于网络的固件更新功能，包括BMC和BIOS等；</w:t>
            </w:r>
          </w:p>
        </w:tc>
      </w:tr>
      <w:tr w14:paraId="6677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05A2CC23">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6E1B9F1A">
            <w:pPr>
              <w:spacing w:line="360" w:lineRule="auto"/>
              <w:rPr>
                <w:b w:val="0"/>
                <w:bCs w:val="0"/>
                <w:color w:val="auto"/>
              </w:rPr>
            </w:pPr>
          </w:p>
        </w:tc>
        <w:tc>
          <w:tcPr>
            <w:tcW w:w="3178" w:type="pct"/>
            <w:shd w:val="clear" w:color="auto" w:fill="FFFFFF" w:themeFill="background1"/>
            <w:vAlign w:val="center"/>
          </w:tcPr>
          <w:p w14:paraId="34B3880E">
            <w:pPr>
              <w:spacing w:line="360" w:lineRule="auto"/>
              <w:rPr>
                <w:b w:val="0"/>
                <w:bCs w:val="0"/>
                <w:color w:val="auto"/>
              </w:rPr>
            </w:pPr>
            <w:r>
              <w:rPr>
                <w:rFonts w:hint="eastAsia"/>
                <w:b w:val="0"/>
                <w:bCs w:val="0"/>
                <w:color w:val="auto"/>
              </w:rPr>
              <w:t>支持基于网络安装操作系统的功能，并可通过网络控制台访问设备；</w:t>
            </w:r>
          </w:p>
        </w:tc>
      </w:tr>
      <w:tr w14:paraId="5899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6EB37FC9">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6796EEA3">
            <w:pPr>
              <w:spacing w:line="360" w:lineRule="auto"/>
              <w:rPr>
                <w:b w:val="0"/>
                <w:bCs w:val="0"/>
                <w:color w:val="auto"/>
              </w:rPr>
            </w:pPr>
          </w:p>
        </w:tc>
        <w:tc>
          <w:tcPr>
            <w:tcW w:w="3178" w:type="pct"/>
            <w:shd w:val="clear" w:color="auto" w:fill="FFFFFF" w:themeFill="background1"/>
            <w:vAlign w:val="center"/>
          </w:tcPr>
          <w:p w14:paraId="244DD2B6">
            <w:pPr>
              <w:spacing w:line="360" w:lineRule="auto"/>
              <w:rPr>
                <w:b w:val="0"/>
                <w:bCs w:val="0"/>
                <w:color w:val="auto"/>
              </w:rPr>
            </w:pPr>
            <w:r>
              <w:rPr>
                <w:rFonts w:hint="eastAsia"/>
                <w:b w:val="0"/>
                <w:bCs w:val="0"/>
                <w:color w:val="auto"/>
              </w:rPr>
              <w:t>支持通过本地的硬盘或光驱等存储设备，基于网络完成设备的操作系统安装功能</w:t>
            </w:r>
          </w:p>
        </w:tc>
      </w:tr>
      <w:tr w14:paraId="591FC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0F258C3D">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7B156778">
            <w:pPr>
              <w:spacing w:line="360" w:lineRule="auto"/>
              <w:rPr>
                <w:b w:val="0"/>
                <w:bCs w:val="0"/>
                <w:color w:val="auto"/>
              </w:rPr>
            </w:pPr>
          </w:p>
        </w:tc>
        <w:tc>
          <w:tcPr>
            <w:tcW w:w="3178" w:type="pct"/>
            <w:shd w:val="clear" w:color="auto" w:fill="FFFFFF" w:themeFill="background1"/>
            <w:vAlign w:val="center"/>
          </w:tcPr>
          <w:p w14:paraId="7F2F6AC4">
            <w:pPr>
              <w:spacing w:line="360" w:lineRule="auto"/>
              <w:rPr>
                <w:b w:val="0"/>
                <w:bCs w:val="0"/>
                <w:color w:val="auto"/>
              </w:rPr>
            </w:pPr>
            <w:r>
              <w:rPr>
                <w:rFonts w:hint="eastAsia"/>
                <w:b w:val="0"/>
                <w:bCs w:val="0"/>
                <w:color w:val="auto"/>
              </w:rPr>
              <w:t>支持通过浏览器打开管理界面并登录功能。</w:t>
            </w:r>
          </w:p>
        </w:tc>
      </w:tr>
      <w:tr w14:paraId="16DC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41A9FC51">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535D1833">
            <w:pPr>
              <w:spacing w:line="360" w:lineRule="auto"/>
              <w:rPr>
                <w:b w:val="0"/>
                <w:bCs w:val="0"/>
                <w:color w:val="auto"/>
              </w:rPr>
            </w:pPr>
          </w:p>
        </w:tc>
        <w:tc>
          <w:tcPr>
            <w:tcW w:w="3178" w:type="pct"/>
            <w:shd w:val="clear" w:color="auto" w:fill="FFFFFF" w:themeFill="background1"/>
            <w:vAlign w:val="center"/>
          </w:tcPr>
          <w:p w14:paraId="35764FB1">
            <w:pPr>
              <w:spacing w:line="360" w:lineRule="auto"/>
              <w:rPr>
                <w:b w:val="0"/>
                <w:bCs w:val="0"/>
                <w:color w:val="auto"/>
              </w:rPr>
            </w:pPr>
            <w:r>
              <w:rPr>
                <w:rFonts w:hint="eastAsia"/>
                <w:b w:val="0"/>
                <w:bCs w:val="0"/>
                <w:color w:val="auto"/>
              </w:rPr>
              <w:t>支持设置口令策略功能；</w:t>
            </w:r>
          </w:p>
        </w:tc>
      </w:tr>
      <w:tr w14:paraId="14A1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3A7544CA">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4E319FF8">
            <w:pPr>
              <w:spacing w:line="360" w:lineRule="auto"/>
              <w:rPr>
                <w:b w:val="0"/>
                <w:bCs w:val="0"/>
                <w:color w:val="auto"/>
              </w:rPr>
            </w:pPr>
          </w:p>
        </w:tc>
        <w:tc>
          <w:tcPr>
            <w:tcW w:w="3178" w:type="pct"/>
            <w:shd w:val="clear" w:color="auto" w:fill="FFFFFF" w:themeFill="background1"/>
            <w:vAlign w:val="center"/>
          </w:tcPr>
          <w:p w14:paraId="60D2DE29">
            <w:pPr>
              <w:spacing w:line="360" w:lineRule="auto"/>
              <w:rPr>
                <w:b w:val="0"/>
                <w:bCs w:val="0"/>
                <w:color w:val="auto"/>
              </w:rPr>
            </w:pPr>
            <w:r>
              <w:rPr>
                <w:rFonts w:hint="eastAsia"/>
                <w:b w:val="0"/>
                <w:bCs w:val="0"/>
                <w:color w:val="auto"/>
              </w:rPr>
              <w:t>支持访问权限设置功能，并通过日志记录访问事件。</w:t>
            </w:r>
          </w:p>
        </w:tc>
      </w:tr>
      <w:tr w14:paraId="5BDC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14B44DFD">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0F1BF521">
            <w:pPr>
              <w:spacing w:line="360" w:lineRule="auto"/>
              <w:rPr>
                <w:b w:val="0"/>
                <w:bCs w:val="0"/>
                <w:color w:val="auto"/>
              </w:rPr>
            </w:pPr>
          </w:p>
        </w:tc>
        <w:tc>
          <w:tcPr>
            <w:tcW w:w="3178" w:type="pct"/>
            <w:shd w:val="clear" w:color="auto" w:fill="FFFFFF" w:themeFill="background1"/>
            <w:vAlign w:val="center"/>
          </w:tcPr>
          <w:p w14:paraId="3E97AD35">
            <w:pPr>
              <w:spacing w:line="360" w:lineRule="auto"/>
              <w:rPr>
                <w:b w:val="0"/>
                <w:bCs w:val="0"/>
                <w:color w:val="auto"/>
              </w:rPr>
            </w:pPr>
            <w:r>
              <w:rPr>
                <w:rFonts w:hint="eastAsia"/>
                <w:b w:val="0"/>
                <w:bCs w:val="0"/>
                <w:color w:val="auto"/>
              </w:rPr>
              <w:t>支持对出厂默认的用户名及口令进行安全保护功能，并提供默认口令修改提示。</w:t>
            </w:r>
          </w:p>
        </w:tc>
      </w:tr>
      <w:tr w14:paraId="7DD5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00B3316">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7A19A62C">
            <w:pPr>
              <w:spacing w:line="360" w:lineRule="auto"/>
              <w:rPr>
                <w:b w:val="0"/>
                <w:bCs w:val="0"/>
                <w:color w:val="auto"/>
              </w:rPr>
            </w:pPr>
          </w:p>
        </w:tc>
        <w:tc>
          <w:tcPr>
            <w:tcW w:w="3178" w:type="pct"/>
            <w:shd w:val="clear" w:color="auto" w:fill="FFFFFF" w:themeFill="background1"/>
            <w:vAlign w:val="center"/>
          </w:tcPr>
          <w:p w14:paraId="4508CE0F">
            <w:pPr>
              <w:spacing w:line="360" w:lineRule="auto"/>
              <w:rPr>
                <w:b w:val="0"/>
                <w:bCs w:val="0"/>
                <w:color w:val="auto"/>
              </w:rPr>
            </w:pPr>
            <w:r>
              <w:rPr>
                <w:rFonts w:hint="eastAsia"/>
                <w:b w:val="0"/>
                <w:bCs w:val="0"/>
                <w:color w:val="auto"/>
              </w:rPr>
              <w:t>支持读取服务器CPU等核心器件的温度功能。</w:t>
            </w:r>
          </w:p>
        </w:tc>
      </w:tr>
      <w:tr w14:paraId="6A44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00E5EE73">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6508C323">
            <w:pPr>
              <w:spacing w:line="360" w:lineRule="auto"/>
              <w:rPr>
                <w:b w:val="0"/>
                <w:bCs w:val="0"/>
                <w:color w:val="auto"/>
              </w:rPr>
            </w:pPr>
          </w:p>
        </w:tc>
        <w:tc>
          <w:tcPr>
            <w:tcW w:w="3178" w:type="pct"/>
            <w:shd w:val="clear" w:color="auto" w:fill="FFFFFF" w:themeFill="background1"/>
            <w:vAlign w:val="center"/>
          </w:tcPr>
          <w:p w14:paraId="1C32F746">
            <w:pPr>
              <w:spacing w:line="360" w:lineRule="auto"/>
              <w:rPr>
                <w:b w:val="0"/>
                <w:bCs w:val="0"/>
                <w:color w:val="auto"/>
              </w:rPr>
            </w:pPr>
            <w:r>
              <w:rPr>
                <w:rFonts w:hint="eastAsia"/>
                <w:b w:val="0"/>
                <w:bCs w:val="0"/>
                <w:color w:val="auto"/>
              </w:rPr>
              <w:t>支持通过外部管理工具进行BMC参数设置的功能，并可基于网络通过外部管理工具对BMC进行管理。</w:t>
            </w:r>
          </w:p>
        </w:tc>
      </w:tr>
      <w:tr w14:paraId="621B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EB6B463">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1C111E43">
            <w:pPr>
              <w:spacing w:line="360" w:lineRule="auto"/>
              <w:rPr>
                <w:b w:val="0"/>
                <w:bCs w:val="0"/>
                <w:color w:val="auto"/>
              </w:rPr>
            </w:pPr>
          </w:p>
        </w:tc>
        <w:tc>
          <w:tcPr>
            <w:tcW w:w="3178" w:type="pct"/>
            <w:shd w:val="clear" w:color="auto" w:fill="FFFFFF" w:themeFill="background1"/>
            <w:vAlign w:val="center"/>
          </w:tcPr>
          <w:p w14:paraId="57C2AAB5">
            <w:pPr>
              <w:spacing w:line="360" w:lineRule="auto"/>
              <w:rPr>
                <w:b w:val="0"/>
                <w:bCs w:val="0"/>
                <w:color w:val="auto"/>
              </w:rPr>
            </w:pPr>
            <w:r>
              <w:rPr>
                <w:rFonts w:hint="eastAsia"/>
                <w:b w:val="0"/>
                <w:bCs w:val="0"/>
                <w:color w:val="auto"/>
              </w:rPr>
              <w:t>支持基于网络实现开关机和复位控制的功能。</w:t>
            </w:r>
          </w:p>
        </w:tc>
      </w:tr>
      <w:tr w14:paraId="7AA9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2EE00CA3">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1DA58957">
            <w:pPr>
              <w:spacing w:line="360" w:lineRule="auto"/>
              <w:rPr>
                <w:b w:val="0"/>
                <w:bCs w:val="0"/>
                <w:color w:val="auto"/>
              </w:rPr>
            </w:pPr>
          </w:p>
        </w:tc>
        <w:tc>
          <w:tcPr>
            <w:tcW w:w="3178" w:type="pct"/>
            <w:shd w:val="clear" w:color="auto" w:fill="FFFFFF" w:themeFill="background1"/>
            <w:vAlign w:val="center"/>
          </w:tcPr>
          <w:p w14:paraId="72928946">
            <w:pPr>
              <w:spacing w:line="360" w:lineRule="auto"/>
              <w:rPr>
                <w:b w:val="0"/>
                <w:bCs w:val="0"/>
                <w:color w:val="auto"/>
              </w:rPr>
            </w:pPr>
            <w:r>
              <w:rPr>
                <w:rFonts w:hint="eastAsia"/>
                <w:b w:val="0"/>
                <w:bCs w:val="0"/>
                <w:color w:val="auto"/>
              </w:rPr>
              <w:t>BMC 启动时间应不超过180s ，实现功能包括网络、IPMI、散热、传感器服务可用。</w:t>
            </w:r>
          </w:p>
        </w:tc>
      </w:tr>
      <w:tr w14:paraId="58C5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6B4C6EF">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restart"/>
            <w:shd w:val="clear" w:color="auto" w:fill="FFFFFF" w:themeFill="background1"/>
            <w:vAlign w:val="center"/>
          </w:tcPr>
          <w:p w14:paraId="36AB0747">
            <w:pPr>
              <w:spacing w:line="360" w:lineRule="auto"/>
              <w:rPr>
                <w:b w:val="0"/>
                <w:bCs w:val="0"/>
                <w:color w:val="auto"/>
              </w:rPr>
            </w:pPr>
            <w:r>
              <w:rPr>
                <w:rFonts w:hint="eastAsia"/>
                <w:b w:val="0"/>
                <w:bCs w:val="0"/>
                <w:color w:val="auto"/>
              </w:rPr>
              <w:t>BIOS固件基 础功能</w:t>
            </w:r>
          </w:p>
        </w:tc>
        <w:tc>
          <w:tcPr>
            <w:tcW w:w="3178" w:type="pct"/>
            <w:shd w:val="clear" w:color="auto" w:fill="FFFFFF" w:themeFill="background1"/>
            <w:vAlign w:val="center"/>
          </w:tcPr>
          <w:p w14:paraId="5A43093B">
            <w:pPr>
              <w:spacing w:line="360" w:lineRule="auto"/>
              <w:rPr>
                <w:b w:val="0"/>
                <w:bCs w:val="0"/>
                <w:color w:val="auto"/>
              </w:rPr>
            </w:pPr>
            <w:r>
              <w:rPr>
                <w:rFonts w:hint="eastAsia"/>
                <w:b w:val="0"/>
                <w:bCs w:val="0"/>
                <w:color w:val="auto"/>
              </w:rPr>
              <w:t>支持查看PCIe设备信息，SATA设备信息功能。</w:t>
            </w:r>
          </w:p>
        </w:tc>
      </w:tr>
      <w:tr w14:paraId="6B10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0C9FCDB9">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48237863">
            <w:pPr>
              <w:spacing w:line="360" w:lineRule="auto"/>
              <w:rPr>
                <w:b w:val="0"/>
                <w:bCs w:val="0"/>
                <w:color w:val="auto"/>
              </w:rPr>
            </w:pPr>
          </w:p>
        </w:tc>
        <w:tc>
          <w:tcPr>
            <w:tcW w:w="3178" w:type="pct"/>
            <w:shd w:val="clear" w:color="auto" w:fill="FFFFFF" w:themeFill="background1"/>
            <w:vAlign w:val="center"/>
          </w:tcPr>
          <w:p w14:paraId="13CE43E9">
            <w:pPr>
              <w:spacing w:line="360" w:lineRule="auto"/>
              <w:rPr>
                <w:b w:val="0"/>
                <w:bCs w:val="0"/>
                <w:color w:val="auto"/>
              </w:rPr>
            </w:pPr>
            <w:r>
              <w:rPr>
                <w:rFonts w:hint="eastAsia"/>
                <w:b w:val="0"/>
                <w:bCs w:val="0"/>
                <w:color w:val="auto"/>
              </w:rPr>
              <w:t>支持操作系统安装和引导功能，应并向操作系统提供计算机主板信息和服务接口。</w:t>
            </w:r>
          </w:p>
        </w:tc>
      </w:tr>
      <w:tr w14:paraId="0594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2753C4D">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0C974828">
            <w:pPr>
              <w:spacing w:line="360" w:lineRule="auto"/>
              <w:rPr>
                <w:b w:val="0"/>
                <w:bCs w:val="0"/>
                <w:color w:val="auto"/>
              </w:rPr>
            </w:pPr>
          </w:p>
        </w:tc>
        <w:tc>
          <w:tcPr>
            <w:tcW w:w="3178" w:type="pct"/>
            <w:shd w:val="clear" w:color="auto" w:fill="FFFFFF" w:themeFill="background1"/>
            <w:vAlign w:val="center"/>
          </w:tcPr>
          <w:p w14:paraId="22B7F090">
            <w:pPr>
              <w:spacing w:line="360" w:lineRule="auto"/>
              <w:rPr>
                <w:b w:val="0"/>
                <w:bCs w:val="0"/>
                <w:color w:val="auto"/>
              </w:rPr>
            </w:pPr>
            <w:r>
              <w:rPr>
                <w:rFonts w:hint="eastAsia"/>
                <w:b w:val="0"/>
                <w:bCs w:val="0"/>
                <w:color w:val="auto"/>
              </w:rPr>
              <w:t>支持设置启动顺序，并按照设置的启动顺序启动功能。</w:t>
            </w:r>
          </w:p>
        </w:tc>
      </w:tr>
      <w:tr w14:paraId="5542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23AFD21A">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4E765AAC">
            <w:pPr>
              <w:spacing w:line="360" w:lineRule="auto"/>
              <w:rPr>
                <w:b w:val="0"/>
                <w:bCs w:val="0"/>
                <w:color w:val="auto"/>
              </w:rPr>
            </w:pPr>
          </w:p>
        </w:tc>
        <w:tc>
          <w:tcPr>
            <w:tcW w:w="3178" w:type="pct"/>
            <w:shd w:val="clear" w:color="auto" w:fill="FFFFFF" w:themeFill="background1"/>
            <w:vAlign w:val="center"/>
          </w:tcPr>
          <w:p w14:paraId="2D815266">
            <w:pPr>
              <w:spacing w:line="360" w:lineRule="auto"/>
              <w:rPr>
                <w:b w:val="0"/>
                <w:bCs w:val="0"/>
                <w:color w:val="auto"/>
              </w:rPr>
            </w:pPr>
            <w:r>
              <w:rPr>
                <w:rFonts w:hint="eastAsia"/>
                <w:b w:val="0"/>
                <w:bCs w:val="0"/>
                <w:color w:val="auto"/>
              </w:rPr>
              <w:t>支持安全启动功能。</w:t>
            </w:r>
          </w:p>
        </w:tc>
      </w:tr>
      <w:tr w14:paraId="465A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D6389C7">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03B9FF6E">
            <w:pPr>
              <w:spacing w:line="360" w:lineRule="auto"/>
              <w:rPr>
                <w:b w:val="0"/>
                <w:bCs w:val="0"/>
                <w:color w:val="auto"/>
              </w:rPr>
            </w:pPr>
          </w:p>
        </w:tc>
        <w:tc>
          <w:tcPr>
            <w:tcW w:w="3178" w:type="pct"/>
            <w:shd w:val="clear" w:color="auto" w:fill="FFFFFF" w:themeFill="background1"/>
            <w:vAlign w:val="center"/>
          </w:tcPr>
          <w:p w14:paraId="1188C0D5">
            <w:pPr>
              <w:spacing w:line="360" w:lineRule="auto"/>
              <w:rPr>
                <w:b w:val="0"/>
                <w:bCs w:val="0"/>
                <w:color w:val="auto"/>
              </w:rPr>
            </w:pPr>
            <w:r>
              <w:rPr>
                <w:rFonts w:hint="eastAsia"/>
                <w:b w:val="0"/>
                <w:bCs w:val="0"/>
                <w:color w:val="auto"/>
              </w:rPr>
              <w:t>支持设置口令、修改口令、验证口令功能。</w:t>
            </w:r>
          </w:p>
        </w:tc>
      </w:tr>
      <w:tr w14:paraId="15D1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62F2E0B">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3D833823">
            <w:pPr>
              <w:spacing w:line="360" w:lineRule="auto"/>
              <w:rPr>
                <w:b w:val="0"/>
                <w:bCs w:val="0"/>
                <w:color w:val="auto"/>
              </w:rPr>
            </w:pPr>
          </w:p>
        </w:tc>
        <w:tc>
          <w:tcPr>
            <w:tcW w:w="3178" w:type="pct"/>
            <w:shd w:val="clear" w:color="auto" w:fill="FFFFFF" w:themeFill="background1"/>
            <w:vAlign w:val="center"/>
          </w:tcPr>
          <w:p w14:paraId="6E0D786B">
            <w:pPr>
              <w:spacing w:line="360" w:lineRule="auto"/>
              <w:rPr>
                <w:b w:val="0"/>
                <w:bCs w:val="0"/>
                <w:color w:val="auto"/>
              </w:rPr>
            </w:pPr>
            <w:r>
              <w:rPr>
                <w:rFonts w:hint="eastAsia"/>
                <w:b w:val="0"/>
                <w:bCs w:val="0"/>
                <w:color w:val="auto"/>
              </w:rPr>
              <w:t>支持板载显示控制或独立显卡的显示控制功能。</w:t>
            </w:r>
          </w:p>
        </w:tc>
      </w:tr>
      <w:tr w14:paraId="6237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7C095958">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43B92389">
            <w:pPr>
              <w:spacing w:line="360" w:lineRule="auto"/>
              <w:rPr>
                <w:b w:val="0"/>
                <w:bCs w:val="0"/>
                <w:color w:val="auto"/>
              </w:rPr>
            </w:pPr>
          </w:p>
        </w:tc>
        <w:tc>
          <w:tcPr>
            <w:tcW w:w="3178" w:type="pct"/>
            <w:shd w:val="clear" w:color="auto" w:fill="FFFFFF" w:themeFill="background1"/>
            <w:vAlign w:val="center"/>
          </w:tcPr>
          <w:p w14:paraId="30951444">
            <w:pPr>
              <w:spacing w:line="360" w:lineRule="auto"/>
              <w:rPr>
                <w:b w:val="0"/>
                <w:bCs w:val="0"/>
                <w:color w:val="auto"/>
              </w:rPr>
            </w:pPr>
            <w:r>
              <w:rPr>
                <w:rFonts w:hint="eastAsia"/>
                <w:b w:val="0"/>
                <w:bCs w:val="0"/>
                <w:color w:val="auto"/>
              </w:rPr>
              <w:t>支持RAID识别和启动功能。</w:t>
            </w:r>
          </w:p>
        </w:tc>
      </w:tr>
      <w:tr w14:paraId="4453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0901CC4E">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1D9A6AE4">
            <w:pPr>
              <w:spacing w:line="360" w:lineRule="auto"/>
              <w:rPr>
                <w:b w:val="0"/>
                <w:bCs w:val="0"/>
                <w:color w:val="auto"/>
              </w:rPr>
            </w:pPr>
          </w:p>
        </w:tc>
        <w:tc>
          <w:tcPr>
            <w:tcW w:w="3178" w:type="pct"/>
            <w:shd w:val="clear" w:color="auto" w:fill="FFFFFF" w:themeFill="background1"/>
            <w:vAlign w:val="center"/>
          </w:tcPr>
          <w:p w14:paraId="48035EA8">
            <w:pPr>
              <w:spacing w:line="360" w:lineRule="auto"/>
              <w:rPr>
                <w:b w:val="0"/>
                <w:bCs w:val="0"/>
                <w:color w:val="auto"/>
              </w:rPr>
            </w:pPr>
            <w:r>
              <w:rPr>
                <w:rFonts w:hint="eastAsia"/>
                <w:b w:val="0"/>
                <w:bCs w:val="0"/>
                <w:color w:val="auto"/>
              </w:rPr>
              <w:t>支持串口重定向功能。</w:t>
            </w:r>
          </w:p>
        </w:tc>
      </w:tr>
      <w:tr w14:paraId="0D6F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2C1DFBF8">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213628AA">
            <w:pPr>
              <w:spacing w:line="360" w:lineRule="auto"/>
              <w:rPr>
                <w:b w:val="0"/>
                <w:bCs w:val="0"/>
                <w:color w:val="auto"/>
              </w:rPr>
            </w:pPr>
          </w:p>
        </w:tc>
        <w:tc>
          <w:tcPr>
            <w:tcW w:w="3178" w:type="pct"/>
            <w:shd w:val="clear" w:color="auto" w:fill="FFFFFF" w:themeFill="background1"/>
            <w:vAlign w:val="center"/>
          </w:tcPr>
          <w:p w14:paraId="35C2CE43">
            <w:pPr>
              <w:spacing w:line="360" w:lineRule="auto"/>
              <w:rPr>
                <w:b w:val="0"/>
                <w:bCs w:val="0"/>
                <w:color w:val="auto"/>
              </w:rPr>
            </w:pPr>
            <w:r>
              <w:rPr>
                <w:rFonts w:hint="eastAsia"/>
                <w:b w:val="0"/>
                <w:bCs w:val="0"/>
                <w:color w:val="auto"/>
              </w:rPr>
              <w:t>支持固件更新功能。</w:t>
            </w:r>
          </w:p>
        </w:tc>
      </w:tr>
      <w:tr w14:paraId="7FE9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7073915A">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7E96497E">
            <w:pPr>
              <w:spacing w:line="360" w:lineRule="auto"/>
              <w:rPr>
                <w:b w:val="0"/>
                <w:bCs w:val="0"/>
                <w:color w:val="auto"/>
              </w:rPr>
            </w:pPr>
          </w:p>
        </w:tc>
        <w:tc>
          <w:tcPr>
            <w:tcW w:w="3178" w:type="pct"/>
            <w:shd w:val="clear" w:color="auto" w:fill="FFFFFF" w:themeFill="background1"/>
            <w:vAlign w:val="center"/>
          </w:tcPr>
          <w:p w14:paraId="668E65ED">
            <w:pPr>
              <w:spacing w:line="360" w:lineRule="auto"/>
              <w:rPr>
                <w:b w:val="0"/>
                <w:bCs w:val="0"/>
                <w:color w:val="auto"/>
              </w:rPr>
            </w:pPr>
            <w:r>
              <w:rPr>
                <w:rFonts w:hint="eastAsia"/>
                <w:b w:val="0"/>
                <w:bCs w:val="0"/>
                <w:color w:val="auto"/>
              </w:rPr>
              <w:t>支持BIOS固件设置的恢复出厂功能。</w:t>
            </w:r>
          </w:p>
        </w:tc>
      </w:tr>
      <w:tr w14:paraId="6BC6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2" w:type="pct"/>
            <w:shd w:val="clear" w:color="auto" w:fill="FFFFFF" w:themeFill="background1"/>
            <w:vAlign w:val="center"/>
          </w:tcPr>
          <w:p w14:paraId="2BB8A87B">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6F909588">
            <w:pPr>
              <w:spacing w:line="360" w:lineRule="auto"/>
              <w:rPr>
                <w:b w:val="0"/>
                <w:bCs w:val="0"/>
                <w:color w:val="auto"/>
              </w:rPr>
            </w:pPr>
          </w:p>
        </w:tc>
        <w:tc>
          <w:tcPr>
            <w:tcW w:w="3178" w:type="pct"/>
            <w:shd w:val="clear" w:color="auto" w:fill="FFFFFF" w:themeFill="background1"/>
            <w:vAlign w:val="center"/>
          </w:tcPr>
          <w:p w14:paraId="18C57FD7">
            <w:pPr>
              <w:spacing w:line="360" w:lineRule="auto"/>
              <w:rPr>
                <w:b w:val="0"/>
                <w:bCs w:val="0"/>
                <w:color w:val="auto"/>
              </w:rPr>
            </w:pPr>
            <w:r>
              <w:rPr>
                <w:rFonts w:hint="eastAsia"/>
                <w:b w:val="0"/>
                <w:bCs w:val="0"/>
                <w:color w:val="auto"/>
              </w:rPr>
              <w:t>支持网络引导启用和关闭功能。</w:t>
            </w:r>
          </w:p>
        </w:tc>
      </w:tr>
      <w:tr w14:paraId="4360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190423EF">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1C9F1126">
            <w:pPr>
              <w:spacing w:line="360" w:lineRule="auto"/>
              <w:rPr>
                <w:b w:val="0"/>
                <w:bCs w:val="0"/>
                <w:color w:val="auto"/>
              </w:rPr>
            </w:pPr>
            <w:r>
              <w:rPr>
                <w:rFonts w:hint="eastAsia"/>
                <w:b w:val="0"/>
                <w:bCs w:val="0"/>
                <w:color w:val="auto"/>
              </w:rPr>
              <w:t>远程控制</w:t>
            </w:r>
          </w:p>
        </w:tc>
        <w:tc>
          <w:tcPr>
            <w:tcW w:w="3178" w:type="pct"/>
            <w:shd w:val="clear" w:color="auto" w:fill="FFFFFF" w:themeFill="background1"/>
            <w:vAlign w:val="center"/>
          </w:tcPr>
          <w:p w14:paraId="1D619368">
            <w:pPr>
              <w:spacing w:line="360" w:lineRule="auto"/>
              <w:rPr>
                <w:b w:val="0"/>
                <w:bCs w:val="0"/>
                <w:color w:val="auto"/>
              </w:rPr>
            </w:pPr>
            <w:r>
              <w:rPr>
                <w:rFonts w:hint="eastAsia"/>
                <w:b w:val="0"/>
                <w:bCs w:val="0"/>
                <w:color w:val="auto"/>
              </w:rPr>
              <w:t>支持远程关机和重新启动功能。</w:t>
            </w:r>
          </w:p>
        </w:tc>
      </w:tr>
      <w:tr w14:paraId="2B0E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7FF098EC">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62E0A0C">
            <w:pPr>
              <w:spacing w:line="360" w:lineRule="auto"/>
              <w:rPr>
                <w:b w:val="0"/>
                <w:bCs w:val="0"/>
                <w:color w:val="auto"/>
              </w:rPr>
            </w:pPr>
            <w:r>
              <w:rPr>
                <w:rFonts w:hint="eastAsia"/>
                <w:b w:val="0"/>
                <w:bCs w:val="0"/>
                <w:color w:val="auto"/>
              </w:rPr>
              <w:t>操作系统及驱动的升级</w:t>
            </w:r>
          </w:p>
        </w:tc>
        <w:tc>
          <w:tcPr>
            <w:tcW w:w="3178" w:type="pct"/>
            <w:shd w:val="clear" w:color="auto" w:fill="FFFFFF" w:themeFill="background1"/>
            <w:vAlign w:val="center"/>
          </w:tcPr>
          <w:p w14:paraId="6F445216">
            <w:pPr>
              <w:spacing w:line="360" w:lineRule="auto"/>
              <w:rPr>
                <w:b w:val="0"/>
                <w:bCs w:val="0"/>
                <w:color w:val="auto"/>
              </w:rPr>
            </w:pPr>
            <w:r>
              <w:rPr>
                <w:rFonts w:hint="eastAsia"/>
                <w:b w:val="0"/>
                <w:bCs w:val="0"/>
                <w:color w:val="auto"/>
              </w:rPr>
              <w:t>支持通过网络、闪存盘对操作系统、驱动进行升级。</w:t>
            </w:r>
          </w:p>
        </w:tc>
      </w:tr>
      <w:tr w14:paraId="5EFC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273F77E3">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restart"/>
            <w:shd w:val="clear" w:color="auto" w:fill="FFFFFF" w:themeFill="background1"/>
            <w:vAlign w:val="center"/>
          </w:tcPr>
          <w:p w14:paraId="744CD75C">
            <w:pPr>
              <w:spacing w:line="360" w:lineRule="auto"/>
              <w:rPr>
                <w:b w:val="0"/>
                <w:bCs w:val="0"/>
                <w:color w:val="auto"/>
              </w:rPr>
            </w:pPr>
            <w:r>
              <w:rPr>
                <w:rFonts w:hint="eastAsia"/>
                <w:b w:val="0"/>
                <w:bCs w:val="0"/>
                <w:color w:val="auto"/>
              </w:rPr>
              <w:t>操作系统功能</w:t>
            </w:r>
          </w:p>
        </w:tc>
        <w:tc>
          <w:tcPr>
            <w:tcW w:w="3178" w:type="pct"/>
            <w:shd w:val="clear" w:color="auto" w:fill="FFFFFF" w:themeFill="background1"/>
            <w:vAlign w:val="center"/>
          </w:tcPr>
          <w:p w14:paraId="42EED20B">
            <w:pPr>
              <w:spacing w:line="360" w:lineRule="auto"/>
              <w:rPr>
                <w:b w:val="0"/>
                <w:bCs w:val="0"/>
                <w:color w:val="auto"/>
              </w:rPr>
            </w:pPr>
            <w:r>
              <w:rPr>
                <w:rFonts w:hint="eastAsia"/>
                <w:b w:val="0"/>
                <w:bCs w:val="0"/>
                <w:color w:val="auto"/>
              </w:rPr>
              <w:t>支持访问控制、安全审计、网络接入鉴别等功能。</w:t>
            </w:r>
          </w:p>
        </w:tc>
      </w:tr>
      <w:tr w14:paraId="2CBB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F563578">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73AD6A54">
            <w:pPr>
              <w:spacing w:line="360" w:lineRule="auto"/>
              <w:rPr>
                <w:b w:val="0"/>
                <w:bCs w:val="0"/>
                <w:color w:val="auto"/>
              </w:rPr>
            </w:pPr>
          </w:p>
        </w:tc>
        <w:tc>
          <w:tcPr>
            <w:tcW w:w="3178" w:type="pct"/>
            <w:shd w:val="clear" w:color="auto" w:fill="FFFFFF" w:themeFill="background1"/>
            <w:vAlign w:val="center"/>
          </w:tcPr>
          <w:p w14:paraId="5ED50203">
            <w:pPr>
              <w:spacing w:line="360" w:lineRule="auto"/>
              <w:rPr>
                <w:b w:val="0"/>
                <w:bCs w:val="0"/>
                <w:color w:val="auto"/>
              </w:rPr>
            </w:pPr>
            <w:r>
              <w:rPr>
                <w:rFonts w:hint="eastAsia"/>
                <w:b w:val="0"/>
                <w:bCs w:val="0"/>
                <w:color w:val="auto"/>
              </w:rPr>
              <w:t>操作系统其他功能应满足操作系统政府采购需求标准中加*的指标要求。</w:t>
            </w:r>
          </w:p>
        </w:tc>
      </w:tr>
      <w:tr w14:paraId="7AD1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18C45831">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3FB89C1">
            <w:pPr>
              <w:spacing w:line="360" w:lineRule="auto"/>
              <w:rPr>
                <w:b w:val="0"/>
                <w:bCs w:val="0"/>
                <w:color w:val="auto"/>
              </w:rPr>
            </w:pPr>
            <w:r>
              <w:rPr>
                <w:rFonts w:hint="eastAsia"/>
                <w:b w:val="0"/>
                <w:bCs w:val="0"/>
                <w:color w:val="auto"/>
              </w:rPr>
              <w:t>中文信息处理</w:t>
            </w:r>
          </w:p>
        </w:tc>
        <w:tc>
          <w:tcPr>
            <w:tcW w:w="3178" w:type="pct"/>
            <w:shd w:val="clear" w:color="auto" w:fill="FFFFFF" w:themeFill="background1"/>
            <w:vAlign w:val="center"/>
          </w:tcPr>
          <w:p w14:paraId="23E09C1D">
            <w:pPr>
              <w:spacing w:line="360" w:lineRule="auto"/>
              <w:rPr>
                <w:b w:val="0"/>
                <w:bCs w:val="0"/>
                <w:color w:val="auto"/>
              </w:rPr>
            </w:pPr>
            <w:r>
              <w:rPr>
                <w:rFonts w:hint="eastAsia"/>
                <w:b w:val="0"/>
                <w:bCs w:val="0"/>
                <w:color w:val="auto"/>
              </w:rPr>
              <w:t>涉及中文信息处理内容应符合GB18030要求。</w:t>
            </w:r>
          </w:p>
        </w:tc>
      </w:tr>
      <w:tr w14:paraId="2399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79F76E67">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607E50CC">
            <w:pPr>
              <w:spacing w:line="360" w:lineRule="auto"/>
              <w:rPr>
                <w:b w:val="0"/>
                <w:bCs w:val="0"/>
                <w:color w:val="auto"/>
              </w:rPr>
            </w:pPr>
            <w:r>
              <w:rPr>
                <w:rFonts w:hint="eastAsia"/>
                <w:b w:val="0"/>
                <w:bCs w:val="0"/>
                <w:color w:val="auto"/>
              </w:rPr>
              <w:t>故障检测</w:t>
            </w:r>
          </w:p>
        </w:tc>
        <w:tc>
          <w:tcPr>
            <w:tcW w:w="3178" w:type="pct"/>
            <w:shd w:val="clear" w:color="auto" w:fill="FFFFFF" w:themeFill="background1"/>
            <w:vAlign w:val="center"/>
          </w:tcPr>
          <w:p w14:paraId="68EE9366">
            <w:pPr>
              <w:spacing w:line="360" w:lineRule="auto"/>
              <w:rPr>
                <w:b w:val="0"/>
                <w:bCs w:val="0"/>
                <w:color w:val="auto"/>
              </w:rPr>
            </w:pPr>
            <w:r>
              <w:rPr>
                <w:rFonts w:hint="eastAsia"/>
                <w:b w:val="0"/>
                <w:bCs w:val="0"/>
                <w:color w:val="auto"/>
              </w:rPr>
              <w:t>支持故障检测功能，可以检测到具体的FRU（内存、硬盘等）的故障并发出告警声音。</w:t>
            </w:r>
          </w:p>
        </w:tc>
      </w:tr>
      <w:tr w14:paraId="1C5C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2C2110F2">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9428ED0">
            <w:pPr>
              <w:spacing w:line="360" w:lineRule="auto"/>
              <w:rPr>
                <w:b w:val="0"/>
                <w:bCs w:val="0"/>
                <w:color w:val="auto"/>
              </w:rPr>
            </w:pPr>
            <w:r>
              <w:rPr>
                <w:rFonts w:hint="eastAsia"/>
                <w:b w:val="0"/>
                <w:bCs w:val="0"/>
                <w:color w:val="auto"/>
              </w:rPr>
              <w:t>弱口令字典检查</w:t>
            </w:r>
          </w:p>
        </w:tc>
        <w:tc>
          <w:tcPr>
            <w:tcW w:w="3178" w:type="pct"/>
            <w:shd w:val="clear" w:color="auto" w:fill="FFFFFF" w:themeFill="background1"/>
            <w:vAlign w:val="center"/>
          </w:tcPr>
          <w:p w14:paraId="196D9795">
            <w:pPr>
              <w:spacing w:line="360" w:lineRule="auto"/>
              <w:rPr>
                <w:b w:val="0"/>
                <w:bCs w:val="0"/>
                <w:color w:val="auto"/>
              </w:rPr>
            </w:pPr>
            <w:r>
              <w:rPr>
                <w:rFonts w:hint="eastAsia"/>
                <w:b w:val="0"/>
                <w:bCs w:val="0"/>
                <w:color w:val="auto"/>
              </w:rPr>
              <w:t>支持弱口令字典检查功能，出现在弱口令字典中的字符串不能被设置为用户口令。</w:t>
            </w:r>
          </w:p>
        </w:tc>
      </w:tr>
      <w:tr w14:paraId="4097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45233623">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386AC246">
            <w:pPr>
              <w:spacing w:line="360" w:lineRule="auto"/>
              <w:rPr>
                <w:b w:val="0"/>
                <w:bCs w:val="0"/>
                <w:color w:val="auto"/>
              </w:rPr>
            </w:pPr>
            <w:r>
              <w:rPr>
                <w:rFonts w:hint="eastAsia"/>
                <w:b w:val="0"/>
                <w:bCs w:val="0"/>
                <w:color w:val="auto"/>
              </w:rPr>
              <w:t>白名单访问控制</w:t>
            </w:r>
          </w:p>
        </w:tc>
        <w:tc>
          <w:tcPr>
            <w:tcW w:w="3178" w:type="pct"/>
            <w:shd w:val="clear" w:color="auto" w:fill="FFFFFF" w:themeFill="background1"/>
            <w:vAlign w:val="center"/>
          </w:tcPr>
          <w:p w14:paraId="72ABB6F7">
            <w:pPr>
              <w:spacing w:line="360" w:lineRule="auto"/>
              <w:rPr>
                <w:b w:val="0"/>
                <w:bCs w:val="0"/>
                <w:color w:val="auto"/>
              </w:rPr>
            </w:pPr>
            <w:r>
              <w:rPr>
                <w:rFonts w:hint="eastAsia"/>
                <w:b w:val="0"/>
                <w:bCs w:val="0"/>
                <w:color w:val="auto"/>
              </w:rPr>
              <w:t>支持基于时间、IP 或 MAC 白名单访问控制。</w:t>
            </w:r>
          </w:p>
        </w:tc>
      </w:tr>
      <w:tr w14:paraId="3517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34603962">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14622A7">
            <w:pPr>
              <w:spacing w:line="360" w:lineRule="auto"/>
              <w:rPr>
                <w:b w:val="0"/>
                <w:bCs w:val="0"/>
                <w:color w:val="auto"/>
              </w:rPr>
            </w:pPr>
            <w:r>
              <w:rPr>
                <w:rFonts w:hint="eastAsia"/>
                <w:b w:val="0"/>
                <w:bCs w:val="0"/>
                <w:color w:val="auto"/>
              </w:rPr>
              <w:t>二次鉴别</w:t>
            </w:r>
          </w:p>
        </w:tc>
        <w:tc>
          <w:tcPr>
            <w:tcW w:w="3178" w:type="pct"/>
            <w:shd w:val="clear" w:color="auto" w:fill="FFFFFF" w:themeFill="background1"/>
            <w:vAlign w:val="center"/>
          </w:tcPr>
          <w:p w14:paraId="7AAC0A67">
            <w:pPr>
              <w:spacing w:line="360" w:lineRule="auto"/>
              <w:rPr>
                <w:b w:val="0"/>
                <w:bCs w:val="0"/>
                <w:color w:val="auto"/>
              </w:rPr>
            </w:pPr>
            <w:r>
              <w:rPr>
                <w:rFonts w:hint="eastAsia"/>
                <w:b w:val="0"/>
                <w:bCs w:val="0"/>
                <w:color w:val="auto"/>
              </w:rPr>
              <w:t>支持二次鉴别功能。对于用户配置、权限配置、公钥导入等重要的管理操作，已登录用户应通过二次鉴别后，才能执行操作。</w:t>
            </w:r>
          </w:p>
        </w:tc>
      </w:tr>
      <w:tr w14:paraId="62F4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3C18FB15">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70C963F2">
            <w:pPr>
              <w:spacing w:line="360" w:lineRule="auto"/>
              <w:rPr>
                <w:b w:val="0"/>
                <w:bCs w:val="0"/>
                <w:color w:val="auto"/>
              </w:rPr>
            </w:pPr>
            <w:r>
              <w:rPr>
                <w:rFonts w:hint="eastAsia"/>
                <w:b w:val="0"/>
                <w:bCs w:val="0"/>
                <w:color w:val="auto"/>
              </w:rPr>
              <w:t>密码证书安全加密存储</w:t>
            </w:r>
          </w:p>
        </w:tc>
        <w:tc>
          <w:tcPr>
            <w:tcW w:w="3178" w:type="pct"/>
            <w:shd w:val="clear" w:color="auto" w:fill="FFFFFF" w:themeFill="background1"/>
            <w:vAlign w:val="center"/>
          </w:tcPr>
          <w:p w14:paraId="790C2BAE">
            <w:pPr>
              <w:spacing w:line="360" w:lineRule="auto"/>
              <w:rPr>
                <w:b w:val="0"/>
                <w:bCs w:val="0"/>
                <w:color w:val="auto"/>
              </w:rPr>
            </w:pPr>
            <w:r>
              <w:rPr>
                <w:rFonts w:hint="eastAsia"/>
                <w:b w:val="0"/>
                <w:bCs w:val="0"/>
                <w:color w:val="auto"/>
              </w:rPr>
              <w:t>支持对带外管理系统中的用户口令和证书等敏感信息进行加密存储，禁止使用私有的和业界已知不安全的密码算法。</w:t>
            </w:r>
          </w:p>
        </w:tc>
      </w:tr>
      <w:tr w14:paraId="7D20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378BEE0F">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2A34932E">
            <w:pPr>
              <w:spacing w:line="360" w:lineRule="auto"/>
              <w:rPr>
                <w:b w:val="0"/>
                <w:bCs w:val="0"/>
                <w:color w:val="auto"/>
              </w:rPr>
            </w:pPr>
            <w:r>
              <w:rPr>
                <w:rFonts w:hint="eastAsia"/>
                <w:b w:val="0"/>
                <w:bCs w:val="0"/>
                <w:color w:val="auto"/>
              </w:rPr>
              <w:t>敏感信息安全加密传输</w:t>
            </w:r>
          </w:p>
        </w:tc>
        <w:tc>
          <w:tcPr>
            <w:tcW w:w="3178" w:type="pct"/>
            <w:shd w:val="clear" w:color="auto" w:fill="FFFFFF" w:themeFill="background1"/>
            <w:vAlign w:val="center"/>
          </w:tcPr>
          <w:p w14:paraId="3DFF1045">
            <w:pPr>
              <w:spacing w:line="360" w:lineRule="auto"/>
              <w:rPr>
                <w:b w:val="0"/>
                <w:bCs w:val="0"/>
                <w:color w:val="auto"/>
              </w:rPr>
            </w:pPr>
            <w:r>
              <w:rPr>
                <w:rFonts w:hint="eastAsia"/>
                <w:b w:val="0"/>
                <w:bCs w:val="0"/>
                <w:color w:val="auto"/>
              </w:rPr>
              <w:t>支持使用安全的传输加密协议（如SSH或 HTTPS 等）传输用户的敏感信息。</w:t>
            </w:r>
          </w:p>
        </w:tc>
      </w:tr>
      <w:tr w14:paraId="11CF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2" w:type="pct"/>
            <w:shd w:val="clear" w:color="auto" w:fill="FFFFFF" w:themeFill="background1"/>
            <w:vAlign w:val="center"/>
          </w:tcPr>
          <w:p w14:paraId="27404533">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80D25D8">
            <w:pPr>
              <w:spacing w:line="360" w:lineRule="auto"/>
              <w:rPr>
                <w:b w:val="0"/>
                <w:bCs w:val="0"/>
                <w:color w:val="auto"/>
              </w:rPr>
            </w:pPr>
            <w:r>
              <w:rPr>
                <w:rFonts w:hint="eastAsia"/>
                <w:b w:val="0"/>
                <w:bCs w:val="0"/>
                <w:color w:val="auto"/>
              </w:rPr>
              <w:t>研发过程安全</w:t>
            </w:r>
          </w:p>
        </w:tc>
        <w:tc>
          <w:tcPr>
            <w:tcW w:w="3178" w:type="pct"/>
            <w:shd w:val="clear" w:color="auto" w:fill="FFFFFF" w:themeFill="background1"/>
            <w:vAlign w:val="center"/>
          </w:tcPr>
          <w:p w14:paraId="3B71A4E3">
            <w:pPr>
              <w:spacing w:line="360" w:lineRule="auto"/>
              <w:rPr>
                <w:b w:val="0"/>
                <w:bCs w:val="0"/>
                <w:color w:val="auto"/>
              </w:rPr>
            </w:pPr>
            <w:r>
              <w:rPr>
                <w:rFonts w:hint="eastAsia"/>
                <w:b w:val="0"/>
                <w:bCs w:val="0"/>
                <w:color w:val="auto"/>
              </w:rPr>
              <w:t>供应商应承诺，生产商已建立从需求、设计、开发、测试、维护端到端的开发流程管理机制，输出和保存开发流程中每个阶段的产品需求清单、设计文档、开发文档、测试记录等材料，保证各个流程可追溯。</w:t>
            </w:r>
          </w:p>
        </w:tc>
      </w:tr>
      <w:tr w14:paraId="510C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393AF6C1">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931C62E">
            <w:pPr>
              <w:spacing w:line="360" w:lineRule="auto"/>
              <w:rPr>
                <w:b w:val="0"/>
                <w:bCs w:val="0"/>
                <w:color w:val="auto"/>
              </w:rPr>
            </w:pPr>
            <w:r>
              <w:rPr>
                <w:rFonts w:hint="eastAsia"/>
                <w:b w:val="0"/>
                <w:bCs w:val="0"/>
                <w:color w:val="auto"/>
              </w:rPr>
              <w:t>物理安全</w:t>
            </w:r>
          </w:p>
        </w:tc>
        <w:tc>
          <w:tcPr>
            <w:tcW w:w="3178" w:type="pct"/>
            <w:shd w:val="clear" w:color="auto" w:fill="FFFFFF" w:themeFill="background1"/>
            <w:vAlign w:val="center"/>
          </w:tcPr>
          <w:p w14:paraId="158CAE6D">
            <w:pPr>
              <w:spacing w:line="360" w:lineRule="auto"/>
              <w:rPr>
                <w:b w:val="0"/>
                <w:bCs w:val="0"/>
                <w:color w:val="auto"/>
              </w:rPr>
            </w:pPr>
            <w:r>
              <w:rPr>
                <w:rFonts w:hint="eastAsia"/>
                <w:b w:val="0"/>
                <w:bCs w:val="0"/>
                <w:color w:val="auto"/>
              </w:rPr>
              <w:t>安全要求应符合 GB 4943.1 的规定。</w:t>
            </w:r>
          </w:p>
        </w:tc>
      </w:tr>
      <w:tr w14:paraId="4621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2E9ECCA4">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F65976C">
            <w:pPr>
              <w:spacing w:line="360" w:lineRule="auto"/>
              <w:rPr>
                <w:b w:val="0"/>
                <w:bCs w:val="0"/>
                <w:color w:val="auto"/>
              </w:rPr>
            </w:pPr>
            <w:r>
              <w:rPr>
                <w:rFonts w:hint="eastAsia"/>
                <w:b w:val="0"/>
                <w:bCs w:val="0"/>
                <w:color w:val="auto"/>
              </w:rPr>
              <w:t>限用物质的限量要求</w:t>
            </w:r>
          </w:p>
        </w:tc>
        <w:tc>
          <w:tcPr>
            <w:tcW w:w="3178" w:type="pct"/>
            <w:shd w:val="clear" w:color="auto" w:fill="FFFFFF" w:themeFill="background1"/>
            <w:vAlign w:val="center"/>
          </w:tcPr>
          <w:p w14:paraId="076EF10A">
            <w:pPr>
              <w:spacing w:line="360" w:lineRule="auto"/>
              <w:rPr>
                <w:b w:val="0"/>
                <w:bCs w:val="0"/>
                <w:color w:val="auto"/>
              </w:rPr>
            </w:pPr>
            <w:r>
              <w:rPr>
                <w:rFonts w:hint="eastAsia"/>
                <w:b w:val="0"/>
                <w:bCs w:val="0"/>
                <w:color w:val="auto"/>
              </w:rPr>
              <w:t>限用物质的限量应符合 GB/T 26572的要求。</w:t>
            </w:r>
          </w:p>
        </w:tc>
      </w:tr>
      <w:tr w14:paraId="7388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0E14433E">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37C1BB0D">
            <w:pPr>
              <w:spacing w:line="360" w:lineRule="auto"/>
              <w:rPr>
                <w:b w:val="0"/>
                <w:bCs w:val="0"/>
                <w:color w:val="auto"/>
              </w:rPr>
            </w:pPr>
            <w:r>
              <w:rPr>
                <w:rFonts w:hint="eastAsia"/>
                <w:b w:val="0"/>
                <w:bCs w:val="0"/>
                <w:color w:val="auto"/>
              </w:rPr>
              <w:t>CPU性能</w:t>
            </w:r>
          </w:p>
        </w:tc>
        <w:tc>
          <w:tcPr>
            <w:tcW w:w="3178" w:type="pct"/>
            <w:shd w:val="clear" w:color="auto" w:fill="FFFFFF" w:themeFill="background1"/>
            <w:vAlign w:val="center"/>
          </w:tcPr>
          <w:p w14:paraId="1E31B20C">
            <w:pPr>
              <w:spacing w:line="360" w:lineRule="auto"/>
              <w:rPr>
                <w:b w:val="0"/>
                <w:bCs w:val="0"/>
                <w:color w:val="auto"/>
              </w:rPr>
            </w:pPr>
            <w:r>
              <w:rPr>
                <w:rFonts w:hint="eastAsia"/>
                <w:b w:val="0"/>
                <w:bCs w:val="0"/>
                <w:color w:val="auto"/>
              </w:rPr>
              <w:t>CPU主频≥2.6GHz ，单CPU核数≥64核，单CPU末级缓存容量≥64MB。</w:t>
            </w:r>
          </w:p>
        </w:tc>
      </w:tr>
      <w:tr w14:paraId="7849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34070ABA">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7C829BA8">
            <w:pPr>
              <w:spacing w:line="360" w:lineRule="auto"/>
              <w:rPr>
                <w:b w:val="0"/>
                <w:bCs w:val="0"/>
                <w:color w:val="auto"/>
              </w:rPr>
            </w:pPr>
            <w:r>
              <w:rPr>
                <w:rFonts w:hint="eastAsia"/>
                <w:b w:val="0"/>
                <w:bCs w:val="0"/>
                <w:color w:val="auto"/>
              </w:rPr>
              <w:t>单内存模块内容</w:t>
            </w:r>
          </w:p>
        </w:tc>
        <w:tc>
          <w:tcPr>
            <w:tcW w:w="3178" w:type="pct"/>
            <w:shd w:val="clear" w:color="auto" w:fill="FFFFFF" w:themeFill="background1"/>
            <w:vAlign w:val="center"/>
          </w:tcPr>
          <w:p w14:paraId="399A8766">
            <w:pPr>
              <w:spacing w:line="360" w:lineRule="auto"/>
              <w:rPr>
                <w:b w:val="0"/>
                <w:bCs w:val="0"/>
                <w:color w:val="auto"/>
              </w:rPr>
            </w:pPr>
            <w:r>
              <w:rPr>
                <w:rFonts w:hint="eastAsia"/>
                <w:b w:val="0"/>
                <w:bCs w:val="0"/>
                <w:color w:val="auto"/>
              </w:rPr>
              <w:t>≥64GB</w:t>
            </w:r>
          </w:p>
        </w:tc>
      </w:tr>
      <w:tr w14:paraId="74E9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06189EE4">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81F36FC">
            <w:pPr>
              <w:spacing w:line="360" w:lineRule="auto"/>
              <w:rPr>
                <w:b w:val="0"/>
                <w:bCs w:val="0"/>
                <w:color w:val="auto"/>
              </w:rPr>
            </w:pPr>
            <w:r>
              <w:rPr>
                <w:rFonts w:hint="eastAsia"/>
                <w:b w:val="0"/>
                <w:bCs w:val="0"/>
                <w:color w:val="auto"/>
              </w:rPr>
              <w:t>内存速率</w:t>
            </w:r>
          </w:p>
        </w:tc>
        <w:tc>
          <w:tcPr>
            <w:tcW w:w="3178" w:type="pct"/>
            <w:shd w:val="clear" w:color="auto" w:fill="FFFFFF" w:themeFill="background1"/>
            <w:vAlign w:val="center"/>
          </w:tcPr>
          <w:p w14:paraId="708D39A9">
            <w:pPr>
              <w:spacing w:line="360" w:lineRule="auto"/>
              <w:rPr>
                <w:b w:val="0"/>
                <w:bCs w:val="0"/>
                <w:color w:val="auto"/>
              </w:rPr>
            </w:pPr>
            <w:r>
              <w:rPr>
                <w:rFonts w:hint="eastAsia"/>
                <w:b w:val="0"/>
                <w:bCs w:val="0"/>
                <w:color w:val="auto"/>
              </w:rPr>
              <w:t>≥</w:t>
            </w:r>
            <w:r>
              <w:rPr>
                <w:rFonts w:hint="eastAsia"/>
                <w:b w:val="0"/>
                <w:bCs w:val="0"/>
                <w:color w:val="auto"/>
                <w:lang w:val="en-US" w:eastAsia="zh-CN"/>
              </w:rPr>
              <w:t>2933</w:t>
            </w:r>
            <w:r>
              <w:rPr>
                <w:rFonts w:hint="eastAsia"/>
                <w:b w:val="0"/>
                <w:bCs w:val="0"/>
                <w:color w:val="auto"/>
              </w:rPr>
              <w:t>MHz</w:t>
            </w:r>
          </w:p>
        </w:tc>
      </w:tr>
      <w:tr w14:paraId="3865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465E0968">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2A1567D1">
            <w:pPr>
              <w:spacing w:line="360" w:lineRule="auto"/>
              <w:rPr>
                <w:b w:val="0"/>
                <w:bCs w:val="0"/>
                <w:color w:val="auto"/>
              </w:rPr>
            </w:pPr>
            <w:r>
              <w:rPr>
                <w:rFonts w:hint="eastAsia"/>
                <w:b w:val="0"/>
                <w:bCs w:val="0"/>
                <w:color w:val="auto"/>
              </w:rPr>
              <w:t>RAID 卡缓存容量大小</w:t>
            </w:r>
          </w:p>
        </w:tc>
        <w:tc>
          <w:tcPr>
            <w:tcW w:w="3178" w:type="pct"/>
            <w:shd w:val="clear" w:color="auto" w:fill="FFFFFF" w:themeFill="background1"/>
            <w:vAlign w:val="center"/>
          </w:tcPr>
          <w:p w14:paraId="123C8FCD">
            <w:pPr>
              <w:spacing w:line="360" w:lineRule="auto"/>
              <w:rPr>
                <w:b w:val="0"/>
                <w:bCs w:val="0"/>
                <w:color w:val="auto"/>
              </w:rPr>
            </w:pPr>
            <w:r>
              <w:rPr>
                <w:rFonts w:hint="eastAsia"/>
                <w:b w:val="0"/>
                <w:bCs w:val="0"/>
                <w:color w:val="auto"/>
              </w:rPr>
              <w:t>≥2GB缓存</w:t>
            </w:r>
          </w:p>
        </w:tc>
      </w:tr>
      <w:tr w14:paraId="2E3D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110282B6">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7F82A92">
            <w:pPr>
              <w:spacing w:line="360" w:lineRule="auto"/>
              <w:rPr>
                <w:b w:val="0"/>
                <w:bCs w:val="0"/>
                <w:color w:val="auto"/>
              </w:rPr>
            </w:pPr>
            <w:r>
              <w:rPr>
                <w:rFonts w:hint="eastAsia"/>
                <w:b w:val="0"/>
                <w:bCs w:val="0"/>
                <w:color w:val="auto"/>
              </w:rPr>
              <w:t>电源能耗</w:t>
            </w:r>
          </w:p>
        </w:tc>
        <w:tc>
          <w:tcPr>
            <w:tcW w:w="3178" w:type="pct"/>
            <w:shd w:val="clear" w:color="auto" w:fill="FFFFFF" w:themeFill="background1"/>
            <w:vAlign w:val="center"/>
          </w:tcPr>
          <w:p w14:paraId="16860366">
            <w:pPr>
              <w:spacing w:line="360" w:lineRule="auto"/>
              <w:rPr>
                <w:b w:val="0"/>
                <w:bCs w:val="0"/>
                <w:color w:val="auto"/>
              </w:rPr>
            </w:pPr>
            <w:r>
              <w:rPr>
                <w:rFonts w:hint="eastAsia"/>
                <w:b w:val="0"/>
                <w:bCs w:val="0"/>
                <w:color w:val="auto"/>
              </w:rPr>
              <w:t>符合 GB/T 9813.3 的有关规定。</w:t>
            </w:r>
          </w:p>
        </w:tc>
      </w:tr>
      <w:tr w14:paraId="39CD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1CE14540">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CBD35A4">
            <w:pPr>
              <w:spacing w:line="360" w:lineRule="auto"/>
              <w:rPr>
                <w:b w:val="0"/>
                <w:bCs w:val="0"/>
                <w:color w:val="auto"/>
              </w:rPr>
            </w:pPr>
            <w:r>
              <w:rPr>
                <w:rFonts w:hint="eastAsia"/>
                <w:b w:val="0"/>
                <w:bCs w:val="0"/>
                <w:color w:val="auto"/>
              </w:rPr>
              <w:t>内存兼容性</w:t>
            </w:r>
          </w:p>
        </w:tc>
        <w:tc>
          <w:tcPr>
            <w:tcW w:w="3178" w:type="pct"/>
            <w:shd w:val="clear" w:color="auto" w:fill="FFFFFF" w:themeFill="background1"/>
            <w:vAlign w:val="center"/>
          </w:tcPr>
          <w:p w14:paraId="51BF7A91">
            <w:pPr>
              <w:spacing w:line="360" w:lineRule="auto"/>
              <w:rPr>
                <w:b w:val="0"/>
                <w:bCs w:val="0"/>
                <w:color w:val="auto"/>
              </w:rPr>
            </w:pPr>
            <w:r>
              <w:rPr>
                <w:rFonts w:hint="eastAsia"/>
                <w:b w:val="0"/>
                <w:bCs w:val="0"/>
                <w:color w:val="auto"/>
              </w:rPr>
              <w:t>适配 3 种及以上厂商的内存产品，且均不低于产品支持的内存规格。</w:t>
            </w:r>
          </w:p>
        </w:tc>
      </w:tr>
      <w:tr w14:paraId="5334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3DFE8757">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B176F61">
            <w:pPr>
              <w:spacing w:line="360" w:lineRule="auto"/>
              <w:rPr>
                <w:b w:val="0"/>
                <w:bCs w:val="0"/>
                <w:color w:val="auto"/>
              </w:rPr>
            </w:pPr>
            <w:r>
              <w:rPr>
                <w:rFonts w:hint="eastAsia"/>
                <w:b w:val="0"/>
                <w:bCs w:val="0"/>
                <w:color w:val="auto"/>
              </w:rPr>
              <w:t>固态存储兼容性</w:t>
            </w:r>
          </w:p>
        </w:tc>
        <w:tc>
          <w:tcPr>
            <w:tcW w:w="3178" w:type="pct"/>
            <w:shd w:val="clear" w:color="auto" w:fill="FFFFFF" w:themeFill="background1"/>
            <w:vAlign w:val="center"/>
          </w:tcPr>
          <w:p w14:paraId="1D1895B6">
            <w:pPr>
              <w:spacing w:line="360" w:lineRule="auto"/>
              <w:rPr>
                <w:b w:val="0"/>
                <w:bCs w:val="0"/>
                <w:color w:val="auto"/>
              </w:rPr>
            </w:pPr>
            <w:r>
              <w:rPr>
                <w:rFonts w:hint="eastAsia"/>
                <w:b w:val="0"/>
                <w:bCs w:val="0"/>
                <w:color w:val="auto"/>
              </w:rPr>
              <w:t>适配 3 种或以上厂商的固态存储产品，且均不低于产品支持的固态存储设备规格。</w:t>
            </w:r>
          </w:p>
        </w:tc>
      </w:tr>
      <w:tr w14:paraId="1BFA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19222F74">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279D1266">
            <w:pPr>
              <w:spacing w:line="360" w:lineRule="auto"/>
              <w:rPr>
                <w:b w:val="0"/>
                <w:bCs w:val="0"/>
                <w:color w:val="auto"/>
              </w:rPr>
            </w:pPr>
            <w:r>
              <w:rPr>
                <w:rFonts w:hint="eastAsia"/>
                <w:b w:val="0"/>
                <w:bCs w:val="0"/>
                <w:color w:val="auto"/>
              </w:rPr>
              <w:t>网卡兼容</w:t>
            </w:r>
          </w:p>
        </w:tc>
        <w:tc>
          <w:tcPr>
            <w:tcW w:w="3178" w:type="pct"/>
            <w:shd w:val="clear" w:color="auto" w:fill="FFFFFF" w:themeFill="background1"/>
            <w:vAlign w:val="center"/>
          </w:tcPr>
          <w:p w14:paraId="4FD7919F">
            <w:pPr>
              <w:spacing w:line="360" w:lineRule="auto"/>
              <w:rPr>
                <w:b w:val="0"/>
                <w:bCs w:val="0"/>
                <w:color w:val="auto"/>
              </w:rPr>
            </w:pPr>
            <w:r>
              <w:rPr>
                <w:rFonts w:hint="eastAsia"/>
                <w:b w:val="0"/>
                <w:bCs w:val="0"/>
                <w:color w:val="auto"/>
              </w:rPr>
              <w:t>网卡应适配两种或以上厂商产品。</w:t>
            </w:r>
          </w:p>
        </w:tc>
      </w:tr>
      <w:tr w14:paraId="623E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771E7708">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70B37A43">
            <w:pPr>
              <w:spacing w:line="360" w:lineRule="auto"/>
              <w:rPr>
                <w:b w:val="0"/>
                <w:bCs w:val="0"/>
                <w:color w:val="auto"/>
              </w:rPr>
            </w:pPr>
            <w:r>
              <w:rPr>
                <w:rFonts w:hint="eastAsia"/>
                <w:b w:val="0"/>
                <w:bCs w:val="0"/>
                <w:color w:val="auto"/>
              </w:rPr>
              <w:t>功能卡兼容</w:t>
            </w:r>
          </w:p>
        </w:tc>
        <w:tc>
          <w:tcPr>
            <w:tcW w:w="3178" w:type="pct"/>
            <w:shd w:val="clear" w:color="auto" w:fill="FFFFFF" w:themeFill="background1"/>
            <w:vAlign w:val="center"/>
          </w:tcPr>
          <w:p w14:paraId="30665E57">
            <w:pPr>
              <w:spacing w:line="360" w:lineRule="auto"/>
              <w:rPr>
                <w:b w:val="0"/>
                <w:bCs w:val="0"/>
                <w:color w:val="auto"/>
              </w:rPr>
            </w:pPr>
            <w:r>
              <w:rPr>
                <w:rFonts w:hint="eastAsia"/>
                <w:b w:val="0"/>
                <w:bCs w:val="0"/>
                <w:color w:val="auto"/>
              </w:rPr>
              <w:t>内置或适配符合 PCIe 的功能卡，如：网络功能卡、存储功能卡及图形显示功能卡。</w:t>
            </w:r>
          </w:p>
        </w:tc>
      </w:tr>
      <w:tr w14:paraId="59C6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2" w:type="pct"/>
            <w:shd w:val="clear" w:color="auto" w:fill="FFFFFF" w:themeFill="background1"/>
            <w:vAlign w:val="center"/>
          </w:tcPr>
          <w:p w14:paraId="56A94FE7">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8789112">
            <w:pPr>
              <w:spacing w:line="360" w:lineRule="auto"/>
              <w:rPr>
                <w:b w:val="0"/>
                <w:bCs w:val="0"/>
                <w:color w:val="auto"/>
              </w:rPr>
            </w:pPr>
            <w:r>
              <w:rPr>
                <w:rFonts w:hint="eastAsia"/>
                <w:b w:val="0"/>
                <w:bCs w:val="0"/>
                <w:color w:val="auto"/>
              </w:rPr>
              <w:t>外设兼容性</w:t>
            </w:r>
          </w:p>
        </w:tc>
        <w:tc>
          <w:tcPr>
            <w:tcW w:w="3178" w:type="pct"/>
            <w:shd w:val="clear" w:color="auto" w:fill="FFFFFF" w:themeFill="background1"/>
            <w:vAlign w:val="center"/>
          </w:tcPr>
          <w:p w14:paraId="54624A3D">
            <w:pPr>
              <w:spacing w:line="360" w:lineRule="auto"/>
              <w:rPr>
                <w:b w:val="0"/>
                <w:bCs w:val="0"/>
                <w:color w:val="auto"/>
              </w:rPr>
            </w:pPr>
            <w:r>
              <w:rPr>
                <w:rFonts w:hint="eastAsia"/>
                <w:b w:val="0"/>
                <w:bCs w:val="0"/>
                <w:color w:val="auto"/>
              </w:rPr>
              <w:t>兼容多种主流生产商的外部设备，包括显示器、键盘、 鼠标、闪存盘、移动硬盘、USB 光驱及 KVM 等，要求使用不同厂商的外部设备时，系统均能正常识别和安装驱动。</w:t>
            </w:r>
          </w:p>
        </w:tc>
      </w:tr>
      <w:tr w14:paraId="541F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04CF6992">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34629C8D">
            <w:pPr>
              <w:spacing w:line="360" w:lineRule="auto"/>
              <w:rPr>
                <w:b w:val="0"/>
                <w:bCs w:val="0"/>
                <w:color w:val="auto"/>
              </w:rPr>
            </w:pPr>
            <w:r>
              <w:rPr>
                <w:rFonts w:hint="eastAsia"/>
                <w:b w:val="0"/>
                <w:bCs w:val="0"/>
                <w:color w:val="auto"/>
              </w:rPr>
              <w:t>数据库兼容</w:t>
            </w:r>
          </w:p>
        </w:tc>
        <w:tc>
          <w:tcPr>
            <w:tcW w:w="3178" w:type="pct"/>
            <w:shd w:val="clear" w:color="auto" w:fill="FFFFFF" w:themeFill="background1"/>
            <w:vAlign w:val="center"/>
          </w:tcPr>
          <w:p w14:paraId="461CA62A">
            <w:pPr>
              <w:spacing w:line="360" w:lineRule="auto"/>
              <w:rPr>
                <w:b w:val="0"/>
                <w:bCs w:val="0"/>
                <w:color w:val="auto"/>
              </w:rPr>
            </w:pPr>
            <w:r>
              <w:rPr>
                <w:rFonts w:hint="eastAsia"/>
                <w:b w:val="0"/>
                <w:bCs w:val="0"/>
                <w:color w:val="auto"/>
              </w:rPr>
              <w:t>兼容 3 个及以上厂商的数据库产品。</w:t>
            </w:r>
          </w:p>
        </w:tc>
      </w:tr>
      <w:tr w14:paraId="08A7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873DE33">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61DD3C7A">
            <w:pPr>
              <w:spacing w:line="360" w:lineRule="auto"/>
              <w:rPr>
                <w:b w:val="0"/>
                <w:bCs w:val="0"/>
                <w:color w:val="auto"/>
              </w:rPr>
            </w:pPr>
            <w:r>
              <w:rPr>
                <w:rFonts w:hint="eastAsia"/>
                <w:b w:val="0"/>
                <w:bCs w:val="0"/>
                <w:color w:val="auto"/>
              </w:rPr>
              <w:t>中间件兼容</w:t>
            </w:r>
          </w:p>
        </w:tc>
        <w:tc>
          <w:tcPr>
            <w:tcW w:w="3178" w:type="pct"/>
            <w:shd w:val="clear" w:color="auto" w:fill="FFFFFF" w:themeFill="background1"/>
            <w:vAlign w:val="center"/>
          </w:tcPr>
          <w:p w14:paraId="7F660A54">
            <w:pPr>
              <w:spacing w:line="360" w:lineRule="auto"/>
              <w:rPr>
                <w:b w:val="0"/>
                <w:bCs w:val="0"/>
                <w:color w:val="auto"/>
              </w:rPr>
            </w:pPr>
            <w:r>
              <w:rPr>
                <w:rFonts w:hint="eastAsia"/>
                <w:b w:val="0"/>
                <w:bCs w:val="0"/>
                <w:color w:val="auto"/>
              </w:rPr>
              <w:t>兼容 3 个及以上厂商的中间件产品。</w:t>
            </w:r>
          </w:p>
        </w:tc>
      </w:tr>
      <w:tr w14:paraId="48AF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1E1CC4EF">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51BB6A5">
            <w:pPr>
              <w:spacing w:line="360" w:lineRule="auto"/>
              <w:rPr>
                <w:b w:val="0"/>
                <w:bCs w:val="0"/>
                <w:color w:val="auto"/>
              </w:rPr>
            </w:pPr>
            <w:r>
              <w:rPr>
                <w:rFonts w:hint="eastAsia"/>
                <w:b w:val="0"/>
                <w:bCs w:val="0"/>
                <w:color w:val="auto"/>
              </w:rPr>
              <w:t>平台软件兼容</w:t>
            </w:r>
          </w:p>
        </w:tc>
        <w:tc>
          <w:tcPr>
            <w:tcW w:w="3178" w:type="pct"/>
            <w:shd w:val="clear" w:color="auto" w:fill="FFFFFF" w:themeFill="background1"/>
            <w:vAlign w:val="center"/>
          </w:tcPr>
          <w:p w14:paraId="133A8FEA">
            <w:pPr>
              <w:spacing w:line="360" w:lineRule="auto"/>
              <w:rPr>
                <w:b w:val="0"/>
                <w:bCs w:val="0"/>
                <w:color w:val="auto"/>
              </w:rPr>
            </w:pPr>
            <w:r>
              <w:rPr>
                <w:rFonts w:hint="eastAsia"/>
                <w:b w:val="0"/>
                <w:bCs w:val="0"/>
                <w:color w:val="auto"/>
              </w:rPr>
              <w:t>兼容 3 个及以上厂商的大数据平台。</w:t>
            </w:r>
          </w:p>
        </w:tc>
      </w:tr>
      <w:tr w14:paraId="0EA3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4C77B532">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265158DC">
            <w:pPr>
              <w:spacing w:line="360" w:lineRule="auto"/>
              <w:rPr>
                <w:b w:val="0"/>
                <w:bCs w:val="0"/>
                <w:color w:val="auto"/>
              </w:rPr>
            </w:pPr>
            <w:r>
              <w:rPr>
                <w:rFonts w:hint="eastAsia"/>
                <w:b w:val="0"/>
                <w:bCs w:val="0"/>
                <w:color w:val="auto"/>
              </w:rPr>
              <w:t>整机可靠性</w:t>
            </w:r>
          </w:p>
        </w:tc>
        <w:tc>
          <w:tcPr>
            <w:tcW w:w="3178" w:type="pct"/>
            <w:shd w:val="clear" w:color="auto" w:fill="FFFFFF" w:themeFill="background1"/>
            <w:vAlign w:val="center"/>
          </w:tcPr>
          <w:p w14:paraId="19CAA832">
            <w:pPr>
              <w:spacing w:line="360" w:lineRule="auto"/>
              <w:rPr>
                <w:b w:val="0"/>
                <w:bCs w:val="0"/>
                <w:color w:val="auto"/>
              </w:rPr>
            </w:pPr>
            <w:r>
              <w:rPr>
                <w:rFonts w:hint="eastAsia"/>
                <w:b w:val="0"/>
                <w:bCs w:val="0"/>
                <w:color w:val="auto"/>
              </w:rPr>
              <w:t>m1 值（MTBF 的不可接受值）不得低于 30000h。</w:t>
            </w:r>
          </w:p>
        </w:tc>
      </w:tr>
      <w:tr w14:paraId="1CD8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DB73AAB">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6EF02991">
            <w:pPr>
              <w:spacing w:line="360" w:lineRule="auto"/>
              <w:rPr>
                <w:b w:val="0"/>
                <w:bCs w:val="0"/>
                <w:color w:val="auto"/>
              </w:rPr>
            </w:pPr>
            <w:r>
              <w:rPr>
                <w:rFonts w:hint="eastAsia"/>
                <w:b w:val="0"/>
                <w:bCs w:val="0"/>
                <w:color w:val="auto"/>
              </w:rPr>
              <w:t>风扇可靠性</w:t>
            </w:r>
          </w:p>
        </w:tc>
        <w:tc>
          <w:tcPr>
            <w:tcW w:w="3178" w:type="pct"/>
            <w:shd w:val="clear" w:color="auto" w:fill="FFFFFF" w:themeFill="background1"/>
            <w:vAlign w:val="center"/>
          </w:tcPr>
          <w:p w14:paraId="0E779697">
            <w:pPr>
              <w:spacing w:line="360" w:lineRule="auto"/>
              <w:rPr>
                <w:b w:val="0"/>
                <w:bCs w:val="0"/>
                <w:color w:val="auto"/>
              </w:rPr>
            </w:pPr>
            <w:r>
              <w:rPr>
                <w:rFonts w:hint="eastAsia"/>
                <w:b w:val="0"/>
                <w:bCs w:val="0"/>
                <w:color w:val="auto"/>
              </w:rPr>
              <w:t>风扇寿命应不低于 40000h。</w:t>
            </w:r>
          </w:p>
        </w:tc>
      </w:tr>
      <w:tr w14:paraId="5C8A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6308FD7C">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3B2DB3BE">
            <w:pPr>
              <w:spacing w:line="360" w:lineRule="auto"/>
              <w:rPr>
                <w:b w:val="0"/>
                <w:bCs w:val="0"/>
                <w:color w:val="auto"/>
              </w:rPr>
            </w:pPr>
            <w:r>
              <w:rPr>
                <w:rFonts w:hint="eastAsia"/>
                <w:b w:val="0"/>
                <w:bCs w:val="0"/>
                <w:color w:val="auto"/>
              </w:rPr>
              <w:t>部件可靠性</w:t>
            </w:r>
          </w:p>
        </w:tc>
        <w:tc>
          <w:tcPr>
            <w:tcW w:w="3178" w:type="pct"/>
            <w:shd w:val="clear" w:color="auto" w:fill="FFFFFF" w:themeFill="background1"/>
            <w:vAlign w:val="center"/>
          </w:tcPr>
          <w:p w14:paraId="63555AD6">
            <w:pPr>
              <w:spacing w:line="360" w:lineRule="auto"/>
              <w:rPr>
                <w:b w:val="0"/>
                <w:bCs w:val="0"/>
                <w:color w:val="auto"/>
              </w:rPr>
            </w:pPr>
            <w:r>
              <w:rPr>
                <w:rFonts w:hint="eastAsia"/>
                <w:b w:val="0"/>
                <w:bCs w:val="0"/>
                <w:color w:val="auto"/>
              </w:rPr>
              <w:t>支持硬盘、电源、风扇热插拔(内置风扇除外)。</w:t>
            </w:r>
          </w:p>
        </w:tc>
      </w:tr>
      <w:tr w14:paraId="5FC5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4C405D89">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D13B78E">
            <w:pPr>
              <w:spacing w:line="360" w:lineRule="auto"/>
              <w:rPr>
                <w:b w:val="0"/>
                <w:bCs w:val="0"/>
                <w:color w:val="auto"/>
              </w:rPr>
            </w:pPr>
            <w:r>
              <w:rPr>
                <w:rFonts w:hint="eastAsia"/>
                <w:b w:val="0"/>
                <w:bCs w:val="0"/>
                <w:color w:val="auto"/>
              </w:rPr>
              <w:t>标志、包装 、运输和贮存</w:t>
            </w:r>
          </w:p>
        </w:tc>
        <w:tc>
          <w:tcPr>
            <w:tcW w:w="3178" w:type="pct"/>
            <w:shd w:val="clear" w:color="auto" w:fill="FFFFFF" w:themeFill="background1"/>
            <w:vAlign w:val="center"/>
          </w:tcPr>
          <w:p w14:paraId="487586EC">
            <w:pPr>
              <w:spacing w:line="360" w:lineRule="auto"/>
              <w:rPr>
                <w:b w:val="0"/>
                <w:bCs w:val="0"/>
                <w:color w:val="auto"/>
              </w:rPr>
            </w:pPr>
            <w:r>
              <w:rPr>
                <w:rFonts w:hint="eastAsia"/>
                <w:b w:val="0"/>
                <w:bCs w:val="0"/>
                <w:color w:val="auto"/>
              </w:rPr>
              <w:t>符合 GB/T 9813.3 和商品包装政府采购需求标准的相关规定。</w:t>
            </w:r>
          </w:p>
        </w:tc>
      </w:tr>
      <w:tr w14:paraId="258E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319A2BCF">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restart"/>
            <w:shd w:val="clear" w:color="auto" w:fill="FFFFFF" w:themeFill="background1"/>
            <w:vAlign w:val="center"/>
          </w:tcPr>
          <w:p w14:paraId="79F78788">
            <w:pPr>
              <w:spacing w:line="360" w:lineRule="auto"/>
              <w:rPr>
                <w:b w:val="0"/>
                <w:bCs w:val="0"/>
                <w:color w:val="auto"/>
              </w:rPr>
            </w:pPr>
            <w:r>
              <w:rPr>
                <w:rFonts w:hint="eastAsia"/>
                <w:b w:val="0"/>
                <w:bCs w:val="0"/>
                <w:color w:val="auto"/>
              </w:rPr>
              <w:t>服务响应</w:t>
            </w:r>
          </w:p>
        </w:tc>
        <w:tc>
          <w:tcPr>
            <w:tcW w:w="3178" w:type="pct"/>
            <w:shd w:val="clear" w:color="auto" w:fill="FFFFFF" w:themeFill="background1"/>
            <w:vAlign w:val="center"/>
          </w:tcPr>
          <w:p w14:paraId="28176BC9">
            <w:pPr>
              <w:spacing w:line="360" w:lineRule="auto"/>
              <w:rPr>
                <w:b w:val="0"/>
                <w:bCs w:val="0"/>
                <w:color w:val="auto"/>
              </w:rPr>
            </w:pPr>
            <w:r>
              <w:rPr>
                <w:rFonts w:hint="eastAsia"/>
                <w:b w:val="0"/>
                <w:bCs w:val="0"/>
                <w:color w:val="auto"/>
              </w:rPr>
              <w:t>提供电话、电子邮件、远程连接等多种形式服务。</w:t>
            </w:r>
          </w:p>
        </w:tc>
      </w:tr>
      <w:tr w14:paraId="0074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554D9E07">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1BC8C86B">
            <w:pPr>
              <w:spacing w:line="360" w:lineRule="auto"/>
              <w:rPr>
                <w:b w:val="0"/>
                <w:bCs w:val="0"/>
                <w:color w:val="auto"/>
              </w:rPr>
            </w:pPr>
          </w:p>
        </w:tc>
        <w:tc>
          <w:tcPr>
            <w:tcW w:w="3178" w:type="pct"/>
            <w:shd w:val="clear" w:color="auto" w:fill="FFFFFF" w:themeFill="background1"/>
            <w:vAlign w:val="center"/>
          </w:tcPr>
          <w:p w14:paraId="00BD7D14">
            <w:pPr>
              <w:spacing w:line="360" w:lineRule="auto"/>
              <w:rPr>
                <w:b w:val="0"/>
                <w:bCs w:val="0"/>
                <w:color w:val="auto"/>
              </w:rPr>
            </w:pPr>
            <w:r>
              <w:rPr>
                <w:rFonts w:hint="eastAsia"/>
                <w:b w:val="0"/>
                <w:bCs w:val="0"/>
                <w:color w:val="auto"/>
              </w:rPr>
              <w:t>提供同城 4h 、异地 12h 技术响应服务，2 个工作日解决问题，对于未能解决的问题和故障应提供可行的升级方案，并 提供周转设备。</w:t>
            </w:r>
          </w:p>
        </w:tc>
      </w:tr>
      <w:tr w14:paraId="5F78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2C304E42">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720027BF">
            <w:pPr>
              <w:spacing w:line="360" w:lineRule="auto"/>
              <w:rPr>
                <w:b w:val="0"/>
                <w:bCs w:val="0"/>
                <w:color w:val="auto"/>
              </w:rPr>
            </w:pPr>
          </w:p>
        </w:tc>
        <w:tc>
          <w:tcPr>
            <w:tcW w:w="3178" w:type="pct"/>
            <w:shd w:val="clear" w:color="auto" w:fill="FFFFFF" w:themeFill="background1"/>
            <w:vAlign w:val="center"/>
          </w:tcPr>
          <w:p w14:paraId="0B01CF3D">
            <w:pPr>
              <w:spacing w:line="360" w:lineRule="auto"/>
              <w:rPr>
                <w:b w:val="0"/>
                <w:bCs w:val="0"/>
                <w:color w:val="auto"/>
              </w:rPr>
            </w:pPr>
            <w:r>
              <w:rPr>
                <w:rFonts w:hint="eastAsia"/>
                <w:b w:val="0"/>
                <w:bCs w:val="0"/>
                <w:color w:val="auto"/>
              </w:rPr>
              <w:t>符合专业服务体系标准要求，提供原厂中文服务。</w:t>
            </w:r>
          </w:p>
        </w:tc>
      </w:tr>
      <w:tr w14:paraId="77D2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5B3A618F">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3CB2FF03">
            <w:pPr>
              <w:spacing w:line="360" w:lineRule="auto"/>
              <w:rPr>
                <w:b w:val="0"/>
                <w:bCs w:val="0"/>
                <w:color w:val="auto"/>
              </w:rPr>
            </w:pPr>
          </w:p>
        </w:tc>
        <w:tc>
          <w:tcPr>
            <w:tcW w:w="3178" w:type="pct"/>
            <w:shd w:val="clear" w:color="auto" w:fill="FFFFFF" w:themeFill="background1"/>
            <w:vAlign w:val="center"/>
          </w:tcPr>
          <w:p w14:paraId="39EDEE0E">
            <w:pPr>
              <w:spacing w:line="360" w:lineRule="auto"/>
              <w:rPr>
                <w:b w:val="0"/>
                <w:bCs w:val="0"/>
                <w:color w:val="auto"/>
              </w:rPr>
            </w:pPr>
            <w:r>
              <w:rPr>
                <w:rFonts w:hint="eastAsia"/>
                <w:b w:val="0"/>
                <w:bCs w:val="0"/>
                <w:color w:val="auto"/>
              </w:rPr>
              <w:t>服务周期内提供产品的维修、换件和升级服务。</w:t>
            </w:r>
          </w:p>
        </w:tc>
      </w:tr>
      <w:tr w14:paraId="2A9D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2A4DC082">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71FB062D">
            <w:pPr>
              <w:spacing w:line="360" w:lineRule="auto"/>
              <w:rPr>
                <w:b w:val="0"/>
                <w:bCs w:val="0"/>
                <w:color w:val="auto"/>
              </w:rPr>
            </w:pPr>
            <w:r>
              <w:rPr>
                <w:rFonts w:hint="eastAsia"/>
                <w:b w:val="0"/>
                <w:bCs w:val="0"/>
                <w:color w:val="auto"/>
              </w:rPr>
              <w:t>培训服务</w:t>
            </w:r>
          </w:p>
        </w:tc>
        <w:tc>
          <w:tcPr>
            <w:tcW w:w="3178" w:type="pct"/>
            <w:shd w:val="clear" w:color="auto" w:fill="FFFFFF" w:themeFill="background1"/>
            <w:vAlign w:val="center"/>
          </w:tcPr>
          <w:p w14:paraId="4628E9C7">
            <w:pPr>
              <w:spacing w:line="360" w:lineRule="auto"/>
              <w:rPr>
                <w:b w:val="0"/>
                <w:bCs w:val="0"/>
                <w:color w:val="auto"/>
              </w:rPr>
            </w:pPr>
            <w:r>
              <w:rPr>
                <w:rFonts w:hint="eastAsia"/>
                <w:b w:val="0"/>
                <w:bCs w:val="0"/>
                <w:color w:val="auto"/>
              </w:rPr>
              <w:t>供应商提供培训材料、产品手册、培训视频等培训相关内容。</w:t>
            </w:r>
          </w:p>
        </w:tc>
      </w:tr>
      <w:tr w14:paraId="7D07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1E2FB642">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restart"/>
            <w:shd w:val="clear" w:color="auto" w:fill="FFFFFF" w:themeFill="background1"/>
            <w:vAlign w:val="center"/>
          </w:tcPr>
          <w:p w14:paraId="47F76ADA">
            <w:pPr>
              <w:spacing w:line="360" w:lineRule="auto"/>
              <w:rPr>
                <w:b w:val="0"/>
                <w:bCs w:val="0"/>
                <w:color w:val="auto"/>
              </w:rPr>
            </w:pPr>
            <w:r>
              <w:rPr>
                <w:rFonts w:hint="eastAsia"/>
                <w:b w:val="0"/>
                <w:bCs w:val="0"/>
                <w:color w:val="auto"/>
              </w:rPr>
              <w:t>服务周期</w:t>
            </w:r>
          </w:p>
        </w:tc>
        <w:tc>
          <w:tcPr>
            <w:tcW w:w="3178" w:type="pct"/>
            <w:shd w:val="clear" w:color="auto" w:fill="FFFFFF" w:themeFill="background1"/>
            <w:vAlign w:val="center"/>
          </w:tcPr>
          <w:p w14:paraId="79CB083B">
            <w:pPr>
              <w:spacing w:line="360" w:lineRule="auto"/>
              <w:rPr>
                <w:b w:val="0"/>
                <w:bCs w:val="0"/>
                <w:color w:val="auto"/>
              </w:rPr>
            </w:pPr>
            <w:r>
              <w:rPr>
                <w:rFonts w:hint="eastAsia"/>
                <w:b w:val="0"/>
                <w:bCs w:val="0"/>
                <w:color w:val="auto"/>
              </w:rPr>
              <w:t>提供原厂商首次安装服务和≥3年7*24小时产品免费服务周期（含换件和维修）。</w:t>
            </w:r>
          </w:p>
        </w:tc>
      </w:tr>
      <w:tr w14:paraId="3D44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060C383C">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41D36A18">
            <w:pPr>
              <w:spacing w:line="360" w:lineRule="auto"/>
              <w:rPr>
                <w:b w:val="0"/>
                <w:bCs w:val="0"/>
                <w:color w:val="auto"/>
              </w:rPr>
            </w:pPr>
          </w:p>
        </w:tc>
        <w:tc>
          <w:tcPr>
            <w:tcW w:w="3178" w:type="pct"/>
            <w:shd w:val="clear" w:color="auto" w:fill="FFFFFF" w:themeFill="background1"/>
            <w:vAlign w:val="center"/>
          </w:tcPr>
          <w:p w14:paraId="669A01D1">
            <w:pPr>
              <w:spacing w:line="360" w:lineRule="auto"/>
              <w:rPr>
                <w:b w:val="0"/>
                <w:bCs w:val="0"/>
                <w:color w:val="auto"/>
              </w:rPr>
            </w:pPr>
            <w:r>
              <w:rPr>
                <w:rFonts w:hint="eastAsia"/>
                <w:b w:val="0"/>
                <w:bCs w:val="0"/>
                <w:color w:val="auto"/>
              </w:rPr>
              <w:t>产品停止服务时间应提前 1 年告知客户。</w:t>
            </w:r>
          </w:p>
        </w:tc>
      </w:tr>
      <w:tr w14:paraId="0062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389BA3AE">
            <w:pPr>
              <w:pStyle w:val="17"/>
              <w:numPr>
                <w:ilvl w:val="0"/>
                <w:numId w:val="5"/>
              </w:numPr>
              <w:spacing w:line="360" w:lineRule="auto"/>
              <w:ind w:firstLineChars="0"/>
              <w:jc w:val="center"/>
              <w:rPr>
                <w:rFonts w:ascii="宋体" w:hAnsi="宋体" w:eastAsia="宋体"/>
                <w:b w:val="0"/>
                <w:bCs w:val="0"/>
                <w:color w:val="auto"/>
              </w:rPr>
            </w:pPr>
          </w:p>
        </w:tc>
        <w:tc>
          <w:tcPr>
            <w:tcW w:w="1259" w:type="pct"/>
            <w:vMerge w:val="continue"/>
            <w:shd w:val="clear" w:color="auto" w:fill="FFFFFF" w:themeFill="background1"/>
            <w:vAlign w:val="center"/>
          </w:tcPr>
          <w:p w14:paraId="2BDF2E49">
            <w:pPr>
              <w:spacing w:line="360" w:lineRule="auto"/>
              <w:rPr>
                <w:b w:val="0"/>
                <w:bCs w:val="0"/>
                <w:color w:val="auto"/>
              </w:rPr>
            </w:pPr>
          </w:p>
        </w:tc>
        <w:tc>
          <w:tcPr>
            <w:tcW w:w="3178" w:type="pct"/>
            <w:shd w:val="clear" w:color="auto" w:fill="FFFFFF" w:themeFill="background1"/>
            <w:vAlign w:val="center"/>
          </w:tcPr>
          <w:p w14:paraId="2BFF68C2">
            <w:pPr>
              <w:spacing w:line="360" w:lineRule="auto"/>
              <w:rPr>
                <w:b w:val="0"/>
                <w:bCs w:val="0"/>
                <w:color w:val="auto"/>
              </w:rPr>
            </w:pPr>
            <w:r>
              <w:rPr>
                <w:rFonts w:hint="eastAsia"/>
                <w:b w:val="0"/>
                <w:bCs w:val="0"/>
                <w:color w:val="auto"/>
              </w:rPr>
              <w:t>产品发布日期需在随机文件中明确。</w:t>
            </w:r>
          </w:p>
        </w:tc>
      </w:tr>
      <w:tr w14:paraId="4204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3227E3B8">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5B5FED87">
            <w:pPr>
              <w:spacing w:line="360" w:lineRule="auto"/>
              <w:rPr>
                <w:b w:val="0"/>
                <w:bCs w:val="0"/>
                <w:color w:val="auto"/>
              </w:rPr>
            </w:pPr>
            <w:r>
              <w:rPr>
                <w:rFonts w:hint="eastAsia"/>
                <w:b w:val="0"/>
                <w:bCs w:val="0"/>
                <w:color w:val="auto"/>
              </w:rPr>
              <w:t>工具要求</w:t>
            </w:r>
          </w:p>
        </w:tc>
        <w:tc>
          <w:tcPr>
            <w:tcW w:w="3178" w:type="pct"/>
            <w:shd w:val="clear" w:color="auto" w:fill="FFFFFF" w:themeFill="background1"/>
            <w:vAlign w:val="center"/>
          </w:tcPr>
          <w:p w14:paraId="0A282AF7">
            <w:pPr>
              <w:spacing w:line="360" w:lineRule="auto"/>
              <w:rPr>
                <w:b w:val="0"/>
                <w:bCs w:val="0"/>
                <w:color w:val="auto"/>
              </w:rPr>
            </w:pPr>
            <w:r>
              <w:rPr>
                <w:rFonts w:hint="eastAsia"/>
                <w:b w:val="0"/>
                <w:bCs w:val="0"/>
                <w:color w:val="auto"/>
              </w:rPr>
              <w:t>供应商提供设置服务器硬件、辅助操作系统安装等功能的辅助工具和管理软件。且随附软件应具有合法授权或版权。</w:t>
            </w:r>
          </w:p>
        </w:tc>
      </w:tr>
      <w:tr w14:paraId="5048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29A123EE">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5574791B">
            <w:pPr>
              <w:spacing w:line="360" w:lineRule="auto"/>
              <w:rPr>
                <w:b w:val="0"/>
                <w:bCs w:val="0"/>
                <w:color w:val="auto"/>
              </w:rPr>
            </w:pPr>
            <w:r>
              <w:rPr>
                <w:rFonts w:hint="eastAsia"/>
                <w:b w:val="0"/>
                <w:bCs w:val="0"/>
                <w:color w:val="auto"/>
              </w:rPr>
              <w:t>驱动按照升级指引</w:t>
            </w:r>
          </w:p>
        </w:tc>
        <w:tc>
          <w:tcPr>
            <w:tcW w:w="3178" w:type="pct"/>
            <w:shd w:val="clear" w:color="auto" w:fill="FFFFFF" w:themeFill="background1"/>
            <w:vAlign w:val="center"/>
          </w:tcPr>
          <w:p w14:paraId="7056E2D0">
            <w:pPr>
              <w:spacing w:line="360" w:lineRule="auto"/>
              <w:rPr>
                <w:b w:val="0"/>
                <w:bCs w:val="0"/>
                <w:color w:val="auto"/>
              </w:rPr>
            </w:pPr>
            <w:r>
              <w:rPr>
                <w:rFonts w:hint="eastAsia"/>
                <w:b w:val="0"/>
                <w:bCs w:val="0"/>
                <w:color w:val="auto"/>
              </w:rPr>
              <w:t>供应商提供出厂安装的配件所需的驱动程序，形式包括但不限于驱动光盘、驱动下载链接等。其他配件应提供指引。</w:t>
            </w:r>
          </w:p>
        </w:tc>
      </w:tr>
      <w:tr w14:paraId="4001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6F225361">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90436D0">
            <w:pPr>
              <w:spacing w:line="360" w:lineRule="auto"/>
              <w:rPr>
                <w:b w:val="0"/>
                <w:bCs w:val="0"/>
                <w:color w:val="auto"/>
              </w:rPr>
            </w:pPr>
            <w:r>
              <w:rPr>
                <w:rFonts w:hint="eastAsia"/>
                <w:b w:val="0"/>
                <w:bCs w:val="0"/>
                <w:color w:val="auto"/>
              </w:rPr>
              <w:t>管理软件</w:t>
            </w:r>
          </w:p>
        </w:tc>
        <w:tc>
          <w:tcPr>
            <w:tcW w:w="3178" w:type="pct"/>
            <w:shd w:val="clear" w:color="auto" w:fill="FFFFFF" w:themeFill="background1"/>
            <w:vAlign w:val="center"/>
          </w:tcPr>
          <w:p w14:paraId="41B7B755">
            <w:pPr>
              <w:spacing w:line="360" w:lineRule="auto"/>
              <w:rPr>
                <w:b w:val="0"/>
                <w:bCs w:val="0"/>
                <w:color w:val="auto"/>
              </w:rPr>
            </w:pPr>
            <w:r>
              <w:rPr>
                <w:rFonts w:hint="eastAsia"/>
                <w:b w:val="0"/>
                <w:bCs w:val="0"/>
                <w:color w:val="auto"/>
              </w:rPr>
              <w:t>具备资源管理、系统管理、性能监控、健康监控、基于网络控制、报警设置功能。</w:t>
            </w:r>
          </w:p>
        </w:tc>
      </w:tr>
      <w:tr w14:paraId="01A1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0FAEDC3C">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59C3A8D">
            <w:pPr>
              <w:spacing w:line="360" w:lineRule="auto"/>
              <w:rPr>
                <w:b w:val="0"/>
                <w:bCs w:val="0"/>
                <w:color w:val="auto"/>
              </w:rPr>
            </w:pPr>
            <w:r>
              <w:rPr>
                <w:rFonts w:hint="eastAsia"/>
                <w:b w:val="0"/>
                <w:bCs w:val="0"/>
                <w:color w:val="auto"/>
              </w:rPr>
              <w:t>厂家升级产品软件与扩容服务</w:t>
            </w:r>
          </w:p>
        </w:tc>
        <w:tc>
          <w:tcPr>
            <w:tcW w:w="3178" w:type="pct"/>
            <w:shd w:val="clear" w:color="auto" w:fill="FFFFFF" w:themeFill="background1"/>
            <w:vAlign w:val="center"/>
          </w:tcPr>
          <w:p w14:paraId="557EEEF1">
            <w:pPr>
              <w:spacing w:line="360" w:lineRule="auto"/>
              <w:rPr>
                <w:b w:val="0"/>
                <w:bCs w:val="0"/>
                <w:color w:val="auto"/>
              </w:rPr>
            </w:pPr>
            <w:r>
              <w:rPr>
                <w:rFonts w:hint="eastAsia"/>
                <w:b w:val="0"/>
                <w:bCs w:val="0"/>
                <w:color w:val="auto"/>
              </w:rPr>
              <w:t>供应商提供原厂级的部件/软件产品升级和扩容能力。</w:t>
            </w:r>
          </w:p>
        </w:tc>
      </w:tr>
      <w:tr w14:paraId="1396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pct"/>
            <w:shd w:val="clear" w:color="auto" w:fill="FFFFFF" w:themeFill="background1"/>
            <w:vAlign w:val="center"/>
          </w:tcPr>
          <w:p w14:paraId="3A1D13C3">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1A370B68">
            <w:pPr>
              <w:spacing w:line="360" w:lineRule="auto"/>
              <w:rPr>
                <w:b w:val="0"/>
                <w:bCs w:val="0"/>
                <w:color w:val="auto"/>
              </w:rPr>
            </w:pPr>
            <w:r>
              <w:rPr>
                <w:rFonts w:hint="eastAsia"/>
                <w:b w:val="0"/>
                <w:bCs w:val="0"/>
                <w:color w:val="auto"/>
              </w:rPr>
              <w:t>提供上门服务</w:t>
            </w:r>
          </w:p>
        </w:tc>
        <w:tc>
          <w:tcPr>
            <w:tcW w:w="3178" w:type="pct"/>
            <w:shd w:val="clear" w:color="auto" w:fill="FFFFFF" w:themeFill="background1"/>
            <w:vAlign w:val="center"/>
          </w:tcPr>
          <w:p w14:paraId="4CBD41ED">
            <w:pPr>
              <w:spacing w:line="360" w:lineRule="auto"/>
              <w:rPr>
                <w:b w:val="0"/>
                <w:bCs w:val="0"/>
                <w:color w:val="auto"/>
              </w:rPr>
            </w:pPr>
            <w:r>
              <w:rPr>
                <w:rFonts w:hint="eastAsia"/>
                <w:b w:val="0"/>
                <w:bCs w:val="0"/>
                <w:color w:val="auto"/>
              </w:rPr>
              <w:t>供应商具备提供上门服务的能力(可收费)。</w:t>
            </w:r>
          </w:p>
        </w:tc>
      </w:tr>
      <w:tr w14:paraId="2469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7BD406F1">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060A2BB2">
            <w:pPr>
              <w:spacing w:line="360" w:lineRule="auto"/>
              <w:rPr>
                <w:b w:val="0"/>
                <w:bCs w:val="0"/>
                <w:color w:val="auto"/>
              </w:rPr>
            </w:pPr>
            <w:r>
              <w:rPr>
                <w:rFonts w:hint="eastAsia"/>
                <w:b w:val="0"/>
                <w:bCs w:val="0"/>
                <w:color w:val="auto"/>
              </w:rPr>
              <w:t>抗干扰性</w:t>
            </w:r>
          </w:p>
        </w:tc>
        <w:tc>
          <w:tcPr>
            <w:tcW w:w="3178" w:type="pct"/>
            <w:shd w:val="clear" w:color="auto" w:fill="FFFFFF" w:themeFill="background1"/>
            <w:vAlign w:val="center"/>
          </w:tcPr>
          <w:p w14:paraId="4F3AF8D8">
            <w:pPr>
              <w:spacing w:line="360" w:lineRule="auto"/>
              <w:rPr>
                <w:b w:val="0"/>
                <w:bCs w:val="0"/>
                <w:color w:val="auto"/>
              </w:rPr>
            </w:pPr>
            <w:r>
              <w:rPr>
                <w:rFonts w:hint="eastAsia"/>
                <w:b w:val="0"/>
                <w:bCs w:val="0"/>
                <w:color w:val="auto"/>
              </w:rPr>
              <w:t>当产品部件出现供应风险时，应通知客户并提供风险应对方案确保产品的服务保障，必要时应停止相关受影响产品的销售。</w:t>
            </w:r>
          </w:p>
        </w:tc>
      </w:tr>
      <w:tr w14:paraId="5742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2" w:type="pct"/>
            <w:shd w:val="clear" w:color="auto" w:fill="FFFFFF" w:themeFill="background1"/>
            <w:vAlign w:val="center"/>
          </w:tcPr>
          <w:p w14:paraId="01476786">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5F4A0645">
            <w:pPr>
              <w:spacing w:line="360" w:lineRule="auto"/>
              <w:rPr>
                <w:b w:val="0"/>
                <w:bCs w:val="0"/>
                <w:color w:val="auto"/>
              </w:rPr>
            </w:pPr>
            <w:r>
              <w:rPr>
                <w:rFonts w:hint="eastAsia"/>
                <w:b w:val="0"/>
                <w:bCs w:val="0"/>
                <w:color w:val="auto"/>
              </w:rPr>
              <w:t>供应能力证明</w:t>
            </w:r>
          </w:p>
        </w:tc>
        <w:tc>
          <w:tcPr>
            <w:tcW w:w="3178" w:type="pct"/>
            <w:shd w:val="clear" w:color="auto" w:fill="FFFFFF" w:themeFill="background1"/>
            <w:vAlign w:val="center"/>
          </w:tcPr>
          <w:p w14:paraId="35DF6C18">
            <w:pPr>
              <w:spacing w:line="360" w:lineRule="auto"/>
              <w:rPr>
                <w:b w:val="0"/>
                <w:bCs w:val="0"/>
                <w:color w:val="auto"/>
              </w:rPr>
            </w:pPr>
            <w:r>
              <w:rPr>
                <w:rFonts w:hint="eastAsia"/>
                <w:b w:val="0"/>
                <w:bCs w:val="0"/>
                <w:color w:val="auto"/>
              </w:rPr>
              <w:t>供应商提供供应链稳定承诺书，确保产品的部件在产品服务周期内稳定供货。</w:t>
            </w:r>
          </w:p>
        </w:tc>
      </w:tr>
      <w:tr w14:paraId="76D7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2" w:type="pct"/>
            <w:shd w:val="clear" w:color="auto" w:fill="FFFFFF" w:themeFill="background1"/>
            <w:vAlign w:val="center"/>
          </w:tcPr>
          <w:p w14:paraId="64397D8A">
            <w:pPr>
              <w:pStyle w:val="17"/>
              <w:numPr>
                <w:ilvl w:val="0"/>
                <w:numId w:val="5"/>
              </w:numPr>
              <w:spacing w:line="360" w:lineRule="auto"/>
              <w:ind w:firstLineChars="0"/>
              <w:jc w:val="center"/>
              <w:rPr>
                <w:rFonts w:ascii="宋体" w:hAnsi="宋体" w:eastAsia="宋体"/>
                <w:b w:val="0"/>
                <w:bCs w:val="0"/>
                <w:color w:val="auto"/>
              </w:rPr>
            </w:pPr>
          </w:p>
        </w:tc>
        <w:tc>
          <w:tcPr>
            <w:tcW w:w="1259" w:type="pct"/>
            <w:shd w:val="clear" w:color="auto" w:fill="FFFFFF" w:themeFill="background1"/>
            <w:vAlign w:val="center"/>
          </w:tcPr>
          <w:p w14:paraId="435E79D2">
            <w:pPr>
              <w:spacing w:line="360" w:lineRule="auto"/>
              <w:rPr>
                <w:b w:val="0"/>
                <w:bCs w:val="0"/>
                <w:color w:val="auto"/>
              </w:rPr>
            </w:pPr>
            <w:r>
              <w:rPr>
                <w:rFonts w:hint="eastAsia"/>
                <w:b w:val="0"/>
                <w:bCs w:val="0"/>
                <w:color w:val="auto"/>
              </w:rPr>
              <w:t>供应保障</w:t>
            </w:r>
          </w:p>
        </w:tc>
        <w:tc>
          <w:tcPr>
            <w:tcW w:w="3178" w:type="pct"/>
            <w:shd w:val="clear" w:color="auto" w:fill="FFFFFF" w:themeFill="background1"/>
            <w:vAlign w:val="center"/>
          </w:tcPr>
          <w:p w14:paraId="1A74330D">
            <w:pPr>
              <w:spacing w:line="360" w:lineRule="auto"/>
              <w:rPr>
                <w:b w:val="0"/>
                <w:bCs w:val="0"/>
                <w:color w:val="auto"/>
              </w:rPr>
            </w:pPr>
            <w:r>
              <w:rPr>
                <w:rFonts w:hint="eastAsia"/>
                <w:b w:val="0"/>
                <w:bCs w:val="0"/>
                <w:color w:val="auto"/>
              </w:rPr>
              <w:t>提供ARM服务器主板供应商针对本次采购项目出具的供应保障函，内容须明确保障本次采购的 ARM 服务器主板供应，需提供供应保障函并加盖主板供应商章。</w:t>
            </w:r>
          </w:p>
        </w:tc>
      </w:tr>
    </w:tbl>
    <w:p w14:paraId="69B89B96">
      <w:pPr>
        <w:rPr>
          <w:color w:val="auto"/>
        </w:rPr>
      </w:pPr>
    </w:p>
    <w:p w14:paraId="699A58D1">
      <w:pPr>
        <w:pStyle w:val="3"/>
        <w:bidi w:val="0"/>
        <w:rPr>
          <w:color w:val="auto"/>
        </w:rPr>
      </w:pPr>
      <w:r>
        <w:rPr>
          <w:rFonts w:hint="eastAsia"/>
          <w:color w:val="auto"/>
        </w:rPr>
        <w:t>4.</w:t>
      </w:r>
      <w:r>
        <w:rPr>
          <w:rFonts w:hint="eastAsia"/>
          <w:color w:val="auto"/>
          <w:lang w:val="en-US" w:eastAsia="zh-CN"/>
        </w:rPr>
        <w:t>4</w:t>
      </w:r>
      <w:r>
        <w:rPr>
          <w:rFonts w:hint="eastAsia"/>
          <w:color w:val="auto"/>
        </w:rPr>
        <w:t xml:space="preserve"> 系统部署服务要求</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2147"/>
        <w:gridCol w:w="5414"/>
      </w:tblGrid>
      <w:tr w14:paraId="2CF7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3" w:type="pct"/>
            <w:shd w:val="clear" w:color="auto" w:fill="FFFFFF" w:themeFill="background1"/>
            <w:noWrap/>
            <w:vAlign w:val="center"/>
          </w:tcPr>
          <w:p w14:paraId="614E3C57">
            <w:pPr>
              <w:spacing w:line="360" w:lineRule="auto"/>
              <w:jc w:val="center"/>
              <w:rPr>
                <w:b w:val="0"/>
                <w:bCs w:val="0"/>
                <w:color w:val="auto"/>
              </w:rPr>
            </w:pPr>
            <w:r>
              <w:rPr>
                <w:rFonts w:hint="eastAsia"/>
                <w:b w:val="0"/>
                <w:bCs w:val="0"/>
                <w:color w:val="auto"/>
              </w:rPr>
              <w:t>序号</w:t>
            </w:r>
          </w:p>
        </w:tc>
        <w:tc>
          <w:tcPr>
            <w:tcW w:w="1259" w:type="pct"/>
            <w:shd w:val="clear" w:color="auto" w:fill="FFFFFF" w:themeFill="background1"/>
            <w:noWrap/>
            <w:vAlign w:val="center"/>
          </w:tcPr>
          <w:p w14:paraId="116DBD76">
            <w:pPr>
              <w:spacing w:line="360" w:lineRule="auto"/>
              <w:jc w:val="center"/>
              <w:rPr>
                <w:b w:val="0"/>
                <w:bCs w:val="0"/>
                <w:color w:val="auto"/>
              </w:rPr>
            </w:pPr>
            <w:r>
              <w:rPr>
                <w:rFonts w:hint="eastAsia"/>
                <w:b w:val="0"/>
                <w:bCs w:val="0"/>
                <w:color w:val="auto"/>
              </w:rPr>
              <w:t>指标项</w:t>
            </w:r>
          </w:p>
        </w:tc>
        <w:tc>
          <w:tcPr>
            <w:tcW w:w="3176" w:type="pct"/>
            <w:shd w:val="clear" w:color="auto" w:fill="FFFFFF" w:themeFill="background1"/>
            <w:noWrap/>
            <w:vAlign w:val="center"/>
          </w:tcPr>
          <w:p w14:paraId="3A0A01E7">
            <w:pPr>
              <w:spacing w:line="360" w:lineRule="auto"/>
              <w:jc w:val="center"/>
              <w:rPr>
                <w:b w:val="0"/>
                <w:bCs w:val="0"/>
                <w:color w:val="auto"/>
              </w:rPr>
            </w:pPr>
            <w:r>
              <w:rPr>
                <w:rFonts w:hint="eastAsia"/>
                <w:b w:val="0"/>
                <w:bCs w:val="0"/>
                <w:color w:val="auto"/>
              </w:rPr>
              <w:t>指标要求</w:t>
            </w:r>
          </w:p>
        </w:tc>
      </w:tr>
      <w:tr w14:paraId="088C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63" w:type="pct"/>
            <w:shd w:val="clear" w:color="auto" w:fill="FFFFFF" w:themeFill="background1"/>
            <w:noWrap/>
            <w:vAlign w:val="center"/>
          </w:tcPr>
          <w:p w14:paraId="3A174EBF">
            <w:pPr>
              <w:spacing w:line="360" w:lineRule="auto"/>
              <w:rPr>
                <w:b w:val="0"/>
                <w:bCs w:val="0"/>
                <w:color w:val="auto"/>
              </w:rPr>
            </w:pPr>
            <w:r>
              <w:rPr>
                <w:rFonts w:hint="eastAsia"/>
                <w:b w:val="0"/>
                <w:bCs w:val="0"/>
                <w:color w:val="auto"/>
              </w:rPr>
              <w:t>1</w:t>
            </w:r>
          </w:p>
        </w:tc>
        <w:tc>
          <w:tcPr>
            <w:tcW w:w="1259" w:type="pct"/>
            <w:shd w:val="clear" w:color="auto" w:fill="FFFFFF" w:themeFill="background1"/>
            <w:noWrap/>
            <w:vAlign w:val="center"/>
          </w:tcPr>
          <w:p w14:paraId="2B34BAC6">
            <w:pPr>
              <w:spacing w:line="360" w:lineRule="auto"/>
              <w:rPr>
                <w:rFonts w:hint="default" w:eastAsia="宋体"/>
                <w:b w:val="0"/>
                <w:bCs w:val="0"/>
                <w:color w:val="auto"/>
                <w:lang w:val="en-US" w:eastAsia="zh-CN"/>
              </w:rPr>
            </w:pPr>
            <w:r>
              <w:rPr>
                <w:rFonts w:hint="eastAsia"/>
                <w:b w:val="0"/>
                <w:bCs w:val="0"/>
                <w:color w:val="auto"/>
                <w:lang w:val="en-US" w:eastAsia="zh-CN"/>
              </w:rPr>
              <w:t>超融合实施部署服务</w:t>
            </w:r>
          </w:p>
        </w:tc>
        <w:tc>
          <w:tcPr>
            <w:tcW w:w="3176" w:type="pct"/>
            <w:shd w:val="clear" w:color="auto" w:fill="FFFFFF" w:themeFill="background1"/>
            <w:vAlign w:val="center"/>
          </w:tcPr>
          <w:p w14:paraId="22C0B168">
            <w:pPr>
              <w:spacing w:line="360" w:lineRule="auto"/>
              <w:rPr>
                <w:rFonts w:hint="eastAsia"/>
                <w:b w:val="0"/>
                <w:bCs w:val="0"/>
                <w:color w:val="auto"/>
                <w:szCs w:val="21"/>
              </w:rPr>
            </w:pPr>
            <w:r>
              <w:rPr>
                <w:rFonts w:hint="eastAsia"/>
                <w:b w:val="0"/>
                <w:bCs w:val="0"/>
                <w:color w:val="auto"/>
                <w:szCs w:val="21"/>
                <w:lang w:val="en-US" w:eastAsia="zh-CN"/>
              </w:rPr>
              <w:t>1、</w:t>
            </w:r>
            <w:r>
              <w:rPr>
                <w:rFonts w:hint="eastAsia"/>
                <w:b w:val="0"/>
                <w:bCs w:val="0"/>
                <w:color w:val="auto"/>
                <w:szCs w:val="21"/>
              </w:rPr>
              <w:t>根据采购人需求制定详细的部署实施方案，完成所有超融合服务器的上架、布线、固件升级及BIOS（含虚拟化、性能优化等）、RAID（系统盘RAID 1，数据盘直通/JBOD）配置</w:t>
            </w:r>
            <w:r>
              <w:rPr>
                <w:rFonts w:hint="eastAsia"/>
                <w:b w:val="0"/>
                <w:bCs w:val="0"/>
                <w:color w:val="auto"/>
                <w:szCs w:val="21"/>
                <w:lang w:eastAsia="zh-CN"/>
              </w:rPr>
              <w:t>、</w:t>
            </w:r>
            <w:r>
              <w:rPr>
                <w:rFonts w:hint="eastAsia"/>
                <w:b w:val="0"/>
                <w:bCs w:val="0"/>
                <w:color w:val="auto"/>
                <w:szCs w:val="21"/>
                <w:lang w:val="en-US" w:eastAsia="zh-CN"/>
              </w:rPr>
              <w:t>网络配置</w:t>
            </w:r>
            <w:r>
              <w:rPr>
                <w:rFonts w:hint="eastAsia"/>
                <w:b w:val="0"/>
                <w:bCs w:val="0"/>
                <w:color w:val="auto"/>
                <w:szCs w:val="21"/>
              </w:rPr>
              <w:t>；</w:t>
            </w:r>
          </w:p>
          <w:p w14:paraId="2EEF5DB6">
            <w:pPr>
              <w:spacing w:line="360" w:lineRule="auto"/>
              <w:rPr>
                <w:rFonts w:hint="eastAsia"/>
                <w:b w:val="0"/>
                <w:bCs w:val="0"/>
                <w:color w:val="auto"/>
                <w:szCs w:val="21"/>
              </w:rPr>
            </w:pPr>
            <w:r>
              <w:rPr>
                <w:rFonts w:hint="eastAsia"/>
                <w:b w:val="0"/>
                <w:bCs w:val="0"/>
                <w:color w:val="auto"/>
                <w:szCs w:val="21"/>
                <w:lang w:val="en-US" w:eastAsia="zh-CN"/>
              </w:rPr>
              <w:t>2、</w:t>
            </w:r>
            <w:r>
              <w:rPr>
                <w:rFonts w:hint="eastAsia"/>
                <w:b w:val="0"/>
                <w:bCs w:val="0"/>
                <w:color w:val="auto"/>
                <w:szCs w:val="21"/>
              </w:rPr>
              <w:t>安装并激活超融合软件及全部授权（不少于12个CPU高级许可和6套国产操作系统授权），构建统一管理集群，完成网络虚拟化（管理/业务/存储/带外网络隔离、分布式交换机、防火墙、端口镜像）、存储虚拟化（统一存储池、多副本策略）及高可用等核心功能配置；</w:t>
            </w:r>
          </w:p>
          <w:p w14:paraId="62D346D9">
            <w:pPr>
              <w:spacing w:line="360" w:lineRule="auto"/>
              <w:rPr>
                <w:rFonts w:hint="eastAsia"/>
                <w:b w:val="0"/>
                <w:bCs w:val="0"/>
                <w:color w:val="auto"/>
                <w:szCs w:val="21"/>
                <w:lang w:eastAsia="zh-CN"/>
              </w:rPr>
            </w:pPr>
            <w:r>
              <w:rPr>
                <w:rFonts w:hint="eastAsia"/>
                <w:b w:val="0"/>
                <w:bCs w:val="0"/>
                <w:color w:val="auto"/>
                <w:szCs w:val="21"/>
                <w:lang w:val="en-US" w:eastAsia="zh-CN"/>
              </w:rPr>
              <w:t>3、</w:t>
            </w:r>
            <w:r>
              <w:rPr>
                <w:rFonts w:hint="eastAsia"/>
                <w:b w:val="0"/>
                <w:bCs w:val="0"/>
                <w:color w:val="auto"/>
                <w:szCs w:val="21"/>
              </w:rPr>
              <w:t>提供完整的系统集成测试（含功能、性能、可靠性破坏性测试）与验收服务，并在验收时交付实施方案、配置手册、测试报告等全部技术文档</w:t>
            </w:r>
            <w:r>
              <w:rPr>
                <w:rFonts w:hint="eastAsia"/>
                <w:b w:val="0"/>
                <w:bCs w:val="0"/>
                <w:color w:val="auto"/>
                <w:szCs w:val="21"/>
                <w:lang w:eastAsia="zh-CN"/>
              </w:rPr>
              <w:t>。</w:t>
            </w:r>
          </w:p>
          <w:p w14:paraId="5119A176">
            <w:pPr>
              <w:spacing w:line="360" w:lineRule="auto"/>
              <w:rPr>
                <w:rFonts w:hint="eastAsia"/>
                <w:b w:val="0"/>
                <w:bCs w:val="0"/>
                <w:color w:val="auto"/>
                <w:szCs w:val="21"/>
              </w:rPr>
            </w:pPr>
            <w:r>
              <w:rPr>
                <w:rFonts w:hint="eastAsia"/>
                <w:b w:val="0"/>
                <w:bCs w:val="0"/>
                <w:color w:val="auto"/>
                <w:szCs w:val="21"/>
                <w:lang w:val="en-US" w:eastAsia="zh-CN"/>
              </w:rPr>
              <w:t>4、</w:t>
            </w:r>
            <w:r>
              <w:rPr>
                <w:rFonts w:hint="eastAsia"/>
                <w:b w:val="0"/>
                <w:bCs w:val="0"/>
                <w:color w:val="auto"/>
                <w:szCs w:val="21"/>
              </w:rPr>
              <w:t>同时为采购人提供不少于1天不少于3人的现场</w:t>
            </w:r>
            <w:r>
              <w:rPr>
                <w:rFonts w:hint="eastAsia"/>
                <w:b w:val="0"/>
                <w:bCs w:val="0"/>
                <w:color w:val="auto"/>
                <w:szCs w:val="21"/>
                <w:lang w:val="en-US" w:eastAsia="zh-CN"/>
              </w:rPr>
              <w:t>超融合</w:t>
            </w:r>
            <w:r>
              <w:rPr>
                <w:rFonts w:hint="eastAsia"/>
                <w:b w:val="0"/>
                <w:bCs w:val="0"/>
                <w:color w:val="auto"/>
                <w:szCs w:val="21"/>
              </w:rPr>
              <w:t>操作与运维培训。</w:t>
            </w:r>
          </w:p>
          <w:p w14:paraId="70871060">
            <w:pPr>
              <w:spacing w:line="360" w:lineRule="auto"/>
              <w:rPr>
                <w:b w:val="0"/>
                <w:bCs w:val="0"/>
                <w:color w:val="auto"/>
              </w:rPr>
            </w:pPr>
            <w:r>
              <w:rPr>
                <w:rFonts w:hint="eastAsia"/>
                <w:b w:val="0"/>
                <w:bCs w:val="0"/>
                <w:color w:val="auto"/>
                <w:szCs w:val="21"/>
              </w:rPr>
              <w:t>（以上需提供承诺函并加盖供应商公章）</w:t>
            </w:r>
          </w:p>
        </w:tc>
      </w:tr>
      <w:tr w14:paraId="09E2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3" w:type="pct"/>
            <w:shd w:val="clear" w:color="auto" w:fill="FFFFFF" w:themeFill="background1"/>
            <w:noWrap/>
            <w:vAlign w:val="center"/>
          </w:tcPr>
          <w:p w14:paraId="03CD0C3F">
            <w:pPr>
              <w:spacing w:line="360" w:lineRule="auto"/>
              <w:rPr>
                <w:b w:val="0"/>
                <w:bCs w:val="0"/>
                <w:color w:val="auto"/>
              </w:rPr>
            </w:pPr>
            <w:r>
              <w:rPr>
                <w:rFonts w:hint="eastAsia"/>
                <w:b w:val="0"/>
                <w:bCs w:val="0"/>
                <w:color w:val="auto"/>
              </w:rPr>
              <w:t>2</w:t>
            </w:r>
          </w:p>
        </w:tc>
        <w:tc>
          <w:tcPr>
            <w:tcW w:w="1259" w:type="pct"/>
            <w:shd w:val="clear" w:color="auto" w:fill="FFFFFF" w:themeFill="background1"/>
            <w:noWrap/>
            <w:vAlign w:val="center"/>
          </w:tcPr>
          <w:p w14:paraId="6C5B7ABE">
            <w:pPr>
              <w:spacing w:line="360" w:lineRule="auto"/>
              <w:rPr>
                <w:rFonts w:hint="default" w:eastAsia="宋体"/>
                <w:b w:val="0"/>
                <w:bCs w:val="0"/>
                <w:color w:val="auto"/>
                <w:lang w:val="en-US" w:eastAsia="zh-CN"/>
              </w:rPr>
            </w:pPr>
            <w:r>
              <w:rPr>
                <w:rFonts w:hint="eastAsia"/>
                <w:b w:val="0"/>
                <w:bCs w:val="0"/>
                <w:color w:val="auto"/>
                <w:lang w:val="en-US" w:eastAsia="zh-CN"/>
              </w:rPr>
              <w:t>裸金属服务器实施部署服务</w:t>
            </w:r>
          </w:p>
        </w:tc>
        <w:tc>
          <w:tcPr>
            <w:tcW w:w="3176" w:type="pct"/>
            <w:shd w:val="clear" w:color="auto" w:fill="FFFFFF" w:themeFill="background1"/>
            <w:vAlign w:val="center"/>
          </w:tcPr>
          <w:p w14:paraId="7CAD31EB">
            <w:pPr>
              <w:spacing w:line="360" w:lineRule="auto"/>
              <w:rPr>
                <w:rFonts w:hint="eastAsia"/>
                <w:b w:val="0"/>
                <w:bCs w:val="0"/>
                <w:color w:val="auto"/>
                <w:szCs w:val="21"/>
              </w:rPr>
            </w:pPr>
            <w:r>
              <w:rPr>
                <w:rFonts w:hint="eastAsia"/>
                <w:b w:val="0"/>
                <w:bCs w:val="0"/>
                <w:color w:val="auto"/>
                <w:szCs w:val="21"/>
                <w:lang w:val="en-US" w:eastAsia="zh-CN"/>
              </w:rPr>
              <w:t>1、</w:t>
            </w:r>
            <w:r>
              <w:rPr>
                <w:rFonts w:hint="eastAsia"/>
                <w:b w:val="0"/>
                <w:bCs w:val="0"/>
                <w:color w:val="auto"/>
                <w:szCs w:val="21"/>
              </w:rPr>
              <w:t>完成裸金属服务器的上架安装与加电自检，规范布线与标签；统一升级服务器的BMC、BIOS、RAID卡、网卡及HBA卡等固件至稳定版本，并按采购人要求配置BIOS（含启动顺序、虚拟化启用等）及BMC带外管理（分配独立IP、设置强密码、验证远程控制与日志功能）；</w:t>
            </w:r>
          </w:p>
          <w:p w14:paraId="317BC1D2">
            <w:pPr>
              <w:spacing w:line="360" w:lineRule="auto"/>
              <w:rPr>
                <w:rFonts w:hint="eastAsia"/>
                <w:b w:val="0"/>
                <w:bCs w:val="0"/>
                <w:color w:val="auto"/>
                <w:szCs w:val="21"/>
              </w:rPr>
            </w:pPr>
            <w:r>
              <w:rPr>
                <w:rFonts w:hint="eastAsia"/>
                <w:b w:val="0"/>
                <w:bCs w:val="0"/>
                <w:color w:val="auto"/>
                <w:szCs w:val="21"/>
                <w:lang w:val="en-US" w:eastAsia="zh-CN"/>
              </w:rPr>
              <w:t>2、</w:t>
            </w:r>
            <w:r>
              <w:rPr>
                <w:rFonts w:hint="eastAsia"/>
                <w:b w:val="0"/>
                <w:bCs w:val="0"/>
                <w:color w:val="auto"/>
                <w:szCs w:val="21"/>
              </w:rPr>
              <w:t>对配置的两块480GB SATA SSD组建RAID 1作为操作系统逻辑盘，验证RAID卡支持0/1/10/5/6/50/60等多种级别及HBA卡连通性；</w:t>
            </w:r>
          </w:p>
          <w:p w14:paraId="46D64D23">
            <w:pPr>
              <w:spacing w:line="360" w:lineRule="auto"/>
              <w:rPr>
                <w:rFonts w:hint="eastAsia"/>
                <w:b w:val="0"/>
                <w:bCs w:val="0"/>
                <w:color w:val="auto"/>
                <w:szCs w:val="21"/>
              </w:rPr>
            </w:pPr>
            <w:r>
              <w:rPr>
                <w:rFonts w:hint="eastAsia"/>
                <w:b w:val="0"/>
                <w:bCs w:val="0"/>
                <w:color w:val="auto"/>
                <w:szCs w:val="21"/>
                <w:lang w:val="en-US" w:eastAsia="zh-CN"/>
              </w:rPr>
              <w:t>3、</w:t>
            </w:r>
            <w:r>
              <w:rPr>
                <w:rFonts w:hint="eastAsia"/>
                <w:b w:val="0"/>
                <w:bCs w:val="0"/>
                <w:color w:val="auto"/>
                <w:szCs w:val="21"/>
              </w:rPr>
              <w:t>验证服务器可从多种介质引导操作系统，确保主流操作系统（含国产操作系统）安装时所有硬件驱动可正常识别；</w:t>
            </w:r>
          </w:p>
          <w:p w14:paraId="3A5A8215">
            <w:pPr>
              <w:spacing w:line="360" w:lineRule="auto"/>
              <w:rPr>
                <w:rFonts w:hint="eastAsia"/>
                <w:b w:val="0"/>
                <w:bCs w:val="0"/>
                <w:color w:val="auto"/>
                <w:szCs w:val="21"/>
              </w:rPr>
            </w:pPr>
            <w:r>
              <w:rPr>
                <w:rFonts w:hint="eastAsia"/>
                <w:b w:val="0"/>
                <w:bCs w:val="0"/>
                <w:color w:val="auto"/>
                <w:szCs w:val="21"/>
                <w:lang w:val="en-US" w:eastAsia="zh-CN"/>
              </w:rPr>
              <w:t>4、</w:t>
            </w:r>
            <w:r>
              <w:rPr>
                <w:rFonts w:hint="eastAsia"/>
                <w:b w:val="0"/>
                <w:bCs w:val="0"/>
                <w:color w:val="auto"/>
                <w:szCs w:val="21"/>
              </w:rPr>
              <w:t>验收时提供上架配置表、BIOS/BMC/RAID配置备份、固件升级记录及兼容性验证报告等文档。</w:t>
            </w:r>
          </w:p>
          <w:p w14:paraId="552D314D">
            <w:pPr>
              <w:spacing w:line="360" w:lineRule="auto"/>
              <w:rPr>
                <w:rFonts w:hint="eastAsia" w:eastAsia="宋体"/>
                <w:b w:val="0"/>
                <w:bCs w:val="0"/>
                <w:color w:val="auto"/>
                <w:szCs w:val="21"/>
                <w:lang w:val="en-US" w:eastAsia="zh-CN"/>
              </w:rPr>
            </w:pPr>
            <w:r>
              <w:rPr>
                <w:rFonts w:hint="eastAsia"/>
                <w:b w:val="0"/>
                <w:bCs w:val="0"/>
                <w:color w:val="auto"/>
                <w:szCs w:val="21"/>
                <w:lang w:val="en-US" w:eastAsia="zh-CN"/>
              </w:rPr>
              <w:t>5、</w:t>
            </w:r>
            <w:r>
              <w:rPr>
                <w:rFonts w:hint="eastAsia"/>
                <w:b w:val="0"/>
                <w:bCs w:val="0"/>
                <w:color w:val="auto"/>
                <w:szCs w:val="21"/>
              </w:rPr>
              <w:t>同时为采购人提供不少于1天不少于3人的现场操作与运维培训。</w:t>
            </w:r>
          </w:p>
          <w:p w14:paraId="56F4D6D7">
            <w:pPr>
              <w:spacing w:line="360" w:lineRule="auto"/>
              <w:rPr>
                <w:b w:val="0"/>
                <w:bCs w:val="0"/>
                <w:color w:val="auto"/>
              </w:rPr>
            </w:pPr>
            <w:r>
              <w:rPr>
                <w:rFonts w:hint="eastAsia"/>
                <w:b w:val="0"/>
                <w:bCs w:val="0"/>
                <w:color w:val="auto"/>
                <w:szCs w:val="21"/>
              </w:rPr>
              <w:t>（以上需提供承诺函并加盖供应商公章）</w:t>
            </w:r>
          </w:p>
        </w:tc>
      </w:tr>
    </w:tbl>
    <w:p w14:paraId="08062D14">
      <w:pPr>
        <w:rPr>
          <w:color w:val="auto"/>
        </w:rPr>
      </w:pPr>
    </w:p>
    <w:p w14:paraId="6FFC1135">
      <w:pPr>
        <w:rPr>
          <w:color w:val="auto"/>
        </w:rPr>
      </w:pPr>
    </w:p>
    <w:p w14:paraId="342D2041">
      <w:pPr>
        <w:pStyle w:val="2"/>
        <w:numPr>
          <w:ilvl w:val="0"/>
          <w:numId w:val="2"/>
        </w:numPr>
        <w:ind w:left="420" w:hanging="420"/>
        <w:rPr>
          <w:rFonts w:ascii="宋体" w:hAnsi="宋体" w:eastAsia="宋体"/>
          <w:color w:val="auto"/>
        </w:rPr>
      </w:pPr>
      <w:r>
        <w:rPr>
          <w:rFonts w:hint="eastAsia" w:ascii="宋体" w:hAnsi="宋体" w:eastAsia="宋体"/>
          <w:color w:val="auto"/>
        </w:rPr>
        <w:t>项目工期及实施要求</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2463"/>
        <w:gridCol w:w="5323"/>
      </w:tblGrid>
      <w:tr w14:paraId="03EB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shd w:val="clear" w:color="auto" w:fill="auto"/>
          </w:tcPr>
          <w:p w14:paraId="423B3D26">
            <w:pPr>
              <w:spacing w:line="360" w:lineRule="auto"/>
              <w:jc w:val="center"/>
              <w:rPr>
                <w:b/>
                <w:bCs/>
                <w:color w:val="auto"/>
              </w:rPr>
            </w:pPr>
            <w:r>
              <w:rPr>
                <w:rFonts w:hint="eastAsia"/>
                <w:b/>
                <w:bCs/>
                <w:color w:val="auto"/>
              </w:rPr>
              <w:t>序号</w:t>
            </w:r>
          </w:p>
        </w:tc>
        <w:tc>
          <w:tcPr>
            <w:tcW w:w="1445" w:type="pct"/>
            <w:shd w:val="clear" w:color="auto" w:fill="auto"/>
          </w:tcPr>
          <w:p w14:paraId="75A5A4FB">
            <w:pPr>
              <w:spacing w:line="360" w:lineRule="auto"/>
              <w:jc w:val="center"/>
              <w:rPr>
                <w:b/>
                <w:bCs/>
                <w:color w:val="auto"/>
              </w:rPr>
            </w:pPr>
            <w:r>
              <w:rPr>
                <w:rFonts w:hint="eastAsia"/>
                <w:b/>
                <w:bCs/>
                <w:color w:val="auto"/>
              </w:rPr>
              <w:t>内容</w:t>
            </w:r>
          </w:p>
        </w:tc>
        <w:tc>
          <w:tcPr>
            <w:tcW w:w="3123" w:type="pct"/>
            <w:shd w:val="clear" w:color="auto" w:fill="auto"/>
          </w:tcPr>
          <w:p w14:paraId="6EB72AA4">
            <w:pPr>
              <w:spacing w:line="360" w:lineRule="auto"/>
              <w:jc w:val="center"/>
              <w:rPr>
                <w:b/>
                <w:bCs/>
                <w:color w:val="auto"/>
              </w:rPr>
            </w:pPr>
            <w:r>
              <w:rPr>
                <w:rFonts w:hint="eastAsia"/>
                <w:b/>
                <w:bCs/>
                <w:color w:val="auto"/>
              </w:rPr>
              <w:t>实施标准</w:t>
            </w:r>
          </w:p>
        </w:tc>
      </w:tr>
      <w:tr w14:paraId="2F7D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063F1065">
            <w:pPr>
              <w:pStyle w:val="17"/>
              <w:numPr>
                <w:ilvl w:val="0"/>
                <w:numId w:val="6"/>
              </w:numPr>
              <w:spacing w:line="360" w:lineRule="auto"/>
              <w:ind w:firstLineChars="0"/>
              <w:rPr>
                <w:rFonts w:ascii="宋体" w:hAnsi="宋体" w:eastAsia="宋体"/>
                <w:color w:val="auto"/>
                <w:sz w:val="24"/>
                <w:szCs w:val="32"/>
              </w:rPr>
            </w:pPr>
          </w:p>
        </w:tc>
        <w:tc>
          <w:tcPr>
            <w:tcW w:w="1445" w:type="pct"/>
            <w:vAlign w:val="center"/>
          </w:tcPr>
          <w:p w14:paraId="3C64A20C">
            <w:pPr>
              <w:spacing w:line="360" w:lineRule="auto"/>
              <w:rPr>
                <w:color w:val="auto"/>
              </w:rPr>
            </w:pPr>
            <w:r>
              <w:rPr>
                <w:rFonts w:hint="eastAsia"/>
                <w:color w:val="auto"/>
              </w:rPr>
              <w:t>项目实施过程控制</w:t>
            </w:r>
          </w:p>
        </w:tc>
        <w:tc>
          <w:tcPr>
            <w:tcW w:w="3123" w:type="pct"/>
            <w:vAlign w:val="center"/>
          </w:tcPr>
          <w:p w14:paraId="7BA97867">
            <w:pPr>
              <w:spacing w:line="360" w:lineRule="auto"/>
              <w:rPr>
                <w:color w:val="auto"/>
              </w:rPr>
            </w:pPr>
            <w:r>
              <w:rPr>
                <w:rFonts w:hint="eastAsia"/>
                <w:color w:val="auto"/>
              </w:rPr>
              <w:t>软件到货、安装、调试、验收工作，严格按照技术要求文件和合同的工期要求完成项目实施。</w:t>
            </w:r>
          </w:p>
        </w:tc>
      </w:tr>
      <w:tr w14:paraId="7F8B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6A01D749">
            <w:pPr>
              <w:pStyle w:val="17"/>
              <w:numPr>
                <w:ilvl w:val="0"/>
                <w:numId w:val="6"/>
              </w:numPr>
              <w:spacing w:line="360" w:lineRule="auto"/>
              <w:ind w:firstLineChars="0"/>
              <w:rPr>
                <w:rFonts w:ascii="宋体" w:hAnsi="宋体" w:eastAsia="宋体"/>
                <w:color w:val="auto"/>
                <w:sz w:val="24"/>
                <w:szCs w:val="32"/>
              </w:rPr>
            </w:pPr>
          </w:p>
        </w:tc>
        <w:tc>
          <w:tcPr>
            <w:tcW w:w="1445" w:type="pct"/>
            <w:vAlign w:val="center"/>
          </w:tcPr>
          <w:p w14:paraId="63ACFF82">
            <w:pPr>
              <w:spacing w:line="360" w:lineRule="auto"/>
              <w:rPr>
                <w:color w:val="auto"/>
              </w:rPr>
            </w:pPr>
            <w:r>
              <w:rPr>
                <w:rFonts w:hint="eastAsia"/>
                <w:color w:val="auto"/>
              </w:rPr>
              <w:t>项目实施过程文档管理</w:t>
            </w:r>
          </w:p>
        </w:tc>
        <w:tc>
          <w:tcPr>
            <w:tcW w:w="3123" w:type="pct"/>
            <w:vAlign w:val="center"/>
          </w:tcPr>
          <w:p w14:paraId="7ED2FEF5">
            <w:pPr>
              <w:spacing w:line="360" w:lineRule="auto"/>
              <w:rPr>
                <w:color w:val="auto"/>
              </w:rPr>
            </w:pPr>
            <w:r>
              <w:rPr>
                <w:rFonts w:hint="eastAsia"/>
                <w:color w:val="auto"/>
              </w:rPr>
              <w:t>提供各个阶段过程文档类别、文档管理措施等。</w:t>
            </w:r>
          </w:p>
        </w:tc>
      </w:tr>
      <w:tr w14:paraId="146C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359AED2A">
            <w:pPr>
              <w:pStyle w:val="17"/>
              <w:numPr>
                <w:ilvl w:val="0"/>
                <w:numId w:val="6"/>
              </w:numPr>
              <w:spacing w:line="360" w:lineRule="auto"/>
              <w:ind w:firstLineChars="0"/>
              <w:rPr>
                <w:rFonts w:ascii="宋体" w:hAnsi="宋体" w:eastAsia="宋体"/>
                <w:color w:val="auto"/>
                <w:sz w:val="24"/>
                <w:szCs w:val="32"/>
              </w:rPr>
            </w:pPr>
          </w:p>
        </w:tc>
        <w:tc>
          <w:tcPr>
            <w:tcW w:w="1445" w:type="pct"/>
            <w:vAlign w:val="center"/>
          </w:tcPr>
          <w:p w14:paraId="13892EAA">
            <w:pPr>
              <w:spacing w:line="360" w:lineRule="auto"/>
              <w:rPr>
                <w:color w:val="auto"/>
              </w:rPr>
            </w:pPr>
            <w:r>
              <w:rPr>
                <w:rFonts w:hint="eastAsia"/>
                <w:color w:val="auto"/>
              </w:rPr>
              <w:t>项目实施组织架构</w:t>
            </w:r>
          </w:p>
        </w:tc>
        <w:tc>
          <w:tcPr>
            <w:tcW w:w="3123" w:type="pct"/>
            <w:vAlign w:val="center"/>
          </w:tcPr>
          <w:p w14:paraId="10CFF166">
            <w:pPr>
              <w:spacing w:line="360" w:lineRule="auto"/>
              <w:rPr>
                <w:color w:val="auto"/>
              </w:rPr>
            </w:pPr>
            <w:r>
              <w:rPr>
                <w:rFonts w:hint="eastAsia"/>
                <w:color w:val="auto"/>
              </w:rPr>
              <w:t>提供项目组织架构、职责分工、参与成员能力等内容。</w:t>
            </w:r>
          </w:p>
        </w:tc>
      </w:tr>
      <w:tr w14:paraId="3AF8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23917052">
            <w:pPr>
              <w:pStyle w:val="17"/>
              <w:numPr>
                <w:ilvl w:val="0"/>
                <w:numId w:val="6"/>
              </w:numPr>
              <w:spacing w:line="360" w:lineRule="auto"/>
              <w:ind w:firstLineChars="0"/>
              <w:rPr>
                <w:rFonts w:ascii="宋体" w:hAnsi="宋体" w:eastAsia="宋体"/>
                <w:color w:val="auto"/>
                <w:sz w:val="24"/>
                <w:szCs w:val="32"/>
              </w:rPr>
            </w:pPr>
          </w:p>
        </w:tc>
        <w:tc>
          <w:tcPr>
            <w:tcW w:w="1445" w:type="pct"/>
            <w:vAlign w:val="center"/>
          </w:tcPr>
          <w:p w14:paraId="1D8EC219">
            <w:pPr>
              <w:spacing w:line="360" w:lineRule="auto"/>
              <w:rPr>
                <w:color w:val="auto"/>
              </w:rPr>
            </w:pPr>
            <w:r>
              <w:rPr>
                <w:rFonts w:hint="eastAsia"/>
                <w:color w:val="auto"/>
              </w:rPr>
              <w:t>项目实施进度安排</w:t>
            </w:r>
          </w:p>
        </w:tc>
        <w:tc>
          <w:tcPr>
            <w:tcW w:w="3123" w:type="pct"/>
            <w:vAlign w:val="center"/>
          </w:tcPr>
          <w:p w14:paraId="08B8F76D">
            <w:pPr>
              <w:spacing w:line="360" w:lineRule="auto"/>
              <w:rPr>
                <w:color w:val="auto"/>
              </w:rPr>
            </w:pPr>
            <w:r>
              <w:rPr>
                <w:rFonts w:hint="eastAsia"/>
                <w:color w:val="auto"/>
              </w:rPr>
              <w:t>提供实施进度计划和控制措施，确保按期完成</w:t>
            </w:r>
          </w:p>
        </w:tc>
      </w:tr>
      <w:tr w14:paraId="5868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753ED64B">
            <w:pPr>
              <w:pStyle w:val="17"/>
              <w:numPr>
                <w:ilvl w:val="0"/>
                <w:numId w:val="6"/>
              </w:numPr>
              <w:spacing w:line="360" w:lineRule="auto"/>
              <w:ind w:firstLineChars="0"/>
              <w:rPr>
                <w:rFonts w:ascii="宋体" w:hAnsi="宋体" w:eastAsia="宋体"/>
                <w:color w:val="auto"/>
                <w:sz w:val="24"/>
                <w:szCs w:val="32"/>
              </w:rPr>
            </w:pPr>
          </w:p>
        </w:tc>
        <w:tc>
          <w:tcPr>
            <w:tcW w:w="1445" w:type="pct"/>
            <w:vAlign w:val="center"/>
          </w:tcPr>
          <w:p w14:paraId="06AFFFCC">
            <w:pPr>
              <w:spacing w:line="360" w:lineRule="auto"/>
              <w:rPr>
                <w:color w:val="auto"/>
              </w:rPr>
            </w:pPr>
            <w:r>
              <w:rPr>
                <w:rFonts w:hint="eastAsia"/>
                <w:color w:val="auto"/>
              </w:rPr>
              <w:t>项目安装过程安排</w:t>
            </w:r>
          </w:p>
        </w:tc>
        <w:tc>
          <w:tcPr>
            <w:tcW w:w="3123" w:type="pct"/>
            <w:vAlign w:val="center"/>
          </w:tcPr>
          <w:p w14:paraId="28F4F506">
            <w:pPr>
              <w:spacing w:line="360" w:lineRule="auto"/>
              <w:rPr>
                <w:color w:val="auto"/>
              </w:rPr>
            </w:pPr>
            <w:r>
              <w:rPr>
                <w:rFonts w:hint="eastAsia"/>
                <w:color w:val="auto"/>
              </w:rPr>
              <w:t>提供项目服务整体方案，含服务技术能力和服务质量及服务保证措施。</w:t>
            </w:r>
          </w:p>
        </w:tc>
      </w:tr>
      <w:tr w14:paraId="4128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4568927F">
            <w:pPr>
              <w:pStyle w:val="17"/>
              <w:numPr>
                <w:ilvl w:val="0"/>
                <w:numId w:val="6"/>
              </w:numPr>
              <w:spacing w:line="360" w:lineRule="auto"/>
              <w:ind w:firstLineChars="0"/>
              <w:rPr>
                <w:rFonts w:ascii="宋体" w:hAnsi="宋体" w:eastAsia="宋体"/>
                <w:color w:val="auto"/>
                <w:sz w:val="24"/>
                <w:szCs w:val="32"/>
              </w:rPr>
            </w:pPr>
          </w:p>
        </w:tc>
        <w:tc>
          <w:tcPr>
            <w:tcW w:w="1445" w:type="pct"/>
            <w:vAlign w:val="center"/>
          </w:tcPr>
          <w:p w14:paraId="57C8F830">
            <w:pPr>
              <w:spacing w:line="360" w:lineRule="auto"/>
              <w:rPr>
                <w:color w:val="auto"/>
              </w:rPr>
            </w:pPr>
            <w:r>
              <w:rPr>
                <w:rFonts w:hint="eastAsia"/>
                <w:color w:val="auto"/>
              </w:rPr>
              <w:t>项目验收安排</w:t>
            </w:r>
          </w:p>
        </w:tc>
        <w:tc>
          <w:tcPr>
            <w:tcW w:w="3123" w:type="pct"/>
            <w:vAlign w:val="center"/>
          </w:tcPr>
          <w:p w14:paraId="53E63269">
            <w:pPr>
              <w:spacing w:line="360" w:lineRule="auto"/>
              <w:rPr>
                <w:color w:val="auto"/>
              </w:rPr>
            </w:pPr>
            <w:r>
              <w:rPr>
                <w:rFonts w:hint="eastAsia"/>
                <w:color w:val="auto"/>
              </w:rPr>
              <w:t>提供项目测试和验收方案，验收后项目文档交付方案。</w:t>
            </w:r>
          </w:p>
        </w:tc>
      </w:tr>
      <w:tr w14:paraId="2D45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32" w:type="pct"/>
            <w:vAlign w:val="center"/>
          </w:tcPr>
          <w:p w14:paraId="561A3888">
            <w:pPr>
              <w:pStyle w:val="17"/>
              <w:numPr>
                <w:ilvl w:val="0"/>
                <w:numId w:val="6"/>
              </w:numPr>
              <w:spacing w:line="360" w:lineRule="auto"/>
              <w:ind w:firstLineChars="0"/>
              <w:rPr>
                <w:rFonts w:ascii="宋体" w:hAnsi="宋体" w:eastAsia="宋体"/>
                <w:color w:val="auto"/>
                <w:sz w:val="24"/>
                <w:szCs w:val="32"/>
              </w:rPr>
            </w:pPr>
          </w:p>
        </w:tc>
        <w:tc>
          <w:tcPr>
            <w:tcW w:w="1445" w:type="pct"/>
            <w:vAlign w:val="center"/>
          </w:tcPr>
          <w:p w14:paraId="46F7ACF2">
            <w:pPr>
              <w:spacing w:line="360" w:lineRule="auto"/>
              <w:rPr>
                <w:color w:val="auto"/>
              </w:rPr>
            </w:pPr>
            <w:r>
              <w:rPr>
                <w:rFonts w:hint="eastAsia"/>
                <w:color w:val="auto"/>
              </w:rPr>
              <w:t>项目培训安排</w:t>
            </w:r>
          </w:p>
        </w:tc>
        <w:tc>
          <w:tcPr>
            <w:tcW w:w="3123" w:type="pct"/>
            <w:vAlign w:val="center"/>
          </w:tcPr>
          <w:p w14:paraId="26B29D34">
            <w:pPr>
              <w:spacing w:line="360" w:lineRule="auto"/>
              <w:rPr>
                <w:color w:val="auto"/>
              </w:rPr>
            </w:pPr>
            <w:r>
              <w:rPr>
                <w:rFonts w:hint="eastAsia"/>
                <w:color w:val="auto"/>
              </w:rPr>
              <w:t>提供完善培训方案。</w:t>
            </w:r>
          </w:p>
        </w:tc>
      </w:tr>
    </w:tbl>
    <w:p w14:paraId="6038C961">
      <w:pPr>
        <w:rPr>
          <w:color w:val="auto"/>
        </w:rPr>
      </w:pPr>
    </w:p>
    <w:p w14:paraId="7D926DB2">
      <w:pPr>
        <w:pStyle w:val="2"/>
        <w:numPr>
          <w:ilvl w:val="0"/>
          <w:numId w:val="2"/>
        </w:numPr>
        <w:ind w:left="420" w:hanging="420"/>
        <w:rPr>
          <w:rFonts w:ascii="宋体" w:hAnsi="宋体" w:eastAsia="宋体"/>
          <w:color w:val="auto"/>
        </w:rPr>
      </w:pPr>
      <w:r>
        <w:rPr>
          <w:rFonts w:hint="eastAsia" w:ascii="宋体" w:hAnsi="宋体" w:eastAsia="宋体"/>
          <w:color w:val="auto"/>
        </w:rPr>
        <w:t>集成技术及实施</w:t>
      </w:r>
      <w:r>
        <w:rPr>
          <w:rFonts w:ascii="宋体" w:hAnsi="宋体" w:eastAsia="宋体"/>
          <w:color w:val="auto"/>
        </w:rPr>
        <w:t>服务要求</w:t>
      </w:r>
    </w:p>
    <w:tbl>
      <w:tblPr>
        <w:tblStyle w:val="10"/>
        <w:tblW w:w="5000" w:type="pct"/>
        <w:tblInd w:w="0" w:type="dxa"/>
        <w:tblLayout w:type="autofit"/>
        <w:tblCellMar>
          <w:top w:w="0" w:type="dxa"/>
          <w:left w:w="108" w:type="dxa"/>
          <w:bottom w:w="0" w:type="dxa"/>
          <w:right w:w="108" w:type="dxa"/>
        </w:tblCellMar>
      </w:tblPr>
      <w:tblGrid>
        <w:gridCol w:w="1072"/>
        <w:gridCol w:w="7450"/>
      </w:tblGrid>
      <w:tr w14:paraId="5B334324">
        <w:tblPrEx>
          <w:tblCellMar>
            <w:top w:w="0" w:type="dxa"/>
            <w:left w:w="108" w:type="dxa"/>
            <w:bottom w:w="0" w:type="dxa"/>
            <w:right w:w="108" w:type="dxa"/>
          </w:tblCellMar>
        </w:tblPrEx>
        <w:tc>
          <w:tcPr>
            <w:tcW w:w="629" w:type="pct"/>
            <w:tcBorders>
              <w:top w:val="single" w:color="auto" w:sz="4" w:space="0"/>
              <w:left w:val="single" w:color="auto" w:sz="4" w:space="0"/>
              <w:bottom w:val="single" w:color="auto" w:sz="4" w:space="0"/>
              <w:right w:val="single" w:color="auto" w:sz="4" w:space="0"/>
            </w:tcBorders>
            <w:vAlign w:val="center"/>
          </w:tcPr>
          <w:p w14:paraId="75872F3C">
            <w:pPr>
              <w:snapToGrid w:val="0"/>
              <w:spacing w:line="360" w:lineRule="auto"/>
              <w:jc w:val="center"/>
              <w:rPr>
                <w:b/>
                <w:color w:val="auto"/>
                <w:szCs w:val="21"/>
              </w:rPr>
            </w:pPr>
            <w:r>
              <w:rPr>
                <w:rFonts w:hint="eastAsia"/>
                <w:b/>
                <w:color w:val="auto"/>
                <w:szCs w:val="21"/>
              </w:rPr>
              <w:t>序号</w:t>
            </w:r>
          </w:p>
        </w:tc>
        <w:tc>
          <w:tcPr>
            <w:tcW w:w="4371" w:type="pct"/>
            <w:tcBorders>
              <w:top w:val="single" w:color="auto" w:sz="4" w:space="0"/>
              <w:left w:val="single" w:color="auto" w:sz="4" w:space="0"/>
              <w:bottom w:val="single" w:color="auto" w:sz="4" w:space="0"/>
              <w:right w:val="single" w:color="auto" w:sz="4" w:space="0"/>
            </w:tcBorders>
            <w:vAlign w:val="center"/>
          </w:tcPr>
          <w:p w14:paraId="5E2C0E73">
            <w:pPr>
              <w:snapToGrid w:val="0"/>
              <w:spacing w:line="360" w:lineRule="auto"/>
              <w:jc w:val="center"/>
              <w:rPr>
                <w:b/>
                <w:color w:val="auto"/>
                <w:szCs w:val="21"/>
              </w:rPr>
            </w:pPr>
            <w:r>
              <w:rPr>
                <w:rFonts w:hint="eastAsia"/>
                <w:b/>
                <w:color w:val="auto"/>
                <w:szCs w:val="21"/>
              </w:rPr>
              <w:t>服务要求</w:t>
            </w:r>
          </w:p>
        </w:tc>
      </w:tr>
      <w:tr w14:paraId="5FAFA68E">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58A3B576">
            <w:pPr>
              <w:numPr>
                <w:ilvl w:val="0"/>
                <w:numId w:val="7"/>
              </w:numPr>
              <w:spacing w:line="360" w:lineRule="auto"/>
              <w:jc w:val="center"/>
              <w:rPr>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1B755399">
            <w:pPr>
              <w:spacing w:line="360" w:lineRule="auto"/>
              <w:rPr>
                <w:color w:val="auto"/>
                <w:szCs w:val="21"/>
              </w:rPr>
            </w:pPr>
            <w:r>
              <w:rPr>
                <w:rFonts w:hint="eastAsia"/>
                <w:color w:val="auto"/>
                <w:szCs w:val="21"/>
              </w:rPr>
              <w:t>(一)供应商须在院方支付合同首款后的30个工作日内向院方提交采购清单中的物品。</w:t>
            </w:r>
          </w:p>
          <w:p w14:paraId="7F14E55A">
            <w:pPr>
              <w:spacing w:line="360" w:lineRule="auto"/>
              <w:rPr>
                <w:bCs/>
                <w:color w:val="auto"/>
                <w:szCs w:val="21"/>
              </w:rPr>
            </w:pPr>
            <w:r>
              <w:rPr>
                <w:rFonts w:hint="eastAsia"/>
                <w:color w:val="auto"/>
                <w:szCs w:val="21"/>
              </w:rPr>
              <w:t>(二)交货日期以货物到达院方指定货运详细地址的日期为准。</w:t>
            </w:r>
          </w:p>
        </w:tc>
      </w:tr>
      <w:tr w14:paraId="2732AF84">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70956EF9">
            <w:pPr>
              <w:numPr>
                <w:ilvl w:val="0"/>
                <w:numId w:val="7"/>
              </w:numPr>
              <w:spacing w:line="360" w:lineRule="auto"/>
              <w:jc w:val="center"/>
              <w:rPr>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2FCF3B0C">
            <w:pPr>
              <w:spacing w:line="360" w:lineRule="auto"/>
              <w:rPr>
                <w:color w:val="auto"/>
              </w:rPr>
            </w:pPr>
            <w:r>
              <w:rPr>
                <w:rFonts w:hint="eastAsia"/>
                <w:color w:val="auto"/>
              </w:rPr>
              <w:t>(一)供应商应按时将货物送至院方指定货运详细地址。</w:t>
            </w:r>
          </w:p>
          <w:p w14:paraId="3C19071D">
            <w:pPr>
              <w:spacing w:line="360" w:lineRule="auto"/>
              <w:rPr>
                <w:color w:val="auto"/>
              </w:rPr>
            </w:pPr>
            <w:r>
              <w:rPr>
                <w:rFonts w:hint="eastAsia"/>
                <w:color w:val="auto"/>
              </w:rPr>
              <w:t>(二)交货完成的有效证明：供应商送货人，必须随货物提交交货签收单给院方收货人，交货签收单必须有院方、供应商两方的签字方有效。</w:t>
            </w:r>
          </w:p>
        </w:tc>
      </w:tr>
      <w:tr w14:paraId="2FC16D30">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5E841578">
            <w:pPr>
              <w:numPr>
                <w:ilvl w:val="0"/>
                <w:numId w:val="7"/>
              </w:numPr>
              <w:spacing w:line="360" w:lineRule="auto"/>
              <w:jc w:val="center"/>
              <w:rPr>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0C38977B">
            <w:pPr>
              <w:spacing w:line="360" w:lineRule="auto"/>
              <w:rPr>
                <w:color w:val="auto"/>
              </w:rPr>
            </w:pPr>
            <w:r>
              <w:rPr>
                <w:rFonts w:hint="eastAsia"/>
                <w:color w:val="auto"/>
              </w:rPr>
              <w:t>(一)供应商负责合同内设备的安装调试。</w:t>
            </w:r>
          </w:p>
          <w:p w14:paraId="7217F8F6">
            <w:pPr>
              <w:spacing w:line="360" w:lineRule="auto"/>
              <w:rPr>
                <w:color w:val="auto"/>
              </w:rPr>
            </w:pPr>
            <w:r>
              <w:rPr>
                <w:rFonts w:hint="eastAsia"/>
                <w:color w:val="auto"/>
              </w:rPr>
              <w:t>(二)供应商应按院方指定的安装日期、安装要求进行安装工作。</w:t>
            </w:r>
          </w:p>
          <w:p w14:paraId="1CB6E6D0">
            <w:pPr>
              <w:spacing w:line="360" w:lineRule="auto"/>
              <w:rPr>
                <w:b/>
                <w:bCs/>
                <w:color w:val="auto"/>
              </w:rPr>
            </w:pPr>
            <w:r>
              <w:rPr>
                <w:rFonts w:hint="eastAsia"/>
                <w:color w:val="auto"/>
              </w:rPr>
              <w:t>(三)供应商需根据院方的详细需求，提交项目产品的安装、调试及培训实施方案，方案得到院方确认后实施，保证系统按时、正常地投入运行。</w:t>
            </w:r>
          </w:p>
        </w:tc>
      </w:tr>
      <w:tr w14:paraId="3FFACD34">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2A86AA0C">
            <w:pPr>
              <w:numPr>
                <w:ilvl w:val="0"/>
                <w:numId w:val="7"/>
              </w:numPr>
              <w:spacing w:line="360" w:lineRule="auto"/>
              <w:jc w:val="center"/>
              <w:rPr>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0B365F83">
            <w:pPr>
              <w:spacing w:line="360" w:lineRule="auto"/>
              <w:rPr>
                <w:color w:val="auto"/>
              </w:rPr>
            </w:pPr>
            <w:r>
              <w:rPr>
                <w:rFonts w:hint="eastAsia"/>
                <w:color w:val="auto"/>
              </w:rPr>
              <w:t>供应商需承诺根据院方技术需求提供不低于本次采购设备配置的备机，供应商报价时应充分考虑，院方在合同金额之外不再另行支付任何费用。</w:t>
            </w:r>
          </w:p>
        </w:tc>
      </w:tr>
      <w:tr w14:paraId="12AA4E89">
        <w:tblPrEx>
          <w:tblCellMar>
            <w:top w:w="0" w:type="dxa"/>
            <w:left w:w="108" w:type="dxa"/>
            <w:bottom w:w="0" w:type="dxa"/>
            <w:right w:w="108" w:type="dxa"/>
          </w:tblCellMar>
        </w:tblPrEx>
        <w:trPr>
          <w:trHeight w:val="983" w:hRule="atLeast"/>
        </w:trPr>
        <w:tc>
          <w:tcPr>
            <w:tcW w:w="629" w:type="pct"/>
            <w:tcBorders>
              <w:top w:val="single" w:color="auto" w:sz="4" w:space="0"/>
              <w:left w:val="single" w:color="auto" w:sz="4" w:space="0"/>
              <w:bottom w:val="single" w:color="auto" w:sz="4" w:space="0"/>
              <w:right w:val="single" w:color="auto" w:sz="4" w:space="0"/>
            </w:tcBorders>
            <w:vAlign w:val="center"/>
          </w:tcPr>
          <w:p w14:paraId="139F089A">
            <w:pPr>
              <w:numPr>
                <w:ilvl w:val="0"/>
                <w:numId w:val="7"/>
              </w:numPr>
              <w:spacing w:line="360" w:lineRule="auto"/>
              <w:jc w:val="center"/>
              <w:rPr>
                <w:bCs/>
                <w:color w:val="auto"/>
                <w:szCs w:val="21"/>
              </w:rPr>
            </w:pPr>
          </w:p>
        </w:tc>
        <w:tc>
          <w:tcPr>
            <w:tcW w:w="4371" w:type="pct"/>
            <w:tcBorders>
              <w:top w:val="single" w:color="auto" w:sz="4" w:space="0"/>
              <w:left w:val="single" w:color="auto" w:sz="4" w:space="0"/>
              <w:bottom w:val="single" w:color="auto" w:sz="4" w:space="0"/>
              <w:right w:val="single" w:color="auto" w:sz="4" w:space="0"/>
            </w:tcBorders>
          </w:tcPr>
          <w:p w14:paraId="5719C513">
            <w:pPr>
              <w:spacing w:line="360" w:lineRule="auto"/>
              <w:rPr>
                <w:color w:val="auto"/>
              </w:rPr>
            </w:pPr>
            <w:r>
              <w:rPr>
                <w:rFonts w:hint="eastAsia"/>
                <w:color w:val="auto"/>
              </w:rPr>
              <w:t>供应商需承诺</w:t>
            </w:r>
            <w:r>
              <w:rPr>
                <w:rFonts w:hint="eastAsia"/>
                <w:color w:val="auto"/>
                <w:lang w:val="en-US" w:eastAsia="zh-CN"/>
              </w:rPr>
              <w:t>在超融合实施部署服务与裸金属服务器实施部署服务实施</w:t>
            </w:r>
            <w:r>
              <w:rPr>
                <w:rFonts w:hint="eastAsia"/>
                <w:color w:val="auto"/>
              </w:rPr>
              <w:t>期间，不得出现任何导致院方现有设备性能减低、设备软硬件故障等影响正常使用的情况。若出现异常或影响业务访问的问题，且在</w:t>
            </w:r>
            <w:r>
              <w:rPr>
                <w:color w:val="auto"/>
              </w:rPr>
              <w:t>30分钟内未能解决,应立即采取回退措施保障业务系统的正常访问，并于24小时内分析出具体原因，并优化实施方案。若为设备硬件故障，应出具《故障处理报告》（至少包含故障现象、故障原因和故障处置措施）。若造成重大影响，应出具《重大问题故障说明》（至少包含问题故障分析、应急保障措施和情况说明）。</w:t>
            </w:r>
          </w:p>
        </w:tc>
      </w:tr>
    </w:tbl>
    <w:p w14:paraId="2A938F13">
      <w:pPr>
        <w:rPr>
          <w:color w:val="auto"/>
        </w:rPr>
      </w:pPr>
    </w:p>
    <w:p w14:paraId="79E4934E">
      <w:pPr>
        <w:pStyle w:val="2"/>
        <w:numPr>
          <w:ilvl w:val="0"/>
          <w:numId w:val="2"/>
        </w:numPr>
        <w:ind w:left="420" w:hanging="420"/>
        <w:rPr>
          <w:rFonts w:ascii="宋体" w:hAnsi="宋体" w:eastAsia="宋体"/>
          <w:color w:val="auto"/>
        </w:rPr>
      </w:pPr>
      <w:r>
        <w:rPr>
          <w:rFonts w:hint="eastAsia" w:ascii="宋体" w:hAnsi="宋体" w:eastAsia="宋体"/>
          <w:color w:val="auto"/>
        </w:rPr>
        <w:t>保修要求</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747"/>
        <w:gridCol w:w="5906"/>
      </w:tblGrid>
      <w:tr w14:paraId="2AE0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510" w:type="pct"/>
            <w:shd w:val="clear" w:color="auto" w:fill="auto"/>
            <w:vAlign w:val="center"/>
          </w:tcPr>
          <w:p w14:paraId="50F41B82">
            <w:pPr>
              <w:snapToGrid w:val="0"/>
              <w:spacing w:line="360" w:lineRule="auto"/>
              <w:jc w:val="center"/>
              <w:rPr>
                <w:b/>
                <w:color w:val="auto"/>
                <w:szCs w:val="21"/>
              </w:rPr>
            </w:pPr>
            <w:r>
              <w:rPr>
                <w:rFonts w:hint="eastAsia"/>
                <w:b/>
                <w:color w:val="auto"/>
                <w:szCs w:val="21"/>
              </w:rPr>
              <w:t>序号</w:t>
            </w:r>
          </w:p>
        </w:tc>
        <w:tc>
          <w:tcPr>
            <w:tcW w:w="1025" w:type="pct"/>
            <w:shd w:val="clear" w:color="auto" w:fill="auto"/>
            <w:vAlign w:val="center"/>
          </w:tcPr>
          <w:p w14:paraId="3FD033F3">
            <w:pPr>
              <w:snapToGrid w:val="0"/>
              <w:spacing w:line="360" w:lineRule="auto"/>
              <w:jc w:val="center"/>
              <w:rPr>
                <w:b/>
                <w:color w:val="auto"/>
                <w:szCs w:val="21"/>
              </w:rPr>
            </w:pPr>
            <w:r>
              <w:rPr>
                <w:rFonts w:hint="eastAsia"/>
                <w:b/>
                <w:color w:val="auto"/>
                <w:szCs w:val="21"/>
              </w:rPr>
              <w:t>内容</w:t>
            </w:r>
          </w:p>
        </w:tc>
        <w:tc>
          <w:tcPr>
            <w:tcW w:w="3465" w:type="pct"/>
            <w:shd w:val="clear" w:color="auto" w:fill="auto"/>
            <w:vAlign w:val="center"/>
          </w:tcPr>
          <w:p w14:paraId="3165D66F">
            <w:pPr>
              <w:snapToGrid w:val="0"/>
              <w:spacing w:line="360" w:lineRule="auto"/>
              <w:jc w:val="center"/>
              <w:rPr>
                <w:b/>
                <w:color w:val="auto"/>
                <w:szCs w:val="21"/>
              </w:rPr>
            </w:pPr>
            <w:r>
              <w:rPr>
                <w:rFonts w:hint="eastAsia"/>
                <w:b/>
                <w:color w:val="auto"/>
                <w:szCs w:val="21"/>
              </w:rPr>
              <w:t>服务要求标准</w:t>
            </w:r>
          </w:p>
        </w:tc>
      </w:tr>
      <w:tr w14:paraId="3A7B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10" w:type="pct"/>
            <w:vAlign w:val="center"/>
          </w:tcPr>
          <w:p w14:paraId="72A0A2EA">
            <w:pPr>
              <w:numPr>
                <w:ilvl w:val="0"/>
                <w:numId w:val="8"/>
              </w:numPr>
              <w:spacing w:line="360" w:lineRule="auto"/>
              <w:jc w:val="center"/>
              <w:rPr>
                <w:color w:val="auto"/>
                <w:szCs w:val="21"/>
              </w:rPr>
            </w:pPr>
          </w:p>
        </w:tc>
        <w:tc>
          <w:tcPr>
            <w:tcW w:w="1025" w:type="pct"/>
            <w:vAlign w:val="center"/>
          </w:tcPr>
          <w:p w14:paraId="1796F1CE">
            <w:pPr>
              <w:spacing w:line="360" w:lineRule="auto"/>
              <w:rPr>
                <w:color w:val="auto"/>
                <w:szCs w:val="21"/>
              </w:rPr>
            </w:pPr>
            <w:r>
              <w:rPr>
                <w:rFonts w:hint="eastAsia"/>
                <w:color w:val="auto"/>
                <w:szCs w:val="21"/>
              </w:rPr>
              <w:t>供应商售后服务承诺函</w:t>
            </w:r>
          </w:p>
        </w:tc>
        <w:tc>
          <w:tcPr>
            <w:tcW w:w="3465" w:type="pct"/>
            <w:vAlign w:val="center"/>
          </w:tcPr>
          <w:p w14:paraId="14C73CFC">
            <w:pPr>
              <w:spacing w:line="360" w:lineRule="auto"/>
              <w:rPr>
                <w:color w:val="auto"/>
                <w:szCs w:val="21"/>
              </w:rPr>
            </w:pPr>
            <w:r>
              <w:rPr>
                <w:rFonts w:hint="eastAsia"/>
                <w:color w:val="auto"/>
                <w:szCs w:val="21"/>
              </w:rPr>
              <w:t>供应商需承诺提供原厂商保修服务。</w:t>
            </w:r>
          </w:p>
        </w:tc>
      </w:tr>
      <w:tr w14:paraId="6B42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10" w:type="pct"/>
            <w:vAlign w:val="center"/>
          </w:tcPr>
          <w:p w14:paraId="29E5FF64">
            <w:pPr>
              <w:numPr>
                <w:ilvl w:val="0"/>
                <w:numId w:val="8"/>
              </w:numPr>
              <w:spacing w:line="360" w:lineRule="auto"/>
              <w:jc w:val="center"/>
              <w:rPr>
                <w:color w:val="auto"/>
                <w:szCs w:val="21"/>
              </w:rPr>
            </w:pPr>
          </w:p>
        </w:tc>
        <w:tc>
          <w:tcPr>
            <w:tcW w:w="1025" w:type="pct"/>
            <w:vAlign w:val="center"/>
          </w:tcPr>
          <w:p w14:paraId="77836874">
            <w:pPr>
              <w:spacing w:line="360" w:lineRule="auto"/>
              <w:rPr>
                <w:color w:val="auto"/>
                <w:szCs w:val="21"/>
              </w:rPr>
            </w:pPr>
            <w:r>
              <w:rPr>
                <w:rFonts w:hint="eastAsia"/>
                <w:color w:val="auto"/>
                <w:szCs w:val="21"/>
              </w:rPr>
              <w:t>供应商服务标准</w:t>
            </w:r>
          </w:p>
        </w:tc>
        <w:tc>
          <w:tcPr>
            <w:tcW w:w="3465" w:type="pct"/>
            <w:vAlign w:val="center"/>
          </w:tcPr>
          <w:p w14:paraId="074B3523">
            <w:pPr>
              <w:spacing w:line="360" w:lineRule="auto"/>
              <w:rPr>
                <w:color w:val="auto"/>
                <w:szCs w:val="21"/>
              </w:rPr>
            </w:pPr>
            <w:r>
              <w:rPr>
                <w:rFonts w:hint="eastAsia"/>
                <w:color w:val="auto"/>
                <w:szCs w:val="21"/>
              </w:rPr>
              <w:t>供应商需承诺报修后4小时内达到现场、12小时内排除故障。</w:t>
            </w:r>
          </w:p>
        </w:tc>
      </w:tr>
      <w:tr w14:paraId="185C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510" w:type="pct"/>
            <w:vAlign w:val="center"/>
          </w:tcPr>
          <w:p w14:paraId="65623417">
            <w:pPr>
              <w:numPr>
                <w:ilvl w:val="0"/>
                <w:numId w:val="8"/>
              </w:numPr>
              <w:spacing w:line="360" w:lineRule="auto"/>
              <w:jc w:val="center"/>
              <w:rPr>
                <w:color w:val="auto"/>
                <w:szCs w:val="21"/>
              </w:rPr>
            </w:pPr>
          </w:p>
        </w:tc>
        <w:tc>
          <w:tcPr>
            <w:tcW w:w="1025" w:type="pct"/>
            <w:vAlign w:val="center"/>
          </w:tcPr>
          <w:p w14:paraId="03755669">
            <w:pPr>
              <w:spacing w:line="360" w:lineRule="auto"/>
              <w:rPr>
                <w:color w:val="auto"/>
                <w:szCs w:val="21"/>
              </w:rPr>
            </w:pPr>
            <w:r>
              <w:rPr>
                <w:rFonts w:hint="eastAsia"/>
                <w:color w:val="auto"/>
                <w:szCs w:val="21"/>
              </w:rPr>
              <w:t>集成标准</w:t>
            </w:r>
          </w:p>
        </w:tc>
        <w:tc>
          <w:tcPr>
            <w:tcW w:w="3465" w:type="pct"/>
            <w:vAlign w:val="center"/>
          </w:tcPr>
          <w:p w14:paraId="4780BDE1">
            <w:pPr>
              <w:spacing w:line="360" w:lineRule="auto"/>
              <w:rPr>
                <w:color w:val="auto"/>
                <w:szCs w:val="21"/>
              </w:rPr>
            </w:pPr>
            <w:r>
              <w:rPr>
                <w:rFonts w:hint="eastAsia"/>
                <w:color w:val="auto"/>
                <w:szCs w:val="21"/>
              </w:rPr>
              <w:t xml:space="preserve">（1）此次采购的软件系统，供应商须承诺提供原厂商的部署实施服务 </w:t>
            </w:r>
          </w:p>
          <w:p w14:paraId="3101425F">
            <w:pPr>
              <w:spacing w:line="360" w:lineRule="auto"/>
              <w:rPr>
                <w:color w:val="auto"/>
                <w:szCs w:val="21"/>
              </w:rPr>
            </w:pPr>
            <w:r>
              <w:rPr>
                <w:rFonts w:hint="eastAsia"/>
                <w:color w:val="auto"/>
                <w:szCs w:val="21"/>
              </w:rPr>
              <w:t>（2）供应商应组织完成本项目的部署实施工作，组织完成集成、安装、调试，并完成与院方现有软、硬件系统之间的联调工作。</w:t>
            </w:r>
          </w:p>
        </w:tc>
      </w:tr>
      <w:tr w14:paraId="70A7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10" w:type="pct"/>
            <w:vAlign w:val="center"/>
          </w:tcPr>
          <w:p w14:paraId="1D11D3B5">
            <w:pPr>
              <w:numPr>
                <w:ilvl w:val="0"/>
                <w:numId w:val="8"/>
              </w:numPr>
              <w:spacing w:line="360" w:lineRule="auto"/>
              <w:jc w:val="center"/>
              <w:rPr>
                <w:color w:val="auto"/>
                <w:szCs w:val="21"/>
              </w:rPr>
            </w:pPr>
          </w:p>
        </w:tc>
        <w:tc>
          <w:tcPr>
            <w:tcW w:w="1025" w:type="pct"/>
            <w:vAlign w:val="center"/>
          </w:tcPr>
          <w:p w14:paraId="4FF39594">
            <w:pPr>
              <w:spacing w:line="360" w:lineRule="auto"/>
              <w:rPr>
                <w:color w:val="auto"/>
                <w:szCs w:val="21"/>
              </w:rPr>
            </w:pPr>
            <w:r>
              <w:rPr>
                <w:rFonts w:hint="eastAsia"/>
                <w:color w:val="auto"/>
                <w:szCs w:val="21"/>
              </w:rPr>
              <w:t>培训标准</w:t>
            </w:r>
          </w:p>
        </w:tc>
        <w:tc>
          <w:tcPr>
            <w:tcW w:w="3465" w:type="pct"/>
            <w:vAlign w:val="center"/>
          </w:tcPr>
          <w:p w14:paraId="4EBE2BE7">
            <w:pPr>
              <w:spacing w:line="360" w:lineRule="auto"/>
              <w:rPr>
                <w:color w:val="auto"/>
                <w:szCs w:val="21"/>
              </w:rPr>
            </w:pPr>
            <w:r>
              <w:rPr>
                <w:rFonts w:hint="eastAsia"/>
                <w:color w:val="auto"/>
                <w:szCs w:val="21"/>
              </w:rPr>
              <w:t>供应商需承诺提供不少于1天不少于3人的工程师安装配置等实操培训课程，场地、交通等与培训相关的费用均由供应商承担。</w:t>
            </w:r>
          </w:p>
        </w:tc>
      </w:tr>
      <w:tr w14:paraId="3D6D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10" w:type="pct"/>
            <w:vAlign w:val="center"/>
          </w:tcPr>
          <w:p w14:paraId="53DC10C3">
            <w:pPr>
              <w:numPr>
                <w:ilvl w:val="0"/>
                <w:numId w:val="8"/>
              </w:numPr>
              <w:spacing w:line="360" w:lineRule="auto"/>
              <w:jc w:val="center"/>
              <w:rPr>
                <w:color w:val="auto"/>
                <w:szCs w:val="21"/>
              </w:rPr>
            </w:pPr>
          </w:p>
        </w:tc>
        <w:tc>
          <w:tcPr>
            <w:tcW w:w="1025" w:type="pct"/>
            <w:vAlign w:val="center"/>
          </w:tcPr>
          <w:p w14:paraId="3C7BE7A0">
            <w:pPr>
              <w:spacing w:line="360" w:lineRule="auto"/>
              <w:rPr>
                <w:color w:val="auto"/>
                <w:szCs w:val="21"/>
              </w:rPr>
            </w:pPr>
            <w:r>
              <w:rPr>
                <w:rFonts w:hint="eastAsia"/>
                <w:color w:val="auto"/>
                <w:szCs w:val="21"/>
              </w:rPr>
              <w:t>巡检服务</w:t>
            </w:r>
          </w:p>
        </w:tc>
        <w:tc>
          <w:tcPr>
            <w:tcW w:w="3465" w:type="pct"/>
            <w:vAlign w:val="center"/>
          </w:tcPr>
          <w:p w14:paraId="7871B658">
            <w:pPr>
              <w:spacing w:line="360" w:lineRule="auto"/>
              <w:rPr>
                <w:color w:val="auto"/>
                <w:szCs w:val="21"/>
              </w:rPr>
            </w:pPr>
            <w:r>
              <w:rPr>
                <w:rFonts w:hint="eastAsia"/>
                <w:color w:val="auto"/>
                <w:szCs w:val="21"/>
              </w:rPr>
              <w:t>供应商需承诺提供不少于1年4次的巡检服务，对本次项目内所含的产品进行全面检查，并且在巡检后3个工作日内提交巡检报告，如发现异常需及时汇报并提供解决方案。</w:t>
            </w:r>
          </w:p>
        </w:tc>
      </w:tr>
    </w:tbl>
    <w:p w14:paraId="24C74675">
      <w:pPr>
        <w:spacing w:before="100" w:beforeAutospacing="1"/>
        <w:rPr>
          <w:b/>
          <w:color w:val="auto"/>
        </w:rPr>
      </w:pPr>
    </w:p>
    <w:sectPr>
      <w:footerReference r:id="rId5" w:type="default"/>
      <w:pgSz w:w="11900" w:h="16840"/>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19F"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6074722"/>
    </w:sdtPr>
    <w:sdtContent>
      <w:p w14:paraId="468E3250">
        <w:pPr>
          <w:pStyle w:val="7"/>
          <w:jc w:val="center"/>
        </w:pPr>
        <w:r>
          <w:fldChar w:fldCharType="begin"/>
        </w:r>
        <w:r>
          <w:instrText xml:space="preserve">PAGE   \* MERGEFORMAT</w:instrText>
        </w:r>
        <w:r>
          <w:fldChar w:fldCharType="separate"/>
        </w:r>
        <w:r>
          <w:rPr>
            <w:lang w:val="zh-CN"/>
          </w:rPr>
          <w:t>1</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8E02D5"/>
    <w:multiLevelType w:val="multilevel"/>
    <w:tmpl w:val="0E8E02D5"/>
    <w:lvl w:ilvl="0" w:tentative="0">
      <w:start w:val="1"/>
      <w:numFmt w:val="decimal"/>
      <w:lvlText w:val="%1"/>
      <w:lvlJc w:val="left"/>
      <w:pPr>
        <w:ind w:left="440" w:hanging="44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9015205"/>
    <w:multiLevelType w:val="multilevel"/>
    <w:tmpl w:val="29015205"/>
    <w:lvl w:ilvl="0" w:tentative="0">
      <w:start w:val="1"/>
      <w:numFmt w:val="decimal"/>
      <w:pStyle w:val="2"/>
      <w:lvlText w:val="%1"/>
      <w:lvlJc w:val="left"/>
      <w:pPr>
        <w:ind w:left="432" w:hanging="432"/>
      </w:pPr>
      <w:rPr>
        <w:rFonts w:hint="eastAsia"/>
      </w:rPr>
    </w:lvl>
    <w:lvl w:ilvl="1" w:tentative="0">
      <w:start w:val="1"/>
      <w:numFmt w:val="decimal"/>
      <w:lvlText w:val="4.%2"/>
      <w:lvlJc w:val="left"/>
      <w:pPr>
        <w:ind w:left="576" w:hanging="576"/>
      </w:pPr>
      <w:rPr>
        <w:rFonts w:hint="eastAsia"/>
      </w:rPr>
    </w:lvl>
    <w:lvl w:ilvl="2" w:tentative="0">
      <w:start w:val="1"/>
      <w:numFmt w:val="decimal"/>
      <w:lvlText w:val="6.2.%3"/>
      <w:lvlJc w:val="left"/>
      <w:pPr>
        <w:ind w:left="720" w:hanging="720"/>
      </w:pPr>
      <w:rPr>
        <w:rFonts w:hint="eastAsia"/>
      </w:rPr>
    </w:lvl>
    <w:lvl w:ilvl="3" w:tentative="0">
      <w:start w:val="1"/>
      <w:numFmt w:val="decimal"/>
      <w:lvlText w:val="5.1.1.%4"/>
      <w:lvlJc w:val="left"/>
      <w:pPr>
        <w:ind w:left="864" w:hanging="864"/>
      </w:pPr>
      <w:rPr>
        <w:rFonts w:hint="eastAsia"/>
      </w:rPr>
    </w:lvl>
    <w:lvl w:ilvl="4" w:tentative="0">
      <w:start w:val="1"/>
      <w:numFmt w:val="decimal"/>
      <w:lvlText w:val="5.1.1.1.%5"/>
      <w:lvlJc w:val="left"/>
      <w:pPr>
        <w:ind w:left="2142"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
    <w:nsid w:val="2EB1023D"/>
    <w:multiLevelType w:val="multilevel"/>
    <w:tmpl w:val="2EB1023D"/>
    <w:lvl w:ilvl="0" w:tentative="0">
      <w:start w:val="1"/>
      <w:numFmt w:val="decimal"/>
      <w:lvlText w:val="%1"/>
      <w:lvlJc w:val="left"/>
      <w:pPr>
        <w:ind w:left="440" w:hanging="440"/>
      </w:pPr>
      <w:rPr>
        <w:rFonts w:hint="eastAsia"/>
        <w:b w:val="0"/>
        <w:bCs/>
        <w:sz w:val="24"/>
        <w:szCs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68540B2"/>
    <w:multiLevelType w:val="multilevel"/>
    <w:tmpl w:val="368540B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424A4138"/>
    <w:multiLevelType w:val="multilevel"/>
    <w:tmpl w:val="424A4138"/>
    <w:lvl w:ilvl="0" w:tentative="0">
      <w:start w:val="1"/>
      <w:numFmt w:val="chineseCountingThousand"/>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5">
    <w:nsid w:val="56401E27"/>
    <w:multiLevelType w:val="multilevel"/>
    <w:tmpl w:val="56401E2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2BE540B"/>
    <w:multiLevelType w:val="multilevel"/>
    <w:tmpl w:val="62BE540B"/>
    <w:lvl w:ilvl="0" w:tentative="0">
      <w:start w:val="1"/>
      <w:numFmt w:val="decimal"/>
      <w:lvlText w:val="%1"/>
      <w:lvlJc w:val="left"/>
      <w:pPr>
        <w:ind w:left="440" w:hanging="44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2E80687"/>
    <w:multiLevelType w:val="multilevel"/>
    <w:tmpl w:val="72E80687"/>
    <w:lvl w:ilvl="0" w:tentative="0">
      <w:start w:val="1"/>
      <w:numFmt w:val="decimal"/>
      <w:lvlText w:val="%1"/>
      <w:lvlJc w:val="left"/>
      <w:pPr>
        <w:ind w:left="440" w:hanging="44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6"/>
  </w:num>
  <w:num w:numId="4">
    <w:abstractNumId w:val="7"/>
  </w:num>
  <w:num w:numId="5">
    <w:abstractNumId w:val="2"/>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0"/>
  <w:bordersDoNotSurroundFooter w:val="0"/>
  <w:hideSpellingErrors/>
  <w:hideGrammaticalErrors/>
  <w:documentProtection w:enforcement="0"/>
  <w:defaultTabStop w:val="420"/>
  <w:drawingGridHorizontalSpacing w:val="2"/>
  <w:drawingGridVerticalSpacing w:val="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wY2UxNjVlNGJkMGIzYjJlY2FlN2ZmNGU5ZWU1ZjQifQ=="/>
  </w:docVars>
  <w:rsids>
    <w:rsidRoot w:val="006E4950"/>
    <w:rsid w:val="00001A30"/>
    <w:rsid w:val="00005886"/>
    <w:rsid w:val="00007C87"/>
    <w:rsid w:val="00016763"/>
    <w:rsid w:val="00017029"/>
    <w:rsid w:val="00030D5D"/>
    <w:rsid w:val="000365D6"/>
    <w:rsid w:val="00036922"/>
    <w:rsid w:val="00037E53"/>
    <w:rsid w:val="00040B34"/>
    <w:rsid w:val="00042394"/>
    <w:rsid w:val="00042EF5"/>
    <w:rsid w:val="0004308A"/>
    <w:rsid w:val="00044B8F"/>
    <w:rsid w:val="0004588D"/>
    <w:rsid w:val="00055B6A"/>
    <w:rsid w:val="00056244"/>
    <w:rsid w:val="0005653A"/>
    <w:rsid w:val="000567A1"/>
    <w:rsid w:val="000603E7"/>
    <w:rsid w:val="00064A0E"/>
    <w:rsid w:val="00066330"/>
    <w:rsid w:val="000704DD"/>
    <w:rsid w:val="00070968"/>
    <w:rsid w:val="00073935"/>
    <w:rsid w:val="000A004F"/>
    <w:rsid w:val="000A14B0"/>
    <w:rsid w:val="000A227B"/>
    <w:rsid w:val="000A3BF0"/>
    <w:rsid w:val="000A7314"/>
    <w:rsid w:val="000B0554"/>
    <w:rsid w:val="000B2261"/>
    <w:rsid w:val="000B2D62"/>
    <w:rsid w:val="000B2F13"/>
    <w:rsid w:val="000B4CC2"/>
    <w:rsid w:val="000C3621"/>
    <w:rsid w:val="000D2FEC"/>
    <w:rsid w:val="000D3B6D"/>
    <w:rsid w:val="000E1F56"/>
    <w:rsid w:val="000E294F"/>
    <w:rsid w:val="000E5DAC"/>
    <w:rsid w:val="000E69C5"/>
    <w:rsid w:val="00105658"/>
    <w:rsid w:val="00111329"/>
    <w:rsid w:val="001129C5"/>
    <w:rsid w:val="00112ACC"/>
    <w:rsid w:val="0011421B"/>
    <w:rsid w:val="001149C1"/>
    <w:rsid w:val="001221F0"/>
    <w:rsid w:val="00126068"/>
    <w:rsid w:val="00131C75"/>
    <w:rsid w:val="00135636"/>
    <w:rsid w:val="0013754E"/>
    <w:rsid w:val="00141317"/>
    <w:rsid w:val="0014337F"/>
    <w:rsid w:val="00152A24"/>
    <w:rsid w:val="00152FEC"/>
    <w:rsid w:val="00154A69"/>
    <w:rsid w:val="00155D04"/>
    <w:rsid w:val="00157E34"/>
    <w:rsid w:val="0016437A"/>
    <w:rsid w:val="00166044"/>
    <w:rsid w:val="00167AB9"/>
    <w:rsid w:val="00180079"/>
    <w:rsid w:val="001831C5"/>
    <w:rsid w:val="00183F81"/>
    <w:rsid w:val="00184486"/>
    <w:rsid w:val="00186985"/>
    <w:rsid w:val="00187716"/>
    <w:rsid w:val="0019023B"/>
    <w:rsid w:val="00191C51"/>
    <w:rsid w:val="00192D4B"/>
    <w:rsid w:val="001951CA"/>
    <w:rsid w:val="00196DD4"/>
    <w:rsid w:val="00196DF2"/>
    <w:rsid w:val="00197826"/>
    <w:rsid w:val="001A08EA"/>
    <w:rsid w:val="001A6DBE"/>
    <w:rsid w:val="001B21D3"/>
    <w:rsid w:val="001B4B48"/>
    <w:rsid w:val="001C7DD6"/>
    <w:rsid w:val="001D1518"/>
    <w:rsid w:val="001D534D"/>
    <w:rsid w:val="001D5E5C"/>
    <w:rsid w:val="001D615E"/>
    <w:rsid w:val="001E39E3"/>
    <w:rsid w:val="001E686A"/>
    <w:rsid w:val="001F0D98"/>
    <w:rsid w:val="002011C8"/>
    <w:rsid w:val="0020218F"/>
    <w:rsid w:val="0020626B"/>
    <w:rsid w:val="002069C4"/>
    <w:rsid w:val="00211A01"/>
    <w:rsid w:val="00213943"/>
    <w:rsid w:val="00217D46"/>
    <w:rsid w:val="00220F05"/>
    <w:rsid w:val="002218DF"/>
    <w:rsid w:val="002222DE"/>
    <w:rsid w:val="0022620E"/>
    <w:rsid w:val="00227273"/>
    <w:rsid w:val="002304BC"/>
    <w:rsid w:val="0023074A"/>
    <w:rsid w:val="00230E1E"/>
    <w:rsid w:val="00232958"/>
    <w:rsid w:val="00244BE2"/>
    <w:rsid w:val="00246633"/>
    <w:rsid w:val="00261F0C"/>
    <w:rsid w:val="00263A4F"/>
    <w:rsid w:val="002803DC"/>
    <w:rsid w:val="00282AF9"/>
    <w:rsid w:val="00290026"/>
    <w:rsid w:val="00290C49"/>
    <w:rsid w:val="00292DBA"/>
    <w:rsid w:val="0029415E"/>
    <w:rsid w:val="00294D0D"/>
    <w:rsid w:val="002A26F2"/>
    <w:rsid w:val="002A31E8"/>
    <w:rsid w:val="002A3892"/>
    <w:rsid w:val="002A4659"/>
    <w:rsid w:val="002B6A65"/>
    <w:rsid w:val="002B7BD2"/>
    <w:rsid w:val="002D11F9"/>
    <w:rsid w:val="002D16C4"/>
    <w:rsid w:val="002D4587"/>
    <w:rsid w:val="002D57A8"/>
    <w:rsid w:val="002D6E4A"/>
    <w:rsid w:val="002E40F6"/>
    <w:rsid w:val="002E5F7E"/>
    <w:rsid w:val="002F1C39"/>
    <w:rsid w:val="002F5DA0"/>
    <w:rsid w:val="002F5FA3"/>
    <w:rsid w:val="00311C7D"/>
    <w:rsid w:val="00312590"/>
    <w:rsid w:val="0031517B"/>
    <w:rsid w:val="003170CC"/>
    <w:rsid w:val="003217AA"/>
    <w:rsid w:val="00324C95"/>
    <w:rsid w:val="00327136"/>
    <w:rsid w:val="00332847"/>
    <w:rsid w:val="00337BD7"/>
    <w:rsid w:val="00341446"/>
    <w:rsid w:val="00342D5A"/>
    <w:rsid w:val="003446F9"/>
    <w:rsid w:val="0035258F"/>
    <w:rsid w:val="00355E20"/>
    <w:rsid w:val="0035710F"/>
    <w:rsid w:val="003631D6"/>
    <w:rsid w:val="00372D83"/>
    <w:rsid w:val="0037742E"/>
    <w:rsid w:val="0038743E"/>
    <w:rsid w:val="00392A2D"/>
    <w:rsid w:val="00396214"/>
    <w:rsid w:val="00396B38"/>
    <w:rsid w:val="00397481"/>
    <w:rsid w:val="003A22B6"/>
    <w:rsid w:val="003A2C4F"/>
    <w:rsid w:val="003A3F68"/>
    <w:rsid w:val="003B2BCE"/>
    <w:rsid w:val="003B63D5"/>
    <w:rsid w:val="003B6534"/>
    <w:rsid w:val="003C34F6"/>
    <w:rsid w:val="003C618A"/>
    <w:rsid w:val="003C7399"/>
    <w:rsid w:val="003D3F73"/>
    <w:rsid w:val="003D5589"/>
    <w:rsid w:val="003D6376"/>
    <w:rsid w:val="003D7ECD"/>
    <w:rsid w:val="003E5E22"/>
    <w:rsid w:val="003E61A3"/>
    <w:rsid w:val="003F01CF"/>
    <w:rsid w:val="003F2EEF"/>
    <w:rsid w:val="003F6240"/>
    <w:rsid w:val="004006A7"/>
    <w:rsid w:val="004052C2"/>
    <w:rsid w:val="0040587C"/>
    <w:rsid w:val="00406026"/>
    <w:rsid w:val="00406A1B"/>
    <w:rsid w:val="00410784"/>
    <w:rsid w:val="00420A5B"/>
    <w:rsid w:val="0042331E"/>
    <w:rsid w:val="00426CC0"/>
    <w:rsid w:val="00426D96"/>
    <w:rsid w:val="00430D33"/>
    <w:rsid w:val="004318FD"/>
    <w:rsid w:val="00431B5A"/>
    <w:rsid w:val="00435D70"/>
    <w:rsid w:val="00441AA5"/>
    <w:rsid w:val="00443EFA"/>
    <w:rsid w:val="00444E72"/>
    <w:rsid w:val="00446A2C"/>
    <w:rsid w:val="00447457"/>
    <w:rsid w:val="00451877"/>
    <w:rsid w:val="004567DD"/>
    <w:rsid w:val="00461DF7"/>
    <w:rsid w:val="004628CC"/>
    <w:rsid w:val="00467D2D"/>
    <w:rsid w:val="00476DFF"/>
    <w:rsid w:val="00483888"/>
    <w:rsid w:val="00486903"/>
    <w:rsid w:val="004918E8"/>
    <w:rsid w:val="004B1680"/>
    <w:rsid w:val="004B2FC7"/>
    <w:rsid w:val="004B7961"/>
    <w:rsid w:val="004C06EA"/>
    <w:rsid w:val="004C0E8D"/>
    <w:rsid w:val="004D1E2A"/>
    <w:rsid w:val="004D4C2C"/>
    <w:rsid w:val="004D4F5A"/>
    <w:rsid w:val="004E0C59"/>
    <w:rsid w:val="004E11B1"/>
    <w:rsid w:val="004E4018"/>
    <w:rsid w:val="004E5E02"/>
    <w:rsid w:val="005110D4"/>
    <w:rsid w:val="00511771"/>
    <w:rsid w:val="00513F2D"/>
    <w:rsid w:val="005274B3"/>
    <w:rsid w:val="0052770E"/>
    <w:rsid w:val="005335B4"/>
    <w:rsid w:val="005420CF"/>
    <w:rsid w:val="00544F95"/>
    <w:rsid w:val="00545C9B"/>
    <w:rsid w:val="0055205A"/>
    <w:rsid w:val="00555D82"/>
    <w:rsid w:val="00561390"/>
    <w:rsid w:val="00563992"/>
    <w:rsid w:val="00573ADF"/>
    <w:rsid w:val="00574606"/>
    <w:rsid w:val="00582CB9"/>
    <w:rsid w:val="00583E8C"/>
    <w:rsid w:val="00586DF6"/>
    <w:rsid w:val="005900D5"/>
    <w:rsid w:val="00592BD1"/>
    <w:rsid w:val="00593912"/>
    <w:rsid w:val="0059484A"/>
    <w:rsid w:val="005B089F"/>
    <w:rsid w:val="005B1AAA"/>
    <w:rsid w:val="005B1F37"/>
    <w:rsid w:val="005B278A"/>
    <w:rsid w:val="005B7342"/>
    <w:rsid w:val="005C0731"/>
    <w:rsid w:val="005C1400"/>
    <w:rsid w:val="005C28BE"/>
    <w:rsid w:val="005C5AC5"/>
    <w:rsid w:val="005C6922"/>
    <w:rsid w:val="005C7A27"/>
    <w:rsid w:val="005D0ACB"/>
    <w:rsid w:val="005D2C44"/>
    <w:rsid w:val="005D3C40"/>
    <w:rsid w:val="005D77A8"/>
    <w:rsid w:val="005E15B9"/>
    <w:rsid w:val="005E2054"/>
    <w:rsid w:val="005E2917"/>
    <w:rsid w:val="005E2A87"/>
    <w:rsid w:val="005E2FBD"/>
    <w:rsid w:val="005E7481"/>
    <w:rsid w:val="005F22FF"/>
    <w:rsid w:val="006017C3"/>
    <w:rsid w:val="006029D0"/>
    <w:rsid w:val="00613EDD"/>
    <w:rsid w:val="00615929"/>
    <w:rsid w:val="00615C42"/>
    <w:rsid w:val="00616E8A"/>
    <w:rsid w:val="006236FA"/>
    <w:rsid w:val="00623AA5"/>
    <w:rsid w:val="0062542D"/>
    <w:rsid w:val="00631018"/>
    <w:rsid w:val="0063247C"/>
    <w:rsid w:val="00633D8A"/>
    <w:rsid w:val="00634E9E"/>
    <w:rsid w:val="00637942"/>
    <w:rsid w:val="00661757"/>
    <w:rsid w:val="0066482C"/>
    <w:rsid w:val="0066482F"/>
    <w:rsid w:val="0066563A"/>
    <w:rsid w:val="00665971"/>
    <w:rsid w:val="00665BF7"/>
    <w:rsid w:val="00672A83"/>
    <w:rsid w:val="00674DF9"/>
    <w:rsid w:val="00676E2F"/>
    <w:rsid w:val="00680A9E"/>
    <w:rsid w:val="0068112D"/>
    <w:rsid w:val="00684C2C"/>
    <w:rsid w:val="00685276"/>
    <w:rsid w:val="00686149"/>
    <w:rsid w:val="006940B3"/>
    <w:rsid w:val="006A5EF4"/>
    <w:rsid w:val="006B1181"/>
    <w:rsid w:val="006B44A7"/>
    <w:rsid w:val="006B4794"/>
    <w:rsid w:val="006C5925"/>
    <w:rsid w:val="006D159E"/>
    <w:rsid w:val="006D21D2"/>
    <w:rsid w:val="006D3ED0"/>
    <w:rsid w:val="006E04F4"/>
    <w:rsid w:val="006E0B22"/>
    <w:rsid w:val="006E269B"/>
    <w:rsid w:val="006E46D8"/>
    <w:rsid w:val="006E4950"/>
    <w:rsid w:val="006E76CA"/>
    <w:rsid w:val="006F2719"/>
    <w:rsid w:val="006F3D85"/>
    <w:rsid w:val="006F73C4"/>
    <w:rsid w:val="0070298F"/>
    <w:rsid w:val="007104A9"/>
    <w:rsid w:val="00712056"/>
    <w:rsid w:val="0071728F"/>
    <w:rsid w:val="0072127F"/>
    <w:rsid w:val="00724EC4"/>
    <w:rsid w:val="007257BE"/>
    <w:rsid w:val="00737980"/>
    <w:rsid w:val="0074731B"/>
    <w:rsid w:val="0075224A"/>
    <w:rsid w:val="00757EF9"/>
    <w:rsid w:val="007608D7"/>
    <w:rsid w:val="00760A28"/>
    <w:rsid w:val="007611A6"/>
    <w:rsid w:val="00762EB2"/>
    <w:rsid w:val="00763846"/>
    <w:rsid w:val="0076495C"/>
    <w:rsid w:val="007661CF"/>
    <w:rsid w:val="00766BF7"/>
    <w:rsid w:val="0077278E"/>
    <w:rsid w:val="007756C4"/>
    <w:rsid w:val="007764A2"/>
    <w:rsid w:val="00776AEB"/>
    <w:rsid w:val="0078020F"/>
    <w:rsid w:val="0078413E"/>
    <w:rsid w:val="00786F1C"/>
    <w:rsid w:val="007930A2"/>
    <w:rsid w:val="0079798B"/>
    <w:rsid w:val="007A04E8"/>
    <w:rsid w:val="007A3578"/>
    <w:rsid w:val="007A4283"/>
    <w:rsid w:val="007B266A"/>
    <w:rsid w:val="007B50F3"/>
    <w:rsid w:val="007B7B06"/>
    <w:rsid w:val="007C6B33"/>
    <w:rsid w:val="007D5150"/>
    <w:rsid w:val="007E065A"/>
    <w:rsid w:val="007E086A"/>
    <w:rsid w:val="007E6B60"/>
    <w:rsid w:val="007F1CB0"/>
    <w:rsid w:val="007F4A92"/>
    <w:rsid w:val="007F50D4"/>
    <w:rsid w:val="00806617"/>
    <w:rsid w:val="00807200"/>
    <w:rsid w:val="00811A4B"/>
    <w:rsid w:val="00817080"/>
    <w:rsid w:val="00817E69"/>
    <w:rsid w:val="00824E95"/>
    <w:rsid w:val="008371A0"/>
    <w:rsid w:val="00845AAF"/>
    <w:rsid w:val="00850F89"/>
    <w:rsid w:val="00854694"/>
    <w:rsid w:val="00857BB0"/>
    <w:rsid w:val="008649B7"/>
    <w:rsid w:val="0086615E"/>
    <w:rsid w:val="00873BA7"/>
    <w:rsid w:val="00874E10"/>
    <w:rsid w:val="008778FF"/>
    <w:rsid w:val="008827CA"/>
    <w:rsid w:val="008851C0"/>
    <w:rsid w:val="00886F55"/>
    <w:rsid w:val="00894A1E"/>
    <w:rsid w:val="00894DC1"/>
    <w:rsid w:val="008A06ED"/>
    <w:rsid w:val="008A36E3"/>
    <w:rsid w:val="008A3EA9"/>
    <w:rsid w:val="008B1D58"/>
    <w:rsid w:val="008B4281"/>
    <w:rsid w:val="008C12B9"/>
    <w:rsid w:val="008C1448"/>
    <w:rsid w:val="008C6E46"/>
    <w:rsid w:val="008D7831"/>
    <w:rsid w:val="008E10CE"/>
    <w:rsid w:val="008E4BB5"/>
    <w:rsid w:val="008E683F"/>
    <w:rsid w:val="008F3AAE"/>
    <w:rsid w:val="008F483A"/>
    <w:rsid w:val="008F6B22"/>
    <w:rsid w:val="008F6DF5"/>
    <w:rsid w:val="0090052F"/>
    <w:rsid w:val="009025FD"/>
    <w:rsid w:val="00902BF3"/>
    <w:rsid w:val="00903AC4"/>
    <w:rsid w:val="009054B4"/>
    <w:rsid w:val="009070DE"/>
    <w:rsid w:val="0091441F"/>
    <w:rsid w:val="00916A2A"/>
    <w:rsid w:val="00917D0D"/>
    <w:rsid w:val="0092337C"/>
    <w:rsid w:val="00926018"/>
    <w:rsid w:val="009272CB"/>
    <w:rsid w:val="00927783"/>
    <w:rsid w:val="00927E7D"/>
    <w:rsid w:val="00933AA4"/>
    <w:rsid w:val="009359BD"/>
    <w:rsid w:val="0093694C"/>
    <w:rsid w:val="009428FF"/>
    <w:rsid w:val="00953434"/>
    <w:rsid w:val="0095393A"/>
    <w:rsid w:val="009543E1"/>
    <w:rsid w:val="00954BED"/>
    <w:rsid w:val="00961355"/>
    <w:rsid w:val="009654A4"/>
    <w:rsid w:val="009749F8"/>
    <w:rsid w:val="00980865"/>
    <w:rsid w:val="00984306"/>
    <w:rsid w:val="00987211"/>
    <w:rsid w:val="00993A55"/>
    <w:rsid w:val="00996873"/>
    <w:rsid w:val="009978DE"/>
    <w:rsid w:val="009A1889"/>
    <w:rsid w:val="009A5344"/>
    <w:rsid w:val="009B5B63"/>
    <w:rsid w:val="009C1866"/>
    <w:rsid w:val="009D3ADF"/>
    <w:rsid w:val="009D554E"/>
    <w:rsid w:val="009D75D2"/>
    <w:rsid w:val="009E4AA3"/>
    <w:rsid w:val="009E5326"/>
    <w:rsid w:val="009E65DE"/>
    <w:rsid w:val="009E7FF4"/>
    <w:rsid w:val="009F0401"/>
    <w:rsid w:val="009F0ACE"/>
    <w:rsid w:val="009F0C0E"/>
    <w:rsid w:val="009F2078"/>
    <w:rsid w:val="009F5EEA"/>
    <w:rsid w:val="009F6A56"/>
    <w:rsid w:val="00A03020"/>
    <w:rsid w:val="00A11A99"/>
    <w:rsid w:val="00A32D0D"/>
    <w:rsid w:val="00A3577D"/>
    <w:rsid w:val="00A3599E"/>
    <w:rsid w:val="00A4353A"/>
    <w:rsid w:val="00A4757E"/>
    <w:rsid w:val="00A551EF"/>
    <w:rsid w:val="00A60D7C"/>
    <w:rsid w:val="00A639F5"/>
    <w:rsid w:val="00A6551B"/>
    <w:rsid w:val="00A65BD1"/>
    <w:rsid w:val="00A661FA"/>
    <w:rsid w:val="00A67701"/>
    <w:rsid w:val="00A721BC"/>
    <w:rsid w:val="00A75638"/>
    <w:rsid w:val="00A82F87"/>
    <w:rsid w:val="00A83DA2"/>
    <w:rsid w:val="00A85EF3"/>
    <w:rsid w:val="00A87AC0"/>
    <w:rsid w:val="00A9627B"/>
    <w:rsid w:val="00A967E2"/>
    <w:rsid w:val="00AA08CB"/>
    <w:rsid w:val="00AA2CEF"/>
    <w:rsid w:val="00AA33A1"/>
    <w:rsid w:val="00AA457F"/>
    <w:rsid w:val="00AA4C97"/>
    <w:rsid w:val="00AB07D9"/>
    <w:rsid w:val="00AB0814"/>
    <w:rsid w:val="00AB1BC5"/>
    <w:rsid w:val="00AB6BB2"/>
    <w:rsid w:val="00AB7D16"/>
    <w:rsid w:val="00AC19C2"/>
    <w:rsid w:val="00AC4FCF"/>
    <w:rsid w:val="00AD72F7"/>
    <w:rsid w:val="00AE1AE1"/>
    <w:rsid w:val="00AE2311"/>
    <w:rsid w:val="00AE5844"/>
    <w:rsid w:val="00AE7031"/>
    <w:rsid w:val="00AE76B1"/>
    <w:rsid w:val="00AF15AA"/>
    <w:rsid w:val="00AF375E"/>
    <w:rsid w:val="00B0524B"/>
    <w:rsid w:val="00B06355"/>
    <w:rsid w:val="00B12188"/>
    <w:rsid w:val="00B20A70"/>
    <w:rsid w:val="00B22752"/>
    <w:rsid w:val="00B31BA7"/>
    <w:rsid w:val="00B34C55"/>
    <w:rsid w:val="00B40AD5"/>
    <w:rsid w:val="00B40AEA"/>
    <w:rsid w:val="00B45AF4"/>
    <w:rsid w:val="00B50F84"/>
    <w:rsid w:val="00B547E5"/>
    <w:rsid w:val="00B54E84"/>
    <w:rsid w:val="00B564DF"/>
    <w:rsid w:val="00B57DEA"/>
    <w:rsid w:val="00B632E0"/>
    <w:rsid w:val="00B65BEB"/>
    <w:rsid w:val="00B66DF0"/>
    <w:rsid w:val="00B66EBD"/>
    <w:rsid w:val="00B6763F"/>
    <w:rsid w:val="00B85FA4"/>
    <w:rsid w:val="00B9397A"/>
    <w:rsid w:val="00B93CC0"/>
    <w:rsid w:val="00B94470"/>
    <w:rsid w:val="00BA0D2C"/>
    <w:rsid w:val="00BA6965"/>
    <w:rsid w:val="00BB5324"/>
    <w:rsid w:val="00BC3427"/>
    <w:rsid w:val="00BC7FA2"/>
    <w:rsid w:val="00BD5504"/>
    <w:rsid w:val="00BD5BBF"/>
    <w:rsid w:val="00BD651D"/>
    <w:rsid w:val="00BE466D"/>
    <w:rsid w:val="00BE5BDB"/>
    <w:rsid w:val="00BF0F49"/>
    <w:rsid w:val="00BF6BFA"/>
    <w:rsid w:val="00C00EDA"/>
    <w:rsid w:val="00C0783E"/>
    <w:rsid w:val="00C10EEA"/>
    <w:rsid w:val="00C12BF3"/>
    <w:rsid w:val="00C16883"/>
    <w:rsid w:val="00C201B5"/>
    <w:rsid w:val="00C2753C"/>
    <w:rsid w:val="00C349C2"/>
    <w:rsid w:val="00C35C98"/>
    <w:rsid w:val="00C364F9"/>
    <w:rsid w:val="00C52846"/>
    <w:rsid w:val="00C578FD"/>
    <w:rsid w:val="00C61FBF"/>
    <w:rsid w:val="00C632B7"/>
    <w:rsid w:val="00C657FF"/>
    <w:rsid w:val="00C659B0"/>
    <w:rsid w:val="00C7032A"/>
    <w:rsid w:val="00C741AA"/>
    <w:rsid w:val="00C7515C"/>
    <w:rsid w:val="00C83A0D"/>
    <w:rsid w:val="00C85C09"/>
    <w:rsid w:val="00C87D0D"/>
    <w:rsid w:val="00C91A9A"/>
    <w:rsid w:val="00C93531"/>
    <w:rsid w:val="00C9355E"/>
    <w:rsid w:val="00C9433C"/>
    <w:rsid w:val="00C9512F"/>
    <w:rsid w:val="00C95288"/>
    <w:rsid w:val="00CA3950"/>
    <w:rsid w:val="00CB2B43"/>
    <w:rsid w:val="00CB78FD"/>
    <w:rsid w:val="00CC0A11"/>
    <w:rsid w:val="00CC4D65"/>
    <w:rsid w:val="00CC6086"/>
    <w:rsid w:val="00CD0A37"/>
    <w:rsid w:val="00CD3F1F"/>
    <w:rsid w:val="00CD6672"/>
    <w:rsid w:val="00CE07FB"/>
    <w:rsid w:val="00CE655F"/>
    <w:rsid w:val="00CF0AED"/>
    <w:rsid w:val="00CF114E"/>
    <w:rsid w:val="00CF5E9B"/>
    <w:rsid w:val="00CF7012"/>
    <w:rsid w:val="00D00383"/>
    <w:rsid w:val="00D00B5C"/>
    <w:rsid w:val="00D00FC0"/>
    <w:rsid w:val="00D0126E"/>
    <w:rsid w:val="00D01D81"/>
    <w:rsid w:val="00D03305"/>
    <w:rsid w:val="00D061DD"/>
    <w:rsid w:val="00D10486"/>
    <w:rsid w:val="00D14599"/>
    <w:rsid w:val="00D15712"/>
    <w:rsid w:val="00D15858"/>
    <w:rsid w:val="00D23A31"/>
    <w:rsid w:val="00D27476"/>
    <w:rsid w:val="00D3142B"/>
    <w:rsid w:val="00D363FE"/>
    <w:rsid w:val="00D44E37"/>
    <w:rsid w:val="00D55177"/>
    <w:rsid w:val="00D619BF"/>
    <w:rsid w:val="00D77B24"/>
    <w:rsid w:val="00D8329A"/>
    <w:rsid w:val="00D87EBB"/>
    <w:rsid w:val="00D91A9D"/>
    <w:rsid w:val="00D94BA0"/>
    <w:rsid w:val="00D9578A"/>
    <w:rsid w:val="00D96727"/>
    <w:rsid w:val="00DA3290"/>
    <w:rsid w:val="00DA4819"/>
    <w:rsid w:val="00DA60A7"/>
    <w:rsid w:val="00DA773E"/>
    <w:rsid w:val="00DA7A08"/>
    <w:rsid w:val="00DB43E5"/>
    <w:rsid w:val="00DC10A4"/>
    <w:rsid w:val="00DC5964"/>
    <w:rsid w:val="00DC6222"/>
    <w:rsid w:val="00DD1206"/>
    <w:rsid w:val="00DD27DC"/>
    <w:rsid w:val="00DE0047"/>
    <w:rsid w:val="00DF23FF"/>
    <w:rsid w:val="00DF36DD"/>
    <w:rsid w:val="00DF52F6"/>
    <w:rsid w:val="00E126EA"/>
    <w:rsid w:val="00E13127"/>
    <w:rsid w:val="00E15158"/>
    <w:rsid w:val="00E17D8B"/>
    <w:rsid w:val="00E2572D"/>
    <w:rsid w:val="00E27A08"/>
    <w:rsid w:val="00E322EA"/>
    <w:rsid w:val="00E36689"/>
    <w:rsid w:val="00E417DB"/>
    <w:rsid w:val="00E52CEC"/>
    <w:rsid w:val="00E561C8"/>
    <w:rsid w:val="00E563FB"/>
    <w:rsid w:val="00E67572"/>
    <w:rsid w:val="00E67C64"/>
    <w:rsid w:val="00E71DCB"/>
    <w:rsid w:val="00E74662"/>
    <w:rsid w:val="00E81018"/>
    <w:rsid w:val="00E81394"/>
    <w:rsid w:val="00E86B99"/>
    <w:rsid w:val="00E9277F"/>
    <w:rsid w:val="00E9400E"/>
    <w:rsid w:val="00E979C4"/>
    <w:rsid w:val="00EA1DE3"/>
    <w:rsid w:val="00EA3373"/>
    <w:rsid w:val="00EA54F6"/>
    <w:rsid w:val="00EA5D96"/>
    <w:rsid w:val="00EA5DB5"/>
    <w:rsid w:val="00EB2C12"/>
    <w:rsid w:val="00EB48CC"/>
    <w:rsid w:val="00EC028D"/>
    <w:rsid w:val="00EC0A94"/>
    <w:rsid w:val="00EC6F99"/>
    <w:rsid w:val="00EC73A2"/>
    <w:rsid w:val="00EE510E"/>
    <w:rsid w:val="00EE516D"/>
    <w:rsid w:val="00EE7670"/>
    <w:rsid w:val="00EF477C"/>
    <w:rsid w:val="00EF4BD5"/>
    <w:rsid w:val="00EF4C75"/>
    <w:rsid w:val="00EF51F0"/>
    <w:rsid w:val="00F05A72"/>
    <w:rsid w:val="00F06ECF"/>
    <w:rsid w:val="00F1176C"/>
    <w:rsid w:val="00F1444E"/>
    <w:rsid w:val="00F174DD"/>
    <w:rsid w:val="00F17E71"/>
    <w:rsid w:val="00F230B0"/>
    <w:rsid w:val="00F35A5F"/>
    <w:rsid w:val="00F36EB8"/>
    <w:rsid w:val="00F37FEB"/>
    <w:rsid w:val="00F42119"/>
    <w:rsid w:val="00F42DAF"/>
    <w:rsid w:val="00F430F7"/>
    <w:rsid w:val="00F44793"/>
    <w:rsid w:val="00F47D98"/>
    <w:rsid w:val="00F5011C"/>
    <w:rsid w:val="00F54C5A"/>
    <w:rsid w:val="00F55C8C"/>
    <w:rsid w:val="00F57E5A"/>
    <w:rsid w:val="00F625B4"/>
    <w:rsid w:val="00F6398D"/>
    <w:rsid w:val="00F70381"/>
    <w:rsid w:val="00F70C05"/>
    <w:rsid w:val="00F77DA5"/>
    <w:rsid w:val="00F800FE"/>
    <w:rsid w:val="00F819C0"/>
    <w:rsid w:val="00F83797"/>
    <w:rsid w:val="00F8437A"/>
    <w:rsid w:val="00F84BF9"/>
    <w:rsid w:val="00F85EAF"/>
    <w:rsid w:val="00F86164"/>
    <w:rsid w:val="00FA0682"/>
    <w:rsid w:val="00FA2FF7"/>
    <w:rsid w:val="00FA3D67"/>
    <w:rsid w:val="00FA5A9F"/>
    <w:rsid w:val="00FA7A45"/>
    <w:rsid w:val="00FB0DA7"/>
    <w:rsid w:val="00FB147F"/>
    <w:rsid w:val="00FB2150"/>
    <w:rsid w:val="00FB3F60"/>
    <w:rsid w:val="00FB4547"/>
    <w:rsid w:val="00FB6922"/>
    <w:rsid w:val="00FC1A17"/>
    <w:rsid w:val="00FD41F5"/>
    <w:rsid w:val="00FD64B0"/>
    <w:rsid w:val="00FE0FFE"/>
    <w:rsid w:val="00FE254D"/>
    <w:rsid w:val="00FE58C3"/>
    <w:rsid w:val="00FE5DEA"/>
    <w:rsid w:val="00FE6D48"/>
    <w:rsid w:val="00FF3AE3"/>
    <w:rsid w:val="02094E3E"/>
    <w:rsid w:val="02DA018C"/>
    <w:rsid w:val="02E01C47"/>
    <w:rsid w:val="04043CA0"/>
    <w:rsid w:val="042B127B"/>
    <w:rsid w:val="04D93706"/>
    <w:rsid w:val="04DF1A8A"/>
    <w:rsid w:val="05045825"/>
    <w:rsid w:val="050F05C1"/>
    <w:rsid w:val="05B17A64"/>
    <w:rsid w:val="06347CE1"/>
    <w:rsid w:val="081D2FF5"/>
    <w:rsid w:val="083D4E69"/>
    <w:rsid w:val="08604EB8"/>
    <w:rsid w:val="08E91B09"/>
    <w:rsid w:val="0966277A"/>
    <w:rsid w:val="0A0F4BBF"/>
    <w:rsid w:val="0A2B546F"/>
    <w:rsid w:val="0A486323"/>
    <w:rsid w:val="0ADD6A6C"/>
    <w:rsid w:val="0BCD2653"/>
    <w:rsid w:val="0C525237"/>
    <w:rsid w:val="0D4841F9"/>
    <w:rsid w:val="0E0611E7"/>
    <w:rsid w:val="0E1326A3"/>
    <w:rsid w:val="0E7A11BD"/>
    <w:rsid w:val="0E7C7503"/>
    <w:rsid w:val="0EF05C4B"/>
    <w:rsid w:val="0FC401FA"/>
    <w:rsid w:val="0FD03043"/>
    <w:rsid w:val="10044A9B"/>
    <w:rsid w:val="10CC74E8"/>
    <w:rsid w:val="10E96744"/>
    <w:rsid w:val="10FC3A66"/>
    <w:rsid w:val="115460F5"/>
    <w:rsid w:val="123D6042"/>
    <w:rsid w:val="13A22600"/>
    <w:rsid w:val="13D84274"/>
    <w:rsid w:val="155B6E8A"/>
    <w:rsid w:val="158F3058"/>
    <w:rsid w:val="17CC40F0"/>
    <w:rsid w:val="18273A1C"/>
    <w:rsid w:val="186624B9"/>
    <w:rsid w:val="18D366AC"/>
    <w:rsid w:val="1B570F4A"/>
    <w:rsid w:val="1B7C5E2D"/>
    <w:rsid w:val="1BB927C2"/>
    <w:rsid w:val="1BCD24C6"/>
    <w:rsid w:val="1BDB2B53"/>
    <w:rsid w:val="1C5A2FE5"/>
    <w:rsid w:val="1D9B6A3E"/>
    <w:rsid w:val="1DBD7127"/>
    <w:rsid w:val="1E12087C"/>
    <w:rsid w:val="1E195BB5"/>
    <w:rsid w:val="1E4E1501"/>
    <w:rsid w:val="1E844637"/>
    <w:rsid w:val="1E9805E7"/>
    <w:rsid w:val="1EC43D73"/>
    <w:rsid w:val="1FEC17D3"/>
    <w:rsid w:val="20BB11A5"/>
    <w:rsid w:val="20E41EFC"/>
    <w:rsid w:val="21274A8D"/>
    <w:rsid w:val="21A03250"/>
    <w:rsid w:val="22146DBF"/>
    <w:rsid w:val="22370D00"/>
    <w:rsid w:val="22753323"/>
    <w:rsid w:val="23102ABE"/>
    <w:rsid w:val="238A37F2"/>
    <w:rsid w:val="24457704"/>
    <w:rsid w:val="24500991"/>
    <w:rsid w:val="246833F2"/>
    <w:rsid w:val="24693366"/>
    <w:rsid w:val="2475692E"/>
    <w:rsid w:val="24BA4671"/>
    <w:rsid w:val="25BD151C"/>
    <w:rsid w:val="25E06D1B"/>
    <w:rsid w:val="25F50CB6"/>
    <w:rsid w:val="265005E2"/>
    <w:rsid w:val="26812549"/>
    <w:rsid w:val="27194E78"/>
    <w:rsid w:val="27455C6D"/>
    <w:rsid w:val="27953A28"/>
    <w:rsid w:val="27CA6908"/>
    <w:rsid w:val="27F461D3"/>
    <w:rsid w:val="28491F2C"/>
    <w:rsid w:val="284D2893"/>
    <w:rsid w:val="285A5748"/>
    <w:rsid w:val="292A1FBD"/>
    <w:rsid w:val="2A233575"/>
    <w:rsid w:val="2A5E7538"/>
    <w:rsid w:val="2BF44FF3"/>
    <w:rsid w:val="2C9805ED"/>
    <w:rsid w:val="2CDF6598"/>
    <w:rsid w:val="2DB6132F"/>
    <w:rsid w:val="2E530C6F"/>
    <w:rsid w:val="2EF37D5C"/>
    <w:rsid w:val="2EFF2BA5"/>
    <w:rsid w:val="2F2F2BF7"/>
    <w:rsid w:val="2F7D6EF5"/>
    <w:rsid w:val="2FD81838"/>
    <w:rsid w:val="2FFC5532"/>
    <w:rsid w:val="2FFF10AF"/>
    <w:rsid w:val="308C50A0"/>
    <w:rsid w:val="30DD2A72"/>
    <w:rsid w:val="313A7EC4"/>
    <w:rsid w:val="31F8136F"/>
    <w:rsid w:val="321B1AA4"/>
    <w:rsid w:val="3341553A"/>
    <w:rsid w:val="3344327C"/>
    <w:rsid w:val="346C4839"/>
    <w:rsid w:val="34BD6786"/>
    <w:rsid w:val="35643762"/>
    <w:rsid w:val="35FB549E"/>
    <w:rsid w:val="36843E20"/>
    <w:rsid w:val="3718335F"/>
    <w:rsid w:val="37DC3A83"/>
    <w:rsid w:val="37ED7A3F"/>
    <w:rsid w:val="38F41EC9"/>
    <w:rsid w:val="39205BF2"/>
    <w:rsid w:val="3B041F86"/>
    <w:rsid w:val="3B0E664A"/>
    <w:rsid w:val="3B764E93"/>
    <w:rsid w:val="3BB32D4D"/>
    <w:rsid w:val="3C1C6B44"/>
    <w:rsid w:val="3CEB0B98"/>
    <w:rsid w:val="3D053A7C"/>
    <w:rsid w:val="3DD1570D"/>
    <w:rsid w:val="3DE60A3D"/>
    <w:rsid w:val="3E0745F8"/>
    <w:rsid w:val="3E442382"/>
    <w:rsid w:val="3E970704"/>
    <w:rsid w:val="3F4F0FDF"/>
    <w:rsid w:val="40354679"/>
    <w:rsid w:val="40842F0A"/>
    <w:rsid w:val="40907B01"/>
    <w:rsid w:val="40C61775"/>
    <w:rsid w:val="418331C2"/>
    <w:rsid w:val="419D24D5"/>
    <w:rsid w:val="41AA4BF2"/>
    <w:rsid w:val="420C5A4F"/>
    <w:rsid w:val="43A7203E"/>
    <w:rsid w:val="43E53CC0"/>
    <w:rsid w:val="44E12AF5"/>
    <w:rsid w:val="45486BFC"/>
    <w:rsid w:val="45A100BA"/>
    <w:rsid w:val="473A2575"/>
    <w:rsid w:val="47ED5D24"/>
    <w:rsid w:val="482D5567"/>
    <w:rsid w:val="482F7FB1"/>
    <w:rsid w:val="48406309"/>
    <w:rsid w:val="48C72D96"/>
    <w:rsid w:val="4951041B"/>
    <w:rsid w:val="49C16F7D"/>
    <w:rsid w:val="4A5751EC"/>
    <w:rsid w:val="4B600C01"/>
    <w:rsid w:val="4B991F60"/>
    <w:rsid w:val="4BEA7D47"/>
    <w:rsid w:val="4C14041B"/>
    <w:rsid w:val="4C3B12F1"/>
    <w:rsid w:val="4D4C4DB0"/>
    <w:rsid w:val="4D4C7640"/>
    <w:rsid w:val="4D503867"/>
    <w:rsid w:val="4DDF6E87"/>
    <w:rsid w:val="4DEB6377"/>
    <w:rsid w:val="4E1458CD"/>
    <w:rsid w:val="4EAC3808"/>
    <w:rsid w:val="4F702FD7"/>
    <w:rsid w:val="4F7A9C8A"/>
    <w:rsid w:val="4FA47359"/>
    <w:rsid w:val="50A85380"/>
    <w:rsid w:val="51EB103B"/>
    <w:rsid w:val="52165069"/>
    <w:rsid w:val="5257047F"/>
    <w:rsid w:val="529238D0"/>
    <w:rsid w:val="539E4723"/>
    <w:rsid w:val="53E47AF0"/>
    <w:rsid w:val="53F4518B"/>
    <w:rsid w:val="554E1B47"/>
    <w:rsid w:val="5567690C"/>
    <w:rsid w:val="55954B24"/>
    <w:rsid w:val="563332FB"/>
    <w:rsid w:val="568850AA"/>
    <w:rsid w:val="57B07E43"/>
    <w:rsid w:val="57D02FF1"/>
    <w:rsid w:val="57F51E26"/>
    <w:rsid w:val="583019E9"/>
    <w:rsid w:val="58C144A4"/>
    <w:rsid w:val="58C91C75"/>
    <w:rsid w:val="590F3861"/>
    <w:rsid w:val="59396B30"/>
    <w:rsid w:val="595158B5"/>
    <w:rsid w:val="5976568E"/>
    <w:rsid w:val="59A73A9A"/>
    <w:rsid w:val="59BE7035"/>
    <w:rsid w:val="5A673229"/>
    <w:rsid w:val="5A6E0A5B"/>
    <w:rsid w:val="5ACB1A0A"/>
    <w:rsid w:val="5B1C04B7"/>
    <w:rsid w:val="5B6553FD"/>
    <w:rsid w:val="5B7E72A8"/>
    <w:rsid w:val="5BFE5E0F"/>
    <w:rsid w:val="5D563A1A"/>
    <w:rsid w:val="5DF3481B"/>
    <w:rsid w:val="5E022F04"/>
    <w:rsid w:val="5E2F6D82"/>
    <w:rsid w:val="5E357973"/>
    <w:rsid w:val="5EA26F25"/>
    <w:rsid w:val="5F876798"/>
    <w:rsid w:val="5FCD3B2E"/>
    <w:rsid w:val="610C1A1E"/>
    <w:rsid w:val="617A768C"/>
    <w:rsid w:val="61BE4076"/>
    <w:rsid w:val="61F36E5B"/>
    <w:rsid w:val="62C03E1E"/>
    <w:rsid w:val="62DB2810"/>
    <w:rsid w:val="64122457"/>
    <w:rsid w:val="64312708"/>
    <w:rsid w:val="64F41B5D"/>
    <w:rsid w:val="651D7306"/>
    <w:rsid w:val="65491EA9"/>
    <w:rsid w:val="668F5FE1"/>
    <w:rsid w:val="67DF6EC0"/>
    <w:rsid w:val="685968A7"/>
    <w:rsid w:val="689E42BA"/>
    <w:rsid w:val="68C55A0F"/>
    <w:rsid w:val="69102D67"/>
    <w:rsid w:val="693422FB"/>
    <w:rsid w:val="694035C3"/>
    <w:rsid w:val="69E623BC"/>
    <w:rsid w:val="6A460F8D"/>
    <w:rsid w:val="6B7951A8"/>
    <w:rsid w:val="6B930F73"/>
    <w:rsid w:val="6BA84BCE"/>
    <w:rsid w:val="6C0436D9"/>
    <w:rsid w:val="6C702411"/>
    <w:rsid w:val="6C7F4402"/>
    <w:rsid w:val="6DBE59DF"/>
    <w:rsid w:val="6DEC5AC7"/>
    <w:rsid w:val="6EE3511C"/>
    <w:rsid w:val="6F147412"/>
    <w:rsid w:val="6F511CB8"/>
    <w:rsid w:val="6FF922AC"/>
    <w:rsid w:val="70E71FBD"/>
    <w:rsid w:val="71AB7A47"/>
    <w:rsid w:val="71CC633B"/>
    <w:rsid w:val="71E531D2"/>
    <w:rsid w:val="71E73175"/>
    <w:rsid w:val="724630D8"/>
    <w:rsid w:val="731A30D6"/>
    <w:rsid w:val="73691968"/>
    <w:rsid w:val="73AF1A71"/>
    <w:rsid w:val="742D6FFD"/>
    <w:rsid w:val="74605272"/>
    <w:rsid w:val="75B72E5F"/>
    <w:rsid w:val="75BC0475"/>
    <w:rsid w:val="76832D41"/>
    <w:rsid w:val="76BE1FCB"/>
    <w:rsid w:val="77AD3A8B"/>
    <w:rsid w:val="77F8518A"/>
    <w:rsid w:val="78EE4DE9"/>
    <w:rsid w:val="797D52E3"/>
    <w:rsid w:val="799B50EB"/>
    <w:rsid w:val="7A266805"/>
    <w:rsid w:val="7AC2652D"/>
    <w:rsid w:val="7ACE2FA1"/>
    <w:rsid w:val="7AF070FA"/>
    <w:rsid w:val="7B9658EF"/>
    <w:rsid w:val="7BAB15AA"/>
    <w:rsid w:val="7C4F2043"/>
    <w:rsid w:val="7CDD495B"/>
    <w:rsid w:val="7D1C5482"/>
    <w:rsid w:val="7D2863F0"/>
    <w:rsid w:val="7EF81FEE"/>
    <w:rsid w:val="7FA60E27"/>
    <w:rsid w:val="7FA91A6A"/>
    <w:rsid w:val="7FD05249"/>
    <w:rsid w:val="7FE74340"/>
    <w:rsid w:val="FFFDEC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keepNext/>
      <w:keepLines/>
      <w:widowControl w:val="0"/>
      <w:numPr>
        <w:ilvl w:val="0"/>
        <w:numId w:val="1"/>
      </w:numPr>
      <w:spacing w:before="100" w:beforeLines="100" w:after="50" w:afterLines="50" w:line="360" w:lineRule="auto"/>
      <w:ind w:left="431" w:hanging="431"/>
      <w:jc w:val="both"/>
      <w:outlineLvl w:val="0"/>
    </w:pPr>
    <w:rPr>
      <w:rFonts w:ascii="宋体" w:hAnsi="宋体" w:eastAsia="宋体" w:cs="宋体"/>
      <w:b/>
      <w:bCs/>
      <w:kern w:val="44"/>
      <w:sz w:val="44"/>
      <w:szCs w:val="44"/>
    </w:rPr>
  </w:style>
  <w:style w:type="paragraph" w:styleId="3">
    <w:name w:val="heading 2"/>
    <w:basedOn w:val="1"/>
    <w:next w:val="1"/>
    <w:link w:val="15"/>
    <w:unhideWhenUsed/>
    <w:qFormat/>
    <w:uiPriority w:val="9"/>
    <w:pPr>
      <w:keepNext/>
      <w:keepLines/>
      <w:widowControl w:val="0"/>
      <w:spacing w:before="260" w:after="260" w:line="416" w:lineRule="auto"/>
      <w:jc w:val="both"/>
      <w:outlineLvl w:val="1"/>
    </w:pPr>
    <w:rPr>
      <w:rFonts w:ascii="宋体" w:hAnsi="宋体" w:eastAsia="宋体" w:cs="宋体"/>
      <w:b/>
      <w:bCs/>
      <w:kern w:val="2"/>
      <w:sz w:val="32"/>
      <w:szCs w:val="32"/>
    </w:rPr>
  </w:style>
  <w:style w:type="paragraph" w:styleId="4">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1"/>
    <w:semiHidden/>
    <w:unhideWhenUsed/>
    <w:qFormat/>
    <w:uiPriority w:val="99"/>
    <w:pPr>
      <w:widowControl w:val="0"/>
      <w:jc w:val="both"/>
    </w:pPr>
    <w:rPr>
      <w:rFonts w:asciiTheme="minorHAnsi" w:hAnsiTheme="minorHAnsi" w:eastAsiaTheme="minorEastAsia" w:cstheme="minorBidi"/>
      <w:kern w:val="2"/>
      <w:sz w:val="18"/>
      <w:szCs w:val="18"/>
    </w:rPr>
  </w:style>
  <w:style w:type="paragraph" w:styleId="7">
    <w:name w:val="footer"/>
    <w:basedOn w:val="1"/>
    <w:link w:val="1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8">
    <w:name w:val="header"/>
    <w:basedOn w:val="1"/>
    <w:link w:val="18"/>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9">
    <w:name w:val="Normal (Web)"/>
    <w:basedOn w:val="1"/>
    <w:semiHidden/>
    <w:unhideWhenUsed/>
    <w:qFormat/>
    <w:uiPriority w:val="99"/>
    <w:pPr>
      <w:spacing w:before="100" w:beforeAutospacing="1" w:after="100" w:afterAutospacing="1"/>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Hyperlink"/>
    <w:basedOn w:val="12"/>
    <w:semiHidden/>
    <w:unhideWhenUsed/>
    <w:qFormat/>
    <w:uiPriority w:val="99"/>
    <w:rPr>
      <w:color w:val="0000FF"/>
      <w:u w:val="single"/>
    </w:rPr>
  </w:style>
  <w:style w:type="character" w:customStyle="1" w:styleId="15">
    <w:name w:val="标题 2 字符"/>
    <w:basedOn w:val="12"/>
    <w:link w:val="3"/>
    <w:qFormat/>
    <w:uiPriority w:val="9"/>
    <w:rPr>
      <w:rFonts w:ascii="宋体" w:hAnsi="宋体" w:eastAsia="宋体" w:cs="宋体"/>
      <w:b/>
      <w:bCs/>
      <w:kern w:val="2"/>
      <w:sz w:val="32"/>
      <w:szCs w:val="32"/>
    </w:rPr>
  </w:style>
  <w:style w:type="character" w:customStyle="1" w:styleId="16">
    <w:name w:val="标题 3 字符"/>
    <w:basedOn w:val="12"/>
    <w:link w:val="4"/>
    <w:qFormat/>
    <w:uiPriority w:val="9"/>
    <w:rPr>
      <w:rFonts w:ascii="宋体" w:hAnsi="宋体" w:eastAsia="宋体" w:cs="宋体"/>
      <w:b/>
      <w:bCs/>
      <w:sz w:val="32"/>
      <w:szCs w:val="32"/>
    </w:rPr>
  </w:style>
  <w:style w:type="paragraph" w:styleId="17">
    <w:name w:val="List Paragraph"/>
    <w:basedOn w:val="1"/>
    <w:link w:val="22"/>
    <w:qFormat/>
    <w:uiPriority w:val="99"/>
    <w:pPr>
      <w:widowControl w:val="0"/>
      <w:ind w:firstLine="420" w:firstLineChars="200"/>
      <w:jc w:val="both"/>
    </w:pPr>
    <w:rPr>
      <w:rFonts w:asciiTheme="minorHAnsi" w:hAnsiTheme="minorHAnsi" w:eastAsiaTheme="minorEastAsia" w:cstheme="minorBidi"/>
      <w:kern w:val="2"/>
      <w:sz w:val="21"/>
    </w:rPr>
  </w:style>
  <w:style w:type="character" w:customStyle="1" w:styleId="18">
    <w:name w:val="页眉 字符"/>
    <w:basedOn w:val="12"/>
    <w:link w:val="8"/>
    <w:qFormat/>
    <w:uiPriority w:val="99"/>
    <w:rPr>
      <w:sz w:val="18"/>
      <w:szCs w:val="18"/>
    </w:rPr>
  </w:style>
  <w:style w:type="character" w:customStyle="1" w:styleId="19">
    <w:name w:val="页脚 字符"/>
    <w:basedOn w:val="12"/>
    <w:link w:val="7"/>
    <w:qFormat/>
    <w:uiPriority w:val="99"/>
    <w:rPr>
      <w:sz w:val="18"/>
      <w:szCs w:val="18"/>
    </w:rPr>
  </w:style>
  <w:style w:type="paragraph" w:customStyle="1" w:styleId="20">
    <w:name w:val="a1"/>
    <w:basedOn w:val="1"/>
    <w:qFormat/>
    <w:uiPriority w:val="0"/>
    <w:pPr>
      <w:spacing w:before="100" w:beforeAutospacing="1" w:after="100" w:afterAutospacing="1"/>
    </w:pPr>
  </w:style>
  <w:style w:type="character" w:customStyle="1" w:styleId="21">
    <w:name w:val="批注框文本 字符"/>
    <w:basedOn w:val="12"/>
    <w:link w:val="6"/>
    <w:semiHidden/>
    <w:qFormat/>
    <w:uiPriority w:val="99"/>
    <w:rPr>
      <w:kern w:val="2"/>
      <w:sz w:val="18"/>
      <w:szCs w:val="18"/>
    </w:rPr>
  </w:style>
  <w:style w:type="character" w:customStyle="1" w:styleId="22">
    <w:name w:val="列表段落 字符"/>
    <w:link w:val="17"/>
    <w:qFormat/>
    <w:uiPriority w:val="99"/>
    <w:rPr>
      <w:kern w:val="2"/>
      <w:sz w:val="21"/>
      <w:szCs w:val="24"/>
    </w:rPr>
  </w:style>
  <w:style w:type="paragraph" w:customStyle="1" w:styleId="23">
    <w:name w:val="_Style 16"/>
    <w:basedOn w:val="1"/>
    <w:next w:val="17"/>
    <w:qFormat/>
    <w:uiPriority w:val="34"/>
    <w:pPr>
      <w:widowControl w:val="0"/>
      <w:ind w:firstLine="420" w:firstLineChars="200"/>
      <w:jc w:val="both"/>
    </w:pPr>
    <w:rPr>
      <w:rFonts w:ascii="等线" w:hAnsi="等线" w:eastAsia="等线" w:cs="Times New Roman"/>
      <w:kern w:val="2"/>
      <w:sz w:val="21"/>
      <w:szCs w:val="22"/>
      <w:lang w:val="zh-CN"/>
    </w:rPr>
  </w:style>
  <w:style w:type="paragraph" w:customStyle="1" w:styleId="24">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5">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C9561E2A-06A3-4046-B993-928DF470AE1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3820</Words>
  <Characters>4175</Characters>
  <Lines>122</Lines>
  <Paragraphs>34</Paragraphs>
  <TotalTime>1</TotalTime>
  <ScaleCrop>false</ScaleCrop>
  <LinksUpToDate>false</LinksUpToDate>
  <CharactersWithSpaces>4279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2025-04-11T10:43:00Z</dcterms:created>
  <dc:creator>zfj19910321@gmail.com</dc:creator>
  <cp:lastModifiedBy>信管处张芳健</cp:lastModifiedBy>
  <dcterms:modified xsi:type="dcterms:W3CDTF">2026-08-14T00:59:10Z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F6853D5537E44162AA32CA99294AD792_13</vt:lpwstr>
  </property>
  <property fmtid="{D5CDD505-2E9C-101B-9397-08002B2CF9AE}" pid="4" name="_readonly">
    <vt:lpwstr/>
  </property>
  <property fmtid="{D5CDD505-2E9C-101B-9397-08002B2CF9AE}" pid="5" name="_change">
    <vt:lpwstr/>
  </property>
  <property fmtid="{D5CDD505-2E9C-101B-9397-08002B2CF9AE}" pid="6" name="_full-control">
    <vt:lpwstr/>
  </property>
  <property fmtid="{D5CDD505-2E9C-101B-9397-08002B2CF9AE}" pid="7" name="sflag">
    <vt:lpwstr>1720331959</vt:lpwstr>
  </property>
  <property fmtid="{D5CDD505-2E9C-101B-9397-08002B2CF9AE}" pid="8" name="_2015_ms_pID_725343">
    <vt:lpwstr>(3)orUllaSchXIfdHsqRzmvhecLUfexk7Fm14VkkmqDtcPBdRNLBwWfdOuJ2KfJB2/ySARqI/MW
/sJQz+HQE148gTLXL9O01C6uFxpHqIh+u5d9037LU6ZUHqe1c9h1qOKpVyGWgLg+t7j/PzsR
uSZJqvnwxIdl2u+lD3krI3/xBFJuuYY3IgAMi0VQ7eGFwvDd+Y24xds1L/LsnicSMSk23bQ/
DihlhYgiA1NBdE+RWz</vt:lpwstr>
  </property>
  <property fmtid="{D5CDD505-2E9C-101B-9397-08002B2CF9AE}" pid="9" name="_2015_ms_pID_7253431">
    <vt:lpwstr>pZ13kTlj02Zs7Mm4MM+NdngmThHUs8fZScjGeOcGt/HCOOtiNTEbNU
x+RfeYECXU5nst6wT/VG+CuGBBWVBWrrWYKD50Pk2hvwltmrILUekSFIueRUOX9wQzfbUyAm
tPLs1Ccqq3E8LYBhz97dvYNj7DoLtiJwGn0JmLhJvWId8O5lEYWIs+8q1wARKLKoGFjHVo8Z
kjK32TGxrVwg74Rty69BIwehlRdi82tCuGU5</vt:lpwstr>
  </property>
  <property fmtid="{D5CDD505-2E9C-101B-9397-08002B2CF9AE}" pid="10" name="_2015_ms_pID_7253432">
    <vt:lpwstr>LA==</vt:lpwstr>
  </property>
  <property fmtid="{D5CDD505-2E9C-101B-9397-08002B2CF9AE}" pid="11" name="KSOTemplateDocerSaveRecord">
    <vt:lpwstr>eyJoZGlkIjoiM2YwY2UxNjVlNGJkMGIzYjJlY2FlN2ZmNGU5ZWU1ZjQiLCJ1c2VySWQiOiI0ODgwNDQwMTAifQ==</vt:lpwstr>
  </property>
</Properties>
</file>