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36A97" w14:textId="77777777" w:rsidR="00074A25" w:rsidRDefault="00000000">
      <w:pPr>
        <w:pStyle w:val="1"/>
        <w:jc w:val="center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>用户需求书</w:t>
      </w:r>
    </w:p>
    <w:p w14:paraId="515BD015" w14:textId="77777777" w:rsidR="00074A25" w:rsidRDefault="00000000">
      <w:pPr>
        <w:adjustRightInd w:val="0"/>
        <w:snapToGrid w:val="0"/>
        <w:spacing w:line="360" w:lineRule="auto"/>
        <w:ind w:firstLineChars="200" w:firstLine="480"/>
        <w:rPr>
          <w:rFonts w:ascii="宋体" w:eastAsia="宋体" w:hAnsi="宋体" w:cs="宋体" w:hint="eastAsia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</w:rPr>
        <w:t>本项目计划采购建设虚拟化系统，搭建云平台虚拟化底座，为后续业务虚拟化计算资源扩容需求提供支撑。云平台虚拟化底座集成计算虚拟化、集中式存储对接、SDN软件定义网络、全域安全防护、统一运维管控能力，包含四大模块，分别是</w:t>
      </w:r>
      <w:r>
        <w:rPr>
          <w:rFonts w:ascii="宋体" w:eastAsia="宋体" w:hAnsi="宋体" w:cs="宋体" w:hint="eastAsia"/>
          <w:sz w:val="24"/>
          <w:szCs w:val="24"/>
        </w:rPr>
        <w:t>云平台一体化管控集群、多平面冗余网络交换系统、云平台边界安全防护系统以及云平台全套软件授权，</w:t>
      </w:r>
      <w:r>
        <w:rPr>
          <w:rFonts w:ascii="宋体" w:eastAsia="宋体" w:hAnsi="宋体" w:cs="宋体" w:hint="eastAsia"/>
          <w:color w:val="000000"/>
          <w:sz w:val="24"/>
          <w:szCs w:val="24"/>
        </w:rPr>
        <w:t>项目采购的所有硬软件含3年原厂维保，采购清单及配置说明如下：</w:t>
      </w:r>
    </w:p>
    <w:tbl>
      <w:tblPr>
        <w:tblpPr w:leftFromText="180" w:rightFromText="180" w:vertAnchor="text" w:horzAnchor="page" w:tblpXSpec="center" w:tblpY="238"/>
        <w:tblOverlap w:val="never"/>
        <w:tblW w:w="85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409"/>
        <w:gridCol w:w="1275"/>
        <w:gridCol w:w="2915"/>
        <w:gridCol w:w="638"/>
        <w:gridCol w:w="638"/>
      </w:tblGrid>
      <w:tr w:rsidR="0050548F" w14:paraId="676C3966" w14:textId="77777777" w:rsidTr="0050548F">
        <w:trPr>
          <w:trHeight w:val="270"/>
          <w:jc w:val="center"/>
        </w:trPr>
        <w:tc>
          <w:tcPr>
            <w:tcW w:w="710" w:type="dxa"/>
            <w:noWrap/>
            <w:vAlign w:val="center"/>
          </w:tcPr>
          <w:p w14:paraId="2AE79D17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2409" w:type="dxa"/>
            <w:vAlign w:val="center"/>
          </w:tcPr>
          <w:p w14:paraId="4CE55006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云平台虚拟化底座模块</w:t>
            </w:r>
          </w:p>
        </w:tc>
        <w:tc>
          <w:tcPr>
            <w:tcW w:w="1275" w:type="dxa"/>
            <w:vAlign w:val="center"/>
          </w:tcPr>
          <w:p w14:paraId="2ECF75F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货物名称</w:t>
            </w:r>
          </w:p>
        </w:tc>
        <w:tc>
          <w:tcPr>
            <w:tcW w:w="2915" w:type="dxa"/>
            <w:vAlign w:val="center"/>
          </w:tcPr>
          <w:p w14:paraId="0053D16D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638" w:type="dxa"/>
            <w:noWrap/>
            <w:vAlign w:val="center"/>
          </w:tcPr>
          <w:p w14:paraId="3BB5E88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638" w:type="dxa"/>
            <w:noWrap/>
            <w:vAlign w:val="center"/>
          </w:tcPr>
          <w:p w14:paraId="4A94055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数量</w:t>
            </w:r>
          </w:p>
        </w:tc>
      </w:tr>
      <w:tr w:rsidR="0050548F" w14:paraId="2F265EAD" w14:textId="77777777" w:rsidTr="0050548F">
        <w:trPr>
          <w:trHeight w:val="2227"/>
          <w:jc w:val="center"/>
        </w:trPr>
        <w:tc>
          <w:tcPr>
            <w:tcW w:w="710" w:type="dxa"/>
            <w:vMerge w:val="restart"/>
            <w:noWrap/>
            <w:vAlign w:val="center"/>
          </w:tcPr>
          <w:p w14:paraId="75791BF1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2409" w:type="dxa"/>
            <w:vMerge w:val="restart"/>
            <w:vAlign w:val="center"/>
          </w:tcPr>
          <w:p w14:paraId="2E3F6C6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云平台一体化管控集群：</w:t>
            </w:r>
          </w:p>
          <w:p w14:paraId="33076748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提供高可用架构的云平台管控服务器集群，完整承载计算管控、集中式存储管控、SDN网络管控全量服务；支持节点故障自愈、在线扩容，无单点故障。支持融合部署或角色分离部署两种原厂标准架构。</w:t>
            </w:r>
          </w:p>
        </w:tc>
        <w:tc>
          <w:tcPr>
            <w:tcW w:w="1275" w:type="dxa"/>
            <w:vAlign w:val="center"/>
          </w:tcPr>
          <w:p w14:paraId="4513C36F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管理节点服务器集群</w:t>
            </w:r>
          </w:p>
        </w:tc>
        <w:tc>
          <w:tcPr>
            <w:tcW w:w="2915" w:type="dxa"/>
            <w:vAlign w:val="center"/>
          </w:tcPr>
          <w:p w14:paraId="614C6FEB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集群管理节点服务器不少于3台。单台硬件等于或不低于相同级别规格：</w:t>
            </w:r>
          </w:p>
          <w:p w14:paraId="5BE36E6F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CPU：2*国产处理器（20核,2.0Ghz)；</w:t>
            </w:r>
          </w:p>
          <w:p w14:paraId="34C9F472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内存：512GB；</w:t>
            </w:r>
          </w:p>
          <w:p w14:paraId="765CBD8C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硬盘：2*480GB SSD，2*3.84TB SATA SSD；</w:t>
            </w:r>
          </w:p>
          <w:p w14:paraId="207AFF1C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阵列卡：支持RAID 0、1、10；</w:t>
            </w:r>
          </w:p>
          <w:p w14:paraId="5D3A2BF9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接口：10G光端口</w:t>
            </w:r>
            <w:r>
              <w:rPr>
                <w:rFonts w:ascii="宋体" w:eastAsia="宋体" w:hAnsi="宋体" w:cs="宋体" w:hint="eastAsia"/>
                <w:szCs w:val="21"/>
              </w:rPr>
              <w:t>2个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（含满配光模块）；</w:t>
            </w:r>
          </w:p>
          <w:p w14:paraId="4F562537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电源：冗余电源。</w:t>
            </w:r>
          </w:p>
        </w:tc>
        <w:tc>
          <w:tcPr>
            <w:tcW w:w="638" w:type="dxa"/>
            <w:noWrap/>
            <w:vAlign w:val="center"/>
          </w:tcPr>
          <w:p w14:paraId="3B173CB0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套</w:t>
            </w:r>
          </w:p>
        </w:tc>
        <w:tc>
          <w:tcPr>
            <w:tcW w:w="638" w:type="dxa"/>
            <w:noWrap/>
            <w:vAlign w:val="center"/>
          </w:tcPr>
          <w:p w14:paraId="16739686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1</w:t>
            </w:r>
          </w:p>
        </w:tc>
      </w:tr>
      <w:tr w:rsidR="0050548F" w14:paraId="67C8458E" w14:textId="77777777" w:rsidTr="0050548F">
        <w:trPr>
          <w:trHeight w:val="674"/>
          <w:jc w:val="center"/>
        </w:trPr>
        <w:tc>
          <w:tcPr>
            <w:tcW w:w="710" w:type="dxa"/>
            <w:vMerge/>
            <w:noWrap/>
            <w:vAlign w:val="center"/>
          </w:tcPr>
          <w:p w14:paraId="49B4DC8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0D7DC02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14628B2D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管理节点服务器集群3年原厂维保</w:t>
            </w:r>
          </w:p>
        </w:tc>
        <w:tc>
          <w:tcPr>
            <w:tcW w:w="2915" w:type="dxa"/>
            <w:vAlign w:val="center"/>
          </w:tcPr>
          <w:p w14:paraId="71D3CA0D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7x24H，备件先行，4小时内到达。</w:t>
            </w:r>
          </w:p>
        </w:tc>
        <w:tc>
          <w:tcPr>
            <w:tcW w:w="638" w:type="dxa"/>
            <w:noWrap/>
            <w:vAlign w:val="center"/>
          </w:tcPr>
          <w:p w14:paraId="6E0F502F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638" w:type="dxa"/>
            <w:noWrap/>
            <w:vAlign w:val="center"/>
          </w:tcPr>
          <w:p w14:paraId="004F5A8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:rsidR="0050548F" w14:paraId="4EBF6A93" w14:textId="77777777" w:rsidTr="0050548F">
        <w:trPr>
          <w:trHeight w:val="1641"/>
          <w:jc w:val="center"/>
        </w:trPr>
        <w:tc>
          <w:tcPr>
            <w:tcW w:w="710" w:type="dxa"/>
            <w:vMerge/>
            <w:noWrap/>
            <w:vAlign w:val="center"/>
          </w:tcPr>
          <w:p w14:paraId="3C607CF6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2ACCBA8C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7109901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集中式存储</w:t>
            </w:r>
          </w:p>
        </w:tc>
        <w:tc>
          <w:tcPr>
            <w:tcW w:w="2915" w:type="dxa"/>
            <w:vAlign w:val="center"/>
          </w:tcPr>
          <w:p w14:paraId="0BD34B4B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单套存储硬件等于或不低于相同级别规格：</w:t>
            </w:r>
          </w:p>
          <w:p w14:paraId="4BE93878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双控制器，缓存256GB，1G电口8个，10G光端口8个(含满配光模块)；配置3.84TB SSD SAS硬盘8个，8TB 7.2K RPM NL SAS硬盘24个，包含重删,压缩,自动分层,NAS,克隆等功能永久使用授权。</w:t>
            </w:r>
          </w:p>
        </w:tc>
        <w:tc>
          <w:tcPr>
            <w:tcW w:w="638" w:type="dxa"/>
            <w:noWrap/>
            <w:vAlign w:val="center"/>
          </w:tcPr>
          <w:p w14:paraId="27EC6B34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638" w:type="dxa"/>
            <w:noWrap/>
            <w:vAlign w:val="center"/>
          </w:tcPr>
          <w:p w14:paraId="69AE3CA3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1</w:t>
            </w:r>
          </w:p>
        </w:tc>
      </w:tr>
      <w:tr w:rsidR="0050548F" w14:paraId="24EF11C0" w14:textId="77777777" w:rsidTr="0050548F">
        <w:trPr>
          <w:trHeight w:val="667"/>
          <w:jc w:val="center"/>
        </w:trPr>
        <w:tc>
          <w:tcPr>
            <w:tcW w:w="710" w:type="dxa"/>
            <w:vMerge/>
            <w:noWrap/>
            <w:vAlign w:val="center"/>
          </w:tcPr>
          <w:p w14:paraId="0CAEC49F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0CBF7585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0E046D91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集中式存储3年原厂维保</w:t>
            </w:r>
          </w:p>
        </w:tc>
        <w:tc>
          <w:tcPr>
            <w:tcW w:w="2915" w:type="dxa"/>
            <w:vAlign w:val="center"/>
          </w:tcPr>
          <w:p w14:paraId="1D538AED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7x24H，备件先行，4小时内到达。</w:t>
            </w:r>
          </w:p>
        </w:tc>
        <w:tc>
          <w:tcPr>
            <w:tcW w:w="638" w:type="dxa"/>
            <w:noWrap/>
            <w:vAlign w:val="center"/>
          </w:tcPr>
          <w:p w14:paraId="1546794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638" w:type="dxa"/>
            <w:noWrap/>
            <w:vAlign w:val="center"/>
          </w:tcPr>
          <w:p w14:paraId="194F2DDC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:rsidR="0050548F" w14:paraId="26DBD367" w14:textId="77777777" w:rsidTr="0050548F">
        <w:trPr>
          <w:trHeight w:val="1291"/>
          <w:jc w:val="center"/>
        </w:trPr>
        <w:tc>
          <w:tcPr>
            <w:tcW w:w="710" w:type="dxa"/>
            <w:vMerge w:val="restart"/>
            <w:noWrap/>
            <w:vAlign w:val="center"/>
          </w:tcPr>
          <w:p w14:paraId="3C861DCB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lastRenderedPageBreak/>
              <w:t>2</w:t>
            </w:r>
          </w:p>
        </w:tc>
        <w:tc>
          <w:tcPr>
            <w:tcW w:w="2409" w:type="dxa"/>
            <w:vMerge w:val="restart"/>
            <w:vAlign w:val="center"/>
          </w:tcPr>
          <w:p w14:paraId="574B84D1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多平面冗余网络交换系统：</w:t>
            </w:r>
          </w:p>
          <w:p w14:paraId="6593C63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配置全套网络交换设备，完整覆盖汇聚、计算接入、存储接入、管理接入、出口边界接入五大网络平面。所有平面交换机要求双机堆叠高可用；支持原厂软件边界或硬件Border边界转发架构。</w:t>
            </w:r>
          </w:p>
        </w:tc>
        <w:tc>
          <w:tcPr>
            <w:tcW w:w="1275" w:type="dxa"/>
            <w:vAlign w:val="center"/>
          </w:tcPr>
          <w:p w14:paraId="07F2BB21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计算、存储、管理、出口边界接入交换机</w:t>
            </w:r>
          </w:p>
        </w:tc>
        <w:tc>
          <w:tcPr>
            <w:tcW w:w="2915" w:type="dxa"/>
            <w:vAlign w:val="center"/>
          </w:tcPr>
          <w:p w14:paraId="7D6A5447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单台硬件等于或不低于相同级别规格：</w:t>
            </w:r>
          </w:p>
          <w:p w14:paraId="768635EA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交换容量4.8Tbps，包转换率2000Mpps，10G光端口</w:t>
            </w:r>
            <w:r>
              <w:rPr>
                <w:rFonts w:ascii="宋体" w:eastAsia="宋体" w:hAnsi="宋体" w:cs="宋体" w:hint="eastAsia"/>
                <w:szCs w:val="21"/>
              </w:rPr>
              <w:t>48个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,100G光端口（兼容40G）6</w:t>
            </w:r>
            <w:r>
              <w:rPr>
                <w:rFonts w:ascii="宋体" w:eastAsia="宋体" w:hAnsi="宋体" w:cs="宋体" w:hint="eastAsia"/>
                <w:szCs w:val="21"/>
              </w:rPr>
              <w:t>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,冗余交流电源,配置16*10G多模模块，4*40G多模模块。</w:t>
            </w:r>
          </w:p>
        </w:tc>
        <w:tc>
          <w:tcPr>
            <w:tcW w:w="638" w:type="dxa"/>
            <w:noWrap/>
            <w:vAlign w:val="center"/>
          </w:tcPr>
          <w:p w14:paraId="665A586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638" w:type="dxa"/>
            <w:noWrap/>
            <w:vAlign w:val="center"/>
          </w:tcPr>
          <w:p w14:paraId="2E9A2D54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8</w:t>
            </w:r>
          </w:p>
        </w:tc>
      </w:tr>
      <w:tr w:rsidR="0050548F" w14:paraId="3708B7B6" w14:textId="77777777" w:rsidTr="0050548F">
        <w:trPr>
          <w:trHeight w:val="667"/>
          <w:jc w:val="center"/>
        </w:trPr>
        <w:tc>
          <w:tcPr>
            <w:tcW w:w="710" w:type="dxa"/>
            <w:vMerge/>
            <w:noWrap/>
            <w:vAlign w:val="center"/>
          </w:tcPr>
          <w:p w14:paraId="78247B75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53AA00B9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0A39E0E6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计算、存储、管理、出口边界接入交换机3年原厂维保</w:t>
            </w:r>
          </w:p>
        </w:tc>
        <w:tc>
          <w:tcPr>
            <w:tcW w:w="2915" w:type="dxa"/>
            <w:vAlign w:val="center"/>
          </w:tcPr>
          <w:p w14:paraId="2F8EF7F3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7x24H，备件先行，4小时内到达。</w:t>
            </w:r>
          </w:p>
        </w:tc>
        <w:tc>
          <w:tcPr>
            <w:tcW w:w="638" w:type="dxa"/>
            <w:noWrap/>
            <w:vAlign w:val="center"/>
          </w:tcPr>
          <w:p w14:paraId="054CAF5B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638" w:type="dxa"/>
            <w:noWrap/>
            <w:vAlign w:val="center"/>
          </w:tcPr>
          <w:p w14:paraId="74EDEDD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</w:p>
        </w:tc>
      </w:tr>
      <w:tr w:rsidR="0050548F" w14:paraId="49DE7DB4" w14:textId="77777777" w:rsidTr="0050548F">
        <w:trPr>
          <w:trHeight w:val="619"/>
          <w:jc w:val="center"/>
        </w:trPr>
        <w:tc>
          <w:tcPr>
            <w:tcW w:w="710" w:type="dxa"/>
            <w:vMerge/>
            <w:noWrap/>
            <w:vAlign w:val="center"/>
          </w:tcPr>
          <w:p w14:paraId="23D873F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1FCAFCF7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4001467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汇聚交换机</w:t>
            </w:r>
          </w:p>
        </w:tc>
        <w:tc>
          <w:tcPr>
            <w:tcW w:w="2915" w:type="dxa"/>
          </w:tcPr>
          <w:p w14:paraId="0EB3A381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单台硬件等于或不低于相同级别规格：</w:t>
            </w:r>
          </w:p>
          <w:p w14:paraId="4B313F15" w14:textId="77777777" w:rsidR="0050548F" w:rsidRDefault="0050548F">
            <w:pPr>
              <w:widowControl/>
              <w:jc w:val="left"/>
              <w:textAlignment w:val="top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交换容量6Tbps，包转换率4000Mpps；100G端口（兼容40G）</w:t>
            </w:r>
            <w:r>
              <w:rPr>
                <w:rFonts w:ascii="宋体" w:eastAsia="宋体" w:hAnsi="宋体" w:cs="宋体" w:hint="eastAsia"/>
                <w:szCs w:val="21"/>
              </w:rPr>
              <w:t>32个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,冗余交流电源,配置100G QSFP28堆叠线缆；配置16*40G多模模块。</w:t>
            </w:r>
          </w:p>
        </w:tc>
        <w:tc>
          <w:tcPr>
            <w:tcW w:w="638" w:type="dxa"/>
            <w:noWrap/>
            <w:vAlign w:val="center"/>
          </w:tcPr>
          <w:p w14:paraId="3EFE5954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638" w:type="dxa"/>
            <w:noWrap/>
            <w:vAlign w:val="center"/>
          </w:tcPr>
          <w:p w14:paraId="71FA18E9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2</w:t>
            </w:r>
          </w:p>
        </w:tc>
      </w:tr>
      <w:tr w:rsidR="0050548F" w14:paraId="0B30600B" w14:textId="77777777" w:rsidTr="0050548F">
        <w:trPr>
          <w:trHeight w:val="618"/>
          <w:jc w:val="center"/>
        </w:trPr>
        <w:tc>
          <w:tcPr>
            <w:tcW w:w="710" w:type="dxa"/>
            <w:vMerge/>
            <w:noWrap/>
            <w:vAlign w:val="center"/>
          </w:tcPr>
          <w:p w14:paraId="6C12F9A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6BFAA1A8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64AE67A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汇聚交换机3年原厂维保</w:t>
            </w:r>
          </w:p>
        </w:tc>
        <w:tc>
          <w:tcPr>
            <w:tcW w:w="2915" w:type="dxa"/>
            <w:vAlign w:val="center"/>
          </w:tcPr>
          <w:p w14:paraId="784AF3C4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7x24H，备件先行，4小时内到达。</w:t>
            </w:r>
          </w:p>
        </w:tc>
        <w:tc>
          <w:tcPr>
            <w:tcW w:w="638" w:type="dxa"/>
            <w:noWrap/>
            <w:vAlign w:val="center"/>
          </w:tcPr>
          <w:p w14:paraId="344AB0E4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638" w:type="dxa"/>
            <w:noWrap/>
            <w:vAlign w:val="center"/>
          </w:tcPr>
          <w:p w14:paraId="61C7F2E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:rsidR="0050548F" w14:paraId="3E0B513F" w14:textId="77777777" w:rsidTr="0050548F">
        <w:trPr>
          <w:trHeight w:val="2788"/>
          <w:jc w:val="center"/>
        </w:trPr>
        <w:tc>
          <w:tcPr>
            <w:tcW w:w="710" w:type="dxa"/>
            <w:vMerge w:val="restart"/>
            <w:noWrap/>
            <w:vAlign w:val="center"/>
          </w:tcPr>
          <w:p w14:paraId="00F77B1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3</w:t>
            </w:r>
          </w:p>
        </w:tc>
        <w:tc>
          <w:tcPr>
            <w:tcW w:w="2409" w:type="dxa"/>
            <w:vMerge w:val="restart"/>
            <w:vAlign w:val="center"/>
          </w:tcPr>
          <w:p w14:paraId="000DAE55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云平台边界安全防护系统：</w:t>
            </w:r>
          </w:p>
          <w:p w14:paraId="52E0A3C8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提供完整高可用南北向边界安全防护能力，包含访问控制、NAT地址转换、入侵防御、恶意流量阻断、安全日志审计等功能，符合等保2.0三级合规。支持硬件防火墙双机热备或虚拟化云防火墙集群高可用方案。</w:t>
            </w:r>
          </w:p>
        </w:tc>
        <w:tc>
          <w:tcPr>
            <w:tcW w:w="1275" w:type="dxa"/>
            <w:vAlign w:val="center"/>
          </w:tcPr>
          <w:p w14:paraId="603CE024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边界防火墙</w:t>
            </w:r>
          </w:p>
        </w:tc>
        <w:tc>
          <w:tcPr>
            <w:tcW w:w="2915" w:type="dxa"/>
            <w:vAlign w:val="center"/>
          </w:tcPr>
          <w:p w14:paraId="418E0964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单台硬件等于或不低于相同级别规格：</w:t>
            </w:r>
          </w:p>
          <w:p w14:paraId="200D7AB8" w14:textId="77777777" w:rsidR="0050548F" w:rsidRDefault="0050548F">
            <w:pPr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双主控、冗余电源和风扇，吞吐量30Gbps，并发连接数1500万，新建连接数30万；10G 光端口8个，配置8*10G多模光模块；</w:t>
            </w:r>
          </w:p>
        </w:tc>
        <w:tc>
          <w:tcPr>
            <w:tcW w:w="638" w:type="dxa"/>
            <w:noWrap/>
            <w:vAlign w:val="center"/>
          </w:tcPr>
          <w:p w14:paraId="0080A53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638" w:type="dxa"/>
            <w:noWrap/>
            <w:vAlign w:val="center"/>
          </w:tcPr>
          <w:p w14:paraId="67C6DA20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2</w:t>
            </w:r>
          </w:p>
        </w:tc>
      </w:tr>
      <w:tr w:rsidR="0050548F" w14:paraId="7D260131" w14:textId="77777777" w:rsidTr="0050548F">
        <w:trPr>
          <w:trHeight w:val="644"/>
          <w:jc w:val="center"/>
        </w:trPr>
        <w:tc>
          <w:tcPr>
            <w:tcW w:w="710" w:type="dxa"/>
            <w:vMerge/>
            <w:noWrap/>
            <w:vAlign w:val="center"/>
          </w:tcPr>
          <w:p w14:paraId="126C5E6B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25AFF120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2253C6E7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边界防火墙3年原厂维保</w:t>
            </w:r>
          </w:p>
        </w:tc>
        <w:tc>
          <w:tcPr>
            <w:tcW w:w="2915" w:type="dxa"/>
            <w:vAlign w:val="center"/>
          </w:tcPr>
          <w:p w14:paraId="5AB48B02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7x24H，备件先行，4小时内到达。</w:t>
            </w:r>
          </w:p>
        </w:tc>
        <w:tc>
          <w:tcPr>
            <w:tcW w:w="638" w:type="dxa"/>
            <w:noWrap/>
            <w:vAlign w:val="center"/>
          </w:tcPr>
          <w:p w14:paraId="1412BA6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638" w:type="dxa"/>
            <w:noWrap/>
            <w:vAlign w:val="center"/>
          </w:tcPr>
          <w:p w14:paraId="08B7536E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:rsidR="0050548F" w14:paraId="38F3F932" w14:textId="77777777" w:rsidTr="0050548F">
        <w:trPr>
          <w:trHeight w:val="669"/>
          <w:jc w:val="center"/>
        </w:trPr>
        <w:tc>
          <w:tcPr>
            <w:tcW w:w="710" w:type="dxa"/>
            <w:vMerge w:val="restart"/>
            <w:noWrap/>
            <w:vAlign w:val="center"/>
          </w:tcPr>
          <w:p w14:paraId="23E103BF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Cs w:val="21"/>
              </w:rPr>
              <w:t>4</w:t>
            </w:r>
          </w:p>
        </w:tc>
        <w:tc>
          <w:tcPr>
            <w:tcW w:w="2409" w:type="dxa"/>
            <w:vMerge w:val="restart"/>
            <w:vAlign w:val="center"/>
          </w:tcPr>
          <w:p w14:paraId="16D9B420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云平台全套软件授权：</w:t>
            </w:r>
          </w:p>
          <w:p w14:paraId="2569E45C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包含计算虚拟化、集中式存储对接、SDN软件定义网络、虚拟防火墙、租户管理、资源调度、运维监控、日志审计、权限管控等授权，</w:t>
            </w:r>
            <w:r>
              <w:rPr>
                <w:rFonts w:ascii="宋体" w:eastAsia="宋体" w:hAnsi="宋体" w:cs="宋体" w:hint="eastAsia"/>
                <w:szCs w:val="21"/>
              </w:rPr>
              <w:lastRenderedPageBreak/>
              <w:t>含版本升级、漏洞修复服务。</w:t>
            </w:r>
          </w:p>
        </w:tc>
        <w:tc>
          <w:tcPr>
            <w:tcW w:w="1275" w:type="dxa"/>
            <w:vAlign w:val="center"/>
          </w:tcPr>
          <w:p w14:paraId="482545CF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lastRenderedPageBreak/>
              <w:t>云套件授权</w:t>
            </w:r>
          </w:p>
        </w:tc>
        <w:tc>
          <w:tcPr>
            <w:tcW w:w="2915" w:type="dxa"/>
            <w:vAlign w:val="center"/>
          </w:tcPr>
          <w:p w14:paraId="2633EA55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单套软件授权等于或不低于相同级别规格：</w:t>
            </w:r>
          </w:p>
          <w:p w14:paraId="1F60992D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IaaS云平台，提供云服务功能，配置计算虚拟化授权，并提供CPU授权</w:t>
            </w:r>
            <w:r>
              <w:rPr>
                <w:rFonts w:ascii="宋体" w:eastAsia="宋体" w:hAnsi="宋体" w:cs="宋体" w:hint="eastAsia"/>
                <w:szCs w:val="21"/>
              </w:rPr>
              <w:t>20个。配置相应数量的存储管理授权和SDN虚拟交换机软件授权。</w:t>
            </w:r>
          </w:p>
        </w:tc>
        <w:tc>
          <w:tcPr>
            <w:tcW w:w="638" w:type="dxa"/>
            <w:noWrap/>
            <w:vAlign w:val="center"/>
          </w:tcPr>
          <w:p w14:paraId="75C4B37B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638" w:type="dxa"/>
            <w:noWrap/>
            <w:vAlign w:val="center"/>
          </w:tcPr>
          <w:p w14:paraId="0A38C4CD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1</w:t>
            </w:r>
          </w:p>
        </w:tc>
      </w:tr>
      <w:tr w:rsidR="0050548F" w14:paraId="220AD3D6" w14:textId="77777777" w:rsidTr="0050548F">
        <w:trPr>
          <w:trHeight w:val="524"/>
          <w:jc w:val="center"/>
        </w:trPr>
        <w:tc>
          <w:tcPr>
            <w:tcW w:w="710" w:type="dxa"/>
            <w:vMerge/>
            <w:noWrap/>
            <w:vAlign w:val="center"/>
          </w:tcPr>
          <w:p w14:paraId="194B1A3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Cs w:val="21"/>
              </w:rPr>
            </w:pPr>
          </w:p>
        </w:tc>
        <w:tc>
          <w:tcPr>
            <w:tcW w:w="2409" w:type="dxa"/>
            <w:vMerge/>
            <w:vAlign w:val="center"/>
          </w:tcPr>
          <w:p w14:paraId="6D9AF3D4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275" w:type="dxa"/>
            <w:vAlign w:val="center"/>
          </w:tcPr>
          <w:p w14:paraId="4193846A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云套件授权3年原厂维保</w:t>
            </w:r>
          </w:p>
        </w:tc>
        <w:tc>
          <w:tcPr>
            <w:tcW w:w="2915" w:type="dxa"/>
            <w:vAlign w:val="center"/>
          </w:tcPr>
          <w:p w14:paraId="4FF13B78" w14:textId="77777777" w:rsidR="0050548F" w:rsidRDefault="0050548F">
            <w:pPr>
              <w:widowControl/>
              <w:jc w:val="left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7x24H。</w:t>
            </w:r>
          </w:p>
        </w:tc>
        <w:tc>
          <w:tcPr>
            <w:tcW w:w="638" w:type="dxa"/>
            <w:noWrap/>
            <w:vAlign w:val="center"/>
          </w:tcPr>
          <w:p w14:paraId="3494F992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638" w:type="dxa"/>
            <w:noWrap/>
            <w:vAlign w:val="center"/>
          </w:tcPr>
          <w:p w14:paraId="6195B6C1" w14:textId="77777777" w:rsidR="0050548F" w:rsidRDefault="0050548F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</w:tr>
    </w:tbl>
    <w:p w14:paraId="00AFDFB5" w14:textId="77777777" w:rsidR="00074A25" w:rsidRDefault="00074A25"/>
    <w:sectPr w:rsidR="00074A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EE2B2" w14:textId="77777777" w:rsidR="00D116E4" w:rsidRDefault="00D116E4" w:rsidP="0050548F">
      <w:r>
        <w:separator/>
      </w:r>
    </w:p>
  </w:endnote>
  <w:endnote w:type="continuationSeparator" w:id="0">
    <w:p w14:paraId="68935F88" w14:textId="77777777" w:rsidR="00D116E4" w:rsidRDefault="00D116E4" w:rsidP="00505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AC433" w14:textId="77777777" w:rsidR="00D116E4" w:rsidRDefault="00D116E4" w:rsidP="0050548F">
      <w:r>
        <w:separator/>
      </w:r>
    </w:p>
  </w:footnote>
  <w:footnote w:type="continuationSeparator" w:id="0">
    <w:p w14:paraId="31492D68" w14:textId="77777777" w:rsidR="00D116E4" w:rsidRDefault="00D116E4" w:rsidP="005054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A25"/>
    <w:rsid w:val="000023CE"/>
    <w:rsid w:val="00074A25"/>
    <w:rsid w:val="0050548F"/>
    <w:rsid w:val="00A9661B"/>
    <w:rsid w:val="00D116E4"/>
    <w:rsid w:val="00D6146D"/>
    <w:rsid w:val="03D46C84"/>
    <w:rsid w:val="045733E4"/>
    <w:rsid w:val="056B1773"/>
    <w:rsid w:val="11AE1B67"/>
    <w:rsid w:val="12824473"/>
    <w:rsid w:val="147B76C4"/>
    <w:rsid w:val="211B19AA"/>
    <w:rsid w:val="288E68A3"/>
    <w:rsid w:val="292F7E72"/>
    <w:rsid w:val="29CF4703"/>
    <w:rsid w:val="2C6426F1"/>
    <w:rsid w:val="3F5F68E2"/>
    <w:rsid w:val="502D7C5B"/>
    <w:rsid w:val="515830F6"/>
    <w:rsid w:val="5481023F"/>
    <w:rsid w:val="54CE7ACD"/>
    <w:rsid w:val="57847F40"/>
    <w:rsid w:val="5E532442"/>
    <w:rsid w:val="60E460BC"/>
    <w:rsid w:val="62AE75FD"/>
    <w:rsid w:val="6D901A43"/>
    <w:rsid w:val="76A87892"/>
    <w:rsid w:val="781C0323"/>
    <w:rsid w:val="79D27F47"/>
    <w:rsid w:val="7DD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4375945"/>
  <w15:docId w15:val="{0707CD79-786A-48EC-B2F3-03EF1C41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ull3">
    <w:name w:val="null3"/>
    <w:hidden/>
    <w:qFormat/>
    <w:rPr>
      <w:rFonts w:hint="eastAsia"/>
      <w:lang w:eastAsia="zh-Hans"/>
    </w:rPr>
  </w:style>
  <w:style w:type="paragraph" w:styleId="a3">
    <w:name w:val="header"/>
    <w:basedOn w:val="a"/>
    <w:link w:val="a4"/>
    <w:rsid w:val="0050548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50548F"/>
    <w:rPr>
      <w:kern w:val="2"/>
      <w:sz w:val="18"/>
      <w:szCs w:val="18"/>
    </w:rPr>
  </w:style>
  <w:style w:type="paragraph" w:styleId="a5">
    <w:name w:val="footer"/>
    <w:basedOn w:val="a"/>
    <w:link w:val="a6"/>
    <w:rsid w:val="005054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50548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746</Words>
  <Characters>852</Characters>
  <Application>Microsoft Office Word</Application>
  <DocSecurity>0</DocSecurity>
  <Lines>142</Lines>
  <Paragraphs>84</Paragraphs>
  <ScaleCrop>false</ScaleCrop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gdsnm</dc:creator>
  <cp:lastModifiedBy>燕玙 沈</cp:lastModifiedBy>
  <cp:revision>3</cp:revision>
  <dcterms:created xsi:type="dcterms:W3CDTF">2026-05-28T06:56:00Z</dcterms:created>
  <dcterms:modified xsi:type="dcterms:W3CDTF">2026-05-28T07:39:00Z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eyJoZGlkIjoiMmUzODg4ODJkYWQ4ZWZhYzFmNGMzNzM3ZmU5OWMyNjMiLCJ1c2VySWQiOiI5NzY1OTEyNzQifQ==</vt:lpwstr>
  </property>
  <property fmtid="{D5CDD505-2E9C-101B-9397-08002B2CF9AE}" pid="4" name="ICV">
    <vt:lpwstr>E5BE3389A03E4FD29E23F7D3C226E0BC_12</vt:lpwstr>
  </property>
</Properties>
</file>