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578C3">
      <w:pPr>
        <w:autoSpaceDN w:val="0"/>
        <w:spacing w:line="360" w:lineRule="auto"/>
        <w:jc w:val="center"/>
        <w:outlineLvl w:val="0"/>
        <w:rPr>
          <w:rFonts w:hint="default" w:ascii="Times New Roman" w:hAnsi="Times New Roman" w:eastAsia="宋体" w:cs="Times New Roman"/>
          <w:color w:val="000000"/>
          <w:sz w:val="32"/>
          <w:szCs w:val="32"/>
        </w:rPr>
      </w:pPr>
      <w:bookmarkStart w:id="0" w:name="_Toc23610"/>
      <w:bookmarkStart w:id="1" w:name="_Toc6604"/>
      <w:r>
        <w:rPr>
          <w:rFonts w:hint="default" w:ascii="Times New Roman" w:hAnsi="Times New Roman" w:eastAsia="宋体" w:cs="Times New Roman"/>
          <w:b/>
          <w:color w:val="000000"/>
          <w:sz w:val="36"/>
          <w:szCs w:val="36"/>
          <w:lang w:eastAsia="zh-CN"/>
        </w:rPr>
        <w:t>竞争性谈判</w:t>
      </w:r>
      <w:r>
        <w:rPr>
          <w:rFonts w:hint="default" w:ascii="Times New Roman" w:hAnsi="Times New Roman" w:eastAsia="宋体" w:cs="Times New Roman"/>
          <w:b/>
          <w:color w:val="000000"/>
          <w:sz w:val="36"/>
          <w:szCs w:val="36"/>
          <w:lang w:val="en-US" w:eastAsia="zh-CN"/>
        </w:rPr>
        <w:t>公告</w:t>
      </w:r>
      <w:bookmarkEnd w:id="0"/>
      <w:bookmarkEnd w:id="1"/>
    </w:p>
    <w:p w14:paraId="6777B45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eastAsia="zh-CN"/>
        </w:rPr>
        <w:t>福建中检矿产品检验检测有限公司</w:t>
      </w:r>
      <w:r>
        <w:rPr>
          <w:rFonts w:hint="default" w:ascii="Times New Roman" w:hAnsi="Times New Roman" w:eastAsia="宋体" w:cs="Times New Roman"/>
          <w:color w:val="000000"/>
          <w:sz w:val="24"/>
          <w:szCs w:val="24"/>
        </w:rPr>
        <w:t>拟通过</w:t>
      </w:r>
      <w:r>
        <w:rPr>
          <w:rFonts w:hint="default" w:ascii="Times New Roman" w:hAnsi="Times New Roman" w:eastAsia="宋体" w:cs="Times New Roman"/>
          <w:color w:val="000000"/>
          <w:sz w:val="24"/>
          <w:szCs w:val="24"/>
          <w:lang w:eastAsia="zh-CN"/>
        </w:rPr>
        <w:t>竞争性谈判</w:t>
      </w:r>
      <w:r>
        <w:rPr>
          <w:rFonts w:hint="default" w:ascii="Times New Roman" w:hAnsi="Times New Roman" w:eastAsia="宋体" w:cs="Times New Roman"/>
          <w:color w:val="000000"/>
          <w:sz w:val="24"/>
          <w:szCs w:val="24"/>
        </w:rPr>
        <w:t>的方式，</w:t>
      </w:r>
      <w:r>
        <w:rPr>
          <w:rFonts w:hint="default" w:ascii="Times New Roman" w:hAnsi="Times New Roman" w:eastAsia="宋体" w:cs="Times New Roman"/>
          <w:color w:val="000000"/>
          <w:sz w:val="24"/>
          <w:szCs w:val="24"/>
          <w:lang w:val="en-US" w:eastAsia="zh-CN"/>
        </w:rPr>
        <w:t>对</w:t>
      </w:r>
      <w:r>
        <w:rPr>
          <w:rFonts w:hint="eastAsia" w:ascii="Times New Roman" w:hAnsi="Times New Roman" w:eastAsia="宋体" w:cs="Times New Roman"/>
          <w:color w:val="000000"/>
          <w:sz w:val="24"/>
          <w:szCs w:val="24"/>
          <w:lang w:val="en-US" w:eastAsia="zh-CN"/>
        </w:rPr>
        <w:t>福建矿产品公司马尾燃料实验室炼焦煤模拟炼焦能力扩容项目（二次）</w:t>
      </w:r>
      <w:r>
        <w:rPr>
          <w:rFonts w:hint="default" w:ascii="Times New Roman" w:hAnsi="Times New Roman" w:eastAsia="宋体" w:cs="Times New Roman"/>
          <w:color w:val="000000"/>
          <w:sz w:val="24"/>
          <w:szCs w:val="24"/>
        </w:rPr>
        <w:t>（项目编</w:t>
      </w:r>
      <w:r>
        <w:rPr>
          <w:rFonts w:hint="default" w:ascii="Times New Roman" w:hAnsi="Times New Roman" w:eastAsia="宋体" w:cs="Times New Roman"/>
          <w:color w:val="000000"/>
          <w:sz w:val="24"/>
          <w:szCs w:val="24"/>
          <w:highlight w:val="none"/>
        </w:rPr>
        <w:t>号：</w:t>
      </w:r>
      <w:r>
        <w:rPr>
          <w:rFonts w:hint="eastAsia" w:ascii="Times New Roman" w:hAnsi="Times New Roman" w:eastAsia="宋体" w:cs="Times New Roman"/>
          <w:color w:val="000000"/>
          <w:sz w:val="24"/>
          <w:szCs w:val="24"/>
          <w:highlight w:val="none"/>
          <w:lang w:eastAsia="zh-CN"/>
        </w:rPr>
        <w:t>SZ-19-04E-2026-D-F-E29792C01</w:t>
      </w:r>
      <w:r>
        <w:rPr>
          <w:rFonts w:hint="default" w:ascii="Times New Roman" w:hAnsi="Times New Roman" w:eastAsia="宋体" w:cs="Times New Roman"/>
          <w:color w:val="000000"/>
          <w:sz w:val="24"/>
          <w:szCs w:val="24"/>
          <w:highlight w:val="none"/>
        </w:rPr>
        <w:t>）</w:t>
      </w:r>
      <w:r>
        <w:rPr>
          <w:rFonts w:hint="default" w:ascii="Times New Roman" w:hAnsi="Times New Roman" w:eastAsia="宋体" w:cs="Times New Roman"/>
          <w:color w:val="000000"/>
          <w:sz w:val="24"/>
          <w:szCs w:val="24"/>
          <w:highlight w:val="none"/>
          <w:lang w:val="en-US" w:eastAsia="zh-CN"/>
        </w:rPr>
        <w:t>进行国内竞争性</w:t>
      </w:r>
      <w:bookmarkStart w:id="3" w:name="_GoBack"/>
      <w:bookmarkEnd w:id="3"/>
      <w:r>
        <w:rPr>
          <w:rFonts w:hint="default" w:ascii="Times New Roman" w:hAnsi="Times New Roman" w:eastAsia="宋体" w:cs="Times New Roman"/>
          <w:color w:val="000000"/>
          <w:sz w:val="24"/>
          <w:szCs w:val="24"/>
          <w:highlight w:val="none"/>
          <w:lang w:val="en-US" w:eastAsia="zh-CN"/>
        </w:rPr>
        <w:t>谈判</w:t>
      </w:r>
      <w:r>
        <w:rPr>
          <w:rFonts w:hint="default" w:ascii="Times New Roman" w:hAnsi="Times New Roman" w:eastAsia="宋体" w:cs="Times New Roman"/>
          <w:color w:val="000000"/>
          <w:sz w:val="24"/>
          <w:szCs w:val="24"/>
          <w:highlight w:val="none"/>
        </w:rPr>
        <w:t>。</w:t>
      </w:r>
      <w:r>
        <w:rPr>
          <w:rFonts w:hint="default" w:ascii="Times New Roman" w:hAnsi="Times New Roman" w:eastAsia="宋体" w:cs="Times New Roman"/>
          <w:color w:val="000000"/>
          <w:sz w:val="24"/>
          <w:szCs w:val="24"/>
          <w:highlight w:val="none"/>
          <w:lang w:val="en-US" w:eastAsia="zh-CN"/>
        </w:rPr>
        <w:t>现欢迎国内合格的供应商前来参加</w:t>
      </w:r>
      <w:r>
        <w:rPr>
          <w:rFonts w:hint="default" w:ascii="Times New Roman" w:hAnsi="Times New Roman" w:eastAsia="宋体" w:cs="Times New Roman"/>
          <w:color w:val="000000"/>
          <w:sz w:val="24"/>
          <w:szCs w:val="24"/>
        </w:rPr>
        <w:t>。</w:t>
      </w:r>
    </w:p>
    <w:p w14:paraId="67614E62">
      <w:pPr>
        <w:keepNext/>
        <w:keepLines/>
        <w:pageBreakBefore w:val="0"/>
        <w:widowControl w:val="0"/>
        <w:kinsoku/>
        <w:wordWrap/>
        <w:overflowPunct/>
        <w:topLinePunct w:val="0"/>
        <w:autoSpaceDE/>
        <w:autoSpaceDN/>
        <w:bidi w:val="0"/>
        <w:adjustRightInd/>
        <w:snapToGrid/>
        <w:spacing w:before="0" w:after="0" w:line="360" w:lineRule="auto"/>
        <w:jc w:val="left"/>
        <w:textAlignment w:val="auto"/>
        <w:outlineLvl w:val="1"/>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一、项目需求</w:t>
      </w:r>
    </w:p>
    <w:p w14:paraId="2E0DF4A9">
      <w:pPr>
        <w:keepNext w:val="0"/>
        <w:keepLines w:val="0"/>
        <w:pageBreakBefore w:val="0"/>
        <w:widowControl w:val="0"/>
        <w:kinsoku/>
        <w:wordWrap/>
        <w:overflowPunct/>
        <w:topLinePunct w:val="0"/>
        <w:autoSpaceDE/>
        <w:autoSpaceDN/>
        <w:bidi w:val="0"/>
        <w:adjustRightInd/>
        <w:snapToGrid/>
        <w:spacing w:line="360" w:lineRule="auto"/>
        <w:ind w:firstLine="641"/>
        <w:jc w:val="left"/>
        <w:textAlignment w:val="auto"/>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本采购项目</w:t>
      </w:r>
      <w:r>
        <w:rPr>
          <w:rFonts w:hint="default" w:ascii="Times New Roman" w:hAnsi="Times New Roman" w:eastAsia="宋体" w:cs="Times New Roman"/>
          <w:color w:val="auto"/>
          <w:kern w:val="0"/>
          <w:sz w:val="24"/>
          <w:szCs w:val="24"/>
          <w:lang w:val="en-US" w:eastAsia="zh-CN" w:bidi="ar-SA"/>
        </w:rPr>
        <w:t>采取“竞争性谈判”的方</w:t>
      </w:r>
      <w:r>
        <w:rPr>
          <w:rFonts w:hint="default" w:ascii="Times New Roman" w:hAnsi="Times New Roman" w:eastAsia="宋体" w:cs="Times New Roman"/>
          <w:kern w:val="0"/>
          <w:sz w:val="24"/>
          <w:szCs w:val="24"/>
          <w:lang w:val="en-US" w:eastAsia="zh-CN" w:bidi="ar-SA"/>
        </w:rPr>
        <w:t>式进行采购；项目预算金额约为：</w:t>
      </w:r>
      <w:r>
        <w:rPr>
          <w:rFonts w:hint="default" w:ascii="Times New Roman" w:hAnsi="Times New Roman" w:eastAsia="宋体" w:cs="Times New Roman"/>
          <w:kern w:val="0"/>
          <w:sz w:val="24"/>
          <w:szCs w:val="24"/>
          <w:u w:val="single"/>
          <w:lang w:val="en-US" w:eastAsia="zh-CN" w:bidi="ar-SA"/>
        </w:rPr>
        <w:t>4</w:t>
      </w:r>
      <w:r>
        <w:rPr>
          <w:rFonts w:hint="eastAsia" w:ascii="Times New Roman" w:hAnsi="Times New Roman" w:eastAsia="宋体" w:cs="Times New Roman"/>
          <w:kern w:val="0"/>
          <w:sz w:val="24"/>
          <w:szCs w:val="24"/>
          <w:u w:val="single"/>
          <w:lang w:val="en-US" w:eastAsia="zh-CN" w:bidi="ar-SA"/>
        </w:rPr>
        <w:t>9</w:t>
      </w:r>
      <w:r>
        <w:rPr>
          <w:rFonts w:hint="default" w:ascii="Times New Roman" w:hAnsi="Times New Roman" w:eastAsia="宋体" w:cs="Times New Roman"/>
          <w:bCs/>
          <w:kern w:val="0"/>
          <w:sz w:val="24"/>
          <w:szCs w:val="24"/>
          <w:lang w:val="en-US" w:eastAsia="zh-CN" w:bidi="ar-SA"/>
        </w:rPr>
        <w:t>万元。本项目拟选取1家供应商提供自动底装试验焦炉</w:t>
      </w:r>
      <w:r>
        <w:rPr>
          <w:rFonts w:hint="default" w:ascii="Times New Roman" w:hAnsi="Times New Roman" w:eastAsia="宋体" w:cs="Times New Roman"/>
          <w:kern w:val="0"/>
          <w:sz w:val="24"/>
          <w:szCs w:val="24"/>
          <w:lang w:val="en-US" w:eastAsia="zh-CN" w:bidi="ar-SA"/>
        </w:rPr>
        <w:t>。（详见采购文件第五章采购需求）</w:t>
      </w:r>
    </w:p>
    <w:tbl>
      <w:tblPr>
        <w:tblStyle w:val="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18"/>
        <w:gridCol w:w="2149"/>
        <w:gridCol w:w="1372"/>
        <w:gridCol w:w="2046"/>
        <w:gridCol w:w="2046"/>
      </w:tblGrid>
      <w:tr w14:paraId="09080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blHeader/>
          <w:jc w:val="center"/>
        </w:trPr>
        <w:tc>
          <w:tcPr>
            <w:tcW w:w="431" w:type="pct"/>
            <w:shd w:val="clear" w:color="auto" w:fill="FFFFFF"/>
            <w:vAlign w:val="center"/>
          </w:tcPr>
          <w:p w14:paraId="0CF74B36">
            <w:pPr>
              <w:ind w:firstLine="19"/>
              <w:jc w:val="center"/>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lang w:bidi="ar"/>
              </w:rPr>
              <w:t>序号</w:t>
            </w:r>
          </w:p>
        </w:tc>
        <w:tc>
          <w:tcPr>
            <w:tcW w:w="1289" w:type="pct"/>
            <w:shd w:val="clear" w:color="auto" w:fill="FFFFFF"/>
            <w:vAlign w:val="center"/>
          </w:tcPr>
          <w:p w14:paraId="63F2A139">
            <w:pPr>
              <w:ind w:firstLine="19"/>
              <w:jc w:val="center"/>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bidi="ar"/>
              </w:rPr>
              <w:t>采购标的</w:t>
            </w:r>
          </w:p>
        </w:tc>
        <w:tc>
          <w:tcPr>
            <w:tcW w:w="823" w:type="pct"/>
            <w:shd w:val="clear" w:color="auto" w:fill="FFFFFF"/>
            <w:vAlign w:val="center"/>
          </w:tcPr>
          <w:p w14:paraId="257BC2A2">
            <w:pPr>
              <w:ind w:firstLine="19"/>
              <w:jc w:val="center"/>
              <w:rPr>
                <w:rFonts w:hint="default" w:ascii="Times New Roman" w:hAnsi="Times New Roman" w:eastAsia="宋体" w:cs="Times New Roman"/>
                <w:b/>
                <w:bCs/>
                <w:sz w:val="22"/>
                <w:szCs w:val="22"/>
                <w:lang w:bidi="ar"/>
              </w:rPr>
            </w:pPr>
            <w:r>
              <w:rPr>
                <w:rFonts w:hint="default" w:ascii="Times New Roman" w:hAnsi="Times New Roman" w:eastAsia="宋体" w:cs="Times New Roman"/>
                <w:b/>
                <w:bCs/>
                <w:sz w:val="22"/>
                <w:szCs w:val="22"/>
                <w:lang w:bidi="ar"/>
              </w:rPr>
              <w:t>数量（套/台）</w:t>
            </w:r>
          </w:p>
        </w:tc>
        <w:tc>
          <w:tcPr>
            <w:tcW w:w="1227" w:type="pct"/>
            <w:shd w:val="clear" w:color="auto" w:fill="FFFFFF"/>
            <w:vAlign w:val="center"/>
          </w:tcPr>
          <w:p w14:paraId="097D9D8E">
            <w:pPr>
              <w:ind w:firstLine="19"/>
              <w:jc w:val="center"/>
              <w:rPr>
                <w:rFonts w:hint="default" w:ascii="Times New Roman" w:hAnsi="Times New Roman" w:eastAsia="宋体" w:cs="Times New Roman"/>
                <w:b/>
                <w:bCs/>
                <w:sz w:val="22"/>
                <w:szCs w:val="22"/>
                <w:lang w:bidi="ar"/>
              </w:rPr>
            </w:pPr>
            <w:r>
              <w:rPr>
                <w:rFonts w:hint="default" w:ascii="Times New Roman" w:hAnsi="Times New Roman" w:eastAsia="宋体" w:cs="Times New Roman"/>
                <w:b/>
                <w:bCs/>
                <w:sz w:val="22"/>
                <w:szCs w:val="22"/>
                <w:lang w:val="en-US" w:eastAsia="zh-CN" w:bidi="ar"/>
              </w:rPr>
              <w:t>含税</w:t>
            </w:r>
            <w:r>
              <w:rPr>
                <w:rFonts w:hint="default" w:ascii="Times New Roman" w:hAnsi="Times New Roman" w:eastAsia="宋体" w:cs="Times New Roman"/>
                <w:b/>
                <w:bCs/>
                <w:sz w:val="22"/>
                <w:szCs w:val="22"/>
                <w:lang w:bidi="ar"/>
              </w:rPr>
              <w:t>单价（万元）</w:t>
            </w:r>
          </w:p>
        </w:tc>
        <w:tc>
          <w:tcPr>
            <w:tcW w:w="1227" w:type="pct"/>
            <w:shd w:val="clear" w:color="auto" w:fill="FFFFFF"/>
            <w:vAlign w:val="center"/>
          </w:tcPr>
          <w:p w14:paraId="442377F4">
            <w:pPr>
              <w:ind w:firstLine="19"/>
              <w:jc w:val="center"/>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lang w:val="en-US" w:eastAsia="zh-CN" w:bidi="ar"/>
              </w:rPr>
              <w:t>含税</w:t>
            </w:r>
            <w:r>
              <w:rPr>
                <w:rFonts w:hint="default" w:ascii="Times New Roman" w:hAnsi="Times New Roman" w:eastAsia="宋体" w:cs="Times New Roman"/>
                <w:b/>
                <w:bCs/>
                <w:sz w:val="22"/>
                <w:szCs w:val="22"/>
                <w:lang w:bidi="ar"/>
              </w:rPr>
              <w:t>总价（万元）</w:t>
            </w:r>
          </w:p>
        </w:tc>
      </w:tr>
      <w:tr w14:paraId="7F59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60" w:hRule="atLeast"/>
          <w:tblHeader/>
          <w:jc w:val="center"/>
        </w:trPr>
        <w:tc>
          <w:tcPr>
            <w:tcW w:w="431" w:type="pct"/>
            <w:shd w:val="clear" w:color="auto" w:fill="FFFFFF"/>
            <w:vAlign w:val="center"/>
          </w:tcPr>
          <w:p w14:paraId="711010D2">
            <w:pPr>
              <w:ind w:firstLine="19" w:firstLineChars="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1</w:t>
            </w:r>
          </w:p>
        </w:tc>
        <w:tc>
          <w:tcPr>
            <w:tcW w:w="1289" w:type="pct"/>
            <w:shd w:val="clear" w:color="auto" w:fill="FFFFFF"/>
            <w:vAlign w:val="center"/>
          </w:tcPr>
          <w:p w14:paraId="44847263">
            <w:pPr>
              <w:ind w:firstLine="19" w:firstLineChars="0"/>
              <w:jc w:val="center"/>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自动底装试验焦炉</w:t>
            </w:r>
          </w:p>
        </w:tc>
        <w:tc>
          <w:tcPr>
            <w:tcW w:w="823" w:type="pct"/>
            <w:shd w:val="clear" w:color="auto" w:fill="FFFFFF"/>
            <w:vAlign w:val="center"/>
          </w:tcPr>
          <w:p w14:paraId="5155EA9C">
            <w:pPr>
              <w:ind w:firstLine="19" w:firstLineChars="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1</w:t>
            </w:r>
          </w:p>
        </w:tc>
        <w:tc>
          <w:tcPr>
            <w:tcW w:w="1227" w:type="pct"/>
            <w:shd w:val="clear" w:color="auto" w:fill="FFFFFF"/>
            <w:vAlign w:val="center"/>
          </w:tcPr>
          <w:p w14:paraId="7BA133D8">
            <w:pPr>
              <w:ind w:firstLine="19" w:firstLineChars="0"/>
              <w:jc w:val="center"/>
              <w:rPr>
                <w:rFonts w:hint="default" w:ascii="Times New Roman" w:hAnsi="Times New Roman" w:eastAsia="宋体" w:cs="Times New Roman"/>
                <w:kern w:val="2"/>
                <w:sz w:val="22"/>
                <w:szCs w:val="22"/>
                <w:lang w:val="en-US" w:eastAsia="zh-CN" w:bidi="ar-SA"/>
              </w:rPr>
            </w:pPr>
            <w:r>
              <w:rPr>
                <w:rFonts w:hint="eastAsia" w:ascii="Times New Roman" w:hAnsi="Times New Roman" w:eastAsia="宋体" w:cs="Times New Roman"/>
                <w:sz w:val="22"/>
                <w:szCs w:val="22"/>
                <w:lang w:val="en-US" w:eastAsia="zh-CN"/>
              </w:rPr>
              <w:t>49</w:t>
            </w:r>
          </w:p>
        </w:tc>
        <w:tc>
          <w:tcPr>
            <w:tcW w:w="1227" w:type="pct"/>
            <w:shd w:val="clear" w:color="auto" w:fill="FFFFFF"/>
            <w:vAlign w:val="center"/>
          </w:tcPr>
          <w:p w14:paraId="2EEB1889">
            <w:pPr>
              <w:ind w:firstLine="19" w:firstLineChars="0"/>
              <w:jc w:val="center"/>
              <w:rPr>
                <w:rFonts w:hint="default" w:ascii="Times New Roman" w:hAnsi="Times New Roman" w:eastAsia="宋体" w:cs="Times New Roman"/>
                <w:kern w:val="2"/>
                <w:sz w:val="22"/>
                <w:szCs w:val="22"/>
                <w:lang w:val="en-US" w:eastAsia="zh-CN" w:bidi="ar-SA"/>
              </w:rPr>
            </w:pPr>
            <w:r>
              <w:rPr>
                <w:rFonts w:hint="eastAsia" w:ascii="Times New Roman" w:hAnsi="Times New Roman" w:eastAsia="宋体" w:cs="Times New Roman"/>
                <w:sz w:val="22"/>
                <w:szCs w:val="22"/>
                <w:lang w:val="en-US" w:eastAsia="zh-CN"/>
              </w:rPr>
              <w:t>49</w:t>
            </w:r>
          </w:p>
        </w:tc>
      </w:tr>
    </w:tbl>
    <w:p w14:paraId="2094B783">
      <w:pPr>
        <w:keepNext w:val="0"/>
        <w:keepLines w:val="0"/>
        <w:pageBreakBefore w:val="0"/>
        <w:widowControl w:val="0"/>
        <w:kinsoku/>
        <w:wordWrap/>
        <w:overflowPunct/>
        <w:topLinePunct w:val="0"/>
        <w:autoSpaceDE/>
        <w:autoSpaceDN/>
        <w:bidi w:val="0"/>
        <w:adjustRightInd/>
        <w:snapToGrid/>
        <w:spacing w:line="360" w:lineRule="auto"/>
        <w:ind w:firstLine="641"/>
        <w:jc w:val="left"/>
        <w:textAlignment w:val="auto"/>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交货</w:t>
      </w:r>
      <w:r>
        <w:rPr>
          <w:rFonts w:hint="default" w:ascii="Times New Roman" w:hAnsi="Times New Roman" w:eastAsia="宋体" w:cs="Times New Roman"/>
          <w:kern w:val="0"/>
          <w:sz w:val="24"/>
          <w:szCs w:val="24"/>
          <w:lang w:val="en-US" w:eastAsia="zh-CN" w:bidi="ar-SA"/>
        </w:rPr>
        <w:t>期限：自合同签署</w:t>
      </w:r>
      <w:r>
        <w:rPr>
          <w:rFonts w:hint="default" w:ascii="Times New Roman" w:hAnsi="Times New Roman" w:eastAsia="宋体" w:cs="Times New Roman"/>
          <w:color w:val="auto"/>
          <w:kern w:val="0"/>
          <w:sz w:val="24"/>
          <w:szCs w:val="24"/>
          <w:lang w:val="en-US" w:eastAsia="zh-CN" w:bidi="ar-SA"/>
        </w:rPr>
        <w:t>之日起</w:t>
      </w:r>
      <w:r>
        <w:rPr>
          <w:rFonts w:hint="eastAsia" w:ascii="Times New Roman" w:hAnsi="Times New Roman" w:eastAsia="宋体" w:cs="Times New Roman"/>
          <w:color w:val="auto"/>
          <w:kern w:val="0"/>
          <w:sz w:val="24"/>
          <w:szCs w:val="24"/>
          <w:lang w:val="en-US" w:eastAsia="zh-CN" w:bidi="ar-SA"/>
        </w:rPr>
        <w:t>3</w:t>
      </w:r>
      <w:r>
        <w:rPr>
          <w:rFonts w:hint="default" w:ascii="Times New Roman" w:hAnsi="Times New Roman" w:eastAsia="宋体" w:cs="Times New Roman"/>
          <w:color w:val="auto"/>
          <w:kern w:val="0"/>
          <w:sz w:val="24"/>
          <w:szCs w:val="24"/>
          <w:lang w:val="en-US" w:eastAsia="zh-CN" w:bidi="ar-SA"/>
        </w:rPr>
        <w:t>0个工作日</w:t>
      </w:r>
      <w:r>
        <w:rPr>
          <w:rFonts w:hint="eastAsia" w:ascii="Times New Roman" w:hAnsi="Times New Roman" w:eastAsia="宋体" w:cs="Times New Roman"/>
          <w:color w:val="auto"/>
          <w:kern w:val="0"/>
          <w:sz w:val="24"/>
          <w:szCs w:val="24"/>
          <w:lang w:val="en-US" w:eastAsia="zh-CN" w:bidi="ar-SA"/>
        </w:rPr>
        <w:t>内交付并完成安装调试</w:t>
      </w:r>
      <w:r>
        <w:rPr>
          <w:rFonts w:hint="default" w:ascii="Times New Roman" w:hAnsi="Times New Roman" w:eastAsia="宋体" w:cs="Times New Roman"/>
          <w:kern w:val="0"/>
          <w:sz w:val="24"/>
          <w:szCs w:val="24"/>
          <w:lang w:val="en-US" w:eastAsia="zh-CN" w:bidi="ar-SA"/>
        </w:rPr>
        <w:t>。</w:t>
      </w:r>
    </w:p>
    <w:p w14:paraId="1EA24B09">
      <w:pPr>
        <w:keepNext/>
        <w:keepLines/>
        <w:pageBreakBefore w:val="0"/>
        <w:widowControl w:val="0"/>
        <w:kinsoku/>
        <w:wordWrap/>
        <w:overflowPunct/>
        <w:topLinePunct w:val="0"/>
        <w:autoSpaceDE/>
        <w:autoSpaceDN/>
        <w:bidi w:val="0"/>
        <w:adjustRightInd/>
        <w:snapToGrid/>
        <w:spacing w:before="0" w:after="0" w:line="360" w:lineRule="auto"/>
        <w:jc w:val="left"/>
        <w:textAlignment w:val="auto"/>
        <w:outlineLvl w:val="1"/>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二、供应商资格条件</w:t>
      </w:r>
    </w:p>
    <w:p w14:paraId="7E6ED28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2.1供应商是在中华人民共和国境内依法登记的法人或其他组织，具有独立承担民事责任的能力，供应商如为企业法人，须提供企业法人营业执照(复印件)；供应商如为事业单位或其他组织，须提供事业单位法人证书或登记证或组织机构代码证或其他有效证明文件(复印件)；</w:t>
      </w:r>
    </w:p>
    <w:p w14:paraId="1C9377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2.2具有良好的商业信誉和健全的财务会计制度；【需提供202</w:t>
      </w:r>
      <w:r>
        <w:rPr>
          <w:rFonts w:hint="eastAsia" w:ascii="Times New Roman" w:hAnsi="Times New Roman" w:eastAsia="宋体" w:cs="Times New Roman"/>
          <w:color w:val="000000"/>
          <w:kern w:val="2"/>
          <w:sz w:val="24"/>
          <w:szCs w:val="24"/>
          <w:lang w:val="en-US" w:eastAsia="zh-CN" w:bidi="ar-SA"/>
        </w:rPr>
        <w:t>5</w:t>
      </w:r>
      <w:r>
        <w:rPr>
          <w:rFonts w:hint="default" w:ascii="Times New Roman" w:hAnsi="Times New Roman" w:eastAsia="宋体" w:cs="Times New Roman"/>
          <w:color w:val="000000"/>
          <w:kern w:val="2"/>
          <w:sz w:val="24"/>
          <w:szCs w:val="24"/>
          <w:lang w:val="en-US" w:eastAsia="zh-CN" w:bidi="ar-SA"/>
        </w:rPr>
        <w:t>年度经会计师事务所或审计机构审计的财务审计报告及财务报表(至少包含会计师事务所或审计机构签章页、资产负债表、现金流量表、损益表/利润表)或开标之日起6个月内开具的银行资信证明或承诺函】</w:t>
      </w:r>
    </w:p>
    <w:p w14:paraId="19EA931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2.3具有履行合同所必需的设备和专业技术能力；【提供承诺函】</w:t>
      </w:r>
    </w:p>
    <w:p w14:paraId="5E8BA5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2.4有依法缴纳税收和社会保障资金的良好记录；【提供近6个月（不含报价时间当月）任意一个月的税收和社会保障资金缴纳凭证或承诺函】</w:t>
      </w:r>
    </w:p>
    <w:p w14:paraId="66A6B9E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2.5经营状况良好，且近三年内无重大违法违规记录；【提供承诺函】</w:t>
      </w:r>
    </w:p>
    <w:p w14:paraId="1832B4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2.6单位负责人为同一人或者存在控股、管理关系的不同单位，不得参加同一标段谈判或者未划分标段的同一项目；【提供承诺函】</w:t>
      </w:r>
    </w:p>
    <w:p w14:paraId="427868F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2.7本项目不接受联合体谈判，成交后不允许分包与转包。【提供承诺函】。</w:t>
      </w:r>
    </w:p>
    <w:p w14:paraId="7BD37167">
      <w:pPr>
        <w:pageBreakBefore w:val="0"/>
        <w:widowControl w:val="0"/>
        <w:kinsoku/>
        <w:overflowPunct/>
        <w:autoSpaceDE/>
        <w:bidi w:val="0"/>
        <w:adjustRightInd/>
        <w:spacing w:line="360" w:lineRule="auto"/>
        <w:jc w:val="left"/>
        <w:textAlignment w:val="auto"/>
        <w:outlineLvl w:val="1"/>
        <w:rPr>
          <w:rFonts w:hint="default" w:ascii="Times New Roman" w:hAnsi="Times New Roman" w:eastAsia="宋体" w:cs="Times New Roman"/>
          <w:b/>
          <w:kern w:val="0"/>
          <w:sz w:val="24"/>
          <w:szCs w:val="24"/>
          <w:lang w:val="en-US" w:eastAsia="zh-CN" w:bidi="ar-SA"/>
        </w:rPr>
      </w:pPr>
      <w:r>
        <w:rPr>
          <w:rFonts w:hint="default" w:ascii="Times New Roman" w:hAnsi="Times New Roman" w:eastAsia="宋体" w:cs="Times New Roman"/>
          <w:b/>
          <w:kern w:val="0"/>
          <w:sz w:val="28"/>
          <w:szCs w:val="28"/>
          <w:lang w:val="en-US" w:eastAsia="zh-CN" w:bidi="ar-SA"/>
        </w:rPr>
        <w:t>三、谈判文件的获取</w:t>
      </w:r>
    </w:p>
    <w:p w14:paraId="2CA22113">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本项目通过“诚E招电子采购交易平台”（网址：https://www.chengezhao.com/）进行支付标书费。具体如下：</w:t>
      </w:r>
    </w:p>
    <w:p w14:paraId="23555413">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3.1谈判文件获取</w:t>
      </w:r>
      <w:r>
        <w:rPr>
          <w:rFonts w:hint="default" w:ascii="Times New Roman" w:hAnsi="Times New Roman" w:eastAsia="宋体" w:cs="Times New Roman"/>
          <w:color w:val="000000"/>
          <w:kern w:val="2"/>
          <w:sz w:val="24"/>
          <w:szCs w:val="24"/>
          <w:highlight w:val="none"/>
          <w:lang w:val="en-US" w:eastAsia="zh-CN" w:bidi="ar-SA"/>
        </w:rPr>
        <w:t>时间：202</w:t>
      </w:r>
      <w:r>
        <w:rPr>
          <w:rFonts w:hint="eastAsia" w:ascii="Times New Roman" w:hAnsi="Times New Roman" w:eastAsia="宋体" w:cs="Times New Roman"/>
          <w:color w:val="000000"/>
          <w:kern w:val="2"/>
          <w:sz w:val="24"/>
          <w:szCs w:val="24"/>
          <w:highlight w:val="none"/>
          <w:lang w:val="en-US" w:eastAsia="zh-CN" w:bidi="ar-SA"/>
        </w:rPr>
        <w:t>6</w:t>
      </w:r>
      <w:r>
        <w:rPr>
          <w:rFonts w:hint="default" w:ascii="Times New Roman" w:hAnsi="Times New Roman" w:eastAsia="宋体" w:cs="Times New Roman"/>
          <w:color w:val="000000"/>
          <w:kern w:val="2"/>
          <w:sz w:val="24"/>
          <w:szCs w:val="24"/>
          <w:highlight w:val="none"/>
          <w:lang w:val="en-US" w:eastAsia="zh-CN" w:bidi="ar-SA"/>
        </w:rPr>
        <w:t>年</w:t>
      </w:r>
      <w:r>
        <w:rPr>
          <w:rFonts w:hint="eastAsia" w:ascii="Times New Roman" w:hAnsi="Times New Roman" w:eastAsia="宋体" w:cs="Times New Roman"/>
          <w:color w:val="000000"/>
          <w:kern w:val="2"/>
          <w:sz w:val="24"/>
          <w:szCs w:val="24"/>
          <w:highlight w:val="none"/>
          <w:lang w:val="en-US" w:eastAsia="zh-CN" w:bidi="ar-SA"/>
        </w:rPr>
        <w:t>10</w:t>
      </w:r>
      <w:r>
        <w:rPr>
          <w:rFonts w:hint="default" w:ascii="Times New Roman" w:hAnsi="Times New Roman" w:eastAsia="宋体" w:cs="Times New Roman"/>
          <w:color w:val="000000"/>
          <w:kern w:val="2"/>
          <w:sz w:val="24"/>
          <w:szCs w:val="24"/>
          <w:highlight w:val="none"/>
          <w:lang w:val="en-US" w:eastAsia="zh-CN" w:bidi="ar-SA"/>
        </w:rPr>
        <w:t>月</w:t>
      </w:r>
      <w:r>
        <w:rPr>
          <w:rFonts w:hint="eastAsia" w:ascii="Times New Roman" w:hAnsi="Times New Roman" w:eastAsia="宋体" w:cs="Times New Roman"/>
          <w:color w:val="000000"/>
          <w:kern w:val="2"/>
          <w:sz w:val="24"/>
          <w:szCs w:val="24"/>
          <w:highlight w:val="none"/>
          <w:lang w:val="en-US" w:eastAsia="zh-CN" w:bidi="ar-SA"/>
        </w:rPr>
        <w:t>26</w:t>
      </w:r>
      <w:r>
        <w:rPr>
          <w:rFonts w:hint="default" w:ascii="Times New Roman" w:hAnsi="Times New Roman" w:eastAsia="宋体" w:cs="Times New Roman"/>
          <w:color w:val="000000"/>
          <w:kern w:val="2"/>
          <w:sz w:val="24"/>
          <w:szCs w:val="24"/>
          <w:highlight w:val="none"/>
          <w:lang w:val="en-US" w:eastAsia="zh-CN" w:bidi="ar-SA"/>
        </w:rPr>
        <w:t>日</w:t>
      </w:r>
      <w:r>
        <w:rPr>
          <w:rFonts w:hint="eastAsia" w:ascii="Times New Roman" w:hAnsi="Times New Roman" w:eastAsia="宋体" w:cs="Times New Roman"/>
          <w:color w:val="000000"/>
          <w:kern w:val="2"/>
          <w:sz w:val="24"/>
          <w:szCs w:val="24"/>
          <w:highlight w:val="none"/>
          <w:lang w:val="en-US" w:eastAsia="zh-CN" w:bidi="ar-SA"/>
        </w:rPr>
        <w:t>18</w:t>
      </w:r>
      <w:r>
        <w:rPr>
          <w:rFonts w:hint="default" w:ascii="Times New Roman" w:hAnsi="Times New Roman" w:eastAsia="宋体" w:cs="Times New Roman"/>
          <w:color w:val="000000"/>
          <w:kern w:val="2"/>
          <w:sz w:val="24"/>
          <w:szCs w:val="24"/>
          <w:highlight w:val="none"/>
          <w:lang w:val="en-US" w:eastAsia="zh-CN" w:bidi="ar-SA"/>
        </w:rPr>
        <w:t>时00分至202</w:t>
      </w:r>
      <w:r>
        <w:rPr>
          <w:rFonts w:hint="eastAsia" w:ascii="Times New Roman" w:hAnsi="Times New Roman" w:eastAsia="宋体" w:cs="Times New Roman"/>
          <w:color w:val="000000"/>
          <w:kern w:val="2"/>
          <w:sz w:val="24"/>
          <w:szCs w:val="24"/>
          <w:highlight w:val="none"/>
          <w:lang w:val="en-US" w:eastAsia="zh-CN" w:bidi="ar-SA"/>
        </w:rPr>
        <w:t>6</w:t>
      </w:r>
      <w:r>
        <w:rPr>
          <w:rFonts w:hint="default" w:ascii="Times New Roman" w:hAnsi="Times New Roman" w:eastAsia="宋体" w:cs="Times New Roman"/>
          <w:color w:val="000000"/>
          <w:kern w:val="2"/>
          <w:sz w:val="24"/>
          <w:szCs w:val="24"/>
          <w:highlight w:val="none"/>
          <w:lang w:val="en-US" w:eastAsia="zh-CN" w:bidi="ar-SA"/>
        </w:rPr>
        <w:t>年</w:t>
      </w:r>
      <w:r>
        <w:rPr>
          <w:rFonts w:hint="eastAsia" w:ascii="Times New Roman" w:hAnsi="Times New Roman" w:eastAsia="宋体" w:cs="Times New Roman"/>
          <w:color w:val="000000"/>
          <w:kern w:val="2"/>
          <w:sz w:val="24"/>
          <w:szCs w:val="24"/>
          <w:highlight w:val="none"/>
          <w:lang w:val="en-US" w:eastAsia="zh-CN" w:bidi="ar-SA"/>
        </w:rPr>
        <w:t>10</w:t>
      </w:r>
      <w:r>
        <w:rPr>
          <w:rFonts w:hint="default" w:ascii="Times New Roman" w:hAnsi="Times New Roman" w:eastAsia="宋体" w:cs="Times New Roman"/>
          <w:color w:val="000000"/>
          <w:kern w:val="2"/>
          <w:sz w:val="24"/>
          <w:szCs w:val="24"/>
          <w:highlight w:val="none"/>
          <w:lang w:val="en-US" w:eastAsia="zh-CN" w:bidi="ar-SA"/>
        </w:rPr>
        <w:t>月</w:t>
      </w:r>
      <w:r>
        <w:rPr>
          <w:rFonts w:hint="eastAsia" w:ascii="Times New Roman" w:hAnsi="Times New Roman" w:eastAsia="宋体" w:cs="Times New Roman"/>
          <w:color w:val="000000"/>
          <w:kern w:val="2"/>
          <w:sz w:val="24"/>
          <w:szCs w:val="24"/>
          <w:highlight w:val="none"/>
          <w:lang w:val="en-US" w:eastAsia="zh-CN" w:bidi="ar-SA"/>
        </w:rPr>
        <w:t>29</w:t>
      </w:r>
      <w:r>
        <w:rPr>
          <w:rFonts w:hint="default" w:ascii="Times New Roman" w:hAnsi="Times New Roman" w:eastAsia="宋体" w:cs="Times New Roman"/>
          <w:color w:val="000000"/>
          <w:kern w:val="2"/>
          <w:sz w:val="24"/>
          <w:szCs w:val="24"/>
          <w:highlight w:val="none"/>
          <w:lang w:val="en-US" w:eastAsia="zh-CN" w:bidi="ar-SA"/>
        </w:rPr>
        <w:t>日</w:t>
      </w:r>
      <w:r>
        <w:rPr>
          <w:rFonts w:hint="eastAsia" w:ascii="Times New Roman" w:hAnsi="Times New Roman" w:eastAsia="宋体" w:cs="Times New Roman"/>
          <w:color w:val="000000"/>
          <w:kern w:val="2"/>
          <w:sz w:val="24"/>
          <w:szCs w:val="24"/>
          <w:highlight w:val="none"/>
          <w:lang w:val="en-US" w:eastAsia="zh-CN" w:bidi="ar-SA"/>
        </w:rPr>
        <w:t>18</w:t>
      </w:r>
      <w:r>
        <w:rPr>
          <w:rFonts w:hint="default" w:ascii="Times New Roman" w:hAnsi="Times New Roman" w:eastAsia="宋体" w:cs="Times New Roman"/>
          <w:color w:val="000000"/>
          <w:kern w:val="2"/>
          <w:sz w:val="24"/>
          <w:szCs w:val="24"/>
          <w:highlight w:val="none"/>
          <w:lang w:val="en-US" w:eastAsia="zh-CN" w:bidi="ar-SA"/>
        </w:rPr>
        <w:t>时00</w:t>
      </w:r>
      <w:r>
        <w:rPr>
          <w:rFonts w:hint="default" w:ascii="Times New Roman" w:hAnsi="Times New Roman" w:eastAsia="宋体" w:cs="Times New Roman"/>
          <w:color w:val="000000"/>
          <w:kern w:val="2"/>
          <w:sz w:val="24"/>
          <w:szCs w:val="24"/>
          <w:lang w:val="en-US" w:eastAsia="zh-CN" w:bidi="ar-SA"/>
        </w:rPr>
        <w:t>分（北京时间，下同）。</w:t>
      </w:r>
    </w:p>
    <w:p w14:paraId="229AE3E4">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3.2 谈判文件获取方式：凡有意参与的投标人，请按以下步骤顺序进行操作，获取谈判文件：通过“诚E招电子采购交易平台”（网址：https://www.chengezhao.com/）完成本项目的谈判文件的购买。</w:t>
      </w:r>
    </w:p>
    <w:p w14:paraId="6D227418">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3.2.1诚E招平台注册：进入诚E招平台网址，点击【新用户注册】（注册步骤详见门户网站：【</w:t>
      </w:r>
      <w:r>
        <w:rPr>
          <w:rFonts w:hint="eastAsia" w:ascii="Times New Roman" w:hAnsi="Times New Roman" w:eastAsia="宋体" w:cs="Times New Roman"/>
          <w:color w:val="000000"/>
          <w:kern w:val="2"/>
          <w:sz w:val="24"/>
          <w:szCs w:val="24"/>
          <w:lang w:val="en-US" w:eastAsia="zh-CN" w:bidi="ar-SA"/>
        </w:rPr>
        <w:t>供应商</w:t>
      </w:r>
      <w:r>
        <w:rPr>
          <w:rFonts w:hint="default" w:ascii="Times New Roman" w:hAnsi="Times New Roman" w:eastAsia="宋体" w:cs="Times New Roman"/>
          <w:color w:val="000000"/>
          <w:kern w:val="2"/>
          <w:sz w:val="24"/>
          <w:szCs w:val="24"/>
          <w:lang w:val="en-US" w:eastAsia="zh-CN" w:bidi="ar-SA"/>
        </w:rPr>
        <w:t>操作指南】-【注册指引】）。登陆账号后点击【常用文件】，下载《</w:t>
      </w:r>
      <w:r>
        <w:rPr>
          <w:rFonts w:hint="eastAsia" w:ascii="Times New Roman" w:hAnsi="Times New Roman" w:eastAsia="宋体" w:cs="Times New Roman"/>
          <w:color w:val="000000"/>
          <w:kern w:val="2"/>
          <w:sz w:val="24"/>
          <w:szCs w:val="24"/>
          <w:lang w:val="en-US" w:eastAsia="zh-CN" w:bidi="ar-SA"/>
        </w:rPr>
        <w:t>供应商</w:t>
      </w:r>
      <w:r>
        <w:rPr>
          <w:rFonts w:hint="default" w:ascii="Times New Roman" w:hAnsi="Times New Roman" w:eastAsia="宋体" w:cs="Times New Roman"/>
          <w:color w:val="000000"/>
          <w:kern w:val="2"/>
          <w:sz w:val="24"/>
          <w:szCs w:val="24"/>
          <w:lang w:val="en-US" w:eastAsia="zh-CN" w:bidi="ar-SA"/>
        </w:rPr>
        <w:t>&amp;供应商操作手册》。</w:t>
      </w:r>
    </w:p>
    <w:p w14:paraId="1D6E6F3C">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3.2.2购买谈判文件：注册成功后登录诚E招平台，点击【商机发现】，检索本项目并直接支付（无需上传任何材料）；</w:t>
      </w:r>
    </w:p>
    <w:p w14:paraId="57BBC438">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3.2.3疑问反馈：具体操作若有疑问，可致电诚E招客服热线：020-89524219。服务时间8:30-17:30（工作日）。</w:t>
      </w:r>
    </w:p>
    <w:p w14:paraId="0E62A52C">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3.2.4谈判文件费用：</w:t>
      </w:r>
    </w:p>
    <w:p w14:paraId="6FA98F46">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（1）谈判文件费用：每套售价贰佰元人民币（小写：200元），售后不退。</w:t>
      </w:r>
    </w:p>
    <w:p w14:paraId="5F4649AE">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（2）支付方式（三选一）：①网上支付（微信/支付宝扫码）、②电汇（须上传汇款凭证）、③钱包支付（点击“钱包管理”，充值后即可支付）。</w:t>
      </w:r>
    </w:p>
    <w:p w14:paraId="4DECC77E">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（3）</w:t>
      </w:r>
      <w:r>
        <w:rPr>
          <w:rFonts w:hint="default" w:ascii="Times New Roman" w:hAnsi="Times New Roman" w:eastAsia="宋体" w:cs="Times New Roman"/>
          <w:color w:val="000000"/>
          <w:kern w:val="2"/>
          <w:sz w:val="24"/>
          <w:szCs w:val="24"/>
          <w:lang w:val="en-US" w:eastAsia="zh-CN" w:bidi="ar-SA"/>
        </w:rPr>
        <w:t>若需纸质招标文件，可联系招标代理机构人员打印邮寄。</w:t>
      </w:r>
    </w:p>
    <w:p w14:paraId="0D49B6FC">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开 户 名：公诚管理咨询有限公司</w:t>
      </w:r>
    </w:p>
    <w:p w14:paraId="0875CAC3">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开户银行：中信银行广州花园支行</w:t>
      </w:r>
    </w:p>
    <w:p w14:paraId="710A34AA">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帐    号：3110910037672</w:t>
      </w:r>
      <w:r>
        <w:rPr>
          <w:rFonts w:hint="eastAsia" w:ascii="Times New Roman" w:hAnsi="Times New Roman" w:eastAsia="宋体" w:cs="Times New Roman"/>
          <w:color w:val="000000"/>
          <w:kern w:val="2"/>
          <w:sz w:val="24"/>
          <w:szCs w:val="24"/>
          <w:lang w:val="en-US" w:eastAsia="zh-CN" w:bidi="ar-SA"/>
        </w:rPr>
        <w:t>629792</w:t>
      </w:r>
    </w:p>
    <w:p w14:paraId="53389041">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（4）</w:t>
      </w:r>
      <w:r>
        <w:rPr>
          <w:rFonts w:hint="default" w:ascii="Times New Roman" w:hAnsi="Times New Roman" w:eastAsia="宋体" w:cs="Times New Roman"/>
          <w:color w:val="000000"/>
          <w:kern w:val="2"/>
          <w:sz w:val="24"/>
          <w:szCs w:val="24"/>
          <w:lang w:val="en-US" w:eastAsia="zh-CN" w:bidi="ar-SA"/>
        </w:rPr>
        <w:t>免</w:t>
      </w:r>
      <w:r>
        <w:rPr>
          <w:rFonts w:hint="default" w:ascii="Times New Roman" w:hAnsi="Times New Roman" w:eastAsia="宋体" w:cs="Times New Roman"/>
          <w:color w:val="auto"/>
          <w:kern w:val="2"/>
          <w:sz w:val="24"/>
          <w:szCs w:val="24"/>
          <w:lang w:val="en-US" w:eastAsia="zh-CN" w:bidi="ar-SA"/>
        </w:rPr>
        <w:t>责声明：“诚E招电子采购交易平台”（网址：https://www.chengezhao.com/）为本项目标书费支付的唯一渠道，其他平台的支付均属无效。</w:t>
      </w:r>
    </w:p>
    <w:p w14:paraId="7CBE838A">
      <w:pPr>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left"/>
        <w:textAlignment w:val="auto"/>
        <w:outlineLvl w:val="1"/>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四、响应文件递交</w:t>
      </w:r>
    </w:p>
    <w:p w14:paraId="03B595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lang w:val="en-US" w:eastAsia="zh-CN"/>
        </w:rPr>
        <w:t>4.1响应</w:t>
      </w:r>
      <w:r>
        <w:rPr>
          <w:rFonts w:hint="default" w:ascii="Times New Roman" w:hAnsi="Times New Roman" w:eastAsia="宋体" w:cs="Times New Roman"/>
          <w:color w:val="000000"/>
          <w:sz w:val="24"/>
          <w:szCs w:val="24"/>
        </w:rPr>
        <w:t>文件递交截止时间（即</w:t>
      </w:r>
      <w:r>
        <w:rPr>
          <w:rFonts w:hint="default" w:ascii="Times New Roman" w:hAnsi="Times New Roman" w:eastAsia="宋体" w:cs="Times New Roman"/>
          <w:color w:val="000000"/>
          <w:sz w:val="24"/>
          <w:szCs w:val="24"/>
          <w:lang w:val="en-US" w:eastAsia="zh-CN"/>
        </w:rPr>
        <w:t>应答</w:t>
      </w:r>
      <w:r>
        <w:rPr>
          <w:rFonts w:hint="default" w:ascii="Times New Roman" w:hAnsi="Times New Roman" w:eastAsia="宋体" w:cs="Times New Roman"/>
          <w:color w:val="000000"/>
          <w:sz w:val="24"/>
          <w:szCs w:val="24"/>
        </w:rPr>
        <w:t>截止时间）</w:t>
      </w:r>
      <w:r>
        <w:rPr>
          <w:rFonts w:hint="default" w:ascii="Times New Roman" w:hAnsi="Times New Roman" w:eastAsia="宋体" w:cs="Times New Roman"/>
          <w:color w:val="000000"/>
          <w:sz w:val="24"/>
          <w:szCs w:val="24"/>
          <w:highlight w:val="none"/>
        </w:rPr>
        <w:t>为：【</w:t>
      </w:r>
      <w:r>
        <w:rPr>
          <w:rFonts w:hint="default" w:ascii="Times New Roman" w:hAnsi="Times New Roman" w:eastAsia="宋体" w:cs="Times New Roman"/>
          <w:color w:val="000000"/>
          <w:sz w:val="24"/>
          <w:szCs w:val="24"/>
          <w:highlight w:val="none"/>
          <w:lang w:val="en-US" w:eastAsia="zh-CN"/>
        </w:rPr>
        <w:t>202</w:t>
      </w:r>
      <w:r>
        <w:rPr>
          <w:rFonts w:hint="eastAsia" w:ascii="Times New Roman" w:hAnsi="Times New Roman" w:eastAsia="宋体" w:cs="Times New Roman"/>
          <w:color w:val="000000"/>
          <w:sz w:val="24"/>
          <w:szCs w:val="24"/>
          <w:highlight w:val="none"/>
          <w:lang w:val="en-US" w:eastAsia="zh-CN"/>
        </w:rPr>
        <w:t>6</w:t>
      </w:r>
      <w:r>
        <w:rPr>
          <w:rFonts w:hint="default" w:ascii="Times New Roman" w:hAnsi="Times New Roman" w:eastAsia="宋体" w:cs="Times New Roman"/>
          <w:color w:val="000000"/>
          <w:sz w:val="24"/>
          <w:szCs w:val="24"/>
          <w:highlight w:val="none"/>
        </w:rPr>
        <w:t>年</w:t>
      </w:r>
      <w:r>
        <w:rPr>
          <w:rFonts w:hint="eastAsia" w:ascii="Times New Roman" w:hAnsi="Times New Roman" w:eastAsia="宋体" w:cs="Times New Roman"/>
          <w:color w:val="000000"/>
          <w:sz w:val="24"/>
          <w:szCs w:val="24"/>
          <w:highlight w:val="none"/>
          <w:lang w:val="en-US" w:eastAsia="zh-CN"/>
        </w:rPr>
        <w:t>10</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rPr>
        <w:t>日</w:t>
      </w:r>
      <w:r>
        <w:rPr>
          <w:rFonts w:hint="eastAsia"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000000"/>
          <w:sz w:val="24"/>
          <w:szCs w:val="24"/>
          <w:highlight w:val="none"/>
        </w:rPr>
        <w:t>时</w:t>
      </w:r>
      <w:r>
        <w:rPr>
          <w:rFonts w:hint="eastAsia" w:ascii="Times New Roman" w:hAnsi="Times New Roman" w:eastAsia="宋体" w:cs="Times New Roman"/>
          <w:color w:val="000000"/>
          <w:sz w:val="24"/>
          <w:szCs w:val="24"/>
          <w:highlight w:val="none"/>
          <w:lang w:val="en-US" w:eastAsia="zh-CN"/>
        </w:rPr>
        <w:t>30</w:t>
      </w:r>
      <w:r>
        <w:rPr>
          <w:rFonts w:hint="default" w:ascii="Times New Roman" w:hAnsi="Times New Roman" w:eastAsia="宋体" w:cs="Times New Roman"/>
          <w:color w:val="000000"/>
          <w:sz w:val="24"/>
          <w:szCs w:val="24"/>
          <w:highlight w:val="none"/>
        </w:rPr>
        <w:t>分】，</w:t>
      </w:r>
      <w:r>
        <w:rPr>
          <w:rFonts w:hint="default" w:ascii="Times New Roman" w:hAnsi="Times New Roman" w:eastAsia="宋体" w:cs="Times New Roman"/>
          <w:color w:val="000000"/>
          <w:sz w:val="24"/>
          <w:szCs w:val="24"/>
          <w:highlight w:val="none"/>
          <w:lang w:val="en-US" w:eastAsia="zh-CN"/>
        </w:rPr>
        <w:t>响应</w:t>
      </w:r>
      <w:r>
        <w:rPr>
          <w:rFonts w:hint="default" w:ascii="Times New Roman" w:hAnsi="Times New Roman" w:eastAsia="宋体" w:cs="Times New Roman"/>
          <w:color w:val="000000"/>
          <w:sz w:val="24"/>
          <w:szCs w:val="24"/>
          <w:highlight w:val="none"/>
        </w:rPr>
        <w:t>文件递交</w:t>
      </w:r>
      <w:r>
        <w:rPr>
          <w:rFonts w:hint="default" w:ascii="Times New Roman" w:hAnsi="Times New Roman" w:eastAsia="宋体" w:cs="Times New Roman"/>
          <w:color w:val="000000"/>
          <w:sz w:val="24"/>
          <w:szCs w:val="24"/>
        </w:rPr>
        <w:t>地点：【</w:t>
      </w:r>
      <w:r>
        <w:rPr>
          <w:rFonts w:hint="default" w:ascii="Times New Roman" w:hAnsi="Times New Roman" w:eastAsia="宋体" w:cs="Times New Roman"/>
          <w:color w:val="000000"/>
          <w:sz w:val="24"/>
          <w:szCs w:val="24"/>
          <w:lang w:eastAsia="zh-CN"/>
        </w:rPr>
        <w:t>福建省福州市闽侯县荆溪镇大数据科技园B5栋13层本项目开评标室</w:t>
      </w:r>
      <w:r>
        <w:rPr>
          <w:rFonts w:hint="default" w:ascii="Times New Roman" w:hAnsi="Times New Roman" w:eastAsia="宋体" w:cs="Times New Roman"/>
          <w:color w:val="000000"/>
          <w:sz w:val="24"/>
          <w:szCs w:val="24"/>
        </w:rPr>
        <w:t>】。</w:t>
      </w:r>
    </w:p>
    <w:p w14:paraId="756479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4.2</w:t>
      </w:r>
      <w:r>
        <w:rPr>
          <w:rFonts w:hint="default" w:ascii="Times New Roman" w:hAnsi="Times New Roman" w:eastAsia="宋体" w:cs="Times New Roman"/>
          <w:color w:val="000000"/>
          <w:sz w:val="24"/>
          <w:szCs w:val="24"/>
        </w:rPr>
        <w:t>电子</w:t>
      </w:r>
      <w:r>
        <w:rPr>
          <w:rFonts w:hint="default" w:ascii="Times New Roman" w:hAnsi="Times New Roman" w:eastAsia="宋体" w:cs="Times New Roman"/>
          <w:color w:val="000000"/>
          <w:sz w:val="24"/>
          <w:szCs w:val="24"/>
          <w:lang w:val="en-US" w:eastAsia="zh-CN"/>
        </w:rPr>
        <w:t>响应</w:t>
      </w:r>
      <w:r>
        <w:rPr>
          <w:rFonts w:hint="default" w:ascii="Times New Roman" w:hAnsi="Times New Roman" w:eastAsia="宋体" w:cs="Times New Roman"/>
          <w:color w:val="000000"/>
          <w:sz w:val="24"/>
          <w:szCs w:val="24"/>
        </w:rPr>
        <w:t xml:space="preserve">文件的递交：【不适用】       </w:t>
      </w:r>
    </w:p>
    <w:p w14:paraId="58A921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4.3</w:t>
      </w:r>
      <w:r>
        <w:rPr>
          <w:rFonts w:hint="default" w:ascii="Times New Roman" w:hAnsi="Times New Roman" w:eastAsia="宋体" w:cs="Times New Roman"/>
          <w:color w:val="000000"/>
          <w:sz w:val="24"/>
          <w:szCs w:val="24"/>
        </w:rPr>
        <w:t>本项目将于上述同一时间、地点进行开标，【</w:t>
      </w:r>
      <w:r>
        <w:rPr>
          <w:rFonts w:hint="default" w:ascii="Times New Roman" w:hAnsi="Times New Roman" w:eastAsia="宋体" w:cs="Times New Roman"/>
          <w:color w:val="000000"/>
          <w:sz w:val="24"/>
          <w:szCs w:val="24"/>
          <w:lang w:val="en-US" w:eastAsia="zh-CN"/>
        </w:rPr>
        <w:t>采购</w:t>
      </w:r>
      <w:r>
        <w:rPr>
          <w:rFonts w:hint="default" w:ascii="Times New Roman" w:hAnsi="Times New Roman" w:eastAsia="宋体" w:cs="Times New Roman"/>
          <w:color w:val="000000"/>
          <w:sz w:val="24"/>
          <w:szCs w:val="24"/>
        </w:rPr>
        <w:t>人/</w:t>
      </w:r>
      <w:r>
        <w:rPr>
          <w:rFonts w:hint="default" w:ascii="Times New Roman" w:hAnsi="Times New Roman" w:eastAsia="宋体" w:cs="Times New Roman"/>
          <w:color w:val="000000"/>
          <w:sz w:val="24"/>
          <w:szCs w:val="24"/>
          <w:lang w:val="en-US" w:eastAsia="zh-CN"/>
        </w:rPr>
        <w:t>采购</w:t>
      </w:r>
      <w:r>
        <w:rPr>
          <w:rFonts w:hint="default" w:ascii="Times New Roman" w:hAnsi="Times New Roman" w:eastAsia="宋体" w:cs="Times New Roman"/>
          <w:color w:val="000000"/>
          <w:sz w:val="24"/>
          <w:szCs w:val="24"/>
        </w:rPr>
        <w:t>代理机构】邀请</w:t>
      </w:r>
      <w:r>
        <w:rPr>
          <w:rFonts w:hint="eastAsia" w:ascii="Times New Roman" w:hAnsi="Times New Roman" w:eastAsia="宋体" w:cs="Times New Roman"/>
          <w:color w:val="000000"/>
          <w:sz w:val="24"/>
          <w:szCs w:val="24"/>
          <w:lang w:val="en-US" w:eastAsia="zh-CN"/>
        </w:rPr>
        <w:t>供应商</w:t>
      </w:r>
      <w:r>
        <w:rPr>
          <w:rFonts w:hint="default" w:ascii="Times New Roman" w:hAnsi="Times New Roman" w:eastAsia="宋体" w:cs="Times New Roman"/>
          <w:color w:val="000000"/>
          <w:sz w:val="24"/>
          <w:szCs w:val="24"/>
        </w:rPr>
        <w:t>的法定代表人或者其委托代理人准时参加。</w:t>
      </w:r>
    </w:p>
    <w:p w14:paraId="6EDB8B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4.4</w:t>
      </w:r>
      <w:r>
        <w:rPr>
          <w:rFonts w:hint="default" w:ascii="Times New Roman" w:hAnsi="Times New Roman" w:eastAsia="宋体" w:cs="Times New Roman"/>
          <w:color w:val="000000"/>
          <w:sz w:val="24"/>
          <w:szCs w:val="24"/>
        </w:rPr>
        <w:t>出现以下情形之一时，【</w:t>
      </w:r>
      <w:r>
        <w:rPr>
          <w:rFonts w:hint="default" w:ascii="Times New Roman" w:hAnsi="Times New Roman" w:eastAsia="宋体" w:cs="Times New Roman"/>
          <w:color w:val="000000"/>
          <w:sz w:val="24"/>
          <w:szCs w:val="24"/>
          <w:lang w:val="en-US" w:eastAsia="zh-CN"/>
        </w:rPr>
        <w:t>采购</w:t>
      </w:r>
      <w:r>
        <w:rPr>
          <w:rFonts w:hint="default" w:ascii="Times New Roman" w:hAnsi="Times New Roman" w:eastAsia="宋体" w:cs="Times New Roman"/>
          <w:color w:val="000000"/>
          <w:sz w:val="24"/>
          <w:szCs w:val="24"/>
        </w:rPr>
        <w:t>人/</w:t>
      </w:r>
      <w:r>
        <w:rPr>
          <w:rFonts w:hint="default" w:ascii="Times New Roman" w:hAnsi="Times New Roman" w:eastAsia="宋体" w:cs="Times New Roman"/>
          <w:color w:val="000000"/>
          <w:sz w:val="24"/>
          <w:szCs w:val="24"/>
          <w:lang w:val="en-US" w:eastAsia="zh-CN"/>
        </w:rPr>
        <w:t>采购</w:t>
      </w:r>
      <w:r>
        <w:rPr>
          <w:rFonts w:hint="default" w:ascii="Times New Roman" w:hAnsi="Times New Roman" w:eastAsia="宋体" w:cs="Times New Roman"/>
          <w:color w:val="000000"/>
          <w:sz w:val="24"/>
          <w:szCs w:val="24"/>
        </w:rPr>
        <w:t>代理机构】不予接收</w:t>
      </w:r>
      <w:r>
        <w:rPr>
          <w:rFonts w:hint="default" w:ascii="Times New Roman" w:hAnsi="Times New Roman" w:eastAsia="宋体" w:cs="Times New Roman"/>
          <w:color w:val="000000"/>
          <w:sz w:val="24"/>
          <w:szCs w:val="24"/>
          <w:lang w:val="en-US" w:eastAsia="zh-CN"/>
        </w:rPr>
        <w:t>响应</w:t>
      </w:r>
      <w:r>
        <w:rPr>
          <w:rFonts w:hint="default" w:ascii="Times New Roman" w:hAnsi="Times New Roman" w:eastAsia="宋体" w:cs="Times New Roman"/>
          <w:color w:val="000000"/>
          <w:sz w:val="24"/>
          <w:szCs w:val="24"/>
        </w:rPr>
        <w:t>文件：</w:t>
      </w:r>
    </w:p>
    <w:p w14:paraId="38225D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4.4.1</w:t>
      </w:r>
      <w:r>
        <w:rPr>
          <w:rFonts w:hint="default" w:ascii="Times New Roman" w:hAnsi="Times New Roman" w:eastAsia="宋体" w:cs="Times New Roman"/>
          <w:color w:val="000000"/>
          <w:sz w:val="24"/>
          <w:szCs w:val="24"/>
        </w:rPr>
        <w:t>逾期送达或者未送达指定地点的；</w:t>
      </w:r>
    </w:p>
    <w:p w14:paraId="08407B6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4.4.2</w:t>
      </w:r>
      <w:r>
        <w:rPr>
          <w:rFonts w:hint="default" w:ascii="Times New Roman" w:hAnsi="Times New Roman" w:eastAsia="宋体" w:cs="Times New Roman"/>
          <w:color w:val="000000"/>
          <w:sz w:val="24"/>
          <w:szCs w:val="24"/>
        </w:rPr>
        <w:t>未按照</w:t>
      </w:r>
      <w:r>
        <w:rPr>
          <w:rFonts w:hint="default" w:ascii="Times New Roman" w:hAnsi="Times New Roman" w:eastAsia="宋体" w:cs="Times New Roman"/>
          <w:color w:val="000000"/>
          <w:sz w:val="24"/>
          <w:szCs w:val="24"/>
          <w:lang w:val="en-US" w:eastAsia="zh-CN"/>
        </w:rPr>
        <w:t>谈判</w:t>
      </w:r>
      <w:r>
        <w:rPr>
          <w:rFonts w:hint="default" w:ascii="Times New Roman" w:hAnsi="Times New Roman" w:eastAsia="宋体" w:cs="Times New Roman"/>
          <w:color w:val="000000"/>
          <w:sz w:val="24"/>
          <w:szCs w:val="24"/>
        </w:rPr>
        <w:t>文件要求密封的；</w:t>
      </w:r>
    </w:p>
    <w:p w14:paraId="2A5D93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4.4.3</w:t>
      </w:r>
      <w:r>
        <w:rPr>
          <w:rFonts w:hint="default" w:ascii="Times New Roman" w:hAnsi="Times New Roman" w:eastAsia="宋体" w:cs="Times New Roman"/>
          <w:color w:val="000000"/>
          <w:sz w:val="24"/>
          <w:szCs w:val="24"/>
        </w:rPr>
        <w:t>未按照本公告要求获得本项目</w:t>
      </w:r>
      <w:r>
        <w:rPr>
          <w:rFonts w:hint="default" w:ascii="Times New Roman" w:hAnsi="Times New Roman" w:eastAsia="宋体" w:cs="Times New Roman"/>
          <w:color w:val="000000"/>
          <w:sz w:val="24"/>
          <w:szCs w:val="24"/>
          <w:lang w:val="en-US" w:eastAsia="zh-CN"/>
        </w:rPr>
        <w:t>谈判</w:t>
      </w:r>
      <w:r>
        <w:rPr>
          <w:rFonts w:hint="default" w:ascii="Times New Roman" w:hAnsi="Times New Roman" w:eastAsia="宋体" w:cs="Times New Roman"/>
          <w:color w:val="000000"/>
          <w:sz w:val="24"/>
          <w:szCs w:val="24"/>
        </w:rPr>
        <w:t>文件的。</w:t>
      </w:r>
    </w:p>
    <w:p w14:paraId="79A2A2C5">
      <w:pPr>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left"/>
        <w:textAlignment w:val="auto"/>
        <w:outlineLvl w:val="1"/>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五、发布公告的媒介</w:t>
      </w:r>
    </w:p>
    <w:p w14:paraId="4D3CD27E">
      <w:pPr>
        <w:pageBreakBefore w:val="0"/>
        <w:widowControl w:val="0"/>
        <w:kinsoku/>
        <w:overflowPunct/>
        <w:topLinePunct/>
        <w:autoSpaceDE/>
        <w:bidi w:val="0"/>
        <w:adjustRightInd/>
        <w:spacing w:line="360" w:lineRule="auto"/>
        <w:ind w:firstLine="480" w:firstLineChars="200"/>
        <w:jc w:val="left"/>
        <w:textAlignment w:val="auto"/>
        <w:rPr>
          <w:rFonts w:hint="default" w:ascii="Times New Roman" w:hAnsi="Times New Roman" w:eastAsia="宋体" w:cs="Times New Roman"/>
          <w:color w:val="000000"/>
          <w:kern w:val="2"/>
          <w:sz w:val="24"/>
          <w:szCs w:val="24"/>
          <w:u w:val="none"/>
          <w:lang w:val="en-US" w:eastAsia="zh-CN" w:bidi="ar-SA"/>
        </w:rPr>
      </w:pPr>
      <w:r>
        <w:rPr>
          <w:rFonts w:hint="default" w:ascii="Times New Roman" w:hAnsi="Times New Roman" w:eastAsia="宋体" w:cs="Times New Roman"/>
          <w:color w:val="000000"/>
          <w:kern w:val="2"/>
          <w:sz w:val="24"/>
          <w:szCs w:val="24"/>
          <w:lang w:val="en-US" w:eastAsia="zh-CN" w:bidi="ar-SA"/>
        </w:rPr>
        <w:t>本采购公告在“诚E招电子采购交易平台”（网址：</w:t>
      </w:r>
      <w:r>
        <w:rPr>
          <w:rFonts w:hint="default" w:ascii="Times New Roman" w:hAnsi="Times New Roman" w:eastAsia="宋体" w:cs="Times New Roman"/>
          <w:color w:val="000000"/>
          <w:kern w:val="2"/>
          <w:sz w:val="24"/>
          <w:szCs w:val="24"/>
          <w:u w:val="none"/>
          <w:lang w:val="en-US" w:eastAsia="zh-CN" w:bidi="ar-SA"/>
        </w:rPr>
        <w:fldChar w:fldCharType="begin"/>
      </w:r>
      <w:r>
        <w:rPr>
          <w:rFonts w:hint="default" w:ascii="Times New Roman" w:hAnsi="Times New Roman" w:eastAsia="宋体" w:cs="Times New Roman"/>
          <w:color w:val="000000"/>
          <w:kern w:val="2"/>
          <w:sz w:val="24"/>
          <w:szCs w:val="24"/>
          <w:u w:val="none"/>
          <w:lang w:val="en-US" w:eastAsia="zh-CN" w:bidi="ar-SA"/>
        </w:rPr>
        <w:instrText xml:space="preserve"> HYPERLINK "https://www.chengezhao.com/）上发布，其他媒介转载无效。" </w:instrText>
      </w:r>
      <w:r>
        <w:rPr>
          <w:rFonts w:hint="default" w:ascii="Times New Roman" w:hAnsi="Times New Roman" w:eastAsia="宋体" w:cs="Times New Roman"/>
          <w:color w:val="000000"/>
          <w:kern w:val="2"/>
          <w:sz w:val="24"/>
          <w:szCs w:val="24"/>
          <w:u w:val="none"/>
          <w:lang w:val="en-US" w:eastAsia="zh-CN" w:bidi="ar-SA"/>
        </w:rPr>
        <w:fldChar w:fldCharType="separate"/>
      </w:r>
      <w:r>
        <w:rPr>
          <w:rFonts w:hint="default" w:ascii="Times New Roman" w:hAnsi="Times New Roman" w:eastAsia="宋体" w:cs="Times New Roman"/>
          <w:color w:val="000000"/>
          <w:kern w:val="2"/>
          <w:sz w:val="24"/>
          <w:szCs w:val="24"/>
          <w:u w:val="none"/>
          <w:lang w:val="en-US" w:eastAsia="zh-CN" w:bidi="ar-SA"/>
        </w:rPr>
        <w:t>https://www.chengezhao.com/）上发布，其他媒介转载无效。</w:t>
      </w:r>
      <w:r>
        <w:rPr>
          <w:rFonts w:hint="default" w:ascii="Times New Roman" w:hAnsi="Times New Roman" w:eastAsia="宋体" w:cs="Times New Roman"/>
          <w:color w:val="000000"/>
          <w:kern w:val="2"/>
          <w:sz w:val="24"/>
          <w:szCs w:val="24"/>
          <w:u w:val="none"/>
          <w:lang w:val="en-US" w:eastAsia="zh-CN" w:bidi="ar-SA"/>
        </w:rPr>
        <w:fldChar w:fldCharType="end"/>
      </w:r>
    </w:p>
    <w:p w14:paraId="6CDA28A1">
      <w:pPr>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left"/>
        <w:textAlignment w:val="auto"/>
        <w:outlineLvl w:val="1"/>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六、谈判流程</w:t>
      </w:r>
    </w:p>
    <w:p w14:paraId="67E663D6">
      <w:pPr>
        <w:spacing w:before="120"/>
        <w:ind w:firstLine="480" w:firstLineChars="200"/>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详见响应文件第二章“（五）</w:t>
      </w:r>
      <w:r>
        <w:rPr>
          <w:rFonts w:hint="default" w:ascii="Times New Roman" w:hAnsi="Times New Roman" w:eastAsia="宋体" w:cs="Times New Roman"/>
          <w:color w:val="000000"/>
          <w:sz w:val="24"/>
          <w:szCs w:val="24"/>
          <w:lang w:eastAsia="zh-CN"/>
        </w:rPr>
        <w:t>谈判</w:t>
      </w:r>
      <w:r>
        <w:rPr>
          <w:rFonts w:hint="default" w:ascii="Times New Roman" w:hAnsi="Times New Roman" w:eastAsia="宋体" w:cs="Times New Roman"/>
          <w:color w:val="000000"/>
          <w:sz w:val="24"/>
          <w:szCs w:val="24"/>
        </w:rPr>
        <w:t>和评审”</w:t>
      </w:r>
    </w:p>
    <w:p w14:paraId="5E133F5C">
      <w:pPr>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left"/>
        <w:textAlignment w:val="auto"/>
        <w:outlineLvl w:val="1"/>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七、联系人</w:t>
      </w:r>
    </w:p>
    <w:p w14:paraId="71FDE84D">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240" w:firstLineChars="100"/>
        <w:jc w:val="left"/>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采购人：福建中检矿产品检验检测有限公司</w:t>
      </w:r>
    </w:p>
    <w:p w14:paraId="39709F72">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240" w:firstLineChars="100"/>
        <w:jc w:val="left"/>
        <w:rPr>
          <w:rFonts w:hint="default" w:ascii="Times New Roman" w:hAnsi="Times New Roman" w:eastAsia="宋体" w:cs="Times New Roman"/>
          <w:color w:val="000000"/>
          <w:kern w:val="2"/>
          <w:sz w:val="24"/>
          <w:szCs w:val="24"/>
          <w:highlight w:val="yellow"/>
          <w:lang w:val="en-US" w:eastAsia="zh-CN" w:bidi="ar-SA"/>
        </w:rPr>
      </w:pPr>
      <w:r>
        <w:rPr>
          <w:rFonts w:hint="default" w:ascii="Times New Roman" w:hAnsi="Times New Roman" w:eastAsia="宋体" w:cs="Times New Roman"/>
          <w:color w:val="000000"/>
          <w:kern w:val="2"/>
          <w:sz w:val="24"/>
          <w:szCs w:val="24"/>
          <w:lang w:val="en-US" w:eastAsia="zh-CN" w:bidi="ar-SA"/>
        </w:rPr>
        <w:t>地址</w:t>
      </w:r>
      <w:r>
        <w:rPr>
          <w:rFonts w:hint="default" w:ascii="Times New Roman" w:hAnsi="Times New Roman" w:eastAsia="宋体" w:cs="Times New Roman"/>
          <w:color w:val="000000"/>
          <w:kern w:val="2"/>
          <w:sz w:val="24"/>
          <w:szCs w:val="24"/>
          <w:highlight w:val="none"/>
          <w:lang w:val="en-US" w:eastAsia="zh-CN" w:bidi="ar-SA"/>
        </w:rPr>
        <w:t>：福州市仓山区建新镇百花洲路16号1号楼105、109、311、321、403、519-2单元</w:t>
      </w:r>
    </w:p>
    <w:p w14:paraId="1DD64E7D">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240" w:firstLineChars="100"/>
        <w:jc w:val="left"/>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项目联系人：陈女士</w:t>
      </w:r>
    </w:p>
    <w:p w14:paraId="0F851F91">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240" w:firstLineChars="100"/>
        <w:jc w:val="left"/>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电    话：</w:t>
      </w:r>
      <w:r>
        <w:rPr>
          <w:rFonts w:hint="default" w:ascii="Times New Roman" w:hAnsi="Times New Roman" w:eastAsia="宋体" w:cs="Times New Roman"/>
          <w:kern w:val="0"/>
          <w:sz w:val="24"/>
          <w:szCs w:val="22"/>
          <w:lang w:val="en-US" w:eastAsia="zh-CN" w:bidi="ar-SA"/>
        </w:rPr>
        <w:t>15005082486</w:t>
      </w:r>
    </w:p>
    <w:p w14:paraId="4F9C4F2F">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240" w:firstLineChars="100"/>
        <w:jc w:val="left"/>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采购代理机构:公诚管理咨询有限公司</w:t>
      </w:r>
    </w:p>
    <w:p w14:paraId="1C1D5A67">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240" w:firstLineChars="100"/>
        <w:jc w:val="left"/>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地址：福州市闽侯县荆溪镇大数据科技园B5栋13层公诚管理咨询有限公司福建分公司</w:t>
      </w:r>
    </w:p>
    <w:p w14:paraId="380766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项目负责人：</w:t>
      </w:r>
      <w:r>
        <w:rPr>
          <w:rFonts w:hint="default" w:ascii="Times New Roman" w:hAnsi="Times New Roman" w:eastAsia="宋体" w:cs="Times New Roman"/>
          <w:sz w:val="24"/>
          <w:szCs w:val="24"/>
        </w:rPr>
        <w:t>殷浩楠</w:t>
      </w:r>
    </w:p>
    <w:p w14:paraId="2F3475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宋体" w:cs="Times New Roman"/>
          <w:color w:val="FF0000"/>
          <w:sz w:val="24"/>
          <w:szCs w:val="24"/>
          <w:highlight w:val="none"/>
        </w:rPr>
      </w:pPr>
      <w:bookmarkStart w:id="2" w:name="_Hlk69457004"/>
      <w:r>
        <w:rPr>
          <w:rFonts w:hint="default" w:ascii="Times New Roman" w:hAnsi="Times New Roman" w:eastAsia="宋体" w:cs="Times New Roman"/>
          <w:sz w:val="24"/>
          <w:szCs w:val="24"/>
        </w:rPr>
        <w:t>项目联系人：殷浩楠</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潘烜，</w:t>
      </w:r>
      <w:r>
        <w:rPr>
          <w:rFonts w:hint="default" w:ascii="Times New Roman" w:hAnsi="Times New Roman" w:eastAsia="宋体" w:cs="Times New Roman"/>
          <w:sz w:val="24"/>
          <w:szCs w:val="24"/>
        </w:rPr>
        <w:t>陈碧霞</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王红兰，李昊</w:t>
      </w:r>
    </w:p>
    <w:p w14:paraId="6ED8BFC3">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sz w:val="24"/>
          <w:szCs w:val="24"/>
        </w:rPr>
        <w:t>电    话：</w:t>
      </w:r>
      <w:r>
        <w:rPr>
          <w:rFonts w:hint="default" w:ascii="Times New Roman" w:hAnsi="Times New Roman" w:eastAsia="宋体" w:cs="Times New Roman"/>
          <w:sz w:val="24"/>
          <w:szCs w:val="24"/>
          <w:lang w:val="en-US" w:eastAsia="zh-CN"/>
        </w:rPr>
        <w:t>18806091031</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电子邮件：</w:t>
      </w:r>
      <w:r>
        <w:rPr>
          <w:rFonts w:hint="default" w:ascii="Times New Roman" w:hAnsi="Times New Roman" w:eastAsia="宋体" w:cs="Times New Roman"/>
          <w:sz w:val="24"/>
          <w:szCs w:val="24"/>
          <w:lang w:val="en-US" w:eastAsia="zh-CN"/>
        </w:rPr>
        <w:t>18806091031</w:t>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lang w:val="en-US" w:eastAsia="zh-CN"/>
        </w:rPr>
        <w:t>39</w:t>
      </w:r>
      <w:r>
        <w:rPr>
          <w:rFonts w:hint="default" w:ascii="Times New Roman" w:hAnsi="Times New Roman" w:eastAsia="宋体" w:cs="Times New Roman"/>
          <w:sz w:val="24"/>
          <w:szCs w:val="24"/>
        </w:rPr>
        <w:t>.com</w:t>
      </w:r>
    </w:p>
    <w:bookmarkEnd w:id="2"/>
    <w:p w14:paraId="54508A2C">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开户银行：中信银行广州花园支行</w:t>
      </w:r>
    </w:p>
    <w:p w14:paraId="01CD2B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sz w:val="24"/>
          <w:szCs w:val="24"/>
          <w:highlight w:val="none"/>
        </w:rPr>
        <w:t>账    号：</w:t>
      </w:r>
      <w:r>
        <w:rPr>
          <w:rFonts w:hint="default" w:ascii="Times New Roman" w:hAnsi="Times New Roman" w:eastAsia="宋体" w:cs="Times New Roman"/>
          <w:sz w:val="24"/>
          <w:szCs w:val="24"/>
          <w:highlight w:val="none"/>
          <w:lang w:val="en-US" w:eastAsia="zh-CN"/>
        </w:rPr>
        <w:t>3110910037672629792</w:t>
      </w:r>
    </w:p>
    <w:p w14:paraId="592F1CCF">
      <w:pPr>
        <w:widowControl/>
        <w:spacing w:before="75" w:beforeAutospacing="0" w:after="75" w:afterAutospacing="0" w:line="360" w:lineRule="auto"/>
        <w:ind w:firstLine="240" w:firstLineChars="100"/>
        <w:jc w:val="right"/>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 xml:space="preserve">采购人：福建中检矿产品检验检测有限公司                                      </w:t>
      </w:r>
    </w:p>
    <w:p w14:paraId="2FE832E0">
      <w:pPr>
        <w:widowControl/>
        <w:spacing w:before="75" w:beforeAutospacing="0" w:after="75" w:afterAutospacing="0" w:line="360" w:lineRule="auto"/>
        <w:ind w:firstLine="240" w:firstLineChars="100"/>
        <w:jc w:val="right"/>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 xml:space="preserve">         采购代理机构:公诚管理咨询有限公司</w:t>
      </w:r>
    </w:p>
    <w:p w14:paraId="1ACC6AE4">
      <w:pPr>
        <w:widowControl/>
        <w:spacing w:before="75" w:beforeAutospacing="0" w:after="75" w:afterAutospacing="0" w:line="360" w:lineRule="auto"/>
        <w:ind w:firstLine="240" w:firstLineChars="100"/>
        <w:jc w:val="right"/>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 w:val="24"/>
          <w:szCs w:val="24"/>
          <w:lang w:val="en-US" w:eastAsia="zh-CN" w:bidi="ar-SA"/>
        </w:rPr>
        <w:t xml:space="preserve"> 202</w:t>
      </w:r>
      <w:r>
        <w:rPr>
          <w:rFonts w:hint="eastAsia" w:ascii="Times New Roman" w:hAnsi="Times New Roman" w:eastAsia="宋体" w:cs="Times New Roman"/>
          <w:color w:val="000000"/>
          <w:kern w:val="2"/>
          <w:sz w:val="24"/>
          <w:szCs w:val="24"/>
          <w:lang w:val="en-US" w:eastAsia="zh-CN" w:bidi="ar-SA"/>
        </w:rPr>
        <w:t>6</w:t>
      </w:r>
      <w:r>
        <w:rPr>
          <w:rFonts w:hint="default" w:ascii="Times New Roman" w:hAnsi="Times New Roman" w:eastAsia="宋体" w:cs="Times New Roman"/>
          <w:color w:val="000000"/>
          <w:kern w:val="2"/>
          <w:sz w:val="24"/>
          <w:szCs w:val="24"/>
          <w:lang w:val="en-US" w:eastAsia="zh-CN" w:bidi="ar-SA"/>
        </w:rPr>
        <w:t>年</w:t>
      </w:r>
      <w:r>
        <w:rPr>
          <w:rFonts w:hint="eastAsia" w:ascii="Times New Roman" w:hAnsi="Times New Roman" w:eastAsia="宋体" w:cs="Times New Roman"/>
          <w:color w:val="000000"/>
          <w:kern w:val="2"/>
          <w:sz w:val="24"/>
          <w:szCs w:val="24"/>
          <w:lang w:val="en-US" w:eastAsia="zh-CN" w:bidi="ar-SA"/>
        </w:rPr>
        <w:t>10</w:t>
      </w:r>
      <w:r>
        <w:rPr>
          <w:rFonts w:hint="default" w:ascii="Times New Roman" w:hAnsi="Times New Roman" w:eastAsia="宋体" w:cs="Times New Roman"/>
          <w:color w:val="000000"/>
          <w:kern w:val="2"/>
          <w:sz w:val="24"/>
          <w:szCs w:val="24"/>
          <w:lang w:val="en-US" w:eastAsia="zh-CN" w:bidi="ar-SA"/>
        </w:rPr>
        <w:t>月</w:t>
      </w:r>
      <w:r>
        <w:rPr>
          <w:rFonts w:hint="eastAsia" w:ascii="Times New Roman" w:hAnsi="Times New Roman" w:eastAsia="宋体" w:cs="Times New Roman"/>
          <w:color w:val="000000"/>
          <w:kern w:val="2"/>
          <w:sz w:val="24"/>
          <w:szCs w:val="24"/>
          <w:lang w:val="en-US" w:eastAsia="zh-CN" w:bidi="ar-SA"/>
        </w:rPr>
        <w:t>26</w:t>
      </w:r>
      <w:r>
        <w:rPr>
          <w:rFonts w:hint="default" w:ascii="Times New Roman" w:hAnsi="Times New Roman" w:eastAsia="宋体" w:cs="Times New Roman"/>
          <w:color w:val="000000"/>
          <w:kern w:val="2"/>
          <w:sz w:val="24"/>
          <w:szCs w:val="24"/>
          <w:lang w:val="en-US" w:eastAsia="zh-CN" w:bidi="ar-SA"/>
        </w:rPr>
        <w:t>日</w:t>
      </w:r>
    </w:p>
    <w:p w14:paraId="4F5CF0E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cript"/>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4B57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3"/>
    <w:unhideWhenUsed/>
    <w:qFormat/>
    <w:uiPriority w:val="9"/>
    <w:pPr>
      <w:keepNext/>
      <w:keepLines/>
      <w:spacing w:before="260" w:after="260" w:line="416" w:lineRule="auto"/>
      <w:outlineLvl w:val="1"/>
    </w:pPr>
    <w:rPr>
      <w:rFonts w:ascii="仿宋_GB2312" w:hAnsi="仿宋_GB2312" w:eastAsia="仿宋_GB2312" w:cs="仿宋_GB2312"/>
      <w:b/>
      <w:bCs/>
      <w:sz w:val="32"/>
      <w:szCs w:val="32"/>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ascii="Times New Roman" w:hAnsi="Times New Roman" w:eastAsia="宋体" w:cs="Times New Roman"/>
      <w:szCs w:val="24"/>
    </w:rPr>
  </w:style>
  <w:style w:type="paragraph" w:styleId="4">
    <w:name w:val="footer"/>
    <w:basedOn w:val="1"/>
    <w:qFormat/>
    <w:uiPriority w:val="99"/>
    <w:pPr>
      <w:tabs>
        <w:tab w:val="center" w:pos="4153"/>
        <w:tab w:val="right" w:pos="8306"/>
      </w:tabs>
      <w:snapToGrid w:val="0"/>
      <w:jc w:val="left"/>
    </w:pPr>
    <w:rPr>
      <w:rFonts w:ascii="Times New Roman" w:hAnsi="Times New Roman" w:eastAsia="宋体" w:cs="Times New Roman"/>
      <w:sz w:val="18"/>
      <w:szCs w:val="20"/>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page number"/>
    <w:basedOn w:val="8"/>
    <w:qFormat/>
    <w:uiPriority w:val="0"/>
  </w:style>
  <w:style w:type="character" w:styleId="10">
    <w:name w:val="Hyperlink"/>
    <w:basedOn w:val="8"/>
    <w:unhideWhenUsed/>
    <w:qFormat/>
    <w:uiPriority w:val="99"/>
    <w:rPr>
      <w:color w:val="0026E5" w:themeColor="hyperlink"/>
      <w:u w:val="single"/>
      <w14:textFill>
        <w14:solidFill>
          <w14:schemeClr w14:val="hlink"/>
        </w14:solidFill>
      </w14:textFill>
    </w:rPr>
  </w:style>
  <w:style w:type="paragraph" w:customStyle="1" w:styleId="11">
    <w:name w:val="p0"/>
    <w:basedOn w:val="1"/>
    <w:autoRedefine/>
    <w:qFormat/>
    <w:uiPriority w:val="0"/>
    <w:pPr>
      <w:widowControl/>
    </w:pPr>
    <w:rPr>
      <w:rFonts w:ascii="Times New Roman" w:hAnsi="Times New Roman" w:eastAsia="宋体" w:cs="Times New Roman"/>
      <w:kern w:val="0"/>
      <w:szCs w:val="21"/>
    </w:rPr>
  </w:style>
  <w:style w:type="paragraph" w:customStyle="1" w:styleId="12">
    <w:name w:val="正文00"/>
    <w:basedOn w:val="1"/>
    <w:qFormat/>
    <w:uiPriority w:val="0"/>
    <w:pPr>
      <w:topLinePunct/>
      <w:spacing w:line="360" w:lineRule="auto"/>
      <w:ind w:firstLine="200" w:firstLineChars="200"/>
    </w:pPr>
    <w:rPr>
      <w:sz w:val="24"/>
      <w:szCs w:val="21"/>
    </w:rPr>
  </w:style>
  <w:style w:type="paragraph" w:customStyle="1" w:styleId="13">
    <w:name w:val="Fließtext"/>
    <w:basedOn w:val="1"/>
    <w:autoRedefine/>
    <w:qFormat/>
    <w:uiPriority w:val="0"/>
    <w:pPr>
      <w:overflowPunct w:val="0"/>
      <w:autoSpaceDE w:val="0"/>
      <w:autoSpaceDN w:val="0"/>
      <w:adjustRightInd w:val="0"/>
      <w:textAlignment w:val="baseline"/>
    </w:pPr>
    <w:rPr>
      <w:kern w:val="2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2026-10-26T03:37:25Z</dcterms:created>
  <dc:creator>HUAWEI</dc:creator>
  <cp:lastModifiedBy>一个不知姓名的黄某</cp:lastModifiedBy>
  <dcterms:modified xsi:type="dcterms:W3CDTF">2026-10-26T03:37:36Z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eyJoZGlkIjoiODViY2JkMjU3NGYzZTEwMzZmMGFkZWViYmNkYWU3NDIiLCJ1c2VySWQiOiIzODkxMTgzOTYifQ==</vt:lpwstr>
  </property>
  <property fmtid="{D5CDD505-2E9C-101B-9397-08002B2CF9AE}" pid="4" name="ICV">
    <vt:lpwstr>94841CEE014D4B0B979161D6349FC894_12</vt:lpwstr>
  </property>
</Properties>
</file>