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440001-2026-02900</w:t>
      </w:r>
    </w:p>
    <w:p>
      <w:pPr>
        <w:pStyle w:val="null3"/>
        <w:jc w:val="center"/>
        <w:outlineLvl w:val="3"/>
      </w:pPr>
      <w:r>
        <w:rPr>
          <w:sz w:val="24"/>
          <w:b/>
        </w:rPr>
        <w:t>采购项目编号：</w:t>
      </w:r>
      <w:r>
        <w:rPr>
          <w:sz w:val="24"/>
          <w:b/>
        </w:rPr>
        <w:t>ZB-15-04A-2026-D-F-E01279</w:t>
      </w:r>
    </w:p>
    <w:p>
      <w:pPr>
        <w:pStyle w:val="null3"/>
        <w:jc w:val="center"/>
        <w:outlineLvl w:val="3"/>
      </w:pPr>
      <w:r>
        <w:rPr>
          <w:sz w:val="24"/>
          <w:b/>
        </w:rPr>
        <w:t>项目名称：</w:t>
      </w:r>
      <w:r>
        <w:rPr>
          <w:sz w:val="24"/>
          <w:b/>
        </w:rPr>
        <w:t>中山大学附属第六医院市场化购电服务项目</w:t>
      </w:r>
    </w:p>
    <w:p>
      <w:pPr>
        <w:pStyle w:val="null3"/>
        <w:jc w:val="center"/>
        <w:outlineLvl w:val="3"/>
      </w:pPr>
      <w:r>
        <w:rPr>
          <w:sz w:val="24"/>
          <w:b/>
        </w:rPr>
        <w:t>采购人：</w:t>
      </w:r>
      <w:r>
        <w:rPr>
          <w:sz w:val="24"/>
          <w:b/>
        </w:rPr>
        <w:t>中山大学附属第六医院</w:t>
      </w:r>
    </w:p>
    <w:p>
      <w:pPr>
        <w:pStyle w:val="null3"/>
        <w:jc w:val="center"/>
        <w:outlineLvl w:val="3"/>
      </w:pPr>
      <w:r>
        <w:rPr>
          <w:sz w:val="24"/>
          <w:b/>
        </w:rPr>
        <w:t>采购代理机构：</w:t>
      </w:r>
      <w:r>
        <w:rPr>
          <w:sz w:val="24"/>
          <w:b/>
        </w:rPr>
        <w:t>公诚管理咨询有限公司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公诚管理咨询有限公司</w:t>
      </w:r>
      <w:r>
        <w:rPr/>
        <w:t>受</w:t>
      </w:r>
      <w:r>
        <w:rPr/>
        <w:t>中山大学附属第六医院</w:t>
      </w:r>
      <w:r>
        <w:rPr/>
        <w:t>的委托，采用</w:t>
      </w:r>
      <w:r>
        <w:rPr/>
        <w:t>公开招标</w:t>
      </w:r>
      <w:r>
        <w:rPr/>
        <w:t>方式组织采购</w:t>
      </w:r>
      <w:r>
        <w:rPr/>
        <w:t>中山大学附属第六医院市场化购电服务项目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中山大学附属第六医院市场化购电服务项目</w:t>
      </w:r>
    </w:p>
    <w:p>
      <w:pPr>
        <w:pStyle w:val="null3"/>
        <w:ind w:firstLine="480"/>
      </w:pPr>
      <w:r>
        <w:rPr/>
        <w:t>采购计划编号：</w:t>
      </w:r>
      <w:r>
        <w:rPr/>
        <w:t>440001-2026-02900</w:t>
      </w:r>
    </w:p>
    <w:p>
      <w:pPr>
        <w:pStyle w:val="null3"/>
        <w:ind w:firstLine="480"/>
      </w:pPr>
      <w:r>
        <w:rPr/>
        <w:t>采购项目编号：</w:t>
      </w:r>
      <w:r>
        <w:rPr/>
        <w:t>ZB-15-04A-2026-D-F-E01279</w:t>
      </w:r>
    </w:p>
    <w:p>
      <w:pPr>
        <w:pStyle w:val="null3"/>
        <w:ind w:firstLine="480"/>
      </w:pPr>
      <w:r>
        <w:rPr/>
        <w:t>采购方式：</w:t>
      </w:r>
      <w:r>
        <w:rPr/>
        <w:t>公开招标</w:t>
      </w:r>
    </w:p>
    <w:p>
      <w:pPr>
        <w:pStyle w:val="null3"/>
        <w:ind w:firstLine="480"/>
      </w:pPr>
      <w:r>
        <w:rPr/>
        <w:t>预算金额：</w:t>
      </w:r>
      <w:r>
        <w:rPr/>
        <w:t>9,672,000.00</w:t>
      </w:r>
      <w:r>
        <w:rPr/>
        <w:t>元</w:t>
      </w:r>
    </w:p>
    <w:p>
      <w:pPr>
        <w:pStyle w:val="null3"/>
        <w:outlineLvl w:val="3"/>
      </w:pPr>
      <w:r>
        <w:rPr>
          <w:sz w:val="24"/>
          <w:b/>
        </w:rPr>
        <w:t>2.项目内容及需求情况（采购项目技术规格、参数及要求）</w:t>
      </w:r>
    </w:p>
    <w:p>
      <w:pPr>
        <w:pStyle w:val="null3"/>
      </w:pPr>
      <w:r>
        <w:rPr/>
        <w:t>采购包1(中山大学附属第六医院市场化购电服务项目):</w:t>
      </w:r>
    </w:p>
    <w:p>
      <w:pPr>
        <w:pStyle w:val="null3"/>
      </w:pPr>
      <w:r>
        <w:rPr/>
        <w:t>采购包预算金额：9,672,000.00元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电力分配服务</w:t>
            </w:r>
          </w:p>
        </w:tc>
        <w:tc>
          <w:tcPr>
            <w:tcW w:type="dxa" w:w="2052"/>
          </w:tcPr>
          <w:p>
            <w:pPr>
              <w:pStyle w:val="null3"/>
            </w:pPr>
            <w:r>
              <w:rPr/>
              <w:t>中山大学附属第六医院市场化购电服务项目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9,672,000.00</w:t>
            </w:r>
          </w:p>
        </w:tc>
        <w:tc>
          <w:tcPr>
            <w:tcW w:type="dxa" w:w="977"/>
          </w:tcPr>
          <w:p>
            <w:pPr>
              <w:pStyle w:val="null3"/>
            </w:pPr>
            <w:r>
              <w:rPr/>
              <w:t>否</w:t>
            </w:r>
          </w:p>
        </w:tc>
      </w:tr>
    </w:tbl>
    <w:p>
      <w:pPr>
        <w:pStyle w:val="null3"/>
      </w:pPr>
      <w:r>
        <w:rPr/>
        <w:t>本采购包不接受联合体投标</w:t>
      </w:r>
    </w:p>
    <w:p>
      <w:pPr>
        <w:pStyle w:val="null3"/>
      </w:pPr>
      <w:r>
        <w:rPr/>
        <w:t>合同分包：允许合同分包</w:t>
      </w:r>
    </w:p>
    <w:p>
      <w:pPr>
        <w:pStyle w:val="null3"/>
      </w:pPr>
      <w:r>
        <w:rPr/>
        <w:t>合同履行期限：2026年4月1日至2026年12月31日</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是在中华人民共和国境内注册的法人或其他组织或自然人，投标时提交有效的营业执照（或事业法人登记证或社会团体登记证或民办非企业单位登记证或身份证等相关证明）复印件。（如国家另有规定的，则从其规定。如供应商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pPr>
        <w:pStyle w:val="null3"/>
      </w:pPr>
      <w:r>
        <w:rPr/>
        <w:t>2）有依法缴纳税收和社会保障资金的良好记录：提供声明函（格式自定，格式可参考招标公告附件）</w:t>
      </w:r>
    </w:p>
    <w:p>
      <w:pPr>
        <w:pStyle w:val="null3"/>
      </w:pPr>
      <w:r>
        <w:rPr/>
        <w:t>3）具有良好的商业信誉和健全的财务会计制度：提供声明函（格式自定，格式可参考招标公告附件）</w:t>
      </w:r>
    </w:p>
    <w:p>
      <w:pPr>
        <w:pStyle w:val="null3"/>
      </w:pPr>
      <w:r>
        <w:rPr/>
        <w:t>4）履行合同所必需的设备和专业技术能力：提供声明函（格式自定，格式可参考招标公告附件）</w:t>
      </w:r>
    </w:p>
    <w:p>
      <w:pPr>
        <w:pStyle w:val="null3"/>
      </w:pPr>
      <w:r>
        <w:rPr/>
        <w:t>5）参加采购活动前3年内，在经营活动中没有重大违法记录：供应商参加政府采购活动前三年内，在经营活动中没有重大违法记录。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提供声明函（格式自定，格式可参考招标公告附件）</w:t>
      </w:r>
    </w:p>
    <w:p>
      <w:pPr>
        <w:pStyle w:val="null3"/>
        <w:outlineLvl w:val="3"/>
      </w:pPr>
      <w:r>
        <w:rPr>
          <w:sz w:val="24"/>
          <w:b/>
        </w:rPr>
        <w:t>2.落实政府采购政策需满足的资格要求：</w:t>
      </w:r>
    </w:p>
    <w:p>
      <w:pPr>
        <w:pStyle w:val="null3"/>
        <w:jc w:val="left"/>
      </w:pPr>
      <w:r>
        <w:rPr/>
        <w:t>采购包1（中山大学附属第六医院市场化购电服务项目）：</w:t>
      </w:r>
      <w:r>
        <w:rPr/>
        <w:t>本项目不属于专门面向中小企业采购的项目，根据《政府采购促进中小企业发展管理办法》的规定，本项目属于“按照本办法规定预留采购份额无法确保充分供应、充分竞争，或者存在可能影响政府采购目标实现的情形”的情形，故不属于专门面向中小企业采购的项目。本项目采购标的所属行业为：工业。</w:t>
      </w:r>
    </w:p>
    <w:p>
      <w:pPr>
        <w:pStyle w:val="null3"/>
        <w:outlineLvl w:val="3"/>
      </w:pPr>
      <w:r>
        <w:rPr>
          <w:sz w:val="24"/>
          <w:b/>
        </w:rPr>
        <w:t>3.本项目特定的资格要求：</w:t>
      </w:r>
    </w:p>
    <w:p>
      <w:pPr>
        <w:pStyle w:val="null3"/>
      </w:pPr>
      <w:r>
        <w:rPr/>
        <w:t>采购包1（中山大学附属第六医院市场化购电服务项目）：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3)供应商须是已通过广东电力交易中心注册且具备交易资格的售电公司（投标文件须提供有效证明文件及售电牌照编码，证明文件上已显示售电牌照编码的，可不单独提供售电牌照编码）</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中山大学附属第六医院</w:t>
      </w:r>
    </w:p>
    <w:p>
      <w:pPr>
        <w:pStyle w:val="null3"/>
        <w:ind w:firstLine="480"/>
      </w:pPr>
      <w:r>
        <w:rPr/>
        <w:t xml:space="preserve"> 地址：</w:t>
      </w:r>
      <w:r>
        <w:rPr/>
        <w:t>广州天河区员村二横路26号</w:t>
      </w:r>
    </w:p>
    <w:p>
      <w:pPr>
        <w:pStyle w:val="null3"/>
        <w:ind w:firstLine="480"/>
      </w:pPr>
      <w:r>
        <w:rPr/>
        <w:t xml:space="preserve"> 联系方式：</w:t>
      </w:r>
      <w:r>
        <w:rPr/>
        <w:t>020-38255393</w:t>
      </w:r>
    </w:p>
    <w:p>
      <w:pPr>
        <w:pStyle w:val="null3"/>
        <w:outlineLvl w:val="3"/>
      </w:pPr>
      <w:r>
        <w:rPr>
          <w:sz w:val="24"/>
          <w:b/>
        </w:rPr>
        <w:t xml:space="preserve"> 2.采购代理机构信息</w:t>
      </w:r>
    </w:p>
    <w:p>
      <w:pPr>
        <w:pStyle w:val="null3"/>
        <w:ind w:firstLine="480"/>
      </w:pPr>
      <w:r>
        <w:rPr/>
        <w:t xml:space="preserve"> 名称：</w:t>
      </w:r>
      <w:r>
        <w:rPr/>
        <w:t>公诚管理咨询有限公司</w:t>
      </w:r>
    </w:p>
    <w:p>
      <w:pPr>
        <w:pStyle w:val="null3"/>
        <w:ind w:firstLine="480"/>
      </w:pPr>
      <w:r>
        <w:rPr/>
        <w:t xml:space="preserve"> 地址：</w:t>
      </w:r>
      <w:r>
        <w:rPr/>
        <w:t>广州市天河区员村街道春融三路7号南方财经大厦32层</w:t>
      </w:r>
    </w:p>
    <w:p>
      <w:pPr>
        <w:pStyle w:val="null3"/>
        <w:ind w:firstLine="480"/>
      </w:pPr>
      <w:r>
        <w:rPr/>
        <w:t xml:space="preserve"> 联系方式：</w:t>
      </w:r>
      <w:r>
        <w:rPr/>
        <w:t>司徒嘉健13418403040、刘宏慧13929586770</w:t>
      </w:r>
    </w:p>
    <w:p>
      <w:pPr>
        <w:pStyle w:val="null3"/>
        <w:outlineLvl w:val="3"/>
      </w:pPr>
      <w:r>
        <w:rPr>
          <w:sz w:val="24"/>
          <w:b/>
        </w:rPr>
        <w:t xml:space="preserve"> 3.项目联系方式</w:t>
      </w:r>
    </w:p>
    <w:p>
      <w:pPr>
        <w:pStyle w:val="null3"/>
        <w:ind w:firstLine="480"/>
      </w:pPr>
      <w:r>
        <w:rPr/>
        <w:t xml:space="preserve"> 项目联系人：</w:t>
      </w:r>
      <w:r>
        <w:rPr/>
        <w:t>宋晋刚、戚琳、池锦俊、吴松浩、刘宏慧、司徒嘉健</w:t>
      </w:r>
    </w:p>
    <w:p>
      <w:pPr>
        <w:pStyle w:val="null3"/>
        <w:ind w:firstLine="480"/>
      </w:pPr>
      <w:r>
        <w:rPr/>
        <w:t xml:space="preserve"> 电话：</w:t>
      </w:r>
      <w:r>
        <w:rPr/>
        <w:t>司徒嘉健13418403040、刘宏慧13929586770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公诚管理咨询有限公司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outlineLvl w:val="1"/>
      </w:pPr>
      <w:r>
        <w:rPr>
          <w:sz w:val="24"/>
          <w:b/>
        </w:rPr>
        <w:t>一、项目概况：</w:t>
      </w:r>
    </w:p>
    <w:p>
      <w:pPr>
        <w:pStyle w:val="null3"/>
      </w:pPr>
      <w:r>
        <w:rPr>
          <w:sz w:val="24"/>
        </w:rPr>
        <w:t>1.行业背景</w:t>
      </w:r>
    </w:p>
    <w:p>
      <w:pPr>
        <w:pStyle w:val="null3"/>
      </w:pPr>
      <w:r>
        <w:rPr>
          <w:sz w:val="24"/>
        </w:rPr>
        <w:t>根据</w:t>
      </w:r>
      <w:r>
        <w:rPr>
          <w:sz w:val="24"/>
        </w:rPr>
        <w:t>2015年3月15日，国家发展改革和委员会印发《关于进一步深化电力体制改革的若干意见》(中发〔2015〕9号)，允许电力用户通过与售电公司签订《电力交易零售合同》，同时按《广东省能源局国家能源局南方监管局关于2025年电力市场交易有关事项的通知》（粤能电力〔2024〕50号）及《广东省能源局关于印发《广东电力零售市场管理办法》的通知》（粤能规〔2023〕2号）及广东省电力市场化交易相关政策规定，医疗机构作为事业单位，2024年起可逐步通过市场化方式向售电公司采购用电服务，以优化用电成本。</w:t>
      </w:r>
    </w:p>
    <w:p>
      <w:pPr>
        <w:pStyle w:val="null3"/>
      </w:pPr>
      <w:r>
        <w:rPr>
          <w:sz w:val="24"/>
        </w:rPr>
        <w:t>2.医院概况</w:t>
      </w:r>
    </w:p>
    <w:p>
      <w:pPr>
        <w:pStyle w:val="null3"/>
      </w:pPr>
      <w:r>
        <w:rPr>
          <w:sz w:val="24"/>
        </w:rPr>
        <w:t>采购人使用的主要能源类型有水、电，其中，电力能源费用占比最高，且用电量呈逐年上升趋势，其中</w:t>
      </w:r>
      <w:r>
        <w:rPr>
          <w:sz w:val="24"/>
        </w:rPr>
        <w:t>2025年1~10月用电量27839132KWh。投标人按要求进行报价，为采购人提供2026年4月1日至2026年12月31日的代理购电服务。</w:t>
      </w:r>
    </w:p>
    <w:p>
      <w:pPr>
        <w:pStyle w:val="null3"/>
      </w:pPr>
      <w:r>
        <w:rPr>
          <w:sz w:val="24"/>
        </w:rPr>
        <w:t>3.用户基本信息</w:t>
      </w:r>
    </w:p>
    <w:tbl>
      <w:tblPr>
        <w:tblW w:w="0" w:type="auto"/>
        <w:tblBorders>
          <w:top w:val="none" w:color="000000" w:sz="4"/>
          <w:left w:val="none" w:color="000000" w:sz="4"/>
          <w:bottom w:val="none" w:color="000000" w:sz="4"/>
          <w:right w:val="none" w:color="000000" w:sz="4"/>
          <w:insideH w:val="none"/>
          <w:insideV w:val="none"/>
        </w:tblBorders>
      </w:tblPr>
      <w:tblGrid>
        <w:gridCol w:w="2736"/>
        <w:gridCol w:w="5570"/>
      </w:tblGrid>
      <w:tr>
        <w:tc>
          <w:tcPr>
            <w:tcW w:type="dxa" w:w="27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sz w:val="24"/>
              </w:rPr>
              <w:t>项目</w:t>
            </w:r>
          </w:p>
        </w:tc>
        <w:tc>
          <w:tcPr>
            <w:tcW w:type="dxa" w:w="55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sz w:val="24"/>
              </w:rPr>
              <w:t>内容</w:t>
            </w:r>
          </w:p>
        </w:tc>
      </w:tr>
      <w:tr>
        <w:tc>
          <w:tcPr>
            <w:tcW w:type="dxa" w:w="2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sz w:val="24"/>
              </w:rPr>
              <w:t>用电主体</w:t>
            </w:r>
          </w:p>
        </w:tc>
        <w:tc>
          <w:tcPr>
            <w:tcW w:type="dxa" w:w="5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sz w:val="24"/>
              </w:rPr>
              <w:t>中山大学附属第六医院</w:t>
            </w:r>
          </w:p>
        </w:tc>
      </w:tr>
      <w:tr>
        <w:tc>
          <w:tcPr>
            <w:tcW w:type="dxa" w:w="2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sz w:val="24"/>
              </w:rPr>
              <w:t>年用电量</w:t>
            </w:r>
          </w:p>
        </w:tc>
        <w:tc>
          <w:tcPr>
            <w:tcW w:type="dxa" w:w="5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sz w:val="24"/>
              </w:rPr>
              <w:t>约</w:t>
            </w:r>
            <w:r>
              <w:rPr>
                <w:sz w:val="24"/>
              </w:rPr>
              <w:t>3500万kwh</w:t>
            </w:r>
          </w:p>
        </w:tc>
      </w:tr>
      <w:tr>
        <w:tc>
          <w:tcPr>
            <w:tcW w:type="dxa" w:w="2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sz w:val="24"/>
              </w:rPr>
              <w:t>电压等级与地址</w:t>
            </w:r>
          </w:p>
        </w:tc>
        <w:tc>
          <w:tcPr>
            <w:tcW w:type="dxa" w:w="5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sz w:val="24"/>
              </w:rPr>
              <w:t>10kV（广州市天河区员村二横路26号，金融城院区）、20KV（广州市黄埔区知明路688号，知识城院区）</w:t>
            </w:r>
          </w:p>
        </w:tc>
      </w:tr>
      <w:tr>
        <w:tc>
          <w:tcPr>
            <w:tcW w:type="dxa" w:w="2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sz w:val="24"/>
              </w:rPr>
              <w:t>用电性质</w:t>
            </w:r>
          </w:p>
        </w:tc>
        <w:tc>
          <w:tcPr>
            <w:tcW w:type="dxa" w:w="5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sz w:val="24"/>
              </w:rPr>
              <w:t>医疗用电</w:t>
            </w:r>
          </w:p>
        </w:tc>
      </w:tr>
      <w:tr>
        <w:tc>
          <w:tcPr>
            <w:tcW w:type="dxa" w:w="2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sz w:val="24"/>
              </w:rPr>
              <w:t>供电等级</w:t>
            </w:r>
          </w:p>
        </w:tc>
        <w:tc>
          <w:tcPr>
            <w:tcW w:type="dxa" w:w="5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sz w:val="24"/>
              </w:rPr>
              <w:t>一级</w:t>
            </w:r>
          </w:p>
        </w:tc>
      </w:tr>
    </w:tbl>
    <w:p>
      <w:pPr>
        <w:pStyle w:val="null3"/>
      </w:pPr>
      <w:r>
        <w:rPr>
          <w:sz w:val="24"/>
          <w:b/>
        </w:rPr>
        <w:t>二、总体要求说明</w:t>
      </w:r>
    </w:p>
    <w:p>
      <w:pPr>
        <w:pStyle w:val="null3"/>
      </w:pPr>
      <w:r>
        <w:rPr>
          <w:sz w:val="24"/>
        </w:rPr>
        <w:t>1.</w:t>
      </w:r>
      <w:r>
        <w:rPr>
          <w:sz w:val="24"/>
        </w:rPr>
        <w:t>标有</w:t>
      </w:r>
      <w:r>
        <w:rPr>
          <w:sz w:val="24"/>
        </w:rPr>
        <w:t>“★”的条款为必须完全满足的实质性要求，投标人如有一项带“★”的条款未响应或负偏离，将按无效投标处理。</w:t>
      </w:r>
    </w:p>
    <w:p>
      <w:pPr>
        <w:pStyle w:val="null3"/>
      </w:pPr>
      <w:r>
        <w:rPr>
          <w:sz w:val="24"/>
        </w:rPr>
        <w:t>2.</w:t>
      </w:r>
      <w:r>
        <w:rPr>
          <w:sz w:val="24"/>
        </w:rPr>
        <w:t>标有</w:t>
      </w:r>
      <w:r>
        <w:rPr>
          <w:sz w:val="24"/>
        </w:rPr>
        <w:t>“▲”的条款为重要性要求，投标人如有带“▲”的条款未响应或负偏离的将被严重扣分。</w:t>
      </w:r>
    </w:p>
    <w:p>
      <w:pPr>
        <w:pStyle w:val="null3"/>
      </w:pPr>
      <w:r>
        <w:rPr>
          <w:sz w:val="24"/>
        </w:rPr>
        <w:t>3.</w:t>
      </w:r>
      <w:r>
        <w:rPr>
          <w:sz w:val="24"/>
        </w:rPr>
        <w:t>投标人在响应详细内容中必须列出具体数值或作出具体承诺。如果投标人只注明</w:t>
      </w:r>
      <w:r>
        <w:rPr>
          <w:sz w:val="24"/>
        </w:rPr>
        <w:t>“正偏离”或“无偏离”，将可能被视为“负偏离”，从而可能导致严重影响评分结果。</w:t>
      </w:r>
    </w:p>
    <w:p>
      <w:pPr>
        <w:pStyle w:val="null3"/>
      </w:pPr>
      <w:r>
        <w:rPr>
          <w:sz w:val="24"/>
          <w:b/>
        </w:rPr>
        <w:t>三、服务内容及要求</w:t>
      </w:r>
    </w:p>
    <w:p>
      <w:pPr>
        <w:pStyle w:val="null3"/>
        <w:ind w:left="420"/>
      </w:pPr>
      <w:r>
        <w:rPr>
          <w:sz w:val="24"/>
          <w:b/>
          <w:color w:val="000000"/>
        </w:rPr>
        <w:t>1.</w:t>
      </w:r>
      <w:r>
        <w:rPr>
          <w:sz w:val="24"/>
          <w:b/>
          <w:color w:val="000000"/>
        </w:rPr>
        <w:t>购电范围</w:t>
      </w:r>
    </w:p>
    <w:p>
      <w:pPr>
        <w:pStyle w:val="null3"/>
      </w:pPr>
      <w:r>
        <w:rPr>
          <w:sz w:val="24"/>
        </w:rPr>
        <w:t>1.1.采购电量（9个月）：总电量约2600万kWh。</w:t>
      </w:r>
    </w:p>
    <w:p>
      <w:pPr>
        <w:pStyle w:val="null3"/>
      </w:pPr>
      <w:r>
        <w:rPr>
          <w:sz w:val="24"/>
        </w:rPr>
        <w:t>1.2.电能质量：符合《电能质量供电电压偏差》（GB/T 12325-2008），电压偏差≤±7%。</w:t>
      </w:r>
    </w:p>
    <w:p>
      <w:pPr>
        <w:pStyle w:val="null3"/>
      </w:pPr>
      <w:r>
        <w:rPr>
          <w:sz w:val="24"/>
        </w:rPr>
        <w:t>1.3.合同服务周期：2026年4月1日至2026年12月31日，</w:t>
      </w:r>
      <w:r>
        <w:rPr>
          <w:sz w:val="24"/>
        </w:rPr>
        <w:t>合同期满或总电费金额达到采购预算金额则合同终止。</w:t>
      </w:r>
    </w:p>
    <w:p>
      <w:pPr>
        <w:pStyle w:val="null3"/>
      </w:pPr>
      <w:r>
        <w:rPr>
          <w:sz w:val="24"/>
        </w:rPr>
        <w:t>★1.4.投标人</w:t>
      </w:r>
      <w:r>
        <w:rPr>
          <w:sz w:val="24"/>
          <w:b/>
        </w:rPr>
        <w:t>报价不得高于最高</w:t>
      </w:r>
      <w:r>
        <w:rPr>
          <w:sz w:val="24"/>
          <w:b/>
          <w:color w:val="000000"/>
        </w:rPr>
        <w:t>限价</w:t>
      </w:r>
      <w:r>
        <w:rPr>
          <w:sz w:val="24"/>
          <w:b/>
          <w:color w:val="000000"/>
        </w:rPr>
        <w:t>372</w:t>
      </w:r>
      <w:r>
        <w:rPr>
          <w:sz w:val="24"/>
          <w:b/>
          <w:color w:val="000000"/>
        </w:rPr>
        <w:t>元</w:t>
      </w:r>
      <w:r>
        <w:rPr>
          <w:sz w:val="24"/>
          <w:b/>
          <w:color w:val="000000"/>
        </w:rPr>
        <w:t>/兆</w:t>
      </w:r>
      <w:r>
        <w:rPr>
          <w:sz w:val="24"/>
          <w:b/>
        </w:rPr>
        <w:t>瓦时</w:t>
      </w:r>
      <w:r>
        <w:rPr>
          <w:sz w:val="24"/>
        </w:rPr>
        <w:t>（固定电能量电费价格）（</w:t>
      </w:r>
      <w:r>
        <w:rPr>
          <w:sz w:val="24"/>
        </w:rPr>
        <w:t>1兆瓦时等于1000千瓦时，100元/兆瓦时等于0.1元/千瓦时。）必须以“元/兆瓦时”为单位进行投标报价，且不得超过上限价格，否则按无效投标处理。其他未尽事宜按《广东省能源局关于做好2026年电力市场年度交易工作的通知》、《关于广东电力市场2026年交易关键机制和参数的通知（广东交易〔2025〕271号）》执行。报价需含代理服务费等所有与本项目有关的费用，且承诺合在协议期限内，中标供应商的单价不做任何调整，报价均为含税报价，税率按照国家相关规定执行。</w:t>
      </w:r>
      <w:r>
        <w:rPr>
          <w:sz w:val="24"/>
          <w:b/>
        </w:rPr>
        <w:t>（提供承诺函，格式自拟，加盖投标人公章）</w:t>
      </w:r>
    </w:p>
    <w:p>
      <w:pPr>
        <w:pStyle w:val="null3"/>
        <w:ind w:left="420"/>
      </w:pPr>
      <w:r>
        <w:rPr>
          <w:sz w:val="24"/>
          <w:b/>
          <w:color w:val="000000"/>
        </w:rPr>
        <w:t>2.</w:t>
      </w:r>
      <w:r>
        <w:rPr>
          <w:sz w:val="24"/>
          <w:b/>
          <w:color w:val="000000"/>
        </w:rPr>
        <w:t>核心要求</w:t>
      </w:r>
    </w:p>
    <w:p>
      <w:pPr>
        <w:pStyle w:val="null3"/>
      </w:pPr>
      <w:r>
        <w:rPr>
          <w:sz w:val="24"/>
        </w:rPr>
        <w:t>2.1.报价要求：</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830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固定价格部分</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按实际用电量占比</w:t>
            </w:r>
          </w:p>
        </w:tc>
        <w:tc>
          <w:tcPr>
            <w:tcW w:type="dxa" w:w="4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最高限价</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90%</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372元/兆瓦时</w:t>
            </w:r>
          </w:p>
        </w:tc>
      </w:tr>
      <w:tr>
        <w:tc>
          <w:tcPr>
            <w:tcW w:type="dxa" w:w="83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市场联动价格部分</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按实际用电量占比</w:t>
            </w:r>
          </w:p>
        </w:tc>
        <w:tc>
          <w:tcPr>
            <w:tcW w:type="dxa" w:w="4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市场联动价格类型</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日前市场月度综合价（含分摊）</w:t>
            </w:r>
          </w:p>
        </w:tc>
      </w:tr>
    </w:tbl>
    <w:p>
      <w:pPr>
        <w:pStyle w:val="null3"/>
      </w:pPr>
      <w:r>
        <w:rPr>
          <w:sz w:val="24"/>
        </w:rPr>
        <w:t>2.1.1.以上清单中单价为市场化代购电单价，其余到户电价组成部分，包括政府性基金及附加、输配电费、损益、上网环节线损费用、系统运行费用等各项电费收费标准，由电网按政策规定执行。</w:t>
      </w:r>
    </w:p>
    <w:p>
      <w:pPr>
        <w:pStyle w:val="null3"/>
      </w:pPr>
      <w:r>
        <w:rPr>
          <w:sz w:val="24"/>
        </w:rPr>
        <w:t>2.1.2.采购人将全力配合中标供应商进行月度电量预报。</w:t>
      </w:r>
    </w:p>
    <w:p>
      <w:pPr>
        <w:pStyle w:val="null3"/>
      </w:pPr>
      <w:r>
        <w:rPr>
          <w:sz w:val="24"/>
        </w:rPr>
        <w:t>2.2.采购人用电量偏差考核费用由中标供应商100%承担，投标人需在投标文件中明确偏差处理方案。</w:t>
      </w:r>
    </w:p>
    <w:p>
      <w:pPr>
        <w:pStyle w:val="null3"/>
      </w:pPr>
      <w:r>
        <w:rPr>
          <w:sz w:val="24"/>
        </w:rPr>
        <w:t>2.3.超额电费共担条款：按零售交易合同约定执行。</w:t>
      </w:r>
    </w:p>
    <w:p>
      <w:pPr>
        <w:pStyle w:val="null3"/>
      </w:pPr>
      <w:r>
        <w:rPr>
          <w:sz w:val="24"/>
        </w:rPr>
        <w:t>2.4.采购人采购电能量结算模式：固定价格模式占比（90%）+市场联动模式占比（10%）。（电能计量：以供电企业</w:t>
      </w:r>
      <w:r>
        <w:rPr>
          <w:sz w:val="24"/>
        </w:rPr>
        <w:t>（中标供应商）</w:t>
      </w:r>
      <w:r>
        <w:rPr>
          <w:sz w:val="24"/>
        </w:rPr>
        <w:t>电力计量装置采集并推送至广东电力交易中心发布的实际用电量为结算依据）。</w:t>
      </w:r>
    </w:p>
    <w:p>
      <w:pPr>
        <w:pStyle w:val="null3"/>
      </w:pPr>
      <w:r>
        <w:rPr>
          <w:sz w:val="24"/>
        </w:rPr>
        <w:t>即：电能量结算价格</w:t>
      </w:r>
      <w:r>
        <w:rPr>
          <w:sz w:val="24"/>
        </w:rPr>
        <w:t>=合同约定固定价格*90%月度用电量+合同约定市场联动价格*10%月度用电量。</w:t>
      </w:r>
    </w:p>
    <w:p>
      <w:pPr>
        <w:pStyle w:val="null3"/>
      </w:pPr>
      <w:r>
        <w:rPr>
          <w:sz w:val="24"/>
        </w:rPr>
        <w:t>2.4.1.合同约定的价格非用户最终到户电价，仅为电能量固定价格：90%的固定电量价格，其他未尽事宜按《广东省能源局关于做好2026年电力市场年度交易工作的通知》、《关于广东电力市场2026年交易关键机制和参数的通知（广东交易〔2025〕271号）》执行；剩余10%电量价格采取日前市场月度综合价（含分摊），为不确定值，由广东电力交易中心次月中下旬对外公布上月市场联动价格。医院须按时缴纳的电费除电能量电费外，还包括输配电费、上网环节线损费用、系统运行费用、政府性基金及附加、需求响应费用、尖峰加价等政策性相关费用，即医院每月最终结算电费=（合同约定电能量结算价格+输配电费+上网环节线损费用+系统运行费用+政府性基金及附加+需求响应费用+尖峰加价等）*当月实际用电量。</w:t>
      </w:r>
    </w:p>
    <w:p>
      <w:pPr>
        <w:pStyle w:val="null3"/>
      </w:pPr>
      <w:r>
        <w:rPr>
          <w:sz w:val="24"/>
        </w:rPr>
        <w:t>2.4.2.除中标确定的电能量固定价格外，其他以上各项电费标准，由中标供应商和广东电力交易中心按照政策规定执行。</w:t>
      </w:r>
    </w:p>
    <w:p>
      <w:pPr>
        <w:pStyle w:val="null3"/>
      </w:pPr>
      <w:r>
        <w:rPr>
          <w:sz w:val="24"/>
        </w:rPr>
        <w:t>2.4.3.采购人和中标供应商双方按照签订的线下合同在交易系统中进行申报、确认，广东电力交易中心以双方在交易系统中申报、确认的模式和数据进行结算。</w:t>
      </w:r>
    </w:p>
    <w:p>
      <w:pPr>
        <w:pStyle w:val="null3"/>
      </w:pPr>
      <w:r>
        <w:rPr>
          <w:sz w:val="24"/>
        </w:rPr>
        <w:t>2.4.4.每月实际交易电量以供电企业</w:t>
      </w:r>
      <w:r>
        <w:rPr>
          <w:sz w:val="24"/>
        </w:rPr>
        <w:t>（中标供应商）</w:t>
      </w:r>
      <w:r>
        <w:rPr>
          <w:sz w:val="24"/>
        </w:rPr>
        <w:t>电力计量装置采集并推送至广东电力交易中心发布的实际用电量为准，采购人的电费结算方式为月度结算。</w:t>
      </w:r>
    </w:p>
    <w:p>
      <w:pPr>
        <w:pStyle w:val="null3"/>
      </w:pPr>
      <w:r>
        <w:rPr>
          <w:sz w:val="24"/>
        </w:rPr>
        <w:t>2.5.供电模式：不改变采购人原有的供电模式及稳定性。</w:t>
      </w:r>
    </w:p>
    <w:p>
      <w:pPr>
        <w:pStyle w:val="null3"/>
      </w:pPr>
      <w:r>
        <w:rPr>
          <w:sz w:val="24"/>
        </w:rPr>
        <w:t>2.6.其他要求：包括但不限于电能质量、供电稳定性、电价透明度等方面不低于南方电网代购电。</w:t>
      </w:r>
    </w:p>
    <w:p>
      <w:pPr>
        <w:pStyle w:val="null3"/>
        <w:ind w:left="420"/>
      </w:pPr>
      <w:r>
        <w:rPr>
          <w:sz w:val="24"/>
          <w:b/>
          <w:color w:val="000000"/>
        </w:rPr>
        <w:t>3.</w:t>
      </w:r>
      <w:r>
        <w:rPr>
          <w:sz w:val="24"/>
          <w:b/>
          <w:color w:val="000000"/>
        </w:rPr>
        <w:t>服务内容</w:t>
      </w:r>
    </w:p>
    <w:p>
      <w:pPr>
        <w:pStyle w:val="null3"/>
      </w:pPr>
      <w:r>
        <w:rPr>
          <w:sz w:val="24"/>
        </w:rPr>
        <w:t>★3.1.中标供应商按采购人实际用电量，参与广东省电力市场交易。由中标供应商承担全部电量偏差考核费用。</w:t>
      </w:r>
      <w:r>
        <w:rPr>
          <w:sz w:val="24"/>
          <w:b/>
        </w:rPr>
        <w:t>（提供承诺函，格式自拟，加盖投标人公章）</w:t>
      </w:r>
    </w:p>
    <w:p>
      <w:pPr>
        <w:pStyle w:val="null3"/>
      </w:pPr>
      <w:r>
        <w:rPr>
          <w:sz w:val="24"/>
        </w:rPr>
        <w:t>★3.2.中标供应商参与电力市场化交易，负责每月交易电量申报、交易、结算工作。中标供应商协助采购人完善电力交易平台市场注册等事宜，并负责后期电力交易相关的全周期电力交易服务。</w:t>
      </w:r>
      <w:r>
        <w:rPr>
          <w:sz w:val="24"/>
          <w:b/>
        </w:rPr>
        <w:t>（提供承诺函，格式自拟，加盖投标人公章）</w:t>
      </w:r>
    </w:p>
    <w:p>
      <w:pPr>
        <w:pStyle w:val="null3"/>
      </w:pPr>
      <w:r>
        <w:rPr>
          <w:sz w:val="24"/>
        </w:rPr>
        <w:t>3.3.中标供应商负责电量电费分析、电力技术咨询、电力技术服务，重点包括与电网企业的沟通，发行电费准确性、合理性分析，相应发票获取及用电手续办理等业务，于合同年的11月提供交易电量结算清单，明确交易电量和电价，并如实向采购人提供真实准确的交易相关信息和资料。</w:t>
      </w:r>
    </w:p>
    <w:p>
      <w:pPr>
        <w:pStyle w:val="null3"/>
      </w:pPr>
      <w:r>
        <w:rPr>
          <w:sz w:val="24"/>
        </w:rPr>
        <w:t>★3.4.中标供应商提供的代购电服务应不改变采购人原有的用电习惯，供电模式和供电质量保障不变。中标后，交易流程由中标供应商按合同约定执行，具体工作内容及范围以采购人委托为准。</w:t>
      </w:r>
      <w:r>
        <w:rPr>
          <w:sz w:val="24"/>
          <w:b/>
        </w:rPr>
        <w:t>（提供承诺函，格式自拟，加盖投标人公章）</w:t>
      </w:r>
    </w:p>
    <w:p>
      <w:pPr>
        <w:pStyle w:val="null3"/>
      </w:pPr>
      <w:r>
        <w:rPr>
          <w:sz w:val="24"/>
        </w:rPr>
        <w:t>★3.5.中标供应商应清楚知悉采购人用电需求量为估算量，最终用电需求以实际用量为准，中标供应商应有充足的配额能确保采购人的实际用电需求，中标供应商不得因采购人用电需求与实际不符追索采购人违约责任。</w:t>
      </w:r>
      <w:r>
        <w:rPr>
          <w:sz w:val="24"/>
          <w:b/>
        </w:rPr>
        <w:t>（提供承诺函，格式自拟，加盖投标人公章）</w:t>
      </w:r>
    </w:p>
    <w:p>
      <w:pPr>
        <w:pStyle w:val="null3"/>
      </w:pPr>
      <w:r>
        <w:rPr>
          <w:sz w:val="24"/>
        </w:rPr>
        <w:t>★3.6.中标供应商必须满足采购人用电需求，并负责办理用电变更、备案等相关手续。因中标供应商未能及时办理相关手续导致一切损失由中标供应商承担。</w:t>
      </w:r>
      <w:r>
        <w:rPr>
          <w:sz w:val="24"/>
          <w:b/>
        </w:rPr>
        <w:t>（提供承诺函，格式自拟，加盖投标人公章）</w:t>
      </w:r>
    </w:p>
    <w:p>
      <w:pPr>
        <w:pStyle w:val="null3"/>
      </w:pPr>
      <w:r>
        <w:rPr>
          <w:sz w:val="24"/>
        </w:rPr>
        <w:t>3.7.中标供应商需根据采购人用电状态及耗能情况提出优化用能合理建议，提供节能建议。</w:t>
      </w:r>
    </w:p>
    <w:p>
      <w:pPr>
        <w:pStyle w:val="null3"/>
        <w:ind w:left="420"/>
      </w:pPr>
      <w:r>
        <w:rPr>
          <w:sz w:val="24"/>
          <w:b/>
          <w:color w:val="000000"/>
        </w:rPr>
        <w:t>4.服务要求</w:t>
      </w:r>
    </w:p>
    <w:p>
      <w:pPr>
        <w:pStyle w:val="null3"/>
      </w:pPr>
      <w:r>
        <w:rPr>
          <w:sz w:val="24"/>
        </w:rPr>
        <w:t>4.1.中标供应商按国家有关法规、规定和技术规范，提供全周期电力交易服务和用电配套服务。</w:t>
      </w:r>
    </w:p>
    <w:p>
      <w:pPr>
        <w:pStyle w:val="null3"/>
      </w:pPr>
      <w:r>
        <w:rPr>
          <w:sz w:val="24"/>
        </w:rPr>
        <w:t>4.2.按照国家有关法规、规定和技术规范，为采购人提供电力交易服务，参与电力市场交易并按规定结算。</w:t>
      </w:r>
    </w:p>
    <w:p>
      <w:pPr>
        <w:pStyle w:val="null3"/>
      </w:pPr>
      <w:r>
        <w:rPr>
          <w:sz w:val="24"/>
        </w:rPr>
        <w:t>4.3.向采购人提供真实准确的有关电力直接交易的相关信息及资料，不得提供虚假的或误导性的信息。</w:t>
      </w:r>
    </w:p>
    <w:p>
      <w:pPr>
        <w:pStyle w:val="null3"/>
      </w:pPr>
      <w:r>
        <w:rPr>
          <w:sz w:val="24"/>
        </w:rPr>
        <w:t>4.4.根据国家有关法规支付电力交易相关费用。</w:t>
      </w:r>
    </w:p>
    <w:p>
      <w:pPr>
        <w:pStyle w:val="null3"/>
      </w:pPr>
      <w:r>
        <w:rPr>
          <w:sz w:val="24"/>
        </w:rPr>
        <w:t>4.5.协助采购人申请办理电力交易有关手续。</w:t>
      </w:r>
    </w:p>
    <w:p>
      <w:pPr>
        <w:pStyle w:val="null3"/>
      </w:pPr>
      <w:r>
        <w:rPr>
          <w:sz w:val="24"/>
        </w:rPr>
        <w:t>4.6.中标供应商应当安排专职人员与采购人对接，</w:t>
      </w:r>
      <w:r>
        <w:rPr>
          <w:sz w:val="24"/>
        </w:rPr>
        <w:t>项目技术服务人员</w:t>
      </w:r>
      <w:r>
        <w:rPr>
          <w:sz w:val="24"/>
        </w:rPr>
        <w:t>应具备电力交易</w:t>
      </w:r>
      <w:r>
        <w:rPr>
          <w:sz w:val="24"/>
        </w:rPr>
        <w:t>相关</w:t>
      </w:r>
      <w:r>
        <w:rPr>
          <w:sz w:val="24"/>
        </w:rPr>
        <w:t>的经验和技术能力</w:t>
      </w:r>
      <w:r>
        <w:rPr>
          <w:sz w:val="24"/>
        </w:rPr>
        <w:t>，负责电量申报、交易、结算等工作，负责协助采购人办理相关手续。</w:t>
      </w:r>
    </w:p>
    <w:p>
      <w:pPr>
        <w:pStyle w:val="null3"/>
        <w:jc w:val="both"/>
      </w:pPr>
      <w:r>
        <w:rPr>
          <w:sz w:val="24"/>
        </w:rPr>
        <w:t>4.7.中标供应商提供7天24小时服务热线，24小时技术支持。针对采购人提出的问题应当在2小时内解决，在线无法解决的应当在6小时内到达现场协助采购人解决，安排专业人员及时排查故障，确保尽快恢复供电；采购人需要咨询服务时，投标人应在1个小时内响应；投标人须做好相关技术人员的培训工作，确保满足该项目所需的服务能力。</w:t>
      </w:r>
    </w:p>
    <w:p>
      <w:pPr>
        <w:pStyle w:val="null3"/>
      </w:pPr>
      <w:r>
        <w:rPr>
          <w:sz w:val="24"/>
        </w:rPr>
        <w:t>4.8.中标供应商结合招标文件要求提供详细服务方案，方案内容包括但不限于：①服务计划安排（如项目实施时间节点、进度安排）、②项目管理人员配置（如团队成员构成、岗位职责）、③节能建议（如结合采购人情况进行分析、提出节能的措施）、④政策咨询服务（如：有新颁发、出台的通知政策等）、⑤负荷及电量预测等。</w:t>
      </w:r>
    </w:p>
    <w:p>
      <w:pPr>
        <w:pStyle w:val="null3"/>
      </w:pPr>
      <w:r>
        <w:rPr>
          <w:sz w:val="24"/>
        </w:rPr>
        <w:t>4.9.为保障项目质量，中标供应商应熟悉、了解本次（或同类）项目的实施运作，建议具备相关经验并建立质量管理制度。结合本项目需求实际情况、实施中的难点进行分析并提出应对措施，确保能保障不间断供电；</w:t>
      </w:r>
    </w:p>
    <w:p>
      <w:pPr>
        <w:pStyle w:val="null3"/>
      </w:pPr>
      <w:r>
        <w:rPr>
          <w:sz w:val="24"/>
          <w:b/>
        </w:rPr>
        <w:t>5.中标供应商提供如下服务，如有其他配套服务，可在投标文件中提供详细的配套服务实施方案。（以下服务费用包含在购电费用中，采购人无需额外支付此服务费用）</w:t>
      </w:r>
    </w:p>
    <w:p>
      <w:pPr>
        <w:pStyle w:val="null3"/>
      </w:pPr>
      <w:r>
        <w:rPr>
          <w:sz w:val="24"/>
        </w:rPr>
        <w:t>★5.1.电房维保服务。为保障供电安全及稳定性，提供高低压配电房维保服务（含金融城院区与知识城院区电房），主要设备清单见附件1，</w:t>
      </w:r>
      <w:r>
        <w:rPr>
          <w:sz w:val="24"/>
          <w:b/>
        </w:rPr>
        <w:t>（提供承诺函，格式自拟，加盖投标人公章）；</w:t>
      </w:r>
      <w:r>
        <w:rPr>
          <w:sz w:val="24"/>
        </w:rPr>
        <w:t>该部分内容允许分包。投标人须具备电力监管机构颁发的《承装（修、试）电力设施许可证》（投标文件中提供有效的证书复印件并加盖投标人公章）；投标人如不具备电力监管机构颁发的《承装（修、试）电力设施许可证》，须将该项服务内容分包给有相关资质的供应商负责，并在投标文件中提供分包供应商有效的《承装（修、试）电力设施许可证》和《分包意向协议书》（格式自拟或可参考招标公告附件）。</w:t>
      </w:r>
      <w:r>
        <w:rPr>
          <w:sz w:val="24"/>
          <w:b/>
        </w:rPr>
        <w:t>注：除上述内容允许分包外，投标人不得再以任何方式分包（或转包）本项目。</w:t>
      </w:r>
    </w:p>
    <w:p>
      <w:pPr>
        <w:pStyle w:val="null3"/>
      </w:pPr>
      <w:r>
        <w:rPr>
          <w:sz w:val="24"/>
        </w:rPr>
        <w:t>▲5.2.用电设备更新服务。至少提供价值=实际用电量×0.017元/KWh的用电设备更新服务。</w:t>
      </w:r>
      <w:r>
        <w:rPr>
          <w:sz w:val="24"/>
          <w:b/>
        </w:rPr>
        <w:t>（提供承诺函，格式自拟，加盖投标人公章）</w:t>
      </w:r>
    </w:p>
    <w:p>
      <w:pPr>
        <w:pStyle w:val="null3"/>
      </w:pPr>
      <w:r>
        <w:rPr>
          <w:sz w:val="24"/>
        </w:rPr>
        <w:t>▲5.3.用电分析及负荷预测服务。提供用电分析报告，预测用电负荷。</w:t>
      </w:r>
      <w:r>
        <w:rPr>
          <w:sz w:val="24"/>
          <w:b/>
        </w:rPr>
        <w:t>（提供承诺函，格式自拟，加盖投标人公章）</w:t>
      </w:r>
    </w:p>
    <w:p>
      <w:pPr>
        <w:pStyle w:val="null3"/>
        <w:ind w:left="420"/>
      </w:pPr>
      <w:r>
        <w:rPr>
          <w:sz w:val="24"/>
          <w:b/>
          <w:color w:val="000000"/>
        </w:rPr>
        <w:t>6.</w:t>
      </w:r>
      <w:r>
        <w:rPr>
          <w:sz w:val="24"/>
          <w:b/>
          <w:color w:val="000000"/>
        </w:rPr>
        <w:t>应急要求</w:t>
      </w:r>
    </w:p>
    <w:p>
      <w:pPr>
        <w:pStyle w:val="null3"/>
      </w:pPr>
      <w:r>
        <w:rPr>
          <w:sz w:val="24"/>
        </w:rPr>
        <w:t>6.1.投标人应具备完善的应急处理方案，以保障项目顺利实施，包括但不限于以下内容：用电高峰的电力保障、特殊情况下的电力调度等。</w:t>
      </w:r>
    </w:p>
    <w:p>
      <w:pPr>
        <w:pStyle w:val="null3"/>
      </w:pPr>
      <w:r>
        <w:rPr>
          <w:sz w:val="24"/>
        </w:rPr>
        <w:t>6.2.提供详细的售后管理方案（含售后人员配置、售后处理流程及应急响应机制）。</w:t>
      </w:r>
    </w:p>
    <w:p>
      <w:pPr>
        <w:pStyle w:val="null3"/>
      </w:pPr>
      <w:r>
        <w:rPr>
          <w:sz w:val="24"/>
        </w:rPr>
        <w:t>6.3.投标人结合采购人单位的实际情况编制应急方案，对各种应急事件有针对性的应急预案和相应应急措施。</w:t>
      </w:r>
    </w:p>
    <w:p>
      <w:pPr>
        <w:pStyle w:val="null3"/>
        <w:ind w:left="420"/>
      </w:pPr>
      <w:r>
        <w:rPr>
          <w:sz w:val="24"/>
          <w:b/>
          <w:color w:val="000000"/>
        </w:rPr>
        <w:t>7.</w:t>
      </w:r>
      <w:r>
        <w:rPr>
          <w:sz w:val="24"/>
          <w:b/>
          <w:color w:val="000000"/>
        </w:rPr>
        <w:t>违约赔偿</w:t>
      </w:r>
    </w:p>
    <w:p>
      <w:pPr>
        <w:pStyle w:val="null3"/>
      </w:pPr>
      <w:r>
        <w:rPr>
          <w:sz w:val="24"/>
        </w:rPr>
        <w:t>7.1.因中标供应商原因违约，导致采购人无法按照合同内容约定的电价购电用电或无电可用，致采购人返回电网企业代理购电时，中标供应商应向采购人支付因中标供应商违约而造成的经济损失。违约金的计算标准：违约金=（合同期内预估电量-已购实际电量）*广东电力交易中心有限公司发布的2026年度双边协商成交均价*150%。</w:t>
      </w:r>
    </w:p>
    <w:p>
      <w:pPr>
        <w:pStyle w:val="null3"/>
      </w:pPr>
      <w:r>
        <w:rPr>
          <w:sz w:val="24"/>
        </w:rPr>
        <w:t>7.2.因中标供应商未履行合同条款，导致采购人额外支出的费用，中标供应商应向采购人支付因中标供应商违约而造成的经济损失，违约金额按采购人额外支出的费用。</w:t>
      </w:r>
    </w:p>
    <w:p>
      <w:pPr>
        <w:pStyle w:val="null3"/>
      </w:pPr>
      <w:r>
        <w:rPr>
          <w:sz w:val="24"/>
        </w:rPr>
        <w:t>7.3.若中标供应商存在提供虚假数据、拒不履行服务义务等严重违约行为，采购人有权终止合同，还将其违约情况如实上报行业主管部门，并列入采购人供应商黑名单，禁止其参与医院后续所有电力相关项目采购。同时，医院保留就中标供应商违约行为造成的全部损失，通过法律途径追究其相应法律责任的权利。</w:t>
      </w:r>
    </w:p>
    <w:p>
      <w:pPr>
        <w:pStyle w:val="null3"/>
      </w:pPr>
      <w:r>
        <w:rPr>
          <w:sz w:val="24"/>
          <w:b/>
          <w:color w:val="000000"/>
        </w:rPr>
        <w:t>附件</w:t>
      </w:r>
      <w:r>
        <w:rPr>
          <w:sz w:val="24"/>
          <w:b/>
          <w:color w:val="000000"/>
        </w:rPr>
        <w:t>1：</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1054"/>
        <w:gridCol w:w="5143"/>
        <w:gridCol w:w="1054"/>
        <w:gridCol w:w="1055"/>
      </w:tblGrid>
      <w:tr>
        <w:tc>
          <w:tcPr>
            <w:tcW w:type="dxa" w:w="8306"/>
            <w:gridSpan w:val="4"/>
            <w:tcBorders>
              <w:top w:val="single" w:color="000000" w:sz="8"/>
              <w:left w:val="single" w:color="000000" w:sz="8"/>
              <w:bottom w:val="single" w:color="000000" w:sz="4"/>
              <w:right w:val="single" w:color="000000" w:sz="8"/>
            </w:tcBorders>
            <w:tcMar>
              <w:top w:type="dxa" w:w="15"/>
              <w:left w:type="dxa" w:w="15"/>
              <w:bottom w:type="dxa" w:w="15"/>
              <w:right w:type="dxa" w:w="15"/>
            </w:tcMar>
            <w:vAlign w:val="top"/>
          </w:tcPr>
          <w:p>
            <w:pPr>
              <w:pStyle w:val="null3"/>
              <w:jc w:val="center"/>
            </w:pPr>
            <w:r>
              <w:rPr>
                <w:sz w:val="24"/>
                <w:b/>
              </w:rPr>
              <w:t>电房主要设备清单</w:t>
            </w:r>
          </w:p>
        </w:tc>
      </w:tr>
      <w:tr>
        <w:tc>
          <w:tcPr>
            <w:tcW w:type="dxa" w:w="8306"/>
            <w:gridSpan w:val="4"/>
            <w:tcBorders>
              <w:top w:val="single" w:color="000000" w:sz="4"/>
              <w:left w:val="single" w:color="000000" w:sz="8"/>
              <w:bottom w:val="single" w:color="000000" w:sz="4"/>
              <w:right w:val="single" w:color="000000" w:sz="8"/>
            </w:tcBorders>
            <w:tcMar>
              <w:top w:type="dxa" w:w="15"/>
              <w:left w:type="dxa" w:w="15"/>
              <w:bottom w:type="dxa" w:w="15"/>
              <w:right w:type="dxa" w:w="15"/>
            </w:tcMar>
            <w:vAlign w:val="top"/>
          </w:tcPr>
          <w:p>
            <w:pPr>
              <w:pStyle w:val="null3"/>
              <w:jc w:val="center"/>
            </w:pPr>
            <w:r>
              <w:rPr>
                <w:sz w:val="24"/>
                <w:b/>
              </w:rPr>
              <w:t>一、金融城院区</w:t>
            </w:r>
          </w:p>
        </w:tc>
      </w:tr>
      <w:tr>
        <w:tc>
          <w:tcPr>
            <w:tcW w:type="dxa" w:w="1054"/>
            <w:tcBorders>
              <w:top w:val="single" w:color="000000" w:sz="4"/>
              <w:left w:val="single" w:color="000000" w:sz="8"/>
              <w:bottom w:val="single" w:color="000000" w:sz="4"/>
              <w:right w:val="single" w:color="000000" w:sz="4"/>
            </w:tcBorders>
            <w:tcMar>
              <w:top w:type="dxa" w:w="15"/>
              <w:left w:type="dxa" w:w="15"/>
              <w:bottom w:type="dxa" w:w="15"/>
              <w:right w:type="dxa" w:w="15"/>
            </w:tcMar>
            <w:vAlign w:val="top"/>
          </w:tcPr>
          <w:p>
            <w:pPr>
              <w:pStyle w:val="null3"/>
              <w:jc w:val="center"/>
            </w:pPr>
            <w:r>
              <w:rPr>
                <w:sz w:val="24"/>
              </w:rPr>
              <w:t>序号</w:t>
            </w:r>
          </w:p>
        </w:tc>
        <w:tc>
          <w:tcPr>
            <w:tcW w:type="dxa" w:w="5143"/>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产品名称（型号）</w:t>
            </w:r>
          </w:p>
        </w:tc>
        <w:tc>
          <w:tcPr>
            <w:tcW w:type="dxa" w:w="1054"/>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数量</w:t>
            </w:r>
          </w:p>
        </w:tc>
        <w:tc>
          <w:tcPr>
            <w:tcW w:type="dxa" w:w="1055"/>
            <w:tcBorders>
              <w:top w:val="single" w:color="000000" w:sz="4"/>
              <w:left w:val="single" w:color="000000" w:sz="4"/>
              <w:bottom w:val="single" w:color="000000" w:sz="4"/>
              <w:right w:val="single" w:color="000000" w:sz="8"/>
            </w:tcBorders>
            <w:tcMar>
              <w:top w:type="dxa" w:w="15"/>
              <w:left w:type="dxa" w:w="15"/>
              <w:bottom w:type="dxa" w:w="15"/>
              <w:right w:type="dxa" w:w="15"/>
            </w:tcMar>
            <w:vAlign w:val="top"/>
          </w:tcPr>
          <w:p>
            <w:pPr>
              <w:pStyle w:val="null3"/>
              <w:jc w:val="center"/>
            </w:pPr>
            <w:r>
              <w:rPr>
                <w:sz w:val="24"/>
              </w:rPr>
              <w:t>单位</w:t>
            </w:r>
          </w:p>
        </w:tc>
      </w:tr>
      <w:tr>
        <w:tc>
          <w:tcPr>
            <w:tcW w:type="dxa" w:w="1054"/>
            <w:tcBorders>
              <w:top w:val="single" w:color="000000" w:sz="4"/>
              <w:left w:val="single" w:color="000000" w:sz="8"/>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c>
          <w:tcPr>
            <w:tcW w:type="dxa" w:w="5143"/>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2000KVA变压器（#1、#2、#3、#4、#9、#10）</w:t>
            </w:r>
          </w:p>
        </w:tc>
        <w:tc>
          <w:tcPr>
            <w:tcW w:type="dxa" w:w="1054"/>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6</w:t>
            </w:r>
          </w:p>
        </w:tc>
        <w:tc>
          <w:tcPr>
            <w:tcW w:type="dxa" w:w="1055"/>
            <w:tcBorders>
              <w:top w:val="single" w:color="000000" w:sz="4"/>
              <w:left w:val="single" w:color="000000" w:sz="4"/>
              <w:bottom w:val="single" w:color="000000" w:sz="4"/>
              <w:right w:val="single" w:color="000000" w:sz="8"/>
            </w:tcBorders>
            <w:tcMar>
              <w:top w:type="dxa" w:w="15"/>
              <w:left w:type="dxa" w:w="15"/>
              <w:bottom w:type="dxa" w:w="15"/>
              <w:right w:type="dxa" w:w="15"/>
            </w:tcMar>
            <w:vAlign w:val="top"/>
          </w:tcPr>
          <w:p>
            <w:pPr>
              <w:pStyle w:val="null3"/>
              <w:jc w:val="center"/>
            </w:pPr>
            <w:r>
              <w:rPr>
                <w:sz w:val="24"/>
              </w:rPr>
              <w:t>台</w:t>
            </w:r>
          </w:p>
        </w:tc>
      </w:tr>
      <w:tr>
        <w:tc>
          <w:tcPr>
            <w:tcW w:type="dxa" w:w="1054"/>
            <w:tcBorders>
              <w:top w:val="single" w:color="000000" w:sz="4"/>
              <w:left w:val="single" w:color="000000" w:sz="8"/>
              <w:bottom w:val="single" w:color="000000" w:sz="4"/>
              <w:right w:val="single" w:color="000000" w:sz="4"/>
            </w:tcBorders>
            <w:tcMar>
              <w:top w:type="dxa" w:w="15"/>
              <w:left w:type="dxa" w:w="15"/>
              <w:bottom w:type="dxa" w:w="15"/>
              <w:right w:type="dxa" w:w="15"/>
            </w:tcMar>
            <w:vAlign w:val="top"/>
          </w:tcPr>
          <w:p>
            <w:pPr>
              <w:pStyle w:val="null3"/>
              <w:jc w:val="center"/>
            </w:pPr>
            <w:r>
              <w:rPr>
                <w:sz w:val="24"/>
              </w:rPr>
              <w:t>2</w:t>
            </w:r>
          </w:p>
        </w:tc>
        <w:tc>
          <w:tcPr>
            <w:tcW w:type="dxa" w:w="5143"/>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1600KVA变压器（#7、#8）</w:t>
            </w:r>
          </w:p>
        </w:tc>
        <w:tc>
          <w:tcPr>
            <w:tcW w:type="dxa" w:w="1054"/>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2</w:t>
            </w:r>
          </w:p>
        </w:tc>
        <w:tc>
          <w:tcPr>
            <w:tcW w:type="dxa" w:w="1055"/>
            <w:tcBorders>
              <w:top w:val="single" w:color="000000" w:sz="4"/>
              <w:left w:val="single" w:color="000000" w:sz="4"/>
              <w:bottom w:val="single" w:color="000000" w:sz="4"/>
              <w:right w:val="single" w:color="000000" w:sz="8"/>
            </w:tcBorders>
            <w:tcMar>
              <w:top w:type="dxa" w:w="15"/>
              <w:left w:type="dxa" w:w="15"/>
              <w:bottom w:type="dxa" w:w="15"/>
              <w:right w:type="dxa" w:w="15"/>
            </w:tcMar>
            <w:vAlign w:val="top"/>
          </w:tcPr>
          <w:p>
            <w:pPr>
              <w:pStyle w:val="null3"/>
              <w:jc w:val="center"/>
            </w:pPr>
            <w:r>
              <w:rPr>
                <w:sz w:val="24"/>
              </w:rPr>
              <w:t>台</w:t>
            </w:r>
          </w:p>
        </w:tc>
      </w:tr>
      <w:tr>
        <w:tc>
          <w:tcPr>
            <w:tcW w:type="dxa" w:w="1054"/>
            <w:tcBorders>
              <w:top w:val="single" w:color="000000" w:sz="4"/>
              <w:left w:val="single" w:color="000000" w:sz="8"/>
              <w:bottom w:val="single" w:color="000000" w:sz="4"/>
              <w:right w:val="single" w:color="000000" w:sz="4"/>
            </w:tcBorders>
            <w:tcMar>
              <w:top w:type="dxa" w:w="15"/>
              <w:left w:type="dxa" w:w="15"/>
              <w:bottom w:type="dxa" w:w="15"/>
              <w:right w:type="dxa" w:w="15"/>
            </w:tcMar>
            <w:vAlign w:val="top"/>
          </w:tcPr>
          <w:p>
            <w:pPr>
              <w:pStyle w:val="null3"/>
              <w:jc w:val="center"/>
            </w:pPr>
            <w:r>
              <w:rPr>
                <w:sz w:val="24"/>
              </w:rPr>
              <w:t>3</w:t>
            </w:r>
          </w:p>
        </w:tc>
        <w:tc>
          <w:tcPr>
            <w:tcW w:type="dxa" w:w="5143"/>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1000KVA变压器（#5、#6）</w:t>
            </w:r>
          </w:p>
        </w:tc>
        <w:tc>
          <w:tcPr>
            <w:tcW w:type="dxa" w:w="1054"/>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2</w:t>
            </w:r>
          </w:p>
        </w:tc>
        <w:tc>
          <w:tcPr>
            <w:tcW w:type="dxa" w:w="1055"/>
            <w:tcBorders>
              <w:top w:val="single" w:color="000000" w:sz="4"/>
              <w:left w:val="single" w:color="000000" w:sz="4"/>
              <w:bottom w:val="single" w:color="000000" w:sz="4"/>
              <w:right w:val="single" w:color="000000" w:sz="8"/>
            </w:tcBorders>
            <w:tcMar>
              <w:top w:type="dxa" w:w="15"/>
              <w:left w:type="dxa" w:w="15"/>
              <w:bottom w:type="dxa" w:w="15"/>
              <w:right w:type="dxa" w:w="15"/>
            </w:tcMar>
            <w:vAlign w:val="top"/>
          </w:tcPr>
          <w:p>
            <w:pPr>
              <w:pStyle w:val="null3"/>
              <w:jc w:val="center"/>
            </w:pPr>
            <w:r>
              <w:rPr>
                <w:sz w:val="24"/>
              </w:rPr>
              <w:t>台</w:t>
            </w:r>
          </w:p>
        </w:tc>
      </w:tr>
      <w:tr>
        <w:tc>
          <w:tcPr>
            <w:tcW w:type="dxa" w:w="1054"/>
            <w:tcBorders>
              <w:top w:val="single" w:color="000000" w:sz="4"/>
              <w:left w:val="single" w:color="000000" w:sz="8"/>
              <w:bottom w:val="single" w:color="000000" w:sz="4"/>
              <w:right w:val="single" w:color="000000" w:sz="4"/>
            </w:tcBorders>
            <w:tcMar>
              <w:top w:type="dxa" w:w="15"/>
              <w:left w:type="dxa" w:w="15"/>
              <w:bottom w:type="dxa" w:w="15"/>
              <w:right w:type="dxa" w:w="15"/>
            </w:tcMar>
            <w:vAlign w:val="top"/>
          </w:tcPr>
          <w:p>
            <w:pPr>
              <w:pStyle w:val="null3"/>
              <w:jc w:val="center"/>
            </w:pPr>
            <w:r>
              <w:rPr>
                <w:sz w:val="24"/>
              </w:rPr>
              <w:t>4</w:t>
            </w:r>
          </w:p>
        </w:tc>
        <w:tc>
          <w:tcPr>
            <w:tcW w:type="dxa" w:w="5143"/>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KYN高压开关柜</w:t>
            </w:r>
          </w:p>
        </w:tc>
        <w:tc>
          <w:tcPr>
            <w:tcW w:type="dxa" w:w="1054"/>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20</w:t>
            </w:r>
          </w:p>
        </w:tc>
        <w:tc>
          <w:tcPr>
            <w:tcW w:type="dxa" w:w="1055"/>
            <w:tcBorders>
              <w:top w:val="single" w:color="000000" w:sz="4"/>
              <w:left w:val="single" w:color="000000" w:sz="4"/>
              <w:bottom w:val="single" w:color="000000" w:sz="4"/>
              <w:right w:val="single" w:color="000000" w:sz="8"/>
            </w:tcBorders>
            <w:tcMar>
              <w:top w:type="dxa" w:w="15"/>
              <w:left w:type="dxa" w:w="15"/>
              <w:bottom w:type="dxa" w:w="15"/>
              <w:right w:type="dxa" w:w="15"/>
            </w:tcMar>
            <w:vAlign w:val="top"/>
          </w:tcPr>
          <w:p>
            <w:pPr>
              <w:pStyle w:val="null3"/>
              <w:jc w:val="center"/>
            </w:pPr>
            <w:r>
              <w:rPr>
                <w:sz w:val="24"/>
              </w:rPr>
              <w:t>台</w:t>
            </w:r>
          </w:p>
        </w:tc>
      </w:tr>
      <w:tr>
        <w:tc>
          <w:tcPr>
            <w:tcW w:type="dxa" w:w="1054"/>
            <w:tcBorders>
              <w:top w:val="single" w:color="000000" w:sz="4"/>
              <w:left w:val="single" w:color="000000" w:sz="8"/>
              <w:bottom w:val="single" w:color="000000" w:sz="4"/>
              <w:right w:val="single" w:color="000000" w:sz="4"/>
            </w:tcBorders>
            <w:tcMar>
              <w:top w:type="dxa" w:w="15"/>
              <w:left w:type="dxa" w:w="15"/>
              <w:bottom w:type="dxa" w:w="15"/>
              <w:right w:type="dxa" w:w="15"/>
            </w:tcMar>
            <w:vAlign w:val="top"/>
          </w:tcPr>
          <w:p>
            <w:pPr>
              <w:pStyle w:val="null3"/>
              <w:jc w:val="center"/>
            </w:pPr>
            <w:r>
              <w:rPr>
                <w:sz w:val="24"/>
              </w:rPr>
              <w:t>5</w:t>
            </w:r>
          </w:p>
        </w:tc>
        <w:tc>
          <w:tcPr>
            <w:tcW w:type="dxa" w:w="5143"/>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低压开关柜</w:t>
            </w:r>
          </w:p>
        </w:tc>
        <w:tc>
          <w:tcPr>
            <w:tcW w:type="dxa" w:w="1054"/>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97</w:t>
            </w:r>
          </w:p>
        </w:tc>
        <w:tc>
          <w:tcPr>
            <w:tcW w:type="dxa" w:w="1055"/>
            <w:tcBorders>
              <w:top w:val="single" w:color="000000" w:sz="4"/>
              <w:left w:val="single" w:color="000000" w:sz="4"/>
              <w:bottom w:val="single" w:color="000000" w:sz="4"/>
              <w:right w:val="single" w:color="000000" w:sz="8"/>
            </w:tcBorders>
            <w:tcMar>
              <w:top w:type="dxa" w:w="15"/>
              <w:left w:type="dxa" w:w="15"/>
              <w:bottom w:type="dxa" w:w="15"/>
              <w:right w:type="dxa" w:w="15"/>
            </w:tcMar>
            <w:vAlign w:val="top"/>
          </w:tcPr>
          <w:p>
            <w:pPr>
              <w:pStyle w:val="null3"/>
              <w:jc w:val="center"/>
            </w:pPr>
            <w:r>
              <w:rPr>
                <w:sz w:val="24"/>
              </w:rPr>
              <w:t>台</w:t>
            </w:r>
          </w:p>
        </w:tc>
      </w:tr>
      <w:tr>
        <w:tc>
          <w:tcPr>
            <w:tcW w:type="dxa" w:w="1054"/>
            <w:tcBorders>
              <w:top w:val="single" w:color="000000" w:sz="4"/>
              <w:left w:val="single" w:color="000000" w:sz="8"/>
              <w:bottom w:val="single" w:color="000000" w:sz="4"/>
              <w:right w:val="single" w:color="000000" w:sz="4"/>
            </w:tcBorders>
            <w:tcMar>
              <w:top w:type="dxa" w:w="15"/>
              <w:left w:type="dxa" w:w="15"/>
              <w:bottom w:type="dxa" w:w="15"/>
              <w:right w:type="dxa" w:w="15"/>
            </w:tcMar>
            <w:vAlign w:val="top"/>
          </w:tcPr>
          <w:p>
            <w:pPr>
              <w:pStyle w:val="null3"/>
              <w:jc w:val="center"/>
            </w:pPr>
            <w:r>
              <w:rPr>
                <w:sz w:val="24"/>
              </w:rPr>
              <w:t>6</w:t>
            </w:r>
          </w:p>
        </w:tc>
        <w:tc>
          <w:tcPr>
            <w:tcW w:type="dxa" w:w="5143"/>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直流屏</w:t>
            </w:r>
          </w:p>
        </w:tc>
        <w:tc>
          <w:tcPr>
            <w:tcW w:type="dxa" w:w="1054"/>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c>
          <w:tcPr>
            <w:tcW w:type="dxa" w:w="1055"/>
            <w:tcBorders>
              <w:top w:val="single" w:color="000000" w:sz="4"/>
              <w:left w:val="single" w:color="000000" w:sz="4"/>
              <w:bottom w:val="single" w:color="000000" w:sz="4"/>
              <w:right w:val="single" w:color="000000" w:sz="8"/>
            </w:tcBorders>
            <w:tcMar>
              <w:top w:type="dxa" w:w="15"/>
              <w:left w:type="dxa" w:w="15"/>
              <w:bottom w:type="dxa" w:w="15"/>
              <w:right w:type="dxa" w:w="15"/>
            </w:tcMar>
            <w:vAlign w:val="top"/>
          </w:tcPr>
          <w:p>
            <w:pPr>
              <w:pStyle w:val="null3"/>
              <w:jc w:val="center"/>
            </w:pPr>
            <w:r>
              <w:rPr>
                <w:sz w:val="24"/>
              </w:rPr>
              <w:t>套</w:t>
            </w:r>
          </w:p>
        </w:tc>
      </w:tr>
      <w:tr>
        <w:tc>
          <w:tcPr>
            <w:tcW w:type="dxa" w:w="1054"/>
            <w:tcBorders>
              <w:top w:val="single" w:color="000000" w:sz="4"/>
              <w:left w:val="single" w:color="000000" w:sz="8"/>
              <w:bottom w:val="single" w:color="000000" w:sz="4"/>
              <w:right w:val="single" w:color="000000" w:sz="4"/>
            </w:tcBorders>
            <w:tcMar>
              <w:top w:type="dxa" w:w="15"/>
              <w:left w:type="dxa" w:w="15"/>
              <w:bottom w:type="dxa" w:w="15"/>
              <w:right w:type="dxa" w:w="15"/>
            </w:tcMar>
            <w:vAlign w:val="top"/>
          </w:tcPr>
          <w:p>
            <w:pPr>
              <w:pStyle w:val="null3"/>
              <w:jc w:val="center"/>
            </w:pPr>
            <w:r>
              <w:rPr>
                <w:sz w:val="24"/>
              </w:rPr>
              <w:t>7</w:t>
            </w:r>
          </w:p>
        </w:tc>
        <w:tc>
          <w:tcPr>
            <w:tcW w:type="dxa" w:w="5143"/>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10KV进线电缆（员村F27、员村F8、员村F43）</w:t>
            </w:r>
          </w:p>
        </w:tc>
        <w:tc>
          <w:tcPr>
            <w:tcW w:type="dxa" w:w="1054"/>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约</w:t>
            </w:r>
            <w:r>
              <w:rPr>
                <w:sz w:val="24"/>
              </w:rPr>
              <w:t>3946</w:t>
            </w:r>
          </w:p>
        </w:tc>
        <w:tc>
          <w:tcPr>
            <w:tcW w:type="dxa" w:w="1055"/>
            <w:tcBorders>
              <w:top w:val="single" w:color="000000" w:sz="4"/>
              <w:left w:val="single" w:color="000000" w:sz="4"/>
              <w:bottom w:val="single" w:color="000000" w:sz="4"/>
              <w:right w:val="single" w:color="000000" w:sz="8"/>
            </w:tcBorders>
            <w:tcMar>
              <w:top w:type="dxa" w:w="15"/>
              <w:left w:type="dxa" w:w="15"/>
              <w:bottom w:type="dxa" w:w="15"/>
              <w:right w:type="dxa" w:w="15"/>
            </w:tcMar>
            <w:vAlign w:val="top"/>
          </w:tcPr>
          <w:p>
            <w:pPr>
              <w:pStyle w:val="null3"/>
              <w:jc w:val="center"/>
            </w:pPr>
            <w:r>
              <w:rPr>
                <w:sz w:val="24"/>
              </w:rPr>
              <w:t>米</w:t>
            </w:r>
          </w:p>
        </w:tc>
      </w:tr>
      <w:tr>
        <w:tc>
          <w:tcPr>
            <w:tcW w:type="dxa" w:w="1054"/>
            <w:tcBorders>
              <w:top w:val="single" w:color="000000" w:sz="4"/>
              <w:left w:val="single" w:color="000000" w:sz="8"/>
              <w:bottom w:val="single" w:color="000000" w:sz="4"/>
              <w:right w:val="single" w:color="000000" w:sz="4"/>
            </w:tcBorders>
            <w:tcMar>
              <w:top w:type="dxa" w:w="15"/>
              <w:left w:type="dxa" w:w="15"/>
              <w:bottom w:type="dxa" w:w="15"/>
              <w:right w:type="dxa" w:w="15"/>
            </w:tcMar>
            <w:vAlign w:val="top"/>
          </w:tcPr>
          <w:p>
            <w:pPr>
              <w:pStyle w:val="null3"/>
              <w:jc w:val="center"/>
            </w:pPr>
            <w:r>
              <w:rPr>
                <w:sz w:val="24"/>
              </w:rPr>
              <w:t>8</w:t>
            </w:r>
          </w:p>
        </w:tc>
        <w:tc>
          <w:tcPr>
            <w:tcW w:type="dxa" w:w="5143"/>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10KV出线电缆（高压开关柜至低压开关柜）</w:t>
            </w:r>
          </w:p>
        </w:tc>
        <w:tc>
          <w:tcPr>
            <w:tcW w:type="dxa" w:w="1054"/>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约</w:t>
            </w:r>
            <w:r>
              <w:rPr>
                <w:sz w:val="24"/>
              </w:rPr>
              <w:t>559</w:t>
            </w:r>
          </w:p>
        </w:tc>
        <w:tc>
          <w:tcPr>
            <w:tcW w:type="dxa" w:w="1055"/>
            <w:tcBorders>
              <w:top w:val="single" w:color="000000" w:sz="4"/>
              <w:left w:val="single" w:color="000000" w:sz="4"/>
              <w:bottom w:val="single" w:color="000000" w:sz="4"/>
              <w:right w:val="single" w:color="000000" w:sz="8"/>
            </w:tcBorders>
            <w:tcMar>
              <w:top w:type="dxa" w:w="15"/>
              <w:left w:type="dxa" w:w="15"/>
              <w:bottom w:type="dxa" w:w="15"/>
              <w:right w:type="dxa" w:w="15"/>
            </w:tcMar>
            <w:vAlign w:val="top"/>
          </w:tcPr>
          <w:p>
            <w:pPr>
              <w:pStyle w:val="null3"/>
              <w:jc w:val="center"/>
            </w:pPr>
            <w:r>
              <w:rPr>
                <w:sz w:val="24"/>
              </w:rPr>
              <w:t>米</w:t>
            </w:r>
          </w:p>
        </w:tc>
      </w:tr>
      <w:tr>
        <w:tc>
          <w:tcPr>
            <w:tcW w:type="dxa" w:w="8306"/>
            <w:gridSpan w:val="4"/>
            <w:tcBorders>
              <w:top w:val="single" w:color="000000" w:sz="4"/>
              <w:left w:val="single" w:color="000000" w:sz="8"/>
              <w:bottom w:val="single" w:color="000000" w:sz="4"/>
              <w:right w:val="single" w:color="000000" w:sz="8"/>
            </w:tcBorders>
            <w:tcMar>
              <w:top w:type="dxa" w:w="15"/>
              <w:left w:type="dxa" w:w="15"/>
              <w:bottom w:type="dxa" w:w="15"/>
              <w:right w:type="dxa" w:w="15"/>
            </w:tcMar>
            <w:vAlign w:val="top"/>
          </w:tcPr>
          <w:p>
            <w:pPr>
              <w:pStyle w:val="null3"/>
              <w:jc w:val="center"/>
            </w:pPr>
            <w:r>
              <w:rPr>
                <w:sz w:val="24"/>
                <w:b/>
              </w:rPr>
              <w:t>二、知识城院区</w:t>
            </w:r>
          </w:p>
        </w:tc>
      </w:tr>
      <w:tr>
        <w:tc>
          <w:tcPr>
            <w:tcW w:type="dxa" w:w="1054"/>
            <w:tcBorders>
              <w:top w:val="single" w:color="000000" w:sz="4"/>
              <w:left w:val="single" w:color="000000" w:sz="8"/>
              <w:bottom w:val="single" w:color="000000" w:sz="4"/>
              <w:right w:val="single" w:color="000000" w:sz="4"/>
            </w:tcBorders>
            <w:tcMar>
              <w:top w:type="dxa" w:w="15"/>
              <w:left w:type="dxa" w:w="15"/>
              <w:bottom w:type="dxa" w:w="15"/>
              <w:right w:type="dxa" w:w="15"/>
            </w:tcMar>
            <w:vAlign w:val="top"/>
          </w:tcPr>
          <w:p>
            <w:pPr>
              <w:pStyle w:val="null3"/>
              <w:jc w:val="center"/>
            </w:pPr>
            <w:r>
              <w:rPr>
                <w:sz w:val="24"/>
              </w:rPr>
              <w:t>序号</w:t>
            </w:r>
          </w:p>
        </w:tc>
        <w:tc>
          <w:tcPr>
            <w:tcW w:type="dxa" w:w="5143"/>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产品名称（型号）</w:t>
            </w:r>
          </w:p>
        </w:tc>
        <w:tc>
          <w:tcPr>
            <w:tcW w:type="dxa" w:w="1054"/>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数量</w:t>
            </w:r>
          </w:p>
        </w:tc>
        <w:tc>
          <w:tcPr>
            <w:tcW w:type="dxa" w:w="1055"/>
            <w:tcBorders>
              <w:top w:val="single" w:color="000000" w:sz="4"/>
              <w:left w:val="single" w:color="000000" w:sz="4"/>
              <w:bottom w:val="single" w:color="000000" w:sz="4"/>
              <w:right w:val="single" w:color="000000" w:sz="8"/>
            </w:tcBorders>
            <w:tcMar>
              <w:top w:type="dxa" w:w="15"/>
              <w:left w:type="dxa" w:w="15"/>
              <w:bottom w:type="dxa" w:w="15"/>
              <w:right w:type="dxa" w:w="15"/>
            </w:tcMar>
            <w:vAlign w:val="top"/>
          </w:tcPr>
          <w:p>
            <w:pPr>
              <w:pStyle w:val="null3"/>
              <w:jc w:val="center"/>
            </w:pPr>
            <w:r>
              <w:rPr>
                <w:sz w:val="24"/>
              </w:rPr>
              <w:t>单位</w:t>
            </w:r>
          </w:p>
        </w:tc>
      </w:tr>
      <w:tr>
        <w:tc>
          <w:tcPr>
            <w:tcW w:type="dxa" w:w="1054"/>
            <w:tcBorders>
              <w:top w:val="single" w:color="000000" w:sz="4"/>
              <w:left w:val="single" w:color="000000" w:sz="8"/>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c>
          <w:tcPr>
            <w:tcW w:type="dxa" w:w="5143"/>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2000KVA变压器</w:t>
            </w:r>
          </w:p>
        </w:tc>
        <w:tc>
          <w:tcPr>
            <w:tcW w:type="dxa" w:w="1054"/>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4</w:t>
            </w:r>
          </w:p>
        </w:tc>
        <w:tc>
          <w:tcPr>
            <w:tcW w:type="dxa" w:w="1055"/>
            <w:tcBorders>
              <w:top w:val="single" w:color="000000" w:sz="4"/>
              <w:left w:val="single" w:color="000000" w:sz="4"/>
              <w:bottom w:val="single" w:color="000000" w:sz="4"/>
              <w:right w:val="single" w:color="000000" w:sz="8"/>
            </w:tcBorders>
            <w:tcMar>
              <w:top w:type="dxa" w:w="15"/>
              <w:left w:type="dxa" w:w="15"/>
              <w:bottom w:type="dxa" w:w="15"/>
              <w:right w:type="dxa" w:w="15"/>
            </w:tcMar>
            <w:vAlign w:val="top"/>
          </w:tcPr>
          <w:p>
            <w:pPr>
              <w:pStyle w:val="null3"/>
              <w:jc w:val="center"/>
            </w:pPr>
            <w:r>
              <w:rPr>
                <w:sz w:val="24"/>
              </w:rPr>
              <w:t>台</w:t>
            </w:r>
          </w:p>
        </w:tc>
      </w:tr>
      <w:tr>
        <w:tc>
          <w:tcPr>
            <w:tcW w:type="dxa" w:w="1054"/>
            <w:tcBorders>
              <w:top w:val="single" w:color="000000" w:sz="4"/>
              <w:left w:val="single" w:color="000000" w:sz="8"/>
              <w:bottom w:val="single" w:color="000000" w:sz="4"/>
              <w:right w:val="single" w:color="000000" w:sz="4"/>
            </w:tcBorders>
            <w:tcMar>
              <w:top w:type="dxa" w:w="15"/>
              <w:left w:type="dxa" w:w="15"/>
              <w:bottom w:type="dxa" w:w="15"/>
              <w:right w:type="dxa" w:w="15"/>
            </w:tcMar>
            <w:vAlign w:val="top"/>
          </w:tcPr>
          <w:p>
            <w:pPr>
              <w:pStyle w:val="null3"/>
              <w:jc w:val="center"/>
            </w:pPr>
            <w:r>
              <w:rPr>
                <w:sz w:val="24"/>
              </w:rPr>
              <w:t>2</w:t>
            </w:r>
          </w:p>
        </w:tc>
        <w:tc>
          <w:tcPr>
            <w:tcW w:type="dxa" w:w="5143"/>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1600KVA变压器</w:t>
            </w:r>
          </w:p>
        </w:tc>
        <w:tc>
          <w:tcPr>
            <w:tcW w:type="dxa" w:w="1054"/>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12</w:t>
            </w:r>
          </w:p>
        </w:tc>
        <w:tc>
          <w:tcPr>
            <w:tcW w:type="dxa" w:w="1055"/>
            <w:tcBorders>
              <w:top w:val="single" w:color="000000" w:sz="4"/>
              <w:left w:val="single" w:color="000000" w:sz="4"/>
              <w:bottom w:val="single" w:color="000000" w:sz="4"/>
              <w:right w:val="single" w:color="000000" w:sz="8"/>
            </w:tcBorders>
            <w:tcMar>
              <w:top w:type="dxa" w:w="15"/>
              <w:left w:type="dxa" w:w="15"/>
              <w:bottom w:type="dxa" w:w="15"/>
              <w:right w:type="dxa" w:w="15"/>
            </w:tcMar>
            <w:vAlign w:val="top"/>
          </w:tcPr>
          <w:p>
            <w:pPr>
              <w:pStyle w:val="null3"/>
              <w:jc w:val="center"/>
            </w:pPr>
            <w:r>
              <w:rPr>
                <w:sz w:val="24"/>
              </w:rPr>
              <w:t>台</w:t>
            </w:r>
          </w:p>
        </w:tc>
      </w:tr>
      <w:tr>
        <w:tc>
          <w:tcPr>
            <w:tcW w:type="dxa" w:w="1054"/>
            <w:tcBorders>
              <w:top w:val="single" w:color="000000" w:sz="4"/>
              <w:left w:val="single" w:color="000000" w:sz="8"/>
              <w:bottom w:val="single" w:color="000000" w:sz="4"/>
              <w:right w:val="single" w:color="000000" w:sz="4"/>
            </w:tcBorders>
            <w:tcMar>
              <w:top w:type="dxa" w:w="15"/>
              <w:left w:type="dxa" w:w="15"/>
              <w:bottom w:type="dxa" w:w="15"/>
              <w:right w:type="dxa" w:w="15"/>
            </w:tcMar>
            <w:vAlign w:val="top"/>
          </w:tcPr>
          <w:p>
            <w:pPr>
              <w:pStyle w:val="null3"/>
              <w:jc w:val="center"/>
            </w:pPr>
            <w:r>
              <w:rPr>
                <w:sz w:val="24"/>
              </w:rPr>
              <w:t>3</w:t>
            </w:r>
          </w:p>
        </w:tc>
        <w:tc>
          <w:tcPr>
            <w:tcW w:type="dxa" w:w="5143"/>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1000KVA变压器</w:t>
            </w:r>
          </w:p>
        </w:tc>
        <w:tc>
          <w:tcPr>
            <w:tcW w:type="dxa" w:w="1054"/>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c>
          <w:tcPr>
            <w:tcW w:type="dxa" w:w="1055"/>
            <w:tcBorders>
              <w:top w:val="single" w:color="000000" w:sz="4"/>
              <w:left w:val="single" w:color="000000" w:sz="4"/>
              <w:bottom w:val="single" w:color="000000" w:sz="4"/>
              <w:right w:val="single" w:color="000000" w:sz="8"/>
            </w:tcBorders>
            <w:tcMar>
              <w:top w:type="dxa" w:w="15"/>
              <w:left w:type="dxa" w:w="15"/>
              <w:bottom w:type="dxa" w:w="15"/>
              <w:right w:type="dxa" w:w="15"/>
            </w:tcMar>
            <w:vAlign w:val="top"/>
          </w:tcPr>
          <w:p>
            <w:pPr>
              <w:pStyle w:val="null3"/>
              <w:jc w:val="center"/>
            </w:pPr>
            <w:r>
              <w:rPr>
                <w:sz w:val="24"/>
              </w:rPr>
              <w:t>台</w:t>
            </w:r>
          </w:p>
        </w:tc>
      </w:tr>
      <w:tr>
        <w:tc>
          <w:tcPr>
            <w:tcW w:type="dxa" w:w="1054"/>
            <w:tcBorders>
              <w:top w:val="single" w:color="000000" w:sz="4"/>
              <w:left w:val="single" w:color="000000" w:sz="8"/>
              <w:bottom w:val="single" w:color="000000" w:sz="4"/>
              <w:right w:val="single" w:color="000000" w:sz="4"/>
            </w:tcBorders>
            <w:tcMar>
              <w:top w:type="dxa" w:w="15"/>
              <w:left w:type="dxa" w:w="15"/>
              <w:bottom w:type="dxa" w:w="15"/>
              <w:right w:type="dxa" w:w="15"/>
            </w:tcMar>
            <w:vAlign w:val="top"/>
          </w:tcPr>
          <w:p>
            <w:pPr>
              <w:pStyle w:val="null3"/>
              <w:jc w:val="center"/>
            </w:pPr>
            <w:r>
              <w:rPr>
                <w:sz w:val="24"/>
              </w:rPr>
              <w:t>4</w:t>
            </w:r>
          </w:p>
        </w:tc>
        <w:tc>
          <w:tcPr>
            <w:tcW w:type="dxa" w:w="5143"/>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1250KVA变压器</w:t>
            </w:r>
          </w:p>
        </w:tc>
        <w:tc>
          <w:tcPr>
            <w:tcW w:type="dxa" w:w="1054"/>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c>
          <w:tcPr>
            <w:tcW w:type="dxa" w:w="1055"/>
            <w:tcBorders>
              <w:top w:val="single" w:color="000000" w:sz="4"/>
              <w:left w:val="single" w:color="000000" w:sz="4"/>
              <w:bottom w:val="single" w:color="000000" w:sz="4"/>
              <w:right w:val="single" w:color="000000" w:sz="8"/>
            </w:tcBorders>
            <w:tcMar>
              <w:top w:type="dxa" w:w="15"/>
              <w:left w:type="dxa" w:w="15"/>
              <w:bottom w:type="dxa" w:w="15"/>
              <w:right w:type="dxa" w:w="15"/>
            </w:tcMar>
            <w:vAlign w:val="top"/>
          </w:tcPr>
          <w:p>
            <w:pPr>
              <w:pStyle w:val="null3"/>
              <w:jc w:val="center"/>
            </w:pPr>
            <w:r>
              <w:rPr>
                <w:sz w:val="24"/>
              </w:rPr>
              <w:t>台</w:t>
            </w:r>
          </w:p>
        </w:tc>
      </w:tr>
      <w:tr>
        <w:tc>
          <w:tcPr>
            <w:tcW w:type="dxa" w:w="1054"/>
            <w:tcBorders>
              <w:top w:val="single" w:color="000000" w:sz="4"/>
              <w:left w:val="single" w:color="000000" w:sz="8"/>
              <w:bottom w:val="single" w:color="000000" w:sz="4"/>
              <w:right w:val="single" w:color="000000" w:sz="4"/>
            </w:tcBorders>
            <w:tcMar>
              <w:top w:type="dxa" w:w="15"/>
              <w:left w:type="dxa" w:w="15"/>
              <w:bottom w:type="dxa" w:w="15"/>
              <w:right w:type="dxa" w:w="15"/>
            </w:tcMar>
            <w:vAlign w:val="top"/>
          </w:tcPr>
          <w:p>
            <w:pPr>
              <w:pStyle w:val="null3"/>
              <w:jc w:val="center"/>
            </w:pPr>
            <w:r>
              <w:rPr>
                <w:sz w:val="24"/>
              </w:rPr>
              <w:t>5</w:t>
            </w:r>
          </w:p>
        </w:tc>
        <w:tc>
          <w:tcPr>
            <w:tcW w:type="dxa" w:w="5143"/>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KYN高压开关柜</w:t>
            </w:r>
          </w:p>
        </w:tc>
        <w:tc>
          <w:tcPr>
            <w:tcW w:type="dxa" w:w="1054"/>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42</w:t>
            </w:r>
          </w:p>
        </w:tc>
        <w:tc>
          <w:tcPr>
            <w:tcW w:type="dxa" w:w="1055"/>
            <w:tcBorders>
              <w:top w:val="single" w:color="000000" w:sz="4"/>
              <w:left w:val="single" w:color="000000" w:sz="4"/>
              <w:bottom w:val="single" w:color="000000" w:sz="4"/>
              <w:right w:val="single" w:color="000000" w:sz="8"/>
            </w:tcBorders>
            <w:tcMar>
              <w:top w:type="dxa" w:w="15"/>
              <w:left w:type="dxa" w:w="15"/>
              <w:bottom w:type="dxa" w:w="15"/>
              <w:right w:type="dxa" w:w="15"/>
            </w:tcMar>
            <w:vAlign w:val="top"/>
          </w:tcPr>
          <w:p>
            <w:pPr>
              <w:pStyle w:val="null3"/>
              <w:jc w:val="center"/>
            </w:pPr>
            <w:r>
              <w:rPr>
                <w:sz w:val="24"/>
              </w:rPr>
              <w:t>台</w:t>
            </w:r>
          </w:p>
        </w:tc>
      </w:tr>
      <w:tr>
        <w:tc>
          <w:tcPr>
            <w:tcW w:type="dxa" w:w="1054"/>
            <w:tcBorders>
              <w:top w:val="single" w:color="000000" w:sz="4"/>
              <w:left w:val="single" w:color="000000" w:sz="8"/>
              <w:bottom w:val="single" w:color="000000" w:sz="4"/>
              <w:right w:val="single" w:color="000000" w:sz="4"/>
            </w:tcBorders>
            <w:tcMar>
              <w:top w:type="dxa" w:w="15"/>
              <w:left w:type="dxa" w:w="15"/>
              <w:bottom w:type="dxa" w:w="15"/>
              <w:right w:type="dxa" w:w="15"/>
            </w:tcMar>
            <w:vAlign w:val="top"/>
          </w:tcPr>
          <w:p>
            <w:pPr>
              <w:pStyle w:val="null3"/>
              <w:jc w:val="center"/>
            </w:pPr>
            <w:r>
              <w:rPr>
                <w:sz w:val="24"/>
              </w:rPr>
              <w:t>6</w:t>
            </w:r>
          </w:p>
        </w:tc>
        <w:tc>
          <w:tcPr>
            <w:tcW w:type="dxa" w:w="5143"/>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低压开关柜</w:t>
            </w:r>
          </w:p>
        </w:tc>
        <w:tc>
          <w:tcPr>
            <w:tcW w:type="dxa" w:w="1054"/>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149</w:t>
            </w:r>
          </w:p>
        </w:tc>
        <w:tc>
          <w:tcPr>
            <w:tcW w:type="dxa" w:w="1055"/>
            <w:tcBorders>
              <w:top w:val="single" w:color="000000" w:sz="4"/>
              <w:left w:val="single" w:color="000000" w:sz="4"/>
              <w:bottom w:val="single" w:color="000000" w:sz="4"/>
              <w:right w:val="single" w:color="000000" w:sz="8"/>
            </w:tcBorders>
            <w:tcMar>
              <w:top w:type="dxa" w:w="15"/>
              <w:left w:type="dxa" w:w="15"/>
              <w:bottom w:type="dxa" w:w="15"/>
              <w:right w:type="dxa" w:w="15"/>
            </w:tcMar>
            <w:vAlign w:val="top"/>
          </w:tcPr>
          <w:p>
            <w:pPr>
              <w:pStyle w:val="null3"/>
              <w:jc w:val="center"/>
            </w:pPr>
            <w:r>
              <w:rPr>
                <w:sz w:val="24"/>
              </w:rPr>
              <w:t>台</w:t>
            </w:r>
          </w:p>
        </w:tc>
      </w:tr>
      <w:tr>
        <w:tc>
          <w:tcPr>
            <w:tcW w:type="dxa" w:w="1054"/>
            <w:tcBorders>
              <w:top w:val="single" w:color="000000" w:sz="4"/>
              <w:left w:val="single" w:color="000000" w:sz="8"/>
              <w:bottom w:val="single" w:color="000000" w:sz="4"/>
              <w:right w:val="single" w:color="000000" w:sz="4"/>
            </w:tcBorders>
            <w:tcMar>
              <w:top w:type="dxa" w:w="15"/>
              <w:left w:type="dxa" w:w="15"/>
              <w:bottom w:type="dxa" w:w="15"/>
              <w:right w:type="dxa" w:w="15"/>
            </w:tcMar>
            <w:vAlign w:val="top"/>
          </w:tcPr>
          <w:p>
            <w:pPr>
              <w:pStyle w:val="null3"/>
              <w:jc w:val="center"/>
            </w:pPr>
            <w:r>
              <w:rPr>
                <w:sz w:val="24"/>
              </w:rPr>
              <w:t>7</w:t>
            </w:r>
          </w:p>
        </w:tc>
        <w:tc>
          <w:tcPr>
            <w:tcW w:type="dxa" w:w="5143"/>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直流屏</w:t>
            </w:r>
          </w:p>
        </w:tc>
        <w:tc>
          <w:tcPr>
            <w:tcW w:type="dxa" w:w="1054"/>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5</w:t>
            </w:r>
          </w:p>
        </w:tc>
        <w:tc>
          <w:tcPr>
            <w:tcW w:type="dxa" w:w="1055"/>
            <w:tcBorders>
              <w:top w:val="single" w:color="000000" w:sz="4"/>
              <w:left w:val="single" w:color="000000" w:sz="4"/>
              <w:bottom w:val="single" w:color="000000" w:sz="4"/>
              <w:right w:val="single" w:color="000000" w:sz="8"/>
            </w:tcBorders>
            <w:tcMar>
              <w:top w:type="dxa" w:w="15"/>
              <w:left w:type="dxa" w:w="15"/>
              <w:bottom w:type="dxa" w:w="15"/>
              <w:right w:type="dxa" w:w="15"/>
            </w:tcMar>
            <w:vAlign w:val="top"/>
          </w:tcPr>
          <w:p>
            <w:pPr>
              <w:pStyle w:val="null3"/>
              <w:jc w:val="center"/>
            </w:pPr>
            <w:r>
              <w:rPr>
                <w:sz w:val="24"/>
              </w:rPr>
              <w:t>套</w:t>
            </w:r>
          </w:p>
        </w:tc>
      </w:tr>
      <w:tr>
        <w:tc>
          <w:tcPr>
            <w:tcW w:type="dxa" w:w="1054"/>
            <w:tcBorders>
              <w:top w:val="single" w:color="000000" w:sz="4"/>
              <w:left w:val="single" w:color="000000" w:sz="8"/>
              <w:bottom w:val="single" w:color="000000" w:sz="4"/>
              <w:right w:val="single" w:color="000000" w:sz="4"/>
            </w:tcBorders>
            <w:tcMar>
              <w:top w:type="dxa" w:w="15"/>
              <w:left w:type="dxa" w:w="15"/>
              <w:bottom w:type="dxa" w:w="15"/>
              <w:right w:type="dxa" w:w="15"/>
            </w:tcMar>
            <w:vAlign w:val="top"/>
          </w:tcPr>
          <w:p>
            <w:pPr>
              <w:pStyle w:val="null3"/>
              <w:jc w:val="center"/>
            </w:pPr>
            <w:r>
              <w:rPr>
                <w:sz w:val="24"/>
              </w:rPr>
              <w:t>8</w:t>
            </w:r>
          </w:p>
        </w:tc>
        <w:tc>
          <w:tcPr>
            <w:tcW w:type="dxa" w:w="5143"/>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20KV进线电缆（漱玉F32、漱玉F57）</w:t>
            </w:r>
          </w:p>
        </w:tc>
        <w:tc>
          <w:tcPr>
            <w:tcW w:type="dxa" w:w="1054"/>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约</w:t>
            </w:r>
            <w:r>
              <w:rPr>
                <w:sz w:val="24"/>
              </w:rPr>
              <w:t>1500</w:t>
            </w:r>
          </w:p>
        </w:tc>
        <w:tc>
          <w:tcPr>
            <w:tcW w:type="dxa" w:w="1055"/>
            <w:tcBorders>
              <w:top w:val="single" w:color="000000" w:sz="4"/>
              <w:left w:val="single" w:color="000000" w:sz="4"/>
              <w:bottom w:val="single" w:color="000000" w:sz="4"/>
              <w:right w:val="single" w:color="000000" w:sz="8"/>
            </w:tcBorders>
            <w:tcMar>
              <w:top w:type="dxa" w:w="15"/>
              <w:left w:type="dxa" w:w="15"/>
              <w:bottom w:type="dxa" w:w="15"/>
              <w:right w:type="dxa" w:w="15"/>
            </w:tcMar>
            <w:vAlign w:val="top"/>
          </w:tcPr>
          <w:p>
            <w:pPr>
              <w:pStyle w:val="null3"/>
              <w:jc w:val="center"/>
            </w:pPr>
            <w:r>
              <w:rPr>
                <w:sz w:val="24"/>
              </w:rPr>
              <w:t>米</w:t>
            </w:r>
          </w:p>
        </w:tc>
      </w:tr>
      <w:tr>
        <w:tc>
          <w:tcPr>
            <w:tcW w:type="dxa" w:w="1054"/>
            <w:tcBorders>
              <w:top w:val="single" w:color="000000" w:sz="4"/>
              <w:left w:val="single" w:color="000000" w:sz="8"/>
              <w:bottom w:val="single" w:color="000000" w:sz="8"/>
              <w:right w:val="single" w:color="000000" w:sz="4"/>
            </w:tcBorders>
            <w:tcMar>
              <w:top w:type="dxa" w:w="15"/>
              <w:left w:type="dxa" w:w="15"/>
              <w:bottom w:type="dxa" w:w="15"/>
              <w:right w:type="dxa" w:w="15"/>
            </w:tcMar>
            <w:vAlign w:val="top"/>
          </w:tcPr>
          <w:p>
            <w:pPr>
              <w:pStyle w:val="null3"/>
              <w:jc w:val="center"/>
            </w:pPr>
            <w:r>
              <w:rPr>
                <w:sz w:val="24"/>
              </w:rPr>
              <w:t>9</w:t>
            </w:r>
          </w:p>
        </w:tc>
        <w:tc>
          <w:tcPr>
            <w:tcW w:type="dxa" w:w="5143"/>
            <w:tcBorders>
              <w:top w:val="single" w:color="000000" w:sz="4"/>
              <w:left w:val="single" w:color="000000" w:sz="4"/>
              <w:bottom w:val="single" w:color="000000" w:sz="8"/>
              <w:right w:val="single" w:color="000000" w:sz="4"/>
            </w:tcBorders>
            <w:tcMar>
              <w:top w:type="dxa" w:w="15"/>
              <w:left w:type="dxa" w:w="15"/>
              <w:bottom w:type="dxa" w:w="15"/>
              <w:right w:type="dxa" w:w="15"/>
            </w:tcMar>
            <w:vAlign w:val="top"/>
          </w:tcPr>
          <w:p>
            <w:pPr>
              <w:pStyle w:val="null3"/>
              <w:jc w:val="center"/>
            </w:pPr>
            <w:r>
              <w:rPr>
                <w:sz w:val="24"/>
              </w:rPr>
              <w:t>20KV出线电缆（高压开关柜至低压开关柜</w:t>
            </w:r>
            <w:r>
              <w:rPr>
                <w:sz w:val="24"/>
              </w:rPr>
              <w:t>）</w:t>
            </w:r>
          </w:p>
        </w:tc>
        <w:tc>
          <w:tcPr>
            <w:tcW w:type="dxa" w:w="1054"/>
            <w:tcBorders>
              <w:top w:val="single" w:color="000000" w:sz="4"/>
              <w:left w:val="single" w:color="000000" w:sz="4"/>
              <w:bottom w:val="single" w:color="000000" w:sz="8"/>
              <w:right w:val="single" w:color="000000" w:sz="4"/>
            </w:tcBorders>
            <w:tcMar>
              <w:top w:type="dxa" w:w="15"/>
              <w:left w:type="dxa" w:w="15"/>
              <w:bottom w:type="dxa" w:w="15"/>
              <w:right w:type="dxa" w:w="15"/>
            </w:tcMar>
            <w:vAlign w:val="top"/>
          </w:tcPr>
          <w:p>
            <w:pPr>
              <w:pStyle w:val="null3"/>
              <w:jc w:val="center"/>
            </w:pPr>
            <w:r>
              <w:rPr>
                <w:sz w:val="24"/>
              </w:rPr>
              <w:t>约</w:t>
            </w:r>
            <w:r>
              <w:rPr>
                <w:sz w:val="24"/>
              </w:rPr>
              <w:t>700</w:t>
            </w:r>
          </w:p>
        </w:tc>
        <w:tc>
          <w:tcPr>
            <w:tcW w:type="dxa" w:w="1055"/>
            <w:tcBorders>
              <w:top w:val="single" w:color="000000" w:sz="4"/>
              <w:left w:val="singl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4"/>
              </w:rPr>
              <w:t>米</w:t>
            </w:r>
          </w:p>
        </w:tc>
      </w:tr>
    </w:tbl>
    <w:p>
      <w:pPr>
        <w:pStyle w:val="null3"/>
      </w:pPr>
      <w:r>
        <w:rPr/>
        <w:t>采购包1（中山大学附属第六医院市场化购电服务项目）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2026年4月1日至2026年12月31日，合同期满或总电费金额达到采购预算金额则合同终止。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1期：支付比例100%,1.结算方式 1.1.结算方式：《广东电力市场结算实施细则》和《广东电力市场零售结算实施细则》及其他相关规则进行结算，月度结算，扣费时间以当地供电局自动划扣时间为准。 1.2.实际结算电量以电力计量装置采集并推送至广东电力交易中心发布的实际用电量为准。 1.3.电费结算：关于电费结算，供电企业（中标供应商）需按照广东电力交易中心的相关要求落实，结算期限与采购人、供电企业（中标供应商）双方在广东省电力交易系统签订的电子合同期限一致。 1.3.1.供电企业（中标供应商）通过交易系统获得月度的实际用电量后，需及时通知采购人进行核对。 1.3.2.供电企业（中标供应商）需要将每个月的实际用电量、价格、电费、结算明细等相关信息发送给采购人。 1.3.3.广东电力交易中心根据采购人与供电企业（中标供应商）在广东电力交易系统上签订的网上零售合同进行电量交易与结算，系统每月自动出结算单至供电局，由供电局根据结算单收取相关电费，以广东电力交易中心结算规则为准，中标供应商和采购人不产生财务往来。 1.3.4.采购人每月的电费缴纳依旧按原来的向广东电网有限责任公司广州市天河区/黄埔区供电局电费缴纳方式完成电费的缴纳。</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采购人于收到中标供应商验收申请后7日内组织履约验收，按国家有关规定以及采购文件的质量要求和技术指标、中标供应商的投标文件及承诺与合同约定标准进行验收；采购人与中标供应商双方如对质量要求和技术指标的约定标准有相互抵触或异议的事项，由采购人在采购文件及投标文件中按质量要求和技术指标比较优胜的原则确定该项的约定标准进行验收。 2.项目验收依次序对照执行标准为：①符合中华人民共和国国家和履约地相关安全质量标准、行业技术规范标准、环保节能标准；②符合采购文件和响应承诺中各方共同认可的合理最佳配置、参数规格及各项要求；③符合产品来源国官方颁布的最新标准；④双方约定的其他验收标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分包注意事项，除采购人明确允许分包（或转包）的内容，中标供应商不得将项目其他内容非法分包（或转包）给任何单位和个人，否则，采购人有权即刻终止合同，并要求中标供应商赔偿相应损失。</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电力分配服务</w:t>
            </w:r>
          </w:p>
        </w:tc>
        <w:tc>
          <w:tcPr>
            <w:tcW w:type="dxa" w:w="933"/>
          </w:tcPr>
          <w:p>
            <w:pPr>
              <w:pStyle w:val="null3"/>
              <w:jc w:val="left"/>
            </w:pPr>
            <w:r>
              <w:rPr/>
              <w:t>中山大学附属第六医院市场化购电服务项目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9,672,000.00</w:t>
            </w:r>
          </w:p>
        </w:tc>
        <w:tc>
          <w:tcPr>
            <w:tcW w:type="dxa" w:w="933"/>
          </w:tcPr>
          <w:p>
            <w:pPr>
              <w:pStyle w:val="null3"/>
              <w:jc w:val="right"/>
            </w:pPr>
            <w:r>
              <w:rPr/>
              <w:t>9,672,000.00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中山大学附属第六医院市场化购电服务项目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rPr>
              <w:t>具体要求详见第二章采购需求的全部内容</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1.采购代理机构：本项目是指公诚管理咨询有限公司，负责整个采购活动的组织，依法负责编制和发布招标文件，对招标文件拥有最终的解释权，不以任何身份出任评标委员会成员。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中山大学附属第六医院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采购包1：单价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相关法律法规标准以中标金额为基数，向中标供应商收取采购代理服务费。采购代理服务收费采用差额定率累进计费方式，按照服务类计算，费率标准如下：100万元以下，1.5%*65%；100-500万元，0.8%*65%；500-1000万元，0.45％*65%。（已下浮35%）</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它，在提交投标文件截止时间前，投标人需提供1份纸质版投标文件，纸质投标文件可以现场提交或邮寄，现场提交地址和邮寄地址（邮寄地址：广州市天河区员村街道春融三路7号南方财经大厦32层），收件人及电话：司徒先生，13418403040）。投标人如选择邮寄投标文件，请提前安排时间邮寄，务必保证投标文件于提交投标文件截止时间前到达上述地址（以签收时间为准），并及时将快递单号发送至招标代理机构邮箱：situjj@gcbidding.com。</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公诚管理咨询有限公司</w:t>
      </w:r>
      <w:r>
        <w:rPr/>
        <w:t>代收。具体操作要求详见</w:t>
      </w:r>
      <w:r>
        <w:rPr/>
        <w:t>公诚管理咨询有限公司</w:t>
      </w:r>
      <w:r>
        <w:rPr/>
        <w:t>有关指引，递交事宜请自行咨询</w:t>
      </w:r>
      <w:r>
        <w:rPr/>
        <w:t>公诚管理咨询有限公司</w:t>
      </w:r>
      <w:r>
        <w:rPr/>
        <w:t>；请各投标人在投标文件递交截止时间前按须知前附表规定的金额递交至</w:t>
      </w:r>
      <w:r>
        <w:rPr/>
        <w:t>公诚管理咨询有限公司</w:t>
      </w:r>
      <w:r>
        <w:rPr/>
        <w:t>，到账情况以开标时</w:t>
      </w:r>
      <w:r>
        <w:rPr/>
        <w:t>公诚管理咨询有限公司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吴先生</w:t>
      </w:r>
    </w:p>
    <w:p>
      <w:pPr>
        <w:pStyle w:val="null3"/>
        <w:ind w:firstLine="480"/>
      </w:pPr>
      <w:r>
        <w:rPr/>
        <w:t>电话：</w:t>
      </w:r>
      <w:r>
        <w:rPr/>
        <w:t>18688906128</w:t>
      </w:r>
    </w:p>
    <w:p>
      <w:pPr>
        <w:pStyle w:val="null3"/>
        <w:ind w:firstLine="480"/>
      </w:pPr>
      <w:r>
        <w:rPr/>
        <w:t>传真：</w:t>
      </w:r>
      <w:r>
        <w:rPr/>
        <w:t>/</w:t>
      </w:r>
    </w:p>
    <w:p>
      <w:pPr>
        <w:pStyle w:val="null3"/>
        <w:ind w:firstLine="480"/>
      </w:pPr>
      <w:r>
        <w:rPr/>
        <w:t>邮箱：</w:t>
      </w:r>
      <w:r>
        <w:rPr/>
        <w:t>wush@gcbidding.com</w:t>
      </w:r>
    </w:p>
    <w:p>
      <w:pPr>
        <w:pStyle w:val="null3"/>
        <w:ind w:firstLine="480"/>
      </w:pPr>
      <w:r>
        <w:rPr/>
        <w:t>地址：</w:t>
      </w:r>
      <w:r>
        <w:rPr/>
        <w:t>广州市天河区员村街道春融三路7号南方财经大厦32层</w:t>
      </w:r>
    </w:p>
    <w:p>
      <w:pPr>
        <w:pStyle w:val="null3"/>
        <w:ind w:firstLine="480"/>
      </w:pPr>
      <w:r>
        <w:rPr/>
        <w:t>邮编：</w:t>
      </w:r>
      <w:r>
        <w:rPr/>
        <w:t>510660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山大学附属第六医院市场化购电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公诚管理咨询有限公司</w:t>
      </w:r>
      <w:r>
        <w:rPr/>
        <w:t>统一对外发布。</w:t>
      </w:r>
    </w:p>
    <w:p>
      <w:pPr>
        <w:pStyle w:val="null3"/>
        <w:ind w:firstLine="480"/>
      </w:pPr>
      <w:r>
        <w:rPr/>
        <w:t>（2）对</w:t>
      </w:r>
      <w:r>
        <w:rPr/>
        <w:t>公诚管理咨询有限公司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采购包1（中山大学附属第六医院市场化购电服务项目）：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采购包1（中山大学附属第六医院市场化购电服务项目）：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是在中华人民共和国境内注册的法人或其他组织或自然人，投标时提交有效的营业执照（或事业法人登记证或社会团体登记证或民办非企业单位登记证或身份证等相关证明）复印件。（如国家另有规定的，则从其规定。如供应商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提供声明函（格式自定，格式可参考招标公告附件）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提供声明函（格式自定，格式可参考招标公告附件）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提供声明函（格式自定，格式可参考招标公告附件）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参加政府采购活动前三年内，在经营活动中没有重大违法记录。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提供声明函（格式自定，格式可参考招标公告附件）</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供应商须是已通过广东电力交易中心注册且具备交易资格的售电公司（投标文件须提供有效证明文件及售电牌照编码，证明文件上已显示售电牌照编码的，可不单独提供售电牌照编码）</w:t>
            </w:r>
          </w:p>
        </w:tc>
      </w:tr>
      <w:tr>
        <w:tc>
          <w:tcPr>
            <w:tcW w:type="dxa" w:w="890"/>
          </w:tcPr>
          <w:p>
            <w:pPr>
              <w:pStyle w:val="null3"/>
            </w:pPr>
            <w:r>
              <w:rPr/>
              <w:t>9</w:t>
            </w:r>
          </w:p>
        </w:tc>
        <w:tc>
          <w:tcPr>
            <w:tcW w:type="dxa" w:w="3178"/>
          </w:tcPr>
          <w:p>
            <w:pPr>
              <w:pStyle w:val="null3"/>
            </w:pPr>
            <w:r>
              <w:rPr/>
              <w:t>面向中小企业采购情况</w:t>
            </w:r>
          </w:p>
        </w:tc>
        <w:tc>
          <w:tcPr>
            <w:tcW w:type="dxa" w:w="4238"/>
          </w:tcPr>
          <w:p>
            <w:pPr>
              <w:pStyle w:val="null3"/>
            </w:pPr>
            <w:r>
              <w:rPr/>
              <w:t>本项目不属于专门面向中小企业采购的项目，根据《政府采购促进中小企业发展管理办法》的规定，本项目属于“按照本办法规定预留采购份额无法确保充分供应、充分竞争，或者存在可能影响政府采购目标实现的情形”的情形，故不属于专门面向中小企业采购的项目。本项目采购标的所属行业为：工业。</w:t>
            </w:r>
          </w:p>
        </w:tc>
      </w:tr>
    </w:tbl>
    <w:p>
      <w:pPr>
        <w:pStyle w:val="null3"/>
        <w:ind w:firstLine="480"/>
      </w:pPr>
      <w:r>
        <w:rPr/>
        <w:t>表二符合性审查表：</w:t>
      </w:r>
    </w:p>
    <w:p>
      <w:pPr>
        <w:pStyle w:val="null3"/>
      </w:pPr>
      <w:r>
        <w:rPr/>
        <w:t>采购包1（中山大学附属第六医院市场化购电服务项目）：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投标文件的完整性</w:t>
            </w:r>
          </w:p>
        </w:tc>
        <w:tc>
          <w:tcPr>
            <w:tcW w:type="dxa" w:w="4238"/>
          </w:tcPr>
          <w:p>
            <w:pPr>
              <w:pStyle w:val="null3"/>
            </w:pPr>
            <w:r>
              <w:rPr/>
              <w:t>按照招标文件规定要求签署、盖章且投标文件有法定代表人签字或盖个人名章（或签字人有法定代表人有效授权书）的。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投标函已提交并符合招标文件要求的，且投标（响应）有效期不少于招标文件中载明的投标（响应）有效期。</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1、投标（响应）报价未超过对应包组最高限价的； 2、如果供应商报价出现异常低价审查情形的（《关于推动解决政府采购异常低价问题的通知》 财库〔2026〕2号），评标委员会将要求其在评标现场合理的时间内提供书面说明及必要的证明材料，供应商应能证明其报价合理性； 3、未出现选择性报价或有附加条件报价的情形； 4、招标文件不接受提交备用方案。</w:t>
            </w:r>
          </w:p>
        </w:tc>
      </w:tr>
      <w:tr>
        <w:tc>
          <w:tcPr>
            <w:tcW w:type="dxa" w:w="890"/>
          </w:tcPr>
          <w:p>
            <w:pPr>
              <w:pStyle w:val="null3"/>
            </w:pPr>
            <w:r>
              <w:rPr/>
              <w:t>4</w:t>
            </w:r>
          </w:p>
        </w:tc>
        <w:tc>
          <w:tcPr>
            <w:tcW w:type="dxa" w:w="3178"/>
          </w:tcPr>
          <w:p>
            <w:pPr>
              <w:pStyle w:val="null3"/>
            </w:pPr>
            <w:r>
              <w:rPr/>
              <w:t>投标（响应）保证金（如需）</w:t>
            </w:r>
          </w:p>
        </w:tc>
        <w:tc>
          <w:tcPr>
            <w:tcW w:type="dxa" w:w="4238"/>
          </w:tcPr>
          <w:p>
            <w:pPr>
              <w:pStyle w:val="null3"/>
            </w:pPr>
            <w:r>
              <w:rPr/>
              <w:t>已按照招标文件的规定提交投标（响应）保证金。</w:t>
            </w:r>
          </w:p>
        </w:tc>
      </w:tr>
      <w:tr>
        <w:tc>
          <w:tcPr>
            <w:tcW w:type="dxa" w:w="890"/>
          </w:tcPr>
          <w:p>
            <w:pPr>
              <w:pStyle w:val="null3"/>
            </w:pPr>
            <w:r>
              <w:rPr/>
              <w:t>5</w:t>
            </w:r>
          </w:p>
        </w:tc>
        <w:tc>
          <w:tcPr>
            <w:tcW w:type="dxa" w:w="3178"/>
          </w:tcPr>
          <w:p>
            <w:pPr>
              <w:pStyle w:val="null3"/>
            </w:pPr>
            <w:r>
              <w:rPr/>
              <w:t>服务期限</w:t>
            </w:r>
          </w:p>
        </w:tc>
        <w:tc>
          <w:tcPr>
            <w:tcW w:type="dxa" w:w="4238"/>
          </w:tcPr>
          <w:p>
            <w:pPr>
              <w:pStyle w:val="null3"/>
            </w:pPr>
            <w:r>
              <w:rPr/>
              <w:t>满足招标文件要求。</w:t>
            </w:r>
          </w:p>
        </w:tc>
      </w:tr>
      <w:tr>
        <w:tc>
          <w:tcPr>
            <w:tcW w:type="dxa" w:w="890"/>
          </w:tcPr>
          <w:p>
            <w:pPr>
              <w:pStyle w:val="null3"/>
            </w:pPr>
            <w:r>
              <w:rPr/>
              <w:t>6</w:t>
            </w:r>
          </w:p>
        </w:tc>
        <w:tc>
          <w:tcPr>
            <w:tcW w:type="dxa" w:w="3178"/>
          </w:tcPr>
          <w:p>
            <w:pPr>
              <w:pStyle w:val="null3"/>
            </w:pPr>
            <w:r>
              <w:rPr/>
              <w:t>实质性条款响应</w:t>
            </w:r>
          </w:p>
        </w:tc>
        <w:tc>
          <w:tcPr>
            <w:tcW w:type="dxa" w:w="4238"/>
          </w:tcPr>
          <w:p>
            <w:pPr>
              <w:pStyle w:val="null3"/>
            </w:pPr>
            <w:r>
              <w:rPr/>
              <w:t>未出现其它实质性条款响应负偏离的情况。</w:t>
            </w:r>
          </w:p>
        </w:tc>
      </w:tr>
      <w:tr>
        <w:tc>
          <w:tcPr>
            <w:tcW w:type="dxa" w:w="890"/>
          </w:tcPr>
          <w:p>
            <w:pPr>
              <w:pStyle w:val="null3"/>
            </w:pPr>
            <w:r>
              <w:rPr/>
              <w:t>7</w:t>
            </w:r>
          </w:p>
        </w:tc>
        <w:tc>
          <w:tcPr>
            <w:tcW w:type="dxa" w:w="3178"/>
          </w:tcPr>
          <w:p>
            <w:pPr>
              <w:pStyle w:val="null3"/>
            </w:pPr>
            <w:r>
              <w:rPr/>
              <w:t>其它情形</w:t>
            </w:r>
          </w:p>
        </w:tc>
        <w:tc>
          <w:tcPr>
            <w:tcW w:type="dxa" w:w="4238"/>
          </w:tcPr>
          <w:p>
            <w:pPr>
              <w:pStyle w:val="null3"/>
            </w:pPr>
            <w:r>
              <w:rPr/>
              <w:t>按有关法律、法规、规章不属于投标无效的，且未出现招标文件规定的其它无效情形。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采购包1(中山大学附属第六医院市场化购电服务项目):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技术部分45.0分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重要技术参数响应情况 (5.0分)</w:t>
            </w:r>
          </w:p>
        </w:tc>
        <w:tc>
          <w:tcPr>
            <w:tcW w:type="dxa" w:w="5076"/>
          </w:tcPr>
          <w:p>
            <w:pPr>
              <w:pStyle w:val="null3"/>
              <w:jc w:val="left"/>
            </w:pPr>
            <w:r>
              <w:rPr/>
              <w:t>根据供应商对第二章采购需求“服务内容及要求”中的重要参数(带“▲”符号的条款)(共2项)响应情况进行评审：每有一项响应为“正偏离”或“无偏离”的，得2.5分；响应为“负偏离”或“偏离”的，得0分。本项最高累计得5分。 注：如采购需求中有明确要求提供的证明资料，则以采购需求中要求的为准，如采购需求中无明确要求提供证明材料的，则以投标人提供的《技术和服务要求响应表》的响应情况进行评审，不按要求提供或提供不符的视为负偏离。</w:t>
            </w:r>
          </w:p>
        </w:tc>
      </w:tr>
      <w:tr>
        <w:tc>
          <w:tcPr>
            <w:tcW w:type="dxa" w:w="922"/>
            <w:gridSpan w:val="2"/>
            <w:vMerge/>
          </w:tcPr>
          <w:p/>
        </w:tc>
        <w:tc>
          <w:tcPr>
            <w:tcW w:type="dxa" w:w="2307"/>
          </w:tcPr>
          <w:p>
            <w:pPr>
              <w:pStyle w:val="null3"/>
              <w:jc w:val="left"/>
            </w:pPr>
            <w:r>
              <w:rPr/>
              <w:t>一般技术参数响应情况 (16.0分)</w:t>
            </w:r>
          </w:p>
        </w:tc>
        <w:tc>
          <w:tcPr>
            <w:tcW w:type="dxa" w:w="5076"/>
          </w:tcPr>
          <w:p>
            <w:pPr>
              <w:pStyle w:val="null3"/>
              <w:jc w:val="left"/>
            </w:pPr>
            <w:r>
              <w:rPr/>
              <w:t>根据供应商对第二章采购需求“服务内容及要求”中的一般技术参数（不带“★”、“▲”符号的条款）（共32项）响应情况进行评审：每有一项响应为“正偏离”或“无偏离”的，得0.5分；响应为“负偏离”或“偏离”的，得0分。本项最高累计得16分。 注：如采购需求中有明确要求提供的证明资料，则以采购需求中要求的为准，如采购需求中无明确要求提供证明材料的，则以投标人提供的《技术和服务要求响应表》的响应情况进行评审，不按要求提供或提供不符的视为负偏离。</w:t>
            </w:r>
          </w:p>
        </w:tc>
      </w:tr>
      <w:tr>
        <w:tc>
          <w:tcPr>
            <w:tcW w:type="dxa" w:w="922"/>
            <w:gridSpan w:val="2"/>
            <w:vMerge/>
          </w:tcPr>
          <w:p/>
        </w:tc>
        <w:tc>
          <w:tcPr>
            <w:tcW w:type="dxa" w:w="2307"/>
          </w:tcPr>
          <w:p>
            <w:pPr>
              <w:pStyle w:val="null3"/>
              <w:jc w:val="left"/>
            </w:pPr>
            <w:r>
              <w:rPr/>
              <w:t>服务实施方案（一） (2.0分)</w:t>
            </w:r>
          </w:p>
        </w:tc>
        <w:tc>
          <w:tcPr>
            <w:tcW w:type="dxa" w:w="5076"/>
          </w:tcPr>
          <w:p>
            <w:pPr>
              <w:pStyle w:val="null3"/>
              <w:jc w:val="left"/>
            </w:pPr>
            <w:r>
              <w:rPr/>
              <w:t>投标人结合本项目第二章采购需求“服务内容及要求-4.服务要求”拟制定服务实施方案（内容包括但不限于：①项目管理人员配置和专职人员安排、②服务热线和常见问题解决方案、③服务流程和技术规范、④节能建议和咨询服务）进行评审： 每包含1项内容得0.5分，满分2分。 注：如服务实施方案（一）内容提供不全，服务实施方案（二），得0分。</w:t>
            </w:r>
          </w:p>
        </w:tc>
      </w:tr>
      <w:tr>
        <w:tc>
          <w:tcPr>
            <w:tcW w:type="dxa" w:w="922"/>
            <w:gridSpan w:val="2"/>
            <w:vMerge/>
          </w:tcPr>
          <w:p/>
        </w:tc>
        <w:tc>
          <w:tcPr>
            <w:tcW w:type="dxa" w:w="2307"/>
          </w:tcPr>
          <w:p>
            <w:pPr>
              <w:pStyle w:val="null3"/>
              <w:jc w:val="left"/>
            </w:pPr>
            <w:r>
              <w:rPr/>
              <w:t>服务实施方案（二） (10.0分)</w:t>
            </w:r>
          </w:p>
        </w:tc>
        <w:tc>
          <w:tcPr>
            <w:tcW w:type="dxa" w:w="5076"/>
          </w:tcPr>
          <w:p>
            <w:pPr>
              <w:pStyle w:val="null3"/>
              <w:jc w:val="left"/>
            </w:pPr>
            <w:r>
              <w:rPr/>
              <w:t>评标委员会根据投标人的拟制定服务实施方案（①项目管理人员配置和专职人员安排、②服务热线和常见问题解决方案、③服务流程和技术规范、④节能建议和咨询服务）进行评审： （1）服务实施方案详细、实用性强及保障完善，能有效保障本项目实施，完全满足且优于项目需求的，得10分； （2）服务实施方案较详细，有实用性及保障计划，内容不够完善，较能保障本项目实施，满足采购需求的，得7分； （3）服务实施方案不够详细，欠缺合理，只能部分保障本项目实施，不完全满足需求的，得4分； （4）未提供服务实施方案，得0分。</w:t>
            </w:r>
          </w:p>
        </w:tc>
      </w:tr>
      <w:tr>
        <w:tc>
          <w:tcPr>
            <w:tcW w:type="dxa" w:w="922"/>
            <w:gridSpan w:val="2"/>
            <w:vMerge/>
          </w:tcPr>
          <w:p/>
        </w:tc>
        <w:tc>
          <w:tcPr>
            <w:tcW w:type="dxa" w:w="2307"/>
          </w:tcPr>
          <w:p>
            <w:pPr>
              <w:pStyle w:val="null3"/>
              <w:jc w:val="left"/>
            </w:pPr>
            <w:r>
              <w:rPr/>
              <w:t>应急保障方案（一） (2.0分)</w:t>
            </w:r>
          </w:p>
        </w:tc>
        <w:tc>
          <w:tcPr>
            <w:tcW w:type="dxa" w:w="5076"/>
          </w:tcPr>
          <w:p>
            <w:pPr>
              <w:pStyle w:val="null3"/>
              <w:jc w:val="left"/>
            </w:pPr>
            <w:r>
              <w:rPr/>
              <w:t>投标人结合本项目第二章采购需求“服务内容及要求-6.应急要求”拟制定应急保障方案（内容包括但不限于：①电力保障和电力调度、②售后处理流程、③应急响应机制、④针对性的应急预案和相应应急措施）进行评审：每包含1项内容得0.5分，满分2分。 注：如应急保障方案（一）内容提供不全，应急保障方案（二），得0分。</w:t>
            </w:r>
          </w:p>
        </w:tc>
      </w:tr>
      <w:tr>
        <w:tc>
          <w:tcPr>
            <w:tcW w:type="dxa" w:w="922"/>
            <w:gridSpan w:val="2"/>
            <w:vMerge/>
          </w:tcPr>
          <w:p/>
        </w:tc>
        <w:tc>
          <w:tcPr>
            <w:tcW w:type="dxa" w:w="2307"/>
          </w:tcPr>
          <w:p>
            <w:pPr>
              <w:pStyle w:val="null3"/>
              <w:jc w:val="left"/>
            </w:pPr>
            <w:r>
              <w:rPr/>
              <w:t>应急保障方案（二） (10.0分)</w:t>
            </w:r>
          </w:p>
        </w:tc>
        <w:tc>
          <w:tcPr>
            <w:tcW w:type="dxa" w:w="5076"/>
          </w:tcPr>
          <w:p>
            <w:pPr>
              <w:pStyle w:val="null3"/>
              <w:jc w:val="left"/>
            </w:pPr>
            <w:r>
              <w:rPr/>
              <w:t>评标委员会根据投标人的拟制定应急保障方案（①电力保障和电力调度、②售后处理流程、③应急响应机制、④针对性的应急预案和相应应急措施）进行评审： （1）应急保障方案详细、实用性强及保障完善，能有效保障本项目实施，完全满足且优于项目需求的，得10分； （2）应急保障方案较详细，有实用性及保障计划，内容不够完善，较能保障本项目实施，满足采购需求的，得7分； （3）应急保障方案不够详细，欠缺合理，只能部分保障本项目实施，不完全满足需求的，得4分； （4）未提供应急保障方案，得0分。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投标人自2023年1月1日（以合同签订时间为准）至投标截止时间之日前，承担过同类项目业绩（同类项目是指：售电交易项目），每提供1项得2分，本项最高得10分。 注：1.要求提供完整合同（如交易项目为广东省内项目，则应提供广东电力交易的线上合同。广东省外交易的项目，可以提供电力交易线上或者线下合同）。 2.合同乙方并非投标人的，不纳入计算。 3.同一合同甲方的多个业绩，只计算一次。</w:t>
            </w:r>
          </w:p>
        </w:tc>
      </w:tr>
      <w:tr>
        <w:tc>
          <w:tcPr>
            <w:tcW w:type="dxa" w:w="922"/>
            <w:gridSpan w:val="2"/>
            <w:vMerge/>
          </w:tcPr>
          <w:p/>
        </w:tc>
        <w:tc>
          <w:tcPr>
            <w:tcW w:type="dxa" w:w="2307"/>
          </w:tcPr>
          <w:p>
            <w:pPr>
              <w:pStyle w:val="null3"/>
              <w:jc w:val="left"/>
            </w:pPr>
            <w:r>
              <w:rPr/>
              <w:t>服务满意度评价 (10.0分)</w:t>
            </w:r>
          </w:p>
        </w:tc>
        <w:tc>
          <w:tcPr>
            <w:tcW w:type="dxa" w:w="5076"/>
          </w:tcPr>
          <w:p>
            <w:pPr>
              <w:pStyle w:val="null3"/>
              <w:jc w:val="left"/>
            </w:pPr>
            <w:r>
              <w:rPr/>
              <w:t>根据投标人提供上述有效计分“业绩”用户单位对其的评价情况进行评审：每得到一个评价（结果为90分（或以上）或“好评”或“优秀”或相同含义的评价）得2分，本项最高得10分。 注：投标文件中提供用户单位评价（同一合同甲方的多个业绩，只计算一次）的证明文件扫描件（评价的证明文件须加盖用户单位公章），不提供或没有按要求提供的不得分。</w:t>
            </w:r>
          </w:p>
        </w:tc>
      </w:tr>
      <w:tr>
        <w:tc>
          <w:tcPr>
            <w:tcW w:type="dxa" w:w="922"/>
            <w:gridSpan w:val="2"/>
            <w:vMerge/>
          </w:tcPr>
          <w:p/>
        </w:tc>
        <w:tc>
          <w:tcPr>
            <w:tcW w:type="dxa" w:w="2307"/>
          </w:tcPr>
          <w:p>
            <w:pPr>
              <w:pStyle w:val="null3"/>
              <w:jc w:val="left"/>
            </w:pPr>
            <w:r>
              <w:rPr/>
              <w:t>技术服务人员配置 (15.0分)</w:t>
            </w:r>
          </w:p>
        </w:tc>
        <w:tc>
          <w:tcPr>
            <w:tcW w:type="dxa" w:w="5076"/>
          </w:tcPr>
          <w:p>
            <w:pPr>
              <w:pStyle w:val="null3"/>
              <w:jc w:val="left"/>
            </w:pPr>
            <w:r>
              <w:rPr/>
              <w:t>投标人为本项目提供的技术服务人员中，具备电力市场交易资格相关证书的（包括但不限于《电力交易员资格证》），每提供一人得5分；本项最高得15分。注：一人一证，不重复计分。提供资格证扫描件和以上人员在本项目投标截止之日近6个月内任意一个月的在投标人单位缴纳的社保证明（需加盖社保部门印章），不按要求提供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6"/>
          <w:b/>
        </w:rPr>
        <w:t>合同模板</w:t>
      </w:r>
    </w:p>
    <w:p>
      <w:pPr>
        <w:pStyle w:val="null3"/>
        <w:jc w:val="center"/>
      </w:pPr>
      <w:r>
        <w:rPr>
          <w:sz w:val="24"/>
          <w:b/>
          <w:color w:val="000000"/>
        </w:rPr>
        <w:t>注：本合同模板仅供参考，具体条款内容由采购人和中标供应商协商确定，但不得对招、投标文件的实质性条款作出变更。</w:t>
      </w:r>
    </w:p>
    <w:p>
      <w:pPr>
        <w:pStyle w:val="null3"/>
        <w:jc w:val="center"/>
      </w:pPr>
      <w:r>
        <w:rPr>
          <w:sz w:val="24"/>
          <w:b/>
        </w:rPr>
        <w:t>合同编号：</w:t>
      </w:r>
    </w:p>
    <w:p>
      <w:pPr>
        <w:pStyle w:val="null3"/>
        <w:spacing w:before="180"/>
        <w:ind w:left="15"/>
      </w:pPr>
      <w:r>
        <w:rPr>
          <w:sz w:val="24"/>
        </w:rPr>
        <w:t>（系统自动生成：年月</w:t>
      </w:r>
      <w:r>
        <w:rPr>
          <w:sz w:val="24"/>
        </w:rPr>
        <w:t>+售电公司代码+电力用户代码+合同序号）</w:t>
      </w:r>
    </w:p>
    <w:p>
      <w:pPr>
        <w:pStyle w:val="null3"/>
      </w:pPr>
      <w:r>
        <w:rPr>
          <w:sz w:val="24"/>
          <w:b/>
        </w:rPr>
        <w:t>2XXX</w:t>
      </w:r>
      <w:r>
        <w:rPr>
          <w:sz w:val="19"/>
          <w:b/>
        </w:rPr>
        <w:t xml:space="preserve"> </w:t>
      </w:r>
      <w:r>
        <w:rPr>
          <w:sz w:val="24"/>
          <w:b/>
        </w:rPr>
        <w:t>年</w:t>
      </w:r>
      <w:r>
        <w:rPr>
          <w:sz w:val="19"/>
        </w:rPr>
        <w:t xml:space="preserve"> </w:t>
      </w:r>
      <w:r>
        <w:rPr>
          <w:sz w:val="24"/>
          <w:b/>
        </w:rPr>
        <w:t>广</w:t>
      </w:r>
      <w:r>
        <w:rPr>
          <w:sz w:val="19"/>
        </w:rPr>
        <w:t xml:space="preserve"> </w:t>
      </w:r>
      <w:r>
        <w:rPr>
          <w:sz w:val="24"/>
          <w:b/>
        </w:rPr>
        <w:t>东</w:t>
      </w:r>
      <w:r>
        <w:rPr>
          <w:sz w:val="19"/>
        </w:rPr>
        <w:t xml:space="preserve"> </w:t>
      </w:r>
      <w:r>
        <w:rPr>
          <w:sz w:val="24"/>
          <w:b/>
        </w:rPr>
        <w:t>电</w:t>
      </w:r>
      <w:r>
        <w:rPr>
          <w:sz w:val="19"/>
        </w:rPr>
        <w:t xml:space="preserve"> </w:t>
      </w:r>
      <w:r>
        <w:rPr>
          <w:sz w:val="24"/>
          <w:b/>
        </w:rPr>
        <w:t>力</w:t>
      </w:r>
      <w:r>
        <w:rPr>
          <w:sz w:val="19"/>
        </w:rPr>
        <w:t xml:space="preserve"> </w:t>
      </w:r>
      <w:r>
        <w:rPr>
          <w:sz w:val="24"/>
          <w:b/>
        </w:rPr>
        <w:t>市</w:t>
      </w:r>
      <w:r>
        <w:rPr>
          <w:sz w:val="19"/>
        </w:rPr>
        <w:t xml:space="preserve"> </w:t>
      </w:r>
      <w:r>
        <w:rPr>
          <w:sz w:val="24"/>
          <w:b/>
        </w:rPr>
        <w:t>场</w:t>
      </w:r>
    </w:p>
    <w:p>
      <w:pPr>
        <w:pStyle w:val="null3"/>
        <w:jc w:val="center"/>
      </w:pPr>
      <w:r>
        <w:rPr>
          <w:sz w:val="24"/>
          <w:b/>
        </w:rPr>
        <w:t>售</w:t>
      </w:r>
      <w:r>
        <w:rPr>
          <w:sz w:val="19"/>
        </w:rPr>
        <w:t xml:space="preserve"> </w:t>
      </w:r>
      <w:r>
        <w:rPr>
          <w:sz w:val="24"/>
          <w:b/>
        </w:rPr>
        <w:t>电</w:t>
      </w:r>
      <w:r>
        <w:rPr>
          <w:sz w:val="19"/>
        </w:rPr>
        <w:t xml:space="preserve"> </w:t>
      </w:r>
      <w:r>
        <w:rPr>
          <w:sz w:val="24"/>
          <w:b/>
        </w:rPr>
        <w:t>公</w:t>
      </w:r>
      <w:r>
        <w:rPr>
          <w:sz w:val="19"/>
        </w:rPr>
        <w:t xml:space="preserve"> </w:t>
      </w:r>
      <w:r>
        <w:rPr>
          <w:sz w:val="24"/>
          <w:b/>
        </w:rPr>
        <w:t>司与</w:t>
      </w:r>
      <w:r>
        <w:rPr>
          <w:sz w:val="19"/>
        </w:rPr>
        <w:t xml:space="preserve"> </w:t>
      </w:r>
      <w:r>
        <w:rPr>
          <w:sz w:val="24"/>
          <w:b/>
        </w:rPr>
        <w:t>电</w:t>
      </w:r>
      <w:r>
        <w:rPr>
          <w:sz w:val="19"/>
        </w:rPr>
        <w:t xml:space="preserve"> </w:t>
      </w:r>
      <w:r>
        <w:rPr>
          <w:sz w:val="24"/>
          <w:b/>
        </w:rPr>
        <w:t>力</w:t>
      </w:r>
      <w:r>
        <w:rPr>
          <w:sz w:val="19"/>
        </w:rPr>
        <w:t xml:space="preserve"> </w:t>
      </w:r>
      <w:r>
        <w:rPr>
          <w:sz w:val="24"/>
          <w:b/>
        </w:rPr>
        <w:t>用</w:t>
      </w:r>
      <w:r>
        <w:rPr>
          <w:sz w:val="19"/>
        </w:rPr>
        <w:t xml:space="preserve"> </w:t>
      </w:r>
      <w:r>
        <w:rPr>
          <w:sz w:val="24"/>
          <w:b/>
        </w:rPr>
        <w:t>户</w:t>
      </w:r>
      <w:r>
        <w:rPr>
          <w:sz w:val="19"/>
        </w:rPr>
        <w:t xml:space="preserve"> </w:t>
      </w:r>
      <w:r>
        <w:rPr>
          <w:sz w:val="24"/>
          <w:b/>
        </w:rPr>
        <w:t>竞</w:t>
      </w:r>
      <w:r>
        <w:rPr>
          <w:sz w:val="19"/>
        </w:rPr>
        <w:t xml:space="preserve"> </w:t>
      </w:r>
      <w:r>
        <w:rPr>
          <w:sz w:val="24"/>
          <w:b/>
        </w:rPr>
        <w:t>价</w:t>
      </w:r>
      <w:r>
        <w:rPr>
          <w:sz w:val="19"/>
        </w:rPr>
        <w:t xml:space="preserve"> </w:t>
      </w:r>
      <w:r>
        <w:rPr>
          <w:sz w:val="24"/>
          <w:b/>
        </w:rPr>
        <w:t>配</w:t>
      </w:r>
      <w:r>
        <w:rPr>
          <w:sz w:val="19"/>
        </w:rPr>
        <w:t xml:space="preserve"> </w:t>
      </w:r>
      <w:r>
        <w:rPr>
          <w:sz w:val="24"/>
          <w:b/>
        </w:rPr>
        <w:t>置</w:t>
      </w:r>
      <w:r>
        <w:rPr>
          <w:sz w:val="19"/>
        </w:rPr>
        <w:t xml:space="preserve"> </w:t>
      </w:r>
      <w:r>
        <w:rPr>
          <w:sz w:val="24"/>
          <w:b/>
        </w:rPr>
        <w:t>模</w:t>
      </w:r>
      <w:r>
        <w:rPr>
          <w:sz w:val="19"/>
        </w:rPr>
        <w:t xml:space="preserve"> </w:t>
      </w:r>
      <w:r>
        <w:rPr>
          <w:sz w:val="24"/>
          <w:b/>
        </w:rPr>
        <w:t>式</w:t>
      </w:r>
    </w:p>
    <w:p>
      <w:pPr>
        <w:pStyle w:val="null3"/>
      </w:pPr>
      <w:r>
        <w:rPr>
          <w:sz w:val="24"/>
          <w:b/>
        </w:rPr>
        <w:t>零售交易合同</w:t>
      </w:r>
    </w:p>
    <w:p>
      <w:pPr>
        <w:pStyle w:val="null3"/>
      </w:pPr>
      <w:r>
        <w:rPr>
          <w:sz w:val="24"/>
          <w:b/>
        </w:rPr>
        <w:t>（</w:t>
      </w:r>
      <w:r>
        <w:rPr>
          <w:sz w:val="24"/>
          <w:b/>
        </w:rPr>
        <w:t>2025版）</w:t>
      </w:r>
    </w:p>
    <w:p>
      <w:pPr>
        <w:pStyle w:val="null3"/>
      </w:pPr>
      <w:r>
        <w:rPr>
          <w:sz w:val="21"/>
          <w:b/>
        </w:rPr>
        <w:t>（如与广东电力交易平台合同模板有差异，以广东电力交易平台合同模板为准。）</w:t>
      </w:r>
    </w:p>
    <w:p>
      <w:pPr>
        <w:pStyle w:val="null3"/>
      </w:pPr>
      <w:r>
        <w:rPr>
          <w:sz w:val="24"/>
        </w:rPr>
        <w:t>甲方（电力用户</w:t>
      </w:r>
      <w:r>
        <w:rPr>
          <w:sz w:val="24"/>
        </w:rPr>
        <w:t>）：</w:t>
      </w:r>
    </w:p>
    <w:p>
      <w:pPr>
        <w:pStyle w:val="null3"/>
      </w:pPr>
      <w:r>
        <w:rPr>
          <w:sz w:val="24"/>
        </w:rPr>
        <w:t>乙方（售电公司</w:t>
      </w:r>
      <w:r>
        <w:rPr>
          <w:sz w:val="24"/>
        </w:rPr>
        <w:t>）：</w:t>
      </w:r>
    </w:p>
    <w:p>
      <w:pPr>
        <w:pStyle w:val="null3"/>
      </w:pPr>
      <w:r>
        <w:rPr>
          <w:sz w:val="19"/>
        </w:rPr>
        <w:t xml:space="preserve"> </w:t>
      </w:r>
      <w:r>
        <w:rPr>
          <w:sz w:val="24"/>
        </w:rPr>
        <w:t>年</w:t>
      </w:r>
      <w:r>
        <w:rPr>
          <w:sz w:val="19"/>
          <w:u w:val="single"/>
        </w:rPr>
        <w:t xml:space="preserve">      </w:t>
      </w:r>
      <w:r>
        <w:rPr>
          <w:sz w:val="19"/>
        </w:rPr>
        <w:t xml:space="preserve"> </w:t>
      </w:r>
      <w:r>
        <w:rPr>
          <w:sz w:val="24"/>
        </w:rPr>
        <w:t>月</w:t>
      </w:r>
    </w:p>
    <w:p>
      <w:pPr>
        <w:pStyle w:val="null3"/>
      </w:pPr>
      <w:r>
        <w:rPr>
          <w:sz w:val="24"/>
          <w:b/>
        </w:rPr>
        <w:t>合同范本使用说明</w:t>
      </w:r>
    </w:p>
    <w:p>
      <w:pPr>
        <w:pStyle w:val="null3"/>
      </w:pPr>
      <w:r>
        <w:rPr>
          <w:sz w:val="24"/>
        </w:rPr>
        <w:t>一、本范本于</w:t>
      </w:r>
      <w:r>
        <w:rPr>
          <w:sz w:val="22"/>
        </w:rPr>
        <w:t xml:space="preserve"> </w:t>
      </w:r>
      <w:r>
        <w:rPr>
          <w:sz w:val="24"/>
        </w:rPr>
        <w:t>2025 年经广东电力市场管理委员会审议通过并向</w:t>
      </w:r>
      <w:r>
        <w:rPr>
          <w:sz w:val="24"/>
        </w:rPr>
        <w:t>政府主管部</w:t>
      </w:r>
      <w:r>
        <w:rPr>
          <w:sz w:val="24"/>
        </w:rPr>
        <w:t>门报备，适用于售电公司与电力用户在广东电力</w:t>
      </w:r>
      <w:r>
        <w:rPr>
          <w:sz w:val="24"/>
        </w:rPr>
        <w:t>市场开展的</w:t>
      </w:r>
      <w:r>
        <w:rPr>
          <w:sz w:val="24"/>
          <w:b/>
        </w:rPr>
        <w:t>竞价配置模式</w:t>
      </w:r>
      <w:r>
        <w:rPr>
          <w:sz w:val="24"/>
        </w:rPr>
        <w:t>电能量</w:t>
      </w:r>
      <w:r>
        <w:rPr>
          <w:sz w:val="24"/>
        </w:rPr>
        <w:t>零售交易及结算，明确双方的权利义务、零售套餐模式及合同变更及解除等条款。</w:t>
      </w:r>
    </w:p>
    <w:p>
      <w:pPr>
        <w:pStyle w:val="null3"/>
        <w:spacing w:before="120"/>
        <w:ind w:left="30" w:right="180" w:firstLine="493"/>
      </w:pPr>
      <w:r>
        <w:rPr>
          <w:sz w:val="24"/>
        </w:rPr>
        <w:t>二、本范本按照</w:t>
      </w:r>
      <w:r>
        <w:rPr>
          <w:sz w:val="24"/>
        </w:rPr>
        <w:t>“合同框架文本（合同正文）+合同附件内容（主要指零售交</w:t>
      </w:r>
      <w:r>
        <w:rPr>
          <w:sz w:val="24"/>
        </w:rPr>
        <w:t>易信息及套餐模式说明，包括不限于附件一、附件二、附件三</w:t>
      </w:r>
      <w:r>
        <w:rPr>
          <w:sz w:val="24"/>
        </w:rPr>
        <w:t>及附件四）</w:t>
      </w:r>
      <w:r>
        <w:rPr>
          <w:sz w:val="24"/>
        </w:rPr>
        <w:t>”的架</w:t>
      </w:r>
      <w:r>
        <w:rPr>
          <w:sz w:val="24"/>
        </w:rPr>
        <w:t>构模式设定。本范本正文原则上长期复用，不作频繁修订，附件（主要指零售交易信息及套餐模式说明）随政策文件要求及广东电力市场最新边界信息、套餐模</w:t>
      </w:r>
      <w:r>
        <w:rPr>
          <w:sz w:val="24"/>
        </w:rPr>
        <w:t>式（含参数限值）更新则作同步调整。</w:t>
      </w:r>
    </w:p>
    <w:p>
      <w:pPr>
        <w:pStyle w:val="null3"/>
        <w:spacing w:before="120"/>
        <w:ind w:left="15" w:right="180" w:firstLine="499"/>
      </w:pPr>
      <w:r>
        <w:rPr>
          <w:sz w:val="24"/>
        </w:rPr>
        <w:t>三、当国家及省级政策规则、市场规则发生变化时，广东电力交易中心（</w:t>
      </w:r>
      <w:r>
        <w:rPr>
          <w:sz w:val="22"/>
        </w:rPr>
        <w:t xml:space="preserve"> </w:t>
      </w:r>
      <w:r>
        <w:rPr>
          <w:sz w:val="24"/>
        </w:rPr>
        <w:t>以</w:t>
      </w:r>
      <w:r>
        <w:rPr>
          <w:sz w:val="24"/>
        </w:rPr>
        <w:t>下简称</w:t>
      </w:r>
      <w:r>
        <w:rPr>
          <w:sz w:val="24"/>
        </w:rPr>
        <w:t>“交易中心”）可按规定流程对本合同范本进行整体或局部修编并</w:t>
      </w:r>
      <w:r>
        <w:rPr>
          <w:sz w:val="24"/>
        </w:rPr>
        <w:t>发布，包括不限于合同框架文本（合同正文）、合同附件内容（主要指零售交易信息及套</w:t>
      </w:r>
      <w:r>
        <w:rPr>
          <w:sz w:val="24"/>
        </w:rPr>
        <w:t>餐模式说明）。若</w:t>
      </w:r>
      <w:r>
        <w:rPr>
          <w:sz w:val="22"/>
        </w:rPr>
        <w:t xml:space="preserve"> </w:t>
      </w:r>
      <w:r>
        <w:rPr>
          <w:sz w:val="24"/>
        </w:rPr>
        <w:t>2026 年及以后未发布新版本，本范本可继续使用；若已按规</w:t>
      </w:r>
      <w:r>
        <w:rPr>
          <w:sz w:val="24"/>
        </w:rPr>
        <w:t>定流程对本范本进行修编发布新版本，则以市场政策或相关交易通知明确的时间</w:t>
      </w:r>
      <w:r>
        <w:rPr>
          <w:sz w:val="24"/>
        </w:rPr>
        <w:t>节点在广东电力市场电能量零售交易启用最</w:t>
      </w:r>
      <w:r>
        <w:rPr>
          <w:sz w:val="24"/>
        </w:rPr>
        <w:t>新版本的合同范本。</w:t>
      </w:r>
    </w:p>
    <w:p>
      <w:pPr>
        <w:pStyle w:val="null3"/>
        <w:spacing w:before="120"/>
        <w:ind w:left="30" w:right="180" w:firstLine="505"/>
      </w:pPr>
      <w:r>
        <w:rPr>
          <w:sz w:val="24"/>
        </w:rPr>
        <w:t>四、售电公司与零售用户在广东电力交易平台（</w:t>
      </w:r>
      <w:r>
        <w:rPr>
          <w:sz w:val="22"/>
        </w:rPr>
        <w:t xml:space="preserve"> </w:t>
      </w:r>
      <w:r>
        <w:rPr>
          <w:sz w:val="24"/>
        </w:rPr>
        <w:t>以下简</w:t>
      </w:r>
      <w:r>
        <w:rPr>
          <w:sz w:val="24"/>
        </w:rPr>
        <w:t>称</w:t>
      </w:r>
      <w:r>
        <w:rPr>
          <w:sz w:val="24"/>
        </w:rPr>
        <w:t>“交易平台”）中按</w:t>
      </w:r>
      <w:r>
        <w:rPr>
          <w:sz w:val="24"/>
        </w:rPr>
        <w:t>照本范本签订电子合同，双方遵循交易平台流程确认合同内容并加盖电子印</w:t>
      </w:r>
      <w:r>
        <w:rPr>
          <w:sz w:val="24"/>
        </w:rPr>
        <w:t>章后</w:t>
      </w:r>
      <w:r>
        <w:rPr>
          <w:sz w:val="24"/>
        </w:rPr>
        <w:t>合同生效，并自动完成零售合同登记备案。交易中心以双方在交易平台签订</w:t>
      </w:r>
      <w:r>
        <w:rPr>
          <w:sz w:val="24"/>
        </w:rPr>
        <w:t>的线</w:t>
      </w:r>
      <w:r>
        <w:rPr>
          <w:sz w:val="24"/>
        </w:rPr>
        <w:t>上电子合同为依据开展零售市场月度结算。</w:t>
      </w:r>
    </w:p>
    <w:p>
      <w:pPr>
        <w:pStyle w:val="null3"/>
        <w:spacing w:before="120"/>
        <w:ind w:left="30" w:right="180" w:firstLine="484"/>
      </w:pPr>
      <w:r>
        <w:rPr>
          <w:sz w:val="24"/>
        </w:rPr>
        <w:t>五、本合同范本附件一和附件二列明的零售</w:t>
      </w:r>
      <w:r>
        <w:rPr>
          <w:sz w:val="24"/>
        </w:rPr>
        <w:t>套餐模式及参数数值，由合同双</w:t>
      </w:r>
      <w:r>
        <w:rPr>
          <w:sz w:val="24"/>
        </w:rPr>
        <w:t>方根据交易平台提供的量、价、率等字段约定组合生成零售结算模式，再</w:t>
      </w:r>
      <w:r>
        <w:rPr>
          <w:sz w:val="24"/>
        </w:rPr>
        <w:t>自动生</w:t>
      </w:r>
      <w:r>
        <w:rPr>
          <w:sz w:val="24"/>
        </w:rPr>
        <w:t>成合同条款，并同步在交易平台固化。</w:t>
      </w:r>
    </w:p>
    <w:p>
      <w:pPr>
        <w:pStyle w:val="null3"/>
        <w:spacing w:before="120"/>
        <w:ind w:left="30" w:right="150" w:firstLine="484"/>
      </w:pPr>
      <w:r>
        <w:rPr>
          <w:sz w:val="24"/>
        </w:rPr>
        <w:t>六、在实施过程中，交易中心会根据市场实际需求优化调整零售套餐模式，</w:t>
      </w:r>
      <w:r>
        <w:rPr>
          <w:sz w:val="24"/>
        </w:rPr>
        <w:t>最大限度满足零售市场需求。</w:t>
      </w:r>
    </w:p>
    <w:p>
      <w:pPr>
        <w:pStyle w:val="null3"/>
        <w:spacing w:before="120"/>
        <w:ind w:left="510"/>
      </w:pPr>
      <w:r>
        <w:rPr>
          <w:sz w:val="24"/>
        </w:rPr>
        <w:t>七、</w:t>
      </w:r>
      <w:r>
        <w:rPr>
          <w:sz w:val="24"/>
          <w:b/>
        </w:rPr>
        <w:t>本合同范本仅用于支持合同双方约定的电能量零售交易和电费结算，</w:t>
      </w:r>
    </w:p>
    <w:p>
      <w:pPr>
        <w:pStyle w:val="null3"/>
        <w:spacing w:before="120"/>
        <w:ind w:left="30" w:firstLine="1"/>
      </w:pPr>
      <w:r>
        <w:rPr>
          <w:sz w:val="24"/>
          <w:b/>
        </w:rPr>
        <w:t>不含需求响应零售结算和绿电交易结算。</w:t>
      </w:r>
      <w:r>
        <w:rPr>
          <w:sz w:val="24"/>
        </w:rPr>
        <w:t>若涉及其他需开展资金结算的增值服务，</w:t>
      </w:r>
      <w:r>
        <w:rPr>
          <w:sz w:val="24"/>
        </w:rPr>
        <w:t>合同双方可另行签订合同并自主结算。</w:t>
      </w:r>
    </w:p>
    <w:p>
      <w:pPr>
        <w:pStyle w:val="null3"/>
        <w:spacing w:before="120"/>
        <w:ind w:left="30" w:right="180" w:firstLine="484"/>
      </w:pPr>
      <w:r>
        <w:rPr>
          <w:sz w:val="24"/>
        </w:rPr>
        <w:t>八、</w:t>
      </w:r>
      <w:r>
        <w:rPr>
          <w:sz w:val="24"/>
          <w:b/>
        </w:rPr>
        <w:t>合同双方均已完整阅读、完全理解并一致同</w:t>
      </w:r>
      <w:r>
        <w:rPr>
          <w:sz w:val="24"/>
          <w:b/>
        </w:rPr>
        <w:t>意上述全部内容。选择使</w:t>
      </w:r>
      <w:r>
        <w:rPr>
          <w:sz w:val="24"/>
          <w:b/>
        </w:rPr>
        <w:t>用本合同范本，即视为双方知悉并同意本使用说明的全部内容</w:t>
      </w:r>
      <w:r>
        <w:rPr>
          <w:sz w:val="24"/>
        </w:rPr>
        <w:t>。</w:t>
      </w:r>
    </w:p>
    <w:p>
      <w:pPr>
        <w:pStyle w:val="null3"/>
      </w:pPr>
      <w:r>
        <w:rPr>
          <w:sz w:val="24"/>
          <w:b/>
        </w:rPr>
        <w:t>目录</w:t>
      </w:r>
    </w:p>
    <w:p>
      <w:pPr>
        <w:pStyle w:val="null3"/>
      </w:pPr>
      <w:r>
        <w:rPr>
          <w:sz w:val="24"/>
        </w:rPr>
        <w:t>第一章</w:t>
      </w:r>
      <w:r>
        <w:rPr>
          <w:sz w:val="22"/>
        </w:rPr>
        <w:t xml:space="preserve">     </w:t>
      </w:r>
      <w:r>
        <w:rPr>
          <w:sz w:val="24"/>
        </w:rPr>
        <w:t>风险提示</w:t>
      </w:r>
    </w:p>
    <w:p>
      <w:pPr>
        <w:pStyle w:val="null3"/>
        <w:spacing w:before="270"/>
        <w:ind w:left="510"/>
      </w:pPr>
      <w:r>
        <w:rPr>
          <w:sz w:val="24"/>
        </w:rPr>
        <w:t>第二章</w:t>
      </w:r>
      <w:r>
        <w:rPr>
          <w:sz w:val="24"/>
        </w:rPr>
        <w:t xml:space="preserve">     </w:t>
      </w:r>
      <w:r>
        <w:rPr>
          <w:sz w:val="24"/>
        </w:rPr>
        <w:t>双方签署信息</w:t>
      </w:r>
    </w:p>
    <w:p>
      <w:pPr>
        <w:pStyle w:val="null3"/>
        <w:spacing w:before="285"/>
        <w:ind w:left="510"/>
      </w:pPr>
      <w:r>
        <w:rPr>
          <w:sz w:val="24"/>
        </w:rPr>
        <w:t>第三章</w:t>
      </w:r>
      <w:r>
        <w:rPr>
          <w:sz w:val="24"/>
        </w:rPr>
        <w:t xml:space="preserve">     </w:t>
      </w:r>
      <w:r>
        <w:rPr>
          <w:sz w:val="24"/>
        </w:rPr>
        <w:t>双方的权利和义务</w:t>
      </w:r>
    </w:p>
    <w:p>
      <w:pPr>
        <w:pStyle w:val="null3"/>
        <w:spacing w:before="270"/>
        <w:ind w:left="510"/>
      </w:pPr>
      <w:r>
        <w:rPr>
          <w:sz w:val="24"/>
        </w:rPr>
        <w:t>第四章</w:t>
      </w:r>
      <w:r>
        <w:rPr>
          <w:sz w:val="22"/>
        </w:rPr>
        <w:t xml:space="preserve">     </w:t>
      </w:r>
      <w:r>
        <w:rPr>
          <w:sz w:val="24"/>
        </w:rPr>
        <w:t>电能量零售交易及结算</w:t>
      </w:r>
    </w:p>
    <w:p>
      <w:pPr>
        <w:pStyle w:val="null3"/>
        <w:spacing w:before="285"/>
        <w:ind w:left="510"/>
      </w:pPr>
      <w:r>
        <w:rPr>
          <w:sz w:val="24"/>
        </w:rPr>
        <w:t>第五章</w:t>
      </w:r>
      <w:r>
        <w:rPr>
          <w:sz w:val="24"/>
        </w:rPr>
        <w:t xml:space="preserve">     </w:t>
      </w:r>
      <w:r>
        <w:rPr>
          <w:sz w:val="24"/>
        </w:rPr>
        <w:t>合同违约和赔偿</w:t>
      </w:r>
    </w:p>
    <w:p>
      <w:pPr>
        <w:pStyle w:val="null3"/>
        <w:spacing w:before="285"/>
        <w:ind w:left="510"/>
      </w:pPr>
      <w:r>
        <w:rPr>
          <w:sz w:val="24"/>
        </w:rPr>
        <w:t>第六章</w:t>
      </w:r>
      <w:r>
        <w:rPr>
          <w:sz w:val="24"/>
        </w:rPr>
        <w:t xml:space="preserve">     </w:t>
      </w:r>
      <w:r>
        <w:rPr>
          <w:sz w:val="24"/>
        </w:rPr>
        <w:t>合同变更和解除</w:t>
      </w:r>
    </w:p>
    <w:p>
      <w:pPr>
        <w:pStyle w:val="null3"/>
        <w:spacing w:before="285"/>
        <w:ind w:left="510"/>
      </w:pPr>
      <w:r>
        <w:rPr>
          <w:sz w:val="24"/>
        </w:rPr>
        <w:t>第七章</w:t>
      </w:r>
      <w:r>
        <w:rPr>
          <w:sz w:val="22"/>
        </w:rPr>
        <w:t xml:space="preserve">     </w:t>
      </w:r>
      <w:r>
        <w:rPr>
          <w:sz w:val="24"/>
        </w:rPr>
        <w:t>争议解决</w:t>
      </w:r>
    </w:p>
    <w:p>
      <w:pPr>
        <w:pStyle w:val="null3"/>
        <w:spacing w:before="270"/>
        <w:ind w:left="510"/>
      </w:pPr>
      <w:r>
        <w:rPr>
          <w:sz w:val="24"/>
        </w:rPr>
        <w:t>第八章</w:t>
      </w:r>
      <w:r>
        <w:rPr>
          <w:sz w:val="22"/>
        </w:rPr>
        <w:t xml:space="preserve">     </w:t>
      </w:r>
      <w:r>
        <w:rPr>
          <w:sz w:val="24"/>
        </w:rPr>
        <w:t>其他</w:t>
      </w:r>
    </w:p>
    <w:p>
      <w:pPr>
        <w:pStyle w:val="null3"/>
        <w:spacing w:before="285"/>
        <w:ind w:left="525"/>
      </w:pPr>
      <w:r>
        <w:rPr>
          <w:sz w:val="24"/>
        </w:rPr>
        <w:t>附件一</w:t>
      </w:r>
      <w:r>
        <w:rPr>
          <w:sz w:val="24"/>
        </w:rPr>
        <w:t xml:space="preserve">     </w:t>
      </w:r>
      <w:r>
        <w:rPr>
          <w:sz w:val="24"/>
        </w:rPr>
        <w:t>零售交易信息</w:t>
      </w:r>
    </w:p>
    <w:p>
      <w:pPr>
        <w:pStyle w:val="null3"/>
        <w:spacing w:before="285"/>
        <w:ind w:left="525" w:right="3405"/>
      </w:pPr>
      <w:r>
        <w:rPr>
          <w:sz w:val="24"/>
        </w:rPr>
        <w:t>附件二</w:t>
      </w:r>
      <w:r>
        <w:rPr>
          <w:sz w:val="22"/>
        </w:rPr>
        <w:t xml:space="preserve">     </w:t>
      </w:r>
      <w:r>
        <w:rPr>
          <w:sz w:val="24"/>
        </w:rPr>
        <w:t>电能量零售交易套餐模式说明</w:t>
      </w:r>
      <w:r>
        <w:rPr>
          <w:sz w:val="24"/>
        </w:rPr>
        <w:t>附件三</w:t>
      </w:r>
      <w:r>
        <w:rPr>
          <w:sz w:val="24"/>
        </w:rPr>
        <w:t xml:space="preserve">     </w:t>
      </w:r>
      <w:r>
        <w:rPr>
          <w:sz w:val="24"/>
        </w:rPr>
        <w:t>名词解释</w:t>
      </w:r>
    </w:p>
    <w:p>
      <w:pPr>
        <w:pStyle w:val="null3"/>
        <w:ind w:left="525"/>
      </w:pPr>
      <w:r>
        <w:rPr>
          <w:sz w:val="24"/>
        </w:rPr>
        <w:t>附件四</w:t>
      </w:r>
      <w:r>
        <w:rPr>
          <w:sz w:val="24"/>
        </w:rPr>
        <w:t xml:space="preserve">     </w:t>
      </w:r>
      <w:r>
        <w:rPr>
          <w:sz w:val="24"/>
        </w:rPr>
        <w:t>廉洁声明（可选）</w:t>
      </w:r>
    </w:p>
    <w:p>
      <w:pPr>
        <w:pStyle w:val="null3"/>
      </w:pPr>
      <w:r>
        <w:rPr>
          <w:sz w:val="24"/>
        </w:rPr>
        <w:t>甲、乙双方任何一方在此向对方陈述如下：本方为一家依法</w:t>
      </w:r>
      <w:r>
        <w:rPr>
          <w:sz w:val="24"/>
        </w:rPr>
        <w:t>设立并合法存续</w:t>
      </w:r>
      <w:r>
        <w:rPr>
          <w:sz w:val="24"/>
        </w:rPr>
        <w:t>的企业（单位）</w:t>
      </w:r>
      <w:r>
        <w:rPr>
          <w:sz w:val="24"/>
        </w:rPr>
        <w:t>/个体工商户，且具有法人资格/经法人单位授权/经营主体资格，有权签署并有能力履行本合同。</w:t>
      </w:r>
    </w:p>
    <w:p>
      <w:pPr>
        <w:pStyle w:val="null3"/>
        <w:jc w:val="right"/>
      </w:pPr>
      <w:r>
        <w:rPr>
          <w:sz w:val="24"/>
        </w:rPr>
        <w:t>现甲乙双方本着平等、自愿、诚信的原则，就电能量零售交易达成以下协议：</w:t>
      </w:r>
    </w:p>
    <w:p>
      <w:pPr>
        <w:pStyle w:val="null3"/>
        <w:spacing w:before="90"/>
        <w:ind w:left="3120"/>
      </w:pPr>
      <w:r>
        <w:rPr>
          <w:sz w:val="24"/>
          <w:b/>
        </w:rPr>
        <w:t>第一章</w:t>
      </w:r>
      <w:r>
        <w:rPr>
          <w:sz w:val="19"/>
        </w:rPr>
        <w:t xml:space="preserve"> </w:t>
      </w:r>
      <w:r>
        <w:rPr>
          <w:sz w:val="24"/>
          <w:b/>
        </w:rPr>
        <w:t>风险提示</w:t>
      </w:r>
    </w:p>
    <w:p>
      <w:pPr>
        <w:pStyle w:val="null3"/>
        <w:spacing w:before="105"/>
        <w:ind w:left="15" w:right="45" w:firstLine="498"/>
        <w:jc w:val="both"/>
      </w:pPr>
      <w:r>
        <w:rPr>
          <w:sz w:val="24"/>
        </w:rPr>
        <w:t>1.1</w:t>
      </w:r>
      <w:r>
        <w:rPr>
          <w:sz w:val="22"/>
        </w:rPr>
        <w:t xml:space="preserve"> </w:t>
      </w:r>
      <w:r>
        <w:rPr>
          <w:sz w:val="24"/>
        </w:rPr>
        <w:t>售电公司与电力用户在参与电能量零售交易过程中，因市场价格</w:t>
      </w:r>
      <w:r>
        <w:rPr>
          <w:sz w:val="24"/>
        </w:rPr>
        <w:t>行情及自身交易行为等原因，售电公司可能产生利润或亏损，电力用户用电成本亦可能相较于自身不同用电时期或其他电力用户出现增加或减少，交易主体应在充分理</w:t>
      </w:r>
      <w:r>
        <w:rPr>
          <w:sz w:val="24"/>
        </w:rPr>
        <w:t>解并自愿承担包括但不限于下列风险的前提</w:t>
      </w:r>
      <w:r>
        <w:rPr>
          <w:sz w:val="24"/>
        </w:rPr>
        <w:t>下参与市场交易：</w:t>
      </w:r>
    </w:p>
    <w:p>
      <w:pPr>
        <w:pStyle w:val="null3"/>
        <w:ind w:left="30" w:right="75" w:firstLine="484"/>
      </w:pPr>
      <w:r>
        <w:rPr>
          <w:sz w:val="24"/>
        </w:rPr>
        <w:t>1.1.1</w:t>
      </w:r>
      <w:r>
        <w:rPr>
          <w:sz w:val="22"/>
        </w:rPr>
        <w:t xml:space="preserve"> </w:t>
      </w:r>
      <w:r>
        <w:rPr>
          <w:sz w:val="24"/>
        </w:rPr>
        <w:t>一次能源价格风险：</w:t>
      </w:r>
      <w:r>
        <w:rPr>
          <w:sz w:val="22"/>
        </w:rPr>
        <w:t xml:space="preserve"> </w:t>
      </w:r>
      <w:r>
        <w:rPr>
          <w:sz w:val="24"/>
        </w:rPr>
        <w:t>因国内外宏观经济周期和一次能源价格的变化，</w:t>
      </w:r>
      <w:r>
        <w:rPr>
          <w:sz w:val="24"/>
        </w:rPr>
        <w:t>可能会引起国内一次能源价格波动。</w:t>
      </w:r>
    </w:p>
    <w:p>
      <w:pPr>
        <w:pStyle w:val="null3"/>
        <w:spacing w:before="120"/>
        <w:ind w:left="30" w:right="45" w:firstLine="495"/>
      </w:pPr>
      <w:r>
        <w:rPr>
          <w:sz w:val="24"/>
        </w:rPr>
        <w:t>1.1.2</w:t>
      </w:r>
      <w:r>
        <w:rPr>
          <w:sz w:val="22"/>
        </w:rPr>
        <w:t xml:space="preserve"> </w:t>
      </w:r>
      <w:r>
        <w:rPr>
          <w:sz w:val="24"/>
        </w:rPr>
        <w:t>市场政策风险：有关电力市场的法律、法规及相</w:t>
      </w:r>
      <w:r>
        <w:rPr>
          <w:sz w:val="24"/>
        </w:rPr>
        <w:t>关政策、规则发生变化，例如常态化开市的情况下，在合同标的年份正式边界信息及参数限值未正式发布前或未确认的情况下提前签订零售交易合同，后续因政策、规则变动可能引</w:t>
      </w:r>
      <w:r>
        <w:rPr>
          <w:sz w:val="24"/>
        </w:rPr>
        <w:t>起电力市场价格波动，导致合同无法履行或价格显著偏离预期。</w:t>
      </w:r>
    </w:p>
    <w:p>
      <w:pPr>
        <w:pStyle w:val="null3"/>
        <w:spacing w:before="120"/>
        <w:ind w:left="15" w:right="45" w:firstLine="496"/>
      </w:pPr>
      <w:r>
        <w:rPr>
          <w:sz w:val="24"/>
        </w:rPr>
        <w:t>1.1.3</w:t>
      </w:r>
      <w:r>
        <w:rPr>
          <w:sz w:val="22"/>
        </w:rPr>
        <w:t xml:space="preserve"> </w:t>
      </w:r>
      <w:r>
        <w:rPr>
          <w:sz w:val="24"/>
        </w:rPr>
        <w:t>售电公司经营风险：由于售电公司自身经营管理、交易策略等方面的</w:t>
      </w:r>
      <w:r>
        <w:rPr>
          <w:sz w:val="24"/>
        </w:rPr>
        <w:t>因素，如经营决策重大失误，信誉评级不佳、存在不良行为被处置等，导致售电公司退市或暂停交易资格等情况。电力用户可能因此被纳入保底售电，进而承受</w:t>
      </w:r>
      <w:r>
        <w:rPr>
          <w:sz w:val="24"/>
        </w:rPr>
        <w:t>价格差异及偏差考核费用。</w:t>
      </w:r>
    </w:p>
    <w:p>
      <w:pPr>
        <w:pStyle w:val="null3"/>
        <w:spacing w:before="120"/>
        <w:ind w:left="30" w:right="45" w:firstLine="495"/>
      </w:pPr>
      <w:r>
        <w:rPr>
          <w:sz w:val="24"/>
        </w:rPr>
        <w:t>1.1.4</w:t>
      </w:r>
      <w:r>
        <w:rPr>
          <w:sz w:val="22"/>
        </w:rPr>
        <w:t xml:space="preserve"> </w:t>
      </w:r>
      <w:r>
        <w:rPr>
          <w:sz w:val="24"/>
        </w:rPr>
        <w:t>系统技术风险：由于零售交易合同通过电子设</w:t>
      </w:r>
      <w:r>
        <w:rPr>
          <w:sz w:val="24"/>
        </w:rPr>
        <w:t>备和信息网络签订，该设备技术存在着被计算机病毒或不法分子攻击的可能，同时通讯技术、电子设备和相关信息系统存在着缺陷的可能，造成套餐模式、参数限值、电子签章不符合政策法规要求等系统技术原因，导致合同可能被认定为无效、可撤销或未成立的情形，同时市场条件已发生不利变化，交易主体可能无法就同一标的再无其他受</w:t>
      </w:r>
      <w:r>
        <w:rPr>
          <w:sz w:val="24"/>
        </w:rPr>
        <w:t>法律保护的协议且受价格行情变化导致双方无法再次签约。</w:t>
      </w:r>
    </w:p>
    <w:p>
      <w:pPr>
        <w:pStyle w:val="null3"/>
        <w:spacing w:before="120"/>
        <w:ind w:left="30" w:right="45" w:firstLine="489"/>
      </w:pPr>
      <w:r>
        <w:rPr>
          <w:sz w:val="24"/>
        </w:rPr>
        <w:t>1.1.5</w:t>
      </w:r>
      <w:r>
        <w:rPr>
          <w:sz w:val="22"/>
        </w:rPr>
        <w:t xml:space="preserve"> </w:t>
      </w:r>
      <w:r>
        <w:rPr>
          <w:sz w:val="24"/>
        </w:rPr>
        <w:t>不可抗力因素导致的风险：诸如地震、台风、火灾、洪水等</w:t>
      </w:r>
      <w:r>
        <w:rPr>
          <w:sz w:val="24"/>
        </w:rPr>
        <w:t>不可抗力因素，或系统故障、设备故障、通讯故障、电力故障等交易中心无法</w:t>
      </w:r>
      <w:r>
        <w:rPr>
          <w:sz w:val="24"/>
        </w:rPr>
        <w:t>控制和不可</w:t>
      </w:r>
      <w:r>
        <w:rPr>
          <w:sz w:val="24"/>
        </w:rPr>
        <w:t>预测的情况，可能导致电力交易系统及相关平台无法正常运行甚至瘫</w:t>
      </w:r>
      <w:r>
        <w:rPr>
          <w:sz w:val="24"/>
        </w:rPr>
        <w:t>痪，上述情</w:t>
      </w:r>
      <w:r>
        <w:rPr>
          <w:sz w:val="24"/>
        </w:rPr>
        <w:t>况可能使零售交易（含新签、变更、解除）无法进行，导致交易标的</w:t>
      </w:r>
      <w:r>
        <w:rPr>
          <w:sz w:val="24"/>
        </w:rPr>
        <w:t>时间缩短或</w:t>
      </w:r>
      <w:r>
        <w:rPr>
          <w:sz w:val="24"/>
        </w:rPr>
        <w:t>延长。</w:t>
      </w:r>
    </w:p>
    <w:p>
      <w:pPr>
        <w:pStyle w:val="null3"/>
        <w:spacing w:before="105"/>
        <w:ind w:left="15" w:right="45" w:firstLine="498"/>
      </w:pPr>
      <w:r>
        <w:rPr>
          <w:sz w:val="24"/>
        </w:rPr>
        <w:t>1.1.6</w:t>
      </w:r>
      <w:r>
        <w:rPr>
          <w:sz w:val="22"/>
        </w:rPr>
        <w:t xml:space="preserve"> </w:t>
      </w:r>
      <w:r>
        <w:rPr>
          <w:sz w:val="24"/>
        </w:rPr>
        <w:t>其他风险：由于经营主体账号密码失密、操作授权不当、交易策略不</w:t>
      </w:r>
      <w:r>
        <w:rPr>
          <w:sz w:val="24"/>
        </w:rPr>
        <w:t>当、政策行情了解不充分等因素，委托他人代理交易并签订零售合同，致使经营</w:t>
      </w:r>
      <w:r>
        <w:rPr>
          <w:sz w:val="24"/>
        </w:rPr>
        <w:t>主体因自身不当</w:t>
      </w:r>
      <w:r>
        <w:rPr>
          <w:sz w:val="24"/>
        </w:rPr>
        <w:t>/过失行为已促成零售合同线上签订或与其他</w:t>
      </w:r>
      <w:r>
        <w:rPr>
          <w:sz w:val="24"/>
        </w:rPr>
        <w:t>方式的协议条款不相符的零售交易合同成立。</w:t>
      </w:r>
    </w:p>
    <w:p>
      <w:pPr>
        <w:pStyle w:val="null3"/>
      </w:pPr>
      <w:r>
        <w:rPr>
          <w:sz w:val="24"/>
        </w:rPr>
        <w:t>特别提示：交易中心敬告市场经营主体，应当根据自身的</w:t>
      </w:r>
      <w:r>
        <w:rPr>
          <w:sz w:val="24"/>
        </w:rPr>
        <w:t>用电特性、风险承</w:t>
      </w:r>
      <w:r>
        <w:rPr>
          <w:sz w:val="24"/>
        </w:rPr>
        <w:t>受能力，以及市场价格行情，认真评估制定电力市场交易策略，诚实守信、</w:t>
      </w:r>
      <w:r>
        <w:rPr>
          <w:sz w:val="24"/>
        </w:rPr>
        <w:t>合法</w:t>
      </w:r>
      <w:r>
        <w:rPr>
          <w:sz w:val="24"/>
        </w:rPr>
        <w:t>合规开展电力市场交易，并自行承担全部交易结果及相关风险。</w:t>
      </w:r>
    </w:p>
    <w:p>
      <w:pPr>
        <w:pStyle w:val="null3"/>
        <w:ind w:left="30" w:right="195" w:firstLine="493"/>
      </w:pPr>
      <w:r>
        <w:rPr>
          <w:sz w:val="24"/>
        </w:rPr>
        <w:t>1.2</w:t>
      </w:r>
      <w:r>
        <w:rPr>
          <w:sz w:val="22"/>
        </w:rPr>
        <w:t xml:space="preserve"> </w:t>
      </w:r>
      <w:r>
        <w:rPr>
          <w:sz w:val="24"/>
        </w:rPr>
        <w:t>本合同双方均应遵循公平、诚信原则，在签订本合同前，签约方应当全</w:t>
      </w:r>
      <w:r>
        <w:rPr>
          <w:sz w:val="24"/>
        </w:rPr>
        <w:t>面客观了解电力市场相关法律法规、业务规则、零售套餐或售电服务的特征，充</w:t>
      </w:r>
      <w:r>
        <w:rPr>
          <w:sz w:val="24"/>
        </w:rPr>
        <w:t>分知晓交易风险，清楚合同条款含义、电能量价格构成及市场价格波动风险等、</w:t>
      </w:r>
      <w:r>
        <w:rPr>
          <w:sz w:val="24"/>
        </w:rPr>
        <w:t>清楚交易中心仅以交易双方在电力交易系统线上签订的电子合同为结算依据、清楚电子合同签订流程及关键验证信息，做好线上电子合同核实确认后加盖电子印</w:t>
      </w:r>
      <w:r>
        <w:rPr>
          <w:sz w:val="24"/>
        </w:rPr>
        <w:t>章。</w:t>
      </w:r>
    </w:p>
    <w:p>
      <w:pPr>
        <w:pStyle w:val="null3"/>
        <w:spacing w:before="120"/>
        <w:ind w:left="30" w:right="195" w:firstLine="495"/>
      </w:pPr>
      <w:r>
        <w:rPr>
          <w:sz w:val="24"/>
        </w:rPr>
        <w:t>1.3</w:t>
      </w:r>
      <w:r>
        <w:rPr>
          <w:sz w:val="22"/>
        </w:rPr>
        <w:t xml:space="preserve"> </w:t>
      </w:r>
      <w:r>
        <w:rPr>
          <w:sz w:val="24"/>
        </w:rPr>
        <w:t>本合同按广东电力零售市场统一范本商定，采用电子合同形式进行线上</w:t>
      </w:r>
      <w:r>
        <w:rPr>
          <w:sz w:val="24"/>
        </w:rPr>
        <w:t>签订，一经线上签订即对合同双方具有法律约束力。请各经营主体谨慎妥善使用</w:t>
      </w:r>
      <w:r>
        <w:rPr>
          <w:sz w:val="24"/>
        </w:rPr>
        <w:t>签约过程中须用到的验证码（通过对公账户打款方式发送）、人脸识别等信息，</w:t>
      </w:r>
      <w:r>
        <w:rPr>
          <w:sz w:val="24"/>
        </w:rPr>
        <w:t>切勿泄露、配合、提供给合同相对方或其他方使用。</w:t>
      </w:r>
    </w:p>
    <w:p>
      <w:pPr>
        <w:pStyle w:val="null3"/>
        <w:spacing w:before="120"/>
        <w:ind w:left="30" w:right="240" w:firstLine="495"/>
      </w:pPr>
      <w:r>
        <w:rPr>
          <w:sz w:val="24"/>
        </w:rPr>
        <w:t>1.4</w:t>
      </w:r>
      <w:r>
        <w:rPr>
          <w:sz w:val="22"/>
        </w:rPr>
        <w:t xml:space="preserve"> </w:t>
      </w:r>
      <w:r>
        <w:rPr>
          <w:sz w:val="24"/>
        </w:rPr>
        <w:t>交易中心依据本电子合同约定进行结算。若双方另</w:t>
      </w:r>
      <w:r>
        <w:rPr>
          <w:sz w:val="24"/>
        </w:rPr>
        <w:t>行签订的其他合同与</w:t>
      </w:r>
      <w:r>
        <w:rPr>
          <w:sz w:val="24"/>
        </w:rPr>
        <w:t>本合同不一致导致的双方损失或争议，由双方通过协</w:t>
      </w:r>
      <w:r>
        <w:rPr>
          <w:sz w:val="24"/>
        </w:rPr>
        <w:t>商或司法途径处理解决。</w:t>
      </w:r>
    </w:p>
    <w:p>
      <w:pPr>
        <w:pStyle w:val="null3"/>
        <w:spacing w:before="120"/>
        <w:ind w:left="30" w:right="240" w:firstLine="495"/>
      </w:pPr>
      <w:r>
        <w:rPr>
          <w:sz w:val="24"/>
          <w:b/>
        </w:rPr>
        <w:t>1.5</w:t>
      </w:r>
      <w:r>
        <w:rPr>
          <w:sz w:val="22"/>
        </w:rPr>
        <w:t xml:space="preserve"> </w:t>
      </w:r>
      <w:r>
        <w:rPr>
          <w:sz w:val="24"/>
          <w:b/>
        </w:rPr>
        <w:t>本合同中约定的电能量电费，非用户最终到户电费，用户在签订合同前</w:t>
      </w:r>
      <w:r>
        <w:rPr>
          <w:sz w:val="24"/>
          <w:b/>
        </w:rPr>
        <w:t>请综合评估叠加各部分电费后的用电成本。</w:t>
      </w:r>
    </w:p>
    <w:p>
      <w:pPr>
        <w:pStyle w:val="null3"/>
        <w:spacing w:before="120"/>
        <w:ind w:left="30" w:firstLine="493"/>
      </w:pPr>
      <w:r>
        <w:rPr>
          <w:sz w:val="24"/>
        </w:rPr>
        <w:t>1.6 电力用户应合理选择零售套餐模式，“固定价格+市场联动+煤电</w:t>
      </w:r>
      <w:r>
        <w:rPr>
          <w:sz w:val="24"/>
        </w:rPr>
        <w:t>联动（</w:t>
      </w:r>
      <w:r>
        <w:rPr>
          <w:sz w:val="22"/>
        </w:rPr>
        <w:t xml:space="preserve"> </w:t>
      </w:r>
      <w:r>
        <w:rPr>
          <w:sz w:val="24"/>
        </w:rPr>
        <w:t>可</w:t>
      </w:r>
      <w:r>
        <w:rPr>
          <w:sz w:val="24"/>
        </w:rPr>
        <w:t>选）</w:t>
      </w:r>
      <w:r>
        <w:rPr>
          <w:sz w:val="24"/>
        </w:rPr>
        <w:t>”的竞价配置模式套餐中，“市场联动”价格已包含批发市场用户侧度电分摊返还单价，协商确定零售合同价格及参数时应注意避免重复计费，“煤电</w:t>
      </w:r>
      <w:r>
        <w:rPr>
          <w:sz w:val="24"/>
        </w:rPr>
        <w:t>联动</w:t>
      </w:r>
      <w:r>
        <w:rPr>
          <w:sz w:val="24"/>
        </w:rPr>
        <w:t>”</w:t>
      </w:r>
      <w:r>
        <w:rPr>
          <w:sz w:val="24"/>
        </w:rPr>
        <w:t>电费是随一次能源价格变化而在固定价格模式电费基础上联动调整的费用，选取</w:t>
      </w:r>
      <w:r>
        <w:rPr>
          <w:sz w:val="24"/>
        </w:rPr>
        <w:t>时需综合考虑一次能源价格风险。</w:t>
      </w:r>
    </w:p>
    <w:p>
      <w:pPr>
        <w:pStyle w:val="null3"/>
        <w:spacing w:before="120"/>
        <w:ind w:left="30" w:right="240" w:firstLine="495"/>
      </w:pPr>
      <w:r>
        <w:rPr>
          <w:sz w:val="24"/>
          <w:b/>
        </w:rPr>
        <w:t>1.7</w:t>
      </w:r>
      <w:r>
        <w:rPr>
          <w:sz w:val="22"/>
        </w:rPr>
        <w:t xml:space="preserve"> </w:t>
      </w:r>
      <w:r>
        <w:rPr>
          <w:sz w:val="24"/>
          <w:b/>
        </w:rPr>
        <w:t>如电力用户在签订本电能量零售交易合同前属于电网代购用户，在签订</w:t>
      </w:r>
      <w:r>
        <w:rPr>
          <w:sz w:val="24"/>
          <w:b/>
        </w:rPr>
        <w:t>本电能量零售交易合同后即成为市场化用户，无正当理由申请退回电网代购用</w:t>
      </w:r>
      <w:r>
        <w:rPr>
          <w:sz w:val="24"/>
          <w:b/>
        </w:rPr>
        <w:t>户需执行</w:t>
      </w:r>
      <w:r>
        <w:rPr>
          <w:sz w:val="22"/>
        </w:rPr>
        <w:t xml:space="preserve"> </w:t>
      </w:r>
      <w:r>
        <w:rPr>
          <w:sz w:val="24"/>
          <w:b/>
        </w:rPr>
        <w:t>1.5</w:t>
      </w:r>
      <w:r>
        <w:rPr>
          <w:sz w:val="22"/>
        </w:rPr>
        <w:t xml:space="preserve"> </w:t>
      </w:r>
      <w:r>
        <w:rPr>
          <w:sz w:val="24"/>
          <w:b/>
        </w:rPr>
        <w:t>倍电网代购价格等相关市场政策。</w:t>
      </w:r>
    </w:p>
    <w:p>
      <w:pPr>
        <w:pStyle w:val="null3"/>
        <w:spacing w:before="120"/>
        <w:ind w:left="525"/>
      </w:pPr>
      <w:r>
        <w:rPr>
          <w:sz w:val="24"/>
          <w:b/>
        </w:rPr>
        <w:t>1.8</w:t>
      </w:r>
      <w:r>
        <w:rPr>
          <w:sz w:val="22"/>
        </w:rPr>
        <w:t xml:space="preserve"> </w:t>
      </w:r>
      <w:r>
        <w:rPr>
          <w:sz w:val="24"/>
          <w:b/>
        </w:rPr>
        <w:t>本合同签订价格均为含税价格。</w:t>
      </w:r>
    </w:p>
    <w:p>
      <w:pPr>
        <w:pStyle w:val="null3"/>
        <w:spacing w:before="120"/>
        <w:ind w:left="30" w:right="240" w:firstLine="492"/>
      </w:pPr>
      <w:r>
        <w:rPr>
          <w:sz w:val="24"/>
          <w:b/>
          <w:u w:val="single"/>
        </w:rPr>
        <w:t>1.9</w:t>
      </w:r>
      <w:r>
        <w:rPr>
          <w:sz w:val="22"/>
          <w:u w:val="single"/>
        </w:rPr>
        <w:t xml:space="preserve"> </w:t>
      </w:r>
      <w:r>
        <w:rPr>
          <w:sz w:val="24"/>
          <w:b/>
          <w:u w:val="single"/>
        </w:rPr>
        <w:t>对于上述风险提示，合同双方均已认真阅读、完全理解并同意，合同签</w:t>
      </w:r>
      <w:r>
        <w:rPr>
          <w:sz w:val="24"/>
          <w:b/>
          <w:u w:val="single"/>
        </w:rPr>
        <w:t>署即视为知悉并同意上述风险提示的全部内容。</w:t>
      </w:r>
    </w:p>
    <w:p>
      <w:pPr>
        <w:pStyle w:val="null3"/>
      </w:pPr>
      <w:r>
        <w:rPr>
          <w:sz w:val="24"/>
          <w:b/>
        </w:rPr>
        <w:t>第二章</w:t>
      </w:r>
      <w:r>
        <w:rPr>
          <w:sz w:val="19"/>
        </w:rPr>
        <w:t xml:space="preserve"> </w:t>
      </w:r>
      <w:r>
        <w:rPr>
          <w:sz w:val="24"/>
          <w:b/>
        </w:rPr>
        <w:t>双方签署信息</w:t>
      </w:r>
    </w:p>
    <w:p>
      <w:pPr>
        <w:pStyle w:val="null3"/>
        <w:spacing w:before="105"/>
        <w:ind w:left="510"/>
      </w:pPr>
      <w:r>
        <w:rPr>
          <w:sz w:val="24"/>
          <w:b/>
        </w:rPr>
        <w:t>本合同由下列双方签署：</w:t>
      </w:r>
    </w:p>
    <w:p>
      <w:pPr>
        <w:pStyle w:val="null3"/>
        <w:spacing w:before="120"/>
        <w:ind w:left="510"/>
      </w:pPr>
      <w:r>
        <w:rPr>
          <w:sz w:val="24"/>
          <w:b/>
        </w:rPr>
        <w:t>2.1</w:t>
      </w:r>
      <w:r>
        <w:rPr>
          <w:sz w:val="22"/>
        </w:rPr>
        <w:t xml:space="preserve"> </w:t>
      </w:r>
      <w:r>
        <w:rPr>
          <w:sz w:val="24"/>
          <w:b/>
        </w:rPr>
        <w:t>购电方（</w:t>
      </w:r>
      <w:r>
        <w:rPr>
          <w:sz w:val="22"/>
        </w:rPr>
        <w:t xml:space="preserve"> </w:t>
      </w:r>
      <w:r>
        <w:rPr>
          <w:sz w:val="24"/>
          <w:b/>
        </w:rPr>
        <w:t>电力用户，</w:t>
      </w:r>
      <w:r>
        <w:rPr>
          <w:sz w:val="22"/>
        </w:rPr>
        <w:t xml:space="preserve"> </w:t>
      </w:r>
      <w:r>
        <w:rPr>
          <w:sz w:val="24"/>
          <w:b/>
        </w:rPr>
        <w:t>以下简称甲方</w:t>
      </w:r>
      <w:r>
        <w:rPr>
          <w:sz w:val="24"/>
          <w:b/>
        </w:rPr>
        <w:t>）：</w:t>
      </w:r>
    </w:p>
    <w:p>
      <w:pPr>
        <w:pStyle w:val="null3"/>
        <w:spacing w:before="120"/>
        <w:ind w:left="510"/>
      </w:pPr>
      <w:r>
        <w:rPr>
          <w:sz w:val="24"/>
        </w:rPr>
        <w:t>企业（单位）</w:t>
      </w:r>
      <w:r>
        <w:rPr>
          <w:sz w:val="24"/>
        </w:rPr>
        <w:t>/个体工商户名称：</w:t>
      </w:r>
      <w:r>
        <w:rPr>
          <w:sz w:val="22"/>
          <w:u w:val="single"/>
        </w:rPr>
        <w:t xml:space="preserve">                      </w:t>
      </w:r>
    </w:p>
    <w:p>
      <w:pPr>
        <w:pStyle w:val="null3"/>
        <w:spacing w:before="120"/>
        <w:ind w:left="525"/>
      </w:pPr>
      <w:r>
        <w:rPr>
          <w:sz w:val="24"/>
        </w:rPr>
        <w:t>电力用户编码：</w:t>
      </w:r>
      <w:r>
        <w:rPr>
          <w:sz w:val="22"/>
          <w:u w:val="single"/>
        </w:rPr>
        <w:t xml:space="preserve">                     </w:t>
      </w:r>
    </w:p>
    <w:p>
      <w:pPr>
        <w:pStyle w:val="null3"/>
        <w:spacing w:before="120"/>
        <w:ind w:left="510"/>
      </w:pPr>
      <w:r>
        <w:rPr>
          <w:sz w:val="24"/>
        </w:rPr>
        <w:t>所在地址：</w:t>
      </w:r>
      <w:r>
        <w:rPr>
          <w:sz w:val="22"/>
          <w:u w:val="single"/>
        </w:rPr>
        <w:t xml:space="preserve">                         </w:t>
      </w:r>
    </w:p>
    <w:p>
      <w:pPr>
        <w:pStyle w:val="null3"/>
        <w:spacing w:before="120"/>
        <w:ind w:left="510"/>
      </w:pPr>
      <w:r>
        <w:rPr>
          <w:sz w:val="24"/>
        </w:rPr>
        <w:t>统一信用代码</w:t>
      </w:r>
      <w:r>
        <w:rPr>
          <w:sz w:val="24"/>
        </w:rPr>
        <w:t>:</w:t>
      </w:r>
      <w:r>
        <w:rPr>
          <w:sz w:val="22"/>
          <w:u w:val="single"/>
        </w:rPr>
        <w:t xml:space="preserve">                      </w:t>
      </w:r>
    </w:p>
    <w:p>
      <w:pPr>
        <w:pStyle w:val="null3"/>
        <w:spacing w:before="120"/>
        <w:ind w:left="510"/>
      </w:pPr>
      <w:r>
        <w:rPr>
          <w:sz w:val="24"/>
        </w:rPr>
        <w:t>法定代表人</w:t>
      </w:r>
      <w:r>
        <w:rPr>
          <w:sz w:val="24"/>
        </w:rPr>
        <w:t>/经营者：</w:t>
      </w:r>
      <w:r>
        <w:rPr>
          <w:sz w:val="22"/>
          <w:u w:val="single"/>
        </w:rPr>
        <w:t xml:space="preserve">                </w:t>
      </w:r>
    </w:p>
    <w:p>
      <w:pPr>
        <w:pStyle w:val="null3"/>
        <w:spacing w:before="120"/>
        <w:ind w:left="510"/>
      </w:pPr>
      <w:r>
        <w:rPr>
          <w:sz w:val="24"/>
        </w:rPr>
        <w:t>法定代表人</w:t>
      </w:r>
      <w:r>
        <w:rPr>
          <w:sz w:val="24"/>
        </w:rPr>
        <w:t>/经营者有效证件号码：</w:t>
      </w:r>
      <w:r>
        <w:rPr>
          <w:sz w:val="22"/>
          <w:u w:val="single"/>
        </w:rPr>
        <w:t xml:space="preserve">                     </w:t>
      </w:r>
    </w:p>
    <w:p>
      <w:pPr>
        <w:pStyle w:val="null3"/>
        <w:spacing w:before="120"/>
        <w:ind w:left="540"/>
      </w:pPr>
      <w:r>
        <w:rPr>
          <w:sz w:val="24"/>
        </w:rPr>
        <w:t>甲方联系人：</w:t>
      </w:r>
      <w:r>
        <w:rPr>
          <w:sz w:val="22"/>
          <w:u w:val="single"/>
        </w:rPr>
        <w:t xml:space="preserve">                             </w:t>
      </w:r>
    </w:p>
    <w:p>
      <w:pPr>
        <w:pStyle w:val="null3"/>
        <w:spacing w:before="120"/>
        <w:ind w:left="510"/>
      </w:pPr>
      <w:r>
        <w:rPr>
          <w:sz w:val="24"/>
        </w:rPr>
        <w:t>联系电话：</w:t>
      </w:r>
      <w:r>
        <w:rPr>
          <w:sz w:val="22"/>
          <w:u w:val="single"/>
        </w:rPr>
        <w:t xml:space="preserve">                              </w:t>
      </w:r>
    </w:p>
    <w:p>
      <w:pPr>
        <w:pStyle w:val="null3"/>
        <w:spacing w:before="120"/>
        <w:ind w:left="510"/>
      </w:pPr>
      <w:r>
        <w:rPr>
          <w:sz w:val="24"/>
          <w:b/>
        </w:rPr>
        <w:t>2.2</w:t>
      </w:r>
      <w:r>
        <w:rPr>
          <w:sz w:val="22"/>
        </w:rPr>
        <w:t xml:space="preserve"> </w:t>
      </w:r>
      <w:r>
        <w:rPr>
          <w:sz w:val="24"/>
          <w:b/>
        </w:rPr>
        <w:t>售电方（售电公司，</w:t>
      </w:r>
      <w:r>
        <w:rPr>
          <w:sz w:val="22"/>
        </w:rPr>
        <w:t xml:space="preserve"> </w:t>
      </w:r>
      <w:r>
        <w:rPr>
          <w:sz w:val="24"/>
          <w:b/>
        </w:rPr>
        <w:t>以下简称乙方</w:t>
      </w:r>
      <w:r>
        <w:rPr>
          <w:sz w:val="24"/>
          <w:b/>
        </w:rPr>
        <w:t>）：</w:t>
      </w:r>
    </w:p>
    <w:p>
      <w:pPr>
        <w:pStyle w:val="null3"/>
        <w:spacing w:before="120"/>
        <w:ind w:left="510"/>
      </w:pPr>
      <w:r>
        <w:rPr>
          <w:sz w:val="24"/>
        </w:rPr>
        <w:t>企业名称：</w:t>
      </w:r>
      <w:r>
        <w:rPr>
          <w:sz w:val="22"/>
          <w:u w:val="single"/>
        </w:rPr>
        <w:t xml:space="preserve">                         </w:t>
      </w:r>
    </w:p>
    <w:p>
      <w:pPr>
        <w:pStyle w:val="null3"/>
        <w:spacing w:before="120"/>
        <w:ind w:left="510"/>
      </w:pPr>
      <w:r>
        <w:rPr>
          <w:sz w:val="24"/>
        </w:rPr>
        <w:t>售电公司编码：</w:t>
      </w:r>
      <w:r>
        <w:rPr>
          <w:sz w:val="22"/>
          <w:u w:val="single"/>
        </w:rPr>
        <w:t xml:space="preserve">                     </w:t>
      </w:r>
    </w:p>
    <w:p>
      <w:pPr>
        <w:pStyle w:val="null3"/>
        <w:spacing w:before="120"/>
        <w:ind w:left="510"/>
      </w:pPr>
      <w:r>
        <w:rPr>
          <w:sz w:val="24"/>
        </w:rPr>
        <w:t>企业所在地址：</w:t>
      </w:r>
      <w:r>
        <w:rPr>
          <w:sz w:val="22"/>
          <w:u w:val="single"/>
        </w:rPr>
        <w:t xml:space="preserve">                     </w:t>
      </w:r>
    </w:p>
    <w:p>
      <w:pPr>
        <w:pStyle w:val="null3"/>
        <w:spacing w:before="120"/>
        <w:ind w:left="510"/>
      </w:pPr>
      <w:r>
        <w:rPr>
          <w:sz w:val="24"/>
        </w:rPr>
        <w:t>统一信用代码：</w:t>
      </w:r>
      <w:r>
        <w:rPr>
          <w:sz w:val="22"/>
          <w:u w:val="single"/>
        </w:rPr>
        <w:t xml:space="preserve">                     </w:t>
      </w:r>
    </w:p>
    <w:p>
      <w:pPr>
        <w:pStyle w:val="null3"/>
        <w:spacing w:before="120"/>
        <w:ind w:left="510"/>
      </w:pPr>
      <w:r>
        <w:rPr>
          <w:sz w:val="24"/>
        </w:rPr>
        <w:t>法定代表人：</w:t>
      </w:r>
      <w:r>
        <w:rPr>
          <w:sz w:val="22"/>
          <w:u w:val="single"/>
        </w:rPr>
        <w:t xml:space="preserve">                       </w:t>
      </w:r>
    </w:p>
    <w:p>
      <w:pPr>
        <w:pStyle w:val="null3"/>
        <w:spacing w:before="120"/>
        <w:ind w:left="510"/>
      </w:pPr>
      <w:r>
        <w:rPr>
          <w:sz w:val="24"/>
        </w:rPr>
        <w:t>法定代表人有效证件号码：</w:t>
      </w:r>
      <w:r>
        <w:rPr>
          <w:sz w:val="22"/>
          <w:u w:val="single"/>
        </w:rPr>
        <w:t xml:space="preserve">                </w:t>
      </w:r>
    </w:p>
    <w:p>
      <w:pPr>
        <w:pStyle w:val="null3"/>
        <w:spacing w:before="120"/>
        <w:ind w:left="540"/>
      </w:pPr>
      <w:r>
        <w:rPr>
          <w:sz w:val="24"/>
        </w:rPr>
        <w:t>乙方联系人：</w:t>
      </w:r>
      <w:r>
        <w:rPr>
          <w:sz w:val="22"/>
          <w:u w:val="single"/>
        </w:rPr>
        <w:t xml:space="preserve">                     </w:t>
      </w:r>
    </w:p>
    <w:p>
      <w:pPr>
        <w:pStyle w:val="null3"/>
        <w:spacing w:before="120"/>
        <w:ind w:left="510"/>
      </w:pPr>
      <w:r>
        <w:rPr>
          <w:sz w:val="24"/>
        </w:rPr>
        <w:t>联系电话：</w:t>
      </w:r>
      <w:r>
        <w:rPr>
          <w:sz w:val="22"/>
          <w:u w:val="single"/>
        </w:rPr>
        <w:t xml:space="preserve">                       </w:t>
      </w:r>
    </w:p>
    <w:p>
      <w:pPr>
        <w:pStyle w:val="null3"/>
        <w:spacing w:before="120"/>
        <w:ind w:left="510"/>
      </w:pPr>
      <w:r>
        <w:rPr>
          <w:sz w:val="24"/>
          <w:b/>
        </w:rPr>
        <w:t>2.3</w:t>
      </w:r>
      <w:r>
        <w:rPr>
          <w:sz w:val="22"/>
        </w:rPr>
        <w:t xml:space="preserve"> </w:t>
      </w:r>
      <w:r>
        <w:rPr>
          <w:sz w:val="24"/>
          <w:b/>
        </w:rPr>
        <w:t>合同有效期：</w:t>
      </w:r>
      <w:r>
        <w:rPr>
          <w:sz w:val="22"/>
          <w:u w:val="single"/>
        </w:rPr>
        <w:t xml:space="preserve">    </w:t>
      </w:r>
      <w:r>
        <w:rPr>
          <w:sz w:val="22"/>
        </w:rPr>
        <w:t xml:space="preserve"> </w:t>
      </w:r>
      <w:r>
        <w:rPr>
          <w:sz w:val="24"/>
          <w:b/>
        </w:rPr>
        <w:t>年</w:t>
      </w:r>
      <w:r>
        <w:rPr>
          <w:sz w:val="22"/>
        </w:rPr>
        <w:t xml:space="preserve"> </w:t>
      </w:r>
      <w:r>
        <w:rPr>
          <w:sz w:val="22"/>
          <w:u w:val="single"/>
        </w:rPr>
        <w:t xml:space="preserve">   </w:t>
      </w:r>
      <w:r>
        <w:rPr>
          <w:sz w:val="22"/>
        </w:rPr>
        <w:t xml:space="preserve"> </w:t>
      </w:r>
      <w:r>
        <w:rPr>
          <w:sz w:val="24"/>
          <w:b/>
        </w:rPr>
        <w:t>月</w:t>
      </w:r>
      <w:r>
        <w:rPr>
          <w:sz w:val="22"/>
          <w:u w:val="single"/>
        </w:rPr>
        <w:t xml:space="preserve">   </w:t>
      </w:r>
      <w:r>
        <w:rPr>
          <w:sz w:val="22"/>
        </w:rPr>
        <w:t xml:space="preserve"> </w:t>
      </w:r>
      <w:r>
        <w:rPr>
          <w:sz w:val="24"/>
          <w:b/>
        </w:rPr>
        <w:t>日至</w:t>
      </w:r>
      <w:r>
        <w:rPr>
          <w:sz w:val="22"/>
        </w:rPr>
        <w:t xml:space="preserve"> </w:t>
      </w:r>
      <w:r>
        <w:rPr>
          <w:sz w:val="22"/>
          <w:u w:val="single"/>
        </w:rPr>
        <w:t xml:space="preserve">    </w:t>
      </w:r>
      <w:r>
        <w:rPr>
          <w:sz w:val="22"/>
        </w:rPr>
        <w:t xml:space="preserve"> </w:t>
      </w:r>
      <w:r>
        <w:rPr>
          <w:sz w:val="24"/>
          <w:b/>
        </w:rPr>
        <w:t>年</w:t>
      </w:r>
      <w:r>
        <w:rPr>
          <w:sz w:val="22"/>
        </w:rPr>
        <w:t xml:space="preserve"> </w:t>
      </w:r>
      <w:r>
        <w:rPr>
          <w:sz w:val="22"/>
          <w:u w:val="single"/>
        </w:rPr>
        <w:t xml:space="preserve">   </w:t>
      </w:r>
      <w:r>
        <w:rPr>
          <w:sz w:val="22"/>
        </w:rPr>
        <w:t xml:space="preserve"> </w:t>
      </w:r>
      <w:r>
        <w:rPr>
          <w:sz w:val="24"/>
          <w:b/>
        </w:rPr>
        <w:t>月</w:t>
      </w:r>
      <w:r>
        <w:rPr>
          <w:sz w:val="22"/>
          <w:u w:val="single"/>
        </w:rPr>
        <w:t xml:space="preserve">   </w:t>
      </w:r>
      <w:r>
        <w:rPr>
          <w:sz w:val="22"/>
        </w:rPr>
        <w:t xml:space="preserve"> </w:t>
      </w:r>
      <w:r>
        <w:rPr>
          <w:sz w:val="24"/>
          <w:b/>
        </w:rPr>
        <w:t>日。</w:t>
      </w:r>
    </w:p>
    <w:p>
      <w:pPr>
        <w:pStyle w:val="null3"/>
      </w:pPr>
      <w:r>
        <w:rPr>
          <w:sz w:val="24"/>
          <w:b/>
        </w:rPr>
        <w:t>第三章</w:t>
      </w:r>
      <w:r>
        <w:rPr>
          <w:sz w:val="19"/>
        </w:rPr>
        <w:t xml:space="preserve">  </w:t>
      </w:r>
      <w:r>
        <w:rPr>
          <w:sz w:val="24"/>
          <w:b/>
        </w:rPr>
        <w:t>双方的权利和义务</w:t>
      </w:r>
    </w:p>
    <w:p>
      <w:pPr>
        <w:pStyle w:val="null3"/>
        <w:spacing w:before="105"/>
        <w:ind w:left="510"/>
      </w:pPr>
      <w:r>
        <w:rPr>
          <w:sz w:val="24"/>
        </w:rPr>
        <w:t>3.1</w:t>
      </w:r>
      <w:r>
        <w:rPr>
          <w:sz w:val="22"/>
        </w:rPr>
        <w:t xml:space="preserve"> </w:t>
      </w:r>
      <w:r>
        <w:rPr>
          <w:sz w:val="24"/>
        </w:rPr>
        <w:t>甲方的权利包括：</w:t>
      </w:r>
    </w:p>
    <w:p>
      <w:pPr>
        <w:pStyle w:val="null3"/>
        <w:spacing w:before="120"/>
        <w:ind w:left="45" w:right="15" w:firstLine="462"/>
      </w:pPr>
      <w:r>
        <w:rPr>
          <w:sz w:val="24"/>
        </w:rPr>
        <w:t>3.1.1 根据与供电企业签订的《供用电合</w:t>
      </w:r>
      <w:r>
        <w:rPr>
          <w:sz w:val="24"/>
        </w:rPr>
        <w:t>同》（及其补充协议，下同</w:t>
      </w:r>
      <w:r>
        <w:rPr>
          <w:sz w:val="24"/>
        </w:rPr>
        <w:t>），</w:t>
      </w:r>
      <w:r>
        <w:rPr>
          <w:sz w:val="24"/>
        </w:rPr>
        <w:t>按</w:t>
      </w:r>
      <w:r>
        <w:rPr>
          <w:sz w:val="24"/>
        </w:rPr>
        <w:t>照国家法律、法规、部门规章等获取供电企业提供的有关接入和用电服务。</w:t>
      </w:r>
    </w:p>
    <w:p>
      <w:pPr>
        <w:pStyle w:val="null3"/>
        <w:spacing w:before="120"/>
        <w:ind w:left="510"/>
      </w:pPr>
      <w:r>
        <w:rPr>
          <w:sz w:val="24"/>
        </w:rPr>
        <w:t>3.1.2 获得乙方履行本合同义务相关的信息、资料</w:t>
      </w:r>
      <w:r>
        <w:rPr>
          <w:sz w:val="24"/>
        </w:rPr>
        <w:t>及查阅电能量计量数据。</w:t>
      </w:r>
    </w:p>
    <w:p>
      <w:pPr>
        <w:pStyle w:val="null3"/>
        <w:spacing w:before="120"/>
        <w:ind w:left="510"/>
      </w:pPr>
      <w:r>
        <w:rPr>
          <w:sz w:val="24"/>
        </w:rPr>
        <w:t>3.2</w:t>
      </w:r>
      <w:r>
        <w:rPr>
          <w:sz w:val="22"/>
        </w:rPr>
        <w:t xml:space="preserve">  </w:t>
      </w:r>
      <w:r>
        <w:rPr>
          <w:sz w:val="24"/>
        </w:rPr>
        <w:t>甲方的义务包括：</w:t>
      </w:r>
    </w:p>
    <w:p>
      <w:pPr>
        <w:pStyle w:val="null3"/>
        <w:spacing w:before="120"/>
        <w:ind w:left="30" w:right="15" w:firstLine="480"/>
      </w:pPr>
      <w:r>
        <w:rPr>
          <w:sz w:val="24"/>
        </w:rPr>
        <w:t>3.2.1</w:t>
      </w:r>
      <w:r>
        <w:rPr>
          <w:sz w:val="22"/>
        </w:rPr>
        <w:t xml:space="preserve"> </w:t>
      </w:r>
      <w:r>
        <w:rPr>
          <w:sz w:val="24"/>
        </w:rPr>
        <w:t>向乙方如实、完整提供电力交易容量、电量、负荷曲线及其他生产运</w:t>
      </w:r>
      <w:r>
        <w:rPr>
          <w:sz w:val="24"/>
        </w:rPr>
        <w:t>行等用电信息，包括用电计量点的增减及变更、办理增减容和更名过户等用电业务信息，向乙方提供与履行本合同相关的其他信息。在合同履行期间，除不可抗</w:t>
      </w:r>
      <w:r>
        <w:rPr>
          <w:sz w:val="24"/>
        </w:rPr>
        <w:t>力和政策要求外，不得通过任何形式退出市</w:t>
      </w:r>
      <w:r>
        <w:rPr>
          <w:sz w:val="24"/>
        </w:rPr>
        <w:t>场，造成乙方经济损失。</w:t>
      </w:r>
    </w:p>
    <w:p>
      <w:pPr>
        <w:pStyle w:val="null3"/>
        <w:spacing w:before="120"/>
        <w:ind w:left="45" w:right="75" w:firstLine="452"/>
      </w:pPr>
      <w:r>
        <w:rPr>
          <w:sz w:val="24"/>
        </w:rPr>
        <w:t>3.2.2 按相关规定与供电企业签署《供用电合同》，按时缴纳电费，包括：</w:t>
      </w:r>
      <w:r>
        <w:rPr>
          <w:sz w:val="24"/>
        </w:rPr>
        <w:t>电能量电费、输配电费、政府基金附加费等相关费用。</w:t>
      </w:r>
    </w:p>
    <w:p>
      <w:pPr>
        <w:pStyle w:val="null3"/>
      </w:pPr>
      <w:r>
        <w:rPr>
          <w:sz w:val="24"/>
        </w:rPr>
        <w:t>3.2.3 做好合同信息保密，未经对方书面同意，不得将与本合同相关信息透</w:t>
      </w:r>
      <w:r>
        <w:rPr>
          <w:sz w:val="24"/>
        </w:rPr>
        <w:t>露至第三方，政府监管部门、市场交易机构等具备查阅资格的单位除外。</w:t>
      </w:r>
    </w:p>
    <w:p>
      <w:pPr>
        <w:pStyle w:val="null3"/>
        <w:spacing w:before="120"/>
        <w:ind w:left="30" w:right="60" w:firstLine="480"/>
      </w:pPr>
      <w:r>
        <w:rPr>
          <w:sz w:val="24"/>
        </w:rPr>
        <w:t>3.2.4</w:t>
      </w:r>
      <w:r>
        <w:rPr>
          <w:sz w:val="22"/>
        </w:rPr>
        <w:t xml:space="preserve"> </w:t>
      </w:r>
      <w:r>
        <w:rPr>
          <w:sz w:val="24"/>
        </w:rPr>
        <w:t>如因工业园区</w:t>
      </w:r>
      <w:r>
        <w:rPr>
          <w:sz w:val="22"/>
        </w:rPr>
        <w:t xml:space="preserve"> </w:t>
      </w:r>
      <w:r>
        <w:rPr>
          <w:sz w:val="24"/>
        </w:rPr>
        <w:t>“转供电”改为</w:t>
      </w:r>
      <w:r>
        <w:rPr>
          <w:sz w:val="22"/>
        </w:rPr>
        <w:t xml:space="preserve"> </w:t>
      </w:r>
      <w:r>
        <w:rPr>
          <w:sz w:val="24"/>
        </w:rPr>
        <w:t>“直供电”政策引起甲方的市场注册状</w:t>
      </w:r>
      <w:r>
        <w:rPr>
          <w:sz w:val="24"/>
        </w:rPr>
        <w:t>态发生变化，甲方应及时向乙方告知相关信息，并按相关政策配合做好零售合同</w:t>
      </w:r>
      <w:r>
        <w:rPr>
          <w:sz w:val="24"/>
        </w:rPr>
        <w:t>衔接工作。</w:t>
      </w:r>
    </w:p>
    <w:p>
      <w:pPr>
        <w:pStyle w:val="null3"/>
        <w:spacing w:before="120"/>
        <w:ind w:left="510"/>
      </w:pPr>
      <w:r>
        <w:rPr>
          <w:sz w:val="24"/>
        </w:rPr>
        <w:t>3.3</w:t>
      </w:r>
      <w:r>
        <w:rPr>
          <w:sz w:val="22"/>
        </w:rPr>
        <w:t xml:space="preserve">  </w:t>
      </w:r>
      <w:r>
        <w:rPr>
          <w:sz w:val="24"/>
        </w:rPr>
        <w:t>乙方的权利包括：</w:t>
      </w:r>
    </w:p>
    <w:p>
      <w:pPr>
        <w:pStyle w:val="null3"/>
        <w:spacing w:before="120"/>
        <w:ind w:left="510"/>
      </w:pPr>
      <w:r>
        <w:rPr>
          <w:sz w:val="24"/>
        </w:rPr>
        <w:t>获得甲方履行本合同义务相关的信息、资料及查阅计量电量数据。</w:t>
      </w:r>
    </w:p>
    <w:p>
      <w:pPr>
        <w:pStyle w:val="null3"/>
        <w:spacing w:before="120"/>
        <w:ind w:left="510"/>
      </w:pPr>
      <w:r>
        <w:rPr>
          <w:sz w:val="24"/>
        </w:rPr>
        <w:t>3.4</w:t>
      </w:r>
      <w:r>
        <w:rPr>
          <w:sz w:val="22"/>
        </w:rPr>
        <w:t xml:space="preserve">  </w:t>
      </w:r>
      <w:r>
        <w:rPr>
          <w:sz w:val="24"/>
        </w:rPr>
        <w:t>乙方的义务包括：</w:t>
      </w:r>
    </w:p>
    <w:p>
      <w:pPr>
        <w:pStyle w:val="null3"/>
        <w:spacing w:before="120"/>
        <w:ind w:left="15" w:firstLine="482"/>
      </w:pPr>
      <w:r>
        <w:rPr>
          <w:sz w:val="24"/>
        </w:rPr>
        <w:t>3.4.1 按照国家有关法律、规定和技术规范，为甲方提供电力交易销售服务，</w:t>
      </w:r>
      <w:r>
        <w:rPr>
          <w:sz w:val="24"/>
        </w:rPr>
        <w:t>做好需求侧管理，参与批发市场交易并按规定结算。</w:t>
      </w:r>
    </w:p>
    <w:p>
      <w:pPr>
        <w:pStyle w:val="null3"/>
        <w:spacing w:before="120"/>
        <w:ind w:left="30" w:right="30" w:firstLine="480"/>
      </w:pPr>
      <w:r>
        <w:rPr>
          <w:sz w:val="24"/>
        </w:rPr>
        <w:t>3.4.2</w:t>
      </w:r>
      <w:r>
        <w:rPr>
          <w:sz w:val="22"/>
        </w:rPr>
        <w:t xml:space="preserve"> </w:t>
      </w:r>
      <w:r>
        <w:rPr>
          <w:sz w:val="24"/>
        </w:rPr>
        <w:t>应向甲方全面客观介绍电力市场相关法</w:t>
      </w:r>
      <w:r>
        <w:rPr>
          <w:sz w:val="24"/>
        </w:rPr>
        <w:t>律法规、业务规则、零售套餐</w:t>
      </w:r>
      <w:r>
        <w:rPr>
          <w:sz w:val="24"/>
        </w:rPr>
        <w:t>或售电服务的特征，充分揭示风险，按约定如实向甲方提供相关的资料、信息，</w:t>
      </w:r>
      <w:r>
        <w:rPr>
          <w:sz w:val="24"/>
        </w:rPr>
        <w:t>禁止欺诈或误导甲方，包括不限于以下事项</w:t>
      </w:r>
      <w:r>
        <w:rPr>
          <w:sz w:val="24"/>
        </w:rPr>
        <w:t>:</w:t>
      </w:r>
    </w:p>
    <w:p>
      <w:pPr>
        <w:pStyle w:val="null3"/>
        <w:spacing w:before="120"/>
        <w:ind w:left="15" w:right="60" w:firstLine="483"/>
      </w:pPr>
      <w:r>
        <w:rPr>
          <w:sz w:val="24"/>
        </w:rPr>
        <w:t>3.4.2.1</w:t>
      </w:r>
      <w:r>
        <w:rPr>
          <w:sz w:val="22"/>
        </w:rPr>
        <w:t xml:space="preserve"> </w:t>
      </w:r>
      <w:r>
        <w:rPr>
          <w:sz w:val="24"/>
        </w:rPr>
        <w:t>向电力用户揭示市场风险，解释说明合同条款含义、电能量价格构成</w:t>
      </w:r>
      <w:r>
        <w:rPr>
          <w:sz w:val="24"/>
        </w:rPr>
        <w:t>及市场价格波动风险等；</w:t>
      </w:r>
    </w:p>
    <w:p>
      <w:pPr>
        <w:pStyle w:val="null3"/>
        <w:spacing w:before="120"/>
        <w:ind w:left="30" w:right="60" w:firstLine="474"/>
      </w:pPr>
      <w:r>
        <w:rPr>
          <w:sz w:val="24"/>
        </w:rPr>
        <w:t>3.4.2.2</w:t>
      </w:r>
      <w:r>
        <w:rPr>
          <w:sz w:val="22"/>
        </w:rPr>
        <w:t xml:space="preserve"> </w:t>
      </w:r>
      <w:r>
        <w:rPr>
          <w:sz w:val="24"/>
        </w:rPr>
        <w:t>向电力用户明确宣贯告知交易</w:t>
      </w:r>
      <w:r>
        <w:rPr>
          <w:sz w:val="24"/>
        </w:rPr>
        <w:t>中心仅以交易双方在电力交易系统线</w:t>
      </w:r>
      <w:r>
        <w:rPr>
          <w:sz w:val="24"/>
        </w:rPr>
        <w:t>上签订的电子合同为结算依据。</w:t>
      </w:r>
    </w:p>
    <w:p>
      <w:pPr>
        <w:pStyle w:val="null3"/>
        <w:spacing w:before="120"/>
        <w:ind w:left="30" w:right="60" w:firstLine="469"/>
      </w:pPr>
      <w:r>
        <w:rPr>
          <w:sz w:val="24"/>
        </w:rPr>
        <w:t>3.4.2.3</w:t>
      </w:r>
      <w:r>
        <w:rPr>
          <w:sz w:val="22"/>
        </w:rPr>
        <w:t xml:space="preserve"> </w:t>
      </w:r>
      <w:r>
        <w:rPr>
          <w:sz w:val="24"/>
        </w:rPr>
        <w:t>向电力用户介绍说明电子合同签订流程及关键验证信息，提醒电力用</w:t>
      </w:r>
      <w:r>
        <w:rPr>
          <w:sz w:val="24"/>
        </w:rPr>
        <w:t>户做好线上电子合同核实确认后加盖电子印章；</w:t>
      </w:r>
    </w:p>
    <w:p>
      <w:pPr>
        <w:pStyle w:val="null3"/>
        <w:spacing w:before="120"/>
        <w:ind w:left="30" w:right="60" w:firstLine="480"/>
      </w:pPr>
      <w:r>
        <w:rPr>
          <w:sz w:val="24"/>
        </w:rPr>
        <w:t>3.4.2.4</w:t>
      </w:r>
      <w:r>
        <w:rPr>
          <w:sz w:val="22"/>
        </w:rPr>
        <w:t xml:space="preserve"> </w:t>
      </w:r>
      <w:r>
        <w:rPr>
          <w:sz w:val="24"/>
        </w:rPr>
        <w:t>如电力用户在签订零售交易合同前属于电网</w:t>
      </w:r>
      <w:r>
        <w:rPr>
          <w:sz w:val="24"/>
        </w:rPr>
        <w:t>代购用户，应向电力用户</w:t>
      </w:r>
      <w:r>
        <w:rPr>
          <w:sz w:val="24"/>
        </w:rPr>
        <w:t>说明，入市成为市场化用户后，无正当理由申请退回电网代购用户需执行</w:t>
      </w:r>
      <w:r>
        <w:rPr>
          <w:sz w:val="22"/>
        </w:rPr>
        <w:t xml:space="preserve"> </w:t>
      </w:r>
      <w:r>
        <w:rPr>
          <w:sz w:val="24"/>
        </w:rPr>
        <w:t>1.5 倍</w:t>
      </w:r>
      <w:r>
        <w:rPr>
          <w:sz w:val="24"/>
        </w:rPr>
        <w:t>电网代购价格等相关市场政策。</w:t>
      </w:r>
    </w:p>
    <w:p>
      <w:pPr>
        <w:pStyle w:val="null3"/>
        <w:spacing w:before="120"/>
        <w:ind w:left="510"/>
      </w:pPr>
      <w:r>
        <w:rPr>
          <w:sz w:val="24"/>
        </w:rPr>
        <w:t>3.4.2.5 其他需要充分沟通说明的信息事项。</w:t>
      </w:r>
    </w:p>
    <w:p>
      <w:pPr>
        <w:pStyle w:val="null3"/>
        <w:spacing w:before="120"/>
        <w:ind w:left="45" w:right="60" w:firstLine="465"/>
      </w:pPr>
      <w:r>
        <w:rPr>
          <w:sz w:val="24"/>
        </w:rPr>
        <w:t>3.4.3 做好自身工作人员及关联人员管理，严禁未获授权、伪造或违背甲方</w:t>
      </w:r>
      <w:r>
        <w:rPr>
          <w:sz w:val="24"/>
        </w:rPr>
        <w:t>意愿擅自使用电力用户电子印章或验证信息签订零售交易合同。</w:t>
      </w:r>
    </w:p>
    <w:p>
      <w:pPr>
        <w:pStyle w:val="null3"/>
        <w:spacing w:before="120"/>
        <w:ind w:left="30" w:right="60" w:firstLine="480"/>
      </w:pPr>
      <w:r>
        <w:rPr>
          <w:sz w:val="24"/>
        </w:rPr>
        <w:t>3.4.4 售电公司应履行合同审核义务，即对签订（包括不限于通过居间商签</w:t>
      </w:r>
      <w:r>
        <w:rPr>
          <w:sz w:val="24"/>
        </w:rPr>
        <w:t>订）的零售合同的合法性、真实性、有效性进行严格审核，须与开展交易的电力</w:t>
      </w:r>
      <w:r>
        <w:rPr>
          <w:sz w:val="24"/>
        </w:rPr>
        <w:t>用户对合同真实性、合同套餐及价格参数等关</w:t>
      </w:r>
      <w:r>
        <w:rPr>
          <w:sz w:val="24"/>
        </w:rPr>
        <w:t>键性条款进行沟通确认。</w:t>
      </w:r>
    </w:p>
    <w:p>
      <w:pPr>
        <w:pStyle w:val="null3"/>
        <w:spacing w:before="120"/>
        <w:ind w:left="30" w:right="60" w:firstLine="470"/>
      </w:pPr>
      <w:r>
        <w:rPr>
          <w:sz w:val="24"/>
        </w:rPr>
        <w:t>3.4.5 做好合同信息保密，未经对方书面同意，不得将与本合同相关信息透</w:t>
      </w:r>
      <w:r>
        <w:rPr>
          <w:sz w:val="24"/>
        </w:rPr>
        <w:t>露至第三方，政府监管部门、市场交易机构等具备查阅资格的单位除外。</w:t>
      </w:r>
    </w:p>
    <w:p>
      <w:pPr>
        <w:pStyle w:val="null3"/>
        <w:spacing w:before="120"/>
        <w:ind w:left="30" w:right="60" w:firstLine="468"/>
      </w:pPr>
      <w:r>
        <w:rPr>
          <w:sz w:val="24"/>
        </w:rPr>
        <w:t>3.4.6</w:t>
      </w:r>
      <w:r>
        <w:rPr>
          <w:sz w:val="22"/>
        </w:rPr>
        <w:t xml:space="preserve"> </w:t>
      </w:r>
      <w:r>
        <w:rPr>
          <w:sz w:val="24"/>
        </w:rPr>
        <w:t>如因工业园区</w:t>
      </w:r>
      <w:r>
        <w:rPr>
          <w:sz w:val="22"/>
        </w:rPr>
        <w:t xml:space="preserve"> </w:t>
      </w:r>
      <w:r>
        <w:rPr>
          <w:sz w:val="24"/>
        </w:rPr>
        <w:t>“转供电”改为</w:t>
      </w:r>
      <w:r>
        <w:rPr>
          <w:sz w:val="22"/>
        </w:rPr>
        <w:t xml:space="preserve"> </w:t>
      </w:r>
      <w:r>
        <w:rPr>
          <w:sz w:val="24"/>
        </w:rPr>
        <w:t>“直供电”政策引起甲方的市场注册状态发生变化，乙方应按相关政策协同甲方做好零售合同衔接工作。</w:t>
      </w:r>
    </w:p>
    <w:p>
      <w:pPr>
        <w:pStyle w:val="null3"/>
      </w:pPr>
      <w:r>
        <w:rPr>
          <w:sz w:val="24"/>
          <w:b/>
        </w:rPr>
        <w:t>第四章</w:t>
      </w:r>
      <w:r>
        <w:rPr>
          <w:sz w:val="19"/>
        </w:rPr>
        <w:t xml:space="preserve">  </w:t>
      </w:r>
      <w:r>
        <w:rPr>
          <w:sz w:val="24"/>
          <w:b/>
        </w:rPr>
        <w:t>电能量零售交易及结算</w:t>
      </w:r>
    </w:p>
    <w:p>
      <w:pPr>
        <w:pStyle w:val="null3"/>
        <w:spacing w:before="105"/>
        <w:jc w:val="right"/>
      </w:pPr>
      <w:r>
        <w:rPr>
          <w:sz w:val="24"/>
          <w:b/>
        </w:rPr>
        <w:t>4.1</w:t>
      </w:r>
      <w:r>
        <w:rPr>
          <w:sz w:val="22"/>
          <w:b/>
        </w:rPr>
        <w:t xml:space="preserve"> </w:t>
      </w:r>
      <w:r>
        <w:rPr>
          <w:sz w:val="24"/>
          <w:b/>
        </w:rPr>
        <w:t>甲乙双方对本合同约定的零售交易套餐详见本合同附件一零售交易信息。</w:t>
      </w:r>
    </w:p>
    <w:p>
      <w:pPr>
        <w:pStyle w:val="null3"/>
        <w:spacing w:before="120"/>
        <w:ind w:left="30" w:right="135" w:firstLine="474"/>
      </w:pPr>
      <w:r>
        <w:rPr>
          <w:sz w:val="24"/>
        </w:rPr>
        <w:t>4.2</w:t>
      </w:r>
      <w:r>
        <w:rPr>
          <w:sz w:val="22"/>
        </w:rPr>
        <w:t xml:space="preserve"> </w:t>
      </w:r>
      <w:r>
        <w:rPr>
          <w:sz w:val="24"/>
        </w:rPr>
        <w:t>交易双方应知悉本合同标的物电能量价格可能受国内外宏观经</w:t>
      </w:r>
      <w:r>
        <w:rPr>
          <w:sz w:val="24"/>
        </w:rPr>
        <w:t>济形势、</w:t>
      </w:r>
      <w:r>
        <w:rPr>
          <w:sz w:val="24"/>
        </w:rPr>
        <w:t>一次能源价格等因素叠加影响，合同约定价格可能处于标的物价格行情相对高点或相对低点，须做好相关风险评估，基于自身生产经营计划、价格走势判断等情况，按照签约时点广东电力零售市场相关要求及参数限值签订后续时段的零售交</w:t>
      </w:r>
      <w:r>
        <w:rPr>
          <w:sz w:val="24"/>
        </w:rPr>
        <w:t>易合同，合同一经签订，交易双方应严格按照本合同条款执行，但在平等自愿、</w:t>
      </w:r>
      <w:r>
        <w:rPr>
          <w:sz w:val="24"/>
        </w:rPr>
        <w:t>自主协商的情况下，双方可对本合同进行变更或解除。</w:t>
      </w:r>
    </w:p>
    <w:p>
      <w:pPr>
        <w:pStyle w:val="null3"/>
        <w:spacing w:before="120"/>
        <w:ind w:left="30" w:right="180" w:firstLine="467"/>
      </w:pPr>
      <w:r>
        <w:rPr>
          <w:sz w:val="24"/>
        </w:rPr>
        <w:t>4.3 本合同按照《广东电力现货市场结</w:t>
      </w:r>
      <w:r>
        <w:rPr>
          <w:sz w:val="24"/>
        </w:rPr>
        <w:t>算实施细则》和《广东电力市场零售</w:t>
      </w:r>
      <w:r>
        <w:rPr>
          <w:sz w:val="24"/>
        </w:rPr>
        <w:t>结算实施细则》以及现货运行有关要求进行结算。</w:t>
      </w:r>
    </w:p>
    <w:p>
      <w:pPr>
        <w:pStyle w:val="null3"/>
        <w:spacing w:before="120"/>
        <w:ind w:left="30" w:right="180" w:firstLine="474"/>
      </w:pPr>
      <w:r>
        <w:rPr>
          <w:sz w:val="24"/>
        </w:rPr>
        <w:t>4.4 本合同约定价格为电能量价格，非用户最终到户电价。</w:t>
      </w:r>
      <w:r>
        <w:rPr>
          <w:sz w:val="22"/>
        </w:rPr>
        <w:t xml:space="preserve"> </w:t>
      </w:r>
      <w:r>
        <w:rPr>
          <w:sz w:val="24"/>
        </w:rPr>
        <w:t>电能量合同价格</w:t>
      </w:r>
      <w:r>
        <w:rPr>
          <w:sz w:val="24"/>
        </w:rPr>
        <w:t>按照双方约定的零售结算模式计算得出，具体计算公式详见附件二。此外，甲方到户电费按照政策规定还包括：输配电费、上网环节线损费用折价电费、系统运行费、尖峰加价电费、变动成本补偿分摊电费、需求响应分摊电费、发电侧容量电价电费、峰谷平衡费用、政府性基金及附加等，各项分摊电费由电网公司和交</w:t>
      </w:r>
      <w:r>
        <w:rPr>
          <w:sz w:val="24"/>
        </w:rPr>
        <w:t>易中心按照政策规定执行。</w:t>
      </w:r>
    </w:p>
    <w:p>
      <w:pPr>
        <w:pStyle w:val="null3"/>
        <w:spacing w:before="120"/>
        <w:ind w:left="45" w:right="180" w:firstLine="456"/>
      </w:pPr>
      <w:r>
        <w:rPr>
          <w:sz w:val="24"/>
          <w:b/>
        </w:rPr>
        <w:t>4.5</w:t>
      </w:r>
      <w:r>
        <w:rPr>
          <w:sz w:val="22"/>
          <w:b/>
        </w:rPr>
        <w:t xml:space="preserve"> </w:t>
      </w:r>
      <w:r>
        <w:rPr>
          <w:sz w:val="24"/>
          <w:b/>
        </w:rPr>
        <w:t>实际结算电量以供电企业电力计量装置采集并</w:t>
      </w:r>
      <w:r>
        <w:rPr>
          <w:sz w:val="24"/>
          <w:b/>
        </w:rPr>
        <w:t>推送至交易中心发布的实</w:t>
      </w:r>
      <w:r>
        <w:rPr>
          <w:sz w:val="24"/>
          <w:b/>
        </w:rPr>
        <w:t>际用电量为准。</w:t>
      </w:r>
    </w:p>
    <w:p>
      <w:pPr>
        <w:pStyle w:val="null3"/>
      </w:pPr>
      <w:r>
        <w:rPr>
          <w:sz w:val="24"/>
          <w:b/>
        </w:rPr>
        <w:t>第五章</w:t>
      </w:r>
      <w:r>
        <w:rPr>
          <w:sz w:val="19"/>
        </w:rPr>
        <w:t xml:space="preserve">  </w:t>
      </w:r>
      <w:r>
        <w:rPr>
          <w:sz w:val="24"/>
          <w:b/>
        </w:rPr>
        <w:t>合同违约和赔偿</w:t>
      </w:r>
    </w:p>
    <w:p>
      <w:pPr>
        <w:pStyle w:val="null3"/>
        <w:spacing w:before="105"/>
        <w:ind w:left="15" w:right="180" w:firstLine="489"/>
      </w:pPr>
      <w:r>
        <w:rPr>
          <w:sz w:val="24"/>
        </w:rPr>
        <w:t>5.1 任何一方违反本合同约定条款视为违约，合同守约方有权要求违约方赔</w:t>
      </w:r>
      <w:r>
        <w:rPr>
          <w:sz w:val="24"/>
        </w:rPr>
        <w:t>偿违约造成的经济损失。</w:t>
      </w:r>
    </w:p>
    <w:p>
      <w:pPr>
        <w:pStyle w:val="null3"/>
        <w:spacing w:before="120"/>
        <w:ind w:left="510"/>
      </w:pPr>
      <w:r>
        <w:rPr>
          <w:sz w:val="24"/>
        </w:rPr>
        <w:t>5.2 违约的处理原则</w:t>
      </w:r>
    </w:p>
    <w:p>
      <w:pPr>
        <w:pStyle w:val="null3"/>
        <w:spacing w:before="120"/>
        <w:ind w:left="30" w:right="105" w:firstLine="482"/>
        <w:jc w:val="both"/>
      </w:pPr>
      <w:r>
        <w:rPr>
          <w:sz w:val="24"/>
        </w:rPr>
        <w:t>在本合同履行期限届满前，任何一方明确表示或以自己行</w:t>
      </w:r>
      <w:r>
        <w:rPr>
          <w:sz w:val="24"/>
        </w:rPr>
        <w:t>为表明不履行合同</w:t>
      </w:r>
      <w:r>
        <w:rPr>
          <w:sz w:val="24"/>
        </w:rPr>
        <w:t>义务的，另一方可在履行期限届满前解除合同并要求其承担相应的违约责任，因不可抗力导致除外。不可抗力情形包括不限于地震、台风、火灾、水灾等不可抗</w:t>
      </w:r>
      <w:r>
        <w:rPr>
          <w:sz w:val="24"/>
        </w:rPr>
        <w:t>力因素导致交易系统瘫痪，交易中心无法控制和不可预测的系统故障、设备故障、</w:t>
      </w:r>
      <w:r>
        <w:rPr>
          <w:sz w:val="24"/>
        </w:rPr>
        <w:t>通讯故障、电力故障等也可能导致电力交易系统及相关平台无法正常运行甚至瘫</w:t>
      </w:r>
      <w:r>
        <w:rPr>
          <w:sz w:val="24"/>
        </w:rPr>
        <w:t>痪等。</w:t>
      </w:r>
    </w:p>
    <w:p>
      <w:pPr>
        <w:pStyle w:val="null3"/>
        <w:ind w:left="510"/>
      </w:pPr>
      <w:r>
        <w:rPr>
          <w:sz w:val="24"/>
        </w:rPr>
        <w:t>5.3</w:t>
      </w:r>
      <w:r>
        <w:rPr>
          <w:sz w:val="22"/>
        </w:rPr>
        <w:t xml:space="preserve"> </w:t>
      </w:r>
      <w:r>
        <w:rPr>
          <w:sz w:val="24"/>
        </w:rPr>
        <w:t>违约赔偿</w:t>
      </w:r>
    </w:p>
    <w:p>
      <w:pPr>
        <w:pStyle w:val="null3"/>
        <w:spacing w:before="120"/>
        <w:ind w:left="30" w:right="180" w:firstLine="481"/>
      </w:pPr>
      <w:r>
        <w:rPr>
          <w:sz w:val="24"/>
        </w:rPr>
        <w:t>如发生提交虚假信息、停产、变更、退市等行为，影响企业（单</w:t>
      </w:r>
      <w:r>
        <w:rPr>
          <w:sz w:val="24"/>
        </w:rPr>
        <w:t>位）</w:t>
      </w:r>
      <w:r>
        <w:rPr>
          <w:sz w:val="24"/>
        </w:rPr>
        <w:t>/个体</w:t>
      </w:r>
      <w:r>
        <w:rPr>
          <w:sz w:val="24"/>
        </w:rPr>
        <w:t>工商户履行合同义务的情形，违约方给守约方造成的一切直接及间接</w:t>
      </w:r>
      <w:r>
        <w:rPr>
          <w:sz w:val="24"/>
        </w:rPr>
        <w:t>损失，由违</w:t>
      </w:r>
      <w:r>
        <w:rPr>
          <w:sz w:val="24"/>
        </w:rPr>
        <w:t>约方承担违约赔偿责任。</w:t>
      </w:r>
    </w:p>
    <w:p>
      <w:pPr>
        <w:pStyle w:val="null3"/>
      </w:pPr>
      <w:r>
        <w:rPr>
          <w:sz w:val="24"/>
        </w:rPr>
        <w:t>5.4 违约金计算方式及支付方式</w:t>
      </w:r>
    </w:p>
    <w:p>
      <w:pPr>
        <w:pStyle w:val="null3"/>
        <w:spacing w:before="120"/>
        <w:ind w:left="30" w:right="120" w:firstLine="480"/>
      </w:pPr>
      <w:r>
        <w:rPr>
          <w:sz w:val="24"/>
        </w:rPr>
        <w:t>违约方应向守约方支付违约造成的经济损失，违约金的计</w:t>
      </w:r>
      <w:r>
        <w:rPr>
          <w:sz w:val="24"/>
        </w:rPr>
        <w:t>算标准按附件一零</w:t>
      </w:r>
      <w:r>
        <w:rPr>
          <w:sz w:val="24"/>
        </w:rPr>
        <w:t>售交易信息约定执行，该违约金由双方自行结算赔偿。</w:t>
      </w:r>
    </w:p>
    <w:p>
      <w:pPr>
        <w:pStyle w:val="null3"/>
      </w:pPr>
      <w:r>
        <w:rPr>
          <w:sz w:val="24"/>
          <w:b/>
        </w:rPr>
        <w:t>第六章</w:t>
      </w:r>
      <w:r>
        <w:rPr>
          <w:sz w:val="19"/>
        </w:rPr>
        <w:t xml:space="preserve"> </w:t>
      </w:r>
      <w:r>
        <w:rPr>
          <w:sz w:val="24"/>
          <w:b/>
        </w:rPr>
        <w:t>合同变更和解除</w:t>
      </w:r>
    </w:p>
    <w:p>
      <w:pPr>
        <w:pStyle w:val="null3"/>
        <w:spacing w:before="105"/>
        <w:ind w:left="510"/>
      </w:pPr>
      <w:r>
        <w:rPr>
          <w:sz w:val="24"/>
        </w:rPr>
        <w:t>6.1</w:t>
      </w:r>
      <w:r>
        <w:rPr>
          <w:sz w:val="22"/>
        </w:rPr>
        <w:t xml:space="preserve"> </w:t>
      </w:r>
      <w:r>
        <w:rPr>
          <w:sz w:val="24"/>
        </w:rPr>
        <w:t>合同变更</w:t>
      </w:r>
    </w:p>
    <w:p>
      <w:pPr>
        <w:pStyle w:val="null3"/>
        <w:spacing w:before="120"/>
        <w:ind w:left="510"/>
      </w:pPr>
      <w:r>
        <w:rPr>
          <w:sz w:val="24"/>
        </w:rPr>
        <w:t>6.1.1</w:t>
      </w:r>
      <w:r>
        <w:rPr>
          <w:sz w:val="22"/>
        </w:rPr>
        <w:t xml:space="preserve"> </w:t>
      </w:r>
      <w:r>
        <w:rPr>
          <w:sz w:val="24"/>
        </w:rPr>
        <w:t>经双方协商一致，可通过签订线上电子变更合同对本合同进行变更。</w:t>
      </w:r>
    </w:p>
    <w:p>
      <w:pPr>
        <w:pStyle w:val="null3"/>
        <w:spacing w:before="120"/>
        <w:ind w:left="30" w:right="120" w:firstLine="478"/>
      </w:pPr>
      <w:r>
        <w:rPr>
          <w:sz w:val="24"/>
        </w:rPr>
        <w:t>6.1.2</w:t>
      </w:r>
      <w:r>
        <w:rPr>
          <w:sz w:val="22"/>
        </w:rPr>
        <w:t xml:space="preserve"> </w:t>
      </w:r>
      <w:r>
        <w:rPr>
          <w:sz w:val="24"/>
        </w:rPr>
        <w:t>因国家法律、法规发生变化或政府有关部门、监管机构出台最新政策</w:t>
      </w:r>
      <w:r>
        <w:rPr>
          <w:sz w:val="24"/>
        </w:rPr>
        <w:t>规定而导致本合同无法继续履行或有异议时，双方可按本合同</w:t>
      </w:r>
      <w:r>
        <w:rPr>
          <w:sz w:val="22"/>
        </w:rPr>
        <w:t xml:space="preserve"> </w:t>
      </w:r>
      <w:r>
        <w:rPr>
          <w:sz w:val="24"/>
        </w:rPr>
        <w:t>6.1.1 条协商一致</w:t>
      </w:r>
      <w:r>
        <w:rPr>
          <w:sz w:val="24"/>
        </w:rPr>
        <w:t>后进行合同变更。</w:t>
      </w:r>
    </w:p>
    <w:p>
      <w:pPr>
        <w:pStyle w:val="null3"/>
        <w:spacing w:before="120"/>
        <w:ind w:left="510"/>
      </w:pPr>
      <w:r>
        <w:rPr>
          <w:sz w:val="24"/>
        </w:rPr>
        <w:t>6.2</w:t>
      </w:r>
      <w:r>
        <w:rPr>
          <w:sz w:val="22"/>
        </w:rPr>
        <w:t xml:space="preserve"> </w:t>
      </w:r>
      <w:r>
        <w:rPr>
          <w:sz w:val="24"/>
        </w:rPr>
        <w:t>合同解除</w:t>
      </w:r>
    </w:p>
    <w:p>
      <w:pPr>
        <w:pStyle w:val="null3"/>
        <w:spacing w:before="120"/>
        <w:jc w:val="right"/>
      </w:pPr>
      <w:r>
        <w:rPr>
          <w:sz w:val="24"/>
        </w:rPr>
        <w:t>6.2.1</w:t>
      </w:r>
      <w:r>
        <w:rPr>
          <w:sz w:val="22"/>
        </w:rPr>
        <w:t xml:space="preserve"> </w:t>
      </w:r>
      <w:r>
        <w:rPr>
          <w:sz w:val="24"/>
        </w:rPr>
        <w:t>经双方协商一致，可解除本合同。解除合同签订完毕后，</w:t>
      </w:r>
      <w:r>
        <w:rPr>
          <w:sz w:val="24"/>
        </w:rPr>
        <w:t>本合同废止。</w:t>
      </w:r>
    </w:p>
    <w:p>
      <w:pPr>
        <w:pStyle w:val="null3"/>
        <w:spacing w:before="120"/>
        <w:ind w:left="30" w:right="120" w:firstLine="480"/>
      </w:pPr>
      <w:r>
        <w:rPr>
          <w:sz w:val="24"/>
        </w:rPr>
        <w:t>6.2.2</w:t>
      </w:r>
      <w:r>
        <w:rPr>
          <w:sz w:val="22"/>
        </w:rPr>
        <w:t xml:space="preserve"> </w:t>
      </w:r>
      <w:r>
        <w:rPr>
          <w:sz w:val="24"/>
        </w:rPr>
        <w:t>如任何一方发生下列事件，则另一方有权在发出书面解除通知后解除</w:t>
      </w:r>
      <w:r>
        <w:rPr>
          <w:sz w:val="24"/>
        </w:rPr>
        <w:t>本合同：</w:t>
      </w:r>
    </w:p>
    <w:p>
      <w:pPr>
        <w:pStyle w:val="null3"/>
        <w:spacing w:before="120"/>
        <w:ind w:left="30" w:right="120" w:firstLine="479"/>
      </w:pPr>
      <w:r>
        <w:rPr>
          <w:sz w:val="24"/>
        </w:rPr>
        <w:t>6.2.2.1</w:t>
      </w:r>
      <w:r>
        <w:rPr>
          <w:sz w:val="22"/>
        </w:rPr>
        <w:t xml:space="preserve"> </w:t>
      </w:r>
      <w:r>
        <w:rPr>
          <w:sz w:val="24"/>
        </w:rPr>
        <w:t>除另有约定外，合同任何一方未及时支付本合同项下的任何到期应付</w:t>
      </w:r>
      <w:r>
        <w:rPr>
          <w:sz w:val="24"/>
        </w:rPr>
        <w:t>款项，且未能在收到相关方书面通知后</w:t>
      </w:r>
      <w:r>
        <w:rPr>
          <w:sz w:val="24"/>
        </w:rPr>
        <w:t>20 个工作日内得到纠正；</w:t>
      </w:r>
    </w:p>
    <w:p>
      <w:pPr>
        <w:pStyle w:val="null3"/>
        <w:spacing w:before="120"/>
        <w:ind w:left="510"/>
      </w:pPr>
      <w:r>
        <w:rPr>
          <w:sz w:val="24"/>
        </w:rPr>
        <w:t>6.2.2.2 任何一方被申请破产、清算或被吊销营业执照；</w:t>
      </w:r>
    </w:p>
    <w:p>
      <w:pPr>
        <w:pStyle w:val="null3"/>
        <w:spacing w:before="120"/>
        <w:ind w:left="30" w:right="120" w:firstLine="468"/>
      </w:pPr>
      <w:r>
        <w:rPr>
          <w:sz w:val="24"/>
        </w:rPr>
        <w:t>6.2.2.3 任何一方与另一实体联合、合并或将其所有或大部分资产转移给另一</w:t>
      </w:r>
      <w:r>
        <w:rPr>
          <w:sz w:val="24"/>
        </w:rPr>
        <w:t>实体，而该存续的企业不能合理地承担其在本合同项下的所有义务。</w:t>
      </w:r>
    </w:p>
    <w:p>
      <w:pPr>
        <w:pStyle w:val="null3"/>
      </w:pPr>
      <w:r>
        <w:rPr>
          <w:sz w:val="24"/>
          <w:b/>
        </w:rPr>
        <w:t>第七章</w:t>
      </w:r>
      <w:r>
        <w:rPr>
          <w:sz w:val="19"/>
        </w:rPr>
        <w:t xml:space="preserve">  </w:t>
      </w:r>
      <w:r>
        <w:rPr>
          <w:sz w:val="24"/>
          <w:b/>
        </w:rPr>
        <w:t>争议解决</w:t>
      </w:r>
    </w:p>
    <w:p>
      <w:pPr>
        <w:pStyle w:val="null3"/>
        <w:spacing w:before="105"/>
        <w:ind w:left="45" w:right="120" w:firstLine="450"/>
      </w:pPr>
      <w:r>
        <w:rPr>
          <w:sz w:val="24"/>
        </w:rPr>
        <w:t>7.1 凡因执行本合同所发生的与本合同有关的一切争议，包括不限于以下原</w:t>
      </w:r>
      <w:r>
        <w:rPr>
          <w:sz w:val="24"/>
        </w:rPr>
        <w:t>因：</w:t>
      </w:r>
    </w:p>
    <w:p>
      <w:pPr>
        <w:pStyle w:val="null3"/>
        <w:ind w:left="30" w:right="120" w:firstLine="479"/>
      </w:pPr>
      <w:r>
        <w:rPr>
          <w:sz w:val="24"/>
        </w:rPr>
        <w:t>7.1.1 未向甲方全面客观介绍电力市场相关法律法规、业务规则、零售套餐</w:t>
      </w:r>
      <w:r>
        <w:rPr>
          <w:sz w:val="24"/>
        </w:rPr>
        <w:t>或售电服务的特征；</w:t>
      </w:r>
    </w:p>
    <w:p>
      <w:pPr>
        <w:pStyle w:val="null3"/>
        <w:spacing w:before="120"/>
        <w:ind w:left="30" w:right="120" w:firstLine="479"/>
      </w:pPr>
      <w:r>
        <w:rPr>
          <w:sz w:val="24"/>
        </w:rPr>
        <w:t>7.1.2 未充分揭示风险，未按约定如实向甲方提供相关的资料、信息，欺诈</w:t>
      </w:r>
      <w:r>
        <w:rPr>
          <w:sz w:val="24"/>
        </w:rPr>
        <w:t>或者误导甲方；</w:t>
      </w:r>
    </w:p>
    <w:p>
      <w:pPr>
        <w:pStyle w:val="null3"/>
        <w:spacing w:before="120"/>
        <w:ind w:left="15" w:firstLine="480"/>
      </w:pPr>
      <w:r>
        <w:rPr>
          <w:sz w:val="24"/>
        </w:rPr>
        <w:t>7.1.3</w:t>
      </w:r>
      <w:r>
        <w:rPr>
          <w:sz w:val="22"/>
        </w:rPr>
        <w:t xml:space="preserve"> </w:t>
      </w:r>
      <w:r>
        <w:rPr>
          <w:sz w:val="24"/>
        </w:rPr>
        <w:t>乙方及其关联人员，未获授权、伪造或违背甲方真实意</w:t>
      </w:r>
      <w:r>
        <w:rPr>
          <w:sz w:val="24"/>
        </w:rPr>
        <w:t>愿擅自使用甲</w:t>
      </w:r>
      <w:r>
        <w:rPr>
          <w:sz w:val="24"/>
        </w:rPr>
        <w:t>方电子印章及验证信息，将其用于企业管理员授权、</w:t>
      </w:r>
      <w:r>
        <w:rPr>
          <w:sz w:val="24"/>
        </w:rPr>
        <w:t>签订（含新签、变更及解除）</w:t>
      </w:r>
      <w:r>
        <w:rPr>
          <w:sz w:val="24"/>
        </w:rPr>
        <w:t>零售电子合同等；</w:t>
      </w:r>
    </w:p>
    <w:p>
      <w:pPr>
        <w:pStyle w:val="null3"/>
        <w:spacing w:before="120"/>
        <w:ind w:left="45" w:right="120" w:firstLine="458"/>
      </w:pPr>
      <w:r>
        <w:rPr>
          <w:sz w:val="24"/>
        </w:rPr>
        <w:t>7.1.4</w:t>
      </w:r>
      <w:r>
        <w:rPr>
          <w:sz w:val="22"/>
        </w:rPr>
        <w:t xml:space="preserve"> </w:t>
      </w:r>
      <w:r>
        <w:rPr>
          <w:sz w:val="24"/>
        </w:rPr>
        <w:t>乙方未履行合同审核义务，未对签订（包括不限于通过</w:t>
      </w:r>
      <w:r>
        <w:rPr>
          <w:sz w:val="24"/>
        </w:rPr>
        <w:t>居间商签订）</w:t>
      </w:r>
      <w:r>
        <w:rPr>
          <w:sz w:val="24"/>
        </w:rPr>
        <w:t>的零售合同的合法性、真实性、有效性进行严格审核，未与开展交易的甲方对合</w:t>
      </w:r>
      <w:r>
        <w:rPr>
          <w:sz w:val="24"/>
        </w:rPr>
        <w:t>同真实性、合同套餐及价格参数等关键性条款沟通确认；</w:t>
      </w:r>
    </w:p>
    <w:p>
      <w:pPr>
        <w:pStyle w:val="null3"/>
        <w:spacing w:before="120"/>
        <w:ind w:left="495"/>
      </w:pPr>
      <w:r>
        <w:rPr>
          <w:sz w:val="24"/>
        </w:rPr>
        <w:t>7.1.5</w:t>
      </w:r>
      <w:r>
        <w:rPr>
          <w:sz w:val="22"/>
        </w:rPr>
        <w:t xml:space="preserve"> </w:t>
      </w:r>
      <w:r>
        <w:rPr>
          <w:sz w:val="24"/>
        </w:rPr>
        <w:t>乙方与甲方在开展零售交易过程中，通过预设隐藏条款、指</w:t>
      </w:r>
      <w:r>
        <w:rPr>
          <w:sz w:val="24"/>
        </w:rPr>
        <w:t>向性条款</w:t>
      </w:r>
    </w:p>
    <w:p>
      <w:pPr>
        <w:pStyle w:val="null3"/>
      </w:pPr>
      <w:r>
        <w:rPr>
          <w:sz w:val="24"/>
        </w:rPr>
        <w:t>等方式，获取电力用户信任后，签订与前期沟通内容、</w:t>
      </w:r>
      <w:r>
        <w:rPr>
          <w:sz w:val="24"/>
        </w:rPr>
        <w:t>其他另行约定的合同价格</w:t>
      </w:r>
      <w:r>
        <w:rPr>
          <w:sz w:val="24"/>
        </w:rPr>
        <w:t>等关键条款不符的线上零售电子合同；</w:t>
      </w:r>
    </w:p>
    <w:p>
      <w:pPr>
        <w:pStyle w:val="null3"/>
        <w:ind w:left="495"/>
      </w:pPr>
      <w:r>
        <w:rPr>
          <w:sz w:val="24"/>
        </w:rPr>
        <w:t>7.1.6</w:t>
      </w:r>
      <w:r>
        <w:rPr>
          <w:sz w:val="22"/>
        </w:rPr>
        <w:t xml:space="preserve"> </w:t>
      </w:r>
      <w:r>
        <w:rPr>
          <w:sz w:val="24"/>
        </w:rPr>
        <w:t>甲方与多家售电公司签订同一履行期限的线下零售交易合同；</w:t>
      </w:r>
    </w:p>
    <w:p>
      <w:pPr>
        <w:pStyle w:val="null3"/>
        <w:spacing w:before="120"/>
        <w:ind w:left="495"/>
      </w:pPr>
      <w:r>
        <w:rPr>
          <w:sz w:val="24"/>
        </w:rPr>
        <w:t>7.1.7</w:t>
      </w:r>
      <w:r>
        <w:rPr>
          <w:sz w:val="22"/>
        </w:rPr>
        <w:t xml:space="preserve"> </w:t>
      </w:r>
      <w:r>
        <w:rPr>
          <w:sz w:val="24"/>
        </w:rPr>
        <w:t>甲方签订同一履行期限的线下与线上合同且交易对手方不同；</w:t>
      </w:r>
    </w:p>
    <w:p>
      <w:pPr>
        <w:pStyle w:val="null3"/>
        <w:spacing w:before="120"/>
        <w:ind w:left="495"/>
      </w:pPr>
      <w:r>
        <w:rPr>
          <w:sz w:val="24"/>
        </w:rPr>
        <w:t>7.1.8 其他原因造成的合同争议事项。</w:t>
      </w:r>
    </w:p>
    <w:p>
      <w:pPr>
        <w:pStyle w:val="null3"/>
        <w:spacing w:before="120"/>
        <w:ind w:left="30" w:firstLine="476"/>
        <w:jc w:val="both"/>
      </w:pPr>
      <w:r>
        <w:rPr>
          <w:sz w:val="24"/>
        </w:rPr>
        <w:t>7.2</w:t>
      </w:r>
      <w:r>
        <w:rPr>
          <w:sz w:val="22"/>
        </w:rPr>
        <w:t xml:space="preserve"> </w:t>
      </w:r>
      <w:r>
        <w:rPr>
          <w:sz w:val="24"/>
        </w:rPr>
        <w:t>对于</w:t>
      </w:r>
      <w:r>
        <w:rPr>
          <w:sz w:val="22"/>
        </w:rPr>
        <w:t xml:space="preserve"> </w:t>
      </w:r>
      <w:r>
        <w:rPr>
          <w:sz w:val="24"/>
        </w:rPr>
        <w:t>7.1</w:t>
      </w:r>
      <w:r>
        <w:rPr>
          <w:sz w:val="22"/>
        </w:rPr>
        <w:t xml:space="preserve"> </w:t>
      </w:r>
      <w:r>
        <w:rPr>
          <w:sz w:val="24"/>
        </w:rPr>
        <w:t>条款中提到的争议事项，交易中心作为电力交易服务</w:t>
      </w:r>
      <w:r>
        <w:rPr>
          <w:sz w:val="24"/>
        </w:rPr>
        <w:t>平台型企</w:t>
      </w:r>
      <w:r>
        <w:rPr>
          <w:sz w:val="24"/>
        </w:rPr>
        <w:t>业，无权对争议事项进行全流程回溯、开展证据调查认定等工作，也无权对</w:t>
      </w:r>
      <w:r>
        <w:rPr>
          <w:sz w:val="24"/>
        </w:rPr>
        <w:t>双方</w:t>
      </w:r>
      <w:r>
        <w:rPr>
          <w:sz w:val="24"/>
        </w:rPr>
        <w:t>签订的线上零售电子合同进行强制解除、变更等操作。争议双方应自行协商解决，</w:t>
      </w:r>
      <w:r>
        <w:rPr>
          <w:sz w:val="24"/>
        </w:rPr>
        <w:t>协商不成的，可在电力市场行业内部进行调解。协商或调解不成的，可按本</w:t>
      </w:r>
      <w:r>
        <w:rPr>
          <w:sz w:val="24"/>
        </w:rPr>
        <w:t>合同</w:t>
      </w:r>
      <w:r>
        <w:rPr>
          <w:sz w:val="24"/>
        </w:rPr>
        <w:t>附件一零售交易信息第六点争议解决条款约定的</w:t>
      </w:r>
      <w:r>
        <w:rPr>
          <w:sz w:val="24"/>
        </w:rPr>
        <w:t>方式解决（</w:t>
      </w:r>
      <w:r>
        <w:rPr>
          <w:sz w:val="22"/>
        </w:rPr>
        <w:t xml:space="preserve"> </w:t>
      </w:r>
      <w:r>
        <w:rPr>
          <w:sz w:val="24"/>
        </w:rPr>
        <w:t>二选一</w:t>
      </w:r>
      <w:r>
        <w:rPr>
          <w:sz w:val="24"/>
        </w:rPr>
        <w:t>）：</w:t>
      </w:r>
    </w:p>
    <w:p>
      <w:pPr>
        <w:pStyle w:val="null3"/>
        <w:ind w:left="30" w:right="60" w:firstLine="483"/>
      </w:pPr>
      <w:r>
        <w:rPr>
          <w:sz w:val="24"/>
        </w:rPr>
        <w:t>方式一：双方一致同意将争议提交中国广州仲裁委员会</w:t>
      </w:r>
      <w:r>
        <w:rPr>
          <w:sz w:val="24"/>
        </w:rPr>
        <w:t>，请求按其仲裁规则</w:t>
      </w:r>
      <w:r>
        <w:rPr>
          <w:sz w:val="24"/>
        </w:rPr>
        <w:t>进行仲裁。仲裁裁决是终局的，对双方均具有法律约束力。</w:t>
      </w:r>
    </w:p>
    <w:p>
      <w:pPr>
        <w:pStyle w:val="null3"/>
        <w:ind w:left="510"/>
      </w:pPr>
      <w:r>
        <w:rPr>
          <w:sz w:val="24"/>
        </w:rPr>
        <w:t>方式二：任何一方依法向原告所在地人民法院提起诉讼。</w:t>
      </w:r>
    </w:p>
    <w:p>
      <w:pPr>
        <w:pStyle w:val="null3"/>
      </w:pPr>
      <w:r>
        <w:rPr>
          <w:sz w:val="24"/>
          <w:b/>
        </w:rPr>
        <w:t>第八章</w:t>
      </w:r>
      <w:r>
        <w:rPr>
          <w:sz w:val="19"/>
        </w:rPr>
        <w:t xml:space="preserve">  </w:t>
      </w:r>
      <w:r>
        <w:rPr>
          <w:sz w:val="24"/>
          <w:b/>
        </w:rPr>
        <w:t>其他</w:t>
      </w:r>
    </w:p>
    <w:p>
      <w:pPr>
        <w:pStyle w:val="null3"/>
        <w:spacing w:before="90"/>
        <w:ind w:left="30" w:right="60" w:firstLine="481"/>
      </w:pPr>
      <w:r>
        <w:rPr>
          <w:sz w:val="24"/>
        </w:rPr>
        <w:t>8.1 本合同及其附件一、附件二、附件</w:t>
      </w:r>
      <w:r>
        <w:rPr>
          <w:sz w:val="24"/>
        </w:rPr>
        <w:t>三、附件四构成双方就本合同标的达</w:t>
      </w:r>
      <w:r>
        <w:rPr>
          <w:sz w:val="24"/>
        </w:rPr>
        <w:t>成的全部内容，且本合同附件对合同正文零售交易的结算规则进行详细说</w:t>
      </w:r>
      <w:r>
        <w:rPr>
          <w:sz w:val="24"/>
        </w:rPr>
        <w:t>明，应</w:t>
      </w:r>
      <w:r>
        <w:rPr>
          <w:sz w:val="24"/>
        </w:rPr>
        <w:t>视为构成合同文件不可分割的部分。交易中心按本合同约定的零售交易信</w:t>
      </w:r>
      <w:r>
        <w:rPr>
          <w:sz w:val="24"/>
        </w:rPr>
        <w:t>息出具</w:t>
      </w:r>
      <w:r>
        <w:rPr>
          <w:sz w:val="24"/>
        </w:rPr>
        <w:t>结算依据。</w:t>
      </w:r>
    </w:p>
    <w:p>
      <w:pPr>
        <w:pStyle w:val="null3"/>
        <w:spacing w:before="120"/>
        <w:ind w:left="30" w:right="60" w:firstLine="472"/>
      </w:pPr>
      <w:r>
        <w:rPr>
          <w:sz w:val="24"/>
        </w:rPr>
        <w:t>8.2 本合同为通过交易平台签订的电子合同，本合同经双方在交易平台完成</w:t>
      </w:r>
      <w:r>
        <w:rPr>
          <w:sz w:val="24"/>
        </w:rPr>
        <w:t>电子合同签订流程并加盖电子印章后生效。本合同</w:t>
      </w:r>
      <w:r>
        <w:rPr>
          <w:sz w:val="24"/>
        </w:rPr>
        <w:t>的订立、效力、解释、履行和</w:t>
      </w:r>
      <w:r>
        <w:rPr>
          <w:sz w:val="24"/>
        </w:rPr>
        <w:t>争议的解决均适用中华人民共和国法律。</w:t>
      </w:r>
    </w:p>
    <w:p>
      <w:pPr>
        <w:pStyle w:val="null3"/>
      </w:pPr>
      <w:r>
        <w:rPr>
          <w:sz w:val="24"/>
        </w:rPr>
        <w:t>（此页无正文）</w:t>
      </w:r>
    </w:p>
    <w:p>
      <w:pPr>
        <w:pStyle w:val="null3"/>
      </w:pPr>
      <w:r>
        <w:rPr>
          <w:sz w:val="24"/>
        </w:rPr>
        <w:t>甲方：</w:t>
      </w:r>
      <w:r>
        <w:rPr>
          <w:sz w:val="22"/>
          <w:u w:val="single"/>
        </w:rPr>
        <w:t xml:space="preserve">      </w:t>
      </w:r>
      <w:r>
        <w:rPr>
          <w:sz w:val="24"/>
          <w:u w:val="single"/>
        </w:rPr>
        <w:t>系统自动生成</w:t>
      </w:r>
      <w:r>
        <w:rPr>
          <w:sz w:val="22"/>
          <w:u w:val="single"/>
        </w:rPr>
        <w:t xml:space="preserve">                </w:t>
      </w:r>
    </w:p>
    <w:p>
      <w:pPr>
        <w:pStyle w:val="null3"/>
        <w:spacing w:before="240"/>
        <w:ind w:left="510" w:right="1725"/>
      </w:pPr>
      <w:r>
        <w:rPr>
          <w:sz w:val="24"/>
          <w:u w:val="single"/>
        </w:rPr>
        <w:t>法定代表人</w:t>
      </w:r>
      <w:r>
        <w:rPr>
          <w:sz w:val="24"/>
          <w:u w:val="single"/>
        </w:rPr>
        <w:t>/授权代理人</w:t>
      </w:r>
      <w:r>
        <w:rPr>
          <w:sz w:val="24"/>
        </w:rPr>
        <w:t>/经营者:</w:t>
      </w:r>
      <w:r>
        <w:rPr>
          <w:sz w:val="22"/>
        </w:rPr>
        <w:t xml:space="preserve"> </w:t>
      </w:r>
      <w:r>
        <w:rPr>
          <w:sz w:val="22"/>
          <w:u w:val="single"/>
        </w:rPr>
        <w:t xml:space="preserve">     </w:t>
      </w:r>
      <w:r>
        <w:rPr>
          <w:sz w:val="24"/>
          <w:u w:val="single"/>
        </w:rPr>
        <w:t>系</w:t>
      </w:r>
      <w:r>
        <w:rPr>
          <w:sz w:val="22"/>
          <w:u w:val="single"/>
        </w:rPr>
        <w:t xml:space="preserve"> </w:t>
      </w:r>
      <w:r>
        <w:rPr>
          <w:sz w:val="24"/>
          <w:u w:val="single"/>
        </w:rPr>
        <w:t>统</w:t>
      </w:r>
      <w:r>
        <w:rPr>
          <w:sz w:val="22"/>
          <w:u w:val="single"/>
        </w:rPr>
        <w:t xml:space="preserve"> </w:t>
      </w:r>
      <w:r>
        <w:rPr>
          <w:sz w:val="24"/>
          <w:u w:val="single"/>
        </w:rPr>
        <w:t>自</w:t>
      </w:r>
      <w:r>
        <w:rPr>
          <w:sz w:val="22"/>
          <w:u w:val="single"/>
        </w:rPr>
        <w:t xml:space="preserve"> </w:t>
      </w:r>
      <w:r>
        <w:rPr>
          <w:sz w:val="24"/>
          <w:u w:val="single"/>
        </w:rPr>
        <w:t>动取</w:t>
      </w:r>
      <w:r>
        <w:rPr>
          <w:sz w:val="22"/>
          <w:u w:val="single"/>
        </w:rPr>
        <w:t xml:space="preserve">    </w:t>
      </w:r>
      <w:r>
        <w:rPr>
          <w:sz w:val="24"/>
        </w:rPr>
        <w:t>盖章：</w:t>
      </w:r>
    </w:p>
    <w:p>
      <w:pPr>
        <w:pStyle w:val="null3"/>
      </w:pPr>
      <w:r>
        <w:rPr>
          <w:sz w:val="24"/>
        </w:rPr>
        <w:t>乙方：</w:t>
      </w:r>
      <w:r>
        <w:rPr>
          <w:sz w:val="22"/>
          <w:u w:val="single"/>
        </w:rPr>
        <w:t xml:space="preserve">      </w:t>
      </w:r>
      <w:r>
        <w:rPr>
          <w:sz w:val="24"/>
          <w:u w:val="single"/>
        </w:rPr>
        <w:t>系统自动生成</w:t>
      </w:r>
      <w:r>
        <w:rPr>
          <w:sz w:val="22"/>
        </w:rPr>
        <w:t xml:space="preserve"> </w:t>
      </w:r>
      <w:r>
        <w:rPr>
          <w:sz w:val="24"/>
          <w:u w:val="single"/>
        </w:rPr>
        <w:t>法定代表人</w:t>
      </w:r>
      <w:r>
        <w:rPr>
          <w:sz w:val="24"/>
          <w:u w:val="single"/>
        </w:rPr>
        <w:t>/授权代理人</w:t>
      </w:r>
      <w:r>
        <w:rPr>
          <w:sz w:val="22"/>
          <w:u w:val="single"/>
        </w:rPr>
        <w:t xml:space="preserve"> </w:t>
      </w:r>
      <w:r>
        <w:rPr>
          <w:sz w:val="24"/>
          <w:u w:val="single"/>
        </w:rPr>
        <w:t>:           系</w:t>
      </w:r>
      <w:r>
        <w:rPr>
          <w:sz w:val="22"/>
          <w:u w:val="single"/>
        </w:rPr>
        <w:t xml:space="preserve"> </w:t>
      </w:r>
      <w:r>
        <w:rPr>
          <w:sz w:val="24"/>
          <w:u w:val="single"/>
        </w:rPr>
        <w:t>统</w:t>
      </w:r>
      <w:r>
        <w:rPr>
          <w:sz w:val="22"/>
          <w:u w:val="single"/>
        </w:rPr>
        <w:t xml:space="preserve"> </w:t>
      </w:r>
      <w:r>
        <w:rPr>
          <w:sz w:val="24"/>
          <w:u w:val="single"/>
        </w:rPr>
        <w:t>自</w:t>
      </w:r>
      <w:r>
        <w:rPr>
          <w:sz w:val="22"/>
          <w:u w:val="single"/>
        </w:rPr>
        <w:t xml:space="preserve"> </w:t>
      </w:r>
      <w:r>
        <w:rPr>
          <w:sz w:val="24"/>
          <w:u w:val="single"/>
        </w:rPr>
        <w:t>动取</w:t>
      </w:r>
      <w:r>
        <w:rPr>
          <w:sz w:val="24"/>
        </w:rPr>
        <w:t>盖章：</w:t>
      </w:r>
    </w:p>
    <w:p>
      <w:pPr>
        <w:pStyle w:val="null3"/>
      </w:pPr>
      <w:r>
        <w:rPr>
          <w:sz w:val="24"/>
          <w:b/>
        </w:rPr>
        <w:t>附件一</w:t>
      </w:r>
      <w:r>
        <w:rPr>
          <w:sz w:val="19"/>
        </w:rPr>
        <w:t xml:space="preserve"> </w:t>
      </w:r>
      <w:r>
        <w:rPr>
          <w:sz w:val="24"/>
          <w:b/>
        </w:rPr>
        <w:t>零售交易信息</w:t>
      </w:r>
    </w:p>
    <w:p>
      <w:pPr>
        <w:pStyle w:val="null3"/>
        <w:spacing w:before="105"/>
        <w:ind w:left="600" w:right="585" w:firstLine="490"/>
        <w:jc w:val="both"/>
      </w:pPr>
      <w:r>
        <w:rPr>
          <w:sz w:val="24"/>
        </w:rPr>
        <w:t>现货运行且合同存续期间，甲乙双方约定按以</w:t>
      </w:r>
      <w:r>
        <w:rPr>
          <w:sz w:val="24"/>
        </w:rPr>
        <w:t>下电能量零售交易套餐模式开</w:t>
      </w:r>
      <w:r>
        <w:rPr>
          <w:sz w:val="24"/>
        </w:rPr>
        <w:t>展月度结算，甲方电能量电费支出等于固定价格模式、市场联动模式、煤电联动</w:t>
      </w:r>
      <w:r>
        <w:rPr>
          <w:sz w:val="24"/>
        </w:rPr>
        <w:t>模式（可选）的费用之和，计算方式详见附件二。双方</w:t>
      </w:r>
      <w:r>
        <w:rPr>
          <w:sz w:val="24"/>
          <w:b/>
        </w:rPr>
        <w:t>签署信息、量价模式、风</w:t>
      </w:r>
      <w:r>
        <w:rPr>
          <w:sz w:val="24"/>
          <w:b/>
        </w:rPr>
        <w:t>险防控、违约赔偿及争议解决等条款</w:t>
      </w:r>
      <w:r>
        <w:rPr>
          <w:sz w:val="24"/>
        </w:rPr>
        <w:t>约定如下：</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508"/>
        <w:gridCol w:w="940"/>
        <w:gridCol w:w="826"/>
        <w:gridCol w:w="1364"/>
        <w:gridCol w:w="826"/>
        <w:gridCol w:w="826"/>
        <w:gridCol w:w="826"/>
        <w:gridCol w:w="1188"/>
      </w:tblGrid>
      <w:tr>
        <w:tc>
          <w:tcPr>
            <w:tcW w:type="dxa" w:w="8304"/>
            <w:gridSpan w:val="8"/>
            <w:tcBorders>
              <w:top w:val="single" w:color="000000" w:sz="8"/>
              <w:left w:val="single" w:color="000000" w:sz="8"/>
              <w:bottom w:val="single" w:color="000000" w:sz="8"/>
              <w:right w:val="single" w:color="000000" w:sz="8"/>
            </w:tcBorders>
            <w:tcMar>
              <w:top w:type="dxa" w:w="0"/>
              <w:left w:type="dxa" w:w="0"/>
              <w:bottom w:type="dxa" w:w="0"/>
              <w:right w:type="dxa" w:w="0"/>
            </w:tcMar>
            <w:vAlign w:val="top"/>
          </w:tcPr>
          <w:p>
            <w:pPr>
              <w:pStyle w:val="null3"/>
              <w:spacing w:before="90"/>
              <w:ind w:left="4005"/>
            </w:pPr>
            <w:r>
              <w:rPr>
                <w:sz w:val="18"/>
                <w:b/>
              </w:rPr>
              <w:t>双方签署信息</w:t>
            </w:r>
          </w:p>
        </w:tc>
      </w:tr>
      <w:tr>
        <w:tc>
          <w:tcPr>
            <w:tcW w:type="dxa" w:w="1508"/>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pPr>
            <w:r>
              <w:rPr>
                <w:sz w:val="18"/>
                <w:b/>
              </w:rPr>
              <w:t>购电方</w:t>
            </w:r>
          </w:p>
          <w:p>
            <w:pPr>
              <w:pStyle w:val="null3"/>
              <w:spacing w:before="135"/>
              <w:ind w:left="135"/>
            </w:pPr>
            <w:r>
              <w:rPr>
                <w:sz w:val="18"/>
                <w:b/>
              </w:rPr>
              <w:t>（电力用户，简称</w:t>
            </w:r>
          </w:p>
          <w:p>
            <w:pPr>
              <w:pStyle w:val="null3"/>
              <w:spacing w:before="135"/>
              <w:ind w:left="600"/>
            </w:pPr>
            <w:r>
              <w:rPr>
                <w:sz w:val="18"/>
                <w:b/>
              </w:rPr>
              <w:t>甲方）</w:t>
            </w:r>
          </w:p>
        </w:tc>
        <w:tc>
          <w:tcPr>
            <w:tcW w:type="dxa" w:w="6796"/>
            <w:gridSpan w:val="7"/>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spacing w:before="285"/>
              <w:ind w:left="120"/>
            </w:pPr>
            <w:r>
              <w:rPr>
                <w:sz w:val="18"/>
              </w:rPr>
              <w:t>电力用户编码：</w:t>
            </w:r>
            <w:r>
              <w:rPr>
                <w:u w:val="single"/>
              </w:rPr>
              <w:t xml:space="preserve">                  </w:t>
            </w:r>
            <w:r>
              <w:rPr>
                <w:sz w:val="18"/>
              </w:rPr>
              <w:t xml:space="preserve">   </w:t>
            </w:r>
            <w:r>
              <w:rPr>
                <w:sz w:val="18"/>
              </w:rPr>
              <w:t>企业（单位）</w:t>
            </w:r>
            <w:r>
              <w:rPr>
                <w:sz w:val="18"/>
              </w:rPr>
              <w:t>/个体工商户名称：</w:t>
            </w:r>
            <w:r>
              <w:rPr>
                <w:u w:val="single"/>
              </w:rPr>
              <w:t xml:space="preserve">                   </w:t>
            </w:r>
          </w:p>
          <w:p>
            <w:pPr>
              <w:pStyle w:val="null3"/>
            </w:pPr>
            <w:r>
              <w:rPr>
                <w:sz w:val="18"/>
              </w:rPr>
              <w:t>统一信用代码：</w:t>
            </w:r>
            <w:r>
              <w:rPr>
                <w:u w:val="single"/>
              </w:rPr>
              <w:t xml:space="preserve">                   </w:t>
            </w:r>
            <w:r>
              <w:rPr>
                <w:sz w:val="18"/>
              </w:rPr>
              <w:t xml:space="preserve">  </w:t>
            </w:r>
            <w:r>
              <w:rPr>
                <w:sz w:val="18"/>
              </w:rPr>
              <w:t>所在地址：</w:t>
            </w:r>
            <w:r>
              <w:rPr>
                <w:u w:val="single"/>
              </w:rPr>
              <w:t xml:space="preserve">     </w:t>
            </w:r>
            <w:r>
              <w:rPr>
                <w:u w:val="single"/>
              </w:rPr>
              <w:t xml:space="preserve">                                 </w:t>
            </w:r>
          </w:p>
          <w:p>
            <w:pPr>
              <w:pStyle w:val="null3"/>
            </w:pPr>
            <w:r>
              <w:rPr>
                <w:sz w:val="18"/>
              </w:rPr>
              <w:t>法定代表人</w:t>
            </w:r>
            <w:r>
              <w:rPr>
                <w:sz w:val="18"/>
              </w:rPr>
              <w:t>/经营者：</w:t>
            </w:r>
            <w:r>
              <w:rPr>
                <w:u w:val="single"/>
              </w:rPr>
              <w:t xml:space="preserve">              </w:t>
            </w:r>
            <w:r>
              <w:rPr>
                <w:sz w:val="18"/>
              </w:rPr>
              <w:t xml:space="preserve">  </w:t>
            </w:r>
            <w:r>
              <w:rPr>
                <w:sz w:val="18"/>
              </w:rPr>
              <w:t>法定代表人</w:t>
            </w:r>
            <w:r>
              <w:rPr>
                <w:sz w:val="18"/>
              </w:rPr>
              <w:t>/</w:t>
            </w:r>
            <w:r>
              <w:rPr>
                <w:sz w:val="18"/>
              </w:rPr>
              <w:t>经营者有效证件号码：</w:t>
            </w:r>
            <w:r>
              <w:rPr>
                <w:u w:val="single"/>
              </w:rPr>
              <w:t xml:space="preserve">                </w:t>
            </w:r>
          </w:p>
          <w:p>
            <w:pPr>
              <w:pStyle w:val="null3"/>
            </w:pPr>
            <w:r>
              <w:rPr>
                <w:sz w:val="18"/>
              </w:rPr>
              <w:t>甲方联系人：</w:t>
            </w:r>
            <w:r>
              <w:rPr>
                <w:u w:val="single"/>
              </w:rPr>
              <w:t xml:space="preserve">                      </w:t>
            </w:r>
            <w:r>
              <w:rPr>
                <w:sz w:val="18"/>
              </w:rPr>
              <w:t xml:space="preserve"> </w:t>
            </w:r>
            <w:r>
              <w:rPr>
                <w:sz w:val="18"/>
              </w:rPr>
              <w:t>联系电话：</w:t>
            </w:r>
            <w:r>
              <w:rPr>
                <w:u w:val="single"/>
              </w:rPr>
              <w:t xml:space="preserve">               </w:t>
            </w:r>
            <w:r>
              <w:rPr>
                <w:u w:val="single"/>
              </w:rPr>
              <w:t xml:space="preserve">                       </w:t>
            </w:r>
          </w:p>
        </w:tc>
      </w:tr>
      <w:tr>
        <w:tc>
          <w:tcPr>
            <w:tcW w:type="dxa" w:w="1508"/>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pPr>
            <w:r>
              <w:rPr>
                <w:sz w:val="18"/>
                <w:b/>
              </w:rPr>
              <w:t>售电方</w:t>
            </w:r>
          </w:p>
          <w:p>
            <w:pPr>
              <w:pStyle w:val="null3"/>
              <w:spacing w:before="120"/>
              <w:ind w:left="135"/>
            </w:pPr>
            <w:r>
              <w:rPr>
                <w:sz w:val="18"/>
                <w:b/>
              </w:rPr>
              <w:t>（售电公司，简称</w:t>
            </w:r>
          </w:p>
          <w:p>
            <w:pPr>
              <w:pStyle w:val="null3"/>
              <w:spacing w:before="90"/>
              <w:ind w:left="660"/>
            </w:pPr>
            <w:r>
              <w:rPr>
                <w:sz w:val="18"/>
                <w:b/>
              </w:rPr>
              <w:t>乙方</w:t>
            </w:r>
            <w:r>
              <w:rPr>
                <w:sz w:val="18"/>
                <w:b/>
              </w:rPr>
              <w:t>,</w:t>
            </w:r>
          </w:p>
        </w:tc>
        <w:tc>
          <w:tcPr>
            <w:tcW w:type="dxa" w:w="6796"/>
            <w:gridSpan w:val="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spacing w:before="285"/>
              <w:ind w:left="105"/>
            </w:pPr>
            <w:r>
              <w:rPr>
                <w:sz w:val="18"/>
              </w:rPr>
              <w:t>售电公司编号：</w:t>
            </w:r>
            <w:r>
              <w:rPr>
                <w:u w:val="single"/>
              </w:rPr>
              <w:t xml:space="preserve">                    </w:t>
            </w:r>
            <w:r>
              <w:rPr>
                <w:sz w:val="18"/>
              </w:rPr>
              <w:t xml:space="preserve"> </w:t>
            </w:r>
            <w:r>
              <w:rPr>
                <w:sz w:val="18"/>
              </w:rPr>
              <w:t>企业名称：</w:t>
            </w:r>
            <w:r>
              <w:rPr>
                <w:u w:val="single"/>
              </w:rPr>
              <w:t xml:space="preserve">          </w:t>
            </w:r>
            <w:r>
              <w:rPr>
                <w:u w:val="single"/>
              </w:rPr>
              <w:t xml:space="preserve">                            </w:t>
            </w:r>
          </w:p>
          <w:p>
            <w:pPr>
              <w:pStyle w:val="null3"/>
            </w:pPr>
            <w:r>
              <w:rPr>
                <w:sz w:val="18"/>
              </w:rPr>
              <w:t>统一信用代码：</w:t>
            </w:r>
            <w:r>
              <w:rPr>
                <w:u w:val="single"/>
              </w:rPr>
              <w:t xml:space="preserve">                   </w:t>
            </w:r>
            <w:r>
              <w:rPr>
                <w:sz w:val="18"/>
              </w:rPr>
              <w:t xml:space="preserve">  </w:t>
            </w:r>
            <w:r>
              <w:rPr>
                <w:sz w:val="18"/>
              </w:rPr>
              <w:t>企业所在地址</w:t>
            </w:r>
            <w:r>
              <w:rPr>
                <w:sz w:val="18"/>
              </w:rPr>
              <w:t>：</w:t>
            </w:r>
            <w:r>
              <w:rPr>
                <w:u w:val="single"/>
              </w:rPr>
              <w:t xml:space="preserve">                                  </w:t>
            </w:r>
          </w:p>
          <w:p>
            <w:pPr>
              <w:pStyle w:val="null3"/>
            </w:pPr>
            <w:r>
              <w:rPr>
                <w:sz w:val="18"/>
              </w:rPr>
              <w:t>法定代表人：</w:t>
            </w:r>
            <w:r>
              <w:rPr>
                <w:u w:val="single"/>
              </w:rPr>
              <w:t xml:space="preserve">                      </w:t>
            </w:r>
            <w:r>
              <w:rPr>
                <w:sz w:val="18"/>
              </w:rPr>
              <w:t xml:space="preserve"> </w:t>
            </w:r>
            <w:r>
              <w:rPr>
                <w:sz w:val="18"/>
              </w:rPr>
              <w:t>法</w:t>
            </w:r>
            <w:r>
              <w:rPr>
                <w:sz w:val="18"/>
              </w:rPr>
              <w:t>定代表人有效证件号码：</w:t>
            </w:r>
            <w:r>
              <w:rPr>
                <w:u w:val="single"/>
              </w:rPr>
              <w:t xml:space="preserve">                        </w:t>
            </w:r>
          </w:p>
          <w:p>
            <w:pPr>
              <w:pStyle w:val="null3"/>
            </w:pPr>
            <w:r>
              <w:rPr>
                <w:sz w:val="18"/>
              </w:rPr>
              <w:t>乙方联系人：</w:t>
            </w:r>
            <w:r>
              <w:rPr>
                <w:u w:val="single"/>
              </w:rPr>
              <w:t xml:space="preserve">                      </w:t>
            </w:r>
            <w:r>
              <w:rPr/>
              <w:t xml:space="preserve"> </w:t>
            </w:r>
            <w:r>
              <w:rPr>
                <w:sz w:val="18"/>
              </w:rPr>
              <w:t>联系电话：</w:t>
            </w:r>
            <w:r>
              <w:rPr>
                <w:u w:val="single"/>
              </w:rPr>
              <w:t xml:space="preserve">                                      </w:t>
            </w:r>
          </w:p>
        </w:tc>
      </w:tr>
      <w:tr>
        <w:tc>
          <w:tcPr>
            <w:tcW w:type="dxa" w:w="1508"/>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spacing w:before="120"/>
              <w:ind w:left="405"/>
            </w:pPr>
            <w:r>
              <w:rPr>
                <w:sz w:val="18"/>
                <w:b/>
              </w:rPr>
              <w:t>合同有效期</w:t>
            </w:r>
          </w:p>
        </w:tc>
        <w:tc>
          <w:tcPr>
            <w:tcW w:type="dxa" w:w="6796"/>
            <w:gridSpan w:val="7"/>
            <w:tcBorders>
              <w:top w:val="none" w:color="000000" w:sz="4"/>
              <w:left w:val="none" w:color="000000" w:sz="4"/>
              <w:bottom w:val="single" w:color="000000" w:sz="8"/>
              <w:right w:val="single" w:color="000000" w:sz="8"/>
            </w:tcBorders>
            <w:shd w:fill="BDD6EE"/>
            <w:tcMar>
              <w:top w:type="dxa" w:w="0"/>
              <w:left w:type="dxa" w:w="0"/>
              <w:bottom w:type="dxa" w:w="0"/>
              <w:right w:type="dxa" w:w="0"/>
            </w:tcMar>
            <w:vAlign w:val="top"/>
          </w:tcPr>
          <w:p>
            <w:pPr>
              <w:pStyle w:val="null3"/>
              <w:spacing w:before="120"/>
              <w:ind w:left="1785"/>
            </w:pPr>
            <w:r>
              <w:rPr/>
              <w:t xml:space="preserve"> </w:t>
            </w:r>
            <w:r>
              <w:rPr>
                <w:sz w:val="18"/>
                <w:b/>
              </w:rPr>
              <w:t>年</w:t>
            </w:r>
            <w:r>
              <w:rPr/>
              <w:t xml:space="preserve"> </w:t>
            </w:r>
            <w:r>
              <w:rPr>
                <w:u w:val="single"/>
              </w:rPr>
              <w:t xml:space="preserve">    </w:t>
            </w:r>
            <w:r>
              <w:rPr/>
              <w:t xml:space="preserve"> </w:t>
            </w:r>
            <w:r>
              <w:rPr>
                <w:sz w:val="18"/>
                <w:b/>
              </w:rPr>
              <w:t>月</w:t>
            </w:r>
            <w:r>
              <w:rPr/>
              <w:t xml:space="preserve"> </w:t>
            </w:r>
            <w:r>
              <w:rPr>
                <w:u w:val="single"/>
              </w:rPr>
              <w:t xml:space="preserve">    </w:t>
            </w:r>
            <w:r>
              <w:rPr/>
              <w:t xml:space="preserve"> </w:t>
            </w:r>
            <w:r>
              <w:rPr>
                <w:sz w:val="18"/>
                <w:b/>
              </w:rPr>
              <w:t>日</w:t>
            </w:r>
            <w:r>
              <w:rPr/>
              <w:t xml:space="preserve">     </w:t>
            </w:r>
            <w:r>
              <w:rPr>
                <w:sz w:val="18"/>
                <w:b/>
              </w:rPr>
              <w:t>至</w:t>
            </w:r>
            <w:r>
              <w:rPr/>
              <w:t xml:space="preserve">  </w:t>
            </w:r>
            <w:r>
              <w:rPr>
                <w:u w:val="single"/>
              </w:rPr>
              <w:t xml:space="preserve">    </w:t>
            </w:r>
            <w:r>
              <w:rPr/>
              <w:t xml:space="preserve"> </w:t>
            </w:r>
            <w:r>
              <w:rPr>
                <w:sz w:val="18"/>
                <w:b/>
              </w:rPr>
              <w:t>年</w:t>
            </w:r>
            <w:r>
              <w:rPr/>
              <w:t xml:space="preserve"> </w:t>
            </w:r>
            <w:r>
              <w:rPr>
                <w:u w:val="single"/>
              </w:rPr>
              <w:t xml:space="preserve">    </w:t>
            </w:r>
            <w:r>
              <w:rPr/>
              <w:t xml:space="preserve"> </w:t>
            </w:r>
            <w:r>
              <w:rPr>
                <w:sz w:val="18"/>
                <w:b/>
              </w:rPr>
              <w:t>月</w:t>
            </w:r>
            <w:r>
              <w:rPr/>
              <w:t xml:space="preserve"> </w:t>
            </w:r>
            <w:r>
              <w:rPr>
                <w:u w:val="single"/>
              </w:rPr>
              <w:t xml:space="preserve">    </w:t>
            </w:r>
            <w:r>
              <w:rPr/>
              <w:t xml:space="preserve"> </w:t>
            </w:r>
            <w:r>
              <w:rPr>
                <w:sz w:val="18"/>
                <w:b/>
              </w:rPr>
              <w:t>日</w:t>
            </w:r>
          </w:p>
        </w:tc>
      </w:tr>
      <w:tr>
        <w:tc>
          <w:tcPr>
            <w:tcW w:type="dxa" w:w="1508"/>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spacing w:before="105"/>
              <w:ind w:left="495" w:right="405"/>
            </w:pPr>
            <w:r>
              <w:rPr>
                <w:sz w:val="18"/>
                <w:b/>
              </w:rPr>
              <w:t>电能量零售</w:t>
            </w:r>
            <w:r>
              <w:rPr>
                <w:sz w:val="18"/>
                <w:b/>
              </w:rPr>
              <w:t>套餐模式</w:t>
            </w:r>
          </w:p>
        </w:tc>
        <w:tc>
          <w:tcPr>
            <w:tcW w:type="dxa" w:w="6796"/>
            <w:gridSpan w:val="7"/>
            <w:tcBorders>
              <w:top w:val="none" w:color="000000" w:sz="4"/>
              <w:left w:val="none" w:color="000000" w:sz="4"/>
              <w:bottom w:val="single" w:color="000000" w:sz="8"/>
              <w:right w:val="single" w:color="000000" w:sz="8"/>
            </w:tcBorders>
            <w:shd w:fill="BDD6EE"/>
            <w:tcMar>
              <w:top w:type="dxa" w:w="0"/>
              <w:left w:type="dxa" w:w="0"/>
              <w:bottom w:type="dxa" w:w="0"/>
              <w:right w:type="dxa" w:w="0"/>
            </w:tcMar>
            <w:vAlign w:val="top"/>
          </w:tcPr>
          <w:p>
            <w:pPr>
              <w:pStyle w:val="null3"/>
              <w:spacing w:before="270"/>
              <w:ind w:left="1905"/>
            </w:pPr>
            <w:r>
              <w:rPr>
                <w:sz w:val="18"/>
              </w:rPr>
              <w:t>固定价格模式</w:t>
            </w:r>
            <w:r>
              <w:rPr>
                <w:sz w:val="18"/>
              </w:rPr>
              <w:t>+市场联动模式+o煤电联动（可选）</w:t>
            </w:r>
          </w:p>
        </w:tc>
      </w:tr>
      <w:tr>
        <w:tc>
          <w:tcPr>
            <w:tcW w:type="dxa" w:w="1508"/>
            <w:vMerge w:val="restart"/>
            <w:tcBorders>
              <w:top w:val="none" w:color="000000" w:sz="4"/>
              <w:left w:val="single" w:color="000000" w:sz="8"/>
              <w:bottom w:val="none" w:color="000000" w:sz="4"/>
              <w:right w:val="single" w:color="000000" w:sz="4"/>
            </w:tcBorders>
            <w:tcMar>
              <w:top w:type="dxa" w:w="0"/>
              <w:left w:type="dxa" w:w="0"/>
              <w:bottom w:type="dxa" w:w="0"/>
              <w:right w:type="dxa" w:w="0"/>
            </w:tcMar>
            <w:vAlign w:val="top"/>
          </w:tcPr>
          <w:p>
            <w:pPr>
              <w:pStyle w:val="null3"/>
            </w:pPr>
            <w:r>
              <w:rPr>
                <w:sz w:val="18"/>
                <w:b/>
              </w:rPr>
              <w:t>一、固定价格模式</w:t>
            </w:r>
            <w:r>
              <w:rPr>
                <w:sz w:val="18"/>
                <w:b/>
              </w:rPr>
              <w:t>（必填）</w:t>
            </w:r>
          </w:p>
        </w:tc>
        <w:tc>
          <w:tcPr>
            <w:tcW w:type="dxa" w:w="1766"/>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510" w:right="120"/>
            </w:pPr>
            <w:r>
              <w:rPr>
                <w:sz w:val="18"/>
                <w:b/>
              </w:rPr>
              <w:t>按实际用电量</w:t>
            </w:r>
            <w:r>
              <w:rPr>
                <w:sz w:val="18"/>
                <w:b/>
              </w:rPr>
              <w:t>占比</w:t>
            </w:r>
          </w:p>
        </w:tc>
        <w:tc>
          <w:tcPr>
            <w:tcW w:type="dxa" w:w="2190"/>
            <w:gridSpan w:val="2"/>
            <w:tcBorders>
              <w:top w:val="single" w:color="000000" w:sz="8"/>
              <w:left w:val="none" w:color="000000" w:sz="4"/>
              <w:bottom w:val="single" w:color="000000" w:sz="4"/>
              <w:right w:val="single" w:color="000000" w:sz="4"/>
            </w:tcBorders>
            <w:tcMar>
              <w:top w:type="dxa" w:w="0"/>
              <w:left w:type="dxa" w:w="0"/>
              <w:bottom w:type="dxa" w:w="0"/>
              <w:right w:type="dxa" w:w="0"/>
            </w:tcMar>
            <w:vAlign w:val="top"/>
          </w:tcPr>
          <w:p>
            <w:pPr>
              <w:pStyle w:val="null3"/>
              <w:spacing w:before="255"/>
              <w:ind w:left="1515"/>
            </w:pPr>
            <w:r>
              <w:rPr>
                <w:sz w:val="18"/>
                <w:b/>
              </w:rPr>
              <w:t>平段价格</w:t>
            </w:r>
          </w:p>
        </w:tc>
        <w:tc>
          <w:tcPr>
            <w:tcW w:type="dxa" w:w="1652"/>
            <w:gridSpan w:val="2"/>
            <w:tcBorders>
              <w:top w:val="single" w:color="000000" w:sz="8"/>
              <w:left w:val="none" w:color="000000" w:sz="4"/>
              <w:bottom w:val="single" w:color="000000" w:sz="4"/>
              <w:right w:val="single" w:color="000000" w:sz="4"/>
            </w:tcBorders>
            <w:tcMar>
              <w:top w:type="dxa" w:w="0"/>
              <w:left w:type="dxa" w:w="0"/>
              <w:bottom w:type="dxa" w:w="0"/>
              <w:right w:type="dxa" w:w="0"/>
            </w:tcMar>
            <w:vAlign w:val="top"/>
          </w:tcPr>
          <w:p>
            <w:pPr>
              <w:pStyle w:val="null3"/>
              <w:spacing w:before="255"/>
              <w:ind w:left="300"/>
            </w:pPr>
            <w:r>
              <w:rPr>
                <w:sz w:val="18"/>
                <w:b/>
              </w:rPr>
              <w:t>峰段价格</w:t>
            </w:r>
          </w:p>
        </w:tc>
        <w:tc>
          <w:tcPr>
            <w:tcW w:type="dxa" w:w="1188"/>
            <w:tcBorders>
              <w:top w:val="single" w:color="000000" w:sz="8"/>
              <w:left w:val="none" w:color="000000" w:sz="4"/>
              <w:bottom w:val="single" w:color="000000" w:sz="4"/>
              <w:right w:val="single" w:color="000000" w:sz="8"/>
            </w:tcBorders>
            <w:tcMar>
              <w:top w:type="dxa" w:w="0"/>
              <w:left w:type="dxa" w:w="0"/>
              <w:bottom w:type="dxa" w:w="0"/>
              <w:right w:type="dxa" w:w="0"/>
            </w:tcMar>
            <w:vAlign w:val="top"/>
          </w:tcPr>
          <w:p>
            <w:pPr>
              <w:pStyle w:val="null3"/>
              <w:spacing w:before="255"/>
              <w:ind w:left="315"/>
            </w:pPr>
            <w:r>
              <w:rPr>
                <w:sz w:val="18"/>
                <w:b/>
              </w:rPr>
              <w:t>谷段价格</w:t>
            </w:r>
          </w:p>
        </w:tc>
      </w:tr>
      <w:tr>
        <w:tc>
          <w:tcPr>
            <w:tcW w:type="dxa" w:w="1508"/>
            <w:vMerge/>
            <w:tcBorders>
              <w:top w:val="none" w:color="000000" w:sz="4"/>
              <w:left w:val="single" w:color="000000" w:sz="8"/>
              <w:bottom w:val="none" w:color="000000" w:sz="4"/>
              <w:right w:val="single" w:color="000000" w:sz="4"/>
            </w:tcBorders>
          </w:tcPr>
          <w:p/>
        </w:tc>
        <w:tc>
          <w:tcPr>
            <w:tcW w:type="dxa" w:w="1766"/>
            <w:gridSpan w:val="2"/>
            <w:tcBorders>
              <w:top w:val="none" w:color="000000" w:sz="4"/>
              <w:left w:val="none" w:color="000000" w:sz="4"/>
              <w:bottom w:val="single" w:color="000000" w:sz="8"/>
              <w:right w:val="single" w:color="000000" w:sz="4"/>
            </w:tcBorders>
            <w:shd w:fill="BDD6EE"/>
            <w:tcMar>
              <w:top w:type="dxa" w:w="0"/>
              <w:left w:type="dxa" w:w="0"/>
              <w:bottom w:type="dxa" w:w="0"/>
              <w:right w:type="dxa" w:w="0"/>
            </w:tcMar>
            <w:vAlign w:val="top"/>
          </w:tcPr>
          <w:p>
            <w:pPr>
              <w:pStyle w:val="null3"/>
              <w:spacing w:before="255"/>
              <w:ind w:left="615"/>
            </w:pPr>
            <w:r>
              <w:rPr>
                <w:sz w:val="18"/>
                <w:b/>
              </w:rPr>
              <w:t>%</w:t>
            </w:r>
          </w:p>
        </w:tc>
        <w:tc>
          <w:tcPr>
            <w:tcW w:type="dxa" w:w="2190"/>
            <w:gridSpan w:val="2"/>
            <w:tcBorders>
              <w:top w:val="none" w:color="000000" w:sz="4"/>
              <w:left w:val="none" w:color="000000" w:sz="4"/>
              <w:bottom w:val="single" w:color="000000" w:sz="8"/>
              <w:right w:val="single" w:color="000000" w:sz="4"/>
            </w:tcBorders>
            <w:shd w:fill="BDD6EE"/>
            <w:tcMar>
              <w:top w:type="dxa" w:w="0"/>
              <w:left w:type="dxa" w:w="0"/>
              <w:bottom w:type="dxa" w:w="0"/>
              <w:right w:type="dxa" w:w="0"/>
            </w:tcMar>
            <w:vAlign w:val="top"/>
          </w:tcPr>
          <w:p>
            <w:pPr>
              <w:pStyle w:val="null3"/>
              <w:spacing w:before="255"/>
              <w:ind w:left="1305"/>
            </w:pPr>
            <w:r>
              <w:rPr>
                <w:sz w:val="18"/>
                <w:b/>
              </w:rPr>
              <w:t>XXX</w:t>
            </w:r>
            <w:r>
              <w:rPr/>
              <w:t xml:space="preserve"> </w:t>
            </w:r>
            <w:r>
              <w:rPr>
                <w:sz w:val="18"/>
                <w:b/>
              </w:rPr>
              <w:t>元</w:t>
            </w:r>
            <w:r>
              <w:rPr>
                <w:sz w:val="18"/>
                <w:b/>
              </w:rPr>
              <w:t>/兆瓦时</w:t>
            </w:r>
          </w:p>
        </w:tc>
        <w:tc>
          <w:tcPr>
            <w:tcW w:type="dxa" w:w="1652"/>
            <w:gridSpan w:val="2"/>
            <w:tcBorders>
              <w:top w:val="none" w:color="000000" w:sz="4"/>
              <w:left w:val="none" w:color="000000" w:sz="4"/>
              <w:bottom w:val="single" w:color="000000" w:sz="8"/>
              <w:right w:val="single" w:color="000000" w:sz="4"/>
            </w:tcBorders>
            <w:tcMar>
              <w:top w:type="dxa" w:w="0"/>
              <w:left w:type="dxa" w:w="0"/>
              <w:bottom w:type="dxa" w:w="0"/>
              <w:right w:type="dxa" w:w="0"/>
            </w:tcMar>
            <w:vAlign w:val="top"/>
          </w:tcPr>
          <w:p>
            <w:pPr>
              <w:pStyle w:val="null3"/>
              <w:spacing w:before="90"/>
              <w:ind w:left="210" w:right="90"/>
            </w:pPr>
            <w:r>
              <w:rPr>
                <w:sz w:val="18"/>
              </w:rPr>
              <w:t>系统根据峰电价比例计算</w:t>
            </w:r>
          </w:p>
        </w:tc>
        <w:tc>
          <w:tcPr>
            <w:tcW w:type="dxa" w:w="1188"/>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spacing w:before="90"/>
              <w:ind w:left="225" w:right="120"/>
            </w:pPr>
            <w:r>
              <w:rPr>
                <w:sz w:val="18"/>
              </w:rPr>
              <w:t>系统根据谷电价比例计算</w:t>
            </w:r>
          </w:p>
        </w:tc>
      </w:tr>
      <w:tr>
        <w:tc>
          <w:tcPr>
            <w:tcW w:type="dxa" w:w="1508"/>
            <w:vMerge/>
            <w:tcBorders>
              <w:top w:val="none" w:color="000000" w:sz="4"/>
              <w:left w:val="single" w:color="000000" w:sz="8"/>
              <w:bottom w:val="none" w:color="000000" w:sz="4"/>
              <w:right w:val="single" w:color="000000" w:sz="4"/>
            </w:tcBorders>
          </w:tcPr>
          <w:p/>
        </w:tc>
        <w:tc>
          <w:tcPr>
            <w:tcW w:type="dxa" w:w="1766"/>
            <w:gridSpan w:val="2"/>
            <w:tcBorders>
              <w:top w:val="none" w:color="000000" w:sz="4"/>
              <w:left w:val="none" w:color="000000" w:sz="4"/>
              <w:bottom w:val="single" w:color="000000" w:sz="8"/>
              <w:right w:val="single" w:color="000000" w:sz="4"/>
            </w:tcBorders>
            <w:shd w:fill="BDD6EE"/>
            <w:tcMar>
              <w:top w:type="dxa" w:w="0"/>
              <w:left w:type="dxa" w:w="0"/>
              <w:bottom w:type="dxa" w:w="0"/>
              <w:right w:type="dxa" w:w="0"/>
            </w:tcMar>
            <w:vAlign w:val="top"/>
          </w:tcPr>
          <w:p>
            <w:pPr>
              <w:pStyle w:val="null3"/>
            </w:pPr>
            <w:r>
              <w:rPr>
                <w:sz w:val="18"/>
                <w:b/>
              </w:rPr>
              <w:t>限值变化</w:t>
            </w:r>
            <w:r>
              <w:rPr>
                <w:sz w:val="18"/>
                <w:b/>
              </w:rPr>
              <w:t>附加条款</w:t>
            </w:r>
          </w:p>
        </w:tc>
        <w:tc>
          <w:tcPr>
            <w:tcW w:type="dxa" w:w="5030"/>
            <w:gridSpan w:val="5"/>
            <w:tcBorders>
              <w:top w:val="none" w:color="000000" w:sz="4"/>
              <w:left w:val="none" w:color="000000" w:sz="4"/>
              <w:bottom w:val="single" w:color="000000" w:sz="8"/>
              <w:right w:val="single" w:color="000000" w:sz="8"/>
            </w:tcBorders>
            <w:shd w:fill="BDD6EE"/>
            <w:tcMar>
              <w:top w:type="dxa" w:w="0"/>
              <w:left w:type="dxa" w:w="0"/>
              <w:bottom w:type="dxa" w:w="0"/>
              <w:right w:type="dxa" w:w="0"/>
            </w:tcMar>
            <w:vAlign w:val="top"/>
          </w:tcPr>
          <w:p>
            <w:pPr>
              <w:pStyle w:val="null3"/>
              <w:spacing w:before="75"/>
              <w:ind w:left="105" w:right="135" w:firstLine="3"/>
              <w:jc w:val="both"/>
            </w:pPr>
            <w:r>
              <w:rPr>
                <w:sz w:val="18"/>
                <w:b/>
              </w:rPr>
              <w:t>如政府主管部门调整标的年份的固定平段价格上下限参数，与签约时点的固定</w:t>
            </w:r>
            <w:r>
              <w:rPr>
                <w:sz w:val="18"/>
                <w:b/>
              </w:rPr>
              <w:t>平段价格上下限参数不一致，交易双方可在平等自愿、</w:t>
            </w:r>
            <w:r>
              <w:rPr/>
              <w:t xml:space="preserve"> </w:t>
            </w:r>
            <w:r>
              <w:rPr>
                <w:sz w:val="18"/>
                <w:b/>
              </w:rPr>
              <w:t>自主协商的情况下对本</w:t>
            </w:r>
            <w:r>
              <w:rPr>
                <w:sz w:val="18"/>
                <w:b/>
              </w:rPr>
              <w:t>合同进行变更或解除，如未变更或解除本合同，交易双方一致认可本合同继续有效且同意按以下方式进行固定价格模式费用结算：</w:t>
            </w:r>
          </w:p>
          <w:p>
            <w:pPr>
              <w:pStyle w:val="null3"/>
              <w:ind w:left="105" w:right="135" w:firstLine="11"/>
            </w:pPr>
            <w:r>
              <w:rPr>
                <w:sz w:val="18"/>
                <w:b/>
              </w:rPr>
              <w:t>1.约定的固定平段价格在标的年份的固定平段价格上下限范围内，按约定值结</w:t>
            </w:r>
            <w:r>
              <w:rPr>
                <w:sz w:val="18"/>
                <w:b/>
              </w:rPr>
              <w:t>算；</w:t>
            </w:r>
          </w:p>
          <w:p>
            <w:pPr>
              <w:pStyle w:val="null3"/>
              <w:spacing w:before="135"/>
              <w:ind w:left="105" w:right="135"/>
            </w:pPr>
            <w:r>
              <w:rPr>
                <w:sz w:val="18"/>
                <w:b/>
              </w:rPr>
              <w:t>2.约定的固定平段价格低于标的年份的固定平段价格下限的，按标的年份的固</w:t>
            </w:r>
            <w:r>
              <w:rPr>
                <w:sz w:val="18"/>
                <w:b/>
              </w:rPr>
              <w:t>定平段价格下限结算；</w:t>
            </w:r>
          </w:p>
          <w:p>
            <w:pPr>
              <w:pStyle w:val="null3"/>
              <w:spacing w:before="135"/>
              <w:ind w:left="105" w:right="135"/>
            </w:pPr>
            <w:r>
              <w:rPr>
                <w:sz w:val="18"/>
                <w:b/>
              </w:rPr>
              <w:t>3.约定的固定平段价格高于标的年份的固定平段价格上限的，按标的年份的固</w:t>
            </w:r>
            <w:r>
              <w:rPr>
                <w:sz w:val="18"/>
                <w:b/>
              </w:rPr>
              <w:t>定平段价格上限结算。</w:t>
            </w:r>
          </w:p>
        </w:tc>
      </w:tr>
      <w:tr>
        <w:tc>
          <w:tcPr>
            <w:tcW w:type="dxa" w:w="1508"/>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90"/>
              <w:ind w:left="495" w:right="135"/>
            </w:pPr>
            <w:r>
              <w:rPr>
                <w:sz w:val="18"/>
                <w:b/>
              </w:rPr>
              <w:t>二、市场联动模式</w:t>
            </w:r>
            <w:r>
              <w:rPr>
                <w:sz w:val="18"/>
                <w:b/>
              </w:rPr>
              <w:t>（必填）</w:t>
            </w:r>
          </w:p>
        </w:tc>
        <w:tc>
          <w:tcPr>
            <w:tcW w:type="dxa" w:w="1766"/>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55"/>
              <w:ind w:left="300"/>
            </w:pPr>
            <w:r>
              <w:rPr>
                <w:sz w:val="18"/>
                <w:b/>
              </w:rPr>
              <w:t>联动价格</w:t>
            </w:r>
          </w:p>
        </w:tc>
        <w:tc>
          <w:tcPr>
            <w:tcW w:type="dxa" w:w="136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630" w:right="225"/>
            </w:pPr>
            <w:r>
              <w:rPr>
                <w:sz w:val="18"/>
                <w:b/>
              </w:rPr>
              <w:t>按实际用电量</w:t>
            </w:r>
            <w:r>
              <w:rPr>
                <w:sz w:val="18"/>
                <w:b/>
              </w:rPr>
              <w:t>占比</w:t>
            </w:r>
          </w:p>
        </w:tc>
        <w:tc>
          <w:tcPr>
            <w:tcW w:type="dxa" w:w="3666"/>
            <w:gridSpan w:val="4"/>
            <w:tcBorders>
              <w:top w:val="single" w:color="000000" w:sz="8"/>
              <w:left w:val="none" w:color="000000" w:sz="4"/>
              <w:bottom w:val="single" w:color="000000" w:sz="4"/>
              <w:right w:val="single" w:color="000000" w:sz="8"/>
            </w:tcBorders>
            <w:tcMar>
              <w:top w:type="dxa" w:w="0"/>
              <w:left w:type="dxa" w:w="0"/>
              <w:bottom w:type="dxa" w:w="0"/>
              <w:right w:type="dxa" w:w="0"/>
            </w:tcMar>
            <w:vAlign w:val="top"/>
          </w:tcPr>
          <w:p>
            <w:pPr>
              <w:pStyle w:val="null3"/>
              <w:spacing w:before="255"/>
              <w:ind w:left="1335"/>
            </w:pPr>
            <w:r>
              <w:rPr>
                <w:sz w:val="18"/>
                <w:b/>
              </w:rPr>
              <w:t>市场联动价格类型（平段）</w:t>
            </w:r>
          </w:p>
        </w:tc>
      </w:tr>
      <w:tr>
        <w:tc>
          <w:tcPr>
            <w:tcW w:type="dxa" w:w="1508"/>
            <w:vMerge w:val="restart"/>
            <w:tcBorders>
              <w:top w:val="none" w:color="000000" w:sz="4"/>
              <w:left w:val="single" w:color="000000" w:sz="8"/>
              <w:bottom w:val="none" w:color="000000" w:sz="4"/>
              <w:right w:val="single" w:color="000000" w:sz="4"/>
            </w:tcBorders>
            <w:tcMar>
              <w:top w:type="dxa" w:w="0"/>
              <w:left w:type="dxa" w:w="0"/>
              <w:bottom w:type="dxa" w:w="0"/>
              <w:right w:type="dxa" w:w="0"/>
            </w:tcMar>
            <w:vAlign w:val="top"/>
          </w:tcPr>
          <w:p>
            <w:pPr>
              <w:pStyle w:val="null3"/>
            </w:pPr>
          </w:p>
        </w:tc>
        <w:tc>
          <w:tcPr>
            <w:tcW w:type="dxa" w:w="1766"/>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18"/>
                <w:b/>
              </w:rPr>
              <w:t>联动月度价格</w:t>
            </w:r>
          </w:p>
          <w:p>
            <w:pPr>
              <w:pStyle w:val="null3"/>
              <w:spacing w:before="135"/>
              <w:ind w:left="315"/>
            </w:pPr>
            <w:r>
              <w:rPr>
                <w:sz w:val="18"/>
                <w:b/>
              </w:rPr>
              <w:t>（必填）</w:t>
            </w:r>
          </w:p>
        </w:tc>
        <w:tc>
          <w:tcPr>
            <w:tcW w:type="dxa" w:w="1364"/>
            <w:tcBorders>
              <w:top w:val="none" w:color="000000" w:sz="4"/>
              <w:left w:val="none" w:color="000000" w:sz="4"/>
              <w:bottom w:val="single" w:color="000000" w:sz="4"/>
              <w:right w:val="single" w:color="000000" w:sz="4"/>
            </w:tcBorders>
            <w:shd w:fill="BDD6EE"/>
            <w:tcMar>
              <w:top w:type="dxa" w:w="0"/>
              <w:left w:type="dxa" w:w="0"/>
              <w:bottom w:type="dxa" w:w="0"/>
              <w:right w:type="dxa" w:w="0"/>
            </w:tcMar>
            <w:vAlign w:val="top"/>
          </w:tcPr>
          <w:p>
            <w:pPr>
              <w:pStyle w:val="null3"/>
              <w:spacing w:before="255"/>
              <w:ind w:left="720"/>
            </w:pPr>
            <w:r>
              <w:rPr>
                <w:sz w:val="18"/>
                <w:b/>
              </w:rPr>
              <w:t>%</w:t>
            </w:r>
          </w:p>
        </w:tc>
        <w:tc>
          <w:tcPr>
            <w:tcW w:type="dxa" w:w="1652"/>
            <w:gridSpan w:val="2"/>
            <w:tcBorders>
              <w:top w:val="none" w:color="000000" w:sz="4"/>
              <w:left w:val="none" w:color="000000" w:sz="4"/>
              <w:bottom w:val="single" w:color="000000" w:sz="4"/>
              <w:right w:val="single" w:color="000000" w:sz="4"/>
            </w:tcBorders>
            <w:shd w:fill="BDD6EE"/>
            <w:tcMar>
              <w:top w:type="dxa" w:w="0"/>
              <w:left w:type="dxa" w:w="0"/>
              <w:bottom w:type="dxa" w:w="0"/>
              <w:right w:type="dxa" w:w="0"/>
            </w:tcMar>
            <w:vAlign w:val="top"/>
          </w:tcPr>
          <w:p>
            <w:pPr>
              <w:pStyle w:val="null3"/>
              <w:spacing w:before="255"/>
              <w:ind w:left="135"/>
            </w:pPr>
            <w:r>
              <w:rPr>
                <w:sz w:val="18"/>
                <w:b/>
              </w:rPr>
              <w:t>o</w:t>
            </w:r>
            <w:r>
              <w:rPr/>
              <w:t xml:space="preserve"> </w:t>
            </w:r>
            <w:r>
              <w:rPr>
                <w:sz w:val="18"/>
                <w:b/>
              </w:rPr>
              <w:t>月度集中竞争交易综合价</w:t>
            </w:r>
          </w:p>
        </w:tc>
        <w:tc>
          <w:tcPr>
            <w:tcW w:type="dxa" w:w="2014"/>
            <w:gridSpan w:val="2"/>
            <w:tcBorders>
              <w:top w:val="single" w:color="000000" w:sz="4"/>
              <w:left w:val="none" w:color="000000" w:sz="4"/>
              <w:bottom w:val="single" w:color="000000" w:sz="4"/>
              <w:right w:val="single" w:color="000000" w:sz="8"/>
            </w:tcBorders>
            <w:shd w:fill="BDD6EE"/>
            <w:tcMar>
              <w:top w:type="dxa" w:w="0"/>
              <w:left w:type="dxa" w:w="0"/>
              <w:bottom w:type="dxa" w:w="0"/>
              <w:right w:type="dxa" w:w="0"/>
            </w:tcMar>
            <w:vAlign w:val="top"/>
          </w:tcPr>
          <w:p>
            <w:pPr>
              <w:pStyle w:val="null3"/>
              <w:spacing w:before="255"/>
              <w:ind w:left="150"/>
            </w:pPr>
            <w:r>
              <w:rPr>
                <w:sz w:val="18"/>
                <w:b/>
              </w:rPr>
              <w:t>o</w:t>
            </w:r>
            <w:r>
              <w:rPr/>
              <w:t xml:space="preserve"> </w:t>
            </w:r>
            <w:r>
              <w:rPr>
                <w:sz w:val="18"/>
                <w:b/>
              </w:rPr>
              <w:t>月度中长期交易综合价</w:t>
            </w:r>
          </w:p>
        </w:tc>
      </w:tr>
      <w:tr>
        <w:tc>
          <w:tcPr>
            <w:tcW w:type="dxa" w:w="1508"/>
            <w:vMerge/>
            <w:tcBorders>
              <w:top w:val="none" w:color="000000" w:sz="4"/>
              <w:left w:val="single" w:color="000000" w:sz="8"/>
              <w:bottom w:val="none" w:color="000000" w:sz="4"/>
              <w:right w:val="single" w:color="000000" w:sz="4"/>
            </w:tcBorders>
          </w:tcPr>
          <w:p/>
        </w:tc>
        <w:tc>
          <w:tcPr>
            <w:tcW w:type="dxa" w:w="1766"/>
            <w:gridSpan w:val="2"/>
            <w:tcBorders>
              <w:top w:val="none" w:color="000000" w:sz="4"/>
              <w:left w:val="none" w:color="000000" w:sz="4"/>
              <w:bottom w:val="single" w:color="000000" w:sz="8"/>
              <w:right w:val="single" w:color="000000" w:sz="4"/>
            </w:tcBorders>
            <w:tcMar>
              <w:top w:type="dxa" w:w="0"/>
              <w:left w:type="dxa" w:w="0"/>
              <w:bottom w:type="dxa" w:w="0"/>
              <w:right w:type="dxa" w:w="0"/>
            </w:tcMar>
            <w:vAlign w:val="top"/>
          </w:tcPr>
          <w:p>
            <w:pPr>
              <w:pStyle w:val="null3"/>
              <w:spacing w:before="75"/>
              <w:ind w:left="120"/>
            </w:pPr>
            <w:r>
              <w:rPr>
                <w:sz w:val="18"/>
                <w:b/>
              </w:rPr>
              <w:t>联动现货价格</w:t>
            </w:r>
          </w:p>
          <w:p>
            <w:pPr>
              <w:pStyle w:val="null3"/>
              <w:spacing w:before="135"/>
              <w:ind w:left="315"/>
            </w:pPr>
            <w:r>
              <w:rPr>
                <w:sz w:val="18"/>
                <w:b/>
              </w:rPr>
              <w:t>（必填）</w:t>
            </w:r>
          </w:p>
        </w:tc>
        <w:tc>
          <w:tcPr>
            <w:tcW w:type="dxa" w:w="1364"/>
            <w:tcBorders>
              <w:top w:val="none" w:color="000000" w:sz="4"/>
              <w:left w:val="none" w:color="000000" w:sz="4"/>
              <w:bottom w:val="single" w:color="000000" w:sz="8"/>
              <w:right w:val="single" w:color="000000" w:sz="4"/>
            </w:tcBorders>
            <w:shd w:fill="BDD6EE"/>
            <w:tcMar>
              <w:top w:type="dxa" w:w="0"/>
              <w:left w:type="dxa" w:w="0"/>
              <w:bottom w:type="dxa" w:w="0"/>
              <w:right w:type="dxa" w:w="0"/>
            </w:tcMar>
            <w:vAlign w:val="top"/>
          </w:tcPr>
          <w:p>
            <w:pPr>
              <w:pStyle w:val="null3"/>
              <w:spacing w:before="255"/>
              <w:ind w:left="720"/>
            </w:pPr>
            <w:r>
              <w:rPr>
                <w:sz w:val="18"/>
                <w:b/>
              </w:rPr>
              <w:t>%</w:t>
            </w:r>
          </w:p>
        </w:tc>
        <w:tc>
          <w:tcPr>
            <w:tcW w:type="dxa" w:w="3666"/>
            <w:gridSpan w:val="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spacing w:before="255"/>
              <w:ind w:left="1275"/>
            </w:pPr>
            <w:r>
              <w:rPr>
                <w:sz w:val="18"/>
                <w:b/>
              </w:rPr>
              <w:t>日前市场月度加权平均综合价</w:t>
            </w:r>
          </w:p>
        </w:tc>
      </w:tr>
      <w:tr>
        <w:tc>
          <w:tcPr>
            <w:tcW w:type="dxa" w:w="1508"/>
            <w:vMerge w:val="restart"/>
            <w:tcBorders>
              <w:top w:val="none" w:color="000000" w:sz="4"/>
              <w:left w:val="single" w:color="000000" w:sz="8"/>
              <w:bottom w:val="none" w:color="000000" w:sz="4"/>
              <w:right w:val="single" w:color="000000" w:sz="4"/>
            </w:tcBorders>
            <w:shd w:fill="BDD6EE"/>
            <w:tcMar>
              <w:top w:type="dxa" w:w="0"/>
              <w:left w:type="dxa" w:w="0"/>
              <w:bottom w:type="dxa" w:w="0"/>
              <w:right w:type="dxa" w:w="0"/>
            </w:tcMar>
            <w:vAlign w:val="top"/>
          </w:tcPr>
          <w:p>
            <w:pPr>
              <w:pStyle w:val="null3"/>
            </w:pPr>
            <w:r>
              <w:rPr>
                <w:sz w:val="18"/>
                <w:b/>
              </w:rPr>
              <w:t>o</w:t>
            </w:r>
            <w:r>
              <w:rPr/>
              <w:t xml:space="preserve"> </w:t>
            </w:r>
            <w:r>
              <w:rPr>
                <w:sz w:val="18"/>
                <w:b/>
              </w:rPr>
              <w:t>三、煤电联动</w:t>
            </w:r>
            <w:r>
              <w:rPr>
                <w:sz w:val="18"/>
                <w:b/>
              </w:rPr>
              <w:t>（选填）</w:t>
            </w:r>
          </w:p>
        </w:tc>
        <w:tc>
          <w:tcPr>
            <w:tcW w:type="dxa" w:w="9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65"/>
            </w:pPr>
            <w:r>
              <w:rPr>
                <w:sz w:val="18"/>
                <w:b/>
              </w:rPr>
              <w:t>计费参数</w:t>
            </w:r>
          </w:p>
        </w:tc>
        <w:tc>
          <w:tcPr>
            <w:tcW w:type="dxa" w:w="3016"/>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650"/>
            </w:pPr>
            <w:r>
              <w:rPr>
                <w:sz w:val="18"/>
                <w:b/>
              </w:rPr>
              <w:t>参数描述</w:t>
            </w:r>
          </w:p>
        </w:tc>
        <w:tc>
          <w:tcPr>
            <w:tcW w:type="dxa" w:w="2840"/>
            <w:gridSpan w:val="3"/>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35"/>
              <w:ind w:left="1065"/>
            </w:pPr>
            <w:r>
              <w:rPr>
                <w:sz w:val="18"/>
                <w:b/>
              </w:rPr>
              <w:t>参数值</w:t>
            </w:r>
          </w:p>
        </w:tc>
      </w:tr>
      <w:tr>
        <w:tc>
          <w:tcPr>
            <w:tcW w:type="dxa" w:w="1508"/>
            <w:vMerge/>
            <w:tcBorders>
              <w:top w:val="none" w:color="000000" w:sz="4"/>
              <w:left w:val="single" w:color="000000" w:sz="8"/>
              <w:bottom w:val="none" w:color="000000" w:sz="4"/>
              <w:right w:val="single" w:color="000000" w:sz="4"/>
            </w:tcBorders>
          </w:tcPr>
          <w:p/>
        </w:tc>
        <w:tc>
          <w:tcPr>
            <w:tcW w:type="dxa" w:w="9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55"/>
              <w:ind w:left="180"/>
            </w:pPr>
            <w:r>
              <w:rPr>
                <w:sz w:val="18"/>
                <w:b/>
              </w:rPr>
              <w:t>结算电量</w:t>
            </w:r>
          </w:p>
        </w:tc>
        <w:tc>
          <w:tcPr>
            <w:tcW w:type="dxa" w:w="3016"/>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55"/>
              <w:ind w:left="450"/>
            </w:pPr>
            <w:r>
              <w:rPr>
                <w:sz w:val="18"/>
              </w:rPr>
              <w:t>固定价格部分电量占比（计量单位：</w:t>
            </w:r>
            <w:r>
              <w:rPr>
                <w:sz w:val="18"/>
              </w:rPr>
              <w:t>%）</w:t>
            </w:r>
          </w:p>
        </w:tc>
        <w:tc>
          <w:tcPr>
            <w:tcW w:type="dxa" w:w="2840"/>
            <w:gridSpan w:val="3"/>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90"/>
              <w:ind w:left="990" w:right="405"/>
            </w:pPr>
            <w:r>
              <w:rPr>
                <w:sz w:val="18"/>
              </w:rPr>
              <w:t>系统自动读取固定价格</w:t>
            </w:r>
            <w:r>
              <w:rPr>
                <w:sz w:val="18"/>
              </w:rPr>
              <w:t>电量占比</w:t>
            </w:r>
          </w:p>
        </w:tc>
      </w:tr>
      <w:tr>
        <w:tc>
          <w:tcPr>
            <w:tcW w:type="dxa" w:w="1508"/>
            <w:vMerge/>
            <w:tcBorders>
              <w:top w:val="none" w:color="000000" w:sz="4"/>
              <w:left w:val="single" w:color="000000" w:sz="8"/>
              <w:bottom w:val="none" w:color="000000" w:sz="4"/>
              <w:right w:val="single" w:color="000000" w:sz="4"/>
            </w:tcBorders>
          </w:tcPr>
          <w:p/>
        </w:tc>
        <w:tc>
          <w:tcPr>
            <w:tcW w:type="dxa" w:w="9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55"/>
              <w:ind w:left="255"/>
            </w:pPr>
            <w:r>
              <w:rPr>
                <w:sz w:val="18"/>
                <w:b/>
              </w:rPr>
              <w:t>基准值</w:t>
            </w:r>
          </w:p>
        </w:tc>
        <w:tc>
          <w:tcPr>
            <w:tcW w:type="dxa" w:w="3016"/>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20"/>
            </w:pPr>
            <w:r>
              <w:rPr>
                <w:sz w:val="18"/>
              </w:rPr>
              <w:t>当指数超过</w:t>
            </w:r>
            <w:r>
              <w:rPr>
                <w:sz w:val="18"/>
              </w:rPr>
              <w:t>/低于该参考基准值时，结算电价进行</w:t>
            </w:r>
          </w:p>
          <w:p>
            <w:pPr>
              <w:pStyle w:val="null3"/>
              <w:spacing w:before="135"/>
              <w:ind w:left="975"/>
            </w:pPr>
            <w:r>
              <w:rPr>
                <w:sz w:val="18"/>
              </w:rPr>
              <w:t>浮动（计量单位：元</w:t>
            </w:r>
            <w:r>
              <w:rPr>
                <w:sz w:val="18"/>
              </w:rPr>
              <w:t>/吨）</w:t>
            </w:r>
          </w:p>
        </w:tc>
        <w:tc>
          <w:tcPr>
            <w:tcW w:type="dxa" w:w="2840"/>
            <w:gridSpan w:val="3"/>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90"/>
              <w:ind w:left="885" w:right="405"/>
            </w:pPr>
            <w:r>
              <w:rPr>
                <w:sz w:val="18"/>
              </w:rPr>
              <w:t>交易中心发布签约月份煤炭参考价</w:t>
            </w:r>
          </w:p>
        </w:tc>
      </w:tr>
      <w:tr>
        <w:tc>
          <w:tcPr>
            <w:tcW w:type="dxa" w:w="1508"/>
            <w:vMerge/>
            <w:tcBorders>
              <w:top w:val="none" w:color="000000" w:sz="4"/>
              <w:left w:val="single" w:color="000000" w:sz="8"/>
              <w:bottom w:val="none" w:color="000000" w:sz="4"/>
              <w:right w:val="single" w:color="000000" w:sz="4"/>
            </w:tcBorders>
          </w:tcPr>
          <w:p/>
        </w:tc>
        <w:tc>
          <w:tcPr>
            <w:tcW w:type="dxa" w:w="940"/>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spacing w:before="255"/>
              <w:ind w:left="180"/>
            </w:pPr>
            <w:r>
              <w:rPr>
                <w:sz w:val="18"/>
                <w:b/>
              </w:rPr>
              <w:t>浮动单价</w:t>
            </w:r>
          </w:p>
        </w:tc>
        <w:tc>
          <w:tcPr>
            <w:tcW w:type="dxa" w:w="3016"/>
            <w:gridSpan w:val="3"/>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spacing w:before="90"/>
              <w:ind w:left="120"/>
            </w:pPr>
            <w:r>
              <w:rPr>
                <w:sz w:val="18"/>
              </w:rPr>
              <w:t>当指数超过基准值每</w:t>
            </w:r>
            <w:r>
              <w:rPr/>
              <w:t xml:space="preserve"> </w:t>
            </w:r>
            <w:r>
              <w:rPr>
                <w:sz w:val="18"/>
              </w:rPr>
              <w:t>100</w:t>
            </w:r>
            <w:r>
              <w:rPr/>
              <w:t xml:space="preserve"> </w:t>
            </w:r>
            <w:r>
              <w:rPr>
                <w:sz w:val="18"/>
              </w:rPr>
              <w:t>元</w:t>
            </w:r>
            <w:r>
              <w:rPr>
                <w:sz w:val="18"/>
              </w:rPr>
              <w:t>/吨时，结算电价上下</w:t>
            </w:r>
          </w:p>
          <w:p>
            <w:pPr>
              <w:pStyle w:val="null3"/>
              <w:spacing w:before="135"/>
              <w:ind w:left="525"/>
            </w:pPr>
            <w:r>
              <w:rPr>
                <w:sz w:val="18"/>
              </w:rPr>
              <w:t>浮动的幅度（计量单位：元</w:t>
            </w:r>
            <w:r>
              <w:rPr>
                <w:sz w:val="18"/>
              </w:rPr>
              <w:t>/兆瓦时）</w:t>
            </w:r>
          </w:p>
        </w:tc>
        <w:tc>
          <w:tcPr>
            <w:tcW w:type="dxa" w:w="2840"/>
            <w:gridSpan w:val="3"/>
            <w:tcBorders>
              <w:top w:val="none" w:color="000000" w:sz="4"/>
              <w:left w:val="single" w:color="000000" w:sz="4"/>
              <w:bottom w:val="single" w:color="000000" w:sz="8"/>
              <w:right w:val="single" w:color="000000" w:sz="4"/>
            </w:tcBorders>
            <w:shd w:fill="BDD6EE"/>
            <w:tcMar>
              <w:top w:type="dxa" w:w="0"/>
              <w:left w:type="dxa" w:w="0"/>
              <w:bottom w:type="dxa" w:w="0"/>
              <w:right w:type="dxa" w:w="0"/>
            </w:tcMar>
            <w:vAlign w:val="top"/>
          </w:tcPr>
          <w:p>
            <w:pPr>
              <w:pStyle w:val="null3"/>
              <w:spacing w:before="90"/>
              <w:ind w:left="705"/>
            </w:pPr>
            <w:r>
              <w:rPr>
                <w:sz w:val="18"/>
              </w:rPr>
              <w:t>双方约定填报，</w:t>
            </w:r>
          </w:p>
          <w:p>
            <w:pPr>
              <w:pStyle w:val="null3"/>
              <w:spacing w:before="135"/>
              <w:ind w:left="525"/>
            </w:pPr>
            <w:r>
              <w:rPr>
                <w:sz w:val="18"/>
              </w:rPr>
              <w:t>需在规则规定范围内</w:t>
            </w:r>
          </w:p>
        </w:tc>
      </w:tr>
      <w:tr>
        <w:tc>
          <w:tcPr>
            <w:tcW w:type="dxa" w:w="1508"/>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sz w:val="18"/>
                <w:b/>
              </w:rPr>
              <w:t>四、市场风控条款</w:t>
            </w:r>
          </w:p>
        </w:tc>
        <w:tc>
          <w:tcPr>
            <w:tcW w:type="dxa" w:w="6796"/>
            <w:gridSpan w:val="7"/>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90"/>
              <w:ind w:left="105" w:right="165" w:firstLine="13"/>
            </w:pPr>
            <w:r>
              <w:rPr>
                <w:sz w:val="18"/>
                <w:b/>
              </w:rPr>
              <w:t>1.本合同履行期间，当结算月份甲方平段电量结算价较结算月批发</w:t>
            </w:r>
            <w:r>
              <w:rPr>
                <w:sz w:val="18"/>
                <w:b/>
              </w:rPr>
              <w:t>均价超过</w:t>
            </w:r>
            <w:r>
              <w:rPr/>
              <w:t xml:space="preserve"> </w:t>
            </w:r>
            <w:r>
              <w:rPr>
                <w:sz w:val="18"/>
                <w:b/>
              </w:rPr>
              <w:t>15%或低于</w:t>
            </w:r>
            <w:r>
              <w:rPr/>
              <w:t xml:space="preserve"> </w:t>
            </w:r>
            <w:r>
              <w:rPr>
                <w:sz w:val="18"/>
                <w:b/>
              </w:rPr>
              <w:t>20%时，</w:t>
            </w:r>
            <w:r>
              <w:rPr>
                <w:sz w:val="18"/>
                <w:b/>
              </w:rPr>
              <w:t>双方执行超额电费共担条款，</w:t>
            </w:r>
          </w:p>
          <w:p>
            <w:pPr>
              <w:pStyle w:val="null3"/>
              <w:spacing w:before="135"/>
              <w:ind w:left="105" w:right="105"/>
            </w:pPr>
            <w:r>
              <w:rPr>
                <w:sz w:val="18"/>
                <w:b/>
              </w:rPr>
              <w:t>2.本合同履行期间，当结算月份甲方平段电量结算价较结算月批发均</w:t>
            </w:r>
            <w:r>
              <w:rPr>
                <w:sz w:val="18"/>
                <w:b/>
              </w:rPr>
              <w:t>价超过</w:t>
            </w:r>
            <w:r>
              <w:rPr/>
              <w:t xml:space="preserve"> </w:t>
            </w:r>
            <w:r>
              <w:rPr>
                <w:sz w:val="18"/>
                <w:b/>
              </w:rPr>
              <w:t>15%时，甲方有权在行权期限内执行单方解约条款。</w:t>
            </w:r>
          </w:p>
          <w:p>
            <w:pPr>
              <w:pStyle w:val="null3"/>
              <w:spacing w:before="135"/>
              <w:ind w:left="105"/>
            </w:pPr>
            <w:r>
              <w:rPr>
                <w:sz w:val="18"/>
                <w:b/>
              </w:rPr>
              <w:t>具体内容详见附件二电能量零售交易说明第</w:t>
            </w:r>
            <w:r>
              <w:rPr/>
              <w:t xml:space="preserve"> </w:t>
            </w:r>
            <w:r>
              <w:rPr>
                <w:sz w:val="18"/>
                <w:b/>
              </w:rPr>
              <w:t>4</w:t>
            </w:r>
            <w:r>
              <w:rPr/>
              <w:t xml:space="preserve"> </w:t>
            </w:r>
            <w:r>
              <w:rPr>
                <w:sz w:val="18"/>
                <w:b/>
              </w:rPr>
              <w:t>点市场风控条款。</w:t>
            </w:r>
          </w:p>
        </w:tc>
      </w:tr>
      <w:tr>
        <w:tc>
          <w:tcPr>
            <w:tcW w:type="dxa" w:w="1508"/>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270"/>
              <w:ind w:left="135"/>
            </w:pPr>
            <w:r>
              <w:rPr>
                <w:sz w:val="18"/>
                <w:b/>
              </w:rPr>
              <w:t>五、违约赔偿条款</w:t>
            </w:r>
          </w:p>
        </w:tc>
        <w:tc>
          <w:tcPr>
            <w:tcW w:type="dxa" w:w="6796"/>
            <w:gridSpan w:val="7"/>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90"/>
              <w:ind w:left="120" w:right="90"/>
            </w:pPr>
            <w:r>
              <w:rPr>
                <w:sz w:val="18"/>
              </w:rPr>
              <w:t>当任何一方违反本合同约定出现违约行为，违约方应向守约方支付违约造成的经</w:t>
            </w:r>
            <w:r>
              <w:rPr>
                <w:sz w:val="18"/>
              </w:rPr>
              <w:t>济损失，违约金的计算标准为</w:t>
            </w:r>
            <w:r>
              <w:rPr>
                <w:sz w:val="18"/>
              </w:rPr>
              <w:t>：</w:t>
            </w:r>
            <w:r>
              <w:rPr>
                <w:u w:val="single"/>
              </w:rPr>
              <w:t xml:space="preserve">                         </w:t>
            </w:r>
            <w:r>
              <w:rPr/>
              <w:t xml:space="preserve"> </w:t>
            </w:r>
            <w:r>
              <w:rPr>
                <w:sz w:val="18"/>
              </w:rPr>
              <w:t>，</w:t>
            </w:r>
            <w:r>
              <w:rPr>
                <w:sz w:val="18"/>
              </w:rPr>
              <w:t>该违约金由双方自行结算赔偿。</w:t>
            </w:r>
          </w:p>
        </w:tc>
      </w:tr>
      <w:tr>
        <w:tc>
          <w:tcPr>
            <w:tcW w:type="dxa" w:w="1508"/>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105"/>
              <w:ind w:left="405" w:right="135"/>
            </w:pPr>
            <w:r>
              <w:rPr>
                <w:sz w:val="18"/>
                <w:b/>
              </w:rPr>
              <w:t>六、争议解决条款</w:t>
            </w:r>
            <w:r>
              <w:rPr>
                <w:sz w:val="18"/>
                <w:b/>
              </w:rPr>
              <w:t>（二选一）</w:t>
            </w:r>
          </w:p>
        </w:tc>
        <w:tc>
          <w:tcPr>
            <w:tcW w:type="dxa" w:w="3130"/>
            <w:gridSpan w:val="3"/>
            <w:tcBorders>
              <w:top w:val="none" w:color="000000" w:sz="4"/>
              <w:left w:val="single" w:color="000000" w:sz="4"/>
              <w:bottom w:val="single" w:color="000000" w:sz="4"/>
              <w:right w:val="single" w:color="000000" w:sz="8"/>
            </w:tcBorders>
            <w:shd w:fill="BDD6EE"/>
            <w:tcMar>
              <w:top w:type="dxa" w:w="0"/>
              <w:left w:type="dxa" w:w="0"/>
              <w:bottom w:type="dxa" w:w="0"/>
              <w:right w:type="dxa" w:w="0"/>
            </w:tcMar>
            <w:vAlign w:val="top"/>
          </w:tcPr>
          <w:p>
            <w:pPr>
              <w:pStyle w:val="null3"/>
              <w:spacing w:before="255"/>
              <w:ind w:left="150"/>
            </w:pPr>
            <w:r>
              <w:rPr>
                <w:sz w:val="18"/>
                <w:b/>
              </w:rPr>
              <w:t>o</w:t>
            </w:r>
            <w:r>
              <w:rPr/>
              <w:t xml:space="preserve"> </w:t>
            </w:r>
            <w:r>
              <w:rPr>
                <w:sz w:val="18"/>
                <w:b/>
              </w:rPr>
              <w:t>提请中国广州仲裁委员会仲裁</w:t>
            </w:r>
          </w:p>
        </w:tc>
        <w:tc>
          <w:tcPr>
            <w:tcW w:type="dxa" w:w="3666"/>
            <w:gridSpan w:val="4"/>
            <w:tcBorders>
              <w:top w:val="single" w:color="000000" w:sz="4"/>
              <w:left w:val="none" w:color="000000" w:sz="4"/>
              <w:bottom w:val="single" w:color="000000" w:sz="4"/>
              <w:right w:val="single" w:color="000000" w:sz="8"/>
            </w:tcBorders>
            <w:shd w:fill="BDD6EE"/>
            <w:tcMar>
              <w:top w:type="dxa" w:w="0"/>
              <w:left w:type="dxa" w:w="0"/>
              <w:bottom w:type="dxa" w:w="0"/>
              <w:right w:type="dxa" w:w="0"/>
            </w:tcMar>
            <w:vAlign w:val="top"/>
          </w:tcPr>
          <w:p>
            <w:pPr>
              <w:pStyle w:val="null3"/>
              <w:spacing w:before="255"/>
              <w:ind w:left="1125"/>
            </w:pPr>
            <w:r>
              <w:rPr>
                <w:sz w:val="18"/>
                <w:b/>
              </w:rPr>
              <w:t>o</w:t>
            </w:r>
            <w:r>
              <w:rPr/>
              <w:t xml:space="preserve"> </w:t>
            </w:r>
            <w:r>
              <w:rPr>
                <w:sz w:val="18"/>
                <w:b/>
              </w:rPr>
              <w:t>提交原告所在地人民法院诉讼</w:t>
            </w:r>
          </w:p>
        </w:tc>
      </w:tr>
      <w:tr>
        <w:tc>
          <w:tcPr>
            <w:tcW w:type="dxa" w:w="1508"/>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105"/>
              <w:ind w:left="495" w:right="315"/>
            </w:pPr>
            <w:r>
              <w:rPr>
                <w:sz w:val="18"/>
                <w:b/>
              </w:rPr>
              <w:t>七、廉洁声明</w:t>
            </w:r>
            <w:r>
              <w:rPr>
                <w:sz w:val="18"/>
                <w:b/>
              </w:rPr>
              <w:t>（可选）</w:t>
            </w:r>
          </w:p>
        </w:tc>
        <w:tc>
          <w:tcPr>
            <w:tcW w:type="dxa" w:w="3130"/>
            <w:gridSpan w:val="3"/>
            <w:tcBorders>
              <w:top w:val="none" w:color="000000" w:sz="4"/>
              <w:left w:val="single" w:color="000000" w:sz="4"/>
              <w:bottom w:val="single" w:color="000000" w:sz="4"/>
              <w:right w:val="single" w:color="000000" w:sz="8"/>
            </w:tcBorders>
            <w:shd w:fill="BDD6EE"/>
            <w:tcMar>
              <w:top w:type="dxa" w:w="0"/>
              <w:left w:type="dxa" w:w="0"/>
              <w:bottom w:type="dxa" w:w="0"/>
              <w:right w:type="dxa" w:w="0"/>
            </w:tcMar>
            <w:vAlign w:val="top"/>
          </w:tcPr>
          <w:p>
            <w:pPr>
              <w:pStyle w:val="null3"/>
              <w:spacing w:before="255"/>
              <w:ind w:left="330"/>
            </w:pPr>
            <w:r>
              <w:rPr>
                <w:sz w:val="18"/>
                <w:b/>
              </w:rPr>
              <w:t>o</w:t>
            </w:r>
            <w:r>
              <w:rPr/>
              <w:t xml:space="preserve"> </w:t>
            </w:r>
            <w:r>
              <w:rPr>
                <w:sz w:val="18"/>
                <w:b/>
              </w:rPr>
              <w:t>设置廉洁声明（附件四）</w:t>
            </w:r>
          </w:p>
        </w:tc>
        <w:tc>
          <w:tcPr>
            <w:tcW w:type="dxa" w:w="3666"/>
            <w:gridSpan w:val="4"/>
            <w:tcBorders>
              <w:top w:val="none" w:color="000000" w:sz="4"/>
              <w:left w:val="none" w:color="000000" w:sz="4"/>
              <w:bottom w:val="single" w:color="000000" w:sz="4"/>
              <w:right w:val="single" w:color="000000" w:sz="8"/>
            </w:tcBorders>
            <w:shd w:fill="BDD6EE"/>
            <w:tcMar>
              <w:top w:type="dxa" w:w="0"/>
              <w:left w:type="dxa" w:w="0"/>
              <w:bottom w:type="dxa" w:w="0"/>
              <w:right w:type="dxa" w:w="0"/>
            </w:tcMar>
            <w:vAlign w:val="top"/>
          </w:tcPr>
          <w:p>
            <w:pPr>
              <w:pStyle w:val="null3"/>
              <w:spacing w:before="255"/>
              <w:ind w:left="1665"/>
            </w:pPr>
            <w:r>
              <w:rPr>
                <w:sz w:val="18"/>
                <w:b/>
              </w:rPr>
              <w:t>o</w:t>
            </w:r>
            <w:r>
              <w:rPr/>
              <w:t xml:space="preserve"> </w:t>
            </w:r>
            <w:r>
              <w:rPr>
                <w:sz w:val="18"/>
                <w:b/>
              </w:rPr>
              <w:t>不设置廉洁声明</w:t>
            </w:r>
          </w:p>
        </w:tc>
      </w:tr>
      <w:tr>
        <w:tc>
          <w:tcPr>
            <w:tcW w:type="dxa" w:w="8304"/>
            <w:gridSpan w:val="8"/>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spacing w:before="180"/>
              <w:ind w:left="105"/>
            </w:pPr>
            <w:r>
              <w:rPr>
                <w:sz w:val="18"/>
                <w:b/>
              </w:rPr>
              <w:t>备注：</w:t>
            </w:r>
          </w:p>
          <w:p>
            <w:pPr>
              <w:pStyle w:val="null3"/>
              <w:spacing w:before="180"/>
              <w:ind w:left="120"/>
            </w:pPr>
            <w:r>
              <w:rPr>
                <w:sz w:val="18"/>
                <w:b/>
              </w:rPr>
              <w:t>1</w:t>
            </w:r>
            <w:r>
              <w:rPr/>
              <w:t xml:space="preserve"> </w:t>
            </w:r>
            <w:r>
              <w:rPr>
                <w:sz w:val="18"/>
                <w:b/>
              </w:rPr>
              <w:t>兆瓦时等于</w:t>
            </w:r>
            <w:r>
              <w:rPr/>
              <w:t xml:space="preserve"> </w:t>
            </w:r>
            <w:r>
              <w:rPr>
                <w:sz w:val="18"/>
                <w:b/>
              </w:rPr>
              <w:t>1000</w:t>
            </w:r>
            <w:r>
              <w:rPr/>
              <w:t xml:space="preserve"> </w:t>
            </w:r>
            <w:r>
              <w:rPr>
                <w:sz w:val="18"/>
                <w:b/>
              </w:rPr>
              <w:t>千瓦时，</w:t>
            </w:r>
            <w:r>
              <w:rPr>
                <w:sz w:val="18"/>
                <w:b/>
              </w:rPr>
              <w:t>100</w:t>
            </w:r>
            <w:r>
              <w:rPr/>
              <w:t xml:space="preserve"> </w:t>
            </w:r>
            <w:r>
              <w:rPr>
                <w:sz w:val="18"/>
                <w:b/>
              </w:rPr>
              <w:t>元</w:t>
            </w:r>
            <w:r>
              <w:rPr>
                <w:sz w:val="18"/>
                <w:b/>
              </w:rPr>
              <w:t>/兆瓦时等于</w:t>
            </w:r>
            <w:r>
              <w:rPr/>
              <w:t xml:space="preserve"> </w:t>
            </w:r>
            <w:r>
              <w:rPr>
                <w:sz w:val="18"/>
                <w:b/>
              </w:rPr>
              <w:t>0.1</w:t>
            </w:r>
            <w:r>
              <w:rPr/>
              <w:t xml:space="preserve"> </w:t>
            </w:r>
            <w:r>
              <w:rPr>
                <w:sz w:val="18"/>
                <w:b/>
              </w:rPr>
              <w:t>元</w:t>
            </w:r>
            <w:r>
              <w:rPr>
                <w:sz w:val="18"/>
                <w:b/>
              </w:rPr>
              <w:t>/千瓦时。</w:t>
            </w:r>
          </w:p>
          <w:p>
            <w:pPr>
              <w:pStyle w:val="null3"/>
              <w:spacing w:before="180"/>
              <w:ind w:left="105"/>
            </w:pPr>
            <w:r>
              <w:rPr>
                <w:sz w:val="18"/>
                <w:b/>
              </w:rPr>
              <w:t>2.固定价格模式“合同约定的电量比例</w:t>
            </w:r>
            <w:r>
              <w:rPr/>
              <w:t xml:space="preserve"> </w:t>
            </w:r>
            <w:r>
              <w:rPr>
                <w:sz w:val="18"/>
                <w:b/>
              </w:rPr>
              <w:t>”占比为</w:t>
            </w:r>
            <w:r>
              <w:rPr/>
              <w:t xml:space="preserve"> </w:t>
            </w:r>
            <w:r>
              <w:rPr>
                <w:sz w:val="18"/>
                <w:b/>
              </w:rPr>
              <w:t>70-90%之间。</w:t>
            </w:r>
          </w:p>
          <w:p>
            <w:pPr>
              <w:pStyle w:val="null3"/>
              <w:spacing w:before="180"/>
              <w:ind w:left="105" w:right="120"/>
            </w:pPr>
            <w:r>
              <w:rPr>
                <w:sz w:val="18"/>
                <w:b/>
              </w:rPr>
              <w:t>3.固定平段价格上限为</w:t>
            </w:r>
            <w:r>
              <w:rPr/>
              <w:t xml:space="preserve"> </w:t>
            </w:r>
            <w:r>
              <w:rPr>
                <w:sz w:val="18"/>
                <w:b/>
              </w:rPr>
              <w:t>554</w:t>
            </w:r>
            <w:r>
              <w:rPr/>
              <w:t xml:space="preserve"> </w:t>
            </w:r>
            <w:r>
              <w:rPr>
                <w:sz w:val="18"/>
                <w:b/>
              </w:rPr>
              <w:t>元</w:t>
            </w:r>
            <w:r>
              <w:rPr>
                <w:sz w:val="18"/>
                <w:b/>
              </w:rPr>
              <w:t>/兆瓦时，下限为</w:t>
            </w:r>
            <w:r>
              <w:rPr/>
              <w:t xml:space="preserve"> </w:t>
            </w:r>
            <w:r>
              <w:rPr>
                <w:sz w:val="18"/>
                <w:b/>
              </w:rPr>
              <w:t>372</w:t>
            </w:r>
            <w:r>
              <w:rPr/>
              <w:t xml:space="preserve"> </w:t>
            </w:r>
            <w:r>
              <w:rPr>
                <w:sz w:val="18"/>
                <w:b/>
              </w:rPr>
              <w:t>元</w:t>
            </w:r>
            <w:r>
              <w:rPr>
                <w:sz w:val="18"/>
                <w:b/>
              </w:rPr>
              <w:t>/兆瓦时，按照签约时点广东电力零售市场最</w:t>
            </w:r>
            <w:r>
              <w:rPr>
                <w:sz w:val="18"/>
                <w:b/>
              </w:rPr>
              <w:t>新参数限值要求执</w:t>
            </w:r>
            <w:r>
              <w:rPr>
                <w:sz w:val="18"/>
                <w:b/>
              </w:rPr>
              <w:t>行。</w:t>
            </w:r>
          </w:p>
          <w:p>
            <w:pPr>
              <w:pStyle w:val="null3"/>
              <w:spacing w:before="180"/>
              <w:ind w:left="135"/>
            </w:pPr>
            <w:r>
              <w:rPr>
                <w:sz w:val="18"/>
                <w:b/>
              </w:rPr>
              <w:t>4.市场联动价格“合同约定的电量比例</w:t>
            </w:r>
            <w:r>
              <w:rPr/>
              <w:t xml:space="preserve"> </w:t>
            </w:r>
            <w:r>
              <w:rPr>
                <w:sz w:val="18"/>
                <w:b/>
              </w:rPr>
              <w:t>”占比之和为</w:t>
            </w:r>
            <w:r>
              <w:rPr/>
              <w:t xml:space="preserve"> </w:t>
            </w:r>
            <w:r>
              <w:rPr>
                <w:sz w:val="18"/>
                <w:b/>
              </w:rPr>
              <w:t>10-30%之间，</w:t>
            </w:r>
            <w:r>
              <w:rPr>
                <w:sz w:val="18"/>
                <w:b/>
              </w:rPr>
              <w:t>其中现货市场联动价格的</w:t>
            </w:r>
            <w:r>
              <w:rPr>
                <w:sz w:val="18"/>
                <w:b/>
              </w:rPr>
              <w:t>“合同约定的电量比例</w:t>
            </w:r>
            <w:r>
              <w:rPr/>
              <w:t xml:space="preserve"> </w:t>
            </w:r>
            <w:r>
              <w:rPr>
                <w:sz w:val="18"/>
                <w:b/>
              </w:rPr>
              <w:t>”</w:t>
            </w:r>
            <w:r>
              <w:rPr>
                <w:sz w:val="18"/>
                <w:b/>
              </w:rPr>
              <w:t>占比为</w:t>
            </w:r>
            <w:r>
              <w:rPr/>
              <w:t xml:space="preserve"> </w:t>
            </w:r>
            <w:r>
              <w:rPr>
                <w:sz w:val="18"/>
                <w:b/>
              </w:rPr>
              <w:t>8-15%之间。市场联动“合同约定的电量</w:t>
            </w:r>
            <w:r>
              <w:rPr>
                <w:sz w:val="18"/>
                <w:b/>
              </w:rPr>
              <w:t>比例</w:t>
            </w:r>
            <w:r>
              <w:rPr/>
              <w:t xml:space="preserve"> </w:t>
            </w:r>
            <w:r>
              <w:rPr>
                <w:sz w:val="18"/>
                <w:b/>
              </w:rPr>
              <w:t>”与固定价格“合同约定的电量比例</w:t>
            </w:r>
            <w:r>
              <w:rPr/>
              <w:t xml:space="preserve"> </w:t>
            </w:r>
            <w:r>
              <w:rPr>
                <w:sz w:val="18"/>
                <w:b/>
              </w:rPr>
              <w:t>”两者之和需等于</w:t>
            </w:r>
            <w:r>
              <w:rPr/>
              <w:t xml:space="preserve"> </w:t>
            </w:r>
            <w:r>
              <w:rPr>
                <w:sz w:val="18"/>
                <w:b/>
              </w:rPr>
              <w:t>100%。</w:t>
            </w:r>
          </w:p>
          <w:p>
            <w:pPr>
              <w:pStyle w:val="null3"/>
              <w:spacing w:before="195"/>
              <w:ind w:left="105"/>
            </w:pPr>
            <w:r>
              <w:rPr>
                <w:sz w:val="18"/>
                <w:b/>
              </w:rPr>
              <w:t>5.煤电联动浮动单价范围为</w:t>
            </w:r>
            <w:r>
              <w:rPr/>
              <w:t xml:space="preserve"> </w:t>
            </w:r>
            <w:r>
              <w:rPr>
                <w:sz w:val="18"/>
                <w:b/>
              </w:rPr>
              <w:t>0-50</w:t>
            </w:r>
            <w:r>
              <w:rPr/>
              <w:t xml:space="preserve"> </w:t>
            </w:r>
            <w:r>
              <w:rPr>
                <w:sz w:val="18"/>
                <w:b/>
              </w:rPr>
              <w:t>元</w:t>
            </w:r>
            <w:r>
              <w:rPr>
                <w:sz w:val="18"/>
                <w:b/>
              </w:rPr>
              <w:t>/兆瓦时。</w:t>
            </w:r>
          </w:p>
        </w:tc>
      </w:tr>
    </w:tbl>
    <w:p>
      <w:pPr>
        <w:pStyle w:val="null3"/>
      </w:pPr>
      <w:r>
        <w:rPr/>
        <w:t xml:space="preserve"> </w:t>
      </w:r>
    </w:p>
    <w:p>
      <w:pPr>
        <w:pStyle w:val="null3"/>
        <w:spacing w:before="90"/>
        <w:ind w:left="2730"/>
      </w:pPr>
      <w:r>
        <w:rPr>
          <w:sz w:val="24"/>
          <w:b/>
        </w:rPr>
        <w:t>附件二</w:t>
      </w:r>
      <w:r>
        <w:rPr>
          <w:sz w:val="19"/>
        </w:rPr>
        <w:t xml:space="preserve"> </w:t>
      </w:r>
      <w:r>
        <w:rPr>
          <w:sz w:val="24"/>
          <w:b/>
        </w:rPr>
        <w:t>电能量零售交易套餐模式说明</w:t>
      </w:r>
    </w:p>
    <w:p>
      <w:pPr>
        <w:pStyle w:val="null3"/>
        <w:spacing w:before="105"/>
        <w:ind w:left="615" w:right="585" w:firstLine="497"/>
      </w:pPr>
      <w:r>
        <w:rPr>
          <w:sz w:val="24"/>
        </w:rPr>
        <w:t>以下对电能量零售交易套餐模式进行综合性说明，如后续市场政</w:t>
      </w:r>
      <w:r>
        <w:rPr>
          <w:sz w:val="24"/>
        </w:rPr>
        <w:t>策及规则发</w:t>
      </w:r>
      <w:r>
        <w:rPr>
          <w:sz w:val="24"/>
        </w:rPr>
        <w:t>生调整，相关计算方式作相应调整。</w:t>
      </w:r>
    </w:p>
    <w:p>
      <w:pPr>
        <w:pStyle w:val="null3"/>
        <w:spacing w:before="120"/>
        <w:ind w:left="495"/>
      </w:pPr>
      <w:r>
        <w:rPr>
          <w:sz w:val="24"/>
          <w:b/>
        </w:rPr>
        <w:t>1. 固定价格模式（必选条款）</w:t>
      </w:r>
    </w:p>
    <w:p>
      <w:pPr>
        <w:pStyle w:val="null3"/>
        <w:spacing w:before="75"/>
        <w:ind w:left="600" w:right="585" w:firstLine="490"/>
      </w:pPr>
      <w:r>
        <w:rPr>
          <w:sz w:val="24"/>
        </w:rPr>
        <w:t>固定价格电费</w:t>
      </w:r>
      <w:r>
        <w:rPr>
          <w:sz w:val="24"/>
        </w:rPr>
        <w:t>=用户（峰/平/谷）实际用电量</w:t>
      </w:r>
      <w:r>
        <w:rPr>
          <w:sz w:val="24"/>
        </w:rPr>
        <w:t>×合同约定的固定价格电量比例×合同约定的固定（峰/平/谷）价格</w:t>
      </w:r>
    </w:p>
    <w:p>
      <w:pPr>
        <w:pStyle w:val="null3"/>
        <w:spacing w:before="60"/>
        <w:ind w:left="510"/>
      </w:pPr>
      <w:r>
        <w:rPr>
          <w:sz w:val="24"/>
        </w:rPr>
        <w:t>其中：峰（谷）价格</w:t>
      </w:r>
      <w:r>
        <w:rPr>
          <w:sz w:val="24"/>
        </w:rPr>
        <w:t>=平段价格×峰（谷）系数</w:t>
      </w:r>
    </w:p>
    <w:p>
      <w:pPr>
        <w:pStyle w:val="null3"/>
        <w:spacing w:before="120"/>
        <w:ind w:left="495"/>
      </w:pPr>
      <w:r>
        <w:rPr>
          <w:sz w:val="24"/>
          <w:b/>
        </w:rPr>
        <w:t>（</w:t>
      </w:r>
      <w:r>
        <w:rPr>
          <w:sz w:val="24"/>
          <w:b/>
        </w:rPr>
        <w:t>1）电量比例</w:t>
      </w:r>
    </w:p>
    <w:p>
      <w:pPr>
        <w:pStyle w:val="null3"/>
        <w:spacing w:before="120"/>
        <w:ind w:left="30" w:right="15" w:firstLine="499"/>
      </w:pPr>
      <w:r>
        <w:rPr>
          <w:sz w:val="24"/>
          <w:b/>
        </w:rPr>
        <w:t>固定价格模式</w:t>
      </w:r>
      <w:r>
        <w:rPr>
          <w:sz w:val="22"/>
        </w:rPr>
        <w:t xml:space="preserve"> </w:t>
      </w:r>
      <w:r>
        <w:rPr>
          <w:sz w:val="24"/>
          <w:b/>
        </w:rPr>
        <w:t>“合同约定的电量比例”</w:t>
      </w:r>
      <w:r>
        <w:rPr>
          <w:sz w:val="22"/>
        </w:rPr>
        <w:t xml:space="preserve"> </w:t>
      </w:r>
      <w:r>
        <w:rPr>
          <w:sz w:val="24"/>
          <w:b/>
        </w:rPr>
        <w:t>占比为</w:t>
      </w:r>
      <w:r>
        <w:rPr>
          <w:sz w:val="24"/>
          <w:b/>
        </w:rPr>
        <w:t>70-90%之间。具体</w:t>
      </w:r>
      <w:r>
        <w:rPr>
          <w:sz w:val="24"/>
          <w:b/>
        </w:rPr>
        <w:t>数值范围</w:t>
      </w:r>
      <w:r>
        <w:rPr>
          <w:sz w:val="24"/>
          <w:b/>
        </w:rPr>
        <w:t>按签约时点政府主管部门最新发布参数限值要求</w:t>
      </w:r>
      <w:r>
        <w:rPr>
          <w:sz w:val="24"/>
          <w:b/>
        </w:rPr>
        <w:t>执行。</w:t>
      </w:r>
    </w:p>
    <w:p>
      <w:pPr>
        <w:pStyle w:val="null3"/>
        <w:ind w:left="30" w:right="15" w:firstLine="494"/>
      </w:pPr>
      <w:r>
        <w:rPr>
          <w:sz w:val="24"/>
        </w:rPr>
        <w:t>固定价格</w:t>
      </w:r>
      <w:r>
        <w:rPr>
          <w:sz w:val="24"/>
        </w:rPr>
        <w:t>“合同约定的电量比例”与附件一第二点市场联动“合同约定的电</w:t>
      </w:r>
      <w:r>
        <w:rPr>
          <w:sz w:val="24"/>
        </w:rPr>
        <w:t>量比例</w:t>
      </w:r>
      <w:r>
        <w:rPr>
          <w:sz w:val="24"/>
        </w:rPr>
        <w:t>”两者之和需等于</w:t>
      </w:r>
      <w:r>
        <w:rPr>
          <w:sz w:val="22"/>
        </w:rPr>
        <w:t xml:space="preserve"> </w:t>
      </w:r>
      <w:r>
        <w:rPr>
          <w:sz w:val="24"/>
        </w:rPr>
        <w:t>100%。</w:t>
      </w:r>
    </w:p>
    <w:p>
      <w:pPr>
        <w:pStyle w:val="null3"/>
        <w:ind w:left="495"/>
      </w:pPr>
      <w:r>
        <w:rPr>
          <w:sz w:val="24"/>
          <w:b/>
        </w:rPr>
        <w:t>（</w:t>
      </w:r>
      <w:r>
        <w:rPr>
          <w:sz w:val="24"/>
          <w:b/>
        </w:rPr>
        <w:t>2）价格范围</w:t>
      </w:r>
    </w:p>
    <w:p>
      <w:pPr>
        <w:pStyle w:val="null3"/>
        <w:spacing w:before="120"/>
        <w:ind w:left="30" w:right="15" w:firstLine="470"/>
      </w:pPr>
      <w:r>
        <w:rPr>
          <w:sz w:val="24"/>
          <w:b/>
        </w:rPr>
        <w:t>平段价格上限为</w:t>
      </w:r>
      <w:r>
        <w:rPr>
          <w:sz w:val="24"/>
          <w:b/>
        </w:rPr>
        <w:t>554</w:t>
      </w:r>
      <w:r>
        <w:rPr>
          <w:sz w:val="22"/>
          <w:b/>
        </w:rPr>
        <w:t xml:space="preserve"> </w:t>
      </w:r>
      <w:r>
        <w:rPr>
          <w:sz w:val="24"/>
          <w:b/>
        </w:rPr>
        <w:t>元</w:t>
      </w:r>
      <w:r>
        <w:rPr>
          <w:sz w:val="24"/>
          <w:b/>
        </w:rPr>
        <w:t>/兆瓦时，下限为372</w:t>
      </w:r>
      <w:r>
        <w:rPr>
          <w:sz w:val="22"/>
          <w:b/>
        </w:rPr>
        <w:t xml:space="preserve"> </w:t>
      </w:r>
      <w:r>
        <w:rPr>
          <w:sz w:val="24"/>
          <w:b/>
        </w:rPr>
        <w:t>元</w:t>
      </w:r>
      <w:r>
        <w:rPr>
          <w:sz w:val="24"/>
          <w:b/>
        </w:rPr>
        <w:t>/兆瓦时。具体数值范围按签</w:t>
      </w:r>
      <w:r>
        <w:rPr>
          <w:sz w:val="24"/>
          <w:b/>
        </w:rPr>
        <w:t>约时点政府主管部门最新发布的参数限值要求执行。</w:t>
      </w:r>
    </w:p>
    <w:p>
      <w:pPr>
        <w:pStyle w:val="null3"/>
        <w:ind w:left="495"/>
      </w:pPr>
      <w:r>
        <w:rPr>
          <w:sz w:val="24"/>
          <w:b/>
        </w:rPr>
        <w:t>（</w:t>
      </w:r>
      <w:r>
        <w:rPr>
          <w:sz w:val="24"/>
          <w:b/>
        </w:rPr>
        <w:t>3</w:t>
      </w:r>
      <w:r>
        <w:rPr>
          <w:sz w:val="22"/>
          <w:b/>
        </w:rPr>
        <w:t xml:space="preserve"> </w:t>
      </w:r>
      <w:r>
        <w:rPr>
          <w:sz w:val="24"/>
          <w:b/>
        </w:rPr>
        <w:t>）峰谷比价</w:t>
      </w:r>
    </w:p>
    <w:p>
      <w:pPr>
        <w:pStyle w:val="null3"/>
        <w:spacing w:before="120"/>
        <w:ind w:left="30" w:right="15" w:firstLine="486"/>
        <w:jc w:val="both"/>
      </w:pPr>
      <w:r>
        <w:rPr>
          <w:sz w:val="24"/>
        </w:rPr>
        <w:t>峰谷分时用户（计量点）须执行峰谷价格，非峰</w:t>
      </w:r>
      <w:r>
        <w:rPr>
          <w:sz w:val="24"/>
        </w:rPr>
        <w:t>谷分时用户（计量点）仅执</w:t>
      </w:r>
      <w:r>
        <w:rPr>
          <w:sz w:val="24"/>
        </w:rPr>
        <w:t>行平段价格。峰谷电价按对应的比价关系和用户计量点所在地区执行。其中广东省内（含增量配网，不含深圳）计量点峰谷电价比例：</w:t>
      </w:r>
      <w:r>
        <w:rPr>
          <w:sz w:val="24"/>
        </w:rPr>
        <w:t>1.7:1:0.38；深圳（含增量</w:t>
      </w:r>
      <w:r>
        <w:rPr>
          <w:sz w:val="24"/>
        </w:rPr>
        <w:t>配网）计量点峰谷电价比例：</w:t>
      </w:r>
      <w:r>
        <w:rPr>
          <w:sz w:val="24"/>
        </w:rPr>
        <w:t>1.53:1:0.32</w:t>
      </w:r>
      <w:r>
        <w:rPr>
          <w:sz w:val="22"/>
        </w:rPr>
        <w:t xml:space="preserve"> </w:t>
      </w:r>
      <w:r>
        <w:rPr>
          <w:sz w:val="24"/>
        </w:rPr>
        <w:t>，深圳（含增量配网）低压计量点</w:t>
      </w:r>
      <w:r>
        <w:rPr>
          <w:sz w:val="24"/>
        </w:rPr>
        <w:t>峰谷</w:t>
      </w:r>
      <w:r>
        <w:rPr>
          <w:sz w:val="24"/>
        </w:rPr>
        <w:t>电价比例：</w:t>
      </w:r>
      <w:r>
        <w:rPr>
          <w:sz w:val="24"/>
        </w:rPr>
        <w:t>1.3553:1:0.2894；广东省内（含深圳，含</w:t>
      </w:r>
      <w:r>
        <w:rPr>
          <w:sz w:val="24"/>
        </w:rPr>
        <w:t>增量配网）冰蓄冷计量点峰</w:t>
      </w:r>
    </w:p>
    <w:p>
      <w:pPr>
        <w:pStyle w:val="null3"/>
        <w:ind w:left="30"/>
      </w:pPr>
      <w:r>
        <w:rPr>
          <w:sz w:val="24"/>
        </w:rPr>
        <w:t>谷电价比例：</w:t>
      </w:r>
      <w:r>
        <w:rPr>
          <w:sz w:val="24"/>
        </w:rPr>
        <w:t>1.65:1:0.25。</w:t>
      </w:r>
    </w:p>
    <w:p>
      <w:pPr>
        <w:pStyle w:val="null3"/>
        <w:spacing w:before="120"/>
        <w:ind w:left="495"/>
      </w:pPr>
      <w:r>
        <w:rPr>
          <w:sz w:val="24"/>
          <w:b/>
        </w:rPr>
        <w:t>2.市场联动模式（</w:t>
      </w:r>
      <w:r>
        <w:rPr>
          <w:sz w:val="22"/>
        </w:rPr>
        <w:t xml:space="preserve"> </w:t>
      </w:r>
      <w:r>
        <w:rPr>
          <w:sz w:val="24"/>
          <w:b/>
        </w:rPr>
        <w:t>必选条款）</w:t>
      </w:r>
    </w:p>
    <w:p>
      <w:pPr>
        <w:pStyle w:val="null3"/>
        <w:spacing w:before="75"/>
        <w:ind w:left="15" w:right="120" w:firstLine="476"/>
      </w:pPr>
      <w:r>
        <w:rPr>
          <w:sz w:val="24"/>
        </w:rPr>
        <w:t>（</w:t>
      </w:r>
      <w:r>
        <w:rPr>
          <w:sz w:val="22"/>
        </w:rPr>
        <w:t xml:space="preserve"> </w:t>
      </w:r>
      <w:r>
        <w:rPr>
          <w:sz w:val="24"/>
        </w:rPr>
        <w:t>1</w:t>
      </w:r>
      <w:r>
        <w:rPr>
          <w:sz w:val="22"/>
        </w:rPr>
        <w:t xml:space="preserve"> </w:t>
      </w:r>
      <w:r>
        <w:rPr>
          <w:sz w:val="24"/>
        </w:rPr>
        <w:t>）联动月度价格电费</w:t>
      </w:r>
      <w:r>
        <w:rPr>
          <w:sz w:val="24"/>
        </w:rPr>
        <w:t>=用户（峰/平/谷）实际用电量×合同约定的联动月</w:t>
      </w:r>
      <w:r>
        <w:rPr>
          <w:sz w:val="24"/>
        </w:rPr>
        <w:t>度价格电量比例</w:t>
      </w:r>
      <w:r>
        <w:rPr>
          <w:sz w:val="24"/>
        </w:rPr>
        <w:t>×合同约定的联动月度（峰/平/谷）价格</w:t>
      </w:r>
    </w:p>
    <w:p>
      <w:pPr>
        <w:pStyle w:val="null3"/>
        <w:ind w:left="30" w:right="15" w:firstLine="477"/>
      </w:pPr>
      <w:r>
        <w:rPr>
          <w:sz w:val="24"/>
        </w:rPr>
        <w:t>其中：峰（谷）价格</w:t>
      </w:r>
      <w:r>
        <w:rPr>
          <w:sz w:val="24"/>
        </w:rPr>
        <w:t>=平段价格×峰（谷）系数，</w:t>
      </w:r>
      <w:r>
        <w:rPr>
          <w:sz w:val="24"/>
          <w:b/>
        </w:rPr>
        <w:t>联动月度价格可选项为：</w:t>
      </w:r>
      <w:r>
        <w:rPr>
          <w:sz w:val="24"/>
          <w:b/>
        </w:rPr>
        <w:t>月度集中竞争交易综合价、月度中长期交易综合价。</w:t>
      </w:r>
      <w:r>
        <w:rPr>
          <w:sz w:val="24"/>
        </w:rPr>
        <w:t>具体定义及计算方法详见本</w:t>
      </w:r>
      <w:r>
        <w:rPr>
          <w:sz w:val="24"/>
        </w:rPr>
        <w:t>合同附件三名词解释第</w:t>
      </w:r>
      <w:r>
        <w:rPr>
          <w:sz w:val="22"/>
        </w:rPr>
        <w:t xml:space="preserve"> </w:t>
      </w:r>
      <w:r>
        <w:rPr>
          <w:sz w:val="24"/>
        </w:rPr>
        <w:t>7</w:t>
      </w:r>
      <w:r>
        <w:rPr>
          <w:sz w:val="22"/>
        </w:rPr>
        <w:t xml:space="preserve"> </w:t>
      </w:r>
      <w:r>
        <w:rPr>
          <w:sz w:val="24"/>
        </w:rPr>
        <w:t>、</w:t>
      </w:r>
      <w:r>
        <w:rPr>
          <w:sz w:val="24"/>
        </w:rPr>
        <w:t>8 条。</w:t>
      </w:r>
    </w:p>
    <w:p>
      <w:pPr>
        <w:pStyle w:val="null3"/>
        <w:ind w:left="30" w:right="120" w:firstLine="463"/>
      </w:pPr>
      <w:r>
        <w:rPr>
          <w:sz w:val="24"/>
        </w:rPr>
        <w:t>（</w:t>
      </w:r>
      <w:r>
        <w:rPr>
          <w:sz w:val="24"/>
        </w:rPr>
        <w:t>2）联动现货价格电费=用户（峰/平/谷）实际用电量×合</w:t>
      </w:r>
      <w:r>
        <w:rPr>
          <w:sz w:val="24"/>
        </w:rPr>
        <w:t>同约定的联动现货价格电量比例</w:t>
      </w:r>
      <w:r>
        <w:rPr>
          <w:sz w:val="24"/>
        </w:rPr>
        <w:t>×合同约定的联动现货（峰/平/谷）价格</w:t>
      </w:r>
    </w:p>
    <w:p>
      <w:pPr>
        <w:pStyle w:val="null3"/>
        <w:ind w:left="15" w:right="135" w:firstLine="480"/>
      </w:pPr>
      <w:r>
        <w:rPr>
          <w:sz w:val="24"/>
        </w:rPr>
        <w:t>其中：峰（谷）价格</w:t>
      </w:r>
      <w:r>
        <w:rPr>
          <w:sz w:val="24"/>
        </w:rPr>
        <w:t>=平段价格×峰（谷）系数</w:t>
      </w:r>
      <w:r>
        <w:rPr>
          <w:sz w:val="24"/>
        </w:rPr>
        <w:t>，联动现货价格为：</w:t>
      </w:r>
      <w:r>
        <w:rPr>
          <w:sz w:val="22"/>
        </w:rPr>
        <w:t xml:space="preserve"> </w:t>
      </w:r>
      <w:r>
        <w:rPr>
          <w:sz w:val="24"/>
        </w:rPr>
        <w:t>日前市</w:t>
      </w:r>
      <w:r>
        <w:rPr>
          <w:sz w:val="24"/>
        </w:rPr>
        <w:t>场月度加权平均综合价。具体定义及计算方法详见本合同附件三名词解释第</w:t>
      </w:r>
      <w:r>
        <w:rPr>
          <w:sz w:val="22"/>
        </w:rPr>
        <w:t xml:space="preserve"> </w:t>
      </w:r>
      <w:r>
        <w:rPr>
          <w:sz w:val="24"/>
        </w:rPr>
        <w:t>9</w:t>
      </w:r>
      <w:r>
        <w:rPr>
          <w:sz w:val="24"/>
        </w:rPr>
        <w:t>条。</w:t>
      </w:r>
    </w:p>
    <w:p>
      <w:pPr>
        <w:pStyle w:val="null3"/>
        <w:spacing w:before="15"/>
        <w:ind w:left="495"/>
      </w:pPr>
      <w:r>
        <w:rPr>
          <w:sz w:val="24"/>
        </w:rPr>
        <w:t>（</w:t>
      </w:r>
      <w:r>
        <w:rPr>
          <w:sz w:val="24"/>
        </w:rPr>
        <w:t>3</w:t>
      </w:r>
      <w:r>
        <w:rPr>
          <w:sz w:val="22"/>
        </w:rPr>
        <w:t xml:space="preserve"> </w:t>
      </w:r>
      <w:r>
        <w:rPr>
          <w:sz w:val="24"/>
        </w:rPr>
        <w:t>）模式选择</w:t>
      </w:r>
    </w:p>
    <w:p>
      <w:pPr>
        <w:pStyle w:val="null3"/>
        <w:spacing w:before="120"/>
        <w:ind w:left="30" w:right="15" w:firstLine="474"/>
      </w:pPr>
      <w:r>
        <w:rPr>
          <w:sz w:val="24"/>
        </w:rPr>
        <w:t>选择联动月度价格的经营主体可在月度集中竞争交易综合价和月度中长期</w:t>
      </w:r>
      <w:r>
        <w:rPr>
          <w:sz w:val="24"/>
        </w:rPr>
        <w:t>交易综合价中二选一，选择联动现货价格模式的经营主体所联</w:t>
      </w:r>
      <w:r>
        <w:rPr>
          <w:sz w:val="24"/>
        </w:rPr>
        <w:t>动价格为日前市场</w:t>
      </w:r>
      <w:r>
        <w:rPr>
          <w:sz w:val="24"/>
        </w:rPr>
        <w:t>月度加权平均综合价。</w:t>
      </w:r>
    </w:p>
    <w:p>
      <w:pPr>
        <w:pStyle w:val="null3"/>
        <w:ind w:left="495"/>
      </w:pPr>
      <w:r>
        <w:rPr>
          <w:sz w:val="24"/>
        </w:rPr>
        <w:t>（</w:t>
      </w:r>
      <w:r>
        <w:rPr>
          <w:sz w:val="24"/>
        </w:rPr>
        <w:t>4）电量比例</w:t>
      </w:r>
    </w:p>
    <w:p>
      <w:pPr>
        <w:pStyle w:val="null3"/>
        <w:spacing w:before="120"/>
        <w:ind w:left="15" w:right="15" w:firstLine="480"/>
        <w:jc w:val="both"/>
      </w:pPr>
      <w:r>
        <w:rPr>
          <w:sz w:val="24"/>
          <w:b/>
        </w:rPr>
        <w:t>联动现货价格的</w:t>
      </w:r>
      <w:r>
        <w:rPr>
          <w:sz w:val="22"/>
        </w:rPr>
        <w:t xml:space="preserve"> </w:t>
      </w:r>
      <w:r>
        <w:rPr>
          <w:sz w:val="24"/>
          <w:b/>
        </w:rPr>
        <w:t>“合同约定的电量比例”</w:t>
      </w:r>
      <w:r>
        <w:rPr>
          <w:sz w:val="22"/>
        </w:rPr>
        <w:t xml:space="preserve"> </w:t>
      </w:r>
      <w:r>
        <w:rPr>
          <w:sz w:val="24"/>
          <w:b/>
        </w:rPr>
        <w:t>占</w:t>
      </w:r>
      <w:r>
        <w:rPr>
          <w:sz w:val="24"/>
          <w:b/>
        </w:rPr>
        <w:t>比为</w:t>
      </w:r>
      <w:r>
        <w:rPr>
          <w:sz w:val="24"/>
          <w:b/>
        </w:rPr>
        <w:t>8-15%之间，市场联动价</w:t>
      </w:r>
      <w:r>
        <w:rPr>
          <w:sz w:val="24"/>
          <w:b/>
        </w:rPr>
        <w:t>格</w:t>
      </w:r>
      <w:r>
        <w:rPr>
          <w:sz w:val="22"/>
        </w:rPr>
        <w:t xml:space="preserve"> </w:t>
      </w:r>
      <w:r>
        <w:rPr>
          <w:sz w:val="24"/>
          <w:b/>
        </w:rPr>
        <w:t>“合同约定的电量比例”</w:t>
      </w:r>
      <w:r>
        <w:rPr>
          <w:sz w:val="22"/>
        </w:rPr>
        <w:t xml:space="preserve"> </w:t>
      </w:r>
      <w:r>
        <w:rPr>
          <w:sz w:val="24"/>
          <w:b/>
        </w:rPr>
        <w:t>占比之和为</w:t>
      </w:r>
      <w:r>
        <w:rPr>
          <w:sz w:val="22"/>
        </w:rPr>
        <w:t xml:space="preserve"> </w:t>
      </w:r>
      <w:r>
        <w:rPr>
          <w:sz w:val="24"/>
          <w:b/>
        </w:rPr>
        <w:t>10-30%之间。具体数值范围按签约时点</w:t>
      </w:r>
      <w:r>
        <w:rPr>
          <w:sz w:val="24"/>
          <w:b/>
        </w:rPr>
        <w:t>政府主管部门最新发布的参数限值要求执行。</w:t>
      </w:r>
    </w:p>
    <w:p>
      <w:pPr>
        <w:pStyle w:val="null3"/>
        <w:spacing w:before="45"/>
        <w:ind w:left="30" w:right="15" w:firstLine="484"/>
      </w:pPr>
      <w:r>
        <w:rPr>
          <w:sz w:val="24"/>
        </w:rPr>
        <w:t>市场联动</w:t>
      </w:r>
      <w:r>
        <w:rPr>
          <w:sz w:val="24"/>
        </w:rPr>
        <w:t>“合同约定的电量比例”与附件一第一点固定价格“合同约定的电</w:t>
      </w:r>
      <w:r>
        <w:rPr>
          <w:sz w:val="24"/>
        </w:rPr>
        <w:t>量比例</w:t>
      </w:r>
      <w:r>
        <w:rPr>
          <w:sz w:val="24"/>
        </w:rPr>
        <w:t>”两者之和需等于</w:t>
      </w:r>
      <w:r>
        <w:rPr>
          <w:sz w:val="22"/>
        </w:rPr>
        <w:t xml:space="preserve"> </w:t>
      </w:r>
      <w:r>
        <w:rPr>
          <w:sz w:val="24"/>
        </w:rPr>
        <w:t>100%。</w:t>
      </w:r>
    </w:p>
    <w:p>
      <w:pPr>
        <w:pStyle w:val="null3"/>
        <w:ind w:left="495"/>
      </w:pPr>
      <w:r>
        <w:rPr>
          <w:sz w:val="24"/>
        </w:rPr>
        <w:t>（</w:t>
      </w:r>
      <w:r>
        <w:rPr>
          <w:sz w:val="24"/>
        </w:rPr>
        <w:t>5</w:t>
      </w:r>
      <w:r>
        <w:rPr>
          <w:sz w:val="22"/>
        </w:rPr>
        <w:t xml:space="preserve"> </w:t>
      </w:r>
      <w:r>
        <w:rPr>
          <w:sz w:val="24"/>
        </w:rPr>
        <w:t>）峰谷比价</w:t>
      </w:r>
    </w:p>
    <w:p>
      <w:pPr>
        <w:pStyle w:val="null3"/>
        <w:spacing w:before="120"/>
        <w:ind w:left="15" w:right="15" w:firstLine="503"/>
      </w:pPr>
      <w:r>
        <w:rPr>
          <w:sz w:val="24"/>
        </w:rPr>
        <w:t>“联动价格部分”的峰谷比价与本附件第</w:t>
      </w:r>
      <w:r>
        <w:rPr>
          <w:sz w:val="22"/>
        </w:rPr>
        <w:t xml:space="preserve"> </w:t>
      </w:r>
      <w:r>
        <w:rPr>
          <w:sz w:val="24"/>
        </w:rPr>
        <w:t>1</w:t>
      </w:r>
      <w:r>
        <w:rPr>
          <w:sz w:val="22"/>
        </w:rPr>
        <w:t xml:space="preserve"> </w:t>
      </w:r>
      <w:r>
        <w:rPr>
          <w:sz w:val="24"/>
        </w:rPr>
        <w:t>点</w:t>
      </w:r>
      <w:r>
        <w:rPr>
          <w:sz w:val="24"/>
        </w:rPr>
        <w:t>“</w:t>
      </w:r>
      <w:r>
        <w:rPr>
          <w:sz w:val="22"/>
        </w:rPr>
        <w:t xml:space="preserve"> </w:t>
      </w:r>
      <w:r>
        <w:rPr>
          <w:sz w:val="24"/>
        </w:rPr>
        <w:t>固定价格部分</w:t>
      </w:r>
      <w:r>
        <w:rPr>
          <w:sz w:val="24"/>
        </w:rPr>
        <w:t>”的峰谷比价</w:t>
      </w:r>
      <w:r>
        <w:rPr>
          <w:sz w:val="24"/>
        </w:rPr>
        <w:t>相同。</w:t>
      </w:r>
    </w:p>
    <w:p>
      <w:pPr>
        <w:pStyle w:val="null3"/>
        <w:ind w:left="495"/>
      </w:pPr>
      <w:r>
        <w:rPr>
          <w:sz w:val="24"/>
          <w:b/>
        </w:rPr>
        <w:t>3.煤电联动（可选条款）</w:t>
      </w:r>
    </w:p>
    <w:p>
      <w:pPr>
        <w:pStyle w:val="null3"/>
        <w:spacing w:before="75"/>
        <w:ind w:left="15" w:right="15" w:firstLine="480"/>
        <w:jc w:val="both"/>
      </w:pPr>
      <w:r>
        <w:rPr>
          <w:sz w:val="24"/>
        </w:rPr>
        <w:t>煤电联动电费</w:t>
      </w:r>
      <w:r>
        <w:rPr>
          <w:sz w:val="24"/>
        </w:rPr>
        <w:t>=合同约定固定价格部分（峰/平</w:t>
      </w:r>
      <w:r>
        <w:rPr>
          <w:sz w:val="24"/>
        </w:rPr>
        <w:t>/谷）电量×（结算月CECI 价</w:t>
      </w:r>
      <w:r>
        <w:rPr>
          <w:sz w:val="24"/>
        </w:rPr>
        <w:t>格指数</w:t>
      </w:r>
      <w:r>
        <w:rPr>
          <w:sz w:val="24"/>
        </w:rPr>
        <w:t>-合同签约月 CECI 价格指数）/100（</w:t>
      </w:r>
      <w:r>
        <w:rPr>
          <w:sz w:val="22"/>
        </w:rPr>
        <w:t xml:space="preserve"> </w:t>
      </w:r>
      <w:r>
        <w:rPr>
          <w:sz w:val="24"/>
        </w:rPr>
        <w:t>向零取整）</w:t>
      </w:r>
      <w:r>
        <w:rPr>
          <w:sz w:val="22"/>
        </w:rPr>
        <w:t xml:space="preserve"> </w:t>
      </w:r>
      <w:r>
        <w:rPr>
          <w:sz w:val="24"/>
        </w:rPr>
        <w:t>×合同约定的煤电联动</w:t>
      </w:r>
      <w:r>
        <w:rPr>
          <w:sz w:val="24"/>
        </w:rPr>
        <w:t>（峰</w:t>
      </w:r>
      <w:r>
        <w:rPr>
          <w:sz w:val="24"/>
        </w:rPr>
        <w:t>/平/谷）浮动单价</w:t>
      </w:r>
    </w:p>
    <w:p>
      <w:pPr>
        <w:pStyle w:val="null3"/>
        <w:spacing w:before="15"/>
        <w:ind w:left="30" w:right="30" w:firstLine="467"/>
        <w:jc w:val="both"/>
      </w:pPr>
      <w:r>
        <w:rPr>
          <w:sz w:val="24"/>
        </w:rPr>
        <w:t>例：签订月份</w:t>
      </w:r>
      <w:r>
        <w:rPr>
          <w:sz w:val="22"/>
        </w:rPr>
        <w:t xml:space="preserve"> </w:t>
      </w:r>
      <w:r>
        <w:rPr>
          <w:sz w:val="24"/>
        </w:rPr>
        <w:t>CECI 价格指数为</w:t>
      </w:r>
      <w:r>
        <w:rPr>
          <w:sz w:val="22"/>
        </w:rPr>
        <w:t xml:space="preserve"> </w:t>
      </w:r>
      <w:r>
        <w:rPr>
          <w:sz w:val="24"/>
        </w:rPr>
        <w:t>1000</w:t>
      </w:r>
      <w:r>
        <w:rPr>
          <w:sz w:val="22"/>
        </w:rPr>
        <w:t xml:space="preserve"> </w:t>
      </w:r>
      <w:r>
        <w:rPr>
          <w:sz w:val="24"/>
        </w:rPr>
        <w:t>元</w:t>
      </w:r>
      <w:r>
        <w:rPr>
          <w:sz w:val="24"/>
        </w:rPr>
        <w:t>/吨，结算月</w:t>
      </w:r>
      <w:r>
        <w:rPr>
          <w:sz w:val="22"/>
        </w:rPr>
        <w:t xml:space="preserve"> </w:t>
      </w:r>
      <w:r>
        <w:rPr>
          <w:sz w:val="24"/>
        </w:rPr>
        <w:t>CECI 价格指数为</w:t>
      </w:r>
      <w:r>
        <w:rPr>
          <w:sz w:val="22"/>
        </w:rPr>
        <w:t xml:space="preserve"> </w:t>
      </w:r>
      <w:r>
        <w:rPr>
          <w:sz w:val="24"/>
        </w:rPr>
        <w:t>901元/吨，煤炭联动基准值为</w:t>
      </w:r>
      <w:r>
        <w:rPr>
          <w:sz w:val="22"/>
        </w:rPr>
        <w:t xml:space="preserve"> </w:t>
      </w:r>
      <w:r>
        <w:rPr>
          <w:sz w:val="24"/>
        </w:rPr>
        <w:t>901-1000=-99，当月指数未超过基准值</w:t>
      </w:r>
      <w:r>
        <w:rPr>
          <w:sz w:val="22"/>
        </w:rPr>
        <w:t xml:space="preserve"> </w:t>
      </w:r>
      <w:r>
        <w:rPr>
          <w:sz w:val="24"/>
        </w:rPr>
        <w:t>100</w:t>
      </w:r>
      <w:r>
        <w:rPr>
          <w:sz w:val="22"/>
        </w:rPr>
        <w:t xml:space="preserve"> </w:t>
      </w:r>
      <w:r>
        <w:rPr>
          <w:sz w:val="24"/>
        </w:rPr>
        <w:t>元</w:t>
      </w:r>
      <w:r>
        <w:rPr>
          <w:sz w:val="24"/>
        </w:rPr>
        <w:t>/吨，本月煤炭联动不需计算浮动费用。</w:t>
      </w:r>
    </w:p>
    <w:p>
      <w:pPr>
        <w:pStyle w:val="null3"/>
        <w:spacing w:before="15"/>
        <w:ind w:left="510"/>
      </w:pPr>
      <w:r>
        <w:rPr>
          <w:sz w:val="24"/>
        </w:rPr>
        <w:t>其中，煤电联动峰（谷）浮动单价</w:t>
      </w:r>
      <w:r>
        <w:rPr>
          <w:sz w:val="24"/>
        </w:rPr>
        <w:t>=煤电联动</w:t>
      </w:r>
      <w:r>
        <w:rPr>
          <w:sz w:val="24"/>
        </w:rPr>
        <w:t>平段浮动单价</w:t>
      </w:r>
      <w:r>
        <w:rPr>
          <w:sz w:val="24"/>
        </w:rPr>
        <w:t>×峰（谷）系数</w:t>
      </w:r>
    </w:p>
    <w:p>
      <w:pPr>
        <w:pStyle w:val="null3"/>
        <w:spacing w:before="120"/>
        <w:ind w:left="15" w:right="75" w:firstLine="490"/>
      </w:pPr>
      <w:r>
        <w:rPr>
          <w:sz w:val="24"/>
        </w:rPr>
        <w:t>结算月</w:t>
      </w:r>
      <w:r>
        <w:rPr>
          <w:sz w:val="24"/>
        </w:rPr>
        <w:t>CECI</w:t>
      </w:r>
      <w:r>
        <w:rPr>
          <w:sz w:val="24"/>
        </w:rPr>
        <w:t xml:space="preserve"> </w:t>
      </w:r>
      <w:r>
        <w:rPr>
          <w:sz w:val="24"/>
        </w:rPr>
        <w:t>价格指数与合同签约月</w:t>
      </w:r>
      <w:r>
        <w:rPr>
          <w:sz w:val="24"/>
        </w:rPr>
        <w:t>CECI</w:t>
      </w:r>
      <w:r>
        <w:rPr>
          <w:sz w:val="24"/>
        </w:rPr>
        <w:t xml:space="preserve"> </w:t>
      </w:r>
      <w:r>
        <w:rPr>
          <w:sz w:val="24"/>
        </w:rPr>
        <w:t>价格指数均为对应月份</w:t>
      </w:r>
      <w:r>
        <w:rPr>
          <w:sz w:val="22"/>
        </w:rPr>
        <w:t xml:space="preserve"> </w:t>
      </w:r>
      <w:r>
        <w:rPr>
          <w:sz w:val="24"/>
        </w:rPr>
        <w:t>CECI</w:t>
      </w:r>
      <w:r>
        <w:rPr>
          <w:sz w:val="22"/>
        </w:rPr>
        <w:t xml:space="preserve"> </w:t>
      </w:r>
      <w:r>
        <w:rPr>
          <w:sz w:val="24"/>
        </w:rPr>
        <w:t>沿</w:t>
      </w:r>
      <w:r>
        <w:rPr>
          <w:sz w:val="24"/>
        </w:rPr>
        <w:t>海指数成交价</w:t>
      </w:r>
      <w:r>
        <w:rPr>
          <w:sz w:val="24"/>
        </w:rPr>
        <w:t>(5500kcal/kg)</w:t>
      </w:r>
      <w:r>
        <w:rPr>
          <w:sz w:val="22"/>
        </w:rPr>
        <w:t xml:space="preserve"> </w:t>
      </w:r>
      <w:r>
        <w:rPr>
          <w:sz w:val="24"/>
        </w:rPr>
        <w:t>，</w:t>
      </w:r>
      <w:r>
        <w:rPr>
          <w:sz w:val="24"/>
        </w:rPr>
        <w:t>CECI 价格指数具体定义及计算方法详见本合同附</w:t>
      </w:r>
      <w:r>
        <w:rPr>
          <w:sz w:val="24"/>
        </w:rPr>
        <w:t>件三名词解释第</w:t>
      </w:r>
      <w:r>
        <w:rPr>
          <w:sz w:val="22"/>
        </w:rPr>
        <w:t xml:space="preserve"> </w:t>
      </w:r>
      <w:r>
        <w:rPr>
          <w:sz w:val="24"/>
        </w:rPr>
        <w:t>11 条。</w:t>
      </w:r>
    </w:p>
    <w:p>
      <w:pPr>
        <w:pStyle w:val="null3"/>
        <w:spacing w:before="15"/>
        <w:ind w:left="495"/>
      </w:pPr>
      <w:r>
        <w:rPr>
          <w:sz w:val="24"/>
        </w:rPr>
        <w:t>（</w:t>
      </w:r>
      <w:r>
        <w:rPr>
          <w:sz w:val="22"/>
        </w:rPr>
        <w:t xml:space="preserve"> </w:t>
      </w:r>
      <w:r>
        <w:rPr>
          <w:sz w:val="24"/>
        </w:rPr>
        <w:t>1</w:t>
      </w:r>
      <w:r>
        <w:rPr>
          <w:sz w:val="22"/>
        </w:rPr>
        <w:t xml:space="preserve"> </w:t>
      </w:r>
      <w:r>
        <w:rPr>
          <w:sz w:val="24"/>
        </w:rPr>
        <w:t>）模式选择</w:t>
      </w:r>
    </w:p>
    <w:p>
      <w:pPr>
        <w:pStyle w:val="null3"/>
        <w:spacing w:before="120"/>
        <w:ind w:left="45" w:right="15" w:firstLine="448"/>
      </w:pPr>
      <w:r>
        <w:rPr>
          <w:sz w:val="24"/>
        </w:rPr>
        <w:t>煤电联动为可选项，参与峰谷电价。如确认选择煤电联动条款后，甲乙</w:t>
      </w:r>
      <w:r>
        <w:rPr>
          <w:sz w:val="24"/>
        </w:rPr>
        <w:t>双方</w:t>
      </w:r>
      <w:r>
        <w:rPr>
          <w:sz w:val="24"/>
        </w:rPr>
        <w:t>电能量交易价格随煤电价格上下浮动。</w:t>
      </w:r>
    </w:p>
    <w:p>
      <w:pPr>
        <w:pStyle w:val="null3"/>
        <w:ind w:left="495"/>
      </w:pPr>
      <w:r>
        <w:rPr>
          <w:sz w:val="24"/>
        </w:rPr>
        <w:t>（</w:t>
      </w:r>
      <w:r>
        <w:rPr>
          <w:sz w:val="24"/>
        </w:rPr>
        <w:t>2）价格范围</w:t>
      </w:r>
    </w:p>
    <w:p>
      <w:pPr>
        <w:pStyle w:val="null3"/>
        <w:spacing w:before="120"/>
        <w:ind w:left="15" w:right="15" w:firstLine="477"/>
      </w:pPr>
      <w:r>
        <w:rPr>
          <w:sz w:val="24"/>
        </w:rPr>
        <w:t>煤电联动价格叠加固定价格部分平段结算价格后，须介于政府对结算月</w:t>
      </w:r>
      <w:r>
        <w:rPr>
          <w:sz w:val="24"/>
        </w:rPr>
        <w:t>所在</w:t>
      </w:r>
      <w:r>
        <w:rPr>
          <w:sz w:val="24"/>
        </w:rPr>
        <w:t>年度最终发布的平段价格上下限值之间。如叠加后超出上述范围时，煤电联动价格取政府对结算月所在年度最终发布的平段价格限值（叠加后，超出上限值则取</w:t>
      </w:r>
      <w:r>
        <w:rPr>
          <w:sz w:val="24"/>
        </w:rPr>
        <w:t>上限值；低于下限值，则取下限值。）与固定价格部</w:t>
      </w:r>
      <w:r>
        <w:rPr>
          <w:sz w:val="24"/>
        </w:rPr>
        <w:t>分平段结算价格之差。</w:t>
      </w:r>
    </w:p>
    <w:p>
      <w:pPr>
        <w:pStyle w:val="null3"/>
        <w:ind w:left="510"/>
      </w:pPr>
      <w:r>
        <w:rPr>
          <w:sz w:val="24"/>
        </w:rPr>
        <w:t>浮动单价范围为</w:t>
      </w:r>
      <w:r>
        <w:rPr>
          <w:sz w:val="24"/>
        </w:rPr>
        <w:t>0-50</w:t>
      </w:r>
      <w:r>
        <w:rPr>
          <w:sz w:val="22"/>
        </w:rPr>
        <w:t xml:space="preserve"> </w:t>
      </w:r>
      <w:r>
        <w:rPr>
          <w:sz w:val="24"/>
        </w:rPr>
        <w:t>元</w:t>
      </w:r>
      <w:r>
        <w:rPr>
          <w:sz w:val="24"/>
        </w:rPr>
        <w:t>/兆瓦时。</w:t>
      </w:r>
    </w:p>
    <w:p>
      <w:pPr>
        <w:pStyle w:val="null3"/>
        <w:spacing w:before="120"/>
        <w:ind w:left="495"/>
      </w:pPr>
      <w:r>
        <w:rPr>
          <w:sz w:val="24"/>
        </w:rPr>
        <w:t>（</w:t>
      </w:r>
      <w:r>
        <w:rPr>
          <w:sz w:val="24"/>
        </w:rPr>
        <w:t>3</w:t>
      </w:r>
      <w:r>
        <w:rPr>
          <w:sz w:val="22"/>
        </w:rPr>
        <w:t xml:space="preserve"> </w:t>
      </w:r>
      <w:r>
        <w:rPr>
          <w:sz w:val="24"/>
        </w:rPr>
        <w:t>）峰谷比价</w:t>
      </w:r>
    </w:p>
    <w:p>
      <w:pPr>
        <w:pStyle w:val="null3"/>
        <w:spacing w:before="120"/>
        <w:ind w:left="15" w:right="15" w:firstLine="503"/>
      </w:pPr>
      <w:r>
        <w:rPr>
          <w:sz w:val="24"/>
        </w:rPr>
        <w:t>“煤电联动部分”的峰谷比价与本附件第</w:t>
      </w:r>
      <w:r>
        <w:rPr>
          <w:sz w:val="22"/>
        </w:rPr>
        <w:t xml:space="preserve"> </w:t>
      </w:r>
      <w:r>
        <w:rPr>
          <w:sz w:val="24"/>
        </w:rPr>
        <w:t>1</w:t>
      </w:r>
      <w:r>
        <w:rPr>
          <w:sz w:val="22"/>
        </w:rPr>
        <w:t xml:space="preserve"> </w:t>
      </w:r>
      <w:r>
        <w:rPr>
          <w:sz w:val="24"/>
        </w:rPr>
        <w:t>点</w:t>
      </w:r>
      <w:r>
        <w:rPr>
          <w:sz w:val="24"/>
        </w:rPr>
        <w:t>“</w:t>
      </w:r>
      <w:r>
        <w:rPr>
          <w:sz w:val="22"/>
        </w:rPr>
        <w:t xml:space="preserve"> </w:t>
      </w:r>
      <w:r>
        <w:rPr>
          <w:sz w:val="24"/>
        </w:rPr>
        <w:t>固定价格部分</w:t>
      </w:r>
      <w:r>
        <w:rPr>
          <w:sz w:val="24"/>
        </w:rPr>
        <w:t>”的峰谷比价</w:t>
      </w:r>
      <w:r>
        <w:rPr>
          <w:sz w:val="24"/>
        </w:rPr>
        <w:t>相同。</w:t>
      </w:r>
    </w:p>
    <w:p>
      <w:pPr>
        <w:pStyle w:val="null3"/>
        <w:ind w:left="495"/>
      </w:pPr>
      <w:r>
        <w:rPr>
          <w:sz w:val="24"/>
          <w:b/>
        </w:rPr>
        <w:t>4.市场风控条款</w:t>
      </w:r>
    </w:p>
    <w:p>
      <w:pPr>
        <w:pStyle w:val="null3"/>
        <w:spacing w:before="120"/>
        <w:ind w:left="15" w:right="15" w:firstLine="492"/>
        <w:jc w:val="both"/>
      </w:pPr>
      <w:r>
        <w:rPr>
          <w:sz w:val="24"/>
        </w:rPr>
        <w:t>为防范市场风险，</w:t>
      </w:r>
      <w:r>
        <w:rPr>
          <w:sz w:val="22"/>
        </w:rPr>
        <w:t xml:space="preserve"> </w:t>
      </w:r>
      <w:r>
        <w:rPr>
          <w:sz w:val="24"/>
        </w:rPr>
        <w:t>当结算月份甲方平段电量结算价较结算月批发均价超过</w:t>
      </w:r>
      <w:r>
        <w:rPr>
          <w:sz w:val="24"/>
        </w:rPr>
        <w:t>15%或低于</w:t>
      </w:r>
      <w:r>
        <w:rPr>
          <w:sz w:val="22"/>
        </w:rPr>
        <w:t xml:space="preserve"> </w:t>
      </w:r>
      <w:r>
        <w:rPr>
          <w:sz w:val="24"/>
        </w:rPr>
        <w:t>20%时，双方执行超额电费共担条款，且当结</w:t>
      </w:r>
      <w:r>
        <w:rPr>
          <w:sz w:val="24"/>
        </w:rPr>
        <w:t>算月份甲方平段电量结</w:t>
      </w:r>
      <w:r>
        <w:rPr>
          <w:sz w:val="24"/>
        </w:rPr>
        <w:t>算价较结算月批发均价超过</w:t>
      </w:r>
      <w:r>
        <w:rPr>
          <w:sz w:val="22"/>
        </w:rPr>
        <w:t xml:space="preserve"> </w:t>
      </w:r>
      <w:r>
        <w:rPr>
          <w:sz w:val="24"/>
        </w:rPr>
        <w:t>15%时，甲方有权在行权期限前单方解除本合</w:t>
      </w:r>
      <w:r>
        <w:rPr>
          <w:sz w:val="24"/>
        </w:rPr>
        <w:t>同。具</w:t>
      </w:r>
      <w:r>
        <w:rPr>
          <w:sz w:val="24"/>
        </w:rPr>
        <w:t>体如下：</w:t>
      </w:r>
    </w:p>
    <w:p>
      <w:pPr>
        <w:pStyle w:val="null3"/>
        <w:ind w:left="495"/>
      </w:pPr>
      <w:r>
        <w:rPr>
          <w:sz w:val="24"/>
        </w:rPr>
        <w:t>（</w:t>
      </w:r>
      <w:r>
        <w:rPr>
          <w:sz w:val="22"/>
        </w:rPr>
        <w:t xml:space="preserve"> </w:t>
      </w:r>
      <w:r>
        <w:rPr>
          <w:sz w:val="24"/>
        </w:rPr>
        <w:t>一）超额电费共担条款：</w:t>
      </w:r>
    </w:p>
    <w:p>
      <w:pPr>
        <w:pStyle w:val="null3"/>
        <w:spacing w:before="75"/>
        <w:ind w:left="30" w:right="180" w:firstLine="474"/>
      </w:pPr>
      <w:r>
        <w:rPr>
          <w:sz w:val="24"/>
        </w:rPr>
        <w:t>甲方平段电量结算价格高于结算月批发均价</w:t>
      </w:r>
      <w:r>
        <w:rPr>
          <w:sz w:val="24"/>
        </w:rPr>
        <w:t>15%，甲方用电量的平段单价按照结算月批发均价的 115%进行计算。具体公式如下：</w:t>
      </w:r>
    </w:p>
    <w:p>
      <w:pPr>
        <w:pStyle w:val="null3"/>
        <w:spacing w:before="75"/>
        <w:ind w:left="30" w:right="180" w:firstLine="474"/>
      </w:pPr>
      <w:r>
        <w:rPr>
          <w:sz w:val="24"/>
        </w:rPr>
        <w:t>触发超额上限电费共担条款用户电费</w:t>
      </w:r>
      <w:r>
        <w:rPr>
          <w:sz w:val="24"/>
        </w:rPr>
        <w:t>=用户（峰/平/谷）实际用电量×结算月批发均价（峰/平/谷）价格×1.15</w:t>
      </w:r>
    </w:p>
    <w:p>
      <w:pPr>
        <w:pStyle w:val="null3"/>
        <w:ind w:left="510"/>
      </w:pPr>
      <w:r>
        <w:rPr>
          <w:sz w:val="24"/>
        </w:rPr>
        <w:t>其中：结算月批发均价峰（谷）价格</w:t>
      </w:r>
      <w:r>
        <w:rPr>
          <w:sz w:val="24"/>
        </w:rPr>
        <w:t>=结算月批发均价×峰（谷）系数</w:t>
      </w:r>
    </w:p>
    <w:p>
      <w:pPr>
        <w:pStyle w:val="null3"/>
        <w:spacing w:before="120"/>
        <w:ind w:left="45" w:right="180" w:firstLine="497"/>
      </w:pPr>
      <w:r>
        <w:rPr>
          <w:sz w:val="24"/>
        </w:rPr>
        <w:t>甲方平段电量结算价格低于结算月批发均价</w:t>
      </w:r>
      <w:r>
        <w:rPr>
          <w:sz w:val="22"/>
        </w:rPr>
        <w:t xml:space="preserve"> </w:t>
      </w:r>
      <w:r>
        <w:rPr>
          <w:sz w:val="24"/>
        </w:rPr>
        <w:t>20%，甲方用电量的平段单价按</w:t>
      </w:r>
      <w:r>
        <w:rPr>
          <w:sz w:val="24"/>
        </w:rPr>
        <w:t>照结算月批发均价的</w:t>
      </w:r>
      <w:r>
        <w:rPr>
          <w:sz w:val="22"/>
        </w:rPr>
        <w:t xml:space="preserve"> </w:t>
      </w:r>
      <w:r>
        <w:rPr>
          <w:sz w:val="24"/>
        </w:rPr>
        <w:t>80%进行计算。具体公式如下：</w:t>
      </w:r>
    </w:p>
    <w:p>
      <w:pPr>
        <w:pStyle w:val="null3"/>
        <w:ind w:left="30" w:right="180" w:firstLine="474"/>
      </w:pPr>
      <w:r>
        <w:rPr>
          <w:sz w:val="24"/>
        </w:rPr>
        <w:t>触发超额下限电费共担条款用户电费</w:t>
      </w:r>
      <w:r>
        <w:rPr>
          <w:sz w:val="24"/>
        </w:rPr>
        <w:t>=用户（峰/平/谷）实际用电量×结算月批发均价（峰/平/谷）平均价×0.80</w:t>
      </w:r>
    </w:p>
    <w:p>
      <w:pPr>
        <w:pStyle w:val="null3"/>
        <w:ind w:left="510"/>
      </w:pPr>
      <w:r>
        <w:rPr>
          <w:sz w:val="24"/>
        </w:rPr>
        <w:t>其中：结算月批发均价峰（谷）价格</w:t>
      </w:r>
      <w:r>
        <w:rPr>
          <w:sz w:val="24"/>
        </w:rPr>
        <w:t>=结算月批发均价×峰（谷）系数</w:t>
      </w:r>
    </w:p>
    <w:p>
      <w:pPr>
        <w:pStyle w:val="null3"/>
        <w:spacing w:before="120"/>
        <w:ind w:left="495"/>
      </w:pPr>
      <w:r>
        <w:rPr>
          <w:sz w:val="24"/>
        </w:rPr>
        <w:t>“市场风控条款”的峰谷比价与本附件第</w:t>
      </w:r>
      <w:r>
        <w:rPr>
          <w:sz w:val="22"/>
        </w:rPr>
        <w:t xml:space="preserve"> </w:t>
      </w:r>
      <w:r>
        <w:rPr>
          <w:sz w:val="24"/>
        </w:rPr>
        <w:t>1 点“固定价格部分”的峰谷比价相同。</w:t>
      </w:r>
      <w:r>
        <w:rPr>
          <w:sz w:val="22"/>
        </w:rPr>
        <w:t xml:space="preserve"> </w:t>
      </w:r>
    </w:p>
    <w:p>
      <w:pPr>
        <w:pStyle w:val="null3"/>
        <w:spacing w:before="120"/>
        <w:ind w:left="495"/>
      </w:pPr>
      <w:r>
        <w:rPr>
          <w:sz w:val="24"/>
        </w:rPr>
        <w:t>（</w:t>
      </w:r>
      <w:r>
        <w:rPr>
          <w:sz w:val="22"/>
        </w:rPr>
        <w:t xml:space="preserve"> </w:t>
      </w:r>
      <w:r>
        <w:rPr>
          <w:sz w:val="24"/>
        </w:rPr>
        <w:t>二）单方解约条款：</w:t>
      </w:r>
    </w:p>
    <w:p>
      <w:pPr>
        <w:pStyle w:val="null3"/>
        <w:jc w:val="right"/>
      </w:pPr>
      <w:r>
        <w:rPr>
          <w:sz w:val="24"/>
        </w:rPr>
        <w:t>当甲方平段电量结算价格高于结算月批发均价</w:t>
      </w:r>
      <w:r>
        <w:rPr>
          <w:sz w:val="22"/>
        </w:rPr>
        <w:t xml:space="preserve"> </w:t>
      </w:r>
      <w:r>
        <w:rPr>
          <w:sz w:val="24"/>
        </w:rPr>
        <w:t>15%时，甲方有权解除本合同，</w:t>
      </w:r>
    </w:p>
    <w:p>
      <w:pPr>
        <w:pStyle w:val="null3"/>
        <w:spacing w:before="120"/>
        <w:ind w:left="30" w:right="180" w:firstLine="34"/>
        <w:jc w:val="both"/>
      </w:pPr>
      <w:r>
        <w:rPr>
          <w:sz w:val="24"/>
        </w:rPr>
        <w:t>甲方应于每月</w:t>
      </w:r>
      <w:r>
        <w:rPr>
          <w:sz w:val="22"/>
        </w:rPr>
        <w:t xml:space="preserve"> </w:t>
      </w:r>
      <w:r>
        <w:rPr>
          <w:sz w:val="24"/>
        </w:rPr>
        <w:t>20</w:t>
      </w:r>
      <w:r>
        <w:rPr>
          <w:sz w:val="22"/>
        </w:rPr>
        <w:t xml:space="preserve"> </w:t>
      </w:r>
      <w:r>
        <w:rPr>
          <w:sz w:val="24"/>
        </w:rPr>
        <w:t>日前行使解除权；上述解除权行使期</w:t>
      </w:r>
      <w:r>
        <w:rPr>
          <w:sz w:val="24"/>
        </w:rPr>
        <w:t>限为自交易中心发布结算</w:t>
      </w:r>
      <w:r>
        <w:rPr>
          <w:sz w:val="24"/>
        </w:rPr>
        <w:t>月批发均价次日起</w:t>
      </w:r>
      <w:r>
        <w:rPr>
          <w:sz w:val="22"/>
        </w:rPr>
        <w:t xml:space="preserve"> </w:t>
      </w:r>
      <w:r>
        <w:rPr>
          <w:sz w:val="24"/>
        </w:rPr>
        <w:t>60</w:t>
      </w:r>
      <w:r>
        <w:rPr>
          <w:sz w:val="22"/>
        </w:rPr>
        <w:t xml:space="preserve"> </w:t>
      </w:r>
      <w:r>
        <w:rPr>
          <w:sz w:val="24"/>
        </w:rPr>
        <w:t>日内；合同解除的生效日期为甲方行使解除权的次月</w:t>
      </w:r>
      <w:r>
        <w:rPr>
          <w:sz w:val="22"/>
        </w:rPr>
        <w:t xml:space="preserve"> </w:t>
      </w:r>
      <w:r>
        <w:rPr>
          <w:sz w:val="24"/>
        </w:rPr>
        <w:t>1</w:t>
      </w:r>
      <w:r>
        <w:rPr>
          <w:sz w:val="22"/>
        </w:rPr>
        <w:t xml:space="preserve"> </w:t>
      </w:r>
      <w:r>
        <w:rPr>
          <w:sz w:val="24"/>
        </w:rPr>
        <w:t>日</w:t>
      </w:r>
      <w:r>
        <w:rPr>
          <w:sz w:val="24"/>
        </w:rPr>
        <w:t>开始，生效日前双方应按合同约定履行完毕各自的权利与义务，生效日后的有关</w:t>
      </w:r>
      <w:r>
        <w:rPr>
          <w:sz w:val="24"/>
        </w:rPr>
        <w:t>损失和后果由双方各自承担。</w:t>
      </w:r>
    </w:p>
    <w:p>
      <w:pPr>
        <w:pStyle w:val="null3"/>
      </w:pPr>
      <w:r>
        <w:rPr>
          <w:sz w:val="24"/>
          <w:b/>
        </w:rPr>
        <w:t>附件三</w:t>
      </w:r>
      <w:r>
        <w:rPr>
          <w:sz w:val="19"/>
        </w:rPr>
        <w:t xml:space="preserve"> </w:t>
      </w:r>
      <w:r>
        <w:rPr>
          <w:sz w:val="24"/>
          <w:b/>
        </w:rPr>
        <w:t>名词解释</w:t>
      </w:r>
    </w:p>
    <w:p>
      <w:pPr>
        <w:pStyle w:val="null3"/>
        <w:spacing w:before="75"/>
        <w:ind w:left="525"/>
      </w:pPr>
      <w:r>
        <w:rPr>
          <w:sz w:val="24"/>
        </w:rPr>
        <w:t>1.交易中心：指广东电力交易中心有限责任公司。</w:t>
      </w:r>
    </w:p>
    <w:p>
      <w:pPr>
        <w:pStyle w:val="null3"/>
        <w:spacing w:before="90"/>
        <w:ind w:left="30" w:right="45" w:firstLine="473"/>
      </w:pPr>
      <w:r>
        <w:rPr>
          <w:sz w:val="24"/>
        </w:rPr>
        <w:t>2.广东电力交易平台：指广东交易机构负责建设、运营</w:t>
      </w:r>
      <w:r>
        <w:rPr>
          <w:sz w:val="24"/>
        </w:rPr>
        <w:t>、管理的电力市场技术支持交易平台。</w:t>
      </w:r>
    </w:p>
    <w:p>
      <w:pPr>
        <w:pStyle w:val="null3"/>
        <w:spacing w:before="105"/>
        <w:ind w:left="30" w:right="60" w:firstLine="473"/>
      </w:pPr>
      <w:r>
        <w:rPr>
          <w:sz w:val="24"/>
        </w:rPr>
        <w:t>3.零售合同：指售电公司与零售用户签订的明确双方权利义务以及量、价、率等交易结算条款的合同。</w:t>
      </w:r>
    </w:p>
    <w:p>
      <w:pPr>
        <w:pStyle w:val="null3"/>
        <w:spacing w:before="105"/>
        <w:ind w:left="30" w:right="45" w:firstLine="468"/>
      </w:pPr>
      <w:r>
        <w:rPr>
          <w:sz w:val="24"/>
        </w:rPr>
        <w:t>4.零售结算：指交易中心按照经营主体签订的电子零售合同计算</w:t>
      </w:r>
      <w:r>
        <w:rPr>
          <w:sz w:val="24"/>
        </w:rPr>
        <w:t>并发布电能</w:t>
      </w:r>
      <w:r>
        <w:rPr>
          <w:sz w:val="24"/>
        </w:rPr>
        <w:t>量电费结算依据，再由电网企业汇总发行及收付电费的过程。</w:t>
      </w:r>
    </w:p>
    <w:p>
      <w:pPr>
        <w:pStyle w:val="null3"/>
        <w:spacing w:before="105"/>
        <w:ind w:left="30" w:right="45" w:firstLine="474"/>
      </w:pPr>
      <w:r>
        <w:rPr>
          <w:sz w:val="24"/>
        </w:rPr>
        <w:t>5.零售结算模式：指是由零售合同双方根据交</w:t>
      </w:r>
      <w:r>
        <w:rPr>
          <w:sz w:val="24"/>
        </w:rPr>
        <w:t>易平台提供的量、价、率等字</w:t>
      </w:r>
      <w:r>
        <w:rPr>
          <w:sz w:val="24"/>
        </w:rPr>
        <w:t>段组合生成的结算模式类型及参数值。</w:t>
      </w:r>
    </w:p>
    <w:p>
      <w:pPr>
        <w:pStyle w:val="null3"/>
        <w:spacing w:before="105"/>
        <w:ind w:left="30" w:firstLine="480"/>
      </w:pPr>
      <w:r>
        <w:rPr>
          <w:sz w:val="24"/>
        </w:rPr>
        <w:t>6.</w:t>
      </w:r>
      <w:r>
        <w:rPr>
          <w:sz w:val="22"/>
        </w:rPr>
        <w:t xml:space="preserve"> </w:t>
      </w:r>
      <w:r>
        <w:rPr>
          <w:sz w:val="24"/>
        </w:rPr>
        <w:t>电能量电费：零售用户、售电公司通过</w:t>
      </w:r>
      <w:r>
        <w:rPr>
          <w:sz w:val="24"/>
        </w:rPr>
        <w:t>电子零售合同约定的基于用户实际</w:t>
      </w:r>
      <w:r>
        <w:rPr>
          <w:sz w:val="24"/>
        </w:rPr>
        <w:t>用电量产生的电费，包括固定电费、联动电费、煤电联动电费（可选）三部分。</w:t>
      </w:r>
    </w:p>
    <w:p>
      <w:pPr>
        <w:pStyle w:val="null3"/>
        <w:spacing w:before="105"/>
        <w:ind w:left="30" w:right="45" w:firstLine="466"/>
      </w:pPr>
      <w:r>
        <w:rPr>
          <w:sz w:val="24"/>
        </w:rPr>
        <w:t>7.月度集中竞争交易综合价：指交易中心月度交易时</w:t>
      </w:r>
      <w:r>
        <w:rPr>
          <w:sz w:val="24"/>
        </w:rPr>
        <w:t>发布的当月月度集中竞</w:t>
      </w:r>
      <w:r>
        <w:rPr>
          <w:sz w:val="24"/>
        </w:rPr>
        <w:t>争综合价。作为零售结算模式联动价格时包含批发市场用户侧度电分摊单价。</w:t>
      </w:r>
    </w:p>
    <w:p>
      <w:pPr>
        <w:pStyle w:val="null3"/>
        <w:spacing w:before="60"/>
        <w:ind w:left="30" w:right="45" w:firstLine="481"/>
      </w:pPr>
      <w:r>
        <w:rPr>
          <w:sz w:val="24"/>
        </w:rPr>
        <w:t>月度集中竞争交易综合价（含分摊）</w:t>
      </w:r>
      <w:r>
        <w:rPr>
          <w:sz w:val="24"/>
        </w:rPr>
        <w:t>=当月月度集中竞争综合价+</w:t>
      </w:r>
      <w:r>
        <w:rPr>
          <w:sz w:val="22"/>
        </w:rPr>
        <w:t xml:space="preserve"> </w:t>
      </w:r>
      <w:r>
        <w:rPr>
          <w:sz w:val="24"/>
        </w:rPr>
        <w:t>当月批发</w:t>
      </w:r>
      <w:r>
        <w:rPr>
          <w:sz w:val="24"/>
        </w:rPr>
        <w:t>市场用户侧度电分摊单价</w:t>
      </w:r>
    </w:p>
    <w:p>
      <w:pPr>
        <w:pStyle w:val="null3"/>
        <w:spacing w:before="45"/>
        <w:ind w:left="15" w:right="45" w:firstLine="489"/>
        <w:jc w:val="both"/>
      </w:pPr>
      <w:r>
        <w:rPr>
          <w:sz w:val="24"/>
        </w:rPr>
        <w:t>8.月度中长期交易综合价：根据批发市场月度双边协商交易、挂牌、月度集</w:t>
      </w:r>
      <w:r>
        <w:rPr>
          <w:sz w:val="24"/>
        </w:rPr>
        <w:t>中竞争交易等中长期交易品种的加权平均价格。作为零售结算模式联动价格时包</w:t>
      </w:r>
      <w:r>
        <w:rPr>
          <w:sz w:val="24"/>
        </w:rPr>
        <w:t>含批发市场用户侧度电分摊单价。</w:t>
      </w:r>
    </w:p>
    <w:p>
      <w:pPr>
        <w:pStyle w:val="null3"/>
        <w:ind w:left="30" w:right="45" w:firstLine="480"/>
      </w:pPr>
      <w:r>
        <w:rPr>
          <w:sz w:val="24"/>
        </w:rPr>
        <w:t>月度中长期交易综合价（含分摊）</w:t>
      </w:r>
      <w:r>
        <w:rPr>
          <w:sz w:val="24"/>
        </w:rPr>
        <w:t>=月度集</w:t>
      </w:r>
      <w:r>
        <w:rPr>
          <w:sz w:val="24"/>
        </w:rPr>
        <w:t>中竞争交易综合价、月度挂牌与</w:t>
      </w:r>
      <w:r>
        <w:rPr>
          <w:sz w:val="24"/>
        </w:rPr>
        <w:t>月度双边协商等交易的加权平均价格</w:t>
      </w:r>
      <w:r>
        <w:rPr>
          <w:sz w:val="24"/>
        </w:rPr>
        <w:t>+</w:t>
      </w:r>
      <w:r>
        <w:rPr>
          <w:sz w:val="22"/>
        </w:rPr>
        <w:t xml:space="preserve"> </w:t>
      </w:r>
      <w:r>
        <w:rPr>
          <w:sz w:val="24"/>
        </w:rPr>
        <w:t>当月批发市场用户侧度电分摊单价。</w:t>
      </w:r>
    </w:p>
    <w:p>
      <w:pPr>
        <w:pStyle w:val="null3"/>
        <w:spacing w:before="45"/>
        <w:ind w:left="15" w:right="45" w:firstLine="481"/>
        <w:jc w:val="both"/>
      </w:pPr>
      <w:r>
        <w:rPr>
          <w:sz w:val="24"/>
        </w:rPr>
        <w:t>9. 日前市场月度加权平均综合价：指当月日前市场各时段统一结算点电价和对应时段市场总电量的加权平均价格。作为零售结算模式联动价格时包含批发市</w:t>
      </w:r>
      <w:r>
        <w:rPr>
          <w:sz w:val="24"/>
        </w:rPr>
        <w:t>场用户侧度电分摊单价。</w:t>
      </w:r>
    </w:p>
    <w:p>
      <w:pPr>
        <w:pStyle w:val="null3"/>
        <w:ind w:left="30" w:right="45" w:firstLine="525"/>
      </w:pPr>
      <w:r>
        <w:rPr>
          <w:sz w:val="24"/>
        </w:rPr>
        <w:t>日前市场月度综合价（含分摊）</w:t>
      </w:r>
      <w:r>
        <w:rPr>
          <w:sz w:val="24"/>
        </w:rPr>
        <w:t>= ∑（每小时实际用电量×每小时日前出清</w:t>
      </w:r>
      <w:r>
        <w:rPr>
          <w:sz w:val="24"/>
        </w:rPr>
        <w:t>价格）</w:t>
      </w:r>
      <w:r>
        <w:rPr>
          <w:sz w:val="24"/>
        </w:rPr>
        <w:t>/月度总实际用电量+</w:t>
      </w:r>
      <w:r>
        <w:rPr>
          <w:sz w:val="22"/>
        </w:rPr>
        <w:t xml:space="preserve"> </w:t>
      </w:r>
      <w:r>
        <w:rPr>
          <w:sz w:val="24"/>
        </w:rPr>
        <w:t>当月批发市场用户侧度电分摊单价</w:t>
      </w:r>
    </w:p>
    <w:p>
      <w:pPr>
        <w:pStyle w:val="null3"/>
        <w:spacing w:before="45"/>
        <w:ind w:left="60" w:right="45" w:firstLine="467"/>
      </w:pPr>
      <w:r>
        <w:rPr>
          <w:sz w:val="24"/>
        </w:rPr>
        <w:t>10.结算月批发均价：是指批发市场用户侧售电公</w:t>
      </w:r>
      <w:r>
        <w:rPr>
          <w:sz w:val="24"/>
        </w:rPr>
        <w:t>司及批发大用户的度电支</w:t>
      </w:r>
      <w:r>
        <w:rPr>
          <w:sz w:val="24"/>
        </w:rPr>
        <w:t>出，含年、多月、月、周、现货市场电能量支出及各项分摊返还。</w:t>
      </w:r>
    </w:p>
    <w:p>
      <w:pPr>
        <w:pStyle w:val="null3"/>
        <w:spacing w:before="90"/>
        <w:ind w:left="15" w:right="45" w:firstLine="504"/>
      </w:pPr>
      <w:r>
        <w:rPr>
          <w:sz w:val="24"/>
        </w:rPr>
        <w:t>11.CECI 价格指数：是指由中国电力企业联合会与国内主要发电企业联合打造的我国发电侧电煤价格指数体系，中电联及授权或合作机构每周五</w:t>
      </w:r>
      <w:r>
        <w:rPr>
          <w:sz w:val="22"/>
        </w:rPr>
        <w:t xml:space="preserve"> </w:t>
      </w:r>
      <w:r>
        <w:rPr>
          <w:sz w:val="24"/>
        </w:rPr>
        <w:t>15</w:t>
      </w:r>
      <w:r>
        <w:rPr>
          <w:sz w:val="22"/>
        </w:rPr>
        <w:t xml:space="preserve"> </w:t>
      </w:r>
      <w:r>
        <w:rPr>
          <w:sz w:val="24"/>
        </w:rPr>
        <w:t>时（节</w:t>
      </w:r>
      <w:r>
        <w:rPr>
          <w:sz w:val="24"/>
        </w:rPr>
        <w:t>假日暂停）通过中电联官网和微信公众号发布。</w:t>
      </w:r>
    </w:p>
    <w:p>
      <w:pPr>
        <w:pStyle w:val="null3"/>
        <w:spacing w:before="105"/>
        <w:ind w:left="15" w:right="120" w:firstLine="499"/>
      </w:pPr>
      <w:r>
        <w:rPr>
          <w:sz w:val="24"/>
        </w:rPr>
        <w:t>12.平段电量结算价：是指本合同附件一约定的固定平段价格、煤电联动价格、市场联动价格加权形成的平段电量结算均价。</w:t>
      </w:r>
    </w:p>
    <w:p>
      <w:pPr>
        <w:pStyle w:val="null3"/>
        <w:spacing w:before="75"/>
        <w:ind w:left="30" w:right="45" w:firstLine="483"/>
        <w:jc w:val="both"/>
      </w:pPr>
      <w:r>
        <w:rPr>
          <w:sz w:val="24"/>
        </w:rPr>
        <w:t>平段电量结算价</w:t>
      </w:r>
      <w:r>
        <w:rPr>
          <w:sz w:val="24"/>
        </w:rPr>
        <w:t>=[（</w:t>
      </w:r>
      <w:r>
        <w:rPr>
          <w:sz w:val="22"/>
        </w:rPr>
        <w:t xml:space="preserve"> </w:t>
      </w:r>
      <w:r>
        <w:rPr>
          <w:sz w:val="24"/>
        </w:rPr>
        <w:t>固定价格电量比例</w:t>
      </w:r>
      <w:r>
        <w:rPr>
          <w:sz w:val="24"/>
        </w:rPr>
        <w:t>×</w:t>
      </w:r>
      <w:r>
        <w:rPr>
          <w:sz w:val="22"/>
        </w:rPr>
        <w:t xml:space="preserve"> </w:t>
      </w:r>
      <w:r>
        <w:rPr>
          <w:sz w:val="24"/>
        </w:rPr>
        <w:t>固定价格）</w:t>
      </w:r>
      <w:r>
        <w:rPr>
          <w:sz w:val="24"/>
        </w:rPr>
        <w:t>+（联动价</w:t>
      </w:r>
      <w:r>
        <w:rPr>
          <w:sz w:val="24"/>
        </w:rPr>
        <w:t>格电量比例</w:t>
      </w:r>
      <w:r>
        <w:rPr>
          <w:sz w:val="24"/>
        </w:rPr>
        <w:t>×联动价格）+（</w:t>
      </w:r>
      <w:r>
        <w:rPr>
          <w:sz w:val="22"/>
        </w:rPr>
        <w:t xml:space="preserve"> </w:t>
      </w:r>
      <w:r>
        <w:rPr>
          <w:sz w:val="24"/>
        </w:rPr>
        <w:t>固定价格电量比例</w:t>
      </w:r>
      <w:r>
        <w:rPr>
          <w:sz w:val="24"/>
        </w:rPr>
        <w:t>×（结算月CECI 价格指</w:t>
      </w:r>
      <w:r>
        <w:rPr>
          <w:sz w:val="24"/>
        </w:rPr>
        <w:t>数</w:t>
      </w:r>
      <w:r>
        <w:rPr>
          <w:sz w:val="24"/>
        </w:rPr>
        <w:t>-合同签约月 CECI价格指数）/100（</w:t>
      </w:r>
      <w:r>
        <w:rPr>
          <w:sz w:val="22"/>
        </w:rPr>
        <w:t xml:space="preserve"> </w:t>
      </w:r>
      <w:r>
        <w:rPr>
          <w:sz w:val="24"/>
        </w:rPr>
        <w:t>向零取整）</w:t>
      </w:r>
      <w:r>
        <w:rPr>
          <w:sz w:val="22"/>
        </w:rPr>
        <w:t xml:space="preserve"> </w:t>
      </w:r>
      <w:r>
        <w:rPr>
          <w:sz w:val="24"/>
        </w:rPr>
        <w:t>×煤电联动浮动</w:t>
      </w:r>
      <w:r>
        <w:rPr>
          <w:sz w:val="24"/>
        </w:rPr>
        <w:t>单价）</w:t>
      </w:r>
    </w:p>
    <w:p>
      <w:pPr>
        <w:pStyle w:val="null3"/>
      </w:pPr>
      <w:r>
        <w:rPr>
          <w:sz w:val="24"/>
          <w:b/>
        </w:rPr>
        <w:t>附件四</w:t>
      </w:r>
      <w:r>
        <w:rPr>
          <w:sz w:val="19"/>
        </w:rPr>
        <w:t xml:space="preserve"> </w:t>
      </w:r>
      <w:r>
        <w:rPr>
          <w:sz w:val="24"/>
          <w:b/>
        </w:rPr>
        <w:t>廉洁声明（可选）</w:t>
      </w:r>
    </w:p>
    <w:p>
      <w:pPr>
        <w:pStyle w:val="null3"/>
      </w:pPr>
      <w:r>
        <w:rPr>
          <w:sz w:val="24"/>
        </w:rPr>
        <w:t>一、</w:t>
      </w:r>
      <w:r>
        <w:rPr>
          <w:sz w:val="22"/>
        </w:rPr>
        <w:t xml:space="preserve"> </w:t>
      </w:r>
      <w:r>
        <w:rPr>
          <w:sz w:val="24"/>
        </w:rPr>
        <w:t>甲乙双方发现本单位人员及其亲属（或其特定关系人）有行贿、索贿、</w:t>
      </w:r>
      <w:r>
        <w:rPr>
          <w:sz w:val="24"/>
        </w:rPr>
        <w:t>受贿及利益输送等有关违反廉洁从业规定的倾向或行为的，应予</w:t>
      </w:r>
      <w:r>
        <w:rPr>
          <w:sz w:val="24"/>
        </w:rPr>
        <w:t>以制止、提醒纠</w:t>
      </w:r>
      <w:r>
        <w:rPr>
          <w:sz w:val="24"/>
        </w:rPr>
        <w:t>正、批评教育，并应向对方纪检部门举报。</w:t>
      </w:r>
    </w:p>
    <w:p>
      <w:pPr>
        <w:pStyle w:val="null3"/>
        <w:spacing w:before="120"/>
        <w:ind w:left="510"/>
      </w:pPr>
      <w:r>
        <w:rPr>
          <w:sz w:val="24"/>
        </w:rPr>
        <w:t>二、</w:t>
      </w:r>
      <w:r>
        <w:rPr>
          <w:sz w:val="22"/>
        </w:rPr>
        <w:t xml:space="preserve"> </w:t>
      </w:r>
      <w:r>
        <w:rPr>
          <w:sz w:val="24"/>
        </w:rPr>
        <w:t>甲乙双方廉洁举报电话和廉洁举报邮箱：</w:t>
      </w:r>
    </w:p>
    <w:p>
      <w:pPr>
        <w:pStyle w:val="null3"/>
        <w:spacing w:before="120"/>
        <w:ind w:left="765"/>
      </w:pPr>
      <w:r>
        <w:rPr>
          <w:sz w:val="24"/>
        </w:rPr>
        <w:t>1.</w:t>
      </w:r>
      <w:r>
        <w:rPr>
          <w:sz w:val="22"/>
        </w:rPr>
        <w:t xml:space="preserve"> </w:t>
      </w:r>
      <w:r>
        <w:rPr>
          <w:sz w:val="24"/>
        </w:rPr>
        <w:t>甲方廉洁举报电话：</w:t>
      </w:r>
      <w:r>
        <w:rPr>
          <w:sz w:val="22"/>
          <w:u w:val="single"/>
        </w:rPr>
        <w:t xml:space="preserve">                 </w:t>
      </w:r>
    </w:p>
    <w:p>
      <w:pPr>
        <w:pStyle w:val="null3"/>
        <w:spacing w:before="120"/>
        <w:ind w:left="1020"/>
      </w:pPr>
      <w:r>
        <w:rPr>
          <w:sz w:val="24"/>
        </w:rPr>
        <w:t>甲方廉洁举报邮箱：</w:t>
      </w:r>
      <w:r>
        <w:rPr>
          <w:sz w:val="22"/>
          <w:u w:val="single"/>
        </w:rPr>
        <w:t xml:space="preserve">                 </w:t>
      </w:r>
    </w:p>
    <w:p>
      <w:pPr>
        <w:pStyle w:val="null3"/>
        <w:spacing w:before="120"/>
        <w:ind w:left="735"/>
      </w:pPr>
      <w:r>
        <w:rPr>
          <w:sz w:val="24"/>
        </w:rPr>
        <w:t>2.</w:t>
      </w:r>
      <w:r>
        <w:rPr>
          <w:sz w:val="22"/>
        </w:rPr>
        <w:t xml:space="preserve"> </w:t>
      </w:r>
      <w:r>
        <w:rPr>
          <w:sz w:val="24"/>
        </w:rPr>
        <w:t>乙方廉洁举报电话：</w:t>
      </w:r>
      <w:r>
        <w:rPr>
          <w:sz w:val="22"/>
          <w:u w:val="single"/>
        </w:rPr>
        <w:t xml:space="preserve">                 </w:t>
      </w:r>
    </w:p>
    <w:p>
      <w:pPr>
        <w:pStyle w:val="null3"/>
        <w:spacing w:before="120"/>
        <w:ind w:left="1020"/>
      </w:pPr>
      <w:r>
        <w:rPr>
          <w:sz w:val="24"/>
        </w:rPr>
        <w:t>乙方廉洁举报邮箱：</w:t>
      </w:r>
      <w:r>
        <w:rPr>
          <w:sz w:val="24"/>
        </w:rPr>
        <w:t xml:space="preserve">                 </w:t>
      </w:r>
    </w:p>
    <w:p>
      <w:pPr>
        <w:pStyle w:val="null3"/>
      </w:pPr>
      <w:r>
        <w:rPr/>
        <w:t xml:space="preserve"> </w:t>
      </w:r>
    </w:p>
    <w:p>
      <w:pPr>
        <w:pStyle w:val="null3"/>
      </w:pPr>
      <w:r>
        <w:rPr>
          <w:sz w:val="28"/>
          <w:b/>
        </w:rPr>
        <w:t>附件：补充合同模板</w:t>
      </w:r>
    </w:p>
    <w:p>
      <w:pPr>
        <w:pStyle w:val="null3"/>
      </w:pPr>
      <w:r>
        <w:rPr>
          <w:sz w:val="28"/>
          <w:b/>
        </w:rPr>
        <w:t>注：若有内容与广东电力交易平台合同模板有区别之处，以广东电力交易平台合同模板为准</w:t>
      </w:r>
    </w:p>
    <w:p>
      <w:pPr>
        <w:pStyle w:val="null3"/>
      </w:pPr>
      <w:r>
        <w:rPr>
          <w:sz w:val="28"/>
          <w:b/>
        </w:rPr>
        <w:t>项目名称：</w:t>
      </w:r>
      <w:r>
        <w:rPr>
          <w:sz w:val="32"/>
          <w:color w:val="000000"/>
          <w:u w:val="single"/>
        </w:rPr>
        <w:t xml:space="preserve">   </w:t>
      </w:r>
      <w:r>
        <w:rPr>
          <w:sz w:val="32"/>
          <w:color w:val="000000"/>
          <w:u w:val="single"/>
        </w:rPr>
        <w:t>中山大学附属第六医院市场化购电服务</w:t>
      </w:r>
      <w:r>
        <w:rPr>
          <w:sz w:val="32"/>
          <w:color w:val="000000"/>
          <w:u w:val="single"/>
        </w:rPr>
        <w:t>项目</w:t>
      </w:r>
      <w:r>
        <w:rPr>
          <w:sz w:val="22"/>
          <w:u w:val="single"/>
        </w:rPr>
        <w:t xml:space="preserve">    </w:t>
      </w:r>
    </w:p>
    <w:p>
      <w:pPr>
        <w:pStyle w:val="null3"/>
      </w:pPr>
      <w:r>
        <w:rPr>
          <w:sz w:val="24"/>
        </w:rPr>
        <w:t>根据《中华人民共和国民法典》等相关法律法规及</w:t>
      </w:r>
      <w:r>
        <w:rPr>
          <w:sz w:val="24"/>
        </w:rPr>
        <w:t>□委外采购：______号的招标结果/□甲方院内采购结果，甲乙双方经平等协商一致签订本合同，由双方共同恪守执行。</w:t>
      </w:r>
    </w:p>
    <w:p>
      <w:pPr>
        <w:pStyle w:val="null3"/>
        <w:ind w:firstLine="480"/>
        <w:jc w:val="both"/>
      </w:pPr>
      <w:r>
        <w:rPr>
          <w:sz w:val="24"/>
          <w:b/>
        </w:rPr>
        <w:t>第一条</w:t>
      </w:r>
      <w:r>
        <w:rPr>
          <w:sz w:val="24"/>
          <w:b/>
          <w:color w:val="000000"/>
        </w:rPr>
        <w:t>基本信息</w:t>
      </w:r>
    </w:p>
    <w:tbl>
      <w:tblPr>
        <w:tblW w:w="0" w:type="auto"/>
        <w:tblBorders>
          <w:top w:val="none" w:color="000000" w:sz="4"/>
          <w:left w:val="none" w:color="000000" w:sz="4"/>
          <w:bottom w:val="none" w:color="000000" w:sz="4"/>
          <w:right w:val="none" w:color="000000" w:sz="4"/>
          <w:insideH w:val="none"/>
          <w:insideV w:val="none"/>
        </w:tblBorders>
      </w:tblPr>
      <w:tblGrid>
        <w:gridCol w:w="2101"/>
        <w:gridCol w:w="6205"/>
      </w:tblGrid>
      <w:tr>
        <w:tc>
          <w:tcPr>
            <w:tcW w:type="dxa" w:w="21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项目</w:t>
            </w:r>
          </w:p>
        </w:tc>
        <w:tc>
          <w:tcPr>
            <w:tcW w:type="dxa" w:w="62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内容</w:t>
            </w:r>
          </w:p>
        </w:tc>
      </w:tr>
      <w:tr>
        <w:tc>
          <w:tcPr>
            <w:tcW w:type="dxa" w:w="2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用电主体</w:t>
            </w:r>
          </w:p>
        </w:tc>
        <w:tc>
          <w:tcPr>
            <w:tcW w:type="dxa" w:w="6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中山大学附属第六医院</w:t>
            </w:r>
          </w:p>
        </w:tc>
      </w:tr>
      <w:tr>
        <w:tc>
          <w:tcPr>
            <w:tcW w:type="dxa" w:w="2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年用电量</w:t>
            </w:r>
          </w:p>
        </w:tc>
        <w:tc>
          <w:tcPr>
            <w:tcW w:type="dxa" w:w="6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约</w:t>
            </w:r>
            <w:r>
              <w:rPr>
                <w:sz w:val="24"/>
                <w:color w:val="000000"/>
              </w:rPr>
              <w:t>3500万kwh</w:t>
            </w:r>
          </w:p>
        </w:tc>
      </w:tr>
      <w:tr>
        <w:tc>
          <w:tcPr>
            <w:tcW w:type="dxa" w:w="2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电压等级与地址</w:t>
            </w:r>
          </w:p>
        </w:tc>
        <w:tc>
          <w:tcPr>
            <w:tcW w:type="dxa" w:w="6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10kV（广州市天河区员村二横路26号，金融城院区）、20KV（广州市黄埔区知明路688号，知识城院区）</w:t>
            </w:r>
          </w:p>
        </w:tc>
      </w:tr>
      <w:tr>
        <w:tc>
          <w:tcPr>
            <w:tcW w:type="dxa" w:w="2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用电性质</w:t>
            </w:r>
          </w:p>
        </w:tc>
        <w:tc>
          <w:tcPr>
            <w:tcW w:type="dxa" w:w="6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医疗用电</w:t>
            </w:r>
          </w:p>
        </w:tc>
      </w:tr>
      <w:tr>
        <w:tc>
          <w:tcPr>
            <w:tcW w:type="dxa" w:w="2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供电等级</w:t>
            </w:r>
          </w:p>
        </w:tc>
        <w:tc>
          <w:tcPr>
            <w:tcW w:type="dxa" w:w="6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r>
    </w:tbl>
    <w:p>
      <w:pPr>
        <w:pStyle w:val="null3"/>
      </w:pPr>
      <w:r>
        <w:rPr>
          <w:sz w:val="24"/>
          <w:b/>
          <w:color w:val="000000"/>
        </w:rPr>
        <w:t>第二条</w:t>
      </w:r>
      <w:r>
        <w:rPr>
          <w:sz w:val="24"/>
          <w:b/>
          <w:color w:val="000000"/>
        </w:rPr>
        <w:t>采购需求</w:t>
      </w:r>
    </w:p>
    <w:p>
      <w:pPr>
        <w:pStyle w:val="null3"/>
      </w:pPr>
      <w:r>
        <w:rPr>
          <w:sz w:val="24"/>
          <w:b/>
          <w:color w:val="000000"/>
        </w:rPr>
        <w:t>1.</w:t>
      </w:r>
      <w:r>
        <w:rPr>
          <w:sz w:val="24"/>
          <w:b/>
          <w:color w:val="000000"/>
        </w:rPr>
        <w:t>购电范围</w:t>
      </w:r>
    </w:p>
    <w:p>
      <w:pPr>
        <w:pStyle w:val="null3"/>
      </w:pPr>
      <w:r>
        <w:rPr>
          <w:sz w:val="24"/>
        </w:rPr>
        <w:t>1.1.采购电量（9个月）：总电量约2600万kWh。</w:t>
      </w:r>
    </w:p>
    <w:p>
      <w:pPr>
        <w:pStyle w:val="null3"/>
      </w:pPr>
      <w:r>
        <w:rPr>
          <w:sz w:val="24"/>
        </w:rPr>
        <w:t>1.2.电能质量：符合《电能质量供电电压偏差》（GB/T 12325-2008），电压偏差≤±7%。</w:t>
      </w:r>
    </w:p>
    <w:p>
      <w:pPr>
        <w:pStyle w:val="null3"/>
      </w:pPr>
      <w:r>
        <w:rPr>
          <w:sz w:val="24"/>
        </w:rPr>
        <w:t>1.3.合同服务周期：2026年4月1日至2026年12月31日，</w:t>
      </w:r>
      <w:r>
        <w:rPr>
          <w:sz w:val="24"/>
        </w:rPr>
        <w:t>合同期满或总电费金额达到采购预算金额则合同终止。</w:t>
      </w:r>
    </w:p>
    <w:p>
      <w:pPr>
        <w:pStyle w:val="null3"/>
      </w:pPr>
      <w:r>
        <w:rPr>
          <w:sz w:val="24"/>
        </w:rPr>
        <w:t>1.4.乙方</w:t>
      </w:r>
      <w:r>
        <w:rPr>
          <w:sz w:val="24"/>
          <w:b/>
        </w:rPr>
        <w:t>报价不得高于最高</w:t>
      </w:r>
      <w:r>
        <w:rPr>
          <w:sz w:val="24"/>
          <w:b/>
          <w:color w:val="000000"/>
        </w:rPr>
        <w:t>限价</w:t>
      </w:r>
      <w:r>
        <w:rPr>
          <w:sz w:val="24"/>
          <w:b/>
          <w:color w:val="000000"/>
        </w:rPr>
        <w:t>372</w:t>
      </w:r>
      <w:r>
        <w:rPr>
          <w:sz w:val="24"/>
          <w:b/>
          <w:color w:val="000000"/>
        </w:rPr>
        <w:t>元</w:t>
      </w:r>
      <w:r>
        <w:rPr>
          <w:sz w:val="24"/>
          <w:b/>
          <w:color w:val="000000"/>
        </w:rPr>
        <w:t>/兆</w:t>
      </w:r>
      <w:r>
        <w:rPr>
          <w:sz w:val="24"/>
          <w:b/>
        </w:rPr>
        <w:t>瓦时</w:t>
      </w:r>
      <w:r>
        <w:rPr>
          <w:sz w:val="24"/>
        </w:rPr>
        <w:t>（固定电能量电费价格）（</w:t>
      </w:r>
      <w:r>
        <w:rPr>
          <w:sz w:val="24"/>
        </w:rPr>
        <w:t>1兆瓦时等于1000千瓦时，100元/兆瓦时等于0.1元/千瓦时。）必须以“元/兆瓦时”为单位进行投标报价，且不得超过上限价格，否则按无效投标处理。其他未尽事宜按《广东省能源局关于做好2026年电力市场年度交易工作的通知》、《关于广东电力市场2026年交易关键机制和参数的通知（广东交易〔2025〕271号）》执行。报价需含代理服务费等所有与本项目有关的费用，且承诺合在协议期限内，乙方的单价不做任何调整，报价均为含税报价，税率按照国家相关规定执行。</w:t>
      </w:r>
    </w:p>
    <w:p>
      <w:pPr>
        <w:pStyle w:val="null3"/>
      </w:pPr>
      <w:r>
        <w:rPr>
          <w:sz w:val="24"/>
          <w:b/>
          <w:color w:val="000000"/>
        </w:rPr>
        <w:t>2、核心要求</w:t>
      </w:r>
    </w:p>
    <w:p>
      <w:pPr>
        <w:pStyle w:val="null3"/>
      </w:pPr>
      <w:r>
        <w:rPr>
          <w:sz w:val="24"/>
        </w:rPr>
        <w:t>2.1.报价要求：</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830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固定价格部分</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按实际用电量占比</w:t>
            </w:r>
          </w:p>
        </w:tc>
        <w:tc>
          <w:tcPr>
            <w:tcW w:type="dxa" w:w="4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最高限价</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90%</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372元/兆瓦时</w:t>
            </w:r>
          </w:p>
        </w:tc>
      </w:tr>
      <w:tr>
        <w:tc>
          <w:tcPr>
            <w:tcW w:type="dxa" w:w="83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市场联动价格部分</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按实际用电量占比</w:t>
            </w:r>
          </w:p>
        </w:tc>
        <w:tc>
          <w:tcPr>
            <w:tcW w:type="dxa" w:w="4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市场联动价格类型</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日前市场月度综合价（含分摊）</w:t>
            </w:r>
          </w:p>
        </w:tc>
      </w:tr>
    </w:tbl>
    <w:p>
      <w:pPr>
        <w:pStyle w:val="null3"/>
      </w:pPr>
      <w:r>
        <w:rPr>
          <w:sz w:val="24"/>
        </w:rPr>
        <w:t>2.1.1.以上清单中单价为市场化代购电单价，其余到户电价组成部分，包括政府性基金及附加、输配电费、损益、上网环节线损费用、系统运行费用等各项电费收费标准，由电网按政策规定执行。</w:t>
      </w:r>
    </w:p>
    <w:p>
      <w:pPr>
        <w:pStyle w:val="null3"/>
      </w:pPr>
      <w:r>
        <w:rPr>
          <w:sz w:val="24"/>
        </w:rPr>
        <w:t>2.1.2.甲方将全力配合乙方进行月度电量预报。</w:t>
      </w:r>
    </w:p>
    <w:p>
      <w:pPr>
        <w:pStyle w:val="null3"/>
      </w:pPr>
      <w:r>
        <w:rPr>
          <w:sz w:val="24"/>
        </w:rPr>
        <w:t>2.2.甲方用电量偏差考核费用由乙方100%承担，乙方需在投标文件中明确偏差处理方案。</w:t>
      </w:r>
    </w:p>
    <w:p>
      <w:pPr>
        <w:pStyle w:val="null3"/>
      </w:pPr>
      <w:r>
        <w:rPr>
          <w:sz w:val="24"/>
        </w:rPr>
        <w:t>2.3.超额电费共担条款：按零售交易合同约定执行。</w:t>
      </w:r>
    </w:p>
    <w:p>
      <w:pPr>
        <w:pStyle w:val="null3"/>
      </w:pPr>
      <w:r>
        <w:rPr>
          <w:sz w:val="24"/>
        </w:rPr>
        <w:t>2.4.甲方采购电能量结算模式：固定价格模式占比（90%）+市场联动模式占比（10%）。（电能计量：以供电企业</w:t>
      </w:r>
      <w:r>
        <w:rPr>
          <w:sz w:val="24"/>
        </w:rPr>
        <w:t>（乙方）</w:t>
      </w:r>
      <w:r>
        <w:rPr>
          <w:sz w:val="24"/>
        </w:rPr>
        <w:t>电力计量装置采集并推送至广东电力交易中心发布的实际用电量为结算依据）。</w:t>
      </w:r>
    </w:p>
    <w:p>
      <w:pPr>
        <w:pStyle w:val="null3"/>
      </w:pPr>
      <w:r>
        <w:rPr>
          <w:sz w:val="24"/>
        </w:rPr>
        <w:t>即：电能量结算价格</w:t>
      </w:r>
      <w:r>
        <w:rPr>
          <w:sz w:val="24"/>
        </w:rPr>
        <w:t>=合同约定固定价格*90%月度用电量+合同约定市场联动价格*10%月度用电量。</w:t>
      </w:r>
    </w:p>
    <w:p>
      <w:pPr>
        <w:pStyle w:val="null3"/>
      </w:pPr>
      <w:r>
        <w:rPr>
          <w:sz w:val="24"/>
        </w:rPr>
        <w:t>2.4.1合同约定的价格非用户最终到户电价，仅为电能量固定价格：90%的固定电量价格，其他未尽事宜按《广东省能源局关于做好2026年电力市场年度交易工作的通知》、《关于广东电力市场2026年交易关键机制和参数的通知（广东交易〔2025〕271号）》执行；剩余10%电量价格采取日前市场月度综合价（含分摊），为不确定值，由广东电力交易中心次月中下旬对外公布上月市场联动价格。医院须按时缴纳的电费除电能量电费外，还包括输配电费、上网环节线损费用、系统运行费用、政府性基金及附加、需求响应费用、尖峰加价等政策性相关费用，即医院每月最终结算电费=（合同约定电能量结算价格+输配电费+上网环节线损费用+系统运行费用+政府性基金及附加+需求响应费用+尖峰加价等）*当月实际用电量。</w:t>
      </w:r>
    </w:p>
    <w:p>
      <w:pPr>
        <w:pStyle w:val="null3"/>
      </w:pPr>
      <w:r>
        <w:rPr>
          <w:sz w:val="24"/>
        </w:rPr>
        <w:t>2.4.2除中标确定的电能量固定价格外，其他以上各项电费标准，由乙方和广东电力交易中心按照政策规定执行。</w:t>
      </w:r>
    </w:p>
    <w:p>
      <w:pPr>
        <w:pStyle w:val="null3"/>
      </w:pPr>
      <w:r>
        <w:rPr>
          <w:sz w:val="24"/>
        </w:rPr>
        <w:t>2.4.3甲方和乙方双方按照签订的线下合同在交易系统中进行申报、确认，广东电力交易中心以双方在交易系统中申报、确认的模式和数据进行结算。</w:t>
      </w:r>
    </w:p>
    <w:p>
      <w:pPr>
        <w:pStyle w:val="null3"/>
      </w:pPr>
      <w:r>
        <w:rPr>
          <w:sz w:val="24"/>
        </w:rPr>
        <w:t>2.4.4每月实际交易电量以供电企业</w:t>
      </w:r>
      <w:r>
        <w:rPr>
          <w:sz w:val="24"/>
        </w:rPr>
        <w:t>（乙方）</w:t>
      </w:r>
      <w:r>
        <w:rPr>
          <w:sz w:val="24"/>
        </w:rPr>
        <w:t>电力计量装置采集并推送至广东电力交易中心发布的实际用电量为准，甲方的电费结算方式为月度结算。</w:t>
      </w:r>
    </w:p>
    <w:p>
      <w:pPr>
        <w:pStyle w:val="null3"/>
      </w:pPr>
      <w:r>
        <w:rPr>
          <w:sz w:val="24"/>
        </w:rPr>
        <w:t>2.5.供电模式：不改变甲方原有的供电模式及稳定性。</w:t>
      </w:r>
    </w:p>
    <w:p>
      <w:pPr>
        <w:pStyle w:val="null3"/>
      </w:pPr>
      <w:r>
        <w:rPr>
          <w:sz w:val="24"/>
        </w:rPr>
        <w:t>2.6.其他要求：包括但不限于电能质量、供电稳定性、电价透明度等方面不低于南方电网代购电。</w:t>
      </w:r>
    </w:p>
    <w:p>
      <w:pPr>
        <w:pStyle w:val="null3"/>
      </w:pPr>
      <w:r>
        <w:rPr>
          <w:sz w:val="24"/>
          <w:b/>
          <w:color w:val="000000"/>
        </w:rPr>
        <w:t>第三条</w:t>
      </w:r>
      <w:r>
        <w:rPr>
          <w:sz w:val="24"/>
          <w:b/>
          <w:color w:val="000000"/>
        </w:rPr>
        <w:t>服务内容</w:t>
      </w:r>
    </w:p>
    <w:p>
      <w:pPr>
        <w:pStyle w:val="null3"/>
      </w:pPr>
      <w:r>
        <w:rPr>
          <w:sz w:val="24"/>
        </w:rPr>
        <w:t>3.1.乙方按甲方实际用电量，参与广东省电力市场交易。由乙方承担全部电量偏差考核费用。</w:t>
      </w:r>
    </w:p>
    <w:p>
      <w:pPr>
        <w:pStyle w:val="null3"/>
      </w:pPr>
      <w:r>
        <w:rPr>
          <w:sz w:val="24"/>
        </w:rPr>
        <w:t>3.2.乙方参与电力市场化交易，负责每月交易电量申报、交易、结算工作。乙方协助甲方完善电力交易平台市场注册等事宜，并负责后期电力交易相关的全周期电力交易服务。</w:t>
      </w:r>
    </w:p>
    <w:p>
      <w:pPr>
        <w:pStyle w:val="null3"/>
      </w:pPr>
      <w:r>
        <w:rPr>
          <w:sz w:val="24"/>
        </w:rPr>
        <w:t>3.3.乙方负责电量电费分析、电力技术咨询、电力技术服务，重点包括与电网企业的沟通，发行电费准确性、合理性分析，相应发票获取及用电手续办理等业务，于合同年的11月提供交易电量结算清单，明确交易电量和电价，并如实向甲方提供真实准确的交易相关信息和资料。</w:t>
      </w:r>
    </w:p>
    <w:p>
      <w:pPr>
        <w:pStyle w:val="null3"/>
      </w:pPr>
      <w:r>
        <w:rPr>
          <w:sz w:val="24"/>
        </w:rPr>
        <w:t>3.4.乙方提供的代购电服务应不改变甲方原有的用电习惯，供电模式和供电质量保障不变。中标后，交易流程由乙方按合同约定执行，具体工作内容及范围以甲方委托为准。</w:t>
      </w:r>
    </w:p>
    <w:p>
      <w:pPr>
        <w:pStyle w:val="null3"/>
      </w:pPr>
      <w:r>
        <w:rPr>
          <w:sz w:val="24"/>
        </w:rPr>
        <w:t>3.5.乙方应清楚知悉甲方用电需求量为估算量，最终用电需求以实际用量为准，乙方应有充足的配额能确保甲方的实际用电需求，乙方不得因甲方用电需求与实际不符追索甲方违约责任。</w:t>
      </w:r>
    </w:p>
    <w:p>
      <w:pPr>
        <w:pStyle w:val="null3"/>
      </w:pPr>
      <w:r>
        <w:rPr>
          <w:sz w:val="24"/>
        </w:rPr>
        <w:t>3.6.乙方必须满足甲方用电需求，并负责办理用电变更、备案等相关手续。因乙方未能及时办理相关手续导致一切损失由乙方承担。</w:t>
      </w:r>
    </w:p>
    <w:p>
      <w:pPr>
        <w:pStyle w:val="null3"/>
      </w:pPr>
      <w:r>
        <w:rPr>
          <w:sz w:val="24"/>
        </w:rPr>
        <w:t>3.7.乙方需根据甲方用电状态及耗能情况提出优化用能合理建议，提供节能建议。</w:t>
      </w:r>
      <w:r>
        <w:rPr>
          <w:sz w:val="22"/>
        </w:rPr>
        <w:t xml:space="preserve"> </w:t>
      </w:r>
    </w:p>
    <w:p>
      <w:pPr>
        <w:pStyle w:val="null3"/>
      </w:pPr>
      <w:r>
        <w:rPr>
          <w:sz w:val="24"/>
          <w:b/>
          <w:color w:val="000000"/>
        </w:rPr>
        <w:t>第四条</w:t>
      </w:r>
      <w:r>
        <w:rPr>
          <w:sz w:val="24"/>
          <w:b/>
          <w:color w:val="000000"/>
        </w:rPr>
        <w:t>服务要求</w:t>
      </w:r>
    </w:p>
    <w:p>
      <w:pPr>
        <w:pStyle w:val="null3"/>
      </w:pPr>
      <w:r>
        <w:rPr>
          <w:sz w:val="24"/>
        </w:rPr>
        <w:t>4.1.乙方按国家有关法规、规定和技术规范，提供全周期电力交易服务和用电配套服务。</w:t>
      </w:r>
    </w:p>
    <w:p>
      <w:pPr>
        <w:pStyle w:val="null3"/>
      </w:pPr>
      <w:r>
        <w:rPr>
          <w:sz w:val="24"/>
        </w:rPr>
        <w:t>4.2.按照国家有关法规、规定和技术规范，为甲方提供电力交易服务，参与电力市场交易并按规定结算。</w:t>
      </w:r>
    </w:p>
    <w:p>
      <w:pPr>
        <w:pStyle w:val="null3"/>
      </w:pPr>
      <w:r>
        <w:rPr>
          <w:sz w:val="24"/>
        </w:rPr>
        <w:t>4.3.向甲方提供真实准确的有关电力直接交易的相关信息及资料，不得提供虚假的或误导性的信息。</w:t>
      </w:r>
    </w:p>
    <w:p>
      <w:pPr>
        <w:pStyle w:val="null3"/>
      </w:pPr>
      <w:r>
        <w:rPr>
          <w:sz w:val="24"/>
        </w:rPr>
        <w:t>4.4.根据国家有关法规支付电力交易相关费用。</w:t>
      </w:r>
    </w:p>
    <w:p>
      <w:pPr>
        <w:pStyle w:val="null3"/>
      </w:pPr>
      <w:r>
        <w:rPr>
          <w:sz w:val="24"/>
        </w:rPr>
        <w:t>4.5.协助甲方申请办理电力交易有关手续。</w:t>
      </w:r>
    </w:p>
    <w:p>
      <w:pPr>
        <w:pStyle w:val="null3"/>
      </w:pPr>
      <w:r>
        <w:rPr>
          <w:sz w:val="24"/>
        </w:rPr>
        <w:t>4.6.乙方应当安排专职人员与甲方对接，</w:t>
      </w:r>
      <w:r>
        <w:rPr>
          <w:sz w:val="24"/>
        </w:rPr>
        <w:t>项目技术服务人员</w:t>
      </w:r>
      <w:r>
        <w:rPr>
          <w:sz w:val="24"/>
        </w:rPr>
        <w:t>应具备电力交易</w:t>
      </w:r>
      <w:r>
        <w:rPr>
          <w:sz w:val="24"/>
        </w:rPr>
        <w:t>相关</w:t>
      </w:r>
      <w:r>
        <w:rPr>
          <w:sz w:val="24"/>
        </w:rPr>
        <w:t>的经验和技术能力</w:t>
      </w:r>
      <w:r>
        <w:rPr>
          <w:sz w:val="24"/>
        </w:rPr>
        <w:t>，负责电量申报、交易、结算等工作，负责协助甲方办理相关手续。</w:t>
      </w:r>
    </w:p>
    <w:p>
      <w:pPr>
        <w:pStyle w:val="null3"/>
        <w:jc w:val="both"/>
      </w:pPr>
      <w:r>
        <w:rPr>
          <w:sz w:val="24"/>
        </w:rPr>
        <w:t>4.7.</w:t>
      </w:r>
      <w:r>
        <w:rPr>
          <w:sz w:val="24"/>
        </w:rPr>
        <w:t>乙方</w:t>
      </w:r>
      <w:r>
        <w:rPr>
          <w:sz w:val="24"/>
        </w:rPr>
        <w:t>提供</w:t>
      </w:r>
      <w:r>
        <w:rPr>
          <w:sz w:val="24"/>
        </w:rPr>
        <w:t>7天24小时服务热线，24小时技术支持。针对</w:t>
      </w:r>
      <w:r>
        <w:rPr>
          <w:sz w:val="24"/>
        </w:rPr>
        <w:t>甲方</w:t>
      </w:r>
      <w:r>
        <w:rPr>
          <w:sz w:val="24"/>
        </w:rPr>
        <w:t>提出的问题应当在</w:t>
      </w:r>
      <w:r>
        <w:rPr>
          <w:sz w:val="24"/>
        </w:rPr>
        <w:t>2小时内解决，在线无法解决的应当在6小时内到达现场协助</w:t>
      </w:r>
      <w:r>
        <w:rPr>
          <w:sz w:val="24"/>
        </w:rPr>
        <w:t>甲方</w:t>
      </w:r>
      <w:r>
        <w:rPr>
          <w:sz w:val="24"/>
        </w:rPr>
        <w:t>解决，安排专业人员及时排查故障，确保尽快恢复供电；</w:t>
      </w:r>
      <w:r>
        <w:rPr>
          <w:sz w:val="24"/>
        </w:rPr>
        <w:t>甲方</w:t>
      </w:r>
      <w:r>
        <w:rPr>
          <w:sz w:val="24"/>
        </w:rPr>
        <w:t>需要咨询服务时，</w:t>
      </w:r>
      <w:r>
        <w:rPr>
          <w:sz w:val="24"/>
        </w:rPr>
        <w:t>乙方</w:t>
      </w:r>
      <w:r>
        <w:rPr>
          <w:sz w:val="24"/>
        </w:rPr>
        <w:t>应在</w:t>
      </w:r>
      <w:r>
        <w:rPr>
          <w:sz w:val="24"/>
        </w:rPr>
        <w:t>1个小时内响应；</w:t>
      </w:r>
      <w:r>
        <w:rPr>
          <w:sz w:val="24"/>
        </w:rPr>
        <w:t>乙方</w:t>
      </w:r>
      <w:r>
        <w:rPr>
          <w:sz w:val="24"/>
        </w:rPr>
        <w:t>须做好相关技术人员的培训工作，确保满足该项目所需的服务能力。</w:t>
      </w:r>
    </w:p>
    <w:p>
      <w:pPr>
        <w:pStyle w:val="null3"/>
      </w:pPr>
      <w:r>
        <w:rPr>
          <w:sz w:val="24"/>
        </w:rPr>
        <w:t>4.8.乙方结合招标文件要求提供详细服务方案，方案内容包括但不限于：①服务计划安排（如项目实施时间节点、进度安排）、②项目管理人员配置（如团队成员构成、岗位职责）、③节能建议（如结合甲方情况进行分析、提出节能的措施）、④政策咨询服务（如：有新颁发、出台的通知政策等）、⑤负荷及电量预测等。</w:t>
      </w:r>
    </w:p>
    <w:p>
      <w:pPr>
        <w:pStyle w:val="null3"/>
      </w:pPr>
      <w:r>
        <w:rPr>
          <w:sz w:val="24"/>
        </w:rPr>
        <w:t>4.9.为保障项目质量，乙方应熟悉、了解本次（或同类）项目的实施运作，建议具备相关经验并建立质量管理制度。结合本项目需求实际情况、实施中的难点进行分析并提出应对措施，确保能保障不间断供电。</w:t>
      </w:r>
    </w:p>
    <w:p>
      <w:pPr>
        <w:pStyle w:val="null3"/>
      </w:pPr>
      <w:r>
        <w:rPr>
          <w:sz w:val="24"/>
          <w:b/>
          <w:color w:val="000000"/>
        </w:rPr>
        <w:t>第五条</w:t>
      </w:r>
      <w:r>
        <w:rPr>
          <w:sz w:val="24"/>
          <w:b/>
        </w:rPr>
        <w:t>乙方提供如下服务，如有其他配套服务，可在投标文件中提供详细的配套服务实施方案。（以下服务费用包含在购电费用中，甲方无需额外支付此服务费用）</w:t>
      </w:r>
    </w:p>
    <w:p>
      <w:pPr>
        <w:pStyle w:val="null3"/>
      </w:pPr>
      <w:r>
        <w:rPr>
          <w:sz w:val="24"/>
        </w:rPr>
        <w:t>5.1.电房维保服务。为保障供电安全及稳定性，提供高低压配电房维保服务（含金融城院区与知识城院区电房），主要设备清单见采购文件附件1。该部分内容允许分包。乙方须具备电力监管机构颁发的《承装（修、试）电力设施许可证》，提供有效的证书复印件并加盖乙方公章）；乙方如不具备电力监管机构颁发的《承装（修、试）电力设施许可证》，须将该项服务内容分包给有相关资质的供应商负责，并提供分包供应商有效的《承装（修、试）电力设施许可证》和《分包意向协议书》。</w:t>
      </w:r>
      <w:r>
        <w:rPr>
          <w:sz w:val="24"/>
          <w:b/>
        </w:rPr>
        <w:t>注：除上述内容允许分包外，乙方不得再以任何方式分包（或转包）本项目。</w:t>
      </w:r>
    </w:p>
    <w:p>
      <w:pPr>
        <w:pStyle w:val="null3"/>
      </w:pPr>
      <w:r>
        <w:rPr>
          <w:sz w:val="24"/>
        </w:rPr>
        <w:t>5.2.用电设备更新服务。至少提供价值=实际用电量×0.017元/KWh的用电设备更新服务。</w:t>
      </w:r>
    </w:p>
    <w:p>
      <w:pPr>
        <w:pStyle w:val="null3"/>
      </w:pPr>
      <w:r>
        <w:rPr>
          <w:sz w:val="24"/>
        </w:rPr>
        <w:t>5.3.用电分析及负荷预测服务。提供用电分析报告，预测用电负荷。</w:t>
      </w:r>
    </w:p>
    <w:p>
      <w:pPr>
        <w:pStyle w:val="null3"/>
      </w:pPr>
      <w:r>
        <w:rPr>
          <w:sz w:val="24"/>
          <w:b/>
          <w:color w:val="000000"/>
        </w:rPr>
        <w:t>第六条</w:t>
      </w:r>
      <w:r>
        <w:rPr>
          <w:sz w:val="24"/>
          <w:b/>
          <w:color w:val="000000"/>
        </w:rPr>
        <w:t>应急要求</w:t>
      </w:r>
    </w:p>
    <w:p>
      <w:pPr>
        <w:pStyle w:val="null3"/>
      </w:pPr>
      <w:r>
        <w:rPr>
          <w:sz w:val="24"/>
        </w:rPr>
        <w:t>6.1.乙方应具备完善的应急处理方案，以保障项目顺利实施，包括但不限于以下内容：用电高峰的电力保障、特殊情况下的电力调度等。</w:t>
      </w:r>
    </w:p>
    <w:p>
      <w:pPr>
        <w:pStyle w:val="null3"/>
      </w:pPr>
      <w:r>
        <w:rPr>
          <w:sz w:val="24"/>
        </w:rPr>
        <w:t>6.2.提供详细的售后管理方案（含售后人员配置、售后处理流程及应急响应机制）。</w:t>
      </w:r>
    </w:p>
    <w:p>
      <w:pPr>
        <w:pStyle w:val="null3"/>
      </w:pPr>
      <w:r>
        <w:rPr>
          <w:sz w:val="24"/>
        </w:rPr>
        <w:t>6.3.乙方结合甲方单位的实际情况编制应急方案，对各种应急事件有针对性的应急预案和相应应急措施。</w:t>
      </w:r>
    </w:p>
    <w:p>
      <w:pPr>
        <w:pStyle w:val="null3"/>
      </w:pPr>
      <w:r>
        <w:rPr>
          <w:sz w:val="24"/>
          <w:b/>
          <w:color w:val="000000"/>
        </w:rPr>
        <w:t>第七条</w:t>
      </w:r>
      <w:r>
        <w:rPr>
          <w:sz w:val="24"/>
          <w:b/>
          <w:color w:val="000000"/>
        </w:rPr>
        <w:t>结算方式</w:t>
      </w:r>
    </w:p>
    <w:p>
      <w:pPr>
        <w:pStyle w:val="null3"/>
      </w:pPr>
      <w:r>
        <w:rPr>
          <w:sz w:val="24"/>
          <w:color w:val="000000"/>
        </w:rPr>
        <w:t>7.1结算方式：《广东电力市场结算实施细则》和《广东电力市场零售结算实施细则及其他相关规则进行结算。</w:t>
      </w:r>
    </w:p>
    <w:p>
      <w:pPr>
        <w:pStyle w:val="null3"/>
      </w:pPr>
      <w:r>
        <w:rPr>
          <w:sz w:val="24"/>
          <w:color w:val="000000"/>
        </w:rPr>
        <w:t>7.2实际结算电量以电力计量装置采集并推送至广东电力交易中心发布的实际用电量为准。</w:t>
      </w:r>
    </w:p>
    <w:p>
      <w:pPr>
        <w:pStyle w:val="null3"/>
      </w:pPr>
      <w:r>
        <w:rPr>
          <w:sz w:val="24"/>
          <w:color w:val="000000"/>
        </w:rPr>
        <w:t>7.3电费结算：关于电费结算，供电企业（乙方）需按照广东省电力交易中心的相关要求落实，结算期限与甲方、供电企业（乙方）双方在广东省电力交易系统签订的电子合同期限一致。</w:t>
      </w:r>
    </w:p>
    <w:p>
      <w:pPr>
        <w:pStyle w:val="null3"/>
      </w:pPr>
      <w:r>
        <w:rPr>
          <w:sz w:val="24"/>
          <w:color w:val="000000"/>
        </w:rPr>
        <w:t xml:space="preserve"> </w:t>
      </w:r>
      <w:r>
        <w:rPr>
          <w:sz w:val="24"/>
          <w:color w:val="000000"/>
        </w:rPr>
        <w:t>1）供电企业（乙方）通过交易系统获得月度的实际用电量后，需及时通知甲方进行核对。</w:t>
      </w:r>
    </w:p>
    <w:p>
      <w:pPr>
        <w:pStyle w:val="null3"/>
      </w:pPr>
      <w:r>
        <w:rPr>
          <w:sz w:val="24"/>
          <w:color w:val="000000"/>
        </w:rPr>
        <w:t xml:space="preserve"> </w:t>
      </w:r>
      <w:r>
        <w:rPr>
          <w:sz w:val="24"/>
          <w:color w:val="000000"/>
        </w:rPr>
        <w:t>2）供电企业（乙方）需要将每个月的实际用电量、价格、电费、结算明细等相关信息发送给甲方。</w:t>
      </w:r>
    </w:p>
    <w:p>
      <w:pPr>
        <w:pStyle w:val="null3"/>
      </w:pPr>
      <w:r>
        <w:rPr>
          <w:sz w:val="24"/>
          <w:color w:val="000000"/>
        </w:rPr>
        <w:t xml:space="preserve"> </w:t>
      </w:r>
      <w:r>
        <w:rPr>
          <w:sz w:val="24"/>
          <w:color w:val="000000"/>
        </w:rPr>
        <w:t>3）广东电力交易中心根据甲方与供电企业（乙方）在广东电力交易系统上签订的网上零售合同进行电量交易与结算，系统每月自动出结算单至供电局，由供电局根据结算单收取相关电费，以广东电力交易中心结算规则为准。</w:t>
      </w:r>
    </w:p>
    <w:p>
      <w:pPr>
        <w:pStyle w:val="null3"/>
      </w:pPr>
      <w:r>
        <w:rPr>
          <w:sz w:val="24"/>
          <w:color w:val="000000"/>
        </w:rPr>
        <w:t xml:space="preserve"> </w:t>
      </w:r>
      <w:r>
        <w:rPr>
          <w:sz w:val="24"/>
          <w:color w:val="000000"/>
        </w:rPr>
        <w:t>4）甲方每月的电费缴纳依旧按原来的向广东电网有限责任公司广州市天河区</w:t>
      </w:r>
      <w:r>
        <w:rPr>
          <w:sz w:val="24"/>
          <w:color w:val="000000"/>
        </w:rPr>
        <w:t>/黄埔区</w:t>
      </w:r>
      <w:r>
        <w:rPr>
          <w:sz w:val="24"/>
          <w:color w:val="000000"/>
        </w:rPr>
        <w:t>供电局电费缴纳方式完成电费的缴纳。</w:t>
      </w:r>
    </w:p>
    <w:p>
      <w:pPr>
        <w:pStyle w:val="null3"/>
      </w:pPr>
      <w:r>
        <w:rPr>
          <w:sz w:val="24"/>
          <w:b/>
          <w:color w:val="000000"/>
        </w:rPr>
        <w:t>第八条</w:t>
      </w:r>
      <w:r>
        <w:rPr>
          <w:sz w:val="24"/>
          <w:b/>
          <w:color w:val="000000"/>
        </w:rPr>
        <w:t>违约赔偿</w:t>
      </w:r>
    </w:p>
    <w:p>
      <w:pPr>
        <w:pStyle w:val="null3"/>
      </w:pPr>
      <w:r>
        <w:rPr>
          <w:sz w:val="24"/>
          <w:color w:val="000000"/>
        </w:rPr>
        <w:t xml:space="preserve">8.1 </w:t>
      </w:r>
      <w:r>
        <w:rPr>
          <w:sz w:val="24"/>
        </w:rPr>
        <w:t>因乙方原因违约，导致甲方无法按照合同内容约定的电价购电用电或无电可用，致甲方返回电网企业代理购电时，乙方应向甲方支付因乙方违约而造成的经济损失。违约金的计算标准：违约金</w:t>
      </w:r>
      <w:r>
        <w:rPr>
          <w:sz w:val="24"/>
        </w:rPr>
        <w:t>=（合同期内预估电量-已购实际电量）*广东电力交易中心有限公司发布的2026年度双边协商成交均价*150%。</w:t>
      </w:r>
    </w:p>
    <w:p>
      <w:pPr>
        <w:pStyle w:val="null3"/>
      </w:pPr>
      <w:r>
        <w:rPr>
          <w:sz w:val="24"/>
          <w:color w:val="000000"/>
        </w:rPr>
        <w:t xml:space="preserve">8.2 </w:t>
      </w:r>
      <w:r>
        <w:rPr>
          <w:sz w:val="24"/>
        </w:rPr>
        <w:t>因乙方未履行合同条款，导致甲方额外支出的费用，乙方应向甲方支付因乙方违约而造成的经济损失，违约金额按甲方额外支出的费用。</w:t>
      </w:r>
    </w:p>
    <w:p>
      <w:pPr>
        <w:pStyle w:val="null3"/>
      </w:pPr>
      <w:r>
        <w:rPr>
          <w:sz w:val="24"/>
        </w:rPr>
        <w:t>8.3 若乙方存在提供虚假数据、拒不履行服务义务等严重违约行为，甲方有权终止合同，还将其违约情况如实上报行业主管部门，并列入甲方供应商黑名单，禁止其参与医院后续所有电力相关项目采购。同时，医院保留就乙方违约行为造成的全部损失，通过法律途径追究其相应法律责任的权利。</w:t>
      </w:r>
    </w:p>
    <w:p>
      <w:pPr>
        <w:pStyle w:val="null3"/>
      </w:pPr>
      <w:r>
        <w:rPr>
          <w:sz w:val="24"/>
        </w:rPr>
        <w:t>8.4 除甲方明确允许分包（或转包）的内容，乙方不得将项目其他内容非法分包（或转包）给任何单位和个人，否则，甲方有权即刻终止合同，并要求乙方赔偿相应损失。</w:t>
      </w:r>
    </w:p>
    <w:p>
      <w:pPr>
        <w:pStyle w:val="null3"/>
      </w:pPr>
      <w:r>
        <w:rPr>
          <w:sz w:val="24"/>
        </w:rPr>
        <w:t>8.5 乙方若认为采购文件的技术要求或其他要求有倾向性或不公正性，可在采购答疑阶段提出，以维护采购行为的公平、公正。</w:t>
      </w:r>
    </w:p>
    <w:p>
      <w:pPr>
        <w:pStyle w:val="null3"/>
      </w:pPr>
      <w:r>
        <w:rPr>
          <w:sz w:val="24"/>
        </w:rPr>
        <w:t>8.6 乙方使用的标准必须是国际公认或国家、或地方政府颁布 的同等或更高的标准，如乙方使用的标准低于上述标准,评标委员会将有权不予接受，乙方必须列表将明显的差异详细说明。</w:t>
      </w:r>
    </w:p>
    <w:p>
      <w:pPr>
        <w:pStyle w:val="null3"/>
        <w:ind w:firstLine="482"/>
        <w:jc w:val="both"/>
      </w:pPr>
      <w:r>
        <w:rPr>
          <w:sz w:val="24"/>
          <w:b/>
        </w:rPr>
        <w:t>第九条</w:t>
      </w:r>
      <w:r>
        <w:rPr>
          <w:sz w:val="24"/>
          <w:b/>
        </w:rPr>
        <w:t>保密责任</w:t>
      </w:r>
    </w:p>
    <w:p>
      <w:pPr>
        <w:pStyle w:val="null3"/>
        <w:ind w:firstLine="480"/>
        <w:jc w:val="both"/>
      </w:pPr>
      <w:r>
        <w:rPr>
          <w:sz w:val="24"/>
        </w:rPr>
        <w:t>双方应保守通过签订和履行本合同而获取的对方之商业及技术秘密，包括本合同文本，相关技术文件、相关数据，以及其他有关信息。任何一方违反上述约定的，应赔偿合同守约方的损失。本保密条款不因合同终止而终止。</w:t>
      </w:r>
    </w:p>
    <w:p>
      <w:pPr>
        <w:pStyle w:val="null3"/>
        <w:jc w:val="both"/>
      </w:pPr>
      <w:r>
        <w:rPr>
          <w:sz w:val="24"/>
          <w:b/>
        </w:rPr>
        <w:t>第十条</w:t>
      </w:r>
      <w:r>
        <w:rPr>
          <w:sz w:val="24"/>
          <w:b/>
        </w:rPr>
        <w:t>不可抗力</w:t>
      </w:r>
    </w:p>
    <w:p>
      <w:pPr>
        <w:pStyle w:val="null3"/>
        <w:ind w:firstLine="480"/>
        <w:jc w:val="both"/>
      </w:pPr>
      <w:r>
        <w:rPr>
          <w:sz w:val="24"/>
        </w:rPr>
        <w:t>一方由于水灾、火灾、地震、干旱、战争或协议一方无法预见、控制、避免和克服的其他事件导致不能或暂时不能全部或部分履行本协议，该方可以免责。但是，受不可抗力事件影响的一方须尽快将事件发生状况通知另一方，并在不可抗力事件影响消除之日起</w:t>
      </w:r>
      <w:r>
        <w:rPr>
          <w:sz w:val="24"/>
        </w:rPr>
        <w:t>15日内将有关机构出具的不可抗力事件的证明寄交对方。未提供以上证明的，不能免除违约责任。</w:t>
      </w:r>
    </w:p>
    <w:p>
      <w:pPr>
        <w:pStyle w:val="null3"/>
        <w:jc w:val="both"/>
      </w:pPr>
      <w:r>
        <w:rPr>
          <w:sz w:val="24"/>
          <w:b/>
        </w:rPr>
        <w:t>第十一条</w:t>
      </w:r>
      <w:r>
        <w:rPr>
          <w:sz w:val="24"/>
          <w:b/>
        </w:rPr>
        <w:t>适用法律与争议解决</w:t>
      </w:r>
    </w:p>
    <w:p>
      <w:pPr>
        <w:pStyle w:val="null3"/>
        <w:ind w:firstLine="480"/>
        <w:jc w:val="both"/>
      </w:pPr>
      <w:r>
        <w:rPr>
          <w:sz w:val="24"/>
        </w:rPr>
        <w:t>11.1本合同的成立、有效性、解释、履行、签署、修订和终止以及争议的解决均应适用中华人民共和国法律。</w:t>
      </w:r>
    </w:p>
    <w:p>
      <w:pPr>
        <w:pStyle w:val="null3"/>
        <w:ind w:firstLine="480"/>
        <w:jc w:val="both"/>
      </w:pPr>
      <w:r>
        <w:rPr>
          <w:sz w:val="24"/>
        </w:rPr>
        <w:t>11.2如果任何争议或权利要求起因于本合同或与本合同有关或与本合同的解释、违约、终止或效力有关，都应由双方通过友好协商解决。双方通过协商不能解决争议，则各方同意向甲方所在地人民法院提起诉讼。</w:t>
      </w:r>
    </w:p>
    <w:p>
      <w:pPr>
        <w:pStyle w:val="null3"/>
        <w:ind w:firstLine="480"/>
        <w:jc w:val="both"/>
      </w:pPr>
      <w:r>
        <w:rPr>
          <w:sz w:val="24"/>
        </w:rPr>
        <w:t>11.3诉讼进行过程中，除双方有争议的部分外，本合同其他部分仍然有效，各方应继续履行。</w:t>
      </w:r>
    </w:p>
    <w:p>
      <w:pPr>
        <w:pStyle w:val="null3"/>
        <w:jc w:val="both"/>
      </w:pPr>
      <w:r>
        <w:rPr>
          <w:sz w:val="24"/>
          <w:b/>
        </w:rPr>
        <w:t>第十二条</w:t>
      </w:r>
      <w:r>
        <w:rPr>
          <w:sz w:val="24"/>
          <w:b/>
        </w:rPr>
        <w:t>通知与送达</w:t>
      </w:r>
    </w:p>
    <w:p>
      <w:pPr>
        <w:pStyle w:val="null3"/>
        <w:ind w:firstLine="480"/>
        <w:jc w:val="both"/>
      </w:pPr>
      <w:r>
        <w:rPr>
          <w:sz w:val="24"/>
        </w:rPr>
        <w:t>一方在本合同履行过程中向对方发出或者提供的所有通知、文件、文书、资料等；均以本合同所列明的地址送达。一方如果迁址、变更电话，应当书面通知对方，未履行书面通知义务的，一方按原地址邮寄相关材料或通知相关信息即视为已履行送达义务。当面交付上述材料的，在交付之时视为送达；以邮寄方式交付的，寄出、发出或者投邮后即视为送达。</w:t>
      </w:r>
    </w:p>
    <w:p>
      <w:pPr>
        <w:pStyle w:val="null3"/>
        <w:jc w:val="both"/>
      </w:pPr>
      <w:r>
        <w:rPr>
          <w:sz w:val="24"/>
          <w:b/>
        </w:rPr>
        <w:t>第十三条</w:t>
      </w:r>
      <w:r>
        <w:rPr>
          <w:sz w:val="24"/>
          <w:b/>
        </w:rPr>
        <w:t>其它</w:t>
      </w:r>
    </w:p>
    <w:p>
      <w:pPr>
        <w:pStyle w:val="null3"/>
        <w:ind w:firstLine="480"/>
        <w:jc w:val="both"/>
      </w:pPr>
      <w:r>
        <w:rPr>
          <w:sz w:val="24"/>
        </w:rPr>
        <w:t>13.1本合同未尽事宜，应由双方友好协商解决。如需对本合同及其附件作任何修改或补充，须由双方以书面做出方为有效。修改或补充文件与本合同有不一致的，以修改或补充文件为准。</w:t>
      </w:r>
    </w:p>
    <w:p>
      <w:pPr>
        <w:pStyle w:val="null3"/>
        <w:ind w:firstLine="480"/>
        <w:jc w:val="both"/>
      </w:pPr>
      <w:r>
        <w:rPr>
          <w:sz w:val="24"/>
        </w:rPr>
        <w:t>13.2附件为本合同不可分割的部分。若附件与合同正文有任何不一致，以合同正文为准。</w:t>
      </w:r>
    </w:p>
    <w:p>
      <w:pPr>
        <w:pStyle w:val="null3"/>
        <w:ind w:firstLine="480"/>
        <w:jc w:val="both"/>
      </w:pPr>
      <w:r>
        <w:rPr>
          <w:sz w:val="24"/>
        </w:rPr>
        <w:t>13.3本合同经双方法定代表人（或委托代理人）签字并盖章之日起生效。</w:t>
      </w:r>
    </w:p>
    <w:p>
      <w:pPr>
        <w:pStyle w:val="null3"/>
        <w:ind w:firstLine="480"/>
        <w:jc w:val="both"/>
      </w:pPr>
      <w:r>
        <w:rPr>
          <w:sz w:val="24"/>
        </w:rPr>
        <w:t>13.4 本合同一式</w:t>
      </w:r>
      <w:r>
        <w:rPr>
          <w:sz w:val="24"/>
          <w:u w:val="single"/>
        </w:rPr>
        <w:t xml:space="preserve">  </w:t>
      </w:r>
      <w:r>
        <w:rPr>
          <w:sz w:val="24"/>
          <w:u w:val="single"/>
        </w:rPr>
        <w:t>柒</w:t>
      </w:r>
      <w:r>
        <w:rPr>
          <w:sz w:val="24"/>
          <w:u w:val="single"/>
        </w:rPr>
        <w:t xml:space="preserve">  </w:t>
      </w:r>
      <w:r>
        <w:rPr>
          <w:sz w:val="24"/>
        </w:rPr>
        <w:t>份</w:t>
      </w:r>
      <w:r>
        <w:rPr>
          <w:sz w:val="24"/>
        </w:rPr>
        <w:t>(甲方执</w:t>
      </w:r>
      <w:r>
        <w:rPr>
          <w:sz w:val="24"/>
          <w:u w:val="single"/>
        </w:rPr>
        <w:t xml:space="preserve"> </w:t>
      </w:r>
      <w:r>
        <w:rPr>
          <w:sz w:val="24"/>
          <w:u w:val="single"/>
        </w:rPr>
        <w:t>肆</w:t>
      </w:r>
      <w:r>
        <w:rPr>
          <w:sz w:val="24"/>
        </w:rPr>
        <w:t>份、乙方执</w:t>
      </w:r>
      <w:r>
        <w:rPr>
          <w:sz w:val="24"/>
          <w:u w:val="single"/>
        </w:rPr>
        <w:t xml:space="preserve"> </w:t>
      </w:r>
      <w:r>
        <w:rPr>
          <w:sz w:val="24"/>
          <w:u w:val="single"/>
        </w:rPr>
        <w:t>叁</w:t>
      </w:r>
      <w:r>
        <w:rPr>
          <w:sz w:val="24"/>
        </w:rPr>
        <w:t>份</w:t>
      </w:r>
      <w:r>
        <w:rPr>
          <w:sz w:val="24"/>
        </w:rPr>
        <w:t>)，均为正本，具有同等法律效力。</w:t>
      </w:r>
    </w:p>
    <w:p>
      <w:pPr>
        <w:pStyle w:val="null3"/>
        <w:spacing w:after="240"/>
      </w:pPr>
      <w:r>
        <w:rPr>
          <w:sz w:val="24"/>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5893"/>
        <w:gridCol w:w="5691"/>
      </w:tblGrid>
      <w:tr>
        <w:tc>
          <w:tcPr>
            <w:tcW w:type="dxa" w:w="589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甲方：中山大学附属第六医院</w:t>
            </w:r>
          </w:p>
        </w:tc>
        <w:tc>
          <w:tcPr>
            <w:tcW w:type="dxa" w:w="56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乙方：</w:t>
            </w:r>
            <w:r>
              <w:rPr>
                <w:sz w:val="24"/>
              </w:rPr>
              <w:t xml:space="preserve">               </w:t>
            </w:r>
          </w:p>
        </w:tc>
      </w:tr>
      <w:tr>
        <w:tc>
          <w:tcPr>
            <w:tcW w:type="dxa" w:w="589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（盖章）</w:t>
            </w:r>
          </w:p>
        </w:tc>
        <w:tc>
          <w:tcPr>
            <w:tcW w:type="dxa" w:w="56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（盖章）</w:t>
            </w:r>
          </w:p>
        </w:tc>
      </w:tr>
      <w:tr>
        <w:tc>
          <w:tcPr>
            <w:tcW w:type="dxa" w:w="589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地址：</w:t>
            </w:r>
          </w:p>
        </w:tc>
        <w:tc>
          <w:tcPr>
            <w:tcW w:type="dxa" w:w="56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地址</w:t>
            </w:r>
            <w:r>
              <w:rPr>
                <w:sz w:val="24"/>
              </w:rPr>
              <w:t xml:space="preserve">:                  </w:t>
            </w:r>
          </w:p>
        </w:tc>
      </w:tr>
      <w:tr>
        <w:tc>
          <w:tcPr>
            <w:tcW w:type="dxa" w:w="589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法定代表人（或委托代理人）：</w:t>
            </w:r>
          </w:p>
        </w:tc>
        <w:tc>
          <w:tcPr>
            <w:tcW w:type="dxa" w:w="56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法定代表人（或委托代理人）：</w:t>
            </w:r>
          </w:p>
        </w:tc>
      </w:tr>
      <w:tr>
        <w:tc>
          <w:tcPr>
            <w:tcW w:type="dxa" w:w="589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c>
          <w:tcPr>
            <w:tcW w:type="dxa" w:w="56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589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电话：</w:t>
            </w:r>
            <w:r>
              <w:rPr>
                <w:sz w:val="24"/>
              </w:rPr>
              <w:t xml:space="preserve">                     </w:t>
            </w:r>
          </w:p>
        </w:tc>
        <w:tc>
          <w:tcPr>
            <w:tcW w:type="dxa" w:w="56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电话：</w:t>
            </w:r>
            <w:r>
              <w:rPr>
                <w:sz w:val="24"/>
              </w:rPr>
              <w:t xml:space="preserve">                  </w:t>
            </w:r>
          </w:p>
        </w:tc>
      </w:tr>
      <w:tr>
        <w:tc>
          <w:tcPr>
            <w:tcW w:type="dxa" w:w="589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p>
        </w:tc>
        <w:tc>
          <w:tcPr>
            <w:tcW w:type="dxa" w:w="56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440001-2026-02900</w:t>
      </w:r>
    </w:p>
    <w:p>
      <w:pPr>
        <w:pStyle w:val="null3"/>
        <w:jc w:val="center"/>
        <w:outlineLvl w:val="3"/>
      </w:pPr>
      <w:r>
        <w:rPr>
          <w:sz w:val="24"/>
          <w:b/>
        </w:rPr>
        <w:t>采购项目编号：</w:t>
      </w:r>
      <w:r>
        <w:rPr>
          <w:sz w:val="24"/>
          <w:b/>
        </w:rPr>
        <w:t>ZB-15-04A-2026-D-F-E01279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公诚管理咨询有限公司</w:t>
      </w:r>
    </w:p>
    <w:p>
      <w:pPr>
        <w:pStyle w:val="null3"/>
        <w:ind w:firstLine="480"/>
      </w:pPr>
      <w:r>
        <w:rPr/>
        <w:t xml:space="preserve"> 你方组织的</w:t>
      </w:r>
      <w:r>
        <w:rPr>
          <w:u w:val="single"/>
        </w:rPr>
        <w:t>“</w:t>
      </w:r>
      <w:r>
        <w:rPr>
          <w:u w:val="single"/>
        </w:rPr>
        <w:t>中山大学附属第六医院市场化购电服务项目</w:t>
      </w:r>
      <w:r>
        <w:rPr>
          <w:u w:val="single"/>
        </w:rPr>
        <w:t>”</w:t>
      </w:r>
      <w:r>
        <w:rPr/>
        <w:t>项目的招标[采购项目编号为：</w:t>
      </w:r>
      <w:r>
        <w:rPr>
          <w:u w:val="single"/>
        </w:rPr>
        <w:t>ZB-15-04A-2026-D-F-E01279</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中山大学附属第六医院市场化购电服务项目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公诚管理咨询有限公司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中山大学附属第六医院市场化购电服务项目</w:t>
      </w:r>
      <w:r>
        <w:rPr/>
        <w:t>”项目采购[采购项目编号为</w:t>
      </w:r>
      <w:r>
        <w:rPr/>
        <w:t>ZB-15-04A-2026-D-F-E01279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中山大学附属第六医院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公诚管理咨询有限公司</w:t>
      </w:r>
    </w:p>
    <w:p>
      <w:pPr>
        <w:pStyle w:val="null3"/>
        <w:ind w:firstLine="480"/>
      </w:pPr>
      <w:r>
        <w:rPr/>
        <w:t xml:space="preserve"> 如果我方在贵采购代理机构组织的</w:t>
      </w:r>
      <w:r>
        <w:rPr/>
        <w:t>中山大学附属第六医院市场化购电服务项目</w:t>
      </w:r>
      <w:r>
        <w:rPr/>
        <w:t>招标中获中标（采购项目编号：</w:t>
      </w:r>
      <w:r>
        <w:rPr/>
        <w:t>ZB-15-04A-2026-D-F-E01279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公诚管理咨询有限公司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公诚管理咨询有限公司</w:t>
      </w:r>
    </w:p>
    <w:p>
      <w:pPr>
        <w:pStyle w:val="null3"/>
        <w:ind w:firstLine="480"/>
      </w:pPr>
      <w:r>
        <w:rPr/>
        <w:t>我单位已登记并准备参与“</w:t>
      </w:r>
      <w:r>
        <w:rPr/>
        <w:t>中山大学附属第六医院市场化购电服务项目</w:t>
      </w:r>
      <w:r>
        <w:rPr/>
        <w:t>”项目（采购项目编号：</w:t>
      </w:r>
      <w:r>
        <w:rPr/>
        <w:t>ZB-15-04A-2026-D-F-E01279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