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2CB0B" w14:textId="7FB7E419" w:rsidR="00B250D0" w:rsidRPr="00B6149B" w:rsidRDefault="00F164E0" w:rsidP="00B6149B">
      <w:pPr>
        <w:kinsoku/>
        <w:spacing w:before="140" w:line="223" w:lineRule="auto"/>
        <w:jc w:val="center"/>
        <w:outlineLvl w:val="0"/>
        <w:rPr>
          <w:rFonts w:ascii="黑体" w:eastAsia="黑体" w:hAnsi="黑体" w:cs="宋体" w:hint="eastAsia"/>
          <w:b/>
          <w:bCs/>
          <w:spacing w:val="4"/>
          <w:sz w:val="32"/>
          <w:szCs w:val="32"/>
        </w:rPr>
      </w:pPr>
      <w:r w:rsidRPr="00F164E0">
        <w:rPr>
          <w:rFonts w:ascii="黑体" w:eastAsia="黑体" w:hAnsi="黑体" w:cs="宋体"/>
          <w:b/>
          <w:bCs/>
          <w:spacing w:val="4"/>
          <w:sz w:val="32"/>
          <w:szCs w:val="32"/>
        </w:rPr>
        <w:t>钦州海关综合技术服务中心2026年实验室仪器设备更新采购项目</w:t>
      </w:r>
      <w:r w:rsidR="002E2DBF">
        <w:rPr>
          <w:rFonts w:ascii="黑体" w:eastAsia="黑体" w:hAnsi="黑体" w:cs="宋体" w:hint="eastAsia"/>
          <w:b/>
          <w:bCs/>
          <w:spacing w:val="4"/>
          <w:sz w:val="32"/>
          <w:szCs w:val="32"/>
        </w:rPr>
        <w:t>设备技术参数</w:t>
      </w:r>
    </w:p>
    <w:p w14:paraId="55C45E87" w14:textId="77777777" w:rsidR="00B250D0" w:rsidRDefault="00B250D0">
      <w:pPr>
        <w:pStyle w:val="a5"/>
        <w:kinsoku/>
        <w:spacing w:line="372" w:lineRule="auto"/>
        <w:rPr>
          <w:rFonts w:ascii="宋体" w:eastAsia="宋体" w:cs="宋体"/>
        </w:rPr>
      </w:pPr>
    </w:p>
    <w:p w14:paraId="6A689FC3" w14:textId="2D33C619" w:rsidR="00B6149B" w:rsidRPr="00B6149B" w:rsidRDefault="00B6149B" w:rsidP="00F164E0">
      <w:pPr>
        <w:kinsoku/>
        <w:spacing w:line="360" w:lineRule="auto"/>
        <w:ind w:left="6" w:right="62" w:firstLine="425"/>
        <w:rPr>
          <w:rFonts w:ascii="黑体" w:eastAsia="黑体" w:hAnsi="黑体" w:cs="宋体" w:hint="eastAsia"/>
          <w:b/>
          <w:bCs/>
          <w:spacing w:val="-3"/>
          <w:sz w:val="28"/>
          <w:szCs w:val="28"/>
        </w:rPr>
      </w:pPr>
      <w:r w:rsidRPr="00B6149B">
        <w:rPr>
          <w:rFonts w:ascii="黑体" w:eastAsia="黑体" w:hAnsi="黑体" w:cs="宋体" w:hint="eastAsia"/>
          <w:b/>
          <w:bCs/>
          <w:spacing w:val="-3"/>
          <w:sz w:val="28"/>
          <w:szCs w:val="28"/>
        </w:rPr>
        <w:t>一、说明</w:t>
      </w:r>
    </w:p>
    <w:p w14:paraId="696B52DB" w14:textId="4D846021" w:rsidR="00B250D0" w:rsidRPr="00B6149B" w:rsidRDefault="00000000" w:rsidP="00F164E0">
      <w:pPr>
        <w:kinsoku/>
        <w:spacing w:line="360" w:lineRule="auto"/>
        <w:ind w:left="6" w:right="62" w:firstLine="425"/>
        <w:rPr>
          <w:rFonts w:ascii="仿宋_GB2312" w:eastAsia="仿宋_GB2312" w:hAnsi="仿宋_GB2312" w:cs="宋体" w:hint="eastAsia"/>
        </w:rPr>
      </w:pPr>
      <w:r w:rsidRPr="00B6149B">
        <w:rPr>
          <w:rFonts w:ascii="仿宋_GB2312" w:eastAsia="仿宋_GB2312" w:hAnsi="仿宋_GB2312" w:cs="宋体"/>
          <w:spacing w:val="-3"/>
        </w:rPr>
        <w:t>1</w:t>
      </w:r>
      <w:r w:rsidRPr="00B6149B">
        <w:rPr>
          <w:rFonts w:ascii="仿宋_GB2312" w:eastAsia="仿宋_GB2312" w:hAnsi="仿宋_GB2312" w:cs="宋体" w:hint="eastAsia"/>
          <w:spacing w:val="-3"/>
        </w:rPr>
        <w:t>.“实质性要求”是指招标文件中已经指明不满足则投标无效的条款，或者不能负偏离</w:t>
      </w:r>
      <w:r w:rsidRPr="00B6149B">
        <w:rPr>
          <w:rFonts w:ascii="仿宋_GB2312" w:eastAsia="仿宋_GB2312" w:hAnsi="仿宋_GB2312" w:cs="宋体" w:hint="eastAsia"/>
        </w:rPr>
        <w:t>的条款，或者采购需求中</w:t>
      </w:r>
      <w:r w:rsidR="00B6149B" w:rsidRPr="00B6149B">
        <w:rPr>
          <w:rFonts w:ascii="仿宋_GB2312" w:eastAsia="仿宋_GB2312" w:hAnsi="仿宋_GB2312" w:cs="宋体"/>
        </w:rPr>
        <w:t>标注“★”的条款，不满足做无效投标处理；标注“▲”的条款为重要技术参数；其他未标注符号的条款为一般技术参数。</w:t>
      </w:r>
    </w:p>
    <w:p w14:paraId="7620FF54" w14:textId="7507B6B4" w:rsidR="00B250D0" w:rsidRPr="00B6149B" w:rsidRDefault="002E2DBF" w:rsidP="00F164E0">
      <w:pPr>
        <w:kinsoku/>
        <w:spacing w:line="360" w:lineRule="auto"/>
        <w:ind w:left="6" w:right="62" w:firstLine="425"/>
        <w:rPr>
          <w:rFonts w:ascii="仿宋_GB2312" w:eastAsia="仿宋_GB2312" w:hAnsi="仿宋_GB2312" w:cs="宋体" w:hint="eastAsia"/>
        </w:rPr>
      </w:pPr>
      <w:r w:rsidRPr="00B6149B">
        <w:rPr>
          <w:rFonts w:ascii="仿宋_GB2312" w:eastAsia="仿宋_GB2312" w:hAnsi="仿宋_GB2312" w:cs="宋体" w:hint="eastAsia"/>
        </w:rPr>
        <w:t>2.本项目预算金额</w:t>
      </w:r>
      <w:r w:rsidR="00F164E0">
        <w:rPr>
          <w:rFonts w:ascii="仿宋_GB2312" w:eastAsia="仿宋_GB2312" w:hAnsi="仿宋_GB2312" w:cs="宋体" w:hint="eastAsia"/>
        </w:rPr>
        <w:t>80</w:t>
      </w:r>
      <w:r w:rsidRPr="00B6149B">
        <w:rPr>
          <w:rFonts w:ascii="仿宋_GB2312" w:eastAsia="仿宋_GB2312" w:hAnsi="仿宋_GB2312" w:cs="宋体" w:hint="eastAsia"/>
        </w:rPr>
        <w:t>万元。</w:t>
      </w:r>
    </w:p>
    <w:p w14:paraId="319C9F21" w14:textId="543AA455" w:rsidR="00B6149B" w:rsidRPr="00B6149B" w:rsidRDefault="00B6149B" w:rsidP="00F164E0">
      <w:pPr>
        <w:kinsoku/>
        <w:spacing w:line="360" w:lineRule="auto"/>
        <w:ind w:left="6" w:right="62" w:firstLine="425"/>
        <w:rPr>
          <w:rFonts w:ascii="黑体" w:eastAsia="黑体" w:hAnsi="黑体" w:cs="宋体" w:hint="eastAsia"/>
          <w:b/>
          <w:bCs/>
          <w:sz w:val="28"/>
          <w:szCs w:val="28"/>
        </w:rPr>
      </w:pPr>
      <w:r w:rsidRPr="00B6149B">
        <w:rPr>
          <w:rFonts w:ascii="黑体" w:eastAsia="黑体" w:hAnsi="黑体" w:cs="宋体" w:hint="eastAsia"/>
          <w:b/>
          <w:bCs/>
          <w:sz w:val="28"/>
          <w:szCs w:val="28"/>
        </w:rPr>
        <w:t>二、设备参数清单</w:t>
      </w:r>
    </w:p>
    <w:p w14:paraId="77EA2BF9" w14:textId="3352F53F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2"/>
        <w:textAlignment w:val="auto"/>
        <w:rPr>
          <w:rFonts w:ascii="仿宋" w:eastAsia="仿宋" w:hAnsi="仿宋" w:cs="Times New Roman" w:hint="eastAsia"/>
          <w:b/>
          <w:bCs/>
          <w:snapToGrid/>
          <w:kern w:val="2"/>
        </w:rPr>
      </w:pP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（</w:t>
      </w:r>
      <w:r w:rsidRPr="00F164E0">
        <w:rPr>
          <w:rFonts w:ascii="仿宋" w:eastAsia="仿宋" w:hAnsi="仿宋" w:cs="Times New Roman"/>
          <w:b/>
          <w:bCs/>
          <w:snapToGrid/>
          <w:kern w:val="2"/>
        </w:rPr>
        <w:t>一</w:t>
      </w: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）</w:t>
      </w:r>
      <w:r w:rsidRPr="00F164E0">
        <w:rPr>
          <w:rFonts w:ascii="仿宋" w:eastAsia="仿宋" w:hAnsi="仿宋" w:cs="Times New Roman"/>
          <w:b/>
          <w:bCs/>
          <w:snapToGrid/>
          <w:kern w:val="2"/>
        </w:rPr>
        <w:t>燃料胶质测定仪：</w:t>
      </w:r>
    </w:p>
    <w:p w14:paraId="6DA5F38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批复预算单价（万元）：28</w:t>
      </w:r>
    </w:p>
    <w:p w14:paraId="127D716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1.主要用途：进出口汽油、航空煤油胶质含量的测定。</w:t>
      </w:r>
    </w:p>
    <w:p w14:paraId="7174DFD3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2.特殊资质要求：石油化工产品专用。</w:t>
      </w:r>
    </w:p>
    <w:p w14:paraId="2BBB863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3.主要技术参数：</w:t>
      </w:r>
    </w:p>
    <w:p w14:paraId="5418701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3.1标准：必须完全符合ASTM D381及GB/T 8019对仪器的技术要求。</w:t>
      </w:r>
    </w:p>
    <w:p w14:paraId="48916EE9" w14:textId="43F91F29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▲3.2测试位：不小于三位测试单元。</w:t>
      </w:r>
    </w:p>
    <w:p w14:paraId="0E58B5D7" w14:textId="472D46D4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3.3控制器：数字微处理器程序控制，高精度温度控制。</w:t>
      </w:r>
    </w:p>
    <w:p w14:paraId="7C44C0BC" w14:textId="2F03122D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3.4压力调节器：内置压力调节器，带过压保护。</w:t>
      </w:r>
    </w:p>
    <w:p w14:paraId="74A2DF02" w14:textId="23DD160D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3.5测试温度：不低于246℃，带过温保护。</w:t>
      </w:r>
    </w:p>
    <w:p w14:paraId="27525387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3.6温度精度：±0.5℃。</w:t>
      </w:r>
    </w:p>
    <w:p w14:paraId="1C5B2901" w14:textId="73A3B20F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3.7加热模块：金属加热浴块。</w:t>
      </w:r>
    </w:p>
    <w:p w14:paraId="7040BF5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4.主要配置：</w:t>
      </w:r>
    </w:p>
    <w:p w14:paraId="7EFA2EDE" w14:textId="005FEE7E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4.1实际胶质蒸发浴, 不少于3个浴孔, 带过热保护器标准配置一套（仪器标准配置能完成样品测试）：随机包括：胶质测试杯 3个；AC电源线 1根；使用手册，维护手册1套；随机工具 1套。</w:t>
      </w:r>
    </w:p>
    <w:p w14:paraId="5EE503FE" w14:textId="159CA84B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4.2蒸汽发生器 1套。</w:t>
      </w:r>
    </w:p>
    <w:p w14:paraId="12D6FF2B" w14:textId="03EA1894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4.3胶质测试杯6包。</w:t>
      </w:r>
    </w:p>
    <w:p w14:paraId="5D07CA9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4.4保险管，10A  5个。</w:t>
      </w:r>
    </w:p>
    <w:p w14:paraId="3BD8605A" w14:textId="2142AABC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4.5保险管，16A  5个。</w:t>
      </w:r>
    </w:p>
    <w:p w14:paraId="76F53CC0" w14:textId="517D8916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2"/>
        <w:textAlignment w:val="auto"/>
        <w:rPr>
          <w:rFonts w:ascii="仿宋" w:eastAsia="仿宋" w:hAnsi="仿宋" w:cs="Times New Roman" w:hint="eastAsia"/>
          <w:b/>
          <w:bCs/>
          <w:snapToGrid/>
          <w:kern w:val="2"/>
        </w:rPr>
      </w:pP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（二）</w:t>
      </w:r>
      <w:r w:rsidRPr="00F164E0">
        <w:rPr>
          <w:rFonts w:ascii="仿宋" w:eastAsia="仿宋" w:hAnsi="仿宋" w:cs="Times New Roman"/>
          <w:b/>
          <w:bCs/>
          <w:snapToGrid/>
          <w:kern w:val="2"/>
        </w:rPr>
        <w:t>纯水机：</w:t>
      </w:r>
    </w:p>
    <w:p w14:paraId="39288CB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 xml:space="preserve">批复预算单价（万元）：15  </w:t>
      </w:r>
    </w:p>
    <w:p w14:paraId="63AAD87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1.主要用途：食品农产品检测分析用Ⅰ、Ⅱ纯水制备。</w:t>
      </w:r>
    </w:p>
    <w:p w14:paraId="2C3E34F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2.特殊资质要求：无。</w:t>
      </w:r>
    </w:p>
    <w:p w14:paraId="6983311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lastRenderedPageBreak/>
        <w:t>3.主要技术参数：</w:t>
      </w:r>
    </w:p>
    <w:p w14:paraId="68FE0F4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3.1进水条件：以自来水作为进水水源，进水电导率最高可允许到2000us/cm。</w:t>
      </w:r>
    </w:p>
    <w:p w14:paraId="759CCFCF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3.2产水水质：</w:t>
      </w:r>
    </w:p>
    <w:p w14:paraId="1BDD412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▲</w:t>
      </w:r>
      <w:r w:rsidRPr="00F164E0">
        <w:rPr>
          <w:rFonts w:ascii="仿宋" w:eastAsia="仿宋" w:hAnsi="仿宋" w:cs="Times New Roman"/>
          <w:snapToGrid/>
          <w:kern w:val="2"/>
        </w:rPr>
        <w:t>3.2.1二级纯水产水水质（提供一年内的第三方带CMA标识的水质质检报告）：</w:t>
      </w:r>
    </w:p>
    <w:p w14:paraId="1219E9F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电阻率：＞5 MΩ</w:t>
      </w:r>
      <w:r w:rsidRPr="00F164E0">
        <w:rPr>
          <w:rFonts w:ascii="Courier New" w:eastAsia="仿宋" w:hAnsi="Courier New" w:cs="Courier New"/>
          <w:snapToGrid/>
          <w:kern w:val="2"/>
        </w:rPr>
        <w:t>•</w:t>
      </w:r>
      <w:r w:rsidRPr="00F164E0">
        <w:rPr>
          <w:rFonts w:ascii="仿宋" w:eastAsia="仿宋" w:hAnsi="仿宋" w:cs="Times New Roman"/>
          <w:snapToGrid/>
          <w:kern w:val="2"/>
        </w:rPr>
        <w:t>cm＠25℃ （电导率＜0.2μs/cm@25℃）。</w:t>
      </w:r>
    </w:p>
    <w:p w14:paraId="073145F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总有机碳含量(TOC)：＜30ppb。</w:t>
      </w:r>
    </w:p>
    <w:p w14:paraId="08557557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颗粒（＞0.22μm）：＜1 unit/mL。</w:t>
      </w:r>
    </w:p>
    <w:p w14:paraId="518339F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微生物：＜0.01CFU/mL。</w:t>
      </w:r>
    </w:p>
    <w:p w14:paraId="3253646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产水速度：≥20L/H。</w:t>
      </w:r>
    </w:p>
    <w:p w14:paraId="44400C6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▲</w:t>
      </w:r>
      <w:r w:rsidRPr="00F164E0">
        <w:rPr>
          <w:rFonts w:ascii="仿宋" w:eastAsia="仿宋" w:hAnsi="仿宋" w:cs="Times New Roman"/>
          <w:snapToGrid/>
          <w:kern w:val="2"/>
        </w:rPr>
        <w:t>3.2.2 一级超纯水：达到或超过各种标准中规定的I 级水质，如ASTM D1193、ISO 3696、CLSI、JIS K0577、GB/T 6682等，及美国药典（USP）、欧洲药典（EP）、日本药典（JP）和中国2025版药典（ChP）中规定的试剂级超纯水要求，并且满足以下指标要求：</w:t>
      </w:r>
    </w:p>
    <w:p w14:paraId="68279ED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产水电阻率：≥18.2 MΩ.cm @ 25℃；</w:t>
      </w:r>
    </w:p>
    <w:p w14:paraId="53062B8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TOC含量：＜2ppb（＜2μg/L）；（提供一年内的第三方带CMA标识的报告）</w:t>
      </w:r>
    </w:p>
    <w:p w14:paraId="2EC17A98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颗粒（＞0.22μm）：＜1 unit/mL；（提供一年内的第三方带CMA标识的水质质检报告）</w:t>
      </w:r>
    </w:p>
    <w:p w14:paraId="4F88DFC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微生物：＜0.01CFU/mL；（提供一年内的第三方带CMA标识的水质质检报告）</w:t>
      </w:r>
    </w:p>
    <w:p w14:paraId="50FE995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致热原（内毒素）：＜0.001EU/mL；（提供一年内的第三方带CMA标识的水质质检报告）</w:t>
      </w:r>
    </w:p>
    <w:p w14:paraId="524E28C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RNA酶：＜1pg/mL；（提供一年内的第三方带CMA标识的水质质检报告）</w:t>
      </w:r>
    </w:p>
    <w:p w14:paraId="1B7E2EC9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DNA酶：＜5pg/mL；（提供一年内的第三方带CMA标识的水质质检报告）</w:t>
      </w:r>
    </w:p>
    <w:p w14:paraId="52D5911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▲</w:t>
      </w:r>
      <w:r w:rsidRPr="00F164E0">
        <w:rPr>
          <w:rFonts w:ascii="仿宋" w:eastAsia="仿宋" w:hAnsi="仿宋" w:cs="Times New Roman"/>
          <w:snapToGrid/>
          <w:kern w:val="2"/>
        </w:rPr>
        <w:t>3.3最大取水速度：≥2L/min，可连续调节，不受档位限制。</w:t>
      </w:r>
    </w:p>
    <w:p w14:paraId="662CD2EF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3.4采用独立预处理系统，主机联动控制，根据制水状态自适应调整冲洗次数。（提供彩页资料、实物图片或官网证明）</w:t>
      </w:r>
    </w:p>
    <w:p w14:paraId="60A50D03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3.5采用≥3支独立纯化柱设计，填充高分子材料合成活性炭。纯化柱具备识别芯片，系统自动识别和记录耗材。（提供彩页资料或官网证明）</w:t>
      </w:r>
    </w:p>
    <w:p w14:paraId="36F1256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3.6采用双级反渗透设计，截留率实时监控，反渗透膜无损状态下截留率≥99.5%；第二级反渗透全部废水回流。</w:t>
      </w:r>
    </w:p>
    <w:p w14:paraId="5C3496D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3.7采用≥3压力泵设计，保证双级反渗透及全系统供水压力稳定；具备智能反馈调节功能，可根据温度、产水水质等变化自动调节增压泵工作状态。</w:t>
      </w:r>
    </w:p>
    <w:p w14:paraId="688AA4D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3.8内置防结垢设计连续电去离子（EDI）模块，无需化学再生或加软化柱，无需定期更换离子树脂柱，提供设计原理说明。</w:t>
      </w:r>
    </w:p>
    <w:p w14:paraId="29E1DE6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3.9内置高精度电导率仪，电阻池灵敏常数： ≤ 0.01cm</w:t>
      </w:r>
      <w:r w:rsidRPr="00F164E0">
        <w:rPr>
          <w:rFonts w:ascii="仿宋" w:eastAsia="仿宋" w:hAnsi="仿宋" w:cs="Times New Roman"/>
          <w:snapToGrid/>
          <w:kern w:val="2"/>
          <w:vertAlign w:val="superscript"/>
        </w:rPr>
        <w:t>-1</w:t>
      </w:r>
      <w:r w:rsidRPr="00F164E0">
        <w:rPr>
          <w:rFonts w:ascii="仿宋" w:eastAsia="仿宋" w:hAnsi="仿宋" w:cs="Times New Roman"/>
          <w:snapToGrid/>
          <w:kern w:val="2"/>
        </w:rPr>
        <w:t>，温度灵敏度≤ 0.1℃，符合GB/T 6682-2008的要求；可同时监测源水电导率、一级RO电导率、二级RO电导率、EDI产水电阻率、超纯水电阻率；提供电导率仪原厂检验证书复印件，供货随主机提供检验证书原件。</w:t>
      </w:r>
    </w:p>
    <w:p w14:paraId="591E3EF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3.10系统内置185/254nm双波长紫外灯。</w:t>
      </w:r>
    </w:p>
    <w:p w14:paraId="7862FF0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Segoe UI Symbol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lastRenderedPageBreak/>
        <w:t>3.11</w:t>
      </w:r>
      <w:r w:rsidRPr="00F164E0">
        <w:rPr>
          <w:rFonts w:ascii="仿宋" w:eastAsia="仿宋" w:hAnsi="仿宋" w:cs="Segoe UI Symbol"/>
          <w:snapToGrid/>
          <w:kern w:val="2"/>
        </w:rPr>
        <w:t>配置总有机碳（TOC）检测功能，实时显示TOC数值，具备电阻值和总有机碳值双指标同时显示。</w:t>
      </w:r>
    </w:p>
    <w:p w14:paraId="08DF3D5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3.12</w:t>
      </w:r>
      <w:r w:rsidRPr="00F164E0">
        <w:rPr>
          <w:rFonts w:ascii="仿宋" w:eastAsia="仿宋" w:hAnsi="仿宋" w:cs="Segoe UI Symbol"/>
          <w:snapToGrid/>
          <w:kern w:val="2"/>
        </w:rPr>
        <w:t>取水手臂同主机悬挂一体式设计，主机集成液晶触摸屏幕，屏幕≤5英寸。</w:t>
      </w:r>
    </w:p>
    <w:p w14:paraId="7741CFB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3.13取水手臂辅助磁吸设计，</w:t>
      </w:r>
      <w:r w:rsidRPr="00F164E0">
        <w:rPr>
          <w:rFonts w:ascii="仿宋" w:eastAsia="仿宋" w:hAnsi="仿宋" w:cs="Segoe UI Symbol"/>
          <w:snapToGrid/>
          <w:kern w:val="2"/>
        </w:rPr>
        <w:t>灵活拿取</w:t>
      </w:r>
      <w:r w:rsidRPr="00F164E0">
        <w:rPr>
          <w:rFonts w:ascii="仿宋" w:eastAsia="仿宋" w:hAnsi="仿宋" w:cs="Times New Roman"/>
          <w:snapToGrid/>
          <w:kern w:val="2"/>
        </w:rPr>
        <w:t>。</w:t>
      </w:r>
    </w:p>
    <w:p w14:paraId="32CA321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3.14手臂取水流速0~2L/min，无级变速，逐滴取水~100%可调。</w:t>
      </w:r>
    </w:p>
    <w:p w14:paraId="11EF6B7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3.15三种取水功能选择：手柄按键取水、单击按键取水、定量取水。</w:t>
      </w:r>
    </w:p>
    <w:p w14:paraId="28F9FA3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3.16纯水水箱储量≥60L。</w:t>
      </w:r>
    </w:p>
    <w:p w14:paraId="1901B96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3.17水箱储水容量可在线调节，调节范围为10%-100%。</w:t>
      </w:r>
    </w:p>
    <w:p w14:paraId="723148B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3.18设备提供中文语言显示，分级权限管理。</w:t>
      </w:r>
    </w:p>
    <w:p w14:paraId="67BFF1E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3.19具备RO/EDI唤醒模式，24小时纯水部分没有制水，系统自动唤醒，产水60min保证RO和EDI(连续电去离子模块)的性能，需提供原厂设计彩页支持。</w:t>
      </w:r>
    </w:p>
    <w:p w14:paraId="49AFAE7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3.20云端物联网功能，用户可通过手机或电脑实时查看水机运行状况，支持WiFi和4G两种模式。</w:t>
      </w:r>
    </w:p>
    <w:p w14:paraId="73C3ED2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3.21主机与云端双备份数据存储，用户可通过云端下载数据报表，也可通过U盘实时导出，信息存储≥60万条；预留接口可直接对接实验室LIMS系统。设备配套云端数据库服务，提供永久使用权限和必要的升级服务，无额外附件费用。</w:t>
      </w:r>
    </w:p>
    <w:p w14:paraId="3E6D0127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3.22标配双位点漏水检测器，精准识别触水点，区分水源与仪器风险；智能程序控制，根据运行状态自动启停。</w:t>
      </w:r>
    </w:p>
    <w:p w14:paraId="76D1F9E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▲3.23可同品牌升级痕量离子去除装置，离子含量达到ppt及亚ppt级（ICP-MS专用）。</w:t>
      </w:r>
    </w:p>
    <w:p w14:paraId="706BF5D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▲3.24可选择安装≥3种同品牌专用终端滤器,保证水质满足多种实验室应用要求（投标时提供不同类型终端滤器原厂检验证书复印件，供货验收时随主机提供检验证书原件）：</w:t>
      </w:r>
    </w:p>
    <w:p w14:paraId="78C42A46" w14:textId="5800DFD1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生产无颗粒无细菌的0.22+0.45微米的微孔过滤器；</w:t>
      </w:r>
    </w:p>
    <w:p w14:paraId="1896BD89" w14:textId="34973210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除热源和核酸酶污染物过滤器；</w:t>
      </w:r>
    </w:p>
    <w:p w14:paraId="69F1FF38" w14:textId="27686130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无内分泌干扰污染物终端过滤器；</w:t>
      </w:r>
    </w:p>
    <w:p w14:paraId="03D8E801" w14:textId="6A652BF4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超低有机物型终端过滤器，产水TOC≤1ppb；</w:t>
      </w:r>
    </w:p>
    <w:p w14:paraId="33492DFA" w14:textId="46540E5A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超低挥发性有机物型终端过滤器，产水苯≤0.05ppb，一溴二氯甲烷≤0.05ppb。</w:t>
      </w:r>
    </w:p>
    <w:p w14:paraId="1975B1D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_GB2312" w:eastAsia="仿宋_GB2312" w:hAnsi="Times New Roman" w:cs="Times New Roman"/>
          <w:snapToGrid/>
          <w:kern w:val="2"/>
          <w:sz w:val="32"/>
          <w:szCs w:val="20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4.主要配置：</w:t>
      </w:r>
    </w:p>
    <w:tbl>
      <w:tblPr>
        <w:tblW w:w="72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3368"/>
        <w:gridCol w:w="2969"/>
      </w:tblGrid>
      <w:tr w:rsidR="00F164E0" w:rsidRPr="00F164E0" w14:paraId="74C283E3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DBF8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序号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9DA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名称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BA0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数量</w:t>
            </w:r>
          </w:p>
        </w:tc>
      </w:tr>
      <w:tr w:rsidR="00F164E0" w:rsidRPr="00F164E0" w14:paraId="78C651B6" w14:textId="77777777" w:rsidTr="00F164E0">
        <w:trPr>
          <w:trHeight w:val="34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9F43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BAA8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主机（内置TOC检测功能）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BFC3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1台</w:t>
            </w:r>
          </w:p>
        </w:tc>
      </w:tr>
      <w:tr w:rsidR="00F164E0" w:rsidRPr="00F164E0" w14:paraId="5F6F4649" w14:textId="77777777" w:rsidTr="00F164E0">
        <w:trPr>
          <w:trHeight w:val="24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A3F5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DD2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取水手臂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D67D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</w:t>
            </w:r>
          </w:p>
        </w:tc>
      </w:tr>
      <w:tr w:rsidR="00F164E0" w:rsidRPr="00F164E0" w14:paraId="62047B1C" w14:textId="77777777" w:rsidTr="00F164E0">
        <w:trPr>
          <w:trHeight w:val="44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464B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9B0A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预处理系统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A8C6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1个（含3年耗材）</w:t>
            </w:r>
          </w:p>
        </w:tc>
      </w:tr>
      <w:tr w:rsidR="00F164E0" w:rsidRPr="00F164E0" w14:paraId="1BC4D4A7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D07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4EC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漏水检测器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E5F6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</w:t>
            </w:r>
          </w:p>
        </w:tc>
      </w:tr>
      <w:tr w:rsidR="00F164E0" w:rsidRPr="00F164E0" w14:paraId="5CA7A1A8" w14:textId="77777777" w:rsidTr="00F164E0">
        <w:trPr>
          <w:trHeight w:val="34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CCAD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0A06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60L纯水水箱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67B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</w:t>
            </w:r>
          </w:p>
        </w:tc>
      </w:tr>
      <w:tr w:rsidR="00F164E0" w:rsidRPr="00F164E0" w14:paraId="57843C86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A37E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DD1C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预保护柱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47D2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4根</w:t>
            </w:r>
          </w:p>
        </w:tc>
      </w:tr>
      <w:tr w:rsidR="00F164E0" w:rsidRPr="00F164E0" w14:paraId="67617DBA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B6A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D8B6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双级RO反渗透膜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ADFD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4个</w:t>
            </w:r>
          </w:p>
        </w:tc>
      </w:tr>
      <w:tr w:rsidR="00F164E0" w:rsidRPr="00F164E0" w14:paraId="0CFA3CD6" w14:textId="77777777" w:rsidTr="00F164E0">
        <w:trPr>
          <w:trHeight w:val="34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38F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lastRenderedPageBreak/>
              <w:t>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20E3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 xml:space="preserve">EDI(连续电去离子模块)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9767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1个</w:t>
            </w:r>
          </w:p>
        </w:tc>
      </w:tr>
      <w:tr w:rsidR="00F164E0" w:rsidRPr="00F164E0" w14:paraId="37C8778E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9F4D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4AB4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精纯化柱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AD70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4根</w:t>
            </w:r>
          </w:p>
        </w:tc>
      </w:tr>
      <w:tr w:rsidR="00F164E0" w:rsidRPr="00F164E0" w14:paraId="51C7E25B" w14:textId="77777777" w:rsidTr="00F164E0">
        <w:trPr>
          <w:trHeight w:val="35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6292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48AB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智能控制系统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827F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1套</w:t>
            </w:r>
          </w:p>
        </w:tc>
      </w:tr>
      <w:tr w:rsidR="00F164E0" w:rsidRPr="00F164E0" w14:paraId="2981A559" w14:textId="77777777" w:rsidTr="00F164E0">
        <w:trPr>
          <w:trHeight w:val="34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9AF1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173F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云端控制系统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A3EE" w14:textId="77777777" w:rsidR="00F164E0" w:rsidRPr="00F164E0" w:rsidRDefault="00F164E0" w:rsidP="00F164E0">
            <w:pPr>
              <w:widowControl w:val="0"/>
              <w:kinsoku/>
              <w:autoSpaceDE/>
              <w:autoSpaceDN/>
              <w:jc w:val="center"/>
              <w:textAlignment w:val="auto"/>
              <w:rPr>
                <w:rFonts w:ascii="仿宋" w:eastAsia="仿宋" w:hAnsi="仿宋" w:cs="Times New Roman" w:hint="eastAsia"/>
                <w:snapToGrid/>
                <w:kern w:val="2"/>
              </w:rPr>
            </w:pPr>
            <w:r w:rsidRPr="00F164E0">
              <w:rPr>
                <w:rFonts w:ascii="仿宋" w:eastAsia="仿宋" w:hAnsi="仿宋" w:cs="Times New Roman"/>
                <w:snapToGrid/>
                <w:kern w:val="2"/>
              </w:rPr>
              <w:t>1套</w:t>
            </w:r>
          </w:p>
        </w:tc>
      </w:tr>
    </w:tbl>
    <w:p w14:paraId="039C62DB" w14:textId="47FAE02F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2"/>
        <w:textAlignment w:val="auto"/>
        <w:rPr>
          <w:rFonts w:ascii="仿宋" w:eastAsia="仿宋" w:hAnsi="仿宋" w:cs="Times New Roman" w:hint="eastAsia"/>
          <w:b/>
          <w:bCs/>
          <w:snapToGrid/>
          <w:kern w:val="2"/>
        </w:rPr>
      </w:pPr>
      <w:r w:rsidRPr="00F164E0">
        <w:rPr>
          <w:rFonts w:ascii="仿宋" w:eastAsia="仿宋" w:hAnsi="仿宋" w:cs="Times New Roman" w:hint="eastAsia"/>
          <w:b/>
          <w:bCs/>
          <w:snapToGrid/>
          <w:kern w:val="2"/>
        </w:rPr>
        <w:t>（三）</w:t>
      </w:r>
      <w:r w:rsidRPr="00F164E0">
        <w:rPr>
          <w:rFonts w:ascii="仿宋" w:eastAsia="仿宋" w:hAnsi="仿宋" w:cs="Times New Roman"/>
          <w:b/>
          <w:bCs/>
          <w:snapToGrid/>
          <w:kern w:val="2"/>
        </w:rPr>
        <w:t>全自动减压馏程仪：</w:t>
      </w:r>
    </w:p>
    <w:p w14:paraId="21890F3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批复预算单价（万元）：37</w:t>
      </w:r>
    </w:p>
    <w:p w14:paraId="2219E93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1.主要用途：残渣燃料油等重油馏程的测定。</w:t>
      </w:r>
    </w:p>
    <w:p w14:paraId="5715490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2.特殊资质要求：无</w:t>
      </w:r>
    </w:p>
    <w:p w14:paraId="669EC3F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3.主要技术参数：</w:t>
      </w:r>
    </w:p>
    <w:p w14:paraId="73D1C12F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3.1测试方法：满足SH/T 0165；严格按照标准要求，全自动完成试验全过程。</w:t>
      </w:r>
    </w:p>
    <w:p w14:paraId="50ED271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3.2蒸馏温度范围：高精度PT100温度探头，温度范围：0～400℃（减压环境下），精度：±0.1℃。</w:t>
      </w:r>
    </w:p>
    <w:p w14:paraId="3500FF9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3.3接收室温控：温度范围：0～80℃，精度：±0.2℃。</w:t>
      </w:r>
    </w:p>
    <w:p w14:paraId="025AD93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3.4真空度：控制范围：2～50mmHg，精度：±0.2mmHg；蒸馏过程中自动动态调节真空度，残压波动不超过0.2mmHg。</w:t>
      </w:r>
    </w:p>
    <w:p w14:paraId="724CE3A1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3.5加热系统：自动功率调整，测试结束后冷却风扇自动进行降温，快速达到安全操作温度；可根据试验进程自动优化加热功率，确保最优的标准化蒸馏速率。</w:t>
      </w:r>
    </w:p>
    <w:p w14:paraId="0AC59BF8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3.6安全性：对实验过程全程自动监控：</w:t>
      </w:r>
    </w:p>
    <w:p w14:paraId="59FD22A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3.6.1防爆沸功能，仅需放置微量沸石即可安全试验；</w:t>
      </w:r>
    </w:p>
    <w:p w14:paraId="5F283FC8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▲3.6.2初馏点自动识别，规定时间内检测不到初馏点，自动报警并停止试验；</w:t>
      </w:r>
      <w:r w:rsidRPr="00F164E0">
        <w:rPr>
          <w:rFonts w:ascii="Calibri" w:eastAsia="仿宋" w:hAnsi="Calibri" w:cs="Calibri"/>
          <w:snapToGrid/>
          <w:kern w:val="2"/>
        </w:rPr>
        <w:t> </w:t>
      </w:r>
      <w:r w:rsidRPr="00F164E0">
        <w:rPr>
          <w:rFonts w:ascii="仿宋" w:eastAsia="仿宋" w:hAnsi="仿宋" w:cs="Times New Roman"/>
          <w:snapToGrid/>
          <w:kern w:val="2"/>
        </w:rPr>
        <w:t xml:space="preserve">       </w:t>
      </w:r>
    </w:p>
    <w:p w14:paraId="59BF9459" w14:textId="77777777" w:rsid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▲3.6.3接收室温度大于70℃时，自动报警并停止温控；</w:t>
      </w:r>
    </w:p>
    <w:p w14:paraId="43EDCFB0" w14:textId="10C11141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3.6.4具备紧急灭火系统，可手动灭火和自动灭火（氮气需由用户实验室提供）。</w:t>
      </w:r>
    </w:p>
    <w:p w14:paraId="1545633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3.7初馏点检测：红外光电检测。</w:t>
      </w:r>
    </w:p>
    <w:p w14:paraId="21FAF08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3.8样品体积检测：步进电机配合高精度光电传感器，精确跟踪液面，精度：±0.1mL。。</w:t>
      </w:r>
    </w:p>
    <w:p w14:paraId="32E9EE1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▲3.9标定与修正：内置压力传感器标定功能；内置量筒体积标定功能；内置温度修正功能，自动将减压下测定的各点温度换算为常压等同温度。</w:t>
      </w:r>
    </w:p>
    <w:p w14:paraId="5360B988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3.10数据：可自动储存不少于1000个试验结果。</w:t>
      </w:r>
    </w:p>
    <w:p w14:paraId="40BA7EEE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3.11操作界面：采用彩色触摸屏，可实时动态显示流速、蒸馏温度、蒸馏体积、真空度等试验状态。</w:t>
      </w:r>
    </w:p>
    <w:p w14:paraId="4DA4593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3.12通讯接口：1个USB，1个RS232，1个RJ-45。</w:t>
      </w:r>
    </w:p>
    <w:p w14:paraId="34FF43E9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3.13数据输出：LIMS或数据输出终端。</w:t>
      </w:r>
    </w:p>
    <w:p w14:paraId="3FDD0C93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3.14整机功率：&lt;2000W。</w:t>
      </w:r>
    </w:p>
    <w:p w14:paraId="1E382F7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3.15仪器使用环境：温度：5～35℃；湿度：20～90% RH（需在无空气对流环境中进行试验）。</w:t>
      </w:r>
    </w:p>
    <w:p w14:paraId="6C815CF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Segoe UI Symbol"/>
          <w:snapToGrid/>
          <w:kern w:val="2"/>
        </w:rPr>
        <w:t>★</w:t>
      </w:r>
      <w:r w:rsidRPr="00F164E0">
        <w:rPr>
          <w:rFonts w:ascii="仿宋" w:eastAsia="仿宋" w:hAnsi="仿宋" w:cs="Times New Roman"/>
          <w:snapToGrid/>
          <w:kern w:val="2"/>
        </w:rPr>
        <w:t>4.主要配置：</w:t>
      </w:r>
    </w:p>
    <w:p w14:paraId="39D94CAC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lastRenderedPageBreak/>
        <w:t>4.1主机 1台；</w:t>
      </w:r>
    </w:p>
    <w:p w14:paraId="605F3893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4.2数据输出终端1台；</w:t>
      </w:r>
    </w:p>
    <w:p w14:paraId="400A544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4.3温度传感器 1根；</w:t>
      </w:r>
    </w:p>
    <w:p w14:paraId="6750828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4.4中心定位器 1个；</w:t>
      </w:r>
    </w:p>
    <w:p w14:paraId="16AB9716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4.5减压蒸馏石英烧瓶 10个；</w:t>
      </w:r>
    </w:p>
    <w:p w14:paraId="4FCFE30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4.6减压蒸馏量筒 10个；</w:t>
      </w:r>
    </w:p>
    <w:p w14:paraId="7544B085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4.7真空泵 1台；</w:t>
      </w:r>
    </w:p>
    <w:p w14:paraId="6734D4A0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4.8随泵配机油 1桶100mL量筒 1个；</w:t>
      </w:r>
    </w:p>
    <w:p w14:paraId="70CDF72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4.9橡胶管（内径Φ8） 2米；</w:t>
      </w:r>
    </w:p>
    <w:p w14:paraId="288EBA9B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4.10硅胶塞 1个；</w:t>
      </w:r>
    </w:p>
    <w:p w14:paraId="06998B7A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4.11真空硅脂 1盒；</w:t>
      </w:r>
    </w:p>
    <w:p w14:paraId="4B887F84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4.12不锈钢毛细管（250mm） 1根；</w:t>
      </w:r>
    </w:p>
    <w:p w14:paraId="4E90CDA2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4.13喉箍 2个；</w:t>
      </w:r>
    </w:p>
    <w:p w14:paraId="242DA229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4.14烧瓶隔板 1块；</w:t>
      </w:r>
    </w:p>
    <w:p w14:paraId="05B2BE5D" w14:textId="77777777" w:rsidR="00F164E0" w:rsidRPr="00F164E0" w:rsidRDefault="00F164E0" w:rsidP="00F164E0">
      <w:pPr>
        <w:widowControl w:val="0"/>
        <w:kinsoku/>
        <w:autoSpaceDE/>
        <w:autoSpaceDN/>
        <w:spacing w:line="360" w:lineRule="auto"/>
        <w:ind w:firstLineChars="200" w:firstLine="420"/>
        <w:textAlignment w:val="auto"/>
        <w:rPr>
          <w:rFonts w:ascii="仿宋" w:eastAsia="仿宋" w:hAnsi="仿宋" w:cs="Times New Roman" w:hint="eastAsia"/>
          <w:snapToGrid/>
          <w:kern w:val="2"/>
        </w:rPr>
      </w:pPr>
      <w:r w:rsidRPr="00F164E0">
        <w:rPr>
          <w:rFonts w:ascii="仿宋" w:eastAsia="仿宋" w:hAnsi="仿宋" w:cs="Times New Roman"/>
          <w:snapToGrid/>
          <w:kern w:val="2"/>
        </w:rPr>
        <w:t>4.15电源线 1根；</w:t>
      </w:r>
    </w:p>
    <w:p w14:paraId="12BE0557" w14:textId="7E773819" w:rsidR="00B6149B" w:rsidRDefault="00F164E0" w:rsidP="00F164E0">
      <w:pPr>
        <w:kinsoku/>
        <w:spacing w:line="360" w:lineRule="auto"/>
        <w:ind w:left="6" w:right="62" w:firstLine="425"/>
        <w:rPr>
          <w:rFonts w:ascii="仿宋_GB2312" w:eastAsia="仿宋_GB2312" w:hAnsi="仿宋_GB2312" w:cs="宋体" w:hint="eastAsia"/>
          <w:b/>
          <w:bCs/>
        </w:rPr>
      </w:pPr>
      <w:r w:rsidRPr="00F164E0">
        <w:rPr>
          <w:rFonts w:ascii="仿宋" w:eastAsia="仿宋" w:hAnsi="仿宋" w:cs="Times New Roman"/>
          <w:snapToGrid/>
          <w:kern w:val="2"/>
        </w:rPr>
        <w:t>4.16用户操作手册 1份。</w:t>
      </w:r>
    </w:p>
    <w:sectPr w:rsidR="00B6149B">
      <w:footerReference w:type="default" r:id="rId7"/>
      <w:pgSz w:w="11907" w:h="16839"/>
      <w:pgMar w:top="1440" w:right="1440" w:bottom="1440" w:left="1440" w:header="0" w:footer="1199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A6BA" w14:textId="77777777" w:rsidR="0096630E" w:rsidRDefault="0096630E">
      <w:r>
        <w:separator/>
      </w:r>
    </w:p>
  </w:endnote>
  <w:endnote w:type="continuationSeparator" w:id="0">
    <w:p w14:paraId="400BE610" w14:textId="77777777" w:rsidR="0096630E" w:rsidRDefault="0096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方正兰亭黑_GBK">
    <w:altName w:val="微软雅黑"/>
    <w:charset w:val="86"/>
    <w:family w:val="script"/>
    <w:pitch w:val="variable"/>
    <w:sig w:usb0="00000000" w:usb1="00000000" w:usb2="0008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方正仿宋_GBK">
    <w:altName w:val="宋体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variable"/>
    <w:sig w:usb0="A00002BF" w:usb1="5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023528"/>
      <w:docPartObj>
        <w:docPartGallery w:val="Page Numbers (Bottom of Page)"/>
        <w:docPartUnique/>
      </w:docPartObj>
    </w:sdtPr>
    <w:sdtContent>
      <w:p w14:paraId="70FA540E" w14:textId="2031F985" w:rsidR="00B250D0" w:rsidRPr="00AA24C9" w:rsidRDefault="00AA24C9" w:rsidP="00AA24C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A12C9" w14:textId="77777777" w:rsidR="0096630E" w:rsidRDefault="0096630E">
      <w:r>
        <w:separator/>
      </w:r>
    </w:p>
  </w:footnote>
  <w:footnote w:type="continuationSeparator" w:id="0">
    <w:p w14:paraId="7FBE05A9" w14:textId="77777777" w:rsidR="0096630E" w:rsidRDefault="0096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Restart w:val="0"/>
      <w:pStyle w:val="5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81"/>
    <w:multiLevelType w:val="singleLevel"/>
    <w:tmpl w:val="00000000"/>
    <w:lvl w:ilvl="0">
      <w:start w:val="1"/>
      <w:numFmt w:val="bullet"/>
      <w:lvlRestart w:val="0"/>
      <w:pStyle w:val="4"/>
      <w:lvlText w:val="●"/>
      <w:lvlJc w:val="left"/>
      <w:pPr>
        <w:tabs>
          <w:tab w:val="num" w:pos="1620"/>
        </w:tabs>
        <w:ind w:left="1620" w:hanging="360"/>
      </w:pPr>
      <w:rPr>
        <w:rFonts w:ascii="方正兰亭黑_GBK" w:hAnsi="方正兰亭黑_GBK" w:hint="default"/>
      </w:rPr>
    </w:lvl>
  </w:abstractNum>
  <w:abstractNum w:abstractNumId="2" w15:restartNumberingAfterBreak="0">
    <w:nsid w:val="0FFFFF82"/>
    <w:multiLevelType w:val="singleLevel"/>
    <w:tmpl w:val="00000000"/>
    <w:lvl w:ilvl="0">
      <w:start w:val="1"/>
      <w:numFmt w:val="bullet"/>
      <w:lvlRestart w:val="0"/>
      <w:pStyle w:val="3"/>
      <w:lvlText w:val="●"/>
      <w:lvlJc w:val="left"/>
      <w:pPr>
        <w:tabs>
          <w:tab w:val="num" w:pos="1200"/>
        </w:tabs>
        <w:ind w:left="1200" w:hanging="360"/>
      </w:pPr>
      <w:rPr>
        <w:rFonts w:ascii="方正兰亭黑_GBK" w:hAnsi="方正兰亭黑_GBK" w:hint="default"/>
      </w:rPr>
    </w:lvl>
  </w:abstractNum>
  <w:abstractNum w:abstractNumId="3" w15:restartNumberingAfterBreak="0">
    <w:nsid w:val="0FFFFF88"/>
    <w:multiLevelType w:val="singleLevel"/>
    <w:tmpl w:val="00000000"/>
    <w:lvl w:ilvl="0">
      <w:start w:val="1"/>
      <w:numFmt w:val="decimal"/>
      <w:lvlRestart w:val="0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FBC467C"/>
    <w:multiLevelType w:val="singleLevel"/>
    <w:tmpl w:val="00000000"/>
    <w:lvl w:ilvl="0">
      <w:start w:val="1"/>
      <w:numFmt w:val="bullet"/>
      <w:lvlRestart w:val="0"/>
      <w:pStyle w:val="50"/>
      <w:lvlText w:val="●"/>
      <w:lvlJc w:val="left"/>
      <w:pPr>
        <w:tabs>
          <w:tab w:val="num" w:pos="2040"/>
        </w:tabs>
        <w:ind w:left="2040" w:hanging="360"/>
      </w:pPr>
      <w:rPr>
        <w:rFonts w:ascii="方正兰亭黑_GBK" w:hAnsi="方正兰亭黑_GBK" w:hint="default"/>
      </w:rPr>
    </w:lvl>
  </w:abstractNum>
  <w:num w:numId="1" w16cid:durableId="559287256">
    <w:abstractNumId w:val="3"/>
  </w:num>
  <w:num w:numId="2" w16cid:durableId="1623883283">
    <w:abstractNumId w:val="2"/>
  </w:num>
  <w:num w:numId="3" w16cid:durableId="1377925205">
    <w:abstractNumId w:val="1"/>
  </w:num>
  <w:num w:numId="4" w16cid:durableId="1576745566">
    <w:abstractNumId w:val="4"/>
  </w:num>
  <w:num w:numId="5" w16cid:durableId="89378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OPFI" w:val="{&quot;ThemeFontContent-1377&quot;:{&quot;cnName&quot;:&quot;仿宋_GB2312&quot;,&quot;enName&quot;:&quot;FangSong_GB2312&quot;,&quot;id&quot;:&quot;ThemeFontContent-1377&quot;,&quot;paymentType&quot;:1,&quot;isSystemFont&quot;:false,&quot;name&quot;:&quot;仿宋_GB2312&quot;}}"/>
  </w:docVars>
  <w:rsids>
    <w:rsidRoot w:val="00B250D0"/>
    <w:rsid w:val="000E3153"/>
    <w:rsid w:val="000E6BCE"/>
    <w:rsid w:val="0019431A"/>
    <w:rsid w:val="001A05ED"/>
    <w:rsid w:val="00254489"/>
    <w:rsid w:val="002E2DBF"/>
    <w:rsid w:val="00351B84"/>
    <w:rsid w:val="00471B07"/>
    <w:rsid w:val="00547EB6"/>
    <w:rsid w:val="00622853"/>
    <w:rsid w:val="00633292"/>
    <w:rsid w:val="006D68A4"/>
    <w:rsid w:val="0075151A"/>
    <w:rsid w:val="007B406E"/>
    <w:rsid w:val="008349C8"/>
    <w:rsid w:val="0096630E"/>
    <w:rsid w:val="009A1313"/>
    <w:rsid w:val="009E3102"/>
    <w:rsid w:val="00A510E4"/>
    <w:rsid w:val="00AA24C9"/>
    <w:rsid w:val="00B250D0"/>
    <w:rsid w:val="00B6149B"/>
    <w:rsid w:val="00C1230A"/>
    <w:rsid w:val="00D523F6"/>
    <w:rsid w:val="00E97879"/>
    <w:rsid w:val="00F164E0"/>
    <w:rsid w:val="00F3226E"/>
    <w:rsid w:val="00F65B6D"/>
    <w:rsid w:val="00FE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71B50"/>
  <w15:docId w15:val="{CF93C1C6-5B52-402C-8291-E9B489D9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0"/>
    <w:next w:val="a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line="413" w:lineRule="auto"/>
      <w:outlineLvl w:val="1"/>
    </w:pPr>
    <w:rPr>
      <w:rFonts w:eastAsia="黑体"/>
      <w:b/>
      <w:bCs/>
      <w:sz w:val="32"/>
      <w:szCs w:val="32"/>
    </w:rPr>
  </w:style>
  <w:style w:type="paragraph" w:styleId="30">
    <w:name w:val="heading 3"/>
    <w:basedOn w:val="a0"/>
    <w:next w:val="a0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0">
    <w:name w:val="heading 4"/>
    <w:basedOn w:val="a0"/>
    <w:next w:val="a0"/>
    <w:uiPriority w:val="9"/>
    <w:semiHidden/>
    <w:unhideWhenUsed/>
    <w:qFormat/>
    <w:pPr>
      <w:keepNext/>
      <w:keepLines/>
      <w:spacing w:before="280" w:after="290" w:line="377" w:lineRule="auto"/>
      <w:outlineLvl w:val="3"/>
    </w:pPr>
    <w:rPr>
      <w:rFonts w:ascii="方正兰亭黑_GBK" w:eastAsia="黑体" w:hAnsi="方正兰亭黑_GBK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7">
    <w:name w:val="toc 7"/>
    <w:basedOn w:val="a0"/>
    <w:next w:val="a0"/>
    <w:pPr>
      <w:ind w:left="2520"/>
    </w:pPr>
  </w:style>
  <w:style w:type="paragraph" w:styleId="a4">
    <w:name w:val="annotation text"/>
    <w:basedOn w:val="a0"/>
  </w:style>
  <w:style w:type="paragraph" w:styleId="a5">
    <w:name w:val="Body Text"/>
    <w:basedOn w:val="a0"/>
  </w:style>
  <w:style w:type="paragraph" w:styleId="TOC5">
    <w:name w:val="toc 5"/>
    <w:basedOn w:val="a0"/>
    <w:next w:val="a0"/>
    <w:pPr>
      <w:ind w:left="1680"/>
    </w:pPr>
  </w:style>
  <w:style w:type="paragraph" w:styleId="a6">
    <w:name w:val="Plain Text"/>
    <w:basedOn w:val="a0"/>
    <w:rPr>
      <w:rFonts w:ascii="宋体" w:hAnsi="宋体"/>
      <w:sz w:val="20"/>
    </w:rPr>
  </w:style>
  <w:style w:type="paragraph" w:styleId="a7">
    <w:name w:val="Balloon Text"/>
    <w:basedOn w:val="a0"/>
    <w:rPr>
      <w:sz w:val="18"/>
      <w:szCs w:val="18"/>
    </w:r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aa">
    <w:name w:val="header"/>
    <w:basedOn w:val="a0"/>
    <w:pPr>
      <w:tabs>
        <w:tab w:val="center" w:pos="4153"/>
        <w:tab w:val="right" w:pos="8306"/>
      </w:tabs>
      <w:jc w:val="both"/>
    </w:pPr>
    <w:rPr>
      <w:sz w:val="18"/>
    </w:rPr>
  </w:style>
  <w:style w:type="paragraph" w:styleId="TOC1">
    <w:name w:val="toc 1"/>
    <w:basedOn w:val="a0"/>
    <w:next w:val="a0"/>
  </w:style>
  <w:style w:type="paragraph" w:styleId="TOC4">
    <w:name w:val="toc 4"/>
    <w:basedOn w:val="a0"/>
    <w:next w:val="a0"/>
    <w:pPr>
      <w:ind w:left="1260"/>
    </w:pPr>
  </w:style>
  <w:style w:type="paragraph" w:styleId="TOC6">
    <w:name w:val="toc 6"/>
    <w:basedOn w:val="a0"/>
    <w:next w:val="a0"/>
    <w:pPr>
      <w:ind w:left="2100"/>
    </w:pPr>
  </w:style>
  <w:style w:type="paragraph" w:styleId="9">
    <w:name w:val="index 9"/>
    <w:basedOn w:val="a0"/>
    <w:next w:val="a0"/>
    <w:pPr>
      <w:ind w:left="3360"/>
    </w:pPr>
  </w:style>
  <w:style w:type="paragraph" w:styleId="ab">
    <w:name w:val="annotation subject"/>
    <w:basedOn w:val="a4"/>
    <w:next w:val="a4"/>
    <w:rPr>
      <w:b/>
    </w:rPr>
  </w:style>
  <w:style w:type="paragraph" w:styleId="ac">
    <w:name w:val="Body Text First Indent"/>
    <w:basedOn w:val="a5"/>
    <w:next w:val="a0"/>
    <w:pPr>
      <w:ind w:firstLineChars="100" w:firstLine="100"/>
    </w:pPr>
    <w:rPr>
      <w:rFonts w:ascii="宋体" w:hAnsi="宋体"/>
      <w:sz w:val="34"/>
      <w:szCs w:val="20"/>
    </w:rPr>
  </w:style>
  <w:style w:type="character" w:styleId="ad">
    <w:name w:val="annotation reference"/>
    <w:basedOn w:val="a1"/>
    <w:rPr>
      <w:sz w:val="21"/>
      <w:szCs w:val="21"/>
    </w:rPr>
  </w:style>
  <w:style w:type="paragraph" w:customStyle="1" w:styleId="TableText">
    <w:name w:val="Table Text"/>
    <w:basedOn w:val="a0"/>
    <w:rPr>
      <w:rFonts w:ascii="宋体" w:eastAsia="宋体" w:cs="宋体"/>
    </w:rPr>
  </w:style>
  <w:style w:type="paragraph" w:customStyle="1" w:styleId="4910">
    <w:name w:val="样式 4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610">
    <w:name w:val="样式 6 10 磅"/>
    <w:next w:val="9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710">
    <w:name w:val="样式 7 10 磅"/>
    <w:next w:val="TOC4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810">
    <w:name w:val="样式 8 10 磅"/>
    <w:next w:val="TOC5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910">
    <w:name w:val="样式 9 10 磅"/>
    <w:next w:val="TOC6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1010">
    <w:name w:val="样式 10 10 磅"/>
    <w:next w:val="TOC7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5010">
    <w:name w:val="样式 50 10 磅"/>
    <w:pPr>
      <w:widowControl w:val="0"/>
      <w:jc w:val="both"/>
    </w:pPr>
    <w:rPr>
      <w:kern w:val="2"/>
      <w:sz w:val="21"/>
      <w:szCs w:val="22"/>
    </w:rPr>
  </w:style>
  <w:style w:type="paragraph" w:customStyle="1" w:styleId="5110">
    <w:name w:val="样式 51 10 磅"/>
    <w:pPr>
      <w:widowControl w:val="0"/>
      <w:jc w:val="both"/>
    </w:pPr>
    <w:rPr>
      <w:kern w:val="2"/>
      <w:sz w:val="21"/>
      <w:szCs w:val="22"/>
    </w:rPr>
  </w:style>
  <w:style w:type="paragraph" w:customStyle="1" w:styleId="5210">
    <w:name w:val="样式 52 10 磅"/>
    <w:pPr>
      <w:widowControl w:val="0"/>
      <w:jc w:val="both"/>
    </w:pPr>
    <w:rPr>
      <w:kern w:val="2"/>
      <w:sz w:val="21"/>
      <w:szCs w:val="22"/>
    </w:rPr>
  </w:style>
  <w:style w:type="paragraph" w:customStyle="1" w:styleId="ae">
    <w:name w:val="样式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5510">
    <w:name w:val="样式 55 10 磅"/>
    <w:pPr>
      <w:widowControl w:val="0"/>
      <w:jc w:val="both"/>
    </w:pPr>
    <w:rPr>
      <w:kern w:val="2"/>
      <w:sz w:val="21"/>
      <w:szCs w:val="22"/>
    </w:rPr>
  </w:style>
  <w:style w:type="paragraph" w:customStyle="1" w:styleId="5610">
    <w:name w:val="样式 56 10 磅"/>
    <w:pPr>
      <w:widowControl w:val="0"/>
      <w:jc w:val="both"/>
    </w:pPr>
    <w:rPr>
      <w:kern w:val="2"/>
      <w:sz w:val="21"/>
      <w:szCs w:val="22"/>
    </w:rPr>
  </w:style>
  <w:style w:type="paragraph" w:customStyle="1" w:styleId="5710">
    <w:name w:val="样式 57 10 磅"/>
    <w:pPr>
      <w:widowControl w:val="0"/>
      <w:jc w:val="both"/>
    </w:pPr>
    <w:rPr>
      <w:kern w:val="2"/>
      <w:sz w:val="21"/>
      <w:szCs w:val="22"/>
    </w:rPr>
  </w:style>
  <w:style w:type="paragraph" w:customStyle="1" w:styleId="5810">
    <w:name w:val="样式 58 10 磅"/>
    <w:pPr>
      <w:widowControl w:val="0"/>
      <w:jc w:val="both"/>
    </w:pPr>
    <w:rPr>
      <w:kern w:val="2"/>
      <w:sz w:val="21"/>
      <w:szCs w:val="22"/>
    </w:rPr>
  </w:style>
  <w:style w:type="paragraph" w:customStyle="1" w:styleId="6110">
    <w:name w:val="样式 61 10 磅"/>
    <w:pPr>
      <w:widowControl w:val="0"/>
      <w:jc w:val="both"/>
    </w:pPr>
    <w:rPr>
      <w:kern w:val="2"/>
      <w:sz w:val="21"/>
      <w:szCs w:val="22"/>
    </w:rPr>
  </w:style>
  <w:style w:type="paragraph" w:customStyle="1" w:styleId="6210">
    <w:name w:val="样式 62 10 磅"/>
    <w:pPr>
      <w:widowControl w:val="0"/>
      <w:jc w:val="both"/>
    </w:pPr>
    <w:rPr>
      <w:kern w:val="2"/>
      <w:sz w:val="21"/>
      <w:szCs w:val="22"/>
    </w:rPr>
  </w:style>
  <w:style w:type="paragraph" w:customStyle="1" w:styleId="6310">
    <w:name w:val="样式 63 10 磅"/>
    <w:pPr>
      <w:widowControl w:val="0"/>
      <w:jc w:val="both"/>
    </w:pPr>
    <w:rPr>
      <w:kern w:val="2"/>
      <w:sz w:val="21"/>
      <w:szCs w:val="22"/>
    </w:rPr>
  </w:style>
  <w:style w:type="paragraph" w:customStyle="1" w:styleId="6410">
    <w:name w:val="样式 64 10 磅"/>
    <w:pPr>
      <w:widowControl w:val="0"/>
      <w:jc w:val="both"/>
    </w:pPr>
    <w:rPr>
      <w:kern w:val="2"/>
      <w:sz w:val="21"/>
      <w:szCs w:val="22"/>
    </w:rPr>
  </w:style>
  <w:style w:type="paragraph" w:customStyle="1" w:styleId="6810">
    <w:name w:val="样式 68 10 磅"/>
    <w:pPr>
      <w:widowControl w:val="0"/>
      <w:jc w:val="both"/>
    </w:pPr>
    <w:rPr>
      <w:kern w:val="2"/>
      <w:sz w:val="21"/>
      <w:szCs w:val="22"/>
    </w:rPr>
  </w:style>
  <w:style w:type="paragraph" w:customStyle="1" w:styleId="6910">
    <w:name w:val="样式 69 10 磅"/>
    <w:pPr>
      <w:widowControl w:val="0"/>
      <w:jc w:val="both"/>
    </w:pPr>
    <w:rPr>
      <w:kern w:val="2"/>
      <w:sz w:val="21"/>
      <w:szCs w:val="22"/>
    </w:rPr>
  </w:style>
  <w:style w:type="paragraph" w:customStyle="1" w:styleId="7110">
    <w:name w:val="样式 71 10 磅"/>
    <w:pPr>
      <w:widowControl w:val="0"/>
      <w:jc w:val="both"/>
    </w:pPr>
    <w:rPr>
      <w:kern w:val="2"/>
      <w:sz w:val="21"/>
      <w:szCs w:val="22"/>
    </w:rPr>
  </w:style>
  <w:style w:type="paragraph" w:customStyle="1" w:styleId="7210">
    <w:name w:val="样式 72 10 磅"/>
    <w:pPr>
      <w:widowControl w:val="0"/>
      <w:jc w:val="both"/>
    </w:pPr>
    <w:rPr>
      <w:kern w:val="2"/>
      <w:sz w:val="21"/>
      <w:szCs w:val="22"/>
    </w:rPr>
  </w:style>
  <w:style w:type="paragraph" w:customStyle="1" w:styleId="7310">
    <w:name w:val="样式 73 10 磅"/>
    <w:pPr>
      <w:widowControl w:val="0"/>
      <w:jc w:val="both"/>
    </w:pPr>
    <w:rPr>
      <w:kern w:val="2"/>
      <w:sz w:val="21"/>
      <w:szCs w:val="22"/>
    </w:rPr>
  </w:style>
  <w:style w:type="paragraph" w:customStyle="1" w:styleId="7410">
    <w:name w:val="样式 74 10 磅"/>
    <w:pPr>
      <w:widowControl w:val="0"/>
      <w:jc w:val="both"/>
    </w:pPr>
    <w:rPr>
      <w:kern w:val="2"/>
      <w:sz w:val="21"/>
      <w:szCs w:val="22"/>
    </w:rPr>
  </w:style>
  <w:style w:type="paragraph" w:customStyle="1" w:styleId="7510">
    <w:name w:val="样式 75 10 磅"/>
    <w:pPr>
      <w:widowControl w:val="0"/>
      <w:jc w:val="both"/>
    </w:pPr>
    <w:rPr>
      <w:kern w:val="2"/>
      <w:sz w:val="21"/>
      <w:szCs w:val="22"/>
    </w:rPr>
  </w:style>
  <w:style w:type="paragraph" w:customStyle="1" w:styleId="7610">
    <w:name w:val="样式 76 10 磅"/>
    <w:pPr>
      <w:widowControl w:val="0"/>
      <w:jc w:val="both"/>
    </w:pPr>
    <w:rPr>
      <w:kern w:val="2"/>
      <w:sz w:val="21"/>
      <w:szCs w:val="22"/>
    </w:rPr>
  </w:style>
  <w:style w:type="paragraph" w:customStyle="1" w:styleId="7710">
    <w:name w:val="样式 77 10 磅"/>
    <w:pPr>
      <w:widowControl w:val="0"/>
      <w:jc w:val="both"/>
    </w:pPr>
    <w:rPr>
      <w:kern w:val="2"/>
      <w:sz w:val="21"/>
      <w:szCs w:val="22"/>
    </w:rPr>
  </w:style>
  <w:style w:type="paragraph" w:customStyle="1" w:styleId="5310">
    <w:name w:val="样式 53 10 磅"/>
    <w:pPr>
      <w:widowControl w:val="0"/>
      <w:jc w:val="both"/>
    </w:pPr>
    <w:rPr>
      <w:kern w:val="2"/>
      <w:sz w:val="21"/>
      <w:szCs w:val="22"/>
    </w:rPr>
  </w:style>
  <w:style w:type="paragraph" w:customStyle="1" w:styleId="af">
    <w:name w:val="表格文字"/>
    <w:basedOn w:val="a0"/>
    <w:pPr>
      <w:spacing w:line="420" w:lineRule="atLeast"/>
    </w:pPr>
    <w:rPr>
      <w:szCs w:val="20"/>
    </w:rPr>
  </w:style>
  <w:style w:type="paragraph" w:customStyle="1" w:styleId="10">
    <w:name w:val="样式 10 磅"/>
    <w:next w:val="a5"/>
    <w:pPr>
      <w:widowControl w:val="0"/>
      <w:jc w:val="both"/>
    </w:pPr>
    <w:rPr>
      <w:kern w:val="2"/>
      <w:sz w:val="21"/>
      <w:szCs w:val="22"/>
    </w:rPr>
  </w:style>
  <w:style w:type="paragraph" w:customStyle="1" w:styleId="110">
    <w:name w:val="样式 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10">
    <w:name w:val="样式 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310">
    <w:name w:val="样式 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10">
    <w:name w:val="样式 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510">
    <w:name w:val="样式 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110">
    <w:name w:val="样式 11 10 磅"/>
    <w:next w:val="ac"/>
    <w:pPr>
      <w:widowControl w:val="0"/>
      <w:jc w:val="both"/>
    </w:pPr>
    <w:rPr>
      <w:kern w:val="2"/>
      <w:sz w:val="21"/>
      <w:szCs w:val="22"/>
    </w:rPr>
  </w:style>
  <w:style w:type="paragraph" w:customStyle="1" w:styleId="1210">
    <w:name w:val="样式 1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310">
    <w:name w:val="样式 1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410">
    <w:name w:val="样式 1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510">
    <w:name w:val="样式 15 10 磅"/>
    <w:basedOn w:val="a0"/>
    <w:rPr>
      <w:rFonts w:ascii="宋体" w:eastAsia="宋体" w:cs="宋体"/>
    </w:rPr>
  </w:style>
  <w:style w:type="paragraph" w:customStyle="1" w:styleId="1610">
    <w:name w:val="样式 16 10 磅"/>
    <w:basedOn w:val="a0"/>
    <w:rPr>
      <w:rFonts w:ascii="宋体" w:eastAsia="宋体" w:cs="宋体"/>
    </w:rPr>
  </w:style>
  <w:style w:type="paragraph" w:customStyle="1" w:styleId="1710">
    <w:name w:val="样式 1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810">
    <w:name w:val="样式 18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1910">
    <w:name w:val="样式 1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010">
    <w:name w:val="样式 20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110">
    <w:name w:val="样式 2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210">
    <w:name w:val="样式 2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310">
    <w:name w:val="样式 2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410">
    <w:name w:val="样式 2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510">
    <w:name w:val="样式 2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610">
    <w:name w:val="样式 26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710">
    <w:name w:val="样式 2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810">
    <w:name w:val="样式 28 10 磅"/>
    <w:pPr>
      <w:widowControl w:val="0"/>
      <w:jc w:val="both"/>
    </w:pPr>
    <w:rPr>
      <w:kern w:val="2"/>
      <w:sz w:val="21"/>
      <w:szCs w:val="24"/>
    </w:rPr>
  </w:style>
  <w:style w:type="paragraph" w:customStyle="1" w:styleId="2910">
    <w:name w:val="样式 29 10 磅"/>
    <w:pPr>
      <w:widowControl w:val="0"/>
      <w:jc w:val="both"/>
    </w:pPr>
    <w:rPr>
      <w:kern w:val="2"/>
      <w:sz w:val="21"/>
      <w:szCs w:val="22"/>
    </w:rPr>
  </w:style>
  <w:style w:type="paragraph" w:customStyle="1" w:styleId="3010">
    <w:name w:val="样式 30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110">
    <w:name w:val="样式 31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210">
    <w:name w:val="样式 32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310">
    <w:name w:val="样式 33 10 磅"/>
    <w:pPr>
      <w:widowControl w:val="0"/>
      <w:jc w:val="both"/>
    </w:pPr>
    <w:rPr>
      <w:kern w:val="2"/>
      <w:sz w:val="21"/>
      <w:szCs w:val="22"/>
    </w:rPr>
  </w:style>
  <w:style w:type="paragraph" w:styleId="af0">
    <w:name w:val="caption"/>
    <w:basedOn w:val="a0"/>
    <w:next w:val="a0"/>
    <w:rPr>
      <w:rFonts w:ascii="方正兰亭黑_GBK" w:eastAsia="黑体" w:hAnsi="方正兰亭黑_GBK"/>
      <w:b/>
      <w:bCs/>
      <w:sz w:val="20"/>
      <w:szCs w:val="20"/>
    </w:rPr>
  </w:style>
  <w:style w:type="character" w:styleId="af1">
    <w:name w:val="page number"/>
    <w:basedOn w:val="a1"/>
  </w:style>
  <w:style w:type="paragraph" w:styleId="af2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方正兰亭黑_GBK" w:hAnsi="Courier New" w:cs="Lucida Sans"/>
      <w:sz w:val="24"/>
      <w:szCs w:val="24"/>
    </w:rPr>
  </w:style>
  <w:style w:type="paragraph" w:styleId="a">
    <w:name w:val="List Number"/>
    <w:basedOn w:val="a0"/>
    <w:pPr>
      <w:numPr>
        <w:numId w:val="1"/>
      </w:numPr>
    </w:pPr>
  </w:style>
  <w:style w:type="paragraph" w:styleId="41">
    <w:name w:val="List 4"/>
    <w:basedOn w:val="a0"/>
    <w:pPr>
      <w:ind w:left="1680" w:hanging="420"/>
    </w:pPr>
  </w:style>
  <w:style w:type="paragraph" w:styleId="3">
    <w:name w:val="List Bullet 3"/>
    <w:basedOn w:val="a0"/>
    <w:pPr>
      <w:numPr>
        <w:numId w:val="2"/>
      </w:numPr>
    </w:pPr>
  </w:style>
  <w:style w:type="paragraph" w:styleId="4">
    <w:name w:val="List Bullet 4"/>
    <w:basedOn w:val="a0"/>
    <w:pPr>
      <w:numPr>
        <w:numId w:val="3"/>
      </w:numPr>
    </w:pPr>
  </w:style>
  <w:style w:type="paragraph" w:styleId="50">
    <w:name w:val="List Bullet 5"/>
    <w:basedOn w:val="a0"/>
    <w:pPr>
      <w:numPr>
        <w:numId w:val="4"/>
      </w:numPr>
    </w:pPr>
  </w:style>
  <w:style w:type="paragraph" w:styleId="5">
    <w:name w:val="List Number 5"/>
    <w:basedOn w:val="a0"/>
    <w:pPr>
      <w:numPr>
        <w:numId w:val="5"/>
      </w:numPr>
    </w:pPr>
  </w:style>
  <w:style w:type="paragraph" w:styleId="af3">
    <w:name w:val="Signature"/>
    <w:basedOn w:val="a0"/>
    <w:pPr>
      <w:ind w:left="4320"/>
    </w:pPr>
  </w:style>
  <w:style w:type="paragraph" w:styleId="af4">
    <w:name w:val="Body Text Indent"/>
    <w:basedOn w:val="a0"/>
    <w:pPr>
      <w:spacing w:after="120"/>
      <w:ind w:left="420"/>
    </w:pPr>
  </w:style>
  <w:style w:type="paragraph" w:styleId="20">
    <w:name w:val="List Continue 2"/>
    <w:basedOn w:val="a0"/>
    <w:pPr>
      <w:spacing w:after="120"/>
      <w:ind w:left="840"/>
    </w:pPr>
  </w:style>
  <w:style w:type="paragraph" w:styleId="42">
    <w:name w:val="List Continue 4"/>
    <w:basedOn w:val="a0"/>
    <w:pPr>
      <w:spacing w:after="120"/>
      <w:ind w:left="1680"/>
    </w:pPr>
  </w:style>
  <w:style w:type="paragraph" w:styleId="af5">
    <w:name w:val="Message Header"/>
    <w:basedOn w:val="a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2" w:color="auto" w:fill="auto"/>
      <w:ind w:leftChars="500" w:left="1000" w:hangingChars="500" w:hanging="500"/>
    </w:pPr>
    <w:rPr>
      <w:rFonts w:ascii="方正兰亭黑_GBK" w:hAnsi="方正兰亭黑_GBK"/>
      <w:sz w:val="24"/>
      <w:szCs w:val="24"/>
    </w:rPr>
  </w:style>
  <w:style w:type="paragraph" w:styleId="af6">
    <w:name w:val="Salutation"/>
    <w:basedOn w:val="a0"/>
    <w:next w:val="a0"/>
  </w:style>
  <w:style w:type="paragraph" w:styleId="af7">
    <w:name w:val="Date"/>
    <w:basedOn w:val="a0"/>
    <w:next w:val="a0"/>
    <w:pPr>
      <w:ind w:leftChars="2500" w:left="2500"/>
    </w:pPr>
  </w:style>
  <w:style w:type="paragraph" w:styleId="21">
    <w:name w:val="Body Text First Indent 2"/>
    <w:basedOn w:val="af4"/>
    <w:pPr>
      <w:ind w:firstLine="420"/>
    </w:pPr>
  </w:style>
  <w:style w:type="paragraph" w:styleId="af8">
    <w:name w:val="Note Heading"/>
    <w:basedOn w:val="a0"/>
    <w:next w:val="a0"/>
    <w:pPr>
      <w:jc w:val="center"/>
    </w:pPr>
  </w:style>
  <w:style w:type="paragraph" w:styleId="31">
    <w:name w:val="Body Text 3"/>
    <w:basedOn w:val="a0"/>
    <w:pPr>
      <w:spacing w:after="120"/>
    </w:pPr>
    <w:rPr>
      <w:sz w:val="16"/>
      <w:szCs w:val="16"/>
    </w:rPr>
  </w:style>
  <w:style w:type="paragraph" w:styleId="22">
    <w:name w:val="Body Text Indent 2"/>
    <w:basedOn w:val="a0"/>
    <w:pPr>
      <w:spacing w:after="120" w:line="480" w:lineRule="auto"/>
      <w:ind w:left="420"/>
    </w:pPr>
  </w:style>
  <w:style w:type="paragraph" w:styleId="af9">
    <w:name w:val="Block Text"/>
    <w:basedOn w:val="a0"/>
    <w:pPr>
      <w:spacing w:after="120"/>
      <w:ind w:left="140" w:rightChars="700" w:right="700"/>
    </w:pPr>
  </w:style>
  <w:style w:type="character" w:styleId="afa">
    <w:name w:val="Hyperlink"/>
    <w:basedOn w:val="a1"/>
    <w:rPr>
      <w:color w:val="0000FF"/>
      <w:u w:val="single"/>
    </w:rPr>
  </w:style>
  <w:style w:type="character" w:styleId="afb">
    <w:name w:val="Emphasis"/>
    <w:basedOn w:val="a1"/>
    <w:rPr>
      <w:i/>
    </w:rPr>
  </w:style>
  <w:style w:type="paragraph" w:styleId="afc">
    <w:name w:val="Normal (Web)"/>
    <w:basedOn w:val="a0"/>
    <w:rPr>
      <w:sz w:val="24"/>
      <w:szCs w:val="24"/>
    </w:rPr>
  </w:style>
  <w:style w:type="character" w:styleId="HTML">
    <w:name w:val="HTML Cite"/>
    <w:basedOn w:val="a1"/>
    <w:rPr>
      <w:i/>
    </w:rPr>
  </w:style>
  <w:style w:type="character" w:styleId="HTML0">
    <w:name w:val="HTML Definition"/>
    <w:basedOn w:val="a1"/>
    <w:rPr>
      <w:i/>
    </w:rPr>
  </w:style>
  <w:style w:type="character" w:styleId="HTML1">
    <w:name w:val="HTML Typewriter"/>
    <w:basedOn w:val="a1"/>
    <w:rPr>
      <w:rFonts w:ascii="Courier New" w:hAnsi="Courier New"/>
      <w:sz w:val="20"/>
      <w:szCs w:val="20"/>
    </w:rPr>
  </w:style>
  <w:style w:type="character" w:styleId="HTML2">
    <w:name w:val="HTML Variable"/>
    <w:basedOn w:val="a1"/>
    <w:rPr>
      <w:i/>
    </w:rPr>
  </w:style>
  <w:style w:type="paragraph" w:customStyle="1" w:styleId="11">
    <w:name w:val="无间隔1"/>
    <w:rPr>
      <w:rFonts w:ascii="方正兰亭黑_GBK" w:eastAsia="方正兰亭黑_GBK" w:cs="Lucida Sans"/>
    </w:rPr>
  </w:style>
  <w:style w:type="character" w:customStyle="1" w:styleId="12">
    <w:name w:val="书籍标题1"/>
    <w:basedOn w:val="a1"/>
    <w:rPr>
      <w:b/>
      <w:bCs/>
      <w:i/>
      <w:iCs/>
      <w:spacing w:val="5"/>
    </w:rPr>
  </w:style>
  <w:style w:type="paragraph" w:customStyle="1" w:styleId="13">
    <w:name w:val="正文文字 1"/>
    <w:basedOn w:val="a0"/>
    <w:next w:val="a0"/>
    <w:autoRedefine/>
    <w:pPr>
      <w:ind w:left="240"/>
    </w:pPr>
    <w:rPr>
      <w:sz w:val="28"/>
      <w:szCs w:val="28"/>
    </w:rPr>
  </w:style>
  <w:style w:type="paragraph" w:customStyle="1" w:styleId="120">
    <w:name w:val="样式 120 三号"/>
    <w:next w:val="afd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4">
    <w:name w:val="样式 1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afe">
    <w:name w:val="样式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3">
    <w:name w:val="样式 2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87">
    <w:name w:val="样式 87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410">
    <w:name w:val="样式 34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510">
    <w:name w:val="样式 3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2">
    <w:name w:val="样式 102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8">
    <w:name w:val="样式 108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610">
    <w:name w:val="样式 36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3710">
    <w:name w:val="样式 3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3810">
    <w:name w:val="样式 38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3910">
    <w:name w:val="样式 3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010">
    <w:name w:val="样式 40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101">
    <w:name w:val="样式 101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110">
    <w:name w:val="样式 4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210">
    <w:name w:val="样式 42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4310">
    <w:name w:val="样式 4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410">
    <w:name w:val="样式 44 10 磅"/>
    <w:pPr>
      <w:widowControl w:val="0"/>
      <w:jc w:val="both"/>
    </w:pPr>
    <w:rPr>
      <w:kern w:val="2"/>
      <w:sz w:val="21"/>
      <w:szCs w:val="22"/>
    </w:rPr>
  </w:style>
  <w:style w:type="paragraph" w:customStyle="1" w:styleId="4510">
    <w:name w:val="样式 4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610">
    <w:name w:val="样式 46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72">
    <w:name w:val="样式 72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5">
    <w:name w:val="样式 75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6">
    <w:name w:val="样式 76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7">
    <w:name w:val="样式 77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710">
    <w:name w:val="样式 4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4810">
    <w:name w:val="样式 48 10 磅"/>
    <w:pPr>
      <w:widowControl w:val="0"/>
      <w:jc w:val="both"/>
    </w:pPr>
    <w:rPr>
      <w:kern w:val="2"/>
      <w:sz w:val="21"/>
      <w:szCs w:val="22"/>
    </w:rPr>
  </w:style>
  <w:style w:type="paragraph" w:customStyle="1" w:styleId="5410">
    <w:name w:val="样式 54 10 磅"/>
    <w:pPr>
      <w:widowControl w:val="0"/>
      <w:jc w:val="both"/>
    </w:pPr>
    <w:rPr>
      <w:kern w:val="2"/>
      <w:sz w:val="21"/>
      <w:szCs w:val="22"/>
    </w:rPr>
  </w:style>
  <w:style w:type="paragraph" w:customStyle="1" w:styleId="81">
    <w:name w:val="样式 81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910">
    <w:name w:val="样式 5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6010">
    <w:name w:val="样式 60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84">
    <w:name w:val="样式 84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2">
    <w:name w:val="样式 3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85">
    <w:name w:val="样式 85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">
    <w:name w:val="样式 6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3">
    <w:name w:val="样式 4 三号"/>
    <w:pPr>
      <w:widowControl w:val="0"/>
      <w:jc w:val="both"/>
    </w:pPr>
    <w:rPr>
      <w:rFonts w:eastAsia="方正仿宋_GBK"/>
      <w:kern w:val="2"/>
      <w:sz w:val="32"/>
    </w:rPr>
  </w:style>
  <w:style w:type="paragraph" w:styleId="8">
    <w:name w:val="index 8"/>
    <w:basedOn w:val="a0"/>
    <w:next w:val="a0"/>
    <w:autoRedefine/>
    <w:pPr>
      <w:ind w:left="2940"/>
    </w:pPr>
  </w:style>
  <w:style w:type="paragraph" w:styleId="aff">
    <w:name w:val="Normal Indent"/>
    <w:basedOn w:val="a0"/>
    <w:pPr>
      <w:ind w:firstLine="420"/>
    </w:pPr>
  </w:style>
  <w:style w:type="paragraph" w:styleId="afd">
    <w:name w:val="footnote text"/>
    <w:basedOn w:val="a0"/>
    <w:rPr>
      <w:sz w:val="18"/>
      <w:szCs w:val="18"/>
    </w:rPr>
  </w:style>
  <w:style w:type="paragraph" w:customStyle="1" w:styleId="6510">
    <w:name w:val="样式 6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6610">
    <w:name w:val="样式 66 10 磅"/>
    <w:pPr>
      <w:widowControl w:val="0"/>
      <w:jc w:val="both"/>
    </w:pPr>
    <w:rPr>
      <w:kern w:val="2"/>
      <w:sz w:val="21"/>
      <w:szCs w:val="22"/>
    </w:rPr>
  </w:style>
  <w:style w:type="paragraph" w:customStyle="1" w:styleId="51">
    <w:name w:val="样式 5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">
    <w:name w:val="样式 7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90">
    <w:name w:val="样式 90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0">
    <w:name w:val="样式 100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6">
    <w:name w:val="样式 106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14">
    <w:name w:val="样式 114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19">
    <w:name w:val="样式 119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710">
    <w:name w:val="样式 67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7010">
    <w:name w:val="样式 70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7810">
    <w:name w:val="样式 78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7910">
    <w:name w:val="样式 7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010">
    <w:name w:val="样式 80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110">
    <w:name w:val="样式 8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210">
    <w:name w:val="样式 8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310">
    <w:name w:val="样式 8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410">
    <w:name w:val="样式 8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510">
    <w:name w:val="样式 8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610">
    <w:name w:val="样式 86 10 磅"/>
    <w:pPr>
      <w:widowControl w:val="0"/>
      <w:jc w:val="both"/>
    </w:pPr>
    <w:rPr>
      <w:kern w:val="2"/>
      <w:sz w:val="21"/>
      <w:szCs w:val="22"/>
    </w:rPr>
  </w:style>
  <w:style w:type="paragraph" w:customStyle="1" w:styleId="8710">
    <w:name w:val="样式 8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810">
    <w:name w:val="样式 88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8910">
    <w:name w:val="样式 89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9010">
    <w:name w:val="样式 90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110">
    <w:name w:val="样式 91 10 磅"/>
    <w:pPr>
      <w:widowControl w:val="0"/>
      <w:jc w:val="both"/>
    </w:pPr>
    <w:rPr>
      <w:kern w:val="2"/>
      <w:sz w:val="21"/>
      <w:szCs w:val="22"/>
    </w:rPr>
  </w:style>
  <w:style w:type="paragraph" w:customStyle="1" w:styleId="15">
    <w:name w:val="样式 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210">
    <w:name w:val="样式 92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310">
    <w:name w:val="样式 93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410">
    <w:name w:val="样式 94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510">
    <w:name w:val="样式 95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610">
    <w:name w:val="样式 96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710">
    <w:name w:val="样式 97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810">
    <w:name w:val="样式 98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9910">
    <w:name w:val="样式 99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010">
    <w:name w:val="样式 100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110">
    <w:name w:val="样式 101 10 磅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10210">
    <w:name w:val="样式 102 10 磅"/>
    <w:basedOn w:val="a0"/>
  </w:style>
  <w:style w:type="paragraph" w:customStyle="1" w:styleId="10310">
    <w:name w:val="样式 103 10 磅"/>
    <w:basedOn w:val="a0"/>
    <w:link w:val="10310Char"/>
    <w:rPr>
      <w:b/>
    </w:rPr>
  </w:style>
  <w:style w:type="character" w:customStyle="1" w:styleId="10310Char">
    <w:name w:val="样式 103 10 磅 Char"/>
    <w:basedOn w:val="a1"/>
    <w:link w:val="10310"/>
    <w:rPr>
      <w:rFonts w:ascii="Arial" w:eastAsia="Arial" w:hAnsi="Arial" w:cs="Arial"/>
      <w:b/>
      <w:snapToGrid w:val="0"/>
      <w:color w:val="000000"/>
      <w:sz w:val="21"/>
      <w:szCs w:val="21"/>
      <w:lang w:val="en-US" w:eastAsia="zh-CN" w:bidi="ar-SA"/>
    </w:rPr>
  </w:style>
  <w:style w:type="paragraph" w:customStyle="1" w:styleId="10410">
    <w:name w:val="样式 104 10 磅"/>
    <w:pPr>
      <w:widowControl w:val="0"/>
      <w:jc w:val="both"/>
    </w:pPr>
    <w:rPr>
      <w:kern w:val="2"/>
      <w:sz w:val="21"/>
      <w:szCs w:val="22"/>
    </w:rPr>
  </w:style>
  <w:style w:type="paragraph" w:customStyle="1" w:styleId="10510">
    <w:name w:val="样式 105 10 磅"/>
    <w:pPr>
      <w:widowControl w:val="0"/>
      <w:jc w:val="both"/>
    </w:pPr>
    <w:rPr>
      <w:kern w:val="2"/>
      <w:sz w:val="21"/>
      <w:szCs w:val="22"/>
    </w:rPr>
  </w:style>
  <w:style w:type="paragraph" w:customStyle="1" w:styleId="10610">
    <w:name w:val="样式 106 10 磅"/>
    <w:pPr>
      <w:widowControl w:val="0"/>
      <w:jc w:val="both"/>
    </w:pPr>
    <w:rPr>
      <w:kern w:val="2"/>
      <w:sz w:val="21"/>
      <w:szCs w:val="22"/>
    </w:rPr>
  </w:style>
  <w:style w:type="paragraph" w:customStyle="1" w:styleId="10710">
    <w:name w:val="样式 107 10 磅"/>
    <w:pPr>
      <w:widowControl w:val="0"/>
      <w:jc w:val="both"/>
    </w:pPr>
    <w:rPr>
      <w:kern w:val="2"/>
      <w:sz w:val="21"/>
      <w:szCs w:val="22"/>
    </w:rPr>
  </w:style>
  <w:style w:type="paragraph" w:customStyle="1" w:styleId="10810">
    <w:name w:val="样式 108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10910">
    <w:name w:val="样式 109 10 磅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aff0">
    <w:name w:val="Revision"/>
    <w:hidden/>
    <w:uiPriority w:val="99"/>
    <w:semiHidden/>
    <w:rsid w:val="0075151A"/>
    <w:rPr>
      <w:rFonts w:ascii="Arial" w:eastAsia="Arial" w:hAnsi="Arial" w:cs="Arial"/>
      <w:snapToGrid w:val="0"/>
      <w:color w:val="000000"/>
      <w:sz w:val="21"/>
      <w:szCs w:val="21"/>
    </w:rPr>
  </w:style>
  <w:style w:type="character" w:customStyle="1" w:styleId="a9">
    <w:name w:val="页脚 字符"/>
    <w:basedOn w:val="a1"/>
    <w:link w:val="a8"/>
    <w:uiPriority w:val="99"/>
    <w:rsid w:val="00AA24C9"/>
    <w:rPr>
      <w:rFonts w:ascii="Arial" w:eastAsia="Arial" w:hAnsi="Arial" w:cs="Arial"/>
      <w:snapToGrid w:val="0"/>
      <w:color w:val="000000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5</Pages>
  <Words>1713</Words>
  <Characters>2090</Characters>
  <Application>Microsoft Office Word</Application>
  <DocSecurity>0</DocSecurity>
  <Lines>104</Lines>
  <Paragraphs>152</Paragraphs>
  <ScaleCrop>false</ScaleCrop>
  <Company>Microsoft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De Lao</cp:lastModifiedBy>
  <cp:revision>16</cp:revision>
  <dcterms:created xsi:type="dcterms:W3CDTF">2024-12-27T17:32:00Z</dcterms:created>
  <dcterms:modified xsi:type="dcterms:W3CDTF">2026-09-04T10:32:00Z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2025-09-17T16:00:00Z</vt:filetime>
  </property>
  <property fmtid="{D5CDD505-2E9C-101B-9397-08002B2CF9AE}" pid="4" name="KSOTemplateDocerSaveRecord">
    <vt:lpwstr>eyJoZGlkIjoiMWMwNDgwNTJlYjQ4ZDgzOWI4ZTI1ZmMyYzRlMzU3ODMiLCJ1c2VySWQiOiIyMzc2NjUxMyJ9</vt:lpwstr>
  </property>
  <property fmtid="{D5CDD505-2E9C-101B-9397-08002B2CF9AE}" pid="5" name="KSOProductBuildVer">
    <vt:lpwstr>2052-12.1.0.22529</vt:lpwstr>
  </property>
  <property fmtid="{D5CDD505-2E9C-101B-9397-08002B2CF9AE}" pid="6" name="ICV">
    <vt:lpwstr>90DA4489B713491881668AE0B661762F_13</vt:lpwstr>
  </property>
</Properties>
</file>