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1C60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32"/>
          <w:szCs w:val="32"/>
          <w:lang w:eastAsia="zh-CN"/>
        </w:rPr>
      </w:pPr>
      <w:r>
        <w:rPr>
          <w:rFonts w:hint="eastAsia" w:ascii="宋体" w:hAnsi="宋体" w:eastAsia="宋体" w:cs="宋体"/>
          <w:b/>
          <w:sz w:val="32"/>
          <w:szCs w:val="32"/>
          <w:lang w:eastAsia="zh-CN"/>
        </w:rPr>
        <w:t>广州市农业农村局补充耕地质量验收工作服务项目</w:t>
      </w:r>
    </w:p>
    <w:p w14:paraId="42862479">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32"/>
          <w:szCs w:val="32"/>
          <w:lang w:eastAsia="zh-CN"/>
        </w:rPr>
      </w:pPr>
      <w:r>
        <w:rPr>
          <w:rFonts w:hint="eastAsia" w:ascii="宋体" w:hAnsi="宋体" w:eastAsia="宋体" w:cs="宋体"/>
          <w:b/>
          <w:sz w:val="32"/>
          <w:szCs w:val="32"/>
          <w:lang w:eastAsia="zh-CN"/>
        </w:rPr>
        <w:t>用户需求书</w:t>
      </w:r>
    </w:p>
    <w:p w14:paraId="1D6604EA">
      <w:pPr>
        <w:keepNext w:val="0"/>
        <w:keepLines w:val="0"/>
        <w:pageBreakBefore w:val="0"/>
        <w:tabs>
          <w:tab w:val="left" w:pos="180"/>
        </w:tabs>
        <w:kinsoku/>
        <w:wordWrap/>
        <w:overflowPunct/>
        <w:topLinePunct w:val="0"/>
        <w:autoSpaceDE/>
        <w:autoSpaceDN/>
        <w:bidi w:val="0"/>
        <w:snapToGrid w:val="0"/>
        <w:spacing w:line="360" w:lineRule="auto"/>
        <w:ind w:firstLine="482" w:firstLineChars="200"/>
        <w:jc w:val="both"/>
        <w:textAlignment w:val="auto"/>
        <w:rPr>
          <w:rFonts w:hint="default" w:ascii="宋体" w:hAnsi="宋体" w:eastAsia="宋体" w:cs="宋体"/>
          <w:b/>
          <w:sz w:val="24"/>
          <w:szCs w:val="24"/>
          <w:lang w:val="en-US" w:eastAsia="zh-CN"/>
        </w:rPr>
      </w:pPr>
      <w:r>
        <w:rPr>
          <w:rFonts w:hint="eastAsia" w:ascii="宋体" w:hAnsi="宋体" w:cs="宋体"/>
          <w:b/>
          <w:sz w:val="24"/>
          <w:szCs w:val="24"/>
          <w:lang w:val="en-US" w:eastAsia="zh-CN"/>
        </w:rPr>
        <w:t>一、项目概况</w:t>
      </w:r>
    </w:p>
    <w:p w14:paraId="50A846E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一</w:t>
      </w:r>
      <w:r>
        <w:rPr>
          <w:rFonts w:hint="eastAsia" w:ascii="宋体" w:hAnsi="宋体" w:cs="宋体"/>
          <w:b w:val="0"/>
          <w:bCs/>
          <w:sz w:val="24"/>
          <w:szCs w:val="24"/>
          <w:lang w:eastAsia="zh-CN"/>
        </w:rPr>
        <w:t>）</w:t>
      </w:r>
      <w:r>
        <w:rPr>
          <w:rFonts w:hint="eastAsia" w:ascii="宋体" w:hAnsi="宋体" w:eastAsia="宋体" w:cs="宋体"/>
          <w:b w:val="0"/>
          <w:bCs/>
          <w:sz w:val="24"/>
          <w:szCs w:val="24"/>
        </w:rPr>
        <w:t>项目背景：为严格落实耕地占补平衡政策，保障新增耕地质量真实、合规、可落地，客观公正评定补充耕地质量等级，规范市级验收全流程，委托具备资质与能力的第三方机构开展补充耕地质量市级验收、核算审核、培训、资料归档及协同配合等工作。</w:t>
      </w:r>
    </w:p>
    <w:p w14:paraId="7771B34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二</w:t>
      </w:r>
      <w:r>
        <w:rPr>
          <w:rFonts w:hint="eastAsia" w:ascii="宋体" w:hAnsi="宋体" w:cs="宋体"/>
          <w:b w:val="0"/>
          <w:bCs/>
          <w:sz w:val="24"/>
          <w:szCs w:val="24"/>
          <w:lang w:eastAsia="zh-CN"/>
        </w:rPr>
        <w:t>）</w:t>
      </w:r>
      <w:r>
        <w:rPr>
          <w:rFonts w:hint="eastAsia" w:ascii="宋体" w:hAnsi="宋体" w:eastAsia="宋体" w:cs="宋体"/>
          <w:b w:val="0"/>
          <w:bCs/>
          <w:sz w:val="24"/>
          <w:szCs w:val="24"/>
        </w:rPr>
        <w:t>预算金额：人民币379.6万元（含税全包价）</w:t>
      </w:r>
    </w:p>
    <w:p w14:paraId="6639CCD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640"/>
        <w:textAlignment w:val="auto"/>
        <w:outlineLvl w:val="9"/>
        <w:rPr>
          <w:rFonts w:hint="eastAsia" w:ascii="宋体" w:hAnsi="宋体" w:eastAsia="宋体" w:cs="宋体"/>
          <w:sz w:val="24"/>
          <w:szCs w:val="24"/>
          <w:lang w:val="en-US" w:eastAsia="zh-CN"/>
        </w:rPr>
      </w:pPr>
    </w:p>
    <w:p w14:paraId="24ABE4F4">
      <w:pPr>
        <w:keepNext w:val="0"/>
        <w:keepLines w:val="0"/>
        <w:pageBreakBefore w:val="0"/>
        <w:numPr>
          <w:ilvl w:val="0"/>
          <w:numId w:val="0"/>
        </w:numPr>
        <w:tabs>
          <w:tab w:val="left" w:pos="180"/>
        </w:tabs>
        <w:kinsoku/>
        <w:wordWrap/>
        <w:overflowPunct/>
        <w:topLinePunct w:val="0"/>
        <w:autoSpaceDE/>
        <w:autoSpaceDN/>
        <w:bidi w:val="0"/>
        <w:snapToGrid w:val="0"/>
        <w:spacing w:line="360" w:lineRule="auto"/>
        <w:ind w:firstLine="482" w:firstLineChars="200"/>
        <w:jc w:val="both"/>
        <w:textAlignment w:val="auto"/>
        <w:rPr>
          <w:rFonts w:hint="eastAsia" w:ascii="宋体" w:hAnsi="宋体" w:eastAsia="宋体" w:cs="宋体"/>
          <w:b/>
          <w:sz w:val="24"/>
          <w:szCs w:val="24"/>
          <w:lang w:val="en-US" w:eastAsia="zh-CN"/>
        </w:rPr>
      </w:pPr>
      <w:r>
        <w:rPr>
          <w:rFonts w:hint="eastAsia" w:ascii="宋体" w:hAnsi="宋体" w:eastAsia="宋体" w:cs="宋体"/>
          <w:b/>
          <w:kern w:val="0"/>
          <w:sz w:val="24"/>
          <w:szCs w:val="24"/>
          <w:lang w:val="en-US" w:eastAsia="zh-CN" w:bidi="ar-SA"/>
        </w:rPr>
        <w:t>二、</w:t>
      </w:r>
      <w:r>
        <w:rPr>
          <w:rFonts w:hint="eastAsia" w:ascii="宋体" w:hAnsi="宋体" w:eastAsia="宋体" w:cs="宋体"/>
          <w:b/>
          <w:sz w:val="24"/>
          <w:szCs w:val="24"/>
          <w:lang w:val="en-US" w:eastAsia="zh-CN"/>
        </w:rPr>
        <w:t>服务内容</w:t>
      </w:r>
    </w:p>
    <w:p w14:paraId="62E408B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一</w:t>
      </w:r>
      <w:r>
        <w:rPr>
          <w:rFonts w:hint="eastAsia" w:ascii="宋体" w:hAnsi="宋体" w:cs="宋体"/>
          <w:b w:val="0"/>
          <w:bCs/>
          <w:sz w:val="24"/>
          <w:szCs w:val="24"/>
          <w:lang w:eastAsia="zh-CN"/>
        </w:rPr>
        <w:t>）</w:t>
      </w:r>
      <w:r>
        <w:rPr>
          <w:rFonts w:hint="eastAsia" w:ascii="宋体" w:hAnsi="宋体" w:eastAsia="宋体" w:cs="宋体"/>
          <w:b w:val="0"/>
          <w:bCs/>
          <w:sz w:val="24"/>
          <w:szCs w:val="24"/>
        </w:rPr>
        <w:t>服务地点：</w:t>
      </w:r>
      <w:r>
        <w:rPr>
          <w:rFonts w:hint="eastAsia" w:ascii="宋体" w:hAnsi="宋体" w:eastAsia="宋体" w:cs="宋体"/>
          <w:b w:val="0"/>
          <w:bCs/>
          <w:sz w:val="24"/>
          <w:szCs w:val="24"/>
          <w:lang w:eastAsia="zh-CN"/>
        </w:rPr>
        <w:t>广州</w:t>
      </w:r>
      <w:r>
        <w:rPr>
          <w:rFonts w:hint="eastAsia" w:ascii="宋体" w:hAnsi="宋体" w:eastAsia="宋体" w:cs="宋体"/>
          <w:b w:val="0"/>
          <w:bCs/>
          <w:sz w:val="24"/>
          <w:szCs w:val="24"/>
        </w:rPr>
        <w:t>市行政区域内</w:t>
      </w:r>
    </w:p>
    <w:p w14:paraId="46F6925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二</w:t>
      </w:r>
      <w:r>
        <w:rPr>
          <w:rFonts w:hint="eastAsia" w:ascii="宋体" w:hAnsi="宋体" w:cs="宋体"/>
          <w:b w:val="0"/>
          <w:bCs/>
          <w:sz w:val="24"/>
          <w:szCs w:val="24"/>
          <w:lang w:eastAsia="zh-CN"/>
        </w:rPr>
        <w:t>）</w:t>
      </w:r>
      <w:r>
        <w:rPr>
          <w:rFonts w:hint="eastAsia" w:ascii="宋体" w:hAnsi="宋体" w:eastAsia="宋体" w:cs="宋体"/>
          <w:b w:val="0"/>
          <w:bCs/>
          <w:sz w:val="24"/>
          <w:szCs w:val="24"/>
        </w:rPr>
        <w:t>服务期限：1年（</w:t>
      </w:r>
      <w:r>
        <w:rPr>
          <w:rFonts w:hint="eastAsia" w:ascii="宋体" w:hAnsi="宋体" w:eastAsia="宋体" w:cs="宋体"/>
          <w:sz w:val="24"/>
          <w:szCs w:val="24"/>
        </w:rPr>
        <w:t>自合同签订之日起，至完成全部验收任务、提交最终成果并通过省级抽核、资料完整移交为止）</w:t>
      </w:r>
    </w:p>
    <w:p w14:paraId="6367636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eastAsia="宋体" w:cs="宋体"/>
          <w:sz w:val="24"/>
          <w:szCs w:val="24"/>
          <w:lang w:eastAsia="zh-CN"/>
        </w:rPr>
        <w:t>计划验收的补充耕地面积</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1.25万亩。</w:t>
      </w:r>
    </w:p>
    <w:p w14:paraId="48A1BFB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四</w:t>
      </w:r>
      <w:r>
        <w:rPr>
          <w:rFonts w:hint="eastAsia" w:ascii="宋体" w:hAnsi="宋体" w:eastAsia="宋体" w:cs="宋体"/>
          <w:sz w:val="24"/>
          <w:szCs w:val="24"/>
        </w:rPr>
        <w:t>）补充耕地质量鉴定</w:t>
      </w:r>
    </w:p>
    <w:p w14:paraId="718A906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依据《广东省补充耕地质量验收细则（试行）》《广东省补充耕地质量鉴定技术规范</w:t>
      </w:r>
      <w:r>
        <w:rPr>
          <w:rFonts w:hint="eastAsia" w:ascii="宋体" w:hAnsi="宋体" w:cs="宋体"/>
          <w:sz w:val="24"/>
          <w:szCs w:val="24"/>
          <w:lang w:eastAsia="zh-CN"/>
        </w:rPr>
        <w:t>（</w:t>
      </w:r>
      <w:r>
        <w:rPr>
          <w:rFonts w:hint="eastAsia" w:ascii="宋体" w:hAnsi="宋体" w:cs="宋体"/>
          <w:sz w:val="24"/>
          <w:szCs w:val="24"/>
          <w:lang w:val="en-US" w:eastAsia="zh-CN"/>
        </w:rPr>
        <w:t>试行</w:t>
      </w:r>
      <w:r>
        <w:rPr>
          <w:rFonts w:hint="eastAsia" w:ascii="宋体" w:hAnsi="宋体" w:cs="宋体"/>
          <w:sz w:val="24"/>
          <w:szCs w:val="24"/>
          <w:lang w:eastAsia="zh-CN"/>
        </w:rPr>
        <w:t>）</w:t>
      </w:r>
      <w:r>
        <w:rPr>
          <w:rFonts w:hint="eastAsia" w:ascii="宋体" w:hAnsi="宋体" w:eastAsia="宋体" w:cs="宋体"/>
          <w:sz w:val="24"/>
          <w:szCs w:val="24"/>
        </w:rPr>
        <w:t>》及上级最新工作要求，对区级移交的补充耕地质量初步鉴定成果开展全面内业审核。</w:t>
      </w:r>
    </w:p>
    <w:p w14:paraId="0CC0312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按每个项目</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批次</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不少于20%面积及评价单元数量，开展现场踏勘、土壤样品采集检测或留样复检，同步开展农业生产符合性评价、耕地质量等级评价。</w:t>
      </w:r>
    </w:p>
    <w:p w14:paraId="1106F4F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组织专家开展专业鉴定，形成规范、完整的市级鉴定意见。</w:t>
      </w:r>
    </w:p>
    <w:p w14:paraId="234A2B7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五</w:t>
      </w:r>
      <w:r>
        <w:rPr>
          <w:rFonts w:hint="eastAsia" w:ascii="宋体" w:hAnsi="宋体" w:eastAsia="宋体" w:cs="宋体"/>
          <w:sz w:val="24"/>
          <w:szCs w:val="24"/>
        </w:rPr>
        <w:t>）补充耕地质量核算审核</w:t>
      </w:r>
    </w:p>
    <w:p w14:paraId="03550B0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对区级占用耕地与补充耕地质量核算成果进行合规性、准确性、完整性审核。</w:t>
      </w:r>
    </w:p>
    <w:p w14:paraId="01ED77B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对审核发现问题的成果，退回区级农业农村主管部门重新核算并限期反馈。</w:t>
      </w:r>
    </w:p>
    <w:p w14:paraId="0AE3A5C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将审核通过的核算结果上报省农业农村厅，并按省级反馈意见组织整改、复核与闭环上报。</w:t>
      </w:r>
    </w:p>
    <w:p w14:paraId="424ADB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六</w:t>
      </w:r>
      <w:r>
        <w:rPr>
          <w:rFonts w:hint="eastAsia" w:ascii="宋体" w:hAnsi="宋体" w:eastAsia="宋体" w:cs="宋体"/>
          <w:sz w:val="24"/>
          <w:szCs w:val="24"/>
        </w:rPr>
        <w:t>）专项业务培训</w:t>
      </w:r>
    </w:p>
    <w:p w14:paraId="409C1D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组织全市补充耕地质量验收管理人员、第三方服务机构人员开展政策、技术、流程、实操等专项培训，确保工作标准统一、流程规范。</w:t>
      </w:r>
    </w:p>
    <w:p w14:paraId="0F0F417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七</w:t>
      </w:r>
      <w:r>
        <w:rPr>
          <w:rFonts w:hint="eastAsia" w:ascii="宋体" w:hAnsi="宋体" w:eastAsia="宋体" w:cs="宋体"/>
          <w:sz w:val="24"/>
          <w:szCs w:val="24"/>
        </w:rPr>
        <w:t>）验收资料整理与归档</w:t>
      </w:r>
    </w:p>
    <w:p w14:paraId="6180717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编制年度补充耕地质量验收工作总结报告。</w:t>
      </w:r>
    </w:p>
    <w:p w14:paraId="3868A1D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对验收全过程资料分类整理、规范立卷、编制清单，完整移交采购人归档。</w:t>
      </w:r>
    </w:p>
    <w:p w14:paraId="159938E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八</w:t>
      </w:r>
      <w:r>
        <w:rPr>
          <w:rFonts w:hint="eastAsia" w:ascii="宋体" w:hAnsi="宋体" w:eastAsia="宋体" w:cs="宋体"/>
          <w:sz w:val="24"/>
          <w:szCs w:val="24"/>
        </w:rPr>
        <w:t>）协同配合与沟通协调</w:t>
      </w:r>
    </w:p>
    <w:p w14:paraId="232B816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配合采购人及上级主管部门开展核查、抽查、评审、督导等工作。</w:t>
      </w:r>
    </w:p>
    <w:p w14:paraId="4EDD3C1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做好与项目属地自然资源、农业农村等部门的对接协调，保障工作顺畅推进。</w:t>
      </w:r>
    </w:p>
    <w:p w14:paraId="06AC371E">
      <w:pPr>
        <w:keepNext w:val="0"/>
        <w:keepLines w:val="0"/>
        <w:pageBreakBefore w:val="0"/>
        <w:tabs>
          <w:tab w:val="left" w:pos="180"/>
        </w:tabs>
        <w:kinsoku/>
        <w:wordWrap/>
        <w:overflowPunct/>
        <w:topLinePunct w:val="0"/>
        <w:autoSpaceDE/>
        <w:autoSpaceDN/>
        <w:bidi w:val="0"/>
        <w:snapToGrid w:val="0"/>
        <w:spacing w:line="360" w:lineRule="auto"/>
        <w:ind w:firstLine="482" w:firstLineChars="200"/>
        <w:jc w:val="both"/>
        <w:textAlignment w:val="auto"/>
        <w:rPr>
          <w:rFonts w:hint="default" w:ascii="宋体" w:hAnsi="宋体" w:cs="宋体"/>
          <w:b/>
          <w:sz w:val="24"/>
          <w:szCs w:val="24"/>
          <w:lang w:val="en-US" w:eastAsia="zh-CN"/>
        </w:rPr>
      </w:pPr>
      <w:r>
        <w:rPr>
          <w:rFonts w:hint="default" w:ascii="宋体" w:hAnsi="宋体" w:cs="宋体"/>
          <w:b/>
          <w:sz w:val="24"/>
          <w:szCs w:val="24"/>
          <w:lang w:val="en-US" w:eastAsia="zh-CN"/>
        </w:rPr>
        <w:t>三、相关要求</w:t>
      </w:r>
    </w:p>
    <w:p w14:paraId="7FD11B7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2" w:firstLineChars="200"/>
        <w:textAlignment w:val="auto"/>
        <w:outlineLvl w:val="9"/>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（一）人员与设备要求</w:t>
      </w:r>
    </w:p>
    <w:p w14:paraId="453A780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1.人员配置</w:t>
      </w:r>
    </w:p>
    <w:p w14:paraId="595BD44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cs="宋体"/>
          <w:sz w:val="24"/>
          <w:szCs w:val="24"/>
          <w:lang w:val="en-US" w:eastAsia="zh-CN"/>
        </w:rPr>
        <w:t>1</w:t>
      </w:r>
      <w:r>
        <w:rPr>
          <w:rFonts w:hint="default" w:ascii="宋体" w:hAnsi="宋体" w:eastAsia="宋体" w:cs="宋体"/>
          <w:sz w:val="24"/>
          <w:szCs w:val="24"/>
          <w:lang w:val="en-US" w:eastAsia="zh-CN"/>
        </w:rPr>
        <w:t>）团队成员须具备土壤学、土地资源管理、农业资源与环境、农业工程、农田水利工程、耕地质量、</w:t>
      </w:r>
      <w:bookmarkStart w:id="0" w:name="_GoBack"/>
      <w:bookmarkEnd w:id="0"/>
      <w:r>
        <w:rPr>
          <w:rFonts w:hint="default" w:ascii="宋体" w:hAnsi="宋体" w:eastAsia="宋体" w:cs="宋体"/>
          <w:sz w:val="24"/>
          <w:szCs w:val="24"/>
          <w:lang w:val="en-US" w:eastAsia="zh-CN"/>
        </w:rPr>
        <w:t>自然地理学、环境工程、植物营养学、土地整治、土壤检测等相关专业背景。</w:t>
      </w:r>
    </w:p>
    <w:p w14:paraId="7146DC0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cs="宋体"/>
          <w:sz w:val="24"/>
          <w:szCs w:val="24"/>
          <w:lang w:val="en-US" w:eastAsia="zh-CN"/>
        </w:rPr>
        <w:t>2</w:t>
      </w:r>
      <w:r>
        <w:rPr>
          <w:rFonts w:hint="default" w:ascii="宋体" w:hAnsi="宋体" w:eastAsia="宋体" w:cs="宋体"/>
          <w:sz w:val="24"/>
          <w:szCs w:val="24"/>
          <w:lang w:val="en-US" w:eastAsia="zh-CN"/>
        </w:rPr>
        <w:t>）现场踏勘须至少安排1 名质控专家，要求从事耕地质量相关工作5 年及以上、实践经验丰富、具备副高级及以上职称。</w:t>
      </w:r>
    </w:p>
    <w:p w14:paraId="4E88797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r>
        <w:rPr>
          <w:rFonts w:hint="eastAsia" w:ascii="宋体" w:hAnsi="宋体" w:cs="宋体"/>
          <w:sz w:val="24"/>
          <w:szCs w:val="24"/>
          <w:lang w:val="en-US" w:eastAsia="zh-CN"/>
        </w:rPr>
        <w:t>3</w:t>
      </w:r>
      <w:r>
        <w:rPr>
          <w:rFonts w:hint="default" w:ascii="宋体" w:hAnsi="宋体" w:eastAsia="宋体" w:cs="宋体"/>
          <w:sz w:val="24"/>
          <w:szCs w:val="24"/>
          <w:lang w:val="en-US" w:eastAsia="zh-CN"/>
        </w:rPr>
        <w:t>）市级验收须按要求配齐跨行业专家，满足评审需要。</w:t>
      </w:r>
    </w:p>
    <w:p w14:paraId="04920F4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2.设备配置</w:t>
      </w:r>
    </w:p>
    <w:p w14:paraId="2070C8D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配备满足外业调查所需设备：GPS 定位仪、土壤采样工具、数码相机、无人机（用于大范围核查与影像获取）、样品存储与转运设备、数据处理设备等，并确保设备定期校验、状态完好。</w:t>
      </w:r>
    </w:p>
    <w:p w14:paraId="2609C73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2" w:firstLineChars="200"/>
        <w:textAlignment w:val="auto"/>
        <w:outlineLvl w:val="9"/>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（二）项目实施要求</w:t>
      </w:r>
    </w:p>
    <w:p w14:paraId="6C165677">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1.合同签订后10 个工作日内，向采购人提交《补充耕地质量验收工作方案》，须包含市级审核流程、审核清单、质量管控、进度计划、安全保密等独立章节。</w:t>
      </w:r>
    </w:p>
    <w:p w14:paraId="01E87A8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2.按“季度接收、年度集中”原则接收区级初鉴材料，自接收之日起30日内完成市级鉴定并出具专家意见。</w:t>
      </w:r>
    </w:p>
    <w:p w14:paraId="499B706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3.依法依规独立开展工作，对成果真实性、准确性、完整性负全责；服从采购人调度，按期保质完成任务，按省级抽核意见落实整改复核。</w:t>
      </w:r>
    </w:p>
    <w:p w14:paraId="7ADC47D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4.全过程真实记录、完整留痕，做好资料归集、存档、保密管理；项目数据、记录、成果所有权与使用权归采购人所有，未经许可不得对外发布、使用。</w:t>
      </w:r>
    </w:p>
    <w:p w14:paraId="1D50A3B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5.严禁擅自变更采样点位、更换样品、出具虚假报告（鉴定意见）；严禁玩忽职守、滥用职权、徇私舞弊、弄虚作假、干预验收、泄露秘密。违者通报相关部门，依法依规追究责任。</w:t>
      </w:r>
    </w:p>
    <w:p w14:paraId="03C233B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2" w:firstLineChars="200"/>
        <w:textAlignment w:val="auto"/>
        <w:outlineLvl w:val="9"/>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（三）专家组成要求</w:t>
      </w:r>
    </w:p>
    <w:p w14:paraId="2F7C88D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验收专家组由采购人从市级及以上补充耕地质量验收专家库随机抽取，人数为5 人及以上单数，省级专家人数须多于市级专家；回避承担本次市级鉴定、区级初鉴的机构及关联专家。专业覆盖：土壤、水利、生态环境（环境监测）、农业、地理信息（测绘）等，均须具备副高级及以上职称。</w:t>
      </w:r>
    </w:p>
    <w:p w14:paraId="3E22EB0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2" w:firstLineChars="200"/>
        <w:textAlignment w:val="auto"/>
        <w:outlineLvl w:val="9"/>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（四）分包要求</w:t>
      </w:r>
    </w:p>
    <w:p w14:paraId="0B2EC793">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1.中标人可将样品制备流转、内业测试化验依法分包，须履行分包报备程序，分包不免除中标人主体责任。</w:t>
      </w:r>
    </w:p>
    <w:p w14:paraId="28F63AC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2.样品制备与检测执行制检分离，由不同检测实验室分别承担。</w:t>
      </w:r>
    </w:p>
    <w:p w14:paraId="4ECC5BA9">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3.检测实验室须同时具备：</w:t>
      </w:r>
    </w:p>
    <w:p w14:paraId="6741AAC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（1）国家或省级市场监管部门颁发的检验检测机构资质认定证书（CMA）及附表</w:t>
      </w:r>
      <w:r>
        <w:rPr>
          <w:rFonts w:hint="eastAsia" w:ascii="宋体" w:hAnsi="宋体" w:cs="宋体"/>
          <w:sz w:val="24"/>
          <w:szCs w:val="24"/>
          <w:lang w:val="en-US" w:eastAsia="zh-CN"/>
        </w:rPr>
        <w:t>，须具备补充耕地质量鉴定的全部理化性状指标的检测资质</w:t>
      </w:r>
      <w:r>
        <w:rPr>
          <w:rFonts w:hint="default" w:ascii="宋体" w:hAnsi="宋体" w:eastAsia="宋体" w:cs="宋体"/>
          <w:sz w:val="24"/>
          <w:szCs w:val="24"/>
          <w:lang w:val="en-US" w:eastAsia="zh-CN"/>
        </w:rPr>
        <w:t>；</w:t>
      </w:r>
    </w:p>
    <w:p w14:paraId="66ADF89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（2）国家或省级农业农村部门颁发的农产品质量安全检测机构考核合格证书。</w:t>
      </w:r>
    </w:p>
    <w:p w14:paraId="3534F54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2" w:firstLineChars="200"/>
        <w:textAlignment w:val="auto"/>
        <w:outlineLvl w:val="9"/>
        <w:rPr>
          <w:rFonts w:hint="default" w:ascii="宋体" w:hAnsi="宋体" w:eastAsia="宋体" w:cs="宋体"/>
          <w:b/>
          <w:bCs/>
          <w:sz w:val="24"/>
          <w:szCs w:val="24"/>
          <w:lang w:val="en-US" w:eastAsia="zh-CN"/>
        </w:rPr>
      </w:pPr>
      <w:r>
        <w:rPr>
          <w:rFonts w:hint="default" w:ascii="宋体" w:hAnsi="宋体" w:eastAsia="宋体" w:cs="宋体"/>
          <w:b/>
          <w:bCs/>
          <w:sz w:val="24"/>
          <w:szCs w:val="24"/>
          <w:lang w:val="en-US" w:eastAsia="zh-CN"/>
        </w:rPr>
        <w:t>（五）服务管理要求</w:t>
      </w:r>
    </w:p>
    <w:p w14:paraId="01BB9A4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1.机构须具备健全组织架构、内部管理制度、完善质量保证体系、技术经济档案管理制度，信誉良好、无不良履约记录。</w:t>
      </w:r>
    </w:p>
    <w:p w14:paraId="48F9087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2.熟悉国家及广东省耕地质量相关法律法规、政策标准，具备同类项目服务经验。</w:t>
      </w:r>
    </w:p>
    <w:p w14:paraId="01C8608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3.恪守独立、客观、公正原则，廉洁自律、忠于职守、严守纪律。</w:t>
      </w:r>
    </w:p>
    <w:p w14:paraId="1B3E922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4.中标单位不得同时承担本市各区补充耕地质量验收初鉴服务。</w:t>
      </w:r>
    </w:p>
    <w:p w14:paraId="1E5948B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5.严格履行保密义务，未经许可不得泄露工作中获取的涉密信息、业务资料、数据成果。</w:t>
      </w:r>
    </w:p>
    <w:p w14:paraId="4D41F34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6.项目团队一经确定，原则上不得变更；确需变更须经采购人书面同意；对不胜任人员，按采购人要求及时更换。</w:t>
      </w:r>
    </w:p>
    <w:p w14:paraId="3AFE2D9F">
      <w:pPr>
        <w:keepNext w:val="0"/>
        <w:keepLines w:val="0"/>
        <w:pageBreakBefore w:val="0"/>
        <w:tabs>
          <w:tab w:val="left" w:pos="180"/>
        </w:tabs>
        <w:kinsoku/>
        <w:wordWrap/>
        <w:overflowPunct/>
        <w:topLinePunct w:val="0"/>
        <w:autoSpaceDE/>
        <w:autoSpaceDN/>
        <w:bidi w:val="0"/>
        <w:snapToGrid w:val="0"/>
        <w:spacing w:line="360" w:lineRule="auto"/>
        <w:ind w:firstLine="482" w:firstLineChars="200"/>
        <w:jc w:val="both"/>
        <w:textAlignment w:val="auto"/>
        <w:rPr>
          <w:rFonts w:hint="default" w:ascii="宋体" w:hAnsi="宋体" w:eastAsia="宋体" w:cs="宋体"/>
          <w:b/>
          <w:sz w:val="24"/>
          <w:szCs w:val="24"/>
          <w:lang w:val="en-US" w:eastAsia="zh-CN"/>
        </w:rPr>
      </w:pPr>
      <w:r>
        <w:rPr>
          <w:rFonts w:hint="eastAsia" w:ascii="宋体" w:hAnsi="宋体" w:cs="宋体"/>
          <w:b/>
          <w:sz w:val="24"/>
          <w:szCs w:val="24"/>
          <w:lang w:val="en-US" w:eastAsia="zh-CN"/>
        </w:rPr>
        <w:t>四</w:t>
      </w:r>
      <w:r>
        <w:rPr>
          <w:rFonts w:hint="eastAsia" w:ascii="宋体" w:hAnsi="宋体" w:eastAsia="宋体" w:cs="宋体"/>
          <w:b/>
          <w:sz w:val="24"/>
          <w:szCs w:val="24"/>
          <w:lang w:val="en-US" w:eastAsia="zh-CN"/>
        </w:rPr>
        <w:t>、报价要求</w:t>
      </w:r>
    </w:p>
    <w:p w14:paraId="6BF71C0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firstLine="720" w:firstLineChars="300"/>
        <w:textAlignment w:val="auto"/>
        <w:outlineLvl w:val="9"/>
        <w:rPr>
          <w:rFonts w:hint="eastAsia" w:ascii="宋体" w:hAnsi="宋体" w:eastAsia="宋体" w:cs="宋体"/>
          <w:sz w:val="24"/>
          <w:szCs w:val="24"/>
          <w:lang w:eastAsia="zh-CN"/>
        </w:rPr>
      </w:pPr>
      <w:r>
        <w:rPr>
          <w:rFonts w:hint="eastAsia" w:ascii="宋体" w:hAnsi="宋体" w:eastAsia="宋体" w:cs="宋体"/>
          <w:color w:val="auto"/>
          <w:sz w:val="24"/>
          <w:szCs w:val="24"/>
          <w:lang w:eastAsia="zh-CN"/>
        </w:rPr>
        <w:t>对单个评价单元进行</w:t>
      </w:r>
      <w:r>
        <w:rPr>
          <w:rFonts w:hint="eastAsia" w:ascii="宋体" w:hAnsi="宋体" w:cs="宋体"/>
          <w:color w:val="auto"/>
          <w:sz w:val="24"/>
          <w:szCs w:val="24"/>
          <w:lang w:val="en-US" w:eastAsia="zh-CN"/>
        </w:rPr>
        <w:t>单价报价</w:t>
      </w:r>
      <w:r>
        <w:rPr>
          <w:rFonts w:hint="eastAsia" w:ascii="宋体" w:hAnsi="宋体" w:eastAsia="宋体" w:cs="宋体"/>
          <w:sz w:val="24"/>
          <w:szCs w:val="24"/>
          <w:lang w:eastAsia="zh-CN"/>
        </w:rPr>
        <w:t>，</w:t>
      </w:r>
      <w:r>
        <w:rPr>
          <w:rFonts w:hint="eastAsia" w:ascii="宋体" w:hAnsi="宋体" w:cs="宋体"/>
          <w:sz w:val="24"/>
          <w:szCs w:val="24"/>
          <w:lang w:val="en-US" w:eastAsia="zh-CN"/>
        </w:rPr>
        <w:t>报价</w:t>
      </w:r>
      <w:r>
        <w:rPr>
          <w:rFonts w:hint="eastAsia" w:ascii="宋体" w:hAnsi="宋体" w:eastAsia="宋体" w:cs="宋体"/>
          <w:sz w:val="24"/>
          <w:szCs w:val="24"/>
          <w:lang w:eastAsia="zh-CN"/>
        </w:rPr>
        <w:t>应包括内业审核、现场踏勘、样品采集、检测费、专家费、质量核算等分项明细。</w:t>
      </w:r>
    </w:p>
    <w:p w14:paraId="64203B0D">
      <w:pPr>
        <w:keepNext w:val="0"/>
        <w:keepLines w:val="0"/>
        <w:pageBreakBefore w:val="0"/>
        <w:widowControl w:val="0"/>
        <w:tabs>
          <w:tab w:val="left" w:pos="312"/>
        </w:tabs>
        <w:kinsoku/>
        <w:wordWrap/>
        <w:overflowPunct/>
        <w:topLinePunct w:val="0"/>
        <w:autoSpaceDE/>
        <w:autoSpaceDN/>
        <w:bidi w:val="0"/>
        <w:spacing w:line="360" w:lineRule="auto"/>
        <w:ind w:left="495"/>
        <w:jc w:val="both"/>
        <w:textAlignment w:val="auto"/>
        <w:rPr>
          <w:rFonts w:hint="eastAsia" w:ascii="宋体" w:hAnsi="宋体" w:eastAsia="宋体" w:cs="宋体"/>
          <w:sz w:val="24"/>
          <w:szCs w:val="24"/>
          <w:lang w:eastAsia="zh-CN"/>
        </w:rPr>
      </w:pPr>
    </w:p>
    <w:sectPr>
      <w:pgSz w:w="11906" w:h="16838"/>
      <w:pgMar w:top="1440" w:right="155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86B28"/>
    <w:rsid w:val="00003532"/>
    <w:rsid w:val="000116ED"/>
    <w:rsid w:val="00012BFF"/>
    <w:rsid w:val="00051E7A"/>
    <w:rsid w:val="00064872"/>
    <w:rsid w:val="000740A5"/>
    <w:rsid w:val="00085DE7"/>
    <w:rsid w:val="00093A07"/>
    <w:rsid w:val="00093B9B"/>
    <w:rsid w:val="00093FCE"/>
    <w:rsid w:val="000A10B4"/>
    <w:rsid w:val="000A7A5B"/>
    <w:rsid w:val="000E280E"/>
    <w:rsid w:val="000E2CCD"/>
    <w:rsid w:val="000E69C9"/>
    <w:rsid w:val="00133DD8"/>
    <w:rsid w:val="0017179F"/>
    <w:rsid w:val="00180F92"/>
    <w:rsid w:val="001865B2"/>
    <w:rsid w:val="00186B28"/>
    <w:rsid w:val="001A62FA"/>
    <w:rsid w:val="001C77C2"/>
    <w:rsid w:val="001E5323"/>
    <w:rsid w:val="001F5BC0"/>
    <w:rsid w:val="001F795F"/>
    <w:rsid w:val="002118CD"/>
    <w:rsid w:val="00221402"/>
    <w:rsid w:val="002244D0"/>
    <w:rsid w:val="002307F3"/>
    <w:rsid w:val="0026234E"/>
    <w:rsid w:val="00282639"/>
    <w:rsid w:val="002A04EE"/>
    <w:rsid w:val="002B4B2F"/>
    <w:rsid w:val="002D66F7"/>
    <w:rsid w:val="002E0EA4"/>
    <w:rsid w:val="002E62E4"/>
    <w:rsid w:val="003027E9"/>
    <w:rsid w:val="0031646D"/>
    <w:rsid w:val="00350419"/>
    <w:rsid w:val="00355FF9"/>
    <w:rsid w:val="00377E5B"/>
    <w:rsid w:val="003A1629"/>
    <w:rsid w:val="003B2A8A"/>
    <w:rsid w:val="003B405A"/>
    <w:rsid w:val="003B5667"/>
    <w:rsid w:val="003D18CF"/>
    <w:rsid w:val="003E4F6F"/>
    <w:rsid w:val="003F5EC4"/>
    <w:rsid w:val="003F6516"/>
    <w:rsid w:val="003F6C34"/>
    <w:rsid w:val="004617EE"/>
    <w:rsid w:val="004630FB"/>
    <w:rsid w:val="004C1C14"/>
    <w:rsid w:val="004C4557"/>
    <w:rsid w:val="004C7004"/>
    <w:rsid w:val="004E1C0C"/>
    <w:rsid w:val="004E204E"/>
    <w:rsid w:val="004F2A8D"/>
    <w:rsid w:val="005301D1"/>
    <w:rsid w:val="00537E4E"/>
    <w:rsid w:val="00552FF3"/>
    <w:rsid w:val="005751C1"/>
    <w:rsid w:val="00580C0E"/>
    <w:rsid w:val="005C7EE1"/>
    <w:rsid w:val="005F03A7"/>
    <w:rsid w:val="00606580"/>
    <w:rsid w:val="006104A7"/>
    <w:rsid w:val="00620749"/>
    <w:rsid w:val="00637AC5"/>
    <w:rsid w:val="006B22D8"/>
    <w:rsid w:val="006D5881"/>
    <w:rsid w:val="00701FAE"/>
    <w:rsid w:val="00704176"/>
    <w:rsid w:val="00752AE2"/>
    <w:rsid w:val="007A0A54"/>
    <w:rsid w:val="007C156D"/>
    <w:rsid w:val="007F1716"/>
    <w:rsid w:val="007F3947"/>
    <w:rsid w:val="0083729E"/>
    <w:rsid w:val="00841B0D"/>
    <w:rsid w:val="00850CF0"/>
    <w:rsid w:val="00850FAE"/>
    <w:rsid w:val="00860BB3"/>
    <w:rsid w:val="00861B88"/>
    <w:rsid w:val="00871D92"/>
    <w:rsid w:val="00873201"/>
    <w:rsid w:val="00877992"/>
    <w:rsid w:val="00892FD1"/>
    <w:rsid w:val="008B440A"/>
    <w:rsid w:val="00933BEB"/>
    <w:rsid w:val="0093709A"/>
    <w:rsid w:val="009C1538"/>
    <w:rsid w:val="009C21DE"/>
    <w:rsid w:val="009D3740"/>
    <w:rsid w:val="009D4E55"/>
    <w:rsid w:val="009F0066"/>
    <w:rsid w:val="009F0DF6"/>
    <w:rsid w:val="009F1018"/>
    <w:rsid w:val="009F3E84"/>
    <w:rsid w:val="00A0540C"/>
    <w:rsid w:val="00A16CFB"/>
    <w:rsid w:val="00A2584D"/>
    <w:rsid w:val="00A30CBA"/>
    <w:rsid w:val="00A33A4A"/>
    <w:rsid w:val="00A50900"/>
    <w:rsid w:val="00A55D81"/>
    <w:rsid w:val="00A7757B"/>
    <w:rsid w:val="00A86CAB"/>
    <w:rsid w:val="00A9588C"/>
    <w:rsid w:val="00AC4ADC"/>
    <w:rsid w:val="00B03788"/>
    <w:rsid w:val="00B14250"/>
    <w:rsid w:val="00B22D81"/>
    <w:rsid w:val="00B25F4B"/>
    <w:rsid w:val="00B45458"/>
    <w:rsid w:val="00B455E7"/>
    <w:rsid w:val="00B673F0"/>
    <w:rsid w:val="00B8331C"/>
    <w:rsid w:val="00B86272"/>
    <w:rsid w:val="00BD58A8"/>
    <w:rsid w:val="00BE2E95"/>
    <w:rsid w:val="00BE5466"/>
    <w:rsid w:val="00C05B11"/>
    <w:rsid w:val="00C149DF"/>
    <w:rsid w:val="00C477C0"/>
    <w:rsid w:val="00C5039A"/>
    <w:rsid w:val="00C6706E"/>
    <w:rsid w:val="00C71550"/>
    <w:rsid w:val="00C7355D"/>
    <w:rsid w:val="00C8350C"/>
    <w:rsid w:val="00C948F1"/>
    <w:rsid w:val="00CA4E0D"/>
    <w:rsid w:val="00CB4BCC"/>
    <w:rsid w:val="00CE1F08"/>
    <w:rsid w:val="00CF226D"/>
    <w:rsid w:val="00D030C8"/>
    <w:rsid w:val="00D1001B"/>
    <w:rsid w:val="00D2352F"/>
    <w:rsid w:val="00D3663D"/>
    <w:rsid w:val="00D42496"/>
    <w:rsid w:val="00D727E6"/>
    <w:rsid w:val="00D84510"/>
    <w:rsid w:val="00D9406C"/>
    <w:rsid w:val="00DA33FF"/>
    <w:rsid w:val="00DC4522"/>
    <w:rsid w:val="00DF4F9C"/>
    <w:rsid w:val="00E27A59"/>
    <w:rsid w:val="00E36FB6"/>
    <w:rsid w:val="00E63E7C"/>
    <w:rsid w:val="00E67BEF"/>
    <w:rsid w:val="00E8376A"/>
    <w:rsid w:val="00EB5213"/>
    <w:rsid w:val="00EC1764"/>
    <w:rsid w:val="00EC1AB1"/>
    <w:rsid w:val="00ED60F1"/>
    <w:rsid w:val="00EF074D"/>
    <w:rsid w:val="00F03E68"/>
    <w:rsid w:val="00F14787"/>
    <w:rsid w:val="00F22077"/>
    <w:rsid w:val="00F2338A"/>
    <w:rsid w:val="00F424A0"/>
    <w:rsid w:val="00F62743"/>
    <w:rsid w:val="00F807A8"/>
    <w:rsid w:val="00F8253F"/>
    <w:rsid w:val="00F90037"/>
    <w:rsid w:val="00F94774"/>
    <w:rsid w:val="00FD5C12"/>
    <w:rsid w:val="00FE7E3B"/>
    <w:rsid w:val="00FF52F7"/>
    <w:rsid w:val="00FF7E21"/>
    <w:rsid w:val="022D2938"/>
    <w:rsid w:val="08C2594B"/>
    <w:rsid w:val="12487DC7"/>
    <w:rsid w:val="21AD6970"/>
    <w:rsid w:val="2677074C"/>
    <w:rsid w:val="300775CA"/>
    <w:rsid w:val="46F13A07"/>
    <w:rsid w:val="4FE80D17"/>
    <w:rsid w:val="5043505A"/>
    <w:rsid w:val="5A2450EA"/>
    <w:rsid w:val="610C68D8"/>
    <w:rsid w:val="681542C4"/>
    <w:rsid w:val="6F3C6B1E"/>
    <w:rsid w:val="71850312"/>
    <w:rsid w:val="7AE24110"/>
    <w:rsid w:val="7B6401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0"/>
      <w:sz w:val="24"/>
      <w:szCs w:val="20"/>
      <w:lang w:val="en-US" w:eastAsia="en-US"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left="720"/>
    </w:pPr>
  </w:style>
  <w:style w:type="character" w:customStyle="1" w:styleId="11">
    <w:name w:val="页眉 字符"/>
    <w:basedOn w:val="8"/>
    <w:link w:val="5"/>
    <w:qFormat/>
    <w:uiPriority w:val="99"/>
    <w:rPr>
      <w:rFonts w:ascii="Calibri" w:hAnsi="Calibri" w:eastAsia="宋体" w:cs="Times New Roman"/>
      <w:kern w:val="0"/>
      <w:sz w:val="18"/>
      <w:szCs w:val="18"/>
      <w:lang w:eastAsia="en-US"/>
    </w:rPr>
  </w:style>
  <w:style w:type="character" w:customStyle="1" w:styleId="12">
    <w:name w:val="页脚 字符"/>
    <w:basedOn w:val="8"/>
    <w:link w:val="4"/>
    <w:qFormat/>
    <w:uiPriority w:val="99"/>
    <w:rPr>
      <w:rFonts w:ascii="Calibri" w:hAnsi="Calibri" w:eastAsia="宋体" w:cs="Times New Roman"/>
      <w:kern w:val="0"/>
      <w:sz w:val="18"/>
      <w:szCs w:val="18"/>
      <w:lang w:eastAsia="en-US"/>
    </w:rPr>
  </w:style>
  <w:style w:type="character" w:customStyle="1" w:styleId="13">
    <w:name w:val="批注文字 字符"/>
    <w:basedOn w:val="8"/>
    <w:link w:val="2"/>
    <w:semiHidden/>
    <w:qFormat/>
    <w:uiPriority w:val="99"/>
    <w:rPr>
      <w:rFonts w:ascii="Calibri" w:hAnsi="Calibri" w:eastAsia="宋体" w:cs="Times New Roman"/>
      <w:kern w:val="0"/>
      <w:sz w:val="24"/>
      <w:szCs w:val="20"/>
      <w:lang w:eastAsia="en-US"/>
    </w:rPr>
  </w:style>
  <w:style w:type="character" w:customStyle="1" w:styleId="14">
    <w:name w:val="批注主题 字符"/>
    <w:basedOn w:val="13"/>
    <w:link w:val="6"/>
    <w:semiHidden/>
    <w:qFormat/>
    <w:uiPriority w:val="99"/>
    <w:rPr>
      <w:rFonts w:ascii="Calibri" w:hAnsi="Calibri" w:eastAsia="宋体" w:cs="Times New Roman"/>
      <w:b/>
      <w:bCs/>
      <w:kern w:val="0"/>
      <w:sz w:val="24"/>
      <w:szCs w:val="20"/>
      <w:lang w:eastAsia="en-US"/>
    </w:rPr>
  </w:style>
  <w:style w:type="character" w:customStyle="1" w:styleId="15">
    <w:name w:val="批注框文本 字符"/>
    <w:basedOn w:val="8"/>
    <w:link w:val="3"/>
    <w:semiHidden/>
    <w:qFormat/>
    <w:uiPriority w:val="99"/>
    <w:rPr>
      <w:rFonts w:ascii="Calibri" w:hAnsi="Calibri"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MSPRC</Company>
  <Pages>4</Pages>
  <Words>2068</Words>
  <Characters>2110</Characters>
  <Lines>28</Lines>
  <Paragraphs>8</Paragraphs>
  <TotalTime>10</TotalTime>
  <ScaleCrop>false</ScaleCrop>
  <LinksUpToDate>false</LinksUpToDate>
  <CharactersWithSpaces>2115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2019-11-15T02:44:00Z</dcterms:created>
  <dc:creator>lj</dc:creator>
  <cp:lastModifiedBy>张亮</cp:lastModifiedBy>
  <dcterms:modified xsi:type="dcterms:W3CDTF">2026-06-17T11:18:38Z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eyJoZGlkIjoiZDc2ZDg5OTczMjZmOGUzNmY3YThhNTQzNzQ4Yzg5OGMiLCJ1c2VySWQiOiI1NDM0MjQ3MjQifQ==</vt:lpwstr>
  </property>
  <property fmtid="{D5CDD505-2E9C-101B-9397-08002B2CF9AE}" pid="3" name="KSOProductBuildVer">
    <vt:lpwstr>2052-12.1.0.26895</vt:lpwstr>
  </property>
  <property fmtid="{D5CDD505-2E9C-101B-9397-08002B2CF9AE}" pid="4" name="ICV">
    <vt:lpwstr>6C591ED81B174F15A6521FD1D8489D3E_12</vt:lpwstr>
  </property>
</Properties>
</file>