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EC845">
      <w:pPr>
        <w:keepNext w:val="0"/>
        <w:keepLines w:val="0"/>
        <w:pageBreakBefore w:val="0"/>
        <w:kinsoku/>
        <w:overflowPunct/>
        <w:topLinePunct w:val="0"/>
        <w:autoSpaceDE/>
        <w:autoSpaceDN/>
        <w:bidi w:val="0"/>
        <w:adjustRightInd w:val="0"/>
        <w:snapToGrid w:val="0"/>
        <w:spacing w:line="360" w:lineRule="auto"/>
        <w:rPr>
          <w:rFonts w:hint="eastAsia" w:ascii="宋体" w:hAnsi="宋体" w:eastAsia="宋体" w:cs="宋体"/>
          <w:color w:val="auto"/>
          <w:sz w:val="32"/>
          <w:szCs w:val="32"/>
          <w:highlight w:val="none"/>
          <w:lang w:val="en-GB"/>
        </w:rPr>
      </w:pPr>
      <w:bookmarkStart w:id="0" w:name="_Hlk75950588"/>
      <w:r>
        <w:rPr>
          <w:rFonts w:hint="eastAsia" w:ascii="宋体" w:hAnsi="宋体" w:eastAsia="宋体" w:cs="宋体"/>
          <w:color w:val="auto"/>
          <w:sz w:val="32"/>
          <w:szCs w:val="32"/>
          <w:highlight w:val="none"/>
        </w:rPr>
        <w:drawing>
          <wp:inline distT="0" distB="0" distL="114300" distR="114300">
            <wp:extent cx="1390015" cy="667385"/>
            <wp:effectExtent l="0" t="0" r="635" b="1841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2"/>
                    <a:stretch>
                      <a:fillRect/>
                    </a:stretch>
                  </pic:blipFill>
                  <pic:spPr>
                    <a:xfrm>
                      <a:off x="0" y="0"/>
                      <a:ext cx="1390015" cy="667385"/>
                    </a:xfrm>
                    <a:prstGeom prst="rect">
                      <a:avLst/>
                    </a:prstGeom>
                    <a:noFill/>
                    <a:ln>
                      <a:noFill/>
                    </a:ln>
                  </pic:spPr>
                </pic:pic>
              </a:graphicData>
            </a:graphic>
          </wp:inline>
        </w:drawing>
      </w:r>
    </w:p>
    <w:p w14:paraId="5ABEB682">
      <w:pPr>
        <w:pStyle w:val="2"/>
        <w:keepNext w:val="0"/>
        <w:keepLines w:val="0"/>
        <w:pageBreakBefore w:val="0"/>
        <w:kinsoku/>
        <w:overflowPunct/>
        <w:topLinePunct w:val="0"/>
        <w:autoSpaceDE/>
        <w:autoSpaceDN/>
        <w:bidi w:val="0"/>
        <w:spacing w:line="360" w:lineRule="auto"/>
        <w:rPr>
          <w:rFonts w:hint="eastAsia" w:ascii="宋体" w:hAnsi="宋体" w:eastAsia="宋体" w:cs="宋体"/>
          <w:color w:val="auto"/>
          <w:sz w:val="28"/>
          <w:szCs w:val="28"/>
          <w:highlight w:val="none"/>
        </w:rPr>
      </w:pPr>
    </w:p>
    <w:p w14:paraId="75E6FC44">
      <w:pPr>
        <w:pStyle w:val="2"/>
        <w:keepNext w:val="0"/>
        <w:keepLines w:val="0"/>
        <w:pageBreakBefore w:val="0"/>
        <w:kinsoku/>
        <w:overflowPunct/>
        <w:topLinePunct w:val="0"/>
        <w:autoSpaceDE/>
        <w:autoSpaceDN/>
        <w:bidi w:val="0"/>
        <w:spacing w:line="360" w:lineRule="auto"/>
        <w:rPr>
          <w:rFonts w:hint="eastAsia" w:ascii="宋体" w:hAnsi="宋体" w:eastAsia="宋体" w:cs="宋体"/>
          <w:color w:val="auto"/>
          <w:sz w:val="28"/>
          <w:szCs w:val="28"/>
          <w:highlight w:val="none"/>
        </w:rPr>
      </w:pPr>
    </w:p>
    <w:p w14:paraId="658B0569">
      <w:pPr>
        <w:pStyle w:val="2"/>
        <w:keepNext w:val="0"/>
        <w:keepLines w:val="0"/>
        <w:pageBreakBefore w:val="0"/>
        <w:kinsoku/>
        <w:overflowPunct/>
        <w:topLinePunct w:val="0"/>
        <w:autoSpaceDE/>
        <w:autoSpaceDN/>
        <w:bidi w:val="0"/>
        <w:spacing w:line="360" w:lineRule="auto"/>
        <w:rPr>
          <w:rFonts w:hint="eastAsia" w:ascii="宋体" w:hAnsi="宋体" w:eastAsia="宋体" w:cs="宋体"/>
          <w:color w:val="auto"/>
          <w:sz w:val="28"/>
          <w:szCs w:val="28"/>
          <w:highlight w:val="none"/>
        </w:rPr>
      </w:pPr>
    </w:p>
    <w:p w14:paraId="491A2A2D">
      <w:pPr>
        <w:pStyle w:val="2"/>
        <w:keepNext w:val="0"/>
        <w:keepLines w:val="0"/>
        <w:pageBreakBefore w:val="0"/>
        <w:kinsoku/>
        <w:overflowPunct/>
        <w:topLinePunct w:val="0"/>
        <w:autoSpaceDE/>
        <w:autoSpaceDN/>
        <w:bidi w:val="0"/>
        <w:spacing w:line="360" w:lineRule="auto"/>
        <w:rPr>
          <w:rFonts w:hint="eastAsia" w:ascii="宋体" w:hAnsi="宋体" w:eastAsia="宋体" w:cs="宋体"/>
          <w:color w:val="auto"/>
          <w:sz w:val="28"/>
          <w:szCs w:val="28"/>
          <w:highlight w:val="none"/>
        </w:rPr>
      </w:pPr>
    </w:p>
    <w:p w14:paraId="28C50FFD">
      <w:pPr>
        <w:keepNext w:val="0"/>
        <w:keepLines w:val="0"/>
        <w:pageBreakBefore w:val="0"/>
        <w:kinsoku/>
        <w:overflowPunct/>
        <w:topLinePunct w:val="0"/>
        <w:autoSpaceDE/>
        <w:autoSpaceDN/>
        <w:bidi w:val="0"/>
        <w:adjustRightInd w:val="0"/>
        <w:snapToGrid w:val="0"/>
        <w:spacing w:line="360" w:lineRule="auto"/>
        <w:jc w:val="center"/>
        <w:rPr>
          <w:rFonts w:hint="eastAsia" w:ascii="宋体" w:hAnsi="宋体" w:eastAsia="宋体" w:cs="宋体"/>
          <w:b/>
          <w:bCs/>
          <w:color w:val="auto"/>
          <w:sz w:val="52"/>
          <w:szCs w:val="52"/>
          <w:highlight w:val="none"/>
          <w:lang w:eastAsia="zh-CN"/>
        </w:rPr>
      </w:pPr>
      <w:r>
        <w:rPr>
          <w:rFonts w:hint="eastAsia" w:ascii="宋体" w:hAnsi="宋体" w:eastAsia="宋体" w:cs="宋体"/>
          <w:b/>
          <w:bCs/>
          <w:color w:val="auto"/>
          <w:sz w:val="52"/>
          <w:szCs w:val="52"/>
          <w:highlight w:val="none"/>
          <w:lang w:eastAsia="zh-CN"/>
        </w:rPr>
        <w:t>公开招标文件</w:t>
      </w:r>
    </w:p>
    <w:p w14:paraId="4330C680">
      <w:pPr>
        <w:pStyle w:val="2"/>
        <w:keepNext w:val="0"/>
        <w:keepLines w:val="0"/>
        <w:pageBreakBefore w:val="0"/>
        <w:kinsoku/>
        <w:overflowPunct/>
        <w:topLinePunct w:val="0"/>
        <w:autoSpaceDE/>
        <w:autoSpaceDN/>
        <w:bidi w:val="0"/>
        <w:spacing w:line="360" w:lineRule="auto"/>
        <w:rPr>
          <w:rFonts w:hint="eastAsia" w:ascii="宋体" w:hAnsi="宋体" w:eastAsia="宋体" w:cs="宋体"/>
          <w:color w:val="auto"/>
          <w:sz w:val="28"/>
          <w:szCs w:val="28"/>
          <w:highlight w:val="none"/>
        </w:rPr>
      </w:pPr>
    </w:p>
    <w:p w14:paraId="2142C1DD">
      <w:pPr>
        <w:pStyle w:val="2"/>
        <w:keepNext w:val="0"/>
        <w:keepLines w:val="0"/>
        <w:pageBreakBefore w:val="0"/>
        <w:kinsoku/>
        <w:overflowPunct/>
        <w:topLinePunct w:val="0"/>
        <w:autoSpaceDE/>
        <w:autoSpaceDN/>
        <w:bidi w:val="0"/>
        <w:spacing w:line="360" w:lineRule="auto"/>
        <w:rPr>
          <w:rFonts w:hint="eastAsia" w:ascii="宋体" w:hAnsi="宋体" w:eastAsia="宋体" w:cs="宋体"/>
          <w:color w:val="auto"/>
          <w:sz w:val="28"/>
          <w:szCs w:val="28"/>
          <w:highlight w:val="none"/>
        </w:rPr>
      </w:pPr>
    </w:p>
    <w:p w14:paraId="50968861">
      <w:pPr>
        <w:pStyle w:val="2"/>
        <w:keepNext w:val="0"/>
        <w:keepLines w:val="0"/>
        <w:pageBreakBefore w:val="0"/>
        <w:kinsoku/>
        <w:overflowPunct/>
        <w:topLinePunct w:val="0"/>
        <w:autoSpaceDE/>
        <w:autoSpaceDN/>
        <w:bidi w:val="0"/>
        <w:spacing w:line="360" w:lineRule="auto"/>
        <w:rPr>
          <w:rFonts w:hint="eastAsia" w:ascii="宋体" w:hAnsi="宋体" w:eastAsia="宋体" w:cs="宋体"/>
          <w:color w:val="auto"/>
          <w:sz w:val="28"/>
          <w:szCs w:val="28"/>
          <w:highlight w:val="none"/>
        </w:rPr>
      </w:pPr>
    </w:p>
    <w:tbl>
      <w:tblPr>
        <w:tblStyle w:val="35"/>
        <w:tblW w:w="4911"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49"/>
        <w:gridCol w:w="7830"/>
      </w:tblGrid>
      <w:tr w14:paraId="1377C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55" w:type="pct"/>
            <w:vAlign w:val="center"/>
          </w:tcPr>
          <w:p w14:paraId="2F724C5C">
            <w:pPr>
              <w:keepNext w:val="0"/>
              <w:keepLines w:val="0"/>
              <w:pageBreakBefore w:val="0"/>
              <w:kinsoku/>
              <w:overflowPunct/>
              <w:topLinePunct w:val="0"/>
              <w:autoSpaceDE/>
              <w:autoSpaceDN/>
              <w:bidi w:val="0"/>
              <w:adjustRightInd w:val="0"/>
              <w:snapToGrid w:val="0"/>
              <w:spacing w:line="360" w:lineRule="auto"/>
              <w:jc w:val="right"/>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项目编号：</w:t>
            </w:r>
          </w:p>
        </w:tc>
        <w:tc>
          <w:tcPr>
            <w:tcW w:w="4044" w:type="pct"/>
            <w:vAlign w:val="center"/>
          </w:tcPr>
          <w:p w14:paraId="53D1201C">
            <w:pPr>
              <w:keepNext w:val="0"/>
              <w:keepLines w:val="0"/>
              <w:pageBreakBefore w:val="0"/>
              <w:kinsoku/>
              <w:overflowPunct/>
              <w:topLinePunct w:val="0"/>
              <w:autoSpaceDE/>
              <w:autoSpaceDN/>
              <w:bidi w:val="0"/>
              <w:adjustRightInd w:val="0"/>
              <w:snapToGrid w:val="0"/>
              <w:spacing w:line="360" w:lineRule="auto"/>
              <w:jc w:val="left"/>
              <w:rPr>
                <w:rFonts w:hint="eastAsia" w:ascii="宋体" w:hAnsi="宋体" w:eastAsia="宋体" w:cs="宋体"/>
                <w:b/>
                <w:bCs/>
                <w:color w:val="auto"/>
                <w:sz w:val="28"/>
                <w:szCs w:val="28"/>
                <w:highlight w:val="none"/>
                <w:lang w:eastAsia="zh-CN"/>
              </w:rPr>
            </w:pPr>
            <w:r>
              <w:rPr>
                <w:rFonts w:hint="eastAsia" w:cs="宋体"/>
                <w:b/>
                <w:bCs/>
                <w:color w:val="auto"/>
                <w:sz w:val="28"/>
                <w:szCs w:val="28"/>
                <w:highlight w:val="none"/>
                <w:lang w:eastAsia="zh-CN"/>
              </w:rPr>
              <w:t>07-08-04A-2026-D-F-E14054</w:t>
            </w:r>
          </w:p>
        </w:tc>
      </w:tr>
      <w:tr w14:paraId="37B12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55" w:type="pct"/>
            <w:vAlign w:val="center"/>
          </w:tcPr>
          <w:p w14:paraId="42E1DA98">
            <w:pPr>
              <w:keepNext w:val="0"/>
              <w:keepLines w:val="0"/>
              <w:pageBreakBefore w:val="0"/>
              <w:kinsoku/>
              <w:overflowPunct/>
              <w:topLinePunct w:val="0"/>
              <w:autoSpaceDE/>
              <w:autoSpaceDN/>
              <w:bidi w:val="0"/>
              <w:adjustRightInd w:val="0"/>
              <w:snapToGrid w:val="0"/>
              <w:spacing w:line="360" w:lineRule="auto"/>
              <w:jc w:val="right"/>
              <w:rPr>
                <w:rFonts w:hint="eastAsia" w:ascii="宋体" w:hAnsi="宋体" w:eastAsia="宋体" w:cs="宋体"/>
                <w:b/>
                <w:color w:val="auto"/>
                <w:sz w:val="28"/>
                <w:szCs w:val="28"/>
                <w:highlight w:val="none"/>
                <w:lang w:val="en-US" w:eastAsia="zh-CN"/>
              </w:rPr>
            </w:pPr>
            <w:r>
              <w:rPr>
                <w:rFonts w:hint="eastAsia" w:cs="宋体"/>
                <w:b/>
                <w:color w:val="auto"/>
                <w:sz w:val="28"/>
                <w:szCs w:val="28"/>
                <w:highlight w:val="none"/>
                <w:lang w:val="en-US" w:eastAsia="zh-CN"/>
              </w:rPr>
              <w:t>计划编号：</w:t>
            </w:r>
          </w:p>
        </w:tc>
        <w:tc>
          <w:tcPr>
            <w:tcW w:w="4044" w:type="pct"/>
            <w:vAlign w:val="center"/>
          </w:tcPr>
          <w:p w14:paraId="57243ED3">
            <w:pPr>
              <w:keepNext w:val="0"/>
              <w:keepLines w:val="0"/>
              <w:pageBreakBefore w:val="0"/>
              <w:kinsoku/>
              <w:overflowPunct/>
              <w:topLinePunct w:val="0"/>
              <w:autoSpaceDE/>
              <w:autoSpaceDN/>
              <w:bidi w:val="0"/>
              <w:adjustRightInd w:val="0"/>
              <w:snapToGrid w:val="0"/>
              <w:spacing w:line="360" w:lineRule="auto"/>
              <w:jc w:val="left"/>
              <w:rPr>
                <w:rFonts w:hint="eastAsia" w:cs="宋体"/>
                <w:b/>
                <w:bCs/>
                <w:color w:val="auto"/>
                <w:sz w:val="28"/>
                <w:szCs w:val="28"/>
                <w:highlight w:val="none"/>
                <w:lang w:eastAsia="zh-CN"/>
              </w:rPr>
            </w:pPr>
            <w:r>
              <w:rPr>
                <w:rFonts w:hint="eastAsia" w:cs="宋体"/>
                <w:b/>
                <w:bCs/>
                <w:color w:val="auto"/>
                <w:sz w:val="28"/>
                <w:szCs w:val="28"/>
                <w:highlight w:val="none"/>
                <w:lang w:eastAsia="zh-CN"/>
              </w:rPr>
              <w:t>7264886311773883863395-2026051203</w:t>
            </w:r>
          </w:p>
        </w:tc>
      </w:tr>
      <w:tr w14:paraId="5EA90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55" w:type="pct"/>
            <w:vAlign w:val="center"/>
          </w:tcPr>
          <w:p w14:paraId="3E3C7C71">
            <w:pPr>
              <w:keepNext w:val="0"/>
              <w:keepLines w:val="0"/>
              <w:pageBreakBefore w:val="0"/>
              <w:kinsoku/>
              <w:overflowPunct/>
              <w:topLinePunct w:val="0"/>
              <w:autoSpaceDE/>
              <w:autoSpaceDN/>
              <w:bidi w:val="0"/>
              <w:adjustRightInd w:val="0"/>
              <w:snapToGrid w:val="0"/>
              <w:spacing w:line="360" w:lineRule="auto"/>
              <w:jc w:val="right"/>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项目名称：</w:t>
            </w:r>
          </w:p>
        </w:tc>
        <w:tc>
          <w:tcPr>
            <w:tcW w:w="4044" w:type="pct"/>
            <w:vAlign w:val="center"/>
          </w:tcPr>
          <w:p w14:paraId="47D18F38">
            <w:pPr>
              <w:keepNext w:val="0"/>
              <w:keepLines w:val="0"/>
              <w:pageBreakBefore w:val="0"/>
              <w:kinsoku/>
              <w:overflowPunct/>
              <w:topLinePunct w:val="0"/>
              <w:autoSpaceDE/>
              <w:autoSpaceDN/>
              <w:bidi w:val="0"/>
              <w:adjustRightInd w:val="0"/>
              <w:snapToGrid w:val="0"/>
              <w:spacing w:line="360" w:lineRule="auto"/>
              <w:jc w:val="left"/>
              <w:rPr>
                <w:rFonts w:hint="eastAsia" w:ascii="宋体" w:hAnsi="宋体" w:eastAsia="宋体" w:cs="宋体"/>
                <w:b/>
                <w:bCs/>
                <w:color w:val="auto"/>
                <w:sz w:val="28"/>
                <w:szCs w:val="28"/>
                <w:highlight w:val="none"/>
                <w:lang w:eastAsia="zh-CN"/>
              </w:rPr>
            </w:pPr>
            <w:r>
              <w:rPr>
                <w:rFonts w:hint="eastAsia" w:cs="宋体"/>
                <w:b/>
                <w:bCs/>
                <w:color w:val="auto"/>
                <w:sz w:val="28"/>
                <w:szCs w:val="28"/>
                <w:highlight w:val="none"/>
                <w:lang w:eastAsia="zh-CN"/>
              </w:rPr>
              <w:t>中华人民共和国万山出入境边防检查站2026年船艇中修项目</w:t>
            </w:r>
          </w:p>
        </w:tc>
      </w:tr>
    </w:tbl>
    <w:p w14:paraId="24380560">
      <w:pPr>
        <w:pStyle w:val="2"/>
        <w:keepNext w:val="0"/>
        <w:keepLines w:val="0"/>
        <w:pageBreakBefore w:val="0"/>
        <w:kinsoku/>
        <w:overflowPunct/>
        <w:topLinePunct w:val="0"/>
        <w:autoSpaceDE/>
        <w:autoSpaceDN/>
        <w:bidi w:val="0"/>
        <w:spacing w:line="360" w:lineRule="auto"/>
        <w:rPr>
          <w:rFonts w:hint="eastAsia" w:ascii="宋体" w:hAnsi="宋体" w:eastAsia="宋体" w:cs="宋体"/>
          <w:color w:val="auto"/>
          <w:sz w:val="28"/>
          <w:szCs w:val="28"/>
          <w:highlight w:val="none"/>
        </w:rPr>
      </w:pPr>
    </w:p>
    <w:p w14:paraId="0608513E">
      <w:pPr>
        <w:pStyle w:val="2"/>
        <w:keepNext w:val="0"/>
        <w:keepLines w:val="0"/>
        <w:pageBreakBefore w:val="0"/>
        <w:kinsoku/>
        <w:overflowPunct/>
        <w:topLinePunct w:val="0"/>
        <w:autoSpaceDE/>
        <w:autoSpaceDN/>
        <w:bidi w:val="0"/>
        <w:spacing w:line="360" w:lineRule="auto"/>
        <w:rPr>
          <w:rFonts w:hint="eastAsia" w:ascii="宋体" w:hAnsi="宋体" w:eastAsia="宋体" w:cs="宋体"/>
          <w:color w:val="auto"/>
          <w:sz w:val="28"/>
          <w:szCs w:val="28"/>
          <w:highlight w:val="none"/>
        </w:rPr>
      </w:pPr>
    </w:p>
    <w:p w14:paraId="7C7EC75E">
      <w:pPr>
        <w:pStyle w:val="2"/>
        <w:keepNext w:val="0"/>
        <w:keepLines w:val="0"/>
        <w:pageBreakBefore w:val="0"/>
        <w:kinsoku/>
        <w:overflowPunct/>
        <w:topLinePunct w:val="0"/>
        <w:autoSpaceDE/>
        <w:autoSpaceDN/>
        <w:bidi w:val="0"/>
        <w:spacing w:line="360" w:lineRule="auto"/>
        <w:rPr>
          <w:rFonts w:hint="eastAsia" w:ascii="宋体" w:hAnsi="宋体" w:eastAsia="宋体" w:cs="宋体"/>
          <w:color w:val="auto"/>
          <w:sz w:val="28"/>
          <w:szCs w:val="28"/>
          <w:highlight w:val="none"/>
        </w:rPr>
      </w:pPr>
    </w:p>
    <w:p w14:paraId="002ECED7">
      <w:pPr>
        <w:pStyle w:val="2"/>
        <w:keepNext w:val="0"/>
        <w:keepLines w:val="0"/>
        <w:pageBreakBefore w:val="0"/>
        <w:kinsoku/>
        <w:overflowPunct/>
        <w:topLinePunct w:val="0"/>
        <w:autoSpaceDE/>
        <w:autoSpaceDN/>
        <w:bidi w:val="0"/>
        <w:spacing w:line="360" w:lineRule="auto"/>
        <w:rPr>
          <w:rFonts w:hint="eastAsia" w:ascii="宋体" w:hAnsi="宋体" w:eastAsia="宋体" w:cs="宋体"/>
          <w:color w:val="auto"/>
          <w:sz w:val="28"/>
          <w:szCs w:val="28"/>
          <w:highlight w:val="none"/>
        </w:rPr>
      </w:pPr>
    </w:p>
    <w:p w14:paraId="20F2058E">
      <w:pPr>
        <w:pStyle w:val="25"/>
        <w:keepNext w:val="0"/>
        <w:keepLines w:val="0"/>
        <w:pageBreakBefore w:val="0"/>
        <w:kinsoku/>
        <w:overflowPunct/>
        <w:topLinePunct w:val="0"/>
        <w:autoSpaceDE/>
        <w:autoSpaceDN/>
        <w:bidi w:val="0"/>
        <w:spacing w:after="0" w:line="360" w:lineRule="auto"/>
        <w:ind w:left="1" w:leftChars="0" w:hanging="1"/>
        <w:jc w:val="center"/>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lang w:eastAsia="zh-CN"/>
        </w:rPr>
        <w:t>采购人：中华人民共和国万山出入境边防检查站</w:t>
      </w:r>
    </w:p>
    <w:p w14:paraId="757584D5">
      <w:pPr>
        <w:pStyle w:val="25"/>
        <w:keepNext w:val="0"/>
        <w:keepLines w:val="0"/>
        <w:pageBreakBefore w:val="0"/>
        <w:kinsoku/>
        <w:overflowPunct/>
        <w:topLinePunct w:val="0"/>
        <w:autoSpaceDE/>
        <w:autoSpaceDN/>
        <w:bidi w:val="0"/>
        <w:spacing w:after="0" w:line="360" w:lineRule="auto"/>
        <w:ind w:left="1" w:leftChars="0" w:hanging="1"/>
        <w:jc w:val="center"/>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lang w:eastAsia="zh-CN"/>
        </w:rPr>
        <w:t>采购代理机构：公诚管理咨询有限公司</w:t>
      </w:r>
    </w:p>
    <w:p w14:paraId="70D37236">
      <w:pPr>
        <w:pStyle w:val="25"/>
        <w:keepNext w:val="0"/>
        <w:keepLines w:val="0"/>
        <w:pageBreakBefore w:val="0"/>
        <w:kinsoku/>
        <w:overflowPunct/>
        <w:topLinePunct w:val="0"/>
        <w:autoSpaceDE/>
        <w:autoSpaceDN/>
        <w:bidi w:val="0"/>
        <w:spacing w:after="0" w:line="360" w:lineRule="auto"/>
        <w:ind w:left="1" w:leftChars="0" w:hanging="1"/>
        <w:jc w:val="center"/>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lang w:eastAsia="zh-CN"/>
        </w:rPr>
        <w:t>日期：二○二</w:t>
      </w:r>
      <w:r>
        <w:rPr>
          <w:rFonts w:hint="eastAsia" w:ascii="宋体" w:hAnsi="宋体" w:eastAsia="宋体" w:cs="宋体"/>
          <w:b/>
          <w:color w:val="auto"/>
          <w:sz w:val="32"/>
          <w:szCs w:val="32"/>
          <w:highlight w:val="none"/>
          <w:lang w:val="en-US" w:eastAsia="zh-CN"/>
        </w:rPr>
        <w:t>六</w:t>
      </w:r>
      <w:r>
        <w:rPr>
          <w:rFonts w:hint="eastAsia" w:ascii="宋体" w:hAnsi="宋体" w:eastAsia="宋体" w:cs="宋体"/>
          <w:b/>
          <w:color w:val="auto"/>
          <w:sz w:val="32"/>
          <w:szCs w:val="32"/>
          <w:highlight w:val="none"/>
          <w:lang w:eastAsia="zh-CN"/>
        </w:rPr>
        <w:t>年</w:t>
      </w:r>
      <w:r>
        <w:rPr>
          <w:rFonts w:hint="eastAsia" w:ascii="宋体" w:hAnsi="宋体" w:eastAsia="宋体" w:cs="宋体"/>
          <w:b/>
          <w:color w:val="auto"/>
          <w:sz w:val="32"/>
          <w:szCs w:val="32"/>
          <w:highlight w:val="none"/>
          <w:lang w:val="en-US" w:eastAsia="zh-CN"/>
        </w:rPr>
        <w:t>六</w:t>
      </w:r>
      <w:r>
        <w:rPr>
          <w:rFonts w:hint="eastAsia" w:ascii="宋体" w:hAnsi="宋体" w:eastAsia="宋体" w:cs="宋体"/>
          <w:b/>
          <w:color w:val="auto"/>
          <w:sz w:val="32"/>
          <w:szCs w:val="32"/>
          <w:highlight w:val="none"/>
          <w:lang w:eastAsia="zh-CN"/>
        </w:rPr>
        <w:t>月</w:t>
      </w:r>
      <w:bookmarkEnd w:id="0"/>
    </w:p>
    <w:p w14:paraId="3F939509">
      <w:pPr>
        <w:pStyle w:val="25"/>
        <w:keepNext w:val="0"/>
        <w:keepLines w:val="0"/>
        <w:pageBreakBefore w:val="0"/>
        <w:kinsoku/>
        <w:overflowPunct/>
        <w:topLinePunct w:val="0"/>
        <w:autoSpaceDE/>
        <w:autoSpaceDN/>
        <w:bidi w:val="0"/>
        <w:spacing w:after="0" w:line="360" w:lineRule="auto"/>
        <w:ind w:left="1" w:leftChars="0" w:hanging="1"/>
        <w:jc w:val="center"/>
        <w:rPr>
          <w:rFonts w:hint="eastAsia" w:ascii="宋体" w:hAnsi="宋体" w:eastAsia="宋体" w:cs="宋体"/>
          <w:b/>
          <w:bCs/>
          <w:color w:val="auto"/>
          <w:sz w:val="44"/>
          <w:szCs w:val="44"/>
          <w:highlight w:val="none"/>
          <w:lang w:eastAsia="zh-CN"/>
        </w:rPr>
        <w:sectPr>
          <w:headerReference r:id="rId5" w:type="default"/>
          <w:footerReference r:id="rId6" w:type="default"/>
          <w:pgSz w:w="11906" w:h="16838"/>
          <w:pgMar w:top="1134" w:right="1134" w:bottom="1134" w:left="1134" w:header="851" w:footer="992" w:gutter="0"/>
          <w:pgNumType w:fmt="decimal" w:start="1"/>
          <w:cols w:space="0" w:num="1"/>
          <w:rtlGutter w:val="0"/>
          <w:docGrid w:type="lines" w:linePitch="312" w:charSpace="0"/>
        </w:sectPr>
      </w:pPr>
    </w:p>
    <w:p w14:paraId="73E7105F">
      <w:pPr>
        <w:pStyle w:val="25"/>
        <w:keepNext w:val="0"/>
        <w:keepLines w:val="0"/>
        <w:pageBreakBefore w:val="0"/>
        <w:kinsoku/>
        <w:overflowPunct/>
        <w:topLinePunct w:val="0"/>
        <w:autoSpaceDE/>
        <w:autoSpaceDN/>
        <w:bidi w:val="0"/>
        <w:spacing w:after="0" w:line="360" w:lineRule="auto"/>
        <w:ind w:left="1" w:leftChars="0" w:hanging="1"/>
        <w:jc w:val="center"/>
        <w:rPr>
          <w:rFonts w:hint="eastAsia" w:ascii="宋体" w:hAnsi="宋体" w:eastAsia="宋体" w:cs="宋体"/>
          <w:b/>
          <w:bCs/>
          <w:color w:val="auto"/>
          <w:sz w:val="44"/>
          <w:szCs w:val="44"/>
          <w:highlight w:val="none"/>
          <w:lang w:eastAsia="zh-CN"/>
        </w:rPr>
      </w:pPr>
      <w:r>
        <w:rPr>
          <w:rFonts w:hint="eastAsia" w:ascii="宋体" w:hAnsi="宋体" w:eastAsia="宋体" w:cs="宋体"/>
          <w:b/>
          <w:bCs/>
          <w:color w:val="auto"/>
          <w:sz w:val="44"/>
          <w:szCs w:val="44"/>
          <w:highlight w:val="none"/>
          <w:lang w:eastAsia="zh-CN"/>
        </w:rPr>
        <w:t>温馨提示</w:t>
      </w:r>
    </w:p>
    <w:p w14:paraId="34B4C28D">
      <w:pPr>
        <w:keepNext w:val="0"/>
        <w:keepLines w:val="0"/>
        <w:pageBreakBefore w:val="0"/>
        <w:widowControl/>
        <w:numPr>
          <w:ilvl w:val="0"/>
          <w:numId w:val="1"/>
        </w:numPr>
        <w:tabs>
          <w:tab w:val="left" w:pos="502"/>
          <w:tab w:val="left" w:pos="2279"/>
          <w:tab w:val="left" w:pos="4769"/>
        </w:tabs>
        <w:kinsoku/>
        <w:overflowPunct/>
        <w:topLinePunct w:val="0"/>
        <w:autoSpaceDE/>
        <w:autoSpaceDN/>
        <w:bidi w:val="0"/>
        <w:spacing w:line="360" w:lineRule="auto"/>
        <w:ind w:left="420" w:hanging="420" w:hangingChars="2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“□”为选择项，采购人/采购代理机构采用相应内容的以“■”或“☑”表示，不采用相应内容的仍然以“□”表示。</w:t>
      </w:r>
    </w:p>
    <w:p w14:paraId="386FE7DD">
      <w:pPr>
        <w:keepNext w:val="0"/>
        <w:keepLines w:val="0"/>
        <w:pageBreakBefore w:val="0"/>
        <w:widowControl/>
        <w:numPr>
          <w:ilvl w:val="0"/>
          <w:numId w:val="1"/>
        </w:numPr>
        <w:tabs>
          <w:tab w:val="left" w:pos="502"/>
          <w:tab w:val="left" w:pos="2279"/>
          <w:tab w:val="left" w:pos="4769"/>
        </w:tabs>
        <w:kinsoku/>
        <w:overflowPunct/>
        <w:topLinePunct w:val="0"/>
        <w:autoSpaceDE/>
        <w:autoSpaceDN/>
        <w:bidi w:val="0"/>
        <w:spacing w:line="360" w:lineRule="auto"/>
        <w:ind w:left="420" w:hanging="420" w:hangingChars="2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本项目邀请投标人参加开标会议，出席开标会议的人员应当为投标人法定代表人或其授权代表，并携带相关身份证件；投标文件递交地址/开标地址详见第一章投标邀请；请投标人适当提前到达指定地点，建议在投标截止时间前30分钟到达。</w:t>
      </w:r>
    </w:p>
    <w:p w14:paraId="4EF30E53">
      <w:pPr>
        <w:keepNext w:val="0"/>
        <w:keepLines w:val="0"/>
        <w:pageBreakBefore w:val="0"/>
        <w:widowControl/>
        <w:numPr>
          <w:ilvl w:val="0"/>
          <w:numId w:val="1"/>
        </w:numPr>
        <w:tabs>
          <w:tab w:val="left" w:pos="502"/>
          <w:tab w:val="left" w:pos="2279"/>
          <w:tab w:val="left" w:pos="4769"/>
        </w:tabs>
        <w:kinsoku/>
        <w:overflowPunct/>
        <w:topLinePunct w:val="0"/>
        <w:autoSpaceDE/>
        <w:autoSpaceDN/>
        <w:bidi w:val="0"/>
        <w:spacing w:line="360" w:lineRule="auto"/>
        <w:ind w:left="420" w:hanging="420" w:hangingChars="2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投标文件应按顺序编制页码和目录，请仔细检查投标文件是否已按招标文件要求盖章、签名、签署日期；建议逐页盖章或者在骑缝位置盖章。</w:t>
      </w:r>
    </w:p>
    <w:p w14:paraId="0738608D">
      <w:pPr>
        <w:keepNext w:val="0"/>
        <w:keepLines w:val="0"/>
        <w:pageBreakBefore w:val="0"/>
        <w:widowControl/>
        <w:numPr>
          <w:ilvl w:val="0"/>
          <w:numId w:val="1"/>
        </w:numPr>
        <w:tabs>
          <w:tab w:val="left" w:pos="502"/>
          <w:tab w:val="left" w:pos="2279"/>
          <w:tab w:val="left" w:pos="4769"/>
        </w:tabs>
        <w:kinsoku/>
        <w:overflowPunct/>
        <w:topLinePunct w:val="0"/>
        <w:autoSpaceDE/>
        <w:autoSpaceDN/>
        <w:bidi w:val="0"/>
        <w:spacing w:line="360" w:lineRule="auto"/>
        <w:ind w:left="420" w:hanging="420" w:hangingChars="200"/>
        <w:jc w:val="both"/>
        <w:rPr>
          <w:rFonts w:hint="eastAsia" w:ascii="宋体" w:hAnsi="宋体" w:eastAsia="宋体" w:cs="宋体"/>
          <w:b/>
          <w:color w:val="auto"/>
          <w:szCs w:val="21"/>
          <w:highlight w:val="none"/>
          <w:lang w:eastAsia="zh-CN"/>
        </w:rPr>
      </w:pPr>
      <w:r>
        <w:rPr>
          <w:rFonts w:hint="eastAsia" w:ascii="宋体" w:hAnsi="宋体" w:eastAsia="宋体" w:cs="宋体"/>
          <w:color w:val="auto"/>
          <w:szCs w:val="21"/>
          <w:highlight w:val="none"/>
          <w:lang w:eastAsia="zh-CN"/>
        </w:rPr>
        <w:t>请仔细根据资格性审查表和符合性审查表逐条检查投标文件对应内容是否符合招标文件要求，检查相关证照、证书、人员身份证等证明材料是否在有效期内，业绩合同是否有签订日期，是否在规定的时间范围内。</w:t>
      </w:r>
    </w:p>
    <w:p w14:paraId="426320E7">
      <w:pPr>
        <w:keepNext w:val="0"/>
        <w:keepLines w:val="0"/>
        <w:pageBreakBefore w:val="0"/>
        <w:widowControl/>
        <w:numPr>
          <w:ilvl w:val="0"/>
          <w:numId w:val="1"/>
        </w:numPr>
        <w:tabs>
          <w:tab w:val="left" w:pos="502"/>
          <w:tab w:val="left" w:pos="2279"/>
          <w:tab w:val="left" w:pos="4769"/>
        </w:tabs>
        <w:kinsoku/>
        <w:overflowPunct/>
        <w:topLinePunct w:val="0"/>
        <w:autoSpaceDE/>
        <w:autoSpaceDN/>
        <w:bidi w:val="0"/>
        <w:spacing w:line="360" w:lineRule="auto"/>
        <w:ind w:left="420" w:hanging="420" w:hangingChars="2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招标文件中如有实质性条款要求，则投标文件格式中《实质性条款响应表》不能留空白，一定要按照招标文件要求填写，若要求提供证明材料还须对应提供证明材料。</w:t>
      </w:r>
    </w:p>
    <w:p w14:paraId="7F98D234">
      <w:pPr>
        <w:keepNext w:val="0"/>
        <w:keepLines w:val="0"/>
        <w:pageBreakBefore w:val="0"/>
        <w:widowControl/>
        <w:numPr>
          <w:ilvl w:val="0"/>
          <w:numId w:val="1"/>
        </w:numPr>
        <w:tabs>
          <w:tab w:val="left" w:pos="502"/>
          <w:tab w:val="left" w:pos="2279"/>
          <w:tab w:val="left" w:pos="4769"/>
        </w:tabs>
        <w:kinsoku/>
        <w:overflowPunct/>
        <w:topLinePunct w:val="0"/>
        <w:autoSpaceDE/>
        <w:autoSpaceDN/>
        <w:bidi w:val="0"/>
        <w:spacing w:line="360" w:lineRule="auto"/>
        <w:ind w:left="420" w:hanging="420" w:hangingChars="2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请正确填写《开标一览表》（报价表）和《分项报价表》(如有)，注意大小写必须一致；《分项报价表》汇总金额必须与《开标一览表》总报价一致。</w:t>
      </w:r>
    </w:p>
    <w:p w14:paraId="70AD6718">
      <w:pPr>
        <w:keepNext w:val="0"/>
        <w:keepLines w:val="0"/>
        <w:pageBreakBefore w:val="0"/>
        <w:widowControl/>
        <w:numPr>
          <w:ilvl w:val="0"/>
          <w:numId w:val="1"/>
        </w:numPr>
        <w:tabs>
          <w:tab w:val="left" w:pos="502"/>
          <w:tab w:val="left" w:pos="2279"/>
          <w:tab w:val="left" w:pos="4769"/>
        </w:tabs>
        <w:kinsoku/>
        <w:overflowPunct/>
        <w:topLinePunct w:val="0"/>
        <w:autoSpaceDE/>
        <w:autoSpaceDN/>
        <w:bidi w:val="0"/>
        <w:spacing w:line="360" w:lineRule="auto"/>
        <w:ind w:left="420" w:hanging="420" w:hangingChars="2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多包组项目请仔细检查包组号，包组号与包组采购内容必须对应。</w:t>
      </w:r>
    </w:p>
    <w:p w14:paraId="5D187A04">
      <w:pPr>
        <w:keepNext w:val="0"/>
        <w:keepLines w:val="0"/>
        <w:pageBreakBefore w:val="0"/>
        <w:widowControl/>
        <w:numPr>
          <w:ilvl w:val="0"/>
          <w:numId w:val="1"/>
        </w:numPr>
        <w:tabs>
          <w:tab w:val="left" w:pos="502"/>
          <w:tab w:val="left" w:pos="2279"/>
          <w:tab w:val="left" w:pos="4769"/>
        </w:tabs>
        <w:kinsoku/>
        <w:overflowPunct/>
        <w:topLinePunct w:val="0"/>
        <w:autoSpaceDE/>
        <w:autoSpaceDN/>
        <w:bidi w:val="0"/>
        <w:spacing w:line="360" w:lineRule="auto"/>
        <w:ind w:left="420" w:hanging="420" w:hangingChars="2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为方便评审，提高评审效率和质量，建议投标人可根据评审标准要求，对照自己的投标文件，用显眼的方式标记出对应的响应内容。</w:t>
      </w:r>
    </w:p>
    <w:p w14:paraId="18094C54">
      <w:pPr>
        <w:keepNext w:val="0"/>
        <w:keepLines w:val="0"/>
        <w:pageBreakBefore w:val="0"/>
        <w:widowControl/>
        <w:numPr>
          <w:ilvl w:val="0"/>
          <w:numId w:val="1"/>
        </w:numPr>
        <w:tabs>
          <w:tab w:val="left" w:pos="502"/>
          <w:tab w:val="left" w:pos="1408"/>
          <w:tab w:val="left" w:pos="4769"/>
        </w:tabs>
        <w:kinsoku/>
        <w:overflowPunct/>
        <w:topLinePunct w:val="0"/>
        <w:autoSpaceDE/>
        <w:autoSpaceDN/>
        <w:bidi w:val="0"/>
        <w:spacing w:line="360" w:lineRule="auto"/>
        <w:ind w:left="420" w:hanging="420" w:hanging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为了提高采购效率，节约社会交易成本与时间，希望获取了招标文件的投标人</w:t>
      </w:r>
      <w:r>
        <w:rPr>
          <w:rFonts w:hint="eastAsia" w:ascii="宋体" w:hAnsi="宋体" w:eastAsia="宋体" w:cs="宋体"/>
          <w:color w:val="auto"/>
          <w:szCs w:val="21"/>
          <w:highlight w:val="none"/>
          <w:lang w:eastAsia="zh-CN"/>
        </w:rPr>
        <w:t>如果</w:t>
      </w:r>
      <w:r>
        <w:rPr>
          <w:rFonts w:hint="eastAsia" w:ascii="宋体" w:hAnsi="宋体" w:eastAsia="宋体" w:cs="宋体"/>
          <w:color w:val="auto"/>
          <w:szCs w:val="21"/>
          <w:highlight w:val="none"/>
        </w:rPr>
        <w:t>决定放弃投标</w:t>
      </w:r>
      <w:r>
        <w:rPr>
          <w:rFonts w:hint="eastAsia" w:ascii="宋体" w:hAnsi="宋体" w:eastAsia="宋体" w:cs="宋体"/>
          <w:color w:val="auto"/>
          <w:szCs w:val="21"/>
          <w:highlight w:val="none"/>
          <w:lang w:eastAsia="zh-CN"/>
        </w:rPr>
        <w:t>的</w:t>
      </w:r>
      <w:r>
        <w:rPr>
          <w:rFonts w:hint="eastAsia" w:ascii="宋体" w:hAnsi="宋体" w:eastAsia="宋体" w:cs="宋体"/>
          <w:color w:val="auto"/>
          <w:szCs w:val="21"/>
          <w:highlight w:val="none"/>
        </w:rPr>
        <w:t>，在投标文件递交截止时间前</w:t>
      </w:r>
      <w:r>
        <w:rPr>
          <w:rFonts w:hint="eastAsia" w:ascii="宋体" w:hAnsi="宋体" w:eastAsia="宋体" w:cs="宋体"/>
          <w:color w:val="auto"/>
          <w:szCs w:val="21"/>
          <w:highlight w:val="none"/>
          <w:lang w:eastAsia="zh-CN"/>
        </w:rPr>
        <w:t>2日</w:t>
      </w:r>
      <w:r>
        <w:rPr>
          <w:rFonts w:hint="eastAsia" w:ascii="宋体" w:hAnsi="宋体" w:eastAsia="宋体" w:cs="宋体"/>
          <w:color w:val="auto"/>
          <w:szCs w:val="21"/>
          <w:highlight w:val="none"/>
        </w:rPr>
        <w:t>，以书面盖章形式告知采购代理机构：</w:t>
      </w:r>
      <w:bookmarkStart w:id="1" w:name="_Hlk111933718"/>
      <w:r>
        <w:rPr>
          <w:rFonts w:hint="eastAsia" w:ascii="宋体" w:hAnsi="宋体" w:eastAsia="宋体" w:cs="宋体"/>
          <w:color w:val="auto"/>
          <w:szCs w:val="21"/>
          <w:highlight w:val="none"/>
          <w:lang w:eastAsia="zh-CN"/>
        </w:rPr>
        <w:t>yangshuwen</w:t>
      </w:r>
      <w:r>
        <w:rPr>
          <w:rFonts w:hint="eastAsia" w:ascii="宋体" w:hAnsi="宋体" w:eastAsia="宋体" w:cs="宋体"/>
          <w:color w:val="auto"/>
          <w:szCs w:val="21"/>
          <w:highlight w:val="none"/>
        </w:rPr>
        <w:t>.gcmc.gd@chinaccs.cn</w:t>
      </w:r>
      <w:bookmarkEnd w:id="1"/>
      <w:r>
        <w:rPr>
          <w:rFonts w:hint="eastAsia" w:ascii="宋体" w:hAnsi="宋体" w:eastAsia="宋体" w:cs="宋体"/>
          <w:color w:val="auto"/>
          <w:szCs w:val="21"/>
          <w:highlight w:val="none"/>
        </w:rPr>
        <w:t>。</w:t>
      </w:r>
    </w:p>
    <w:p w14:paraId="2C7D694F">
      <w:pPr>
        <w:keepNext w:val="0"/>
        <w:keepLines w:val="0"/>
        <w:pageBreakBefore w:val="0"/>
        <w:widowControl/>
        <w:numPr>
          <w:ilvl w:val="0"/>
          <w:numId w:val="1"/>
        </w:numPr>
        <w:tabs>
          <w:tab w:val="left" w:pos="502"/>
          <w:tab w:val="left" w:pos="1408"/>
          <w:tab w:val="left" w:pos="4769"/>
        </w:tabs>
        <w:kinsoku/>
        <w:overflowPunct/>
        <w:topLinePunct w:val="0"/>
        <w:autoSpaceDE/>
        <w:autoSpaceDN/>
        <w:bidi w:val="0"/>
        <w:spacing w:line="360" w:lineRule="auto"/>
        <w:ind w:left="420" w:hanging="420" w:hanging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根据“节约能源、保护环境”要求，建议投标人双面打印投标文件。</w:t>
      </w:r>
    </w:p>
    <w:p w14:paraId="4EE327E0">
      <w:pPr>
        <w:keepNext w:val="0"/>
        <w:keepLines w:val="0"/>
        <w:pageBreakBefore w:val="0"/>
        <w:widowControl/>
        <w:numPr>
          <w:ilvl w:val="0"/>
          <w:numId w:val="1"/>
        </w:numPr>
        <w:tabs>
          <w:tab w:val="left" w:pos="502"/>
          <w:tab w:val="left" w:pos="1408"/>
          <w:tab w:val="left" w:pos="4769"/>
        </w:tabs>
        <w:kinsoku/>
        <w:overflowPunct/>
        <w:topLinePunct w:val="0"/>
        <w:autoSpaceDE/>
        <w:autoSpaceDN/>
        <w:bidi w:val="0"/>
        <w:spacing w:line="360" w:lineRule="auto"/>
        <w:ind w:left="420" w:hanging="420" w:hanging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特别说明：本提示内容非招标文件的组成部分，仅为善意提醒；如有不一致的地方，以招标文件为准。</w:t>
      </w:r>
    </w:p>
    <w:p w14:paraId="20F7CA6B">
      <w:pPr>
        <w:keepNext w:val="0"/>
        <w:keepLines w:val="0"/>
        <w:pageBreakBefore w:val="0"/>
        <w:widowControl/>
        <w:kinsoku/>
        <w:overflowPunct/>
        <w:topLinePunct w:val="0"/>
        <w:autoSpaceDE/>
        <w:autoSpaceDN/>
        <w:bidi w:val="0"/>
        <w:spacing w:line="360" w:lineRule="auto"/>
        <w:rPr>
          <w:rFonts w:hint="eastAsia" w:ascii="宋体" w:hAnsi="宋体" w:eastAsia="宋体" w:cs="宋体"/>
          <w:color w:val="auto"/>
          <w:szCs w:val="21"/>
          <w:highlight w:val="none"/>
          <w:lang w:eastAsia="zh-CN"/>
        </w:rPr>
      </w:pPr>
    </w:p>
    <w:p w14:paraId="7DA8966F">
      <w:pPr>
        <w:keepNext w:val="0"/>
        <w:keepLines w:val="0"/>
        <w:pageBreakBefore w:val="0"/>
        <w:widowControl/>
        <w:kinsoku/>
        <w:overflowPunct/>
        <w:topLinePunct w:val="0"/>
        <w:autoSpaceDE/>
        <w:autoSpaceDN/>
        <w:bidi w:val="0"/>
        <w:spacing w:line="360" w:lineRule="auto"/>
        <w:jc w:val="center"/>
        <w:rPr>
          <w:rFonts w:hint="eastAsia" w:ascii="宋体" w:hAnsi="宋体" w:eastAsia="宋体" w:cs="宋体"/>
          <w:b/>
          <w:bCs/>
          <w:color w:val="auto"/>
          <w:szCs w:val="21"/>
          <w:highlight w:val="none"/>
          <w:lang w:eastAsia="zh-CN"/>
        </w:rPr>
        <w:sectPr>
          <w:headerReference r:id="rId7" w:type="default"/>
          <w:pgSz w:w="11906" w:h="16838"/>
          <w:pgMar w:top="1134" w:right="1134" w:bottom="1134" w:left="1134" w:header="426" w:footer="992" w:gutter="0"/>
          <w:pgNumType w:fmt="decimal"/>
          <w:cols w:space="0" w:num="1"/>
          <w:rtlGutter w:val="0"/>
          <w:docGrid w:type="lines" w:linePitch="312" w:charSpace="0"/>
        </w:sectPr>
      </w:pPr>
    </w:p>
    <w:p w14:paraId="0DF03326">
      <w:pPr>
        <w:keepNext w:val="0"/>
        <w:keepLines w:val="0"/>
        <w:pageBreakBefore w:val="0"/>
        <w:widowControl/>
        <w:kinsoku/>
        <w:overflowPunct/>
        <w:topLinePunct w:val="0"/>
        <w:autoSpaceDE/>
        <w:autoSpaceDN/>
        <w:bidi w:val="0"/>
        <w:spacing w:line="360" w:lineRule="auto"/>
        <w:jc w:val="center"/>
        <w:rPr>
          <w:rFonts w:hint="eastAsia" w:ascii="宋体" w:hAnsi="宋体" w:eastAsia="宋体" w:cs="宋体"/>
          <w:b/>
          <w:bCs/>
          <w:color w:val="auto"/>
          <w:sz w:val="28"/>
          <w:szCs w:val="24"/>
          <w:highlight w:val="none"/>
          <w:lang w:eastAsia="zh-CN"/>
        </w:rPr>
      </w:pPr>
      <w:r>
        <w:rPr>
          <w:rFonts w:hint="eastAsia" w:ascii="宋体" w:hAnsi="宋体" w:eastAsia="宋体" w:cs="宋体"/>
          <w:b/>
          <w:bCs/>
          <w:color w:val="auto"/>
          <w:sz w:val="28"/>
          <w:szCs w:val="24"/>
          <w:highlight w:val="none"/>
          <w:lang w:eastAsia="zh-CN"/>
        </w:rPr>
        <w:t>目  录</w:t>
      </w:r>
    </w:p>
    <w:p w14:paraId="13397EE2">
      <w:pPr>
        <w:pStyle w:val="22"/>
        <w:keepNext w:val="0"/>
        <w:keepLines w:val="0"/>
        <w:pageBreakBefore w:val="0"/>
        <w:widowControl w:val="0"/>
        <w:tabs>
          <w:tab w:val="right" w:leader="dot" w:pos="9638"/>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fldChar w:fldCharType="begin"/>
      </w:r>
      <w:r>
        <w:rPr>
          <w:rFonts w:hint="eastAsia" w:ascii="宋体" w:hAnsi="宋体" w:eastAsia="宋体" w:cs="宋体"/>
          <w:color w:val="auto"/>
          <w:sz w:val="21"/>
          <w:szCs w:val="21"/>
          <w:highlight w:val="none"/>
          <w:lang w:eastAsia="zh-CN"/>
        </w:rPr>
        <w:instrText xml:space="preserve"> TOC \o "1-2" \h \z \u </w:instrText>
      </w:r>
      <w:r>
        <w:rPr>
          <w:rFonts w:hint="eastAsia" w:ascii="宋体" w:hAnsi="宋体" w:eastAsia="宋体" w:cs="宋体"/>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fldChar w:fldCharType="begin"/>
      </w:r>
      <w:r>
        <w:rPr>
          <w:rFonts w:hint="eastAsia" w:ascii="宋体" w:hAnsi="宋体" w:eastAsia="宋体" w:cs="宋体"/>
          <w:color w:val="auto"/>
          <w:sz w:val="21"/>
          <w:szCs w:val="21"/>
          <w:highlight w:val="none"/>
          <w:lang w:eastAsia="zh-CN"/>
        </w:rPr>
        <w:instrText xml:space="preserve"> HYPERLINK \l _Toc1015 </w:instrText>
      </w:r>
      <w:r>
        <w:rPr>
          <w:rFonts w:hint="eastAsia" w:ascii="宋体" w:hAnsi="宋体" w:eastAsia="宋体" w:cs="宋体"/>
          <w:color w:val="auto"/>
          <w:sz w:val="21"/>
          <w:szCs w:val="21"/>
          <w:highlight w:val="none"/>
          <w:lang w:eastAsia="zh-CN"/>
        </w:rPr>
        <w:fldChar w:fldCharType="separate"/>
      </w:r>
      <w:r>
        <w:rPr>
          <w:rFonts w:hint="eastAsia" w:ascii="宋体" w:hAnsi="宋体" w:eastAsia="宋体" w:cs="宋体"/>
          <w:bCs/>
          <w:color w:val="auto"/>
          <w:sz w:val="21"/>
          <w:szCs w:val="21"/>
          <w:highlight w:val="none"/>
          <w:lang w:eastAsia="zh-CN"/>
        </w:rPr>
        <w:t>第一章 投标邀请</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_Toc1015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lang w:eastAsia="zh-CN"/>
        </w:rPr>
        <w:fldChar w:fldCharType="end"/>
      </w:r>
    </w:p>
    <w:p w14:paraId="7459C87D">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_Toc12002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t>一、项目基本情况</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_Toc12002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5450B799">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_Toc399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t>二、申请人的资格要求</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_Toc399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5CBE1357">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_Toc31598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t>三、获取招标文件</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_Toc31598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2CDE3B2F">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_Toc13193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t>四、提交投标文件截止时间、开标时间和地点</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_Toc13193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751E05C9">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_Toc26561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t>五、公告期限</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_Toc26561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078C587F">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_Toc3184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t>六、其他补充事宜</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_Toc3184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3347A30F">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_Toc5524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t>七、对本次招标提出询问，请按以下方式联系</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_Toc5524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51C99E87">
      <w:pPr>
        <w:pStyle w:val="22"/>
        <w:keepNext w:val="0"/>
        <w:keepLines w:val="0"/>
        <w:pageBreakBefore w:val="0"/>
        <w:widowControl w:val="0"/>
        <w:tabs>
          <w:tab w:val="right" w:leader="dot" w:pos="9638"/>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_Toc8965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lang w:eastAsia="zh-CN"/>
        </w:rPr>
        <w:t>第二章 采购需求</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_Toc8965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17550699">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_Toc5320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t>一、项目概况</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_Toc5320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1590372A">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_Toc29481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t>二、主要商务要求</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_Toc29481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61BFF88D">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_Toc30522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t>三、技术标准与要求</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_Toc30522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721878B1">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_Toc7896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color w:val="auto"/>
          <w:sz w:val="21"/>
          <w:szCs w:val="21"/>
          <w:highlight w:val="none"/>
          <w:lang w:val="en-US" w:eastAsia="zh-CN"/>
        </w:rPr>
        <w:t>四、其他要求</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_Toc7896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12</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779776E7">
      <w:pPr>
        <w:pStyle w:val="22"/>
        <w:keepNext w:val="0"/>
        <w:keepLines w:val="0"/>
        <w:pageBreakBefore w:val="0"/>
        <w:widowControl w:val="0"/>
        <w:tabs>
          <w:tab w:val="right" w:leader="dot" w:pos="9638"/>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_Toc6209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lang w:eastAsia="zh-CN"/>
        </w:rPr>
        <w:t>第三章 投标人须知</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_Toc6209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13</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203924D2">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_Toc30766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一、名词解释</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_Toc30766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13</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0B887422">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_Toc23836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二、须知前附表</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_Toc23836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14</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00E7E77E">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_Toc9376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三、说明</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_Toc9376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17</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25437DC6">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_Toc7644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四、招标文件的澄清和修改</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_Toc7644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21</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10ADF738">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_Toc27325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五、投标要求</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_Toc27325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21</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3E91057B">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_Toc8844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六、开标、评标和定标</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_Toc8844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25</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6A943B8A">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_Toc1846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七、询问、质疑与投诉</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_Toc1846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26</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644484EF">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_Toc16036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八、合同签订和履行</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_Toc16036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28</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1D9A64D3">
      <w:pPr>
        <w:pStyle w:val="22"/>
        <w:keepNext w:val="0"/>
        <w:keepLines w:val="0"/>
        <w:pageBreakBefore w:val="0"/>
        <w:widowControl w:val="0"/>
        <w:tabs>
          <w:tab w:val="right" w:leader="dot" w:pos="9638"/>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_Toc2823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lang w:eastAsia="zh-CN"/>
        </w:rPr>
        <w:t>第四章 评标</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_Toc2823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29</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2285E660">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_Toc9482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一、评标要求</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_Toc9482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29</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544D2AFD">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_Toc5100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二、政府采购政策落实</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_Toc5100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31</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509F9982">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_Toc8498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三、评审程序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_Toc8498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33</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1E70B5D1">
      <w:pPr>
        <w:pStyle w:val="22"/>
        <w:keepNext w:val="0"/>
        <w:keepLines w:val="0"/>
        <w:pageBreakBefore w:val="0"/>
        <w:widowControl w:val="0"/>
        <w:tabs>
          <w:tab w:val="right" w:leader="dot" w:pos="9638"/>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_Toc31120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lang w:eastAsia="zh-CN"/>
        </w:rPr>
        <w:t>第五章 合同文本</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_Toc31120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44</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6A3FB958">
      <w:pPr>
        <w:pStyle w:val="22"/>
        <w:keepNext w:val="0"/>
        <w:keepLines w:val="0"/>
        <w:pageBreakBefore w:val="0"/>
        <w:widowControl w:val="0"/>
        <w:tabs>
          <w:tab w:val="right" w:leader="dot" w:pos="9638"/>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_Toc3045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lang w:eastAsia="zh-CN"/>
        </w:rPr>
        <w:t>第六章 投标文件格式与要求</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_Toc3045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53</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7E27E020">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_Toc10027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投标文件封面（参考）</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_Toc10027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54</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03056AF5">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_Toc6437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格式一： 投标函</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_Toc6437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55</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40AD7349">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_Toc24901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格式二： 开标一览表</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_Toc24901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57</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61E60A1D">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_Toc12911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格式三： 政策适用性说明</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_Toc12911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58</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66B7D6B8">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_Toc30535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格式四： 法定代表人证明书</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_Toc30535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59</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5C8C619C">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_Toc8427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格式五： 法定代表人授权书</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_Toc8427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60</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6F3FA2CE">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_Toc6121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格式六： 提供具有独立承担民事责任的能力的证明材料</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_Toc6121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61</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60624161">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_Toc478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格式七： 提供有依法缴纳税收的良好记录的证明材料</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_Toc478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61</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687CE3C0">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_Toc5922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格式八： 提供有依法缴纳社会保障资金的良好记录的证明材料</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_Toc5922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61</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02DA5B4C">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_Toc24096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格式九： 提供具有良好的商业信誉和健全的财务会计制度的证明材料</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_Toc24096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61</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00D85FB1">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_Toc13369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格式十： 提供具有履行合同所必需的设备和专业技术能力的证明材料</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_Toc13369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61</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0E6BB756">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_Toc29062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格式十一： 中小企业声明函</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_Toc29062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62</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4D8BFE56">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_Toc5749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格式十二： 监狱企业</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_Toc5749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63</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55C129B2">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_Toc4849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格式十三： 残疾人福利性单位声明函</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_Toc4849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63</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13CD8482">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_Toc25679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格式十四： 需要采购人提供的附加条件</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_Toc25679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64</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0187015C">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_Toc16819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格式十五： 实质性条款响应表</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_Toc16819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65</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5B3665DB">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_Toc1773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格式十六： 商务条款响应表</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_Toc1773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67</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2D95A1D5">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_Toc25256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格式十七： 技术条款响应表</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_Toc25256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68</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69666871">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_Toc18300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格式十八： 承诺函</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_Toc18300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69</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0EBD947A">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_Toc18155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格式十九： 类似项目业绩</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_Toc18155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70</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6CD05919">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_Toc27072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格式二十： 体系认证情况</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_Toc27072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70</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71CF762D">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_Toc27082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格式二十一： 售后服务承诺</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_Toc27082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70</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49639094">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_Toc3136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格式二十二： 维修</w:t>
      </w:r>
      <w:r>
        <w:rPr>
          <w:rFonts w:hint="eastAsia" w:ascii="宋体" w:hAnsi="宋体" w:eastAsia="宋体" w:cs="宋体"/>
          <w:bCs/>
          <w:color w:val="auto"/>
          <w:sz w:val="21"/>
          <w:szCs w:val="21"/>
          <w:highlight w:val="none"/>
          <w:lang w:val="en-US" w:eastAsia="zh-CN"/>
        </w:rPr>
        <w:t>场地</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_Toc3136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70</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271B2669">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_Toc26769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 xml:space="preserve">格式二十三： </w:t>
      </w:r>
      <w:r>
        <w:rPr>
          <w:rFonts w:hint="eastAsia" w:ascii="宋体" w:hAnsi="宋体" w:eastAsia="宋体" w:cs="宋体"/>
          <w:bCs/>
          <w:color w:val="auto"/>
          <w:sz w:val="21"/>
          <w:szCs w:val="21"/>
          <w:highlight w:val="none"/>
          <w:lang w:val="en-US" w:eastAsia="zh-CN"/>
        </w:rPr>
        <w:t>船坞码头</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_Toc26769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70</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16A64171">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_Toc23680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格式二十四： 中修服务方案</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_Toc23680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71</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70B236F8">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_Toc14132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格式二十五： 质量保证方案</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_Toc14132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71</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3E347F71">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_Toc3250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格式二十六： 对风险事件预防措施及应急处理保障方案</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_Toc3250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71</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041AC4E4">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_Toc24604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格式二十七： 技术负责人</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_Toc24604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71</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218727FE">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_Toc7202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格式二十八： 拟投入本项目团队人员</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_Toc7202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71</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1E0B1309">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_Toc28530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格式二十九： 中修零配件质保期</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_Toc28530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71</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5A0F4E46">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_Toc8397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格式三十： 其它重要事项说明及承诺</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_Toc8397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71</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5D399450">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_Toc1675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格式三十一： 采购代理服务费支付承诺书</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_Toc1675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72</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7D1E2FCF">
      <w:pPr>
        <w:pStyle w:val="26"/>
        <w:keepNext w:val="0"/>
        <w:keepLines w:val="0"/>
        <w:pageBreakBefore w:val="0"/>
        <w:widowControl w:val="0"/>
        <w:tabs>
          <w:tab w:val="right" w:leader="dot" w:pos="9638"/>
          <w:tab w:val="clear" w:pos="9736"/>
        </w:tabs>
        <w:kinsoku/>
        <w:wordWrap/>
        <w:overflowPunct/>
        <w:topLinePunct w:val="0"/>
        <w:bidi w:val="0"/>
        <w:adjustRightInd/>
        <w:snapToGrid/>
        <w:spacing w:line="336" w:lineRule="auto"/>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fldChar w:fldCharType="begin"/>
      </w:r>
      <w:r>
        <w:rPr>
          <w:rFonts w:hint="eastAsia" w:ascii="宋体" w:hAnsi="宋体" w:eastAsia="宋体" w:cs="宋体"/>
          <w:bCs/>
          <w:color w:val="auto"/>
          <w:sz w:val="21"/>
          <w:szCs w:val="21"/>
          <w:highlight w:val="none"/>
          <w:lang w:eastAsia="zh-CN"/>
        </w:rPr>
        <w:instrText xml:space="preserve"> HYPERLINK \l _Toc13525 </w:instrText>
      </w:r>
      <w:r>
        <w:rPr>
          <w:rFonts w:hint="eastAsia" w:ascii="宋体" w:hAnsi="宋体" w:eastAsia="宋体" w:cs="宋体"/>
          <w:bCs/>
          <w:color w:val="auto"/>
          <w:sz w:val="21"/>
          <w:szCs w:val="21"/>
          <w:highlight w:val="none"/>
          <w:lang w:eastAsia="zh-CN"/>
        </w:rPr>
        <w:fldChar w:fldCharType="separate"/>
      </w:r>
      <w:r>
        <w:rPr>
          <w:rFonts w:hint="eastAsia" w:ascii="宋体" w:hAnsi="宋体" w:eastAsia="宋体" w:cs="宋体"/>
          <w:bCs/>
          <w:color w:val="auto"/>
          <w:sz w:val="21"/>
          <w:szCs w:val="21"/>
          <w:highlight w:val="none"/>
        </w:rPr>
        <w:t>格式三十二： 询问函、质疑函、投诉书格式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_Toc13525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73</w:t>
      </w:r>
      <w:r>
        <w:rPr>
          <w:rFonts w:hint="eastAsia" w:ascii="宋体" w:hAnsi="宋体" w:eastAsia="宋体" w:cs="宋体"/>
          <w:color w:val="auto"/>
          <w:sz w:val="21"/>
          <w:szCs w:val="21"/>
          <w:highlight w:val="none"/>
        </w:rPr>
        <w:fldChar w:fldCharType="end"/>
      </w:r>
      <w:r>
        <w:rPr>
          <w:rFonts w:hint="eastAsia" w:ascii="宋体" w:hAnsi="宋体" w:eastAsia="宋体" w:cs="宋体"/>
          <w:bCs/>
          <w:color w:val="auto"/>
          <w:sz w:val="21"/>
          <w:szCs w:val="21"/>
          <w:highlight w:val="none"/>
          <w:lang w:eastAsia="zh-CN"/>
        </w:rPr>
        <w:fldChar w:fldCharType="end"/>
      </w:r>
    </w:p>
    <w:p w14:paraId="148CB5DD">
      <w:pPr>
        <w:pStyle w:val="25"/>
        <w:keepNext w:val="0"/>
        <w:keepLines w:val="0"/>
        <w:pageBreakBefore w:val="0"/>
        <w:widowControl w:val="0"/>
        <w:kinsoku/>
        <w:wordWrap/>
        <w:overflowPunct/>
        <w:topLinePunct w:val="0"/>
        <w:autoSpaceDE/>
        <w:autoSpaceDN/>
        <w:bidi w:val="0"/>
        <w:adjustRightInd/>
        <w:snapToGrid/>
        <w:spacing w:after="0" w:line="336" w:lineRule="auto"/>
        <w:ind w:left="3043" w:leftChars="946" w:hanging="1056" w:hangingChars="503"/>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fldChar w:fldCharType="end"/>
      </w:r>
    </w:p>
    <w:p w14:paraId="50896160">
      <w:pPr>
        <w:keepNext w:val="0"/>
        <w:keepLines w:val="0"/>
        <w:pageBreakBefore w:val="0"/>
        <w:kinsoku/>
        <w:overflowPunct/>
        <w:topLinePunct w:val="0"/>
        <w:autoSpaceDE/>
        <w:autoSpaceDN/>
        <w:bidi w:val="0"/>
        <w:spacing w:line="360" w:lineRule="auto"/>
        <w:jc w:val="center"/>
        <w:outlineLvl w:val="0"/>
        <w:rPr>
          <w:rFonts w:hint="eastAsia" w:ascii="宋体" w:hAnsi="宋体" w:eastAsia="宋体" w:cs="宋体"/>
          <w:b/>
          <w:bCs/>
          <w:color w:val="auto"/>
          <w:sz w:val="24"/>
          <w:szCs w:val="24"/>
          <w:highlight w:val="none"/>
          <w:lang w:eastAsia="zh-CN"/>
        </w:rPr>
        <w:sectPr>
          <w:footerReference r:id="rId8" w:type="default"/>
          <w:pgSz w:w="11906" w:h="16838"/>
          <w:pgMar w:top="1134" w:right="1134" w:bottom="1134" w:left="1134" w:header="426" w:footer="992" w:gutter="0"/>
          <w:pgNumType w:fmt="decimal"/>
          <w:cols w:space="0" w:num="1"/>
          <w:rtlGutter w:val="0"/>
          <w:docGrid w:type="lines" w:linePitch="312" w:charSpace="0"/>
        </w:sectPr>
      </w:pPr>
    </w:p>
    <w:p w14:paraId="3490EBBA">
      <w:pPr>
        <w:keepNext w:val="0"/>
        <w:keepLines w:val="0"/>
        <w:pageBreakBefore w:val="0"/>
        <w:kinsoku/>
        <w:overflowPunct/>
        <w:topLinePunct w:val="0"/>
        <w:autoSpaceDE/>
        <w:autoSpaceDN/>
        <w:bidi w:val="0"/>
        <w:spacing w:line="360" w:lineRule="auto"/>
        <w:jc w:val="center"/>
        <w:outlineLvl w:val="0"/>
        <w:rPr>
          <w:rFonts w:hint="eastAsia" w:ascii="宋体" w:hAnsi="宋体" w:eastAsia="宋体" w:cs="宋体"/>
          <w:b/>
          <w:bCs/>
          <w:color w:val="auto"/>
          <w:sz w:val="24"/>
          <w:szCs w:val="24"/>
          <w:highlight w:val="none"/>
          <w:lang w:eastAsia="zh-CN"/>
        </w:rPr>
      </w:pPr>
      <w:bookmarkStart w:id="2" w:name="_Toc103461599"/>
      <w:bookmarkStart w:id="3" w:name="_Toc1015"/>
      <w:bookmarkStart w:id="4" w:name="_Toc103461370"/>
      <w:bookmarkStart w:id="5" w:name="_Toc104131882"/>
      <w:bookmarkStart w:id="6" w:name="_Toc103462385"/>
      <w:bookmarkStart w:id="7" w:name="_Toc103462359"/>
      <w:r>
        <w:rPr>
          <w:rFonts w:hint="eastAsia" w:ascii="宋体" w:hAnsi="宋体" w:eastAsia="宋体" w:cs="宋体"/>
          <w:b/>
          <w:bCs/>
          <w:color w:val="auto"/>
          <w:sz w:val="24"/>
          <w:szCs w:val="24"/>
          <w:highlight w:val="none"/>
          <w:lang w:eastAsia="zh-CN"/>
        </w:rPr>
        <w:t>第一章 投标邀请</w:t>
      </w:r>
      <w:bookmarkEnd w:id="2"/>
      <w:bookmarkEnd w:id="3"/>
      <w:bookmarkEnd w:id="4"/>
      <w:bookmarkEnd w:id="5"/>
      <w:bookmarkEnd w:id="6"/>
      <w:bookmarkEnd w:id="7"/>
    </w:p>
    <w:p w14:paraId="20CB1E39">
      <w:pPr>
        <w:pStyle w:val="55"/>
        <w:keepNext w:val="0"/>
        <w:keepLines w:val="0"/>
        <w:pageBreakBefore w:val="0"/>
        <w:kinsoku/>
        <w:overflowPunct/>
        <w:topLinePunct w:val="0"/>
        <w:autoSpaceDE/>
        <w:autoSpaceDN/>
        <w:bidi w:val="0"/>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项目概况</w:t>
      </w:r>
    </w:p>
    <w:p w14:paraId="08B0CE43">
      <w:pPr>
        <w:pStyle w:val="55"/>
        <w:keepNext w:val="0"/>
        <w:keepLines w:val="0"/>
        <w:pageBreakBefore w:val="0"/>
        <w:kinsoku/>
        <w:overflowPunct/>
        <w:topLinePunct w:val="0"/>
        <w:autoSpaceDE/>
        <w:autoSpaceDN/>
        <w:bidi w:val="0"/>
        <w:spacing w:line="360" w:lineRule="auto"/>
        <w:ind w:firstLine="420" w:firstLineChars="200"/>
        <w:rPr>
          <w:rFonts w:hint="eastAsia" w:ascii="宋体" w:hAnsi="宋体" w:eastAsia="宋体" w:cs="宋体"/>
          <w:b w:val="0"/>
          <w:bCs w:val="0"/>
          <w:color w:val="auto"/>
          <w:sz w:val="21"/>
          <w:szCs w:val="21"/>
          <w:highlight w:val="none"/>
          <w:lang w:eastAsia="zh-CN"/>
        </w:rPr>
      </w:pPr>
      <w:r>
        <w:rPr>
          <w:rFonts w:hint="eastAsia" w:cs="宋体"/>
          <w:b w:val="0"/>
          <w:bCs w:val="0"/>
          <w:color w:val="auto"/>
          <w:sz w:val="21"/>
          <w:szCs w:val="21"/>
          <w:highlight w:val="none"/>
          <w:u w:val="single"/>
          <w:lang w:eastAsia="zh-CN"/>
        </w:rPr>
        <w:t>中华人民共和国万山出入境边防检查站2026年船艇中修项目</w:t>
      </w:r>
      <w:r>
        <w:rPr>
          <w:rFonts w:hint="eastAsia" w:ascii="宋体" w:hAnsi="宋体" w:eastAsia="宋体" w:cs="宋体"/>
          <w:b w:val="0"/>
          <w:bCs w:val="0"/>
          <w:color w:val="auto"/>
          <w:sz w:val="21"/>
          <w:szCs w:val="21"/>
          <w:highlight w:val="none"/>
          <w:u w:val="single"/>
          <w:lang w:eastAsia="zh-CN"/>
        </w:rPr>
        <w:t xml:space="preserve"> </w:t>
      </w:r>
      <w:r>
        <w:rPr>
          <w:rFonts w:hint="eastAsia" w:ascii="宋体" w:hAnsi="宋体" w:eastAsia="宋体" w:cs="宋体"/>
          <w:b w:val="0"/>
          <w:bCs w:val="0"/>
          <w:color w:val="auto"/>
          <w:sz w:val="21"/>
          <w:szCs w:val="21"/>
          <w:highlight w:val="none"/>
          <w:lang w:eastAsia="zh-CN"/>
        </w:rPr>
        <w:t>的潜在投标人应在</w:t>
      </w:r>
      <w:r>
        <w:rPr>
          <w:rFonts w:hint="eastAsia" w:ascii="宋体" w:hAnsi="宋体" w:eastAsia="宋体" w:cs="宋体"/>
          <w:b w:val="0"/>
          <w:bCs w:val="0"/>
          <w:color w:val="auto"/>
          <w:sz w:val="21"/>
          <w:szCs w:val="21"/>
          <w:highlight w:val="none"/>
          <w:u w:val="single"/>
          <w:lang w:eastAsia="zh-CN"/>
        </w:rPr>
        <w:t>诚E招电子采购交易平台（https://www.chengezhao.com/）或公诚管理咨询有限公司</w:t>
      </w:r>
      <w:r>
        <w:rPr>
          <w:rFonts w:hint="eastAsia" w:ascii="宋体" w:hAnsi="宋体" w:eastAsia="宋体" w:cs="宋体"/>
          <w:b w:val="0"/>
          <w:bCs w:val="0"/>
          <w:color w:val="auto"/>
          <w:sz w:val="21"/>
          <w:szCs w:val="21"/>
          <w:highlight w:val="none"/>
          <w:lang w:eastAsia="zh-CN"/>
        </w:rPr>
        <w:t>获取招标文件，并于</w:t>
      </w:r>
      <w:r>
        <w:rPr>
          <w:rFonts w:hint="eastAsia" w:ascii="宋体" w:hAnsi="宋体" w:eastAsia="宋体" w:cs="宋体"/>
          <w:b w:val="0"/>
          <w:bCs w:val="0"/>
          <w:color w:val="auto"/>
          <w:sz w:val="21"/>
          <w:szCs w:val="21"/>
          <w:highlight w:val="none"/>
          <w:u w:val="single"/>
          <w:lang w:eastAsia="zh-CN"/>
        </w:rPr>
        <w:t>20XX年XX月XX日XX点XX分（北京时间）</w:t>
      </w:r>
      <w:r>
        <w:rPr>
          <w:rFonts w:hint="eastAsia" w:ascii="宋体" w:hAnsi="宋体" w:eastAsia="宋体" w:cs="宋体"/>
          <w:b w:val="0"/>
          <w:bCs w:val="0"/>
          <w:color w:val="auto"/>
          <w:sz w:val="21"/>
          <w:szCs w:val="21"/>
          <w:highlight w:val="none"/>
          <w:lang w:eastAsia="zh-CN"/>
        </w:rPr>
        <w:t>前递交投标文件。</w:t>
      </w:r>
    </w:p>
    <w:p w14:paraId="3E54BF50">
      <w:pPr>
        <w:pStyle w:val="55"/>
        <w:keepNext w:val="0"/>
        <w:keepLines w:val="0"/>
        <w:pageBreakBefore w:val="0"/>
        <w:kinsoku/>
        <w:overflowPunct/>
        <w:topLinePunct w:val="0"/>
        <w:autoSpaceDE/>
        <w:autoSpaceDN/>
        <w:bidi w:val="0"/>
        <w:spacing w:line="360" w:lineRule="auto"/>
        <w:outlineLvl w:val="1"/>
        <w:rPr>
          <w:rFonts w:hint="eastAsia" w:ascii="宋体" w:hAnsi="宋体" w:eastAsia="宋体" w:cs="宋体"/>
          <w:color w:val="auto"/>
          <w:sz w:val="21"/>
          <w:szCs w:val="21"/>
          <w:highlight w:val="none"/>
          <w:lang w:eastAsia="zh-CN"/>
        </w:rPr>
      </w:pPr>
      <w:bookmarkStart w:id="8" w:name="_Toc104131883"/>
      <w:bookmarkStart w:id="9" w:name="_Toc12002"/>
      <w:r>
        <w:rPr>
          <w:rFonts w:hint="eastAsia" w:ascii="宋体" w:hAnsi="宋体" w:eastAsia="宋体" w:cs="宋体"/>
          <w:color w:val="auto"/>
          <w:sz w:val="21"/>
          <w:szCs w:val="21"/>
          <w:highlight w:val="none"/>
          <w:lang w:eastAsia="zh-CN"/>
        </w:rPr>
        <w:t>一、项目基本情况</w:t>
      </w:r>
      <w:bookmarkEnd w:id="8"/>
      <w:bookmarkEnd w:id="9"/>
    </w:p>
    <w:p w14:paraId="3EFE7DCC">
      <w:pPr>
        <w:keepNext w:val="0"/>
        <w:keepLines w:val="0"/>
        <w:pageBreakBefore w:val="0"/>
        <w:kinsoku/>
        <w:overflowPunct/>
        <w:topLinePunct w:val="0"/>
        <w:autoSpaceDE/>
        <w:autoSpaceDN/>
        <w:bidi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项目编号：</w:t>
      </w:r>
      <w:r>
        <w:rPr>
          <w:rFonts w:hint="eastAsia" w:cs="宋体"/>
          <w:color w:val="auto"/>
          <w:szCs w:val="21"/>
          <w:highlight w:val="none"/>
          <w:lang w:eastAsia="zh-CN"/>
        </w:rPr>
        <w:t>07-08-04A-2026-D-F-E14054</w:t>
      </w:r>
    </w:p>
    <w:p w14:paraId="51BB8860">
      <w:pPr>
        <w:keepNext w:val="0"/>
        <w:keepLines w:val="0"/>
        <w:pageBreakBefore w:val="0"/>
        <w:kinsoku/>
        <w:overflowPunct/>
        <w:topLinePunct w:val="0"/>
        <w:autoSpaceDE/>
        <w:autoSpaceDN/>
        <w:bidi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项目名称：</w:t>
      </w:r>
      <w:r>
        <w:rPr>
          <w:rFonts w:hint="eastAsia" w:cs="宋体"/>
          <w:color w:val="auto"/>
          <w:szCs w:val="21"/>
          <w:highlight w:val="none"/>
          <w:lang w:eastAsia="zh-CN"/>
        </w:rPr>
        <w:t>中华人民共和国万山出入境边防检查站2026年船艇中修项目</w:t>
      </w:r>
    </w:p>
    <w:p w14:paraId="2C5EF762">
      <w:pPr>
        <w:keepNext w:val="0"/>
        <w:keepLines w:val="0"/>
        <w:pageBreakBefore w:val="0"/>
        <w:kinsoku/>
        <w:overflowPunct/>
        <w:topLinePunct w:val="0"/>
        <w:autoSpaceDE/>
        <w:autoSpaceDN/>
        <w:bidi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预算金额：2,604,914.50元（人民币）</w:t>
      </w:r>
    </w:p>
    <w:p w14:paraId="4DDAD7D4">
      <w:pPr>
        <w:keepNext w:val="0"/>
        <w:keepLines w:val="0"/>
        <w:pageBreakBefore w:val="0"/>
        <w:kinsoku/>
        <w:overflowPunct/>
        <w:topLinePunct w:val="0"/>
        <w:autoSpaceDE/>
        <w:autoSpaceDN/>
        <w:bidi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最高限价：</w:t>
      </w:r>
      <w:r>
        <w:rPr>
          <w:rFonts w:hint="eastAsia" w:cs="宋体"/>
          <w:color w:val="auto"/>
          <w:szCs w:val="21"/>
          <w:highlight w:val="none"/>
          <w:lang w:val="en-US" w:eastAsia="zh-CN"/>
        </w:rPr>
        <w:t>2,604,914.50</w:t>
      </w:r>
      <w:r>
        <w:rPr>
          <w:rFonts w:hint="eastAsia" w:ascii="宋体" w:hAnsi="宋体" w:eastAsia="宋体" w:cs="宋体"/>
          <w:color w:val="auto"/>
          <w:szCs w:val="21"/>
          <w:highlight w:val="none"/>
          <w:lang w:eastAsia="zh-CN"/>
        </w:rPr>
        <w:t>元（人民币）</w:t>
      </w:r>
    </w:p>
    <w:p w14:paraId="14AC8EE8">
      <w:pPr>
        <w:keepNext w:val="0"/>
        <w:keepLines w:val="0"/>
        <w:pageBreakBefore w:val="0"/>
        <w:kinsoku/>
        <w:overflowPunct/>
        <w:topLinePunct w:val="0"/>
        <w:autoSpaceDE/>
        <w:autoSpaceDN/>
        <w:bidi w:val="0"/>
        <w:spacing w:line="360" w:lineRule="auto"/>
        <w:ind w:firstLine="420" w:firstLineChars="200"/>
        <w:rPr>
          <w:rFonts w:hint="eastAsia" w:ascii="宋体" w:hAnsi="宋体" w:eastAsia="宋体" w:cs="宋体"/>
          <w:color w:val="auto"/>
          <w:szCs w:val="21"/>
          <w:highlight w:val="none"/>
          <w:lang w:eastAsia="zh-CN"/>
        </w:rPr>
      </w:pPr>
      <w:bookmarkStart w:id="10" w:name="_Hlk70530579"/>
      <w:r>
        <w:rPr>
          <w:rFonts w:hint="eastAsia" w:ascii="宋体" w:hAnsi="宋体" w:eastAsia="宋体" w:cs="宋体"/>
          <w:color w:val="auto"/>
          <w:szCs w:val="21"/>
          <w:highlight w:val="none"/>
          <w:lang w:eastAsia="zh-CN"/>
        </w:rPr>
        <w:t>采购需求</w:t>
      </w:r>
      <w:bookmarkEnd w:id="10"/>
      <w:r>
        <w:rPr>
          <w:rFonts w:hint="eastAsia" w:ascii="宋体" w:hAnsi="宋体" w:eastAsia="宋体" w:cs="宋体"/>
          <w:color w:val="auto"/>
          <w:szCs w:val="21"/>
          <w:highlight w:val="none"/>
          <w:lang w:eastAsia="zh-CN"/>
        </w:rPr>
        <w:t>：</w:t>
      </w:r>
    </w:p>
    <w:p w14:paraId="7950A249">
      <w:pPr>
        <w:pStyle w:val="33"/>
        <w:keepNext w:val="0"/>
        <w:keepLines w:val="0"/>
        <w:pageBreakBefore w:val="0"/>
        <w:kinsoku/>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1.标的名称：</w:t>
      </w:r>
      <w:r>
        <w:rPr>
          <w:rFonts w:hint="eastAsia" w:cs="宋体"/>
          <w:color w:val="auto"/>
          <w:szCs w:val="21"/>
          <w:highlight w:val="none"/>
          <w:lang w:eastAsia="zh-CN"/>
        </w:rPr>
        <w:t>中华人民共和国万山出入境边防检查站2026年船艇中修项目</w:t>
      </w:r>
    </w:p>
    <w:p w14:paraId="47E6F466">
      <w:pPr>
        <w:pStyle w:val="33"/>
        <w:keepNext w:val="0"/>
        <w:keepLines w:val="0"/>
        <w:pageBreakBefore w:val="0"/>
        <w:kinsoku/>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2.标的数量：</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项</w:t>
      </w:r>
    </w:p>
    <w:p w14:paraId="4C9E0BCD">
      <w:pPr>
        <w:keepNext w:val="0"/>
        <w:keepLines w:val="0"/>
        <w:pageBreakBefore w:val="0"/>
        <w:kinsoku/>
        <w:overflowPunct/>
        <w:topLinePunct w:val="0"/>
        <w:autoSpaceDE/>
        <w:autoSpaceDN/>
        <w:bidi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3.简要技术需求或服务要求：本主要为中华人民共和国万山出入境边防检查站达到中修年限的中国移民管理44268、44367</w:t>
      </w:r>
      <w:r>
        <w:rPr>
          <w:rFonts w:hint="eastAsia" w:cs="宋体"/>
          <w:color w:val="auto"/>
          <w:szCs w:val="21"/>
          <w:highlight w:val="none"/>
          <w:lang w:eastAsia="zh-CN"/>
        </w:rPr>
        <w:t>船艇</w:t>
      </w:r>
      <w:r>
        <w:rPr>
          <w:rFonts w:hint="eastAsia" w:ascii="宋体" w:hAnsi="宋体" w:eastAsia="宋体" w:cs="宋体"/>
          <w:color w:val="auto"/>
          <w:szCs w:val="21"/>
          <w:highlight w:val="none"/>
          <w:lang w:eastAsia="zh-CN"/>
        </w:rPr>
        <w:t>进行中修，对船艇进行较全面的检查检修，保证船艇结构和主要机电设备的安全运转；详细要求见采购需求。</w:t>
      </w:r>
    </w:p>
    <w:p w14:paraId="7904E024">
      <w:pPr>
        <w:keepNext w:val="0"/>
        <w:keepLines w:val="0"/>
        <w:pageBreakBefore w:val="0"/>
        <w:kinsoku/>
        <w:overflowPunct/>
        <w:topLinePunct w:val="0"/>
        <w:autoSpaceDE/>
        <w:autoSpaceDN/>
        <w:bidi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合同履行期限：</w:t>
      </w:r>
      <w:r>
        <w:rPr>
          <w:rFonts w:hint="eastAsia" w:cs="宋体"/>
          <w:color w:val="auto"/>
          <w:szCs w:val="21"/>
          <w:highlight w:val="none"/>
          <w:lang w:eastAsia="zh-CN"/>
        </w:rPr>
        <w:t>根据采购人勤务安排提前15日向供应商发送通知，协商供应商安排船艇进厂维修，自单艘船艇交付之日起40日完成中修内容，提交厂家检验报告及相关验收材料，采购人于5个工作日内组织验收。项目整体需在11月30日前完成全部维修工作并通过验收</w:t>
      </w:r>
      <w:r>
        <w:rPr>
          <w:rFonts w:hint="eastAsia" w:ascii="宋体" w:hAnsi="宋体" w:eastAsia="宋体" w:cs="宋体"/>
          <w:color w:val="auto"/>
          <w:szCs w:val="21"/>
          <w:highlight w:val="none"/>
          <w:lang w:eastAsia="zh-CN"/>
        </w:rPr>
        <w:t>。</w:t>
      </w:r>
    </w:p>
    <w:p w14:paraId="77AA1D20">
      <w:pPr>
        <w:keepNext w:val="0"/>
        <w:keepLines w:val="0"/>
        <w:pageBreakBefore w:val="0"/>
        <w:kinsoku/>
        <w:overflowPunct/>
        <w:topLinePunct w:val="0"/>
        <w:autoSpaceDE/>
        <w:autoSpaceDN/>
        <w:bidi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本项目不接受联合体投标。</w:t>
      </w:r>
    </w:p>
    <w:p w14:paraId="5C0B6B74">
      <w:pPr>
        <w:pStyle w:val="55"/>
        <w:keepNext w:val="0"/>
        <w:keepLines w:val="0"/>
        <w:pageBreakBefore w:val="0"/>
        <w:kinsoku/>
        <w:overflowPunct/>
        <w:topLinePunct w:val="0"/>
        <w:autoSpaceDE/>
        <w:autoSpaceDN/>
        <w:bidi w:val="0"/>
        <w:spacing w:line="360" w:lineRule="auto"/>
        <w:outlineLvl w:val="1"/>
        <w:rPr>
          <w:rFonts w:hint="eastAsia" w:ascii="宋体" w:hAnsi="宋体" w:eastAsia="宋体" w:cs="宋体"/>
          <w:color w:val="auto"/>
          <w:sz w:val="21"/>
          <w:szCs w:val="21"/>
          <w:highlight w:val="none"/>
          <w:lang w:eastAsia="zh-CN"/>
        </w:rPr>
      </w:pPr>
      <w:bookmarkStart w:id="11" w:name="_Toc104131884"/>
      <w:bookmarkStart w:id="12" w:name="_Toc399"/>
      <w:r>
        <w:rPr>
          <w:rFonts w:hint="eastAsia" w:ascii="宋体" w:hAnsi="宋体" w:eastAsia="宋体" w:cs="宋体"/>
          <w:color w:val="auto"/>
          <w:sz w:val="21"/>
          <w:szCs w:val="21"/>
          <w:highlight w:val="none"/>
          <w:lang w:eastAsia="zh-CN"/>
        </w:rPr>
        <w:t>二、申请人的资格要求</w:t>
      </w:r>
      <w:bookmarkEnd w:id="11"/>
      <w:bookmarkEnd w:id="12"/>
    </w:p>
    <w:p w14:paraId="641001A8">
      <w:pPr>
        <w:keepNext w:val="0"/>
        <w:keepLines w:val="0"/>
        <w:pageBreakBefore w:val="0"/>
        <w:kinsoku/>
        <w:overflowPunct/>
        <w:topLinePunct w:val="0"/>
        <w:autoSpaceDE/>
        <w:autoSpaceDN/>
        <w:bidi w:val="0"/>
        <w:spacing w:line="360" w:lineRule="auto"/>
        <w:ind w:firstLine="422" w:firstLineChars="200"/>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1.满足《中华人民共和国政府采购法》第二十二条规定，提供下列材料：</w:t>
      </w:r>
    </w:p>
    <w:p w14:paraId="7D5A769A">
      <w:pPr>
        <w:pStyle w:val="66"/>
        <w:keepNext w:val="0"/>
        <w:keepLines w:val="0"/>
        <w:pageBreakBefore w:val="0"/>
        <w:kinsoku/>
        <w:overflowPunct/>
        <w:topLinePunct w:val="0"/>
        <w:autoSpaceDE/>
        <w:autoSpaceDN/>
        <w:bidi w:val="0"/>
        <w:spacing w:line="360" w:lineRule="auto"/>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（1）具有独立承担民事责任的能力：</w:t>
      </w:r>
      <w:bookmarkStart w:id="13" w:name="_Hlk104022700"/>
      <w:r>
        <w:rPr>
          <w:rFonts w:hint="eastAsia" w:ascii="宋体" w:hAnsi="宋体" w:eastAsia="宋体" w:cs="宋体"/>
          <w:color w:val="auto"/>
          <w:szCs w:val="21"/>
          <w:highlight w:val="none"/>
          <w:lang w:eastAsia="zh-CN"/>
        </w:rPr>
        <w:t>在中华人民共和国境内注册的法人或其他组织或自然人，</w:t>
      </w:r>
      <w:bookmarkStart w:id="14" w:name="_Hlk175756035"/>
      <w:r>
        <w:rPr>
          <w:rFonts w:hint="eastAsia" w:ascii="宋体" w:hAnsi="宋体" w:eastAsia="宋体" w:cs="宋体"/>
          <w:color w:val="auto"/>
          <w:szCs w:val="21"/>
          <w:highlight w:val="none"/>
          <w:lang w:eastAsia="zh-CN"/>
        </w:rPr>
        <w:t>投标文件中须</w:t>
      </w:r>
      <w:bookmarkEnd w:id="14"/>
      <w:r>
        <w:rPr>
          <w:rFonts w:hint="eastAsia" w:ascii="宋体" w:hAnsi="宋体" w:eastAsia="宋体" w:cs="宋体"/>
          <w:color w:val="auto"/>
          <w:szCs w:val="21"/>
          <w:highlight w:val="none"/>
          <w:lang w:eastAsia="zh-CN"/>
        </w:rPr>
        <w:t>提供有效的营业执照（或事业法人登记证或身份证等相关证明）复印件。分支机构</w:t>
      </w:r>
      <w:r>
        <w:rPr>
          <w:rFonts w:hint="eastAsia" w:ascii="宋体" w:hAnsi="宋体" w:eastAsia="宋体" w:cs="宋体"/>
          <w:color w:val="auto"/>
          <w:highlight w:val="none"/>
          <w:lang w:eastAsia="zh-CN"/>
        </w:rPr>
        <w:t>投标</w:t>
      </w:r>
      <w:r>
        <w:rPr>
          <w:rFonts w:hint="eastAsia" w:ascii="宋体" w:hAnsi="宋体" w:eastAsia="宋体" w:cs="宋体"/>
          <w:color w:val="auto"/>
          <w:szCs w:val="21"/>
          <w:highlight w:val="none"/>
          <w:lang w:eastAsia="zh-CN"/>
        </w:rPr>
        <w:t>的，投标文件中须提供总公司和分公司营业执照复印件，总公司出具给分支机构的授权书</w:t>
      </w:r>
      <w:bookmarkEnd w:id="13"/>
      <w:r>
        <w:rPr>
          <w:rFonts w:hint="eastAsia" w:ascii="宋体" w:hAnsi="宋体" w:eastAsia="宋体" w:cs="宋体"/>
          <w:color w:val="auto"/>
          <w:szCs w:val="21"/>
          <w:highlight w:val="none"/>
          <w:lang w:eastAsia="zh-CN"/>
        </w:rPr>
        <w:t>。</w:t>
      </w:r>
    </w:p>
    <w:p w14:paraId="3A4E072B">
      <w:pPr>
        <w:keepNext w:val="0"/>
        <w:keepLines w:val="0"/>
        <w:pageBreakBefore w:val="0"/>
        <w:kinsoku/>
        <w:overflowPunct/>
        <w:topLinePunct w:val="0"/>
        <w:autoSpaceDE/>
        <w:autoSpaceDN/>
        <w:bidi w:val="0"/>
        <w:spacing w:line="360" w:lineRule="auto"/>
        <w:ind w:firstLine="420" w:firstLineChars="2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（2）有依法缴纳税收和社会保障资金的良好记录：</w:t>
      </w:r>
      <w:bookmarkStart w:id="15" w:name="_Hlk104022718"/>
      <w:r>
        <w:rPr>
          <w:rFonts w:hint="eastAsia" w:ascii="宋体" w:hAnsi="宋体" w:eastAsia="宋体" w:cs="宋体"/>
          <w:color w:val="auto"/>
          <w:szCs w:val="21"/>
          <w:highlight w:val="none"/>
          <w:lang w:eastAsia="zh-CN"/>
        </w:rPr>
        <w:t>投标文件中须提供20</w:t>
      </w:r>
      <w:r>
        <w:rPr>
          <w:rFonts w:hint="eastAsia" w:ascii="宋体" w:hAnsi="宋体" w:eastAsia="宋体" w:cs="宋体"/>
          <w:color w:val="auto"/>
          <w:szCs w:val="21"/>
          <w:highlight w:val="none"/>
          <w:lang w:val="en-US" w:eastAsia="zh-CN"/>
        </w:rPr>
        <w:t>26</w:t>
      </w:r>
      <w:r>
        <w:rPr>
          <w:rFonts w:hint="eastAsia" w:ascii="宋体" w:hAnsi="宋体" w:eastAsia="宋体" w:cs="宋体"/>
          <w:color w:val="auto"/>
          <w:szCs w:val="21"/>
          <w:highlight w:val="none"/>
          <w:lang w:eastAsia="zh-CN"/>
        </w:rPr>
        <w:t>年</w:t>
      </w:r>
      <w:r>
        <w:rPr>
          <w:rFonts w:hint="eastAsia" w:ascii="宋体" w:hAnsi="宋体" w:eastAsia="宋体" w:cs="宋体"/>
          <w:color w:val="auto"/>
          <w:szCs w:val="21"/>
          <w:highlight w:val="none"/>
          <w:lang w:val="en-US" w:eastAsia="zh-CN"/>
        </w:rPr>
        <w:t>01</w:t>
      </w:r>
      <w:r>
        <w:rPr>
          <w:rFonts w:hint="eastAsia" w:ascii="宋体" w:hAnsi="宋体" w:eastAsia="宋体" w:cs="宋体"/>
          <w:color w:val="auto"/>
          <w:szCs w:val="21"/>
          <w:highlight w:val="none"/>
          <w:lang w:eastAsia="zh-CN"/>
        </w:rPr>
        <w:t>月至今任意1个月依法缴纳税收和社会保障资金的相关材料。如依法免税或不需要缴纳社会保障资金的，提供相应证明材料</w:t>
      </w:r>
      <w:bookmarkEnd w:id="15"/>
      <w:r>
        <w:rPr>
          <w:rFonts w:hint="eastAsia" w:ascii="宋体" w:hAnsi="宋体" w:eastAsia="宋体" w:cs="宋体"/>
          <w:color w:val="auto"/>
          <w:szCs w:val="21"/>
          <w:highlight w:val="none"/>
          <w:lang w:eastAsia="zh-CN"/>
        </w:rPr>
        <w:t>。</w:t>
      </w:r>
    </w:p>
    <w:p w14:paraId="50400C61">
      <w:pPr>
        <w:keepNext w:val="0"/>
        <w:keepLines w:val="0"/>
        <w:pageBreakBefore w:val="0"/>
        <w:kinsoku/>
        <w:overflowPunct/>
        <w:topLinePunct w:val="0"/>
        <w:autoSpaceDE/>
        <w:autoSpaceDN/>
        <w:bidi w:val="0"/>
        <w:spacing w:line="360" w:lineRule="auto"/>
        <w:ind w:firstLine="420" w:firstLineChars="2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（3）具有良好的商业信誉和健全的财务会计制度：</w:t>
      </w:r>
      <w:bookmarkStart w:id="16" w:name="_Hlk104022851"/>
      <w:bookmarkStart w:id="17" w:name="_Hlk131283906"/>
      <w:r>
        <w:rPr>
          <w:rFonts w:hint="eastAsia" w:ascii="宋体" w:hAnsi="宋体" w:eastAsia="宋体" w:cs="宋体"/>
          <w:color w:val="auto"/>
          <w:szCs w:val="21"/>
          <w:highlight w:val="none"/>
          <w:lang w:eastAsia="zh-CN"/>
        </w:rPr>
        <w:t>投标文件中须提供20</w:t>
      </w:r>
      <w:r>
        <w:rPr>
          <w:rFonts w:hint="eastAsia" w:ascii="宋体" w:hAnsi="宋体" w:eastAsia="宋体" w:cs="宋体"/>
          <w:color w:val="auto"/>
          <w:szCs w:val="21"/>
          <w:highlight w:val="none"/>
          <w:lang w:val="en-US" w:eastAsia="zh-CN"/>
        </w:rPr>
        <w:t>25</w:t>
      </w:r>
      <w:r>
        <w:rPr>
          <w:rFonts w:hint="eastAsia" w:ascii="宋体" w:hAnsi="宋体" w:eastAsia="宋体" w:cs="宋体"/>
          <w:color w:val="auto"/>
          <w:szCs w:val="21"/>
          <w:highlight w:val="none"/>
          <w:lang w:eastAsia="zh-CN"/>
        </w:rPr>
        <w:t>年度经审计的财务状况报告，或20</w:t>
      </w:r>
      <w:r>
        <w:rPr>
          <w:rFonts w:hint="eastAsia" w:ascii="宋体" w:hAnsi="宋体" w:eastAsia="宋体" w:cs="宋体"/>
          <w:color w:val="auto"/>
          <w:szCs w:val="21"/>
          <w:highlight w:val="none"/>
          <w:lang w:val="en-US" w:eastAsia="zh-CN"/>
        </w:rPr>
        <w:t>26</w:t>
      </w:r>
      <w:r>
        <w:rPr>
          <w:rFonts w:hint="eastAsia" w:ascii="宋体" w:hAnsi="宋体" w:eastAsia="宋体" w:cs="宋体"/>
          <w:color w:val="auto"/>
          <w:szCs w:val="21"/>
          <w:highlight w:val="none"/>
          <w:lang w:eastAsia="zh-CN"/>
        </w:rPr>
        <w:t>年</w:t>
      </w:r>
      <w:r>
        <w:rPr>
          <w:rFonts w:hint="eastAsia" w:ascii="宋体" w:hAnsi="宋体" w:eastAsia="宋体" w:cs="宋体"/>
          <w:color w:val="auto"/>
          <w:szCs w:val="21"/>
          <w:highlight w:val="none"/>
          <w:lang w:val="en-US" w:eastAsia="zh-CN"/>
        </w:rPr>
        <w:t>01</w:t>
      </w:r>
      <w:r>
        <w:rPr>
          <w:rFonts w:hint="eastAsia" w:ascii="宋体" w:hAnsi="宋体" w:eastAsia="宋体" w:cs="宋体"/>
          <w:color w:val="auto"/>
          <w:szCs w:val="21"/>
          <w:highlight w:val="none"/>
          <w:lang w:eastAsia="zh-CN"/>
        </w:rPr>
        <w:t>月至今任意1个月的会计报表，或银行出具的资信证明</w:t>
      </w:r>
      <w:bookmarkStart w:id="18" w:name="_Hlk175756631"/>
      <w:r>
        <w:rPr>
          <w:rFonts w:hint="eastAsia" w:ascii="宋体" w:hAnsi="宋体" w:eastAsia="宋体" w:cs="宋体"/>
          <w:color w:val="auto"/>
          <w:szCs w:val="21"/>
          <w:highlight w:val="none"/>
          <w:lang w:eastAsia="zh-CN"/>
        </w:rPr>
        <w:t>（资信证明应在有效期内；未注明有效期的，银行出具时间至提交投标文件截止时间不超过一年）</w:t>
      </w:r>
      <w:bookmarkEnd w:id="16"/>
      <w:bookmarkEnd w:id="17"/>
      <w:bookmarkEnd w:id="18"/>
      <w:r>
        <w:rPr>
          <w:rFonts w:hint="eastAsia" w:ascii="宋体" w:hAnsi="宋体" w:eastAsia="宋体" w:cs="宋体"/>
          <w:color w:val="auto"/>
          <w:szCs w:val="21"/>
          <w:highlight w:val="none"/>
          <w:lang w:eastAsia="zh-CN"/>
        </w:rPr>
        <w:t>。</w:t>
      </w:r>
    </w:p>
    <w:p w14:paraId="1EB60950">
      <w:pPr>
        <w:keepNext w:val="0"/>
        <w:keepLines w:val="0"/>
        <w:pageBreakBefore w:val="0"/>
        <w:kinsoku/>
        <w:overflowPunct/>
        <w:topLinePunct w:val="0"/>
        <w:autoSpaceDE/>
        <w:autoSpaceDN/>
        <w:bidi w:val="0"/>
        <w:spacing w:line="360" w:lineRule="auto"/>
        <w:ind w:firstLine="420" w:firstLineChars="2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（4）履行合同所必需的设备和专业技术能力：</w:t>
      </w:r>
      <w:bookmarkStart w:id="19" w:name="_Hlk172139495"/>
      <w:r>
        <w:rPr>
          <w:rFonts w:hint="eastAsia" w:ascii="宋体" w:hAnsi="宋体" w:eastAsia="宋体" w:cs="宋体"/>
          <w:color w:val="auto"/>
          <w:szCs w:val="21"/>
          <w:highlight w:val="none"/>
          <w:lang w:eastAsia="zh-CN"/>
        </w:rPr>
        <w:t>投标文件中</w:t>
      </w:r>
      <w:bookmarkEnd w:id="19"/>
      <w:r>
        <w:rPr>
          <w:rFonts w:hint="eastAsia" w:ascii="宋体" w:hAnsi="宋体" w:eastAsia="宋体" w:cs="宋体"/>
          <w:color w:val="auto"/>
          <w:szCs w:val="21"/>
          <w:highlight w:val="none"/>
          <w:lang w:eastAsia="zh-CN"/>
        </w:rPr>
        <w:t>须提供设备和专业技术能力情况表。</w:t>
      </w:r>
    </w:p>
    <w:p w14:paraId="31505D10">
      <w:pPr>
        <w:keepNext w:val="0"/>
        <w:keepLines w:val="0"/>
        <w:pageBreakBefore w:val="0"/>
        <w:kinsoku/>
        <w:overflowPunct/>
        <w:topLinePunct w:val="0"/>
        <w:autoSpaceDE/>
        <w:autoSpaceDN/>
        <w:bidi w:val="0"/>
        <w:spacing w:line="360" w:lineRule="auto"/>
        <w:ind w:firstLine="420" w:firstLineChars="2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参加采购活动前3年内，在经营活动中没有重大违法记录：在《投标函》中进行相关申明。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58EE047A">
      <w:pPr>
        <w:keepNext w:val="0"/>
        <w:keepLines w:val="0"/>
        <w:pageBreakBefore w:val="0"/>
        <w:kinsoku/>
        <w:overflowPunct/>
        <w:topLinePunct w:val="0"/>
        <w:autoSpaceDE/>
        <w:autoSpaceDN/>
        <w:bidi w:val="0"/>
        <w:spacing w:line="360" w:lineRule="auto"/>
        <w:ind w:firstLine="422" w:firstLineChars="200"/>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2.落实政府采购政策需满足的资格要求：</w:t>
      </w:r>
    </w:p>
    <w:p w14:paraId="2EFFE9F8">
      <w:pPr>
        <w:keepNext w:val="0"/>
        <w:keepLines w:val="0"/>
        <w:pageBreakBefore w:val="0"/>
        <w:widowControl/>
        <w:shd w:val="clear" w:color="auto" w:fill="FFFFFF"/>
        <w:kinsoku/>
        <w:overflowPunct/>
        <w:topLinePunct w:val="0"/>
        <w:autoSpaceDE/>
        <w:autoSpaceDN/>
        <w:bidi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项目整体专门面向中小企业采购，供应商应为中小微企业或监狱企业或残疾人福利性单位，须提供《中小企业声明函（工程、服务）》，或省级以上监狱管理局、戒毒管理局（含新疆生产建设兵团）出具的属于监狱企业的证明文件，或《残疾人福利性单位声明函》。</w:t>
      </w:r>
    </w:p>
    <w:p w14:paraId="491349A6">
      <w:pPr>
        <w:keepNext w:val="0"/>
        <w:keepLines w:val="0"/>
        <w:pageBreakBefore w:val="0"/>
        <w:widowControl/>
        <w:shd w:val="clear" w:color="auto" w:fill="FFFFFF"/>
        <w:kinsoku/>
        <w:overflowPunct/>
        <w:topLinePunct w:val="0"/>
        <w:autoSpaceDE/>
        <w:autoSpaceDN/>
        <w:bidi w:val="0"/>
        <w:spacing w:line="360" w:lineRule="auto"/>
        <w:ind w:firstLine="422" w:firstLineChars="200"/>
        <w:rPr>
          <w:rFonts w:hint="eastAsia" w:ascii="宋体" w:hAnsi="宋体" w:eastAsia="宋体" w:cs="宋体"/>
          <w:b/>
          <w:bCs/>
          <w:color w:val="auto"/>
          <w:szCs w:val="21"/>
          <w:highlight w:val="none"/>
          <w:shd w:val="clear" w:color="auto" w:fill="FFFFFF"/>
          <w:lang w:eastAsia="zh-CN"/>
        </w:rPr>
      </w:pPr>
      <w:r>
        <w:rPr>
          <w:rFonts w:hint="eastAsia" w:ascii="宋体" w:hAnsi="宋体" w:eastAsia="宋体" w:cs="宋体"/>
          <w:b/>
          <w:bCs/>
          <w:color w:val="auto"/>
          <w:szCs w:val="21"/>
          <w:highlight w:val="none"/>
          <w:shd w:val="clear" w:color="auto" w:fill="FFFFFF"/>
          <w:lang w:eastAsia="zh-CN"/>
        </w:rPr>
        <w:t>3.</w:t>
      </w:r>
      <w:r>
        <w:rPr>
          <w:rFonts w:hint="eastAsia" w:ascii="宋体" w:hAnsi="宋体" w:eastAsia="宋体" w:cs="宋体"/>
          <w:b/>
          <w:bCs/>
          <w:color w:val="auto"/>
          <w:szCs w:val="21"/>
          <w:highlight w:val="none"/>
          <w:shd w:val="clear" w:color="auto" w:fill="FFFFFF"/>
          <w:lang w:val="en-US" w:eastAsia="zh-CN"/>
        </w:rPr>
        <w:t>其他</w:t>
      </w:r>
      <w:r>
        <w:rPr>
          <w:rFonts w:hint="eastAsia" w:ascii="宋体" w:hAnsi="宋体" w:eastAsia="宋体" w:cs="宋体"/>
          <w:b/>
          <w:bCs/>
          <w:color w:val="auto"/>
          <w:szCs w:val="21"/>
          <w:highlight w:val="none"/>
          <w:shd w:val="clear" w:color="auto" w:fill="FFFFFF"/>
          <w:lang w:eastAsia="zh-CN"/>
        </w:rPr>
        <w:t>要求：</w:t>
      </w:r>
    </w:p>
    <w:p w14:paraId="2EA42AC2">
      <w:pPr>
        <w:keepNext w:val="0"/>
        <w:keepLines w:val="0"/>
        <w:pageBreakBefore w:val="0"/>
        <w:widowControl/>
        <w:shd w:val="clear" w:color="auto" w:fill="FFFFFF"/>
        <w:kinsoku/>
        <w:overflowPunct/>
        <w:topLinePunct w:val="0"/>
        <w:autoSpaceDE/>
        <w:autoSpaceDN/>
        <w:bidi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单位负责人为同一人或者存在直接控股、管理关系的不同供应商，不得同时参加本采购项目（或采购包）投标（响应）。为本项目提供整体设计、规范编制或者项目管理、监理、检测等服务的供应商，不得再参与本项目投标（响应）。</w:t>
      </w:r>
      <w:bookmarkStart w:id="20" w:name="_Hlk171512818"/>
      <w:r>
        <w:rPr>
          <w:rFonts w:hint="eastAsia" w:ascii="宋体" w:hAnsi="宋体" w:eastAsia="宋体" w:cs="宋体"/>
          <w:color w:val="auto"/>
          <w:szCs w:val="21"/>
          <w:highlight w:val="none"/>
          <w:lang w:eastAsia="zh-CN"/>
        </w:rPr>
        <w:t>在《投标函》中进行相关申明</w:t>
      </w:r>
      <w:bookmarkEnd w:id="20"/>
      <w:r>
        <w:rPr>
          <w:rFonts w:hint="eastAsia" w:ascii="宋体" w:hAnsi="宋体" w:eastAsia="宋体" w:cs="宋体"/>
          <w:color w:val="auto"/>
          <w:szCs w:val="21"/>
          <w:highlight w:val="none"/>
          <w:lang w:eastAsia="zh-CN"/>
        </w:rPr>
        <w:t>。</w:t>
      </w:r>
    </w:p>
    <w:p w14:paraId="395507FB">
      <w:pPr>
        <w:pStyle w:val="2"/>
        <w:keepNext w:val="0"/>
        <w:keepLines w:val="0"/>
        <w:pageBreakBefore w:val="0"/>
        <w:tabs>
          <w:tab w:val="left" w:pos="3960"/>
        </w:tabs>
        <w:kinsoku/>
        <w:overflowPunct/>
        <w:topLinePunct w:val="0"/>
        <w:autoSpaceDE/>
        <w:autoSpaceDN/>
        <w:bidi w:val="0"/>
        <w:spacing w:line="360" w:lineRule="auto"/>
        <w:ind w:firstLine="420" w:firstLineChars="2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w:t>
      </w:r>
      <w:r>
        <w:rPr>
          <w:rFonts w:hint="eastAsia" w:ascii="宋体" w:hAnsi="宋体" w:eastAsia="宋体" w:cs="宋体"/>
          <w:color w:val="auto"/>
          <w:szCs w:val="21"/>
          <w:highlight w:val="none"/>
        </w:rPr>
        <w:t>供应商未被列入“信用中国”网站（www.creditchina.gov.cn）“失信被执行人名单或重大税收违法失信主体或政府采购严重违法失信行为记录名单”中；不处于“中国政府采购网”（www.ccgp.gov.cn）“政府采购严重违法失信行为信息记录”中的禁止参加政府采购活动期间。</w:t>
      </w:r>
      <w:r>
        <w:rPr>
          <w:rFonts w:hint="eastAsia" w:ascii="宋体" w:hAnsi="宋体" w:eastAsia="宋体" w:cs="宋体"/>
          <w:color w:val="auto"/>
          <w:szCs w:val="21"/>
          <w:highlight w:val="none"/>
          <w:lang w:eastAsia="zh-CN"/>
        </w:rPr>
        <w:t>（以采购代理机构于投标（响应）截止时间当天在上述网站查询结果为准，如在上述网站查询结果均显示没有相关记录，视为没有上述不良信用记录；如相关失信记录已失效，供应商须提供相关证明资料。）</w:t>
      </w:r>
    </w:p>
    <w:p w14:paraId="702E5205">
      <w:pPr>
        <w:pStyle w:val="55"/>
        <w:keepNext w:val="0"/>
        <w:keepLines w:val="0"/>
        <w:pageBreakBefore w:val="0"/>
        <w:kinsoku/>
        <w:overflowPunct/>
        <w:topLinePunct w:val="0"/>
        <w:autoSpaceDE/>
        <w:autoSpaceDN/>
        <w:bidi w:val="0"/>
        <w:spacing w:line="360" w:lineRule="auto"/>
        <w:outlineLvl w:val="1"/>
        <w:rPr>
          <w:rFonts w:hint="eastAsia" w:ascii="宋体" w:hAnsi="宋体" w:eastAsia="宋体" w:cs="宋体"/>
          <w:color w:val="auto"/>
          <w:sz w:val="21"/>
          <w:szCs w:val="21"/>
          <w:highlight w:val="none"/>
          <w:lang w:eastAsia="zh-CN"/>
        </w:rPr>
      </w:pPr>
      <w:bookmarkStart w:id="21" w:name="_Toc104131885"/>
      <w:bookmarkStart w:id="22" w:name="_Toc31598"/>
      <w:r>
        <w:rPr>
          <w:rFonts w:hint="eastAsia" w:ascii="宋体" w:hAnsi="宋体" w:eastAsia="宋体" w:cs="宋体"/>
          <w:color w:val="auto"/>
          <w:sz w:val="21"/>
          <w:szCs w:val="21"/>
          <w:highlight w:val="none"/>
          <w:lang w:eastAsia="zh-CN"/>
        </w:rPr>
        <w:t>三、获取招标文件</w:t>
      </w:r>
      <w:bookmarkEnd w:id="21"/>
      <w:bookmarkEnd w:id="22"/>
    </w:p>
    <w:p w14:paraId="4328ED56">
      <w:pPr>
        <w:keepNext w:val="0"/>
        <w:keepLines w:val="0"/>
        <w:pageBreakBefore w:val="0"/>
        <w:kinsoku/>
        <w:overflowPunct/>
        <w:topLinePunct w:val="0"/>
        <w:autoSpaceDE/>
        <w:autoSpaceDN/>
        <w:bidi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时间：20XX年XX月XX日至20XX年XX月XX日，每天上午08:30:00至12:00:00，下午12:00:00至17:30:00。（北京时间，法定节假日除外）</w:t>
      </w:r>
    </w:p>
    <w:p w14:paraId="00012841">
      <w:pPr>
        <w:keepNext w:val="0"/>
        <w:keepLines w:val="0"/>
        <w:pageBreakBefore w:val="0"/>
        <w:kinsoku/>
        <w:overflowPunct/>
        <w:topLinePunct w:val="0"/>
        <w:autoSpaceDE/>
        <w:autoSpaceDN/>
        <w:bidi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地点：诚E招电子采购交易平台（https://www.chengezhao.com/）</w:t>
      </w:r>
      <w:bookmarkStart w:id="23" w:name="_Hlk156235487"/>
      <w:r>
        <w:rPr>
          <w:rFonts w:hint="eastAsia" w:ascii="宋体" w:hAnsi="宋体" w:eastAsia="宋体" w:cs="宋体"/>
          <w:color w:val="auto"/>
          <w:szCs w:val="21"/>
          <w:highlight w:val="none"/>
          <w:lang w:eastAsia="zh-CN"/>
        </w:rPr>
        <w:t>或公诚管理咨询有限公司</w:t>
      </w:r>
      <w:bookmarkEnd w:id="23"/>
    </w:p>
    <w:p w14:paraId="4F73C19C">
      <w:pPr>
        <w:keepNext w:val="0"/>
        <w:keepLines w:val="0"/>
        <w:pageBreakBefore w:val="0"/>
        <w:kinsoku/>
        <w:overflowPunct/>
        <w:topLinePunct w:val="0"/>
        <w:autoSpaceDE/>
        <w:autoSpaceDN/>
        <w:bidi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方式：</w:t>
      </w:r>
      <w:bookmarkStart w:id="24" w:name="_Hlk156224223"/>
      <w:r>
        <w:rPr>
          <w:rFonts w:hint="eastAsia" w:ascii="宋体" w:hAnsi="宋体" w:eastAsia="宋体" w:cs="宋体"/>
          <w:color w:val="auto"/>
          <w:szCs w:val="21"/>
          <w:highlight w:val="none"/>
          <w:lang w:eastAsia="zh-CN"/>
        </w:rPr>
        <w:t>（1）</w:t>
      </w:r>
      <w:bookmarkStart w:id="25" w:name="_Hlk156224288"/>
      <w:r>
        <w:rPr>
          <w:rFonts w:hint="eastAsia" w:ascii="宋体" w:hAnsi="宋体" w:eastAsia="宋体" w:cs="宋体"/>
          <w:color w:val="auto"/>
          <w:szCs w:val="21"/>
          <w:highlight w:val="none"/>
          <w:lang w:eastAsia="zh-CN"/>
        </w:rPr>
        <w:t>线上获取：</w:t>
      </w:r>
      <w:bookmarkStart w:id="26" w:name="_Hlk156224148"/>
      <w:r>
        <w:rPr>
          <w:rFonts w:hint="eastAsia" w:ascii="宋体" w:hAnsi="宋体" w:eastAsia="宋体" w:cs="宋体"/>
          <w:color w:val="auto"/>
          <w:szCs w:val="21"/>
          <w:highlight w:val="none"/>
          <w:lang w:eastAsia="zh-CN"/>
        </w:rPr>
        <w:t>供应商从诚E招电子采购交易平台（https://www.chengezhao.com/）上的【投标人登录】入口进入平台，点击【商机发现】，通过项目名称或项目编号检索本项目后在线获取采购文件（若涉及平台技术问题，可咨询平台客服020-89524219）；供应商在网上成功获取采购文件后，可无需现场获取采购文件。</w:t>
      </w:r>
      <w:bookmarkEnd w:id="25"/>
      <w:bookmarkEnd w:id="26"/>
      <w:r>
        <w:rPr>
          <w:rFonts w:hint="eastAsia" w:ascii="宋体" w:hAnsi="宋体" w:eastAsia="宋体" w:cs="宋体"/>
          <w:color w:val="auto"/>
          <w:szCs w:val="21"/>
          <w:highlight w:val="none"/>
          <w:lang w:eastAsia="zh-CN"/>
        </w:rPr>
        <w:t>（2）线下获取：供应商前往广东省珠海市香洲区兴华路192号2号楼4楼</w:t>
      </w:r>
      <w:bookmarkStart w:id="27" w:name="_Hlk156223166"/>
      <w:r>
        <w:rPr>
          <w:rFonts w:hint="eastAsia" w:ascii="宋体" w:hAnsi="宋体" w:eastAsia="宋体" w:cs="宋体"/>
          <w:color w:val="auto"/>
          <w:szCs w:val="21"/>
          <w:highlight w:val="none"/>
          <w:lang w:eastAsia="zh-CN"/>
        </w:rPr>
        <w:t>公诚管理咨询有限公司</w:t>
      </w:r>
      <w:bookmarkEnd w:id="27"/>
      <w:r>
        <w:rPr>
          <w:rFonts w:hint="eastAsia" w:ascii="宋体" w:hAnsi="宋体" w:eastAsia="宋体" w:cs="宋体"/>
          <w:color w:val="auto"/>
          <w:szCs w:val="21"/>
          <w:highlight w:val="none"/>
          <w:lang w:eastAsia="zh-CN"/>
        </w:rPr>
        <w:t>现场获取采购文件。</w:t>
      </w:r>
      <w:bookmarkEnd w:id="24"/>
      <w:r>
        <w:rPr>
          <w:rFonts w:hint="eastAsia" w:ascii="宋体" w:hAnsi="宋体" w:eastAsia="宋体" w:cs="宋体"/>
          <w:color w:val="auto"/>
          <w:szCs w:val="21"/>
          <w:highlight w:val="none"/>
          <w:lang w:eastAsia="zh-CN"/>
        </w:rPr>
        <w:t xml:space="preserve"> </w:t>
      </w:r>
    </w:p>
    <w:p w14:paraId="7632EF34">
      <w:pPr>
        <w:keepNext w:val="0"/>
        <w:keepLines w:val="0"/>
        <w:pageBreakBefore w:val="0"/>
        <w:kinsoku/>
        <w:overflowPunct/>
        <w:topLinePunct w:val="0"/>
        <w:autoSpaceDE/>
        <w:autoSpaceDN/>
        <w:bidi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售价：0.00元（人民币）</w:t>
      </w:r>
    </w:p>
    <w:p w14:paraId="3D2CF809">
      <w:pPr>
        <w:pStyle w:val="55"/>
        <w:keepNext w:val="0"/>
        <w:keepLines w:val="0"/>
        <w:pageBreakBefore w:val="0"/>
        <w:kinsoku/>
        <w:overflowPunct/>
        <w:topLinePunct w:val="0"/>
        <w:autoSpaceDE/>
        <w:autoSpaceDN/>
        <w:bidi w:val="0"/>
        <w:spacing w:line="360" w:lineRule="auto"/>
        <w:outlineLvl w:val="1"/>
        <w:rPr>
          <w:rFonts w:hint="eastAsia" w:ascii="宋体" w:hAnsi="宋体" w:eastAsia="宋体" w:cs="宋体"/>
          <w:color w:val="auto"/>
          <w:sz w:val="21"/>
          <w:szCs w:val="21"/>
          <w:highlight w:val="none"/>
          <w:lang w:eastAsia="zh-CN"/>
        </w:rPr>
      </w:pPr>
      <w:bookmarkStart w:id="28" w:name="_Toc13193"/>
      <w:bookmarkStart w:id="29" w:name="_Toc104131886"/>
      <w:r>
        <w:rPr>
          <w:rFonts w:hint="eastAsia" w:ascii="宋体" w:hAnsi="宋体" w:eastAsia="宋体" w:cs="宋体"/>
          <w:color w:val="auto"/>
          <w:sz w:val="21"/>
          <w:szCs w:val="21"/>
          <w:highlight w:val="none"/>
          <w:lang w:eastAsia="zh-CN"/>
        </w:rPr>
        <w:t>四、提交投标文件截止时间、开标时间和地点</w:t>
      </w:r>
      <w:bookmarkEnd w:id="28"/>
      <w:bookmarkEnd w:id="29"/>
    </w:p>
    <w:p w14:paraId="55E25841">
      <w:pPr>
        <w:keepNext w:val="0"/>
        <w:keepLines w:val="0"/>
        <w:pageBreakBefore w:val="0"/>
        <w:kinsoku/>
        <w:overflowPunct/>
        <w:topLinePunct w:val="0"/>
        <w:autoSpaceDE/>
        <w:autoSpaceDN/>
        <w:bidi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提交投标文件截止时间：20XX年XX月XX日XX点XX分00秒（北京时间）</w:t>
      </w:r>
    </w:p>
    <w:p w14:paraId="76D9B17E">
      <w:pPr>
        <w:keepNext w:val="0"/>
        <w:keepLines w:val="0"/>
        <w:pageBreakBefore w:val="0"/>
        <w:kinsoku/>
        <w:overflowPunct/>
        <w:topLinePunct w:val="0"/>
        <w:autoSpaceDE/>
        <w:autoSpaceDN/>
        <w:bidi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开标时间：20XX年XX月XX日XX点XX分00秒（北京时间）</w:t>
      </w:r>
    </w:p>
    <w:p w14:paraId="261C43F2">
      <w:pPr>
        <w:keepNext w:val="0"/>
        <w:keepLines w:val="0"/>
        <w:pageBreakBefore w:val="0"/>
        <w:kinsoku/>
        <w:overflowPunct/>
        <w:topLinePunct w:val="0"/>
        <w:autoSpaceDE/>
        <w:autoSpaceDN/>
        <w:bidi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地点：广东省珠海市香洲区兴华路192号2号楼3楼公诚管理咨询有限公司302会议室</w:t>
      </w:r>
    </w:p>
    <w:p w14:paraId="79239138">
      <w:pPr>
        <w:pStyle w:val="55"/>
        <w:keepNext w:val="0"/>
        <w:keepLines w:val="0"/>
        <w:pageBreakBefore w:val="0"/>
        <w:kinsoku/>
        <w:overflowPunct/>
        <w:topLinePunct w:val="0"/>
        <w:autoSpaceDE/>
        <w:autoSpaceDN/>
        <w:bidi w:val="0"/>
        <w:spacing w:line="360" w:lineRule="auto"/>
        <w:outlineLvl w:val="1"/>
        <w:rPr>
          <w:rFonts w:hint="eastAsia" w:ascii="宋体" w:hAnsi="宋体" w:eastAsia="宋体" w:cs="宋体"/>
          <w:color w:val="auto"/>
          <w:sz w:val="21"/>
          <w:szCs w:val="21"/>
          <w:highlight w:val="none"/>
          <w:lang w:eastAsia="zh-CN"/>
        </w:rPr>
      </w:pPr>
      <w:bookmarkStart w:id="30" w:name="_Toc26561"/>
      <w:bookmarkStart w:id="31" w:name="_Toc104131887"/>
      <w:r>
        <w:rPr>
          <w:rFonts w:hint="eastAsia" w:ascii="宋体" w:hAnsi="宋体" w:eastAsia="宋体" w:cs="宋体"/>
          <w:color w:val="auto"/>
          <w:sz w:val="21"/>
          <w:szCs w:val="21"/>
          <w:highlight w:val="none"/>
          <w:lang w:eastAsia="zh-CN"/>
        </w:rPr>
        <w:t>五、公告期限</w:t>
      </w:r>
      <w:bookmarkEnd w:id="30"/>
      <w:bookmarkEnd w:id="31"/>
    </w:p>
    <w:p w14:paraId="6A0AC2ED">
      <w:pPr>
        <w:keepNext w:val="0"/>
        <w:keepLines w:val="0"/>
        <w:pageBreakBefore w:val="0"/>
        <w:kinsoku/>
        <w:overflowPunct/>
        <w:topLinePunct w:val="0"/>
        <w:autoSpaceDE/>
        <w:autoSpaceDN/>
        <w:bidi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自本公告发布之日起5个工作日。</w:t>
      </w:r>
    </w:p>
    <w:p w14:paraId="13DA2839">
      <w:pPr>
        <w:pStyle w:val="55"/>
        <w:keepNext w:val="0"/>
        <w:keepLines w:val="0"/>
        <w:pageBreakBefore w:val="0"/>
        <w:kinsoku/>
        <w:overflowPunct/>
        <w:topLinePunct w:val="0"/>
        <w:autoSpaceDE/>
        <w:autoSpaceDN/>
        <w:bidi w:val="0"/>
        <w:spacing w:line="360" w:lineRule="auto"/>
        <w:outlineLvl w:val="1"/>
        <w:rPr>
          <w:rFonts w:hint="eastAsia" w:ascii="宋体" w:hAnsi="宋体" w:eastAsia="宋体" w:cs="宋体"/>
          <w:color w:val="auto"/>
          <w:sz w:val="21"/>
          <w:szCs w:val="21"/>
          <w:highlight w:val="none"/>
          <w:lang w:eastAsia="zh-CN"/>
        </w:rPr>
      </w:pPr>
      <w:bookmarkStart w:id="32" w:name="_Toc3184"/>
      <w:bookmarkStart w:id="33" w:name="_Toc104131888"/>
      <w:r>
        <w:rPr>
          <w:rFonts w:hint="eastAsia" w:ascii="宋体" w:hAnsi="宋体" w:eastAsia="宋体" w:cs="宋体"/>
          <w:color w:val="auto"/>
          <w:sz w:val="21"/>
          <w:szCs w:val="21"/>
          <w:highlight w:val="none"/>
          <w:lang w:eastAsia="zh-CN"/>
        </w:rPr>
        <w:t>六、其他补充事宜</w:t>
      </w:r>
      <w:bookmarkEnd w:id="32"/>
      <w:bookmarkEnd w:id="33"/>
    </w:p>
    <w:p w14:paraId="47CF55A3">
      <w:pPr>
        <w:keepNext w:val="0"/>
        <w:keepLines w:val="0"/>
        <w:pageBreakBefore w:val="0"/>
        <w:kinsoku/>
        <w:overflowPunct/>
        <w:topLinePunct w:val="0"/>
        <w:autoSpaceDE/>
        <w:autoSpaceDN/>
        <w:bidi w:val="0"/>
        <w:adjustRightInd w:val="0"/>
        <w:snapToGrid w:val="0"/>
        <w:spacing w:line="360" w:lineRule="auto"/>
        <w:ind w:firstLine="49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资格要求中所指“其他组织”不包括法人的分支机构，由于法人分支机构不能独立承担民事责任，不能以分支机构的身份参加政府采购，只能以法人身份参加。但由于银行、保险、石油石化、电力、电信、邮政、铁路等行业具有其特殊性，如果能够提供其法人给予的相应授权证明材料，可以参加政府采购活动。</w:t>
      </w:r>
    </w:p>
    <w:p w14:paraId="08EB6826">
      <w:pPr>
        <w:pStyle w:val="55"/>
        <w:keepNext w:val="0"/>
        <w:keepLines w:val="0"/>
        <w:pageBreakBefore w:val="0"/>
        <w:kinsoku/>
        <w:overflowPunct/>
        <w:topLinePunct w:val="0"/>
        <w:autoSpaceDE/>
        <w:autoSpaceDN/>
        <w:bidi w:val="0"/>
        <w:spacing w:line="360" w:lineRule="auto"/>
        <w:outlineLvl w:val="1"/>
        <w:rPr>
          <w:rFonts w:hint="eastAsia" w:ascii="宋体" w:hAnsi="宋体" w:eastAsia="宋体" w:cs="宋体"/>
          <w:color w:val="auto"/>
          <w:sz w:val="21"/>
          <w:szCs w:val="21"/>
          <w:highlight w:val="none"/>
          <w:lang w:eastAsia="zh-CN"/>
        </w:rPr>
      </w:pPr>
      <w:bookmarkStart w:id="34" w:name="_Toc5524"/>
      <w:bookmarkStart w:id="35" w:name="_Toc104131889"/>
      <w:r>
        <w:rPr>
          <w:rFonts w:hint="eastAsia" w:ascii="宋体" w:hAnsi="宋体" w:eastAsia="宋体" w:cs="宋体"/>
          <w:color w:val="auto"/>
          <w:sz w:val="21"/>
          <w:szCs w:val="21"/>
          <w:highlight w:val="none"/>
          <w:lang w:eastAsia="zh-CN"/>
        </w:rPr>
        <w:t>七、对本次招标提出询问，请按以下方式联系</w:t>
      </w:r>
      <w:bookmarkEnd w:id="34"/>
      <w:bookmarkEnd w:id="35"/>
    </w:p>
    <w:p w14:paraId="25C0BA27">
      <w:pPr>
        <w:keepNext w:val="0"/>
        <w:keepLines w:val="0"/>
        <w:pageBreakBefore w:val="0"/>
        <w:kinsoku/>
        <w:overflowPunct/>
        <w:topLinePunct w:val="0"/>
        <w:autoSpaceDE/>
        <w:autoSpaceDN/>
        <w:bidi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1.采购人信息</w:t>
      </w:r>
    </w:p>
    <w:p w14:paraId="25330DD2">
      <w:pPr>
        <w:keepNext w:val="0"/>
        <w:keepLines w:val="0"/>
        <w:pageBreakBefore w:val="0"/>
        <w:kinsoku/>
        <w:overflowPunct/>
        <w:topLinePunct w:val="0"/>
        <w:autoSpaceDE/>
        <w:autoSpaceDN/>
        <w:bidi w:val="0"/>
        <w:spacing w:line="360" w:lineRule="auto"/>
        <w:ind w:firstLine="707" w:firstLineChars="337"/>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名    称：中华人民共和国万山出入境边防检查站</w:t>
      </w:r>
    </w:p>
    <w:p w14:paraId="1FB2A2C1">
      <w:pPr>
        <w:keepNext w:val="0"/>
        <w:keepLines w:val="0"/>
        <w:pageBreakBefore w:val="0"/>
        <w:kinsoku/>
        <w:overflowPunct/>
        <w:topLinePunct w:val="0"/>
        <w:autoSpaceDE/>
        <w:autoSpaceDN/>
        <w:bidi w:val="0"/>
        <w:spacing w:line="360" w:lineRule="auto"/>
        <w:ind w:firstLine="707" w:firstLineChars="337"/>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地    址：珠海市香洲区桂山岛昌兴路8号</w:t>
      </w:r>
    </w:p>
    <w:p w14:paraId="6CE12156">
      <w:pPr>
        <w:keepNext w:val="0"/>
        <w:keepLines w:val="0"/>
        <w:pageBreakBefore w:val="0"/>
        <w:kinsoku/>
        <w:overflowPunct/>
        <w:topLinePunct w:val="0"/>
        <w:autoSpaceDE/>
        <w:autoSpaceDN/>
        <w:bidi w:val="0"/>
        <w:spacing w:line="360" w:lineRule="auto"/>
        <w:ind w:firstLine="707" w:firstLineChars="337"/>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联系方式：陈建霖，0756-8167857</w:t>
      </w:r>
    </w:p>
    <w:p w14:paraId="6B2CA808">
      <w:pPr>
        <w:keepNext w:val="0"/>
        <w:keepLines w:val="0"/>
        <w:pageBreakBefore w:val="0"/>
        <w:kinsoku/>
        <w:overflowPunct/>
        <w:topLinePunct w:val="0"/>
        <w:autoSpaceDE/>
        <w:autoSpaceDN/>
        <w:bidi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2.采购代理机构信息</w:t>
      </w:r>
    </w:p>
    <w:p w14:paraId="3A2C759A">
      <w:pPr>
        <w:keepNext w:val="0"/>
        <w:keepLines w:val="0"/>
        <w:pageBreakBefore w:val="0"/>
        <w:kinsoku/>
        <w:overflowPunct/>
        <w:topLinePunct w:val="0"/>
        <w:autoSpaceDE/>
        <w:autoSpaceDN/>
        <w:bidi w:val="0"/>
        <w:spacing w:line="360" w:lineRule="auto"/>
        <w:ind w:firstLine="707" w:firstLineChars="337"/>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名    称：公诚管理咨询有限公司</w:t>
      </w:r>
    </w:p>
    <w:p w14:paraId="517C208B">
      <w:pPr>
        <w:keepNext w:val="0"/>
        <w:keepLines w:val="0"/>
        <w:pageBreakBefore w:val="0"/>
        <w:kinsoku/>
        <w:overflowPunct/>
        <w:topLinePunct w:val="0"/>
        <w:autoSpaceDE/>
        <w:autoSpaceDN/>
        <w:bidi w:val="0"/>
        <w:spacing w:line="360" w:lineRule="auto"/>
        <w:ind w:firstLine="707" w:firstLineChars="337"/>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地    址：广东省珠海市香洲区兴华路192号</w:t>
      </w:r>
    </w:p>
    <w:p w14:paraId="346515C5">
      <w:pPr>
        <w:keepNext w:val="0"/>
        <w:keepLines w:val="0"/>
        <w:pageBreakBefore w:val="0"/>
        <w:kinsoku/>
        <w:overflowPunct/>
        <w:topLinePunct w:val="0"/>
        <w:autoSpaceDE/>
        <w:autoSpaceDN/>
        <w:bidi w:val="0"/>
        <w:spacing w:line="360" w:lineRule="auto"/>
        <w:ind w:firstLine="707" w:firstLineChars="337"/>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联系方式：</w:t>
      </w:r>
      <w:r>
        <w:rPr>
          <w:rFonts w:hint="eastAsia" w:ascii="宋体" w:hAnsi="宋体" w:eastAsia="宋体" w:cs="宋体"/>
          <w:color w:val="auto"/>
          <w:szCs w:val="21"/>
          <w:highlight w:val="none"/>
          <w:lang w:val="en-US" w:eastAsia="zh-CN"/>
        </w:rPr>
        <w:t>杨述文</w:t>
      </w:r>
      <w:r>
        <w:rPr>
          <w:rFonts w:hint="eastAsia" w:ascii="宋体" w:hAnsi="宋体" w:eastAsia="宋体" w:cs="宋体"/>
          <w:color w:val="auto"/>
          <w:szCs w:val="21"/>
          <w:highlight w:val="none"/>
          <w:lang w:eastAsia="zh-CN"/>
        </w:rPr>
        <w:t>、郑凯存、潘文辉、秦晓波、盛菲、李涛，0756-2666861</w:t>
      </w:r>
    </w:p>
    <w:p w14:paraId="4A670A6E">
      <w:pPr>
        <w:keepNext w:val="0"/>
        <w:keepLines w:val="0"/>
        <w:pageBreakBefore w:val="0"/>
        <w:kinsoku/>
        <w:overflowPunct/>
        <w:topLinePunct w:val="0"/>
        <w:autoSpaceDE/>
        <w:autoSpaceDN/>
        <w:bidi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3.项目联系方式</w:t>
      </w:r>
    </w:p>
    <w:p w14:paraId="64159F9D">
      <w:pPr>
        <w:keepNext w:val="0"/>
        <w:keepLines w:val="0"/>
        <w:pageBreakBefore w:val="0"/>
        <w:kinsoku/>
        <w:overflowPunct/>
        <w:topLinePunct w:val="0"/>
        <w:autoSpaceDE/>
        <w:autoSpaceDN/>
        <w:bidi w:val="0"/>
        <w:spacing w:line="360" w:lineRule="auto"/>
        <w:ind w:firstLine="707" w:firstLineChars="337"/>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项目联系人：</w:t>
      </w:r>
      <w:r>
        <w:rPr>
          <w:rFonts w:hint="eastAsia" w:ascii="宋体" w:hAnsi="宋体" w:eastAsia="宋体" w:cs="宋体"/>
          <w:color w:val="auto"/>
          <w:szCs w:val="21"/>
          <w:highlight w:val="none"/>
          <w:lang w:val="en-US" w:eastAsia="zh-CN"/>
        </w:rPr>
        <w:t>杨述文</w:t>
      </w:r>
    </w:p>
    <w:p w14:paraId="3C362FE5">
      <w:pPr>
        <w:keepNext w:val="0"/>
        <w:keepLines w:val="0"/>
        <w:pageBreakBefore w:val="0"/>
        <w:kinsoku/>
        <w:overflowPunct/>
        <w:topLinePunct w:val="0"/>
        <w:autoSpaceDE/>
        <w:autoSpaceDN/>
        <w:bidi w:val="0"/>
        <w:spacing w:line="360" w:lineRule="auto"/>
        <w:ind w:firstLine="707" w:firstLineChars="337"/>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电    话：0756-2666861</w:t>
      </w:r>
    </w:p>
    <w:p w14:paraId="27B7E1BA">
      <w:pPr>
        <w:keepNext w:val="0"/>
        <w:keepLines w:val="0"/>
        <w:pageBreakBefore w:val="0"/>
        <w:widowControl/>
        <w:shd w:val="clear" w:color="auto" w:fill="FFFFFF"/>
        <w:kinsoku/>
        <w:overflowPunct/>
        <w:topLinePunct w:val="0"/>
        <w:autoSpaceDE/>
        <w:autoSpaceDN/>
        <w:bidi w:val="0"/>
        <w:spacing w:line="360" w:lineRule="auto"/>
        <w:ind w:firstLine="1260"/>
        <w:jc w:val="righ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shd w:val="clear" w:color="auto" w:fill="FFFFFF"/>
          <w:lang w:eastAsia="zh-CN" w:bidi="ar"/>
        </w:rPr>
        <w:t>                                      公诚管理咨询有限公司</w:t>
      </w:r>
    </w:p>
    <w:p w14:paraId="0928138B">
      <w:pPr>
        <w:pStyle w:val="27"/>
        <w:keepNext w:val="0"/>
        <w:keepLines w:val="0"/>
        <w:pageBreakBefore w:val="0"/>
        <w:kinsoku/>
        <w:overflowPunct/>
        <w:topLinePunct w:val="0"/>
        <w:autoSpaceDE/>
        <w:autoSpaceDN/>
        <w:bidi w:val="0"/>
        <w:spacing w:line="360" w:lineRule="auto"/>
        <w:ind w:firstLine="420"/>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lang w:bidi="ar"/>
        </w:rPr>
        <w:t>20XX年XX月XX日</w:t>
      </w:r>
    </w:p>
    <w:p w14:paraId="7EDD0425">
      <w:pPr>
        <w:pStyle w:val="33"/>
        <w:keepNext w:val="0"/>
        <w:keepLines w:val="0"/>
        <w:pageBreakBefore w:val="0"/>
        <w:kinsoku/>
        <w:overflowPunct/>
        <w:topLinePunct w:val="0"/>
        <w:autoSpaceDE/>
        <w:autoSpaceDN/>
        <w:bidi w:val="0"/>
        <w:spacing w:after="0"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br w:type="page"/>
      </w:r>
    </w:p>
    <w:p w14:paraId="15A1584F">
      <w:pPr>
        <w:keepNext w:val="0"/>
        <w:keepLines w:val="0"/>
        <w:pageBreakBefore w:val="0"/>
        <w:kinsoku/>
        <w:overflowPunct/>
        <w:topLinePunct w:val="0"/>
        <w:autoSpaceDE/>
        <w:autoSpaceDN/>
        <w:bidi w:val="0"/>
        <w:spacing w:line="360" w:lineRule="auto"/>
        <w:jc w:val="center"/>
        <w:outlineLvl w:val="0"/>
        <w:rPr>
          <w:rFonts w:hint="eastAsia" w:ascii="宋体" w:hAnsi="宋体" w:eastAsia="宋体" w:cs="宋体"/>
          <w:b/>
          <w:bCs/>
          <w:color w:val="auto"/>
          <w:sz w:val="24"/>
          <w:szCs w:val="24"/>
          <w:highlight w:val="none"/>
          <w:lang w:eastAsia="zh-CN"/>
        </w:rPr>
      </w:pPr>
      <w:bookmarkStart w:id="36" w:name="_Toc103461606"/>
      <w:bookmarkStart w:id="37" w:name="_Toc8965"/>
      <w:bookmarkStart w:id="38" w:name="_Toc103462366"/>
      <w:bookmarkStart w:id="39" w:name="_Toc103461377"/>
      <w:bookmarkStart w:id="40" w:name="_Toc103462392"/>
      <w:bookmarkStart w:id="41" w:name="_Toc104131890"/>
      <w:r>
        <w:rPr>
          <w:rFonts w:hint="eastAsia" w:ascii="宋体" w:hAnsi="宋体" w:eastAsia="宋体" w:cs="宋体"/>
          <w:b/>
          <w:bCs/>
          <w:color w:val="auto"/>
          <w:sz w:val="24"/>
          <w:szCs w:val="24"/>
          <w:highlight w:val="none"/>
          <w:lang w:eastAsia="zh-CN"/>
        </w:rPr>
        <w:t>第二章 采购需求</w:t>
      </w:r>
      <w:bookmarkEnd w:id="36"/>
      <w:bookmarkEnd w:id="37"/>
      <w:bookmarkEnd w:id="38"/>
      <w:bookmarkEnd w:id="39"/>
      <w:bookmarkEnd w:id="40"/>
      <w:bookmarkEnd w:id="41"/>
    </w:p>
    <w:p w14:paraId="62A535F7">
      <w:pPr>
        <w:pStyle w:val="33"/>
        <w:keepNext w:val="0"/>
        <w:keepLines w:val="0"/>
        <w:pageBreakBefore w:val="0"/>
        <w:kinsoku/>
        <w:overflowPunct/>
        <w:topLinePunct w:val="0"/>
        <w:autoSpaceDE/>
        <w:autoSpaceDN/>
        <w:bidi w:val="0"/>
        <w:spacing w:after="0" w:line="360" w:lineRule="auto"/>
        <w:ind w:left="0" w:leftChars="0" w:firstLine="0" w:firstLineChars="0"/>
        <w:rPr>
          <w:rFonts w:hint="eastAsia" w:ascii="宋体" w:hAnsi="宋体" w:eastAsia="宋体" w:cs="宋体"/>
          <w:b/>
          <w:bCs/>
          <w:color w:val="auto"/>
          <w:szCs w:val="21"/>
          <w:highlight w:val="none"/>
          <w:lang w:eastAsia="zh-CN"/>
        </w:rPr>
      </w:pPr>
      <w:bookmarkStart w:id="42" w:name="_Hlk104035639"/>
      <w:bookmarkStart w:id="43" w:name="_Toc103461607"/>
      <w:bookmarkStart w:id="44" w:name="_Toc103462393"/>
      <w:bookmarkStart w:id="45" w:name="_Toc103461378"/>
      <w:bookmarkStart w:id="46" w:name="_Toc103462489"/>
      <w:bookmarkStart w:id="47" w:name="_Toc103462367"/>
      <w:r>
        <w:rPr>
          <w:rFonts w:hint="eastAsia" w:ascii="宋体" w:hAnsi="宋体" w:eastAsia="宋体" w:cs="宋体"/>
          <w:b/>
          <w:bCs/>
          <w:color w:val="auto"/>
          <w:szCs w:val="21"/>
          <w:highlight w:val="none"/>
          <w:lang w:eastAsia="zh-CN"/>
        </w:rPr>
        <w:t>说明：</w:t>
      </w:r>
    </w:p>
    <w:p w14:paraId="3E4B1657">
      <w:pPr>
        <w:pStyle w:val="33"/>
        <w:keepNext w:val="0"/>
        <w:keepLines w:val="0"/>
        <w:pageBreakBefore w:val="0"/>
        <w:kinsoku/>
        <w:overflowPunct/>
        <w:topLinePunct w:val="0"/>
        <w:autoSpaceDE/>
        <w:autoSpaceDN/>
        <w:bidi w:val="0"/>
        <w:spacing w:after="0" w:line="360" w:lineRule="auto"/>
        <w:ind w:left="0" w:leftChars="0" w:firstLine="422"/>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1.供应商须对本项目的采购标的进行整体响应，任何只对本项目采购标的其中一部分内容或数量进行响应的，将作无效投标（响应）处理。</w:t>
      </w:r>
    </w:p>
    <w:p w14:paraId="219489ED">
      <w:pPr>
        <w:pStyle w:val="33"/>
        <w:keepNext w:val="0"/>
        <w:keepLines w:val="0"/>
        <w:pageBreakBefore w:val="0"/>
        <w:kinsoku/>
        <w:overflowPunct/>
        <w:topLinePunct w:val="0"/>
        <w:autoSpaceDE/>
        <w:autoSpaceDN/>
        <w:bidi w:val="0"/>
        <w:spacing w:after="0" w:line="360" w:lineRule="auto"/>
        <w:ind w:left="0" w:leftChars="0" w:firstLine="422"/>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2.采购需求中标注“★”号条款为实质性条款，供应商须按要求对其进行逐条响应，当出现负偏离或未响应，将作无效投标（响应）处理；若要求提供证明材料，还须按要求提供证明材料，否则将作无效投标（响应）处理。</w:t>
      </w:r>
    </w:p>
    <w:bookmarkEnd w:id="42"/>
    <w:p w14:paraId="31B8ACEA">
      <w:pPr>
        <w:keepNext w:val="0"/>
        <w:keepLines w:val="0"/>
        <w:pageBreakBefore w:val="0"/>
        <w:kinsoku/>
        <w:overflowPunct/>
        <w:topLinePunct w:val="0"/>
        <w:autoSpaceDE/>
        <w:autoSpaceDN/>
        <w:bidi w:val="0"/>
        <w:spacing w:line="360" w:lineRule="auto"/>
        <w:rPr>
          <w:rFonts w:hint="eastAsia" w:ascii="宋体" w:hAnsi="宋体" w:eastAsia="宋体" w:cs="宋体"/>
          <w:color w:val="auto"/>
          <w:highlight w:val="none"/>
          <w:lang w:eastAsia="zh-CN"/>
        </w:rPr>
      </w:pPr>
    </w:p>
    <w:p w14:paraId="05B902EA">
      <w:pPr>
        <w:pStyle w:val="60"/>
        <w:keepNext w:val="0"/>
        <w:keepLines w:val="0"/>
        <w:pageBreakBefore w:val="0"/>
        <w:kinsoku/>
        <w:overflowPunct/>
        <w:topLinePunct w:val="0"/>
        <w:autoSpaceDE/>
        <w:autoSpaceDN/>
        <w:bidi w:val="0"/>
        <w:spacing w:line="360" w:lineRule="auto"/>
        <w:rPr>
          <w:rFonts w:hint="eastAsia" w:ascii="宋体" w:hAnsi="宋体" w:eastAsia="宋体" w:cs="宋体"/>
          <w:color w:val="auto"/>
          <w:sz w:val="21"/>
          <w:szCs w:val="21"/>
          <w:highlight w:val="none"/>
          <w:lang w:eastAsia="zh-CN"/>
        </w:rPr>
      </w:pPr>
      <w:bookmarkStart w:id="48" w:name="_Toc5320"/>
      <w:bookmarkStart w:id="49" w:name="_Toc104131891"/>
      <w:r>
        <w:rPr>
          <w:rFonts w:hint="eastAsia" w:ascii="宋体" w:hAnsi="宋体" w:eastAsia="宋体" w:cs="宋体"/>
          <w:color w:val="auto"/>
          <w:sz w:val="21"/>
          <w:szCs w:val="21"/>
          <w:highlight w:val="none"/>
          <w:lang w:eastAsia="zh-CN"/>
        </w:rPr>
        <w:t>一、项目概况</w:t>
      </w:r>
      <w:bookmarkEnd w:id="43"/>
      <w:bookmarkEnd w:id="44"/>
      <w:bookmarkEnd w:id="45"/>
      <w:bookmarkEnd w:id="46"/>
      <w:bookmarkEnd w:id="47"/>
      <w:bookmarkEnd w:id="48"/>
      <w:bookmarkEnd w:id="49"/>
    </w:p>
    <w:p w14:paraId="0379B5CD">
      <w:pPr>
        <w:pStyle w:val="33"/>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20" w:firstLineChars="200"/>
        <w:jc w:val="both"/>
        <w:textAlignment w:val="auto"/>
        <w:rPr>
          <w:rFonts w:hint="eastAsia" w:ascii="宋体" w:hAnsi="宋体" w:eastAsia="宋体" w:cs="宋体"/>
          <w:color w:val="auto"/>
          <w:szCs w:val="21"/>
          <w:highlight w:val="none"/>
          <w:lang w:eastAsia="zh-CN"/>
        </w:rPr>
      </w:pPr>
      <w:bookmarkStart w:id="50" w:name="_Hlk172146961"/>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本项目主要为我站达到中修年限的中国移民管理44268、44367</w:t>
      </w:r>
      <w:r>
        <w:rPr>
          <w:rFonts w:hint="eastAsia" w:cs="宋体"/>
          <w:color w:val="auto"/>
          <w:szCs w:val="21"/>
          <w:highlight w:val="none"/>
          <w:lang w:eastAsia="zh-CN"/>
        </w:rPr>
        <w:t>船艇</w:t>
      </w:r>
      <w:r>
        <w:rPr>
          <w:rFonts w:hint="eastAsia" w:ascii="宋体" w:hAnsi="宋体" w:eastAsia="宋体" w:cs="宋体"/>
          <w:color w:val="auto"/>
          <w:szCs w:val="21"/>
          <w:highlight w:val="none"/>
          <w:lang w:eastAsia="zh-CN"/>
        </w:rPr>
        <w:t>进行中修保养，对船艇进行较全面的检查检修，保证船艇结构和主要机电设备的安全运转；全面恢复船艇技术状态、消除重大隐患、保障安全适航、延长服役周期，保障船舶能够保持良好技术状况，正常执行航行任务。</w:t>
      </w:r>
    </w:p>
    <w:bookmarkEnd w:id="50"/>
    <w:p w14:paraId="65A9E2D0">
      <w:pPr>
        <w:pStyle w:val="78"/>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2.参照标准：包括但不限于中华人民共和国海事局《沿海小型船舶检验技术规则（2024）》、《内河小型船舶技术规则（2024）》、《国内航行海船法定检验技术规则（2020）》、《中国修船质量标准》（GB/T 34001-2016）现行版本及其修正或补充说明以及国内相关的船舶维修标准等现行版本及其修正或补充说明，船艇装备、器材维修标准执行各装备、器材说明书中规定的技术标准。</w:t>
      </w:r>
    </w:p>
    <w:p w14:paraId="4CF71770">
      <w:pPr>
        <w:keepNext w:val="0"/>
        <w:keepLines w:val="0"/>
        <w:pageBreakBefore w:val="0"/>
        <w:numPr>
          <w:ilvl w:val="0"/>
          <w:numId w:val="0"/>
        </w:numPr>
        <w:kinsoku/>
        <w:wordWrap/>
        <w:overflowPunct/>
        <w:topLinePunct w:val="0"/>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3.船艇信息</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2"/>
        <w:gridCol w:w="1468"/>
        <w:gridCol w:w="857"/>
        <w:gridCol w:w="589"/>
        <w:gridCol w:w="1499"/>
        <w:gridCol w:w="1428"/>
        <w:gridCol w:w="1686"/>
        <w:gridCol w:w="1009"/>
        <w:gridCol w:w="776"/>
      </w:tblGrid>
      <w:tr w14:paraId="2ECC3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center"/>
          </w:tcPr>
          <w:p w14:paraId="566AA066">
            <w:pPr>
              <w:keepNext w:val="0"/>
              <w:keepLines w:val="0"/>
              <w:pageBreakBefore w:val="0"/>
              <w:widowControl/>
              <w:suppressLineNumbers w:val="0"/>
              <w:kinsoku/>
              <w:wordWrap/>
              <w:overflowPunct/>
              <w:topLinePunct w:val="0"/>
              <w:autoSpaceDE/>
              <w:autoSpaceDN/>
              <w:bidi w:val="0"/>
              <w:adjustRightInd w:val="0"/>
              <w:snapToGrid/>
              <w:spacing w:line="360" w:lineRule="auto"/>
              <w:ind w:left="0" w:lef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序号</w:t>
            </w:r>
          </w:p>
        </w:tc>
        <w:tc>
          <w:tcPr>
            <w:tcW w:w="0" w:type="auto"/>
            <w:noWrap w:val="0"/>
            <w:vAlign w:val="center"/>
          </w:tcPr>
          <w:p w14:paraId="1F0E1D48">
            <w:pPr>
              <w:keepNext w:val="0"/>
              <w:keepLines w:val="0"/>
              <w:pageBreakBefore w:val="0"/>
              <w:widowControl/>
              <w:suppressLineNumbers w:val="0"/>
              <w:kinsoku/>
              <w:wordWrap/>
              <w:overflowPunct/>
              <w:topLinePunct w:val="0"/>
              <w:autoSpaceDE/>
              <w:autoSpaceDN/>
              <w:bidi w:val="0"/>
              <w:adjustRightInd w:val="0"/>
              <w:snapToGrid/>
              <w:spacing w:line="360" w:lineRule="auto"/>
              <w:ind w:left="0" w:lef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舷号</w:t>
            </w:r>
          </w:p>
        </w:tc>
        <w:tc>
          <w:tcPr>
            <w:tcW w:w="0" w:type="auto"/>
            <w:noWrap w:val="0"/>
            <w:vAlign w:val="center"/>
          </w:tcPr>
          <w:p w14:paraId="747FE45C">
            <w:pPr>
              <w:keepNext w:val="0"/>
              <w:keepLines w:val="0"/>
              <w:pageBreakBefore w:val="0"/>
              <w:widowControl/>
              <w:suppressLineNumbers w:val="0"/>
              <w:kinsoku/>
              <w:wordWrap/>
              <w:overflowPunct/>
              <w:topLinePunct w:val="0"/>
              <w:autoSpaceDE/>
              <w:autoSpaceDN/>
              <w:bidi w:val="0"/>
              <w:adjustRightInd w:val="0"/>
              <w:snapToGrid/>
              <w:spacing w:line="360" w:lineRule="auto"/>
              <w:ind w:left="0" w:lef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船长(m)</w:t>
            </w:r>
          </w:p>
        </w:tc>
        <w:tc>
          <w:tcPr>
            <w:tcW w:w="0" w:type="auto"/>
            <w:noWrap w:val="0"/>
            <w:vAlign w:val="center"/>
          </w:tcPr>
          <w:p w14:paraId="467A8D9A">
            <w:pPr>
              <w:keepNext w:val="0"/>
              <w:keepLines w:val="0"/>
              <w:pageBreakBefore w:val="0"/>
              <w:widowControl/>
              <w:suppressLineNumbers w:val="0"/>
              <w:kinsoku/>
              <w:wordWrap/>
              <w:overflowPunct/>
              <w:topLinePunct w:val="0"/>
              <w:autoSpaceDE/>
              <w:autoSpaceDN/>
              <w:bidi w:val="0"/>
              <w:adjustRightInd w:val="0"/>
              <w:snapToGrid/>
              <w:spacing w:line="360" w:lineRule="auto"/>
              <w:ind w:left="0" w:lef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总吨</w:t>
            </w:r>
          </w:p>
        </w:tc>
        <w:tc>
          <w:tcPr>
            <w:tcW w:w="0" w:type="auto"/>
            <w:noWrap w:val="0"/>
            <w:vAlign w:val="center"/>
          </w:tcPr>
          <w:p w14:paraId="49F1C08F">
            <w:pPr>
              <w:keepNext w:val="0"/>
              <w:keepLines w:val="0"/>
              <w:pageBreakBefore w:val="0"/>
              <w:widowControl/>
              <w:suppressLineNumbers w:val="0"/>
              <w:kinsoku/>
              <w:wordWrap/>
              <w:overflowPunct/>
              <w:topLinePunct w:val="0"/>
              <w:autoSpaceDE/>
              <w:autoSpaceDN/>
              <w:bidi w:val="0"/>
              <w:adjustRightInd w:val="0"/>
              <w:snapToGrid/>
              <w:spacing w:line="360" w:lineRule="auto"/>
              <w:ind w:left="0" w:lef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主机型号</w:t>
            </w:r>
          </w:p>
        </w:tc>
        <w:tc>
          <w:tcPr>
            <w:tcW w:w="0" w:type="auto"/>
            <w:noWrap w:val="0"/>
            <w:vAlign w:val="center"/>
          </w:tcPr>
          <w:p w14:paraId="5F344C6F">
            <w:pPr>
              <w:keepNext w:val="0"/>
              <w:keepLines w:val="0"/>
              <w:pageBreakBefore w:val="0"/>
              <w:widowControl/>
              <w:suppressLineNumbers w:val="0"/>
              <w:kinsoku/>
              <w:wordWrap/>
              <w:overflowPunct/>
              <w:topLinePunct w:val="0"/>
              <w:autoSpaceDE/>
              <w:autoSpaceDN/>
              <w:bidi w:val="0"/>
              <w:adjustRightInd w:val="0"/>
              <w:snapToGrid/>
              <w:spacing w:line="360" w:lineRule="auto"/>
              <w:ind w:left="0" w:lef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主机总功率（kw）</w:t>
            </w:r>
          </w:p>
        </w:tc>
        <w:tc>
          <w:tcPr>
            <w:tcW w:w="0" w:type="auto"/>
            <w:noWrap w:val="0"/>
            <w:vAlign w:val="center"/>
          </w:tcPr>
          <w:p w14:paraId="2D7CBA7A">
            <w:pPr>
              <w:keepNext w:val="0"/>
              <w:keepLines w:val="0"/>
              <w:pageBreakBefore w:val="0"/>
              <w:widowControl/>
              <w:suppressLineNumbers w:val="0"/>
              <w:kinsoku/>
              <w:wordWrap/>
              <w:overflowPunct/>
              <w:topLinePunct w:val="0"/>
              <w:autoSpaceDE/>
              <w:autoSpaceDN/>
              <w:bidi w:val="0"/>
              <w:adjustRightInd w:val="0"/>
              <w:snapToGrid/>
              <w:spacing w:line="360" w:lineRule="auto"/>
              <w:ind w:left="0" w:lef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发电机型号</w:t>
            </w:r>
          </w:p>
        </w:tc>
        <w:tc>
          <w:tcPr>
            <w:tcW w:w="0" w:type="auto"/>
            <w:noWrap w:val="0"/>
            <w:vAlign w:val="center"/>
          </w:tcPr>
          <w:p w14:paraId="3223E783">
            <w:pPr>
              <w:keepNext w:val="0"/>
              <w:keepLines w:val="0"/>
              <w:pageBreakBefore w:val="0"/>
              <w:widowControl/>
              <w:suppressLineNumbers w:val="0"/>
              <w:kinsoku/>
              <w:wordWrap/>
              <w:overflowPunct/>
              <w:topLinePunct w:val="0"/>
              <w:autoSpaceDE/>
              <w:autoSpaceDN/>
              <w:bidi w:val="0"/>
              <w:adjustRightInd w:val="0"/>
              <w:snapToGrid/>
              <w:spacing w:line="360" w:lineRule="auto"/>
              <w:ind w:left="0" w:lef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完工日期</w:t>
            </w:r>
          </w:p>
        </w:tc>
        <w:tc>
          <w:tcPr>
            <w:tcW w:w="0" w:type="auto"/>
            <w:noWrap w:val="0"/>
            <w:vAlign w:val="center"/>
          </w:tcPr>
          <w:p w14:paraId="28A1CB73">
            <w:pPr>
              <w:keepNext w:val="0"/>
              <w:keepLines w:val="0"/>
              <w:pageBreakBefore w:val="0"/>
              <w:widowControl/>
              <w:suppressLineNumbers w:val="0"/>
              <w:kinsoku/>
              <w:wordWrap/>
              <w:overflowPunct/>
              <w:topLinePunct w:val="0"/>
              <w:autoSpaceDE/>
              <w:autoSpaceDN/>
              <w:bidi w:val="0"/>
              <w:adjustRightInd w:val="0"/>
              <w:snapToGrid/>
              <w:spacing w:line="360" w:lineRule="auto"/>
              <w:ind w:left="0" w:lef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船体材质</w:t>
            </w:r>
          </w:p>
        </w:tc>
      </w:tr>
      <w:tr w14:paraId="51BCB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center"/>
          </w:tcPr>
          <w:p w14:paraId="79733239">
            <w:pPr>
              <w:keepNext w:val="0"/>
              <w:keepLines w:val="0"/>
              <w:pageBreakBefore w:val="0"/>
              <w:widowControl/>
              <w:suppressLineNumbers w:val="0"/>
              <w:kinsoku/>
              <w:wordWrap/>
              <w:overflowPunct/>
              <w:topLinePunct w:val="0"/>
              <w:autoSpaceDE/>
              <w:autoSpaceDN/>
              <w:bidi w:val="0"/>
              <w:adjustRightInd w:val="0"/>
              <w:snapToGrid/>
              <w:spacing w:line="360" w:lineRule="auto"/>
              <w:ind w:left="0" w:lef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w:t>
            </w:r>
          </w:p>
        </w:tc>
        <w:tc>
          <w:tcPr>
            <w:tcW w:w="0" w:type="auto"/>
            <w:noWrap w:val="0"/>
            <w:vAlign w:val="center"/>
          </w:tcPr>
          <w:p w14:paraId="5510158E">
            <w:pPr>
              <w:keepNext w:val="0"/>
              <w:keepLines w:val="0"/>
              <w:pageBreakBefore w:val="0"/>
              <w:widowControl/>
              <w:suppressLineNumbers w:val="0"/>
              <w:kinsoku/>
              <w:wordWrap/>
              <w:overflowPunct/>
              <w:topLinePunct w:val="0"/>
              <w:autoSpaceDE/>
              <w:autoSpaceDN/>
              <w:bidi w:val="0"/>
              <w:adjustRightInd w:val="0"/>
              <w:snapToGrid/>
              <w:spacing w:line="360" w:lineRule="auto"/>
              <w:ind w:left="0" w:lef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中国移民管理44268</w:t>
            </w:r>
          </w:p>
        </w:tc>
        <w:tc>
          <w:tcPr>
            <w:tcW w:w="0" w:type="auto"/>
            <w:noWrap w:val="0"/>
            <w:vAlign w:val="center"/>
          </w:tcPr>
          <w:p w14:paraId="03892E30">
            <w:pPr>
              <w:keepNext w:val="0"/>
              <w:keepLines w:val="0"/>
              <w:pageBreakBefore w:val="0"/>
              <w:widowControl/>
              <w:suppressLineNumbers w:val="0"/>
              <w:kinsoku/>
              <w:wordWrap/>
              <w:overflowPunct/>
              <w:topLinePunct w:val="0"/>
              <w:autoSpaceDE/>
              <w:autoSpaceDN/>
              <w:bidi w:val="0"/>
              <w:adjustRightInd w:val="0"/>
              <w:snapToGrid/>
              <w:spacing w:line="360" w:lineRule="auto"/>
              <w:ind w:left="0" w:lef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18.85</w:t>
            </w:r>
          </w:p>
        </w:tc>
        <w:tc>
          <w:tcPr>
            <w:tcW w:w="0" w:type="auto"/>
            <w:noWrap w:val="0"/>
            <w:vAlign w:val="center"/>
          </w:tcPr>
          <w:p w14:paraId="73A8A292">
            <w:pPr>
              <w:keepNext w:val="0"/>
              <w:keepLines w:val="0"/>
              <w:pageBreakBefore w:val="0"/>
              <w:widowControl/>
              <w:suppressLineNumbers w:val="0"/>
              <w:kinsoku/>
              <w:wordWrap/>
              <w:overflowPunct/>
              <w:topLinePunct w:val="0"/>
              <w:autoSpaceDE/>
              <w:autoSpaceDN/>
              <w:bidi w:val="0"/>
              <w:adjustRightInd w:val="0"/>
              <w:snapToGrid/>
              <w:spacing w:line="360" w:lineRule="auto"/>
              <w:ind w:left="0" w:lef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49</w:t>
            </w:r>
          </w:p>
        </w:tc>
        <w:tc>
          <w:tcPr>
            <w:tcW w:w="0" w:type="auto"/>
            <w:noWrap w:val="0"/>
            <w:vAlign w:val="center"/>
          </w:tcPr>
          <w:p w14:paraId="5916CF20">
            <w:pPr>
              <w:keepNext w:val="0"/>
              <w:keepLines w:val="0"/>
              <w:pageBreakBefore w:val="0"/>
              <w:widowControl/>
              <w:suppressLineNumbers w:val="0"/>
              <w:kinsoku/>
              <w:wordWrap/>
              <w:overflowPunct/>
              <w:topLinePunct w:val="0"/>
              <w:autoSpaceDE/>
              <w:autoSpaceDN/>
              <w:bidi w:val="0"/>
              <w:adjustRightInd w:val="0"/>
              <w:snapToGrid/>
              <w:spacing w:line="360" w:lineRule="auto"/>
              <w:ind w:left="0" w:lef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MAN V8-1200</w:t>
            </w:r>
          </w:p>
        </w:tc>
        <w:tc>
          <w:tcPr>
            <w:tcW w:w="0" w:type="auto"/>
            <w:noWrap w:val="0"/>
            <w:vAlign w:val="center"/>
          </w:tcPr>
          <w:p w14:paraId="16E7C8B8">
            <w:pPr>
              <w:keepNext w:val="0"/>
              <w:keepLines w:val="0"/>
              <w:pageBreakBefore w:val="0"/>
              <w:widowControl/>
              <w:suppressLineNumbers w:val="0"/>
              <w:kinsoku/>
              <w:wordWrap/>
              <w:overflowPunct/>
              <w:topLinePunct w:val="0"/>
              <w:autoSpaceDE/>
              <w:autoSpaceDN/>
              <w:bidi w:val="0"/>
              <w:adjustRightInd w:val="0"/>
              <w:snapToGrid/>
              <w:spacing w:line="360" w:lineRule="auto"/>
              <w:ind w:left="0" w:lef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882*2</w:t>
            </w:r>
          </w:p>
        </w:tc>
        <w:tc>
          <w:tcPr>
            <w:tcW w:w="0" w:type="auto"/>
            <w:noWrap w:val="0"/>
            <w:vAlign w:val="center"/>
          </w:tcPr>
          <w:p w14:paraId="256A1753">
            <w:pPr>
              <w:keepNext w:val="0"/>
              <w:keepLines w:val="0"/>
              <w:pageBreakBefore w:val="0"/>
              <w:widowControl/>
              <w:suppressLineNumbers w:val="0"/>
              <w:kinsoku/>
              <w:wordWrap/>
              <w:overflowPunct/>
              <w:topLinePunct w:val="0"/>
              <w:autoSpaceDE/>
              <w:autoSpaceDN/>
              <w:bidi w:val="0"/>
              <w:adjustRightInd w:val="0"/>
              <w:snapToGrid/>
              <w:spacing w:line="360" w:lineRule="auto"/>
              <w:ind w:left="0" w:lef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MDKBV-6493657B</w:t>
            </w:r>
          </w:p>
        </w:tc>
        <w:tc>
          <w:tcPr>
            <w:tcW w:w="0" w:type="auto"/>
            <w:noWrap w:val="0"/>
            <w:vAlign w:val="center"/>
          </w:tcPr>
          <w:p w14:paraId="083B39EF">
            <w:pPr>
              <w:keepNext w:val="0"/>
              <w:keepLines w:val="0"/>
              <w:pageBreakBefore w:val="0"/>
              <w:widowControl/>
              <w:suppressLineNumbers w:val="0"/>
              <w:kinsoku/>
              <w:wordWrap/>
              <w:overflowPunct/>
              <w:topLinePunct w:val="0"/>
              <w:autoSpaceDE/>
              <w:autoSpaceDN/>
              <w:bidi w:val="0"/>
              <w:adjustRightInd w:val="0"/>
              <w:snapToGrid/>
              <w:spacing w:line="360" w:lineRule="auto"/>
              <w:ind w:left="0" w:lef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2014.01</w:t>
            </w:r>
          </w:p>
        </w:tc>
        <w:tc>
          <w:tcPr>
            <w:tcW w:w="0" w:type="auto"/>
            <w:noWrap w:val="0"/>
            <w:vAlign w:val="center"/>
          </w:tcPr>
          <w:p w14:paraId="489D6BFB">
            <w:pPr>
              <w:keepNext w:val="0"/>
              <w:keepLines w:val="0"/>
              <w:pageBreakBefore w:val="0"/>
              <w:widowControl/>
              <w:suppressLineNumbers w:val="0"/>
              <w:kinsoku/>
              <w:wordWrap/>
              <w:overflowPunct/>
              <w:topLinePunct w:val="0"/>
              <w:autoSpaceDE/>
              <w:autoSpaceDN/>
              <w:bidi w:val="0"/>
              <w:adjustRightInd w:val="0"/>
              <w:snapToGrid/>
              <w:spacing w:line="360" w:lineRule="auto"/>
              <w:ind w:left="0" w:lef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玻璃钢</w:t>
            </w:r>
          </w:p>
        </w:tc>
      </w:tr>
      <w:tr w14:paraId="72FC3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center"/>
          </w:tcPr>
          <w:p w14:paraId="1B5206B0">
            <w:pPr>
              <w:keepNext w:val="0"/>
              <w:keepLines w:val="0"/>
              <w:pageBreakBefore w:val="0"/>
              <w:widowControl/>
              <w:suppressLineNumbers w:val="0"/>
              <w:kinsoku/>
              <w:wordWrap/>
              <w:overflowPunct/>
              <w:topLinePunct w:val="0"/>
              <w:autoSpaceDE/>
              <w:autoSpaceDN/>
              <w:bidi w:val="0"/>
              <w:adjustRightInd w:val="0"/>
              <w:snapToGrid/>
              <w:spacing w:line="360" w:lineRule="auto"/>
              <w:ind w:left="0" w:lef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w:t>
            </w:r>
          </w:p>
        </w:tc>
        <w:tc>
          <w:tcPr>
            <w:tcW w:w="0" w:type="auto"/>
            <w:noWrap w:val="0"/>
            <w:vAlign w:val="center"/>
          </w:tcPr>
          <w:p w14:paraId="292AEC10">
            <w:pPr>
              <w:keepNext w:val="0"/>
              <w:keepLines w:val="0"/>
              <w:pageBreakBefore w:val="0"/>
              <w:widowControl/>
              <w:suppressLineNumbers w:val="0"/>
              <w:kinsoku/>
              <w:wordWrap/>
              <w:overflowPunct/>
              <w:topLinePunct w:val="0"/>
              <w:autoSpaceDE/>
              <w:autoSpaceDN/>
              <w:bidi w:val="0"/>
              <w:adjustRightInd w:val="0"/>
              <w:snapToGrid/>
              <w:spacing w:line="360" w:lineRule="auto"/>
              <w:ind w:left="0" w:lef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中国移民管理44367</w:t>
            </w:r>
          </w:p>
        </w:tc>
        <w:tc>
          <w:tcPr>
            <w:tcW w:w="0" w:type="auto"/>
            <w:noWrap w:val="0"/>
            <w:vAlign w:val="center"/>
          </w:tcPr>
          <w:p w14:paraId="5C3FF2D3">
            <w:pPr>
              <w:keepNext w:val="0"/>
              <w:keepLines w:val="0"/>
              <w:pageBreakBefore w:val="0"/>
              <w:widowControl/>
              <w:suppressLineNumbers w:val="0"/>
              <w:kinsoku/>
              <w:wordWrap/>
              <w:overflowPunct/>
              <w:topLinePunct w:val="0"/>
              <w:autoSpaceDE/>
              <w:autoSpaceDN/>
              <w:bidi w:val="0"/>
              <w:adjustRightInd w:val="0"/>
              <w:snapToGrid/>
              <w:spacing w:line="360" w:lineRule="auto"/>
              <w:ind w:left="0" w:lef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30.73</w:t>
            </w:r>
          </w:p>
        </w:tc>
        <w:tc>
          <w:tcPr>
            <w:tcW w:w="0" w:type="auto"/>
            <w:noWrap w:val="0"/>
            <w:vAlign w:val="center"/>
          </w:tcPr>
          <w:p w14:paraId="1FC29BA8">
            <w:pPr>
              <w:keepNext w:val="0"/>
              <w:keepLines w:val="0"/>
              <w:pageBreakBefore w:val="0"/>
              <w:widowControl/>
              <w:suppressLineNumbers w:val="0"/>
              <w:kinsoku/>
              <w:wordWrap/>
              <w:overflowPunct/>
              <w:topLinePunct w:val="0"/>
              <w:autoSpaceDE/>
              <w:autoSpaceDN/>
              <w:bidi w:val="0"/>
              <w:adjustRightInd w:val="0"/>
              <w:snapToGrid/>
              <w:spacing w:line="360" w:lineRule="auto"/>
              <w:ind w:left="0" w:lef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157</w:t>
            </w:r>
          </w:p>
        </w:tc>
        <w:tc>
          <w:tcPr>
            <w:tcW w:w="0" w:type="auto"/>
            <w:noWrap w:val="0"/>
            <w:vAlign w:val="center"/>
          </w:tcPr>
          <w:p w14:paraId="01055AAB">
            <w:pPr>
              <w:keepNext w:val="0"/>
              <w:keepLines w:val="0"/>
              <w:pageBreakBefore w:val="0"/>
              <w:widowControl/>
              <w:suppressLineNumbers w:val="0"/>
              <w:kinsoku/>
              <w:wordWrap/>
              <w:overflowPunct/>
              <w:topLinePunct w:val="0"/>
              <w:autoSpaceDE/>
              <w:autoSpaceDN/>
              <w:bidi w:val="0"/>
              <w:adjustRightInd w:val="0"/>
              <w:snapToGrid/>
              <w:spacing w:line="360" w:lineRule="auto"/>
              <w:ind w:left="0" w:lef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MTU 16V2000M84</w:t>
            </w:r>
          </w:p>
        </w:tc>
        <w:tc>
          <w:tcPr>
            <w:tcW w:w="0" w:type="auto"/>
            <w:noWrap w:val="0"/>
            <w:vAlign w:val="center"/>
          </w:tcPr>
          <w:p w14:paraId="613FDADE">
            <w:pPr>
              <w:keepNext w:val="0"/>
              <w:keepLines w:val="0"/>
              <w:pageBreakBefore w:val="0"/>
              <w:widowControl/>
              <w:suppressLineNumbers w:val="0"/>
              <w:kinsoku/>
              <w:wordWrap/>
              <w:overflowPunct/>
              <w:topLinePunct w:val="0"/>
              <w:autoSpaceDE/>
              <w:autoSpaceDN/>
              <w:bidi w:val="0"/>
              <w:adjustRightInd w:val="0"/>
              <w:snapToGrid/>
              <w:spacing w:line="360" w:lineRule="auto"/>
              <w:ind w:left="0" w:lef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1630*2</w:t>
            </w:r>
          </w:p>
        </w:tc>
        <w:tc>
          <w:tcPr>
            <w:tcW w:w="0" w:type="auto"/>
            <w:noWrap w:val="0"/>
            <w:vAlign w:val="center"/>
          </w:tcPr>
          <w:p w14:paraId="6307D00B">
            <w:pPr>
              <w:keepNext w:val="0"/>
              <w:keepLines w:val="0"/>
              <w:pageBreakBefore w:val="0"/>
              <w:widowControl/>
              <w:suppressLineNumbers w:val="0"/>
              <w:kinsoku/>
              <w:wordWrap/>
              <w:overflowPunct/>
              <w:topLinePunct w:val="0"/>
              <w:autoSpaceDE/>
              <w:autoSpaceDN/>
              <w:bidi w:val="0"/>
              <w:adjustRightInd w:val="0"/>
              <w:snapToGrid/>
              <w:spacing w:line="360" w:lineRule="auto"/>
              <w:ind w:left="0" w:lef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GM91442-GA8</w:t>
            </w:r>
          </w:p>
        </w:tc>
        <w:tc>
          <w:tcPr>
            <w:tcW w:w="0" w:type="auto"/>
            <w:noWrap w:val="0"/>
            <w:vAlign w:val="center"/>
          </w:tcPr>
          <w:p w14:paraId="07CE4C16">
            <w:pPr>
              <w:keepNext w:val="0"/>
              <w:keepLines w:val="0"/>
              <w:pageBreakBefore w:val="0"/>
              <w:widowControl/>
              <w:suppressLineNumbers w:val="0"/>
              <w:kinsoku/>
              <w:wordWrap/>
              <w:overflowPunct/>
              <w:topLinePunct w:val="0"/>
              <w:autoSpaceDE/>
              <w:autoSpaceDN/>
              <w:bidi w:val="0"/>
              <w:adjustRightInd w:val="0"/>
              <w:snapToGrid/>
              <w:spacing w:line="360" w:lineRule="auto"/>
              <w:ind w:left="0" w:lef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2016.12</w:t>
            </w:r>
          </w:p>
        </w:tc>
        <w:tc>
          <w:tcPr>
            <w:tcW w:w="0" w:type="auto"/>
            <w:noWrap w:val="0"/>
            <w:vAlign w:val="center"/>
          </w:tcPr>
          <w:p w14:paraId="13752E03">
            <w:pPr>
              <w:keepNext w:val="0"/>
              <w:keepLines w:val="0"/>
              <w:pageBreakBefore w:val="0"/>
              <w:widowControl/>
              <w:suppressLineNumbers w:val="0"/>
              <w:kinsoku/>
              <w:wordWrap/>
              <w:overflowPunct/>
              <w:topLinePunct w:val="0"/>
              <w:autoSpaceDE/>
              <w:autoSpaceDN/>
              <w:bidi w:val="0"/>
              <w:adjustRightInd w:val="0"/>
              <w:snapToGrid/>
              <w:spacing w:line="360" w:lineRule="auto"/>
              <w:ind w:left="0" w:lef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铝合金</w:t>
            </w:r>
          </w:p>
        </w:tc>
      </w:tr>
    </w:tbl>
    <w:p w14:paraId="0AAD1941">
      <w:pPr>
        <w:pStyle w:val="33"/>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422" w:firstLineChars="200"/>
        <w:jc w:val="both"/>
        <w:textAlignment w:val="auto"/>
        <w:rPr>
          <w:rFonts w:hint="eastAsia" w:ascii="宋体" w:hAnsi="宋体" w:eastAsia="宋体" w:cs="宋体"/>
          <w:color w:val="auto"/>
          <w:szCs w:val="21"/>
          <w:highlight w:val="none"/>
          <w:lang w:val="en-US" w:eastAsia="zh-CN"/>
        </w:rPr>
      </w:pPr>
      <w:r>
        <w:rPr>
          <w:rFonts w:hint="eastAsia" w:ascii="宋体" w:hAnsi="宋体" w:eastAsia="宋体" w:cs="宋体"/>
          <w:b/>
          <w:bCs/>
          <w:color w:val="auto"/>
          <w:szCs w:val="21"/>
          <w:highlight w:val="none"/>
          <w:lang w:eastAsia="zh-CN"/>
        </w:rPr>
        <w:t>★</w:t>
      </w:r>
      <w:r>
        <w:rPr>
          <w:rFonts w:hint="eastAsia" w:ascii="宋体" w:hAnsi="宋体" w:eastAsia="宋体" w:cs="宋体"/>
          <w:color w:val="auto"/>
          <w:szCs w:val="21"/>
          <w:highlight w:val="none"/>
          <w:lang w:val="en-US" w:eastAsia="zh-CN"/>
        </w:rPr>
        <w:t>4.本项目预算及最高限价为</w:t>
      </w:r>
      <w:r>
        <w:rPr>
          <w:rFonts w:hint="eastAsia" w:ascii="宋体" w:hAnsi="宋体" w:eastAsia="宋体" w:cs="宋体"/>
          <w:color w:val="auto"/>
          <w:sz w:val="21"/>
          <w:szCs w:val="21"/>
          <w:highlight w:val="none"/>
          <w:lang w:val="en-US" w:eastAsia="zh-CN" w:bidi="ar-SA"/>
        </w:rPr>
        <w:t>2,604,914.50</w:t>
      </w:r>
      <w:r>
        <w:rPr>
          <w:rFonts w:hint="eastAsia" w:ascii="宋体" w:hAnsi="宋体" w:eastAsia="宋体" w:cs="宋体"/>
          <w:color w:val="auto"/>
          <w:szCs w:val="21"/>
          <w:highlight w:val="none"/>
          <w:lang w:val="en-US" w:eastAsia="zh-CN"/>
        </w:rPr>
        <w:t>元，其中</w:t>
      </w:r>
      <w:r>
        <w:rPr>
          <w:rFonts w:hint="eastAsia" w:cs="宋体"/>
          <w:color w:val="auto"/>
          <w:szCs w:val="21"/>
          <w:highlight w:val="none"/>
          <w:lang w:val="en-US" w:eastAsia="zh-CN"/>
        </w:rPr>
        <w:t>预留</w:t>
      </w:r>
      <w:r>
        <w:rPr>
          <w:rFonts w:hint="eastAsia" w:ascii="宋体" w:hAnsi="宋体" w:eastAsia="宋体" w:cs="宋体"/>
          <w:color w:val="auto"/>
          <w:szCs w:val="21"/>
          <w:highlight w:val="none"/>
          <w:lang w:val="en-US" w:eastAsia="zh-CN"/>
        </w:rPr>
        <w:t>150,000.00元</w:t>
      </w:r>
      <w:r>
        <w:rPr>
          <w:rFonts w:hint="eastAsia" w:cs="宋体"/>
          <w:color w:val="auto"/>
          <w:szCs w:val="21"/>
          <w:highlight w:val="none"/>
          <w:lang w:val="en-US" w:eastAsia="zh-CN"/>
        </w:rPr>
        <w:t>给“喷油器总成”</w:t>
      </w:r>
      <w:r>
        <w:rPr>
          <w:rFonts w:hint="eastAsia" w:ascii="宋体" w:hAnsi="宋体" w:eastAsia="宋体" w:cs="宋体"/>
          <w:color w:val="auto"/>
          <w:szCs w:val="21"/>
          <w:highlight w:val="none"/>
          <w:lang w:val="en-US" w:eastAsia="zh-CN"/>
        </w:rPr>
        <w:t>，</w:t>
      </w:r>
      <w:r>
        <w:rPr>
          <w:rFonts w:hint="eastAsia" w:cs="宋体"/>
          <w:color w:val="auto"/>
          <w:szCs w:val="21"/>
          <w:highlight w:val="none"/>
          <w:lang w:val="en-US" w:eastAsia="zh-CN"/>
        </w:rPr>
        <w:t>该笔费用</w:t>
      </w:r>
      <w:r>
        <w:rPr>
          <w:rFonts w:hint="eastAsia" w:ascii="宋体" w:hAnsi="宋体" w:eastAsia="宋体" w:cs="宋体"/>
          <w:color w:val="auto"/>
          <w:szCs w:val="21"/>
          <w:highlight w:val="none"/>
          <w:lang w:val="en-US" w:eastAsia="zh-CN"/>
        </w:rPr>
        <w:t>为</w:t>
      </w:r>
      <w:r>
        <w:rPr>
          <w:rFonts w:hint="eastAsia" w:ascii="宋体" w:hAnsi="宋体" w:eastAsia="宋体" w:cs="宋体"/>
          <w:color w:val="auto"/>
          <w:szCs w:val="21"/>
          <w:highlight w:val="none"/>
        </w:rPr>
        <w:t>不可竞争</w:t>
      </w:r>
      <w:r>
        <w:rPr>
          <w:rFonts w:hint="eastAsia" w:ascii="宋体" w:hAnsi="宋体" w:eastAsia="宋体" w:cs="宋体"/>
          <w:color w:val="auto"/>
          <w:szCs w:val="21"/>
          <w:highlight w:val="none"/>
          <w:lang w:val="en-US" w:eastAsia="zh-CN"/>
        </w:rPr>
        <w:t>费用</w:t>
      </w:r>
      <w:r>
        <w:rPr>
          <w:rFonts w:hint="eastAsia" w:ascii="宋体" w:hAnsi="宋体" w:eastAsia="宋体" w:cs="宋体"/>
          <w:color w:val="auto"/>
          <w:highlight w:val="none"/>
        </w:rPr>
        <w:t>，按照实际发生额结算</w:t>
      </w:r>
      <w:r>
        <w:rPr>
          <w:rFonts w:hint="eastAsia" w:ascii="宋体" w:hAnsi="宋体" w:eastAsia="宋体" w:cs="宋体"/>
          <w:color w:val="auto"/>
          <w:highlight w:val="none"/>
          <w:lang w:eastAsia="zh-CN"/>
        </w:rPr>
        <w:t>；</w:t>
      </w:r>
      <w:r>
        <w:rPr>
          <w:rFonts w:hint="eastAsia" w:cs="宋体"/>
          <w:color w:val="auto"/>
          <w:highlight w:val="none"/>
          <w:lang w:val="en-US" w:eastAsia="zh-CN"/>
        </w:rPr>
        <w:t>若维修过程中</w:t>
      </w:r>
      <w:r>
        <w:rPr>
          <w:rFonts w:hint="eastAsia" w:cs="宋体"/>
          <w:color w:val="auto"/>
          <w:szCs w:val="21"/>
          <w:highlight w:val="none"/>
          <w:lang w:val="en-US" w:eastAsia="zh-CN"/>
        </w:rPr>
        <w:t>“喷油器总成”</w:t>
      </w:r>
      <w:r>
        <w:rPr>
          <w:rFonts w:hint="eastAsia" w:cs="宋体"/>
          <w:color w:val="auto"/>
          <w:highlight w:val="none"/>
          <w:lang w:val="en-US" w:eastAsia="zh-CN"/>
        </w:rPr>
        <w:t>需要更换，则按实际更换数量从此部分不可竞争费用中支出；若</w:t>
      </w:r>
      <w:r>
        <w:rPr>
          <w:rFonts w:hint="eastAsia" w:cs="宋体"/>
          <w:color w:val="auto"/>
          <w:szCs w:val="21"/>
          <w:highlight w:val="none"/>
          <w:lang w:val="en-US" w:eastAsia="zh-CN"/>
        </w:rPr>
        <w:t>“喷油器总成”无需维修更换，则该笔费用作为零星维修费用。</w:t>
      </w:r>
      <w:r>
        <w:rPr>
          <w:rFonts w:hint="eastAsia" w:ascii="宋体" w:hAnsi="宋体" w:eastAsia="宋体" w:cs="宋体"/>
          <w:color w:val="auto"/>
          <w:szCs w:val="21"/>
          <w:highlight w:val="none"/>
          <w:lang w:val="en-US" w:eastAsia="zh-CN"/>
        </w:rPr>
        <w:t>投标人的报价应包含</w:t>
      </w:r>
      <w:r>
        <w:rPr>
          <w:rFonts w:hint="eastAsia" w:cs="宋体"/>
          <w:color w:val="auto"/>
          <w:szCs w:val="21"/>
          <w:highlight w:val="none"/>
          <w:lang w:val="en-US" w:eastAsia="zh-CN"/>
        </w:rPr>
        <w:t>该笔不可竞争费用</w:t>
      </w:r>
      <w:r>
        <w:rPr>
          <w:rFonts w:hint="eastAsia" w:ascii="宋体" w:hAnsi="宋体" w:eastAsia="宋体" w:cs="宋体"/>
          <w:color w:val="auto"/>
          <w:szCs w:val="21"/>
          <w:highlight w:val="none"/>
          <w:lang w:val="en-US" w:eastAsia="zh-CN"/>
        </w:rPr>
        <w:t>，且总金额不得高于采购文件规定的最高限价，否则按投标（响应）无效处理。</w:t>
      </w:r>
    </w:p>
    <w:p w14:paraId="19E642E8">
      <w:pPr>
        <w:pStyle w:val="33"/>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420" w:firstLineChars="200"/>
        <w:jc w:val="both"/>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5.本项目专门面向中小企业采购，所属行业：工业；为方便广大中小企业识别企业规模类型，供应商可通过中小企业规模类型自测小程序【https://baosong.miit.gov.cn/ScaleTest】进行查询。</w:t>
      </w:r>
    </w:p>
    <w:p w14:paraId="784659AF">
      <w:pPr>
        <w:pStyle w:val="33"/>
        <w:keepNext w:val="0"/>
        <w:keepLines w:val="0"/>
        <w:pageBreakBefore w:val="0"/>
        <w:numPr>
          <w:ilvl w:val="0"/>
          <w:numId w:val="0"/>
        </w:numPr>
        <w:kinsoku/>
        <w:overflowPunct/>
        <w:topLinePunct w:val="0"/>
        <w:autoSpaceDE/>
        <w:autoSpaceDN/>
        <w:bidi w:val="0"/>
        <w:spacing w:after="0" w:line="360" w:lineRule="auto"/>
        <w:ind w:leftChars="0"/>
        <w:jc w:val="both"/>
        <w:rPr>
          <w:rFonts w:hint="eastAsia" w:ascii="宋体" w:hAnsi="宋体" w:eastAsia="宋体" w:cs="宋体"/>
          <w:color w:val="auto"/>
          <w:szCs w:val="21"/>
          <w:highlight w:val="none"/>
          <w:lang w:val="en-US" w:eastAsia="zh-CN"/>
        </w:rPr>
      </w:pPr>
    </w:p>
    <w:p w14:paraId="52C706BE">
      <w:pPr>
        <w:pStyle w:val="60"/>
        <w:keepNext w:val="0"/>
        <w:keepLines w:val="0"/>
        <w:pageBreakBefore w:val="0"/>
        <w:kinsoku/>
        <w:overflowPunct/>
        <w:topLinePunct w:val="0"/>
        <w:autoSpaceDE/>
        <w:autoSpaceDN/>
        <w:bidi w:val="0"/>
        <w:spacing w:line="360" w:lineRule="auto"/>
        <w:rPr>
          <w:rFonts w:hint="eastAsia" w:ascii="宋体" w:hAnsi="宋体" w:eastAsia="宋体" w:cs="宋体"/>
          <w:color w:val="auto"/>
          <w:sz w:val="21"/>
          <w:szCs w:val="21"/>
          <w:highlight w:val="none"/>
          <w:lang w:eastAsia="zh-CN"/>
        </w:rPr>
      </w:pPr>
      <w:bookmarkStart w:id="51" w:name="_Toc29481"/>
      <w:r>
        <w:rPr>
          <w:rFonts w:hint="eastAsia" w:ascii="宋体" w:hAnsi="宋体" w:eastAsia="宋体" w:cs="宋体"/>
          <w:color w:val="auto"/>
          <w:sz w:val="21"/>
          <w:szCs w:val="21"/>
          <w:highlight w:val="none"/>
          <w:lang w:eastAsia="zh-CN"/>
        </w:rPr>
        <w:t>二、主要商务要求</w:t>
      </w:r>
      <w:bookmarkEnd w:id="51"/>
    </w:p>
    <w:p w14:paraId="374540D6">
      <w:pPr>
        <w:pStyle w:val="33"/>
        <w:keepNext w:val="0"/>
        <w:keepLines w:val="0"/>
        <w:pageBreakBefore w:val="0"/>
        <w:numPr>
          <w:ilvl w:val="0"/>
          <w:numId w:val="2"/>
        </w:numPr>
        <w:kinsoku/>
        <w:overflowPunct/>
        <w:topLinePunct w:val="0"/>
        <w:autoSpaceDE/>
        <w:autoSpaceDN/>
        <w:bidi w:val="0"/>
        <w:spacing w:after="0" w:line="360" w:lineRule="auto"/>
        <w:ind w:left="0" w:leftChars="0" w:firstLine="42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标的提供的时间：</w:t>
      </w:r>
      <w:r>
        <w:rPr>
          <w:rFonts w:hint="eastAsia" w:cs="宋体"/>
          <w:color w:val="auto"/>
          <w:szCs w:val="21"/>
          <w:highlight w:val="none"/>
          <w:lang w:eastAsia="zh-CN"/>
        </w:rPr>
        <w:t>根据采购人勤务安排提前15日向供应商发送通知，协商供应商安排船艇进厂维修，自单艘船艇交付之日起40日完成中修内容，提交厂家检验报告及相关验收材料，采购人于5个工作日内组织验收。项目整体需在11月30日前完成全部维修工作并通过验收。</w:t>
      </w:r>
    </w:p>
    <w:p w14:paraId="70128109">
      <w:pPr>
        <w:pStyle w:val="33"/>
        <w:keepNext w:val="0"/>
        <w:keepLines w:val="0"/>
        <w:pageBreakBefore w:val="0"/>
        <w:numPr>
          <w:ilvl w:val="0"/>
          <w:numId w:val="2"/>
        </w:numPr>
        <w:kinsoku/>
        <w:overflowPunct/>
        <w:topLinePunct w:val="0"/>
        <w:autoSpaceDE/>
        <w:autoSpaceDN/>
        <w:bidi w:val="0"/>
        <w:spacing w:after="0" w:line="360" w:lineRule="auto"/>
        <w:ind w:left="0" w:leftChars="0" w:firstLine="42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标的提供的地点：万山边检站桂山岛边检专用码头或供应商所属船艇维修建造车间。</w:t>
      </w:r>
    </w:p>
    <w:p w14:paraId="5D015812">
      <w:pPr>
        <w:pStyle w:val="33"/>
        <w:keepNext w:val="0"/>
        <w:keepLines w:val="0"/>
        <w:pageBreakBefore w:val="0"/>
        <w:numPr>
          <w:ilvl w:val="0"/>
          <w:numId w:val="2"/>
        </w:numPr>
        <w:kinsoku/>
        <w:overflowPunct/>
        <w:topLinePunct w:val="0"/>
        <w:autoSpaceDE/>
        <w:autoSpaceDN/>
        <w:bidi w:val="0"/>
        <w:spacing w:after="0" w:line="360" w:lineRule="auto"/>
        <w:ind w:left="0" w:leftChars="0" w:firstLine="42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付款方式</w:t>
      </w:r>
      <w:r>
        <w:rPr>
          <w:rFonts w:hint="eastAsia" w:ascii="宋体" w:hAnsi="宋体" w:eastAsia="宋体" w:cs="宋体"/>
          <w:color w:val="auto"/>
          <w:szCs w:val="21"/>
          <w:highlight w:val="none"/>
          <w:lang w:eastAsia="zh-CN"/>
        </w:rPr>
        <w:t>：</w:t>
      </w:r>
    </w:p>
    <w:p w14:paraId="06E316C7">
      <w:pPr>
        <w:pStyle w:val="33"/>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420" w:firstLineChars="20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w:t>
      </w:r>
      <w:r>
        <w:rPr>
          <w:rFonts w:hint="eastAsia" w:cs="宋体"/>
          <w:color w:val="auto"/>
          <w:szCs w:val="21"/>
          <w:highlight w:val="none"/>
          <w:lang w:val="en-US" w:eastAsia="zh-CN"/>
        </w:rPr>
        <w:t>预付款：</w:t>
      </w:r>
      <w:r>
        <w:rPr>
          <w:rFonts w:hint="eastAsia" w:ascii="宋体" w:hAnsi="宋体" w:eastAsia="宋体" w:cs="宋体"/>
          <w:color w:val="auto"/>
          <w:szCs w:val="21"/>
          <w:highlight w:val="none"/>
          <w:lang w:eastAsia="zh-CN"/>
        </w:rPr>
        <w:t>首艘船艇进场上排后</w:t>
      </w:r>
      <w:r>
        <w:rPr>
          <w:rFonts w:hint="eastAsia" w:cs="宋体"/>
          <w:color w:val="auto"/>
          <w:szCs w:val="21"/>
          <w:highlight w:val="none"/>
          <w:lang w:eastAsia="zh-CN"/>
        </w:rPr>
        <w:t>，</w:t>
      </w:r>
      <w:r>
        <w:rPr>
          <w:rFonts w:hint="eastAsia" w:ascii="宋体" w:hAnsi="宋体" w:eastAsia="宋体" w:cs="宋体"/>
          <w:color w:val="auto"/>
          <w:szCs w:val="21"/>
          <w:highlight w:val="none"/>
          <w:lang w:val="en-US" w:eastAsia="zh-CN"/>
        </w:rPr>
        <w:t>中标人</w:t>
      </w:r>
      <w:r>
        <w:rPr>
          <w:rFonts w:hint="eastAsia" w:ascii="宋体" w:hAnsi="宋体" w:eastAsia="宋体" w:cs="宋体"/>
          <w:color w:val="auto"/>
          <w:szCs w:val="21"/>
          <w:highlight w:val="none"/>
          <w:lang w:eastAsia="zh-CN"/>
        </w:rPr>
        <w:t>开具符合采购人要求的发票，采购人</w:t>
      </w:r>
      <w:r>
        <w:rPr>
          <w:rFonts w:hint="eastAsia" w:cs="宋体"/>
          <w:color w:val="auto"/>
          <w:szCs w:val="21"/>
          <w:highlight w:val="none"/>
          <w:lang w:val="en-US" w:eastAsia="zh-CN"/>
        </w:rPr>
        <w:t>于收到发票后</w:t>
      </w:r>
      <w:r>
        <w:rPr>
          <w:rFonts w:hint="eastAsia" w:ascii="宋体" w:hAnsi="宋体" w:eastAsia="宋体" w:cs="宋体"/>
          <w:color w:val="auto"/>
          <w:szCs w:val="21"/>
          <w:highlight w:val="none"/>
          <w:lang w:eastAsia="zh-CN"/>
        </w:rPr>
        <w:t>10个工作日内</w:t>
      </w:r>
      <w:r>
        <w:rPr>
          <w:rFonts w:hint="eastAsia" w:cs="宋体"/>
          <w:color w:val="auto"/>
          <w:szCs w:val="21"/>
          <w:highlight w:val="none"/>
          <w:lang w:val="en-US" w:eastAsia="zh-CN"/>
        </w:rPr>
        <w:t>向</w:t>
      </w:r>
      <w:r>
        <w:rPr>
          <w:rFonts w:hint="eastAsia" w:ascii="宋体" w:hAnsi="宋体" w:eastAsia="宋体" w:cs="宋体"/>
          <w:color w:val="auto"/>
          <w:szCs w:val="21"/>
          <w:highlight w:val="none"/>
          <w:lang w:val="en-US" w:eastAsia="zh-CN"/>
        </w:rPr>
        <w:t>中标人</w:t>
      </w:r>
      <w:r>
        <w:rPr>
          <w:rFonts w:hint="eastAsia" w:ascii="宋体" w:hAnsi="宋体" w:eastAsia="宋体" w:cs="宋体"/>
          <w:color w:val="auto"/>
          <w:szCs w:val="21"/>
          <w:highlight w:val="none"/>
          <w:lang w:eastAsia="zh-CN"/>
        </w:rPr>
        <w:t>支付合同款的</w:t>
      </w:r>
      <w:r>
        <w:rPr>
          <w:rFonts w:hint="eastAsia" w:cs="宋体"/>
          <w:color w:val="auto"/>
          <w:szCs w:val="21"/>
          <w:highlight w:val="none"/>
          <w:lang w:val="en-US" w:eastAsia="zh-CN"/>
        </w:rPr>
        <w:t>3</w:t>
      </w:r>
      <w:r>
        <w:rPr>
          <w:rFonts w:hint="eastAsia" w:ascii="宋体" w:hAnsi="宋体" w:eastAsia="宋体" w:cs="宋体"/>
          <w:color w:val="auto"/>
          <w:szCs w:val="21"/>
          <w:highlight w:val="none"/>
          <w:lang w:eastAsia="zh-CN"/>
        </w:rPr>
        <w:t>0%作为预付款。</w:t>
      </w:r>
    </w:p>
    <w:p w14:paraId="341B139C">
      <w:pPr>
        <w:pStyle w:val="33"/>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420" w:firstLineChars="20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w:t>
      </w:r>
      <w:r>
        <w:rPr>
          <w:rFonts w:hint="eastAsia" w:cs="宋体"/>
          <w:color w:val="auto"/>
          <w:szCs w:val="21"/>
          <w:highlight w:val="none"/>
          <w:lang w:val="en-US" w:eastAsia="zh-CN"/>
        </w:rPr>
        <w:t>进度款：</w:t>
      </w:r>
      <w:r>
        <w:rPr>
          <w:rFonts w:hint="eastAsia" w:ascii="宋体" w:hAnsi="宋体" w:eastAsia="宋体" w:cs="宋体"/>
          <w:color w:val="auto"/>
          <w:szCs w:val="21"/>
          <w:highlight w:val="none"/>
          <w:lang w:eastAsia="zh-CN"/>
        </w:rPr>
        <w:t>首艘船艇主机维修完成且自检合格后，</w:t>
      </w:r>
      <w:r>
        <w:rPr>
          <w:rFonts w:hint="eastAsia" w:cs="宋体"/>
          <w:color w:val="auto"/>
          <w:szCs w:val="21"/>
          <w:highlight w:val="none"/>
          <w:lang w:val="en-US" w:eastAsia="zh-CN"/>
        </w:rPr>
        <w:t>中标人</w:t>
      </w:r>
      <w:r>
        <w:rPr>
          <w:rFonts w:hint="eastAsia" w:ascii="宋体" w:hAnsi="宋体" w:eastAsia="宋体" w:cs="宋体"/>
          <w:color w:val="auto"/>
          <w:szCs w:val="21"/>
          <w:highlight w:val="none"/>
          <w:lang w:eastAsia="zh-CN"/>
        </w:rPr>
        <w:t>在5个工作日内向采购人递交书面的《竣工验收申请报告》、项目验收相关技术资料、合格证明以及验收所必须具备的其他材料，并协助采购人对项目质量进行评定，经采购人验收合格后，在书面的验收报告上盖章确认。</w:t>
      </w:r>
      <w:r>
        <w:rPr>
          <w:rFonts w:hint="eastAsia" w:ascii="宋体" w:hAnsi="宋体" w:eastAsia="宋体" w:cs="宋体"/>
          <w:color w:val="auto"/>
          <w:szCs w:val="21"/>
          <w:highlight w:val="none"/>
          <w:lang w:val="en-US" w:eastAsia="zh-CN"/>
        </w:rPr>
        <w:t>中标人</w:t>
      </w:r>
      <w:r>
        <w:rPr>
          <w:rFonts w:hint="eastAsia" w:ascii="宋体" w:hAnsi="宋体" w:eastAsia="宋体" w:cs="宋体"/>
          <w:color w:val="auto"/>
          <w:szCs w:val="21"/>
          <w:highlight w:val="none"/>
          <w:lang w:eastAsia="zh-CN"/>
        </w:rPr>
        <w:t>向采购人提交进度付款申请</w:t>
      </w:r>
      <w:r>
        <w:rPr>
          <w:rFonts w:hint="eastAsia" w:cs="宋体"/>
          <w:color w:val="auto"/>
          <w:szCs w:val="21"/>
          <w:highlight w:val="none"/>
          <w:lang w:eastAsia="zh-CN"/>
        </w:rPr>
        <w:t>，</w:t>
      </w:r>
      <w:r>
        <w:rPr>
          <w:rFonts w:hint="eastAsia" w:cs="宋体"/>
          <w:color w:val="auto"/>
          <w:szCs w:val="21"/>
          <w:highlight w:val="none"/>
          <w:lang w:val="en-US" w:eastAsia="zh-CN"/>
        </w:rPr>
        <w:t>并</w:t>
      </w:r>
      <w:r>
        <w:rPr>
          <w:rFonts w:hint="eastAsia" w:ascii="宋体" w:hAnsi="宋体" w:eastAsia="宋体" w:cs="宋体"/>
          <w:color w:val="auto"/>
          <w:szCs w:val="21"/>
          <w:highlight w:val="none"/>
          <w:lang w:eastAsia="zh-CN"/>
        </w:rPr>
        <w:t>开具符合采购人要求的发票，采购人</w:t>
      </w:r>
      <w:r>
        <w:rPr>
          <w:rFonts w:hint="eastAsia" w:cs="宋体"/>
          <w:color w:val="auto"/>
          <w:szCs w:val="21"/>
          <w:highlight w:val="none"/>
          <w:lang w:val="en-US" w:eastAsia="zh-CN"/>
        </w:rPr>
        <w:t>于收到发票后</w:t>
      </w:r>
      <w:r>
        <w:rPr>
          <w:rFonts w:hint="eastAsia" w:ascii="宋体" w:hAnsi="宋体" w:eastAsia="宋体" w:cs="宋体"/>
          <w:color w:val="auto"/>
          <w:szCs w:val="21"/>
          <w:highlight w:val="none"/>
          <w:lang w:eastAsia="zh-CN"/>
        </w:rPr>
        <w:t>10个工作日内向</w:t>
      </w:r>
      <w:r>
        <w:rPr>
          <w:rFonts w:hint="eastAsia" w:ascii="宋体" w:hAnsi="宋体" w:eastAsia="宋体" w:cs="宋体"/>
          <w:color w:val="auto"/>
          <w:szCs w:val="21"/>
          <w:highlight w:val="none"/>
          <w:lang w:val="en-US" w:eastAsia="zh-CN"/>
        </w:rPr>
        <w:t>中标人</w:t>
      </w:r>
      <w:r>
        <w:rPr>
          <w:rFonts w:hint="eastAsia" w:ascii="宋体" w:hAnsi="宋体" w:eastAsia="宋体" w:cs="宋体"/>
          <w:color w:val="auto"/>
          <w:szCs w:val="21"/>
          <w:highlight w:val="none"/>
          <w:lang w:eastAsia="zh-CN"/>
        </w:rPr>
        <w:t>支付该艘船艇的合同金额。</w:t>
      </w:r>
    </w:p>
    <w:p w14:paraId="63A293A6">
      <w:pPr>
        <w:pStyle w:val="33"/>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420" w:firstLineChars="20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w:t>
      </w:r>
      <w:r>
        <w:rPr>
          <w:rFonts w:hint="eastAsia" w:cs="宋体"/>
          <w:color w:val="auto"/>
          <w:szCs w:val="21"/>
          <w:highlight w:val="none"/>
          <w:lang w:val="en-US" w:eastAsia="zh-CN"/>
        </w:rPr>
        <w:t>尾款：</w:t>
      </w:r>
      <w:r>
        <w:rPr>
          <w:rFonts w:hint="eastAsia" w:ascii="宋体" w:hAnsi="宋体" w:eastAsia="宋体" w:cs="宋体"/>
          <w:color w:val="auto"/>
          <w:szCs w:val="21"/>
          <w:highlight w:val="none"/>
          <w:lang w:eastAsia="zh-CN"/>
        </w:rPr>
        <w:t>项目全部完成并经采购人验收合格后，</w:t>
      </w:r>
      <w:r>
        <w:rPr>
          <w:rFonts w:hint="eastAsia" w:ascii="宋体" w:hAnsi="宋体" w:eastAsia="宋体" w:cs="宋体"/>
          <w:color w:val="auto"/>
          <w:szCs w:val="21"/>
          <w:highlight w:val="none"/>
          <w:lang w:val="en-US" w:eastAsia="zh-CN"/>
        </w:rPr>
        <w:t>中标人</w:t>
      </w:r>
      <w:r>
        <w:rPr>
          <w:rFonts w:hint="eastAsia" w:ascii="宋体" w:hAnsi="宋体" w:eastAsia="宋体" w:cs="宋体"/>
          <w:color w:val="auto"/>
          <w:szCs w:val="21"/>
          <w:highlight w:val="none"/>
          <w:lang w:eastAsia="zh-CN"/>
        </w:rPr>
        <w:t>向采购人提交全套结算材料（含</w:t>
      </w:r>
      <w:r>
        <w:rPr>
          <w:rFonts w:hint="eastAsia" w:cs="宋体"/>
          <w:color w:val="auto"/>
          <w:szCs w:val="21"/>
          <w:highlight w:val="none"/>
          <w:lang w:val="en-US" w:eastAsia="zh-CN"/>
        </w:rPr>
        <w:t>发票、</w:t>
      </w:r>
      <w:r>
        <w:rPr>
          <w:rFonts w:hint="eastAsia" w:ascii="宋体" w:hAnsi="宋体" w:eastAsia="宋体" w:cs="宋体"/>
          <w:color w:val="auto"/>
          <w:szCs w:val="21"/>
          <w:highlight w:val="none"/>
          <w:lang w:eastAsia="zh-CN"/>
        </w:rPr>
        <w:t>付款申请、验收报告、主机检验报告、维修影音资料等），采购人在</w:t>
      </w:r>
      <w:r>
        <w:rPr>
          <w:rFonts w:hint="eastAsia" w:cs="宋体"/>
          <w:color w:val="auto"/>
          <w:szCs w:val="21"/>
          <w:highlight w:val="none"/>
          <w:lang w:val="en-US" w:eastAsia="zh-CN"/>
        </w:rPr>
        <w:t>收到材料后</w:t>
      </w:r>
      <w:r>
        <w:rPr>
          <w:rFonts w:hint="eastAsia" w:ascii="宋体" w:hAnsi="宋体" w:eastAsia="宋体" w:cs="宋体"/>
          <w:color w:val="auto"/>
          <w:szCs w:val="21"/>
          <w:highlight w:val="none"/>
          <w:lang w:eastAsia="zh-CN"/>
        </w:rPr>
        <w:t>10个工作日内</w:t>
      </w:r>
      <w:r>
        <w:rPr>
          <w:rFonts w:hint="eastAsia" w:cs="宋体"/>
          <w:color w:val="auto"/>
          <w:szCs w:val="21"/>
          <w:highlight w:val="none"/>
          <w:lang w:val="en-US" w:eastAsia="zh-CN"/>
        </w:rPr>
        <w:t>向中标人</w:t>
      </w:r>
      <w:r>
        <w:rPr>
          <w:rFonts w:hint="eastAsia" w:ascii="宋体" w:hAnsi="宋体" w:eastAsia="宋体" w:cs="宋体"/>
          <w:color w:val="auto"/>
          <w:szCs w:val="21"/>
          <w:highlight w:val="none"/>
          <w:lang w:eastAsia="zh-CN"/>
        </w:rPr>
        <w:t>支付至合同总金额的100%。如项目存在增减工程量，</w:t>
      </w:r>
      <w:r>
        <w:rPr>
          <w:rFonts w:hint="eastAsia" w:ascii="宋体" w:hAnsi="宋体" w:eastAsia="宋体" w:cs="宋体"/>
          <w:color w:val="auto"/>
          <w:szCs w:val="21"/>
          <w:highlight w:val="none"/>
          <w:lang w:val="en-US" w:eastAsia="zh-CN"/>
        </w:rPr>
        <w:t>中标人</w:t>
      </w:r>
      <w:r>
        <w:rPr>
          <w:rFonts w:hint="eastAsia" w:ascii="宋体" w:hAnsi="宋体" w:eastAsia="宋体" w:cs="宋体"/>
          <w:color w:val="auto"/>
          <w:szCs w:val="21"/>
          <w:highlight w:val="none"/>
          <w:lang w:eastAsia="zh-CN"/>
        </w:rPr>
        <w:t>还需提供签证确认资料，采购人委托第三方结算审核公司进行结算审核并经双方确认后，支付至合同审定总结算价100%。</w:t>
      </w:r>
    </w:p>
    <w:p w14:paraId="5473E10E">
      <w:pPr>
        <w:pStyle w:val="33"/>
        <w:keepNext w:val="0"/>
        <w:keepLines w:val="0"/>
        <w:pageBreakBefore w:val="0"/>
        <w:numPr>
          <w:ilvl w:val="0"/>
          <w:numId w:val="2"/>
        </w:numPr>
        <w:kinsoku/>
        <w:overflowPunct/>
        <w:topLinePunct w:val="0"/>
        <w:autoSpaceDE/>
        <w:autoSpaceDN/>
        <w:bidi w:val="0"/>
        <w:spacing w:after="0" w:line="360" w:lineRule="auto"/>
        <w:ind w:left="0" w:leftChars="0" w:firstLine="420"/>
        <w:rPr>
          <w:rFonts w:hint="eastAsia" w:ascii="宋体" w:hAnsi="宋体" w:eastAsia="宋体" w:cs="宋体"/>
          <w:color w:val="auto"/>
          <w:szCs w:val="21"/>
          <w:highlight w:val="none"/>
          <w:lang w:eastAsia="zh-CN"/>
        </w:rPr>
      </w:pPr>
      <w:bookmarkStart w:id="52" w:name="_Hlk172146892"/>
      <w:r>
        <w:rPr>
          <w:rFonts w:hint="eastAsia" w:ascii="宋体" w:hAnsi="宋体" w:eastAsia="宋体" w:cs="宋体"/>
          <w:color w:val="auto"/>
          <w:szCs w:val="21"/>
          <w:highlight w:val="none"/>
        </w:rPr>
        <w:t>验收要求</w:t>
      </w:r>
      <w:r>
        <w:rPr>
          <w:rFonts w:hint="eastAsia" w:ascii="宋体" w:hAnsi="宋体" w:eastAsia="宋体" w:cs="宋体"/>
          <w:color w:val="auto"/>
          <w:szCs w:val="21"/>
          <w:highlight w:val="none"/>
          <w:lang w:eastAsia="zh-CN"/>
        </w:rPr>
        <w:t>：</w:t>
      </w:r>
    </w:p>
    <w:p w14:paraId="66888E97">
      <w:pPr>
        <w:pStyle w:val="3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360" w:lineRule="auto"/>
        <w:ind w:left="0" w:leftChars="0" w:right="0" w:rightChars="0"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（1）验收主体：</w:t>
      </w:r>
      <w:r>
        <w:rPr>
          <w:rFonts w:hint="eastAsia" w:cs="宋体"/>
          <w:color w:val="auto"/>
          <w:szCs w:val="21"/>
          <w:highlight w:val="none"/>
          <w:lang w:eastAsia="zh-CN"/>
        </w:rPr>
        <w:t>万山出入境边防检查站。</w:t>
      </w:r>
      <w:r>
        <w:rPr>
          <w:rFonts w:hint="eastAsia" w:ascii="宋体" w:hAnsi="宋体" w:eastAsia="宋体" w:cs="宋体"/>
          <w:color w:val="auto"/>
          <w:szCs w:val="21"/>
          <w:highlight w:val="none"/>
          <w:lang w:eastAsia="zh-CN"/>
        </w:rPr>
        <w:t>由采购人负责组织开展验收工作，必要时可邀请第三方专业检测机构或行业专家协同参与验收，出具专业意见。</w:t>
      </w:r>
    </w:p>
    <w:p w14:paraId="009F6EA1">
      <w:pPr>
        <w:pStyle w:val="3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360" w:lineRule="auto"/>
        <w:ind w:left="0" w:leftChars="0" w:right="0" w:rightChars="0"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（2）验收方式：</w:t>
      </w:r>
      <w:r>
        <w:rPr>
          <w:rFonts w:hint="eastAsia" w:cs="宋体"/>
          <w:color w:val="auto"/>
          <w:szCs w:val="21"/>
          <w:highlight w:val="none"/>
          <w:lang w:val="en-US" w:eastAsia="zh-CN"/>
        </w:rPr>
        <w:t>采购人</w:t>
      </w:r>
      <w:r>
        <w:rPr>
          <w:rFonts w:hint="eastAsia" w:ascii="宋体" w:hAnsi="宋体" w:eastAsia="宋体" w:cs="宋体"/>
          <w:color w:val="auto"/>
          <w:szCs w:val="21"/>
          <w:highlight w:val="none"/>
          <w:lang w:eastAsia="zh-CN"/>
        </w:rPr>
        <w:t>组织</w:t>
      </w:r>
      <w:r>
        <w:rPr>
          <w:rFonts w:hint="eastAsia" w:cs="宋体"/>
          <w:color w:val="auto"/>
          <w:szCs w:val="21"/>
          <w:highlight w:val="none"/>
          <w:lang w:val="en-US" w:eastAsia="zh-CN"/>
        </w:rPr>
        <w:t>相关人员</w:t>
      </w:r>
      <w:r>
        <w:rPr>
          <w:rFonts w:hint="eastAsia" w:ascii="宋体" w:hAnsi="宋体" w:eastAsia="宋体" w:cs="宋体"/>
          <w:color w:val="auto"/>
          <w:szCs w:val="21"/>
          <w:highlight w:val="none"/>
          <w:lang w:eastAsia="zh-CN"/>
        </w:rPr>
        <w:t>根据维修清单对中标供应商提供的服务进行验收。</w:t>
      </w:r>
    </w:p>
    <w:p w14:paraId="577F000F">
      <w:pPr>
        <w:pStyle w:val="3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360" w:lineRule="auto"/>
        <w:ind w:left="0" w:leftChars="0" w:right="0" w:rightChars="0"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验收时间：供应商应在单艘船艇中修项目完工且自检合格后5个工作日内，向采购人提交维修保养项目验收申请报告和维修工程竣工资料（含厂家检验报告）。采购人接到验收申请报告和完整的竣工资料后5个工作日</w:t>
      </w:r>
      <w:r>
        <w:rPr>
          <w:rFonts w:hint="eastAsia" w:cs="宋体"/>
          <w:color w:val="auto"/>
          <w:szCs w:val="21"/>
          <w:highlight w:val="none"/>
          <w:lang w:val="en-US" w:eastAsia="zh-CN"/>
        </w:rPr>
        <w:t>内</w:t>
      </w:r>
      <w:r>
        <w:rPr>
          <w:rFonts w:hint="eastAsia" w:ascii="宋体" w:hAnsi="宋体" w:eastAsia="宋体" w:cs="宋体"/>
          <w:color w:val="auto"/>
          <w:szCs w:val="21"/>
          <w:highlight w:val="none"/>
          <w:lang w:eastAsia="zh-CN"/>
        </w:rPr>
        <w:t>组织验收；如维修工程或竣工资料不符合要求的，供应商应按采购人的要求，对维修工程进行整改或对竣工资料予以补充，并重新申请验收，由此产生的费用由供应商承担，维修工期不予顺延。</w:t>
      </w:r>
    </w:p>
    <w:p w14:paraId="162E9A5E">
      <w:pPr>
        <w:pStyle w:val="3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360" w:lineRule="auto"/>
        <w:ind w:left="0" w:leftChars="0" w:right="0" w:rightChars="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Cs w:val="21"/>
          <w:highlight w:val="none"/>
          <w:lang w:eastAsia="zh-CN"/>
        </w:rPr>
        <w:t>（4）验收程序：</w:t>
      </w:r>
      <w:r>
        <w:rPr>
          <w:rFonts w:hint="eastAsia" w:ascii="宋体" w:hAnsi="宋体" w:eastAsia="宋体" w:cs="宋体"/>
          <w:color w:val="auto"/>
          <w:szCs w:val="21"/>
          <w:highlight w:val="none"/>
          <w:lang w:val="en-US" w:eastAsia="zh-CN"/>
        </w:rPr>
        <w:t>①</w:t>
      </w:r>
      <w:r>
        <w:rPr>
          <w:rFonts w:hint="eastAsia" w:ascii="宋体" w:hAnsi="宋体" w:eastAsia="宋体" w:cs="宋体"/>
          <w:color w:val="auto"/>
          <w:szCs w:val="21"/>
          <w:highlight w:val="none"/>
          <w:lang w:eastAsia="zh-CN"/>
        </w:rPr>
        <w:t>采购人主管部门批准供应商提交的竣工验收申请报告和竣工资料后，采购人应确定验收时间并通知验收小组有关人员；</w:t>
      </w:r>
      <w:r>
        <w:rPr>
          <w:rFonts w:hint="eastAsia" w:ascii="宋体" w:hAnsi="宋体" w:eastAsia="宋体" w:cs="宋体"/>
          <w:color w:val="auto"/>
          <w:szCs w:val="21"/>
          <w:highlight w:val="none"/>
          <w:lang w:val="en-US" w:eastAsia="zh-CN"/>
        </w:rPr>
        <w:t>②</w:t>
      </w:r>
      <w:r>
        <w:rPr>
          <w:rFonts w:hint="eastAsia" w:ascii="宋体" w:hAnsi="宋体" w:eastAsia="宋体" w:cs="宋体"/>
          <w:color w:val="auto"/>
          <w:szCs w:val="21"/>
          <w:highlight w:val="none"/>
          <w:lang w:eastAsia="zh-CN"/>
        </w:rPr>
        <w:t>采购人主管部门组织有关单位按合同约定维修保养项目内容，对维修保养项目各个环节进行检验，听取有关单位的检验意见，对维修保养项目遗留或存在的问题提出书面处理意见；</w:t>
      </w:r>
      <w:r>
        <w:rPr>
          <w:rFonts w:hint="eastAsia" w:ascii="宋体" w:hAnsi="宋体" w:eastAsia="宋体" w:cs="宋体"/>
          <w:color w:val="auto"/>
          <w:szCs w:val="21"/>
          <w:highlight w:val="none"/>
          <w:lang w:val="en-US" w:eastAsia="zh-CN"/>
        </w:rPr>
        <w:t>③</w:t>
      </w:r>
      <w:r>
        <w:rPr>
          <w:rFonts w:hint="eastAsia" w:ascii="宋体" w:hAnsi="宋体" w:eastAsia="宋体" w:cs="宋体"/>
          <w:color w:val="auto"/>
          <w:szCs w:val="21"/>
          <w:highlight w:val="none"/>
          <w:lang w:eastAsia="zh-CN"/>
        </w:rPr>
        <w:t>经维修保养项目质量达到合格标准的（包括试航），采购人与供应商双方办理书面交接手续。</w:t>
      </w:r>
      <w:r>
        <w:rPr>
          <w:rFonts w:hint="eastAsia" w:ascii="宋体" w:hAnsi="宋体" w:eastAsia="宋体" w:cs="宋体"/>
          <w:color w:val="auto"/>
          <w:szCs w:val="21"/>
          <w:highlight w:val="none"/>
          <w:lang w:val="en-US" w:eastAsia="zh-CN"/>
        </w:rPr>
        <w:t>④</w:t>
      </w:r>
      <w:r>
        <w:rPr>
          <w:rFonts w:hint="eastAsia" w:ascii="宋体" w:hAnsi="宋体" w:eastAsia="宋体" w:cs="宋体"/>
          <w:color w:val="auto"/>
          <w:szCs w:val="21"/>
          <w:highlight w:val="none"/>
          <w:lang w:eastAsia="zh-CN"/>
        </w:rPr>
        <w:t>项目完工验收合格后，供应商应将所有完工资料移交采购人。</w:t>
      </w:r>
    </w:p>
    <w:p w14:paraId="6254C14C">
      <w:pPr>
        <w:pStyle w:val="3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360" w:lineRule="auto"/>
        <w:ind w:left="0" w:leftChars="0" w:right="0" w:rightChars="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验收内容：采购人对供应商提供的服务进行验收，对中修中所留存影像资料及更换下来的旧零配件进行检查、确认、处理。要求跟艇试航，记录主机工作状态及船艇性能状态，填写航行试验报告单。产品质量应达到设计要求，安装调试各项指标和技术要求应符合验收标准要求。经试航后，各项设备运行指标正常，须通过主机厂家验收并出具检验报告。在维修保养工作期间应对工程量清单中每一步骤留存相关影像资料，最后汇总形成结算报告，未留存相关影像资料视作未完成，结算中进行核减。</w:t>
      </w:r>
    </w:p>
    <w:p w14:paraId="4FD54CD3">
      <w:pPr>
        <w:pStyle w:val="3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360" w:lineRule="auto"/>
        <w:ind w:left="0" w:leftChars="0" w:right="0" w:rightChars="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验收标准：①供应商提供的货物或服务质量符合我国最新颁布的与之相关的技术规范与标准，同时满足国家强制标准、行业规范标准、采购文件明确要求、投标（响应）文件承诺及合同全部约定；设备按照制造厂商生产的产品验收标准和中华人民共和国有关标准以及招标文件规定的技术要求进行验收。②供应商需无实质性偏离、无质量瑕疵，达到约定的服务成效。</w:t>
      </w:r>
      <w:r>
        <w:rPr>
          <w:rFonts w:hint="eastAsia" w:ascii="宋体" w:hAnsi="宋体" w:eastAsia="宋体" w:cs="宋体"/>
          <w:color w:val="auto"/>
          <w:sz w:val="21"/>
          <w:szCs w:val="21"/>
          <w:highlight w:val="none"/>
          <w:lang w:val="en-US" w:eastAsia="zh-CN"/>
        </w:rPr>
        <w:t>验收时</w:t>
      </w:r>
      <w:r>
        <w:rPr>
          <w:rFonts w:hint="eastAsia" w:ascii="宋体" w:hAnsi="宋体" w:eastAsia="宋体" w:cs="宋体"/>
          <w:color w:val="auto"/>
          <w:sz w:val="21"/>
          <w:szCs w:val="21"/>
          <w:highlight w:val="none"/>
          <w:lang w:eastAsia="zh-CN"/>
        </w:rPr>
        <w:t>提供完整的服务执行记录、成果文件及相关佐证材料，确保服务过程可追溯、可核查，服务成果符合合同约定要求。</w:t>
      </w:r>
    </w:p>
    <w:p w14:paraId="529A7276">
      <w:pPr>
        <w:pStyle w:val="33"/>
        <w:keepNext w:val="0"/>
        <w:keepLines w:val="0"/>
        <w:pageBreakBefore w:val="0"/>
        <w:widowControl w:val="0"/>
        <w:kinsoku/>
        <w:wordWrap/>
        <w:overflowPunct/>
        <w:topLinePunct w:val="0"/>
        <w:autoSpaceDE/>
        <w:autoSpaceDN/>
        <w:bidi w:val="0"/>
        <w:adjustRightInd/>
        <w:snapToGrid/>
        <w:spacing w:after="0" w:line="360" w:lineRule="auto"/>
        <w:ind w:left="0" w:leftChars="0" w:right="0"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 w:val="21"/>
          <w:szCs w:val="21"/>
          <w:highlight w:val="none"/>
          <w:lang w:eastAsia="zh-CN"/>
        </w:rPr>
        <w:t>（7）整改与费用：首次验收不合格，供应商须按采购人要求限期整改、返工，补充完善服务内容；重新验收产生的所有费用（检测费、评估费、人工费等）均由过错方承担，逾期未整改或整改后仍不合格视为严重违约。</w:t>
      </w:r>
    </w:p>
    <w:p w14:paraId="46A7A09C">
      <w:pPr>
        <w:pStyle w:val="33"/>
        <w:keepNext w:val="0"/>
        <w:keepLines w:val="0"/>
        <w:pageBreakBefore w:val="0"/>
        <w:numPr>
          <w:ilvl w:val="0"/>
          <w:numId w:val="2"/>
        </w:numPr>
        <w:kinsoku/>
        <w:overflowPunct/>
        <w:topLinePunct w:val="0"/>
        <w:autoSpaceDE/>
        <w:autoSpaceDN/>
        <w:bidi w:val="0"/>
        <w:spacing w:after="0" w:line="360" w:lineRule="auto"/>
        <w:ind w:left="0" w:leftChars="0" w:firstLine="42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履约保证金：</w:t>
      </w:r>
    </w:p>
    <w:p w14:paraId="39A485F2">
      <w:pPr>
        <w:pStyle w:val="33"/>
        <w:keepNext w:val="0"/>
        <w:keepLines w:val="0"/>
        <w:pageBreakBefore w:val="0"/>
        <w:numPr>
          <w:ilvl w:val="0"/>
          <w:numId w:val="0"/>
        </w:numPr>
        <w:kinsoku/>
        <w:overflowPunct/>
        <w:topLinePunct w:val="0"/>
        <w:autoSpaceDE/>
        <w:autoSpaceDN/>
        <w:bidi w:val="0"/>
        <w:spacing w:after="0" w:line="360" w:lineRule="auto"/>
        <w:ind w:left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本项目收取履约保证金，具体规定如下：</w:t>
      </w:r>
    </w:p>
    <w:p w14:paraId="4358BBF3">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履约保证金金额：按中标金额的</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u w:val="single"/>
          <w:lang w:val="en-US" w:eastAsia="zh-CN"/>
        </w:rPr>
        <w:t>5</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%收取。</w:t>
      </w:r>
    </w:p>
    <w:p w14:paraId="4E3333E8">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履约保证金提交时间：</w:t>
      </w:r>
      <w:r>
        <w:rPr>
          <w:rFonts w:hint="eastAsia" w:cs="宋体"/>
          <w:color w:val="auto"/>
          <w:szCs w:val="21"/>
          <w:highlight w:val="none"/>
          <w:lang w:val="en-US" w:eastAsia="zh-CN"/>
        </w:rPr>
        <w:t>中标公告发布</w:t>
      </w:r>
      <w:r>
        <w:rPr>
          <w:rFonts w:hint="eastAsia" w:ascii="宋体" w:hAnsi="宋体" w:eastAsia="宋体" w:cs="宋体"/>
          <w:color w:val="auto"/>
          <w:szCs w:val="21"/>
          <w:highlight w:val="none"/>
          <w:lang w:eastAsia="zh-CN"/>
        </w:rPr>
        <w:t>后</w:t>
      </w:r>
      <w:r>
        <w:rPr>
          <w:rFonts w:hint="eastAsia" w:cs="宋体"/>
          <w:color w:val="auto"/>
          <w:szCs w:val="21"/>
          <w:highlight w:val="none"/>
          <w:lang w:val="en-US" w:eastAsia="zh-CN"/>
        </w:rPr>
        <w:t>10</w:t>
      </w:r>
      <w:r>
        <w:rPr>
          <w:rFonts w:hint="eastAsia" w:ascii="宋体" w:hAnsi="宋体" w:eastAsia="宋体" w:cs="宋体"/>
          <w:color w:val="auto"/>
          <w:szCs w:val="21"/>
          <w:highlight w:val="none"/>
          <w:lang w:eastAsia="zh-CN"/>
        </w:rPr>
        <w:t>个工作日内，</w:t>
      </w:r>
      <w:r>
        <w:rPr>
          <w:rFonts w:hint="eastAsia" w:ascii="宋体" w:hAnsi="宋体" w:eastAsia="宋体" w:cs="宋体"/>
          <w:color w:val="auto"/>
          <w:szCs w:val="21"/>
          <w:highlight w:val="none"/>
          <w:lang w:val="en-US" w:eastAsia="zh-CN"/>
        </w:rPr>
        <w:t>中标人</w:t>
      </w:r>
      <w:r>
        <w:rPr>
          <w:rFonts w:hint="eastAsia" w:ascii="宋体" w:hAnsi="宋体" w:eastAsia="宋体" w:cs="宋体"/>
          <w:color w:val="auto"/>
          <w:szCs w:val="21"/>
          <w:highlight w:val="none"/>
          <w:lang w:eastAsia="zh-CN"/>
        </w:rPr>
        <w:t>向采购人提供合同总金额5%的履约保证金</w:t>
      </w:r>
      <w:r>
        <w:rPr>
          <w:rFonts w:hint="eastAsia" w:ascii="宋体" w:hAnsi="宋体" w:eastAsia="宋体" w:cs="宋体"/>
          <w:color w:val="auto"/>
          <w:szCs w:val="21"/>
          <w:highlight w:val="none"/>
          <w:lang w:val="en-US" w:eastAsia="zh-CN"/>
        </w:rPr>
        <w:t>。</w:t>
      </w:r>
    </w:p>
    <w:p w14:paraId="5AE3CF25">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履约保证金递交方式：对公转账、支票、汇票、本票或者金融机构、担保机构出具的保函等非现金方式。</w:t>
      </w:r>
    </w:p>
    <w:p w14:paraId="0F55B12F">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履约保证金退还方式、时间及条件：</w:t>
      </w:r>
      <w:r>
        <w:rPr>
          <w:rFonts w:hint="eastAsia" w:ascii="宋体" w:hAnsi="宋体" w:eastAsia="宋体" w:cs="宋体"/>
          <w:color w:val="auto"/>
          <w:szCs w:val="21"/>
          <w:highlight w:val="none"/>
          <w:u w:val="single"/>
          <w:lang w:eastAsia="zh-CN"/>
        </w:rPr>
        <w:t>中标供应商完整履行合同义务、项目验收合格、向采购人提交履约保证金退还申请后 10个工作日内，采购人无息退还履约保证金。若供应商未按合同完成全部项目，则采购人全额没收履约保证金，且供应商违约给采购人造成损失超过履约保证金的，应依法赔偿超过部分的损失；</w:t>
      </w:r>
    </w:p>
    <w:p w14:paraId="2C401EB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备注：履约保证金不足额缴纳的（包含保函额度不足的），或者不按规定提交方式提交的，或者保函有效期低于合同履行期限（即合同中规定的当事人履行自己的义务，如交付标的物、价款或者报酬，履行劳务、完成工作的时间界限）的，不予签订合同。</w:t>
      </w:r>
    </w:p>
    <w:bookmarkEnd w:id="52"/>
    <w:p w14:paraId="7EBA085E">
      <w:pPr>
        <w:pStyle w:val="33"/>
        <w:keepNext w:val="0"/>
        <w:keepLines w:val="0"/>
        <w:pageBreakBefore w:val="0"/>
        <w:numPr>
          <w:ilvl w:val="0"/>
          <w:numId w:val="2"/>
        </w:numPr>
        <w:kinsoku/>
        <w:overflowPunct/>
        <w:topLinePunct w:val="0"/>
        <w:autoSpaceDE/>
        <w:autoSpaceDN/>
        <w:bidi w:val="0"/>
        <w:spacing w:after="0" w:line="360" w:lineRule="auto"/>
        <w:ind w:left="0" w:leftChars="0" w:firstLine="42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质量保证期</w:t>
      </w:r>
    </w:p>
    <w:p w14:paraId="280A675B">
      <w:pPr>
        <w:pStyle w:val="33"/>
        <w:keepNext w:val="0"/>
        <w:keepLines w:val="0"/>
        <w:pageBreakBefore w:val="0"/>
        <w:kinsoku/>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本项目质量保证期要求不低于行业标准。船艇完成维修保养后，需进行安装调试，设备参数和工况须达到船检标准合格以上，须提供主机厂家检验合格报告，保证能够验收通过船舶检验部门的检验，须满足采购人执法执勤用船需要。</w:t>
      </w:r>
    </w:p>
    <w:p w14:paraId="1E2E6B88">
      <w:pPr>
        <w:pStyle w:val="11"/>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）质保期为：从货物供货、安装、调试正常且验收合格后开始计算，经供应商修复的固定部件保修期</w:t>
      </w:r>
      <w:r>
        <w:rPr>
          <w:rFonts w:hint="eastAsia" w:cs="宋体"/>
          <w:color w:val="auto"/>
          <w:szCs w:val="21"/>
          <w:highlight w:val="none"/>
          <w:lang w:val="en-US" w:eastAsia="zh-CN"/>
        </w:rPr>
        <w:t>应</w:t>
      </w:r>
      <w:r>
        <w:rPr>
          <w:rFonts w:hint="eastAsia"/>
          <w:color w:val="auto"/>
          <w:szCs w:val="21"/>
          <w:highlight w:val="none"/>
          <w:lang w:val="en-US" w:eastAsia="zh-CN"/>
        </w:rPr>
        <w:t>不少于</w:t>
      </w:r>
      <w:r>
        <w:rPr>
          <w:rFonts w:hint="eastAsia" w:ascii="宋体" w:hAnsi="宋体" w:eastAsia="宋体" w:cs="宋体"/>
          <w:color w:val="auto"/>
          <w:szCs w:val="21"/>
          <w:highlight w:val="none"/>
          <w:lang w:eastAsia="zh-CN"/>
        </w:rPr>
        <w:t>六个月，运动部件保修期</w:t>
      </w:r>
      <w:r>
        <w:rPr>
          <w:rFonts w:hint="eastAsia" w:cs="宋体"/>
          <w:color w:val="auto"/>
          <w:szCs w:val="21"/>
          <w:highlight w:val="none"/>
          <w:lang w:val="en-US" w:eastAsia="zh-CN"/>
        </w:rPr>
        <w:t>应</w:t>
      </w:r>
      <w:r>
        <w:rPr>
          <w:rFonts w:hint="eastAsia"/>
          <w:color w:val="auto"/>
          <w:szCs w:val="21"/>
          <w:highlight w:val="none"/>
          <w:lang w:val="en-US" w:eastAsia="zh-CN"/>
        </w:rPr>
        <w:t>不少于</w:t>
      </w:r>
      <w:r>
        <w:rPr>
          <w:rFonts w:hint="eastAsia" w:ascii="宋体" w:hAnsi="宋体" w:eastAsia="宋体" w:cs="宋体"/>
          <w:color w:val="auto"/>
          <w:szCs w:val="21"/>
          <w:highlight w:val="none"/>
          <w:lang w:eastAsia="zh-CN"/>
        </w:rPr>
        <w:t>三个月，质保期内，由于维修质量问题造成的船艇异常损坏、事故或直接经济损失等，由供应商负责维修或经济赔偿。</w:t>
      </w:r>
    </w:p>
    <w:p w14:paraId="0BD7D72A">
      <w:pPr>
        <w:pStyle w:val="33"/>
        <w:keepNext w:val="0"/>
        <w:keepLines w:val="0"/>
        <w:pageBreakBefore w:val="0"/>
        <w:kinsoku/>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eastAsia="zh-CN"/>
        </w:rPr>
        <w:t>）如在保修期内再次出现相似故障，经采购人与供应商双方共同进行认定，确为供应商责任的由供应商承担维修费用，如因采购人使用不当造成的由采购人承担维修费用。如双方认定意见不统一，供应商必须接受由采购人委托的第三方有资质机构进行检测认定，检测费用由最终责任方承担。</w:t>
      </w:r>
    </w:p>
    <w:p w14:paraId="3F01E047">
      <w:pPr>
        <w:pStyle w:val="33"/>
        <w:keepNext w:val="0"/>
        <w:keepLines w:val="0"/>
        <w:pageBreakBefore w:val="0"/>
        <w:kinsoku/>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lang w:eastAsia="zh-CN"/>
        </w:rPr>
        <w:t>）经过保修的项目，其质保期从保修恢复之日起重新计算。</w:t>
      </w:r>
    </w:p>
    <w:p w14:paraId="1FA2F34F">
      <w:pPr>
        <w:pStyle w:val="33"/>
        <w:keepNext w:val="0"/>
        <w:keepLines w:val="0"/>
        <w:pageBreakBefore w:val="0"/>
        <w:kinsoku/>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p>
    <w:p w14:paraId="559F1C8B">
      <w:pPr>
        <w:pStyle w:val="60"/>
        <w:keepNext w:val="0"/>
        <w:keepLines w:val="0"/>
        <w:pageBreakBefore w:val="0"/>
        <w:kinsoku/>
        <w:overflowPunct/>
        <w:topLinePunct w:val="0"/>
        <w:autoSpaceDE/>
        <w:autoSpaceDN/>
        <w:bidi w:val="0"/>
        <w:spacing w:line="360" w:lineRule="auto"/>
        <w:rPr>
          <w:rFonts w:hint="eastAsia" w:ascii="宋体" w:hAnsi="宋体" w:eastAsia="宋体" w:cs="宋体"/>
          <w:color w:val="auto"/>
          <w:sz w:val="21"/>
          <w:szCs w:val="21"/>
          <w:highlight w:val="none"/>
          <w:lang w:eastAsia="zh-CN"/>
        </w:rPr>
      </w:pPr>
      <w:bookmarkStart w:id="53" w:name="_Toc30522"/>
      <w:r>
        <w:rPr>
          <w:rFonts w:hint="eastAsia" w:ascii="宋体" w:hAnsi="宋体" w:eastAsia="宋体" w:cs="宋体"/>
          <w:color w:val="auto"/>
          <w:sz w:val="21"/>
          <w:szCs w:val="21"/>
          <w:highlight w:val="none"/>
          <w:lang w:eastAsia="zh-CN"/>
        </w:rPr>
        <w:t>三、技术标准与要求</w:t>
      </w:r>
      <w:bookmarkEnd w:id="53"/>
    </w:p>
    <w:p w14:paraId="2AE645A7">
      <w:pPr>
        <w:pStyle w:val="33"/>
        <w:keepNext w:val="0"/>
        <w:keepLines w:val="0"/>
        <w:pageBreakBefore w:val="0"/>
        <w:kinsoku/>
        <w:overflowPunct/>
        <w:topLinePunct w:val="0"/>
        <w:autoSpaceDE/>
        <w:autoSpaceDN/>
        <w:bidi w:val="0"/>
        <w:spacing w:after="0" w:line="360" w:lineRule="auto"/>
        <w:ind w:left="0" w:leftChars="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船艇一经移交给供应商，则交接后该船艇所发生的一切质量或安全事故及由此引起的一切损失或赔偿责任均由供应商负责。维修保养过程中，供应商除维修需要外，不能以任何理由动用所维修的船舶，未经采购人同意不得将船舶开出试航或他用，应当接受采购人代表的监督，采用采购人代表提出的合理建议。</w:t>
      </w:r>
    </w:p>
    <w:p w14:paraId="4799C476">
      <w:pPr>
        <w:pStyle w:val="33"/>
        <w:keepNext w:val="0"/>
        <w:keepLines w:val="0"/>
        <w:pageBreakBefore w:val="0"/>
        <w:kinsoku/>
        <w:overflowPunct/>
        <w:topLinePunct w:val="0"/>
        <w:autoSpaceDE/>
        <w:autoSpaceDN/>
        <w:bidi w:val="0"/>
        <w:spacing w:after="0" w:line="360" w:lineRule="auto"/>
        <w:ind w:left="0" w:leftChars="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供应商对所提供的船艇零配件质量负责，所提供的零部件、配件等材料必须为所修机型供应商的全新件，符合国家或行业标准，必须有合法的进货渠道，不得使用假冒伪劣产品或以次充好、以旧代新。供应商应在零配件和材料运抵工地现场前48小时通知采购人验收，并提供供货清单以备检查。如发现供应商订购的零配件和材料不符合合同约定、或非原装正规合格产品，供应商除重新更换为原装正规合格产品外，还应当在采购人指定的时间内，将不符合约定的零配件或材料运离现场，并承担因此产生的费用。无论采购人是否对供应商采购的零配件进行了验收，如发现供应商使用的零配件为非原装正规合格产品，供应商除重新更换为原装正规合格产品外，并承担因此产生的费用，工期不予顺延，同时还需赔偿采购人的经济损失。维修完毕，供应商应当妥善保存更换下来的旧零配件，完工验收时交给采购人检查、确认、处理。</w:t>
      </w:r>
    </w:p>
    <w:p w14:paraId="1917B4CF">
      <w:pPr>
        <w:pStyle w:val="33"/>
        <w:keepNext w:val="0"/>
        <w:keepLines w:val="0"/>
        <w:pageBreakBefore w:val="0"/>
        <w:kinsoku/>
        <w:overflowPunct/>
        <w:topLinePunct w:val="0"/>
        <w:autoSpaceDE/>
        <w:autoSpaceDN/>
        <w:bidi w:val="0"/>
        <w:spacing w:after="0" w:line="360" w:lineRule="auto"/>
        <w:ind w:left="0" w:leftChars="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3.供应商必须严格按照维修机型的技术要求和标准，对设备进行拆卸、检查、组装、校验等维修保养工作，维修过程中不得随意增加报价单以外的维修项目。维修过程中如发现某些项目是必须追加的，供应商应立即告知采购人，征得采购人同意并签字确认后，方可对增加费用内容开始施工。不得擅自更改维修项目，不得对可以维修的部件进行以换代修；不得与任何人串通，虚假修船或虚报维修项目，损害采购人的利益。供应商应在约定时间内完成船艇中修工作，并提交结算报告，资料包括但不限于：船艇检修计划、送修单、报价单、结算单、维修影像资料、主机厂家检验合格报告等。</w:t>
      </w:r>
    </w:p>
    <w:p w14:paraId="219B9C58">
      <w:pPr>
        <w:pStyle w:val="33"/>
        <w:keepNext w:val="0"/>
        <w:keepLines w:val="0"/>
        <w:pageBreakBefore w:val="0"/>
        <w:kinsoku/>
        <w:overflowPunct/>
        <w:topLinePunct w:val="0"/>
        <w:autoSpaceDE/>
        <w:autoSpaceDN/>
        <w:bidi w:val="0"/>
        <w:spacing w:after="0" w:line="360" w:lineRule="auto"/>
        <w:ind w:left="0" w:leftChars="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4.维修质量不低于国家、行业相关标准及合同约定。送修船艇达不到规定的质量标准和技术要求的，优先返修并不得再计价收取任何费用。船艇维修保养竣工出厂执行质量保证期制度，在送修单和结算单上必须统一填写质量保质期（质量保证期中行驶里程和日期指标，以先到者为准）、入厂时间、行驶里程等项目，确保在正常行驶里程或天数内无故障。</w:t>
      </w:r>
    </w:p>
    <w:p w14:paraId="0BECBC60">
      <w:pPr>
        <w:pStyle w:val="33"/>
        <w:keepNext w:val="0"/>
        <w:keepLines w:val="0"/>
        <w:pageBreakBefore w:val="0"/>
        <w:kinsoku/>
        <w:overflowPunct/>
        <w:topLinePunct w:val="0"/>
        <w:autoSpaceDE/>
        <w:autoSpaceDN/>
        <w:bidi w:val="0"/>
        <w:spacing w:after="0" w:line="360" w:lineRule="auto"/>
        <w:ind w:left="0" w:leftChars="0"/>
        <w:jc w:val="both"/>
        <w:rPr>
          <w:rFonts w:hint="default" w:ascii="宋体" w:hAnsi="宋体" w:eastAsia="宋体" w:cs="宋体"/>
          <w:color w:val="auto"/>
          <w:highlight w:val="none"/>
          <w:lang w:val="en-US" w:eastAsia="zh-CN"/>
        </w:rPr>
      </w:pPr>
      <w:r>
        <w:rPr>
          <w:rFonts w:hint="eastAsia" w:ascii="宋体" w:hAnsi="宋体" w:eastAsia="宋体" w:cs="宋体"/>
          <w:color w:val="auto"/>
          <w:highlight w:val="none"/>
          <w:lang w:eastAsia="zh-CN"/>
        </w:rPr>
        <w:t>5.供应商应具备执行本项目服务的技术团队，包括但不限于专业的维修人员、保养人员、检验人员等。其中，项目负责人需具备MAN、MTU主机中修经验。</w:t>
      </w:r>
      <w:r>
        <w:rPr>
          <w:rFonts w:hint="eastAsia" w:cs="宋体"/>
          <w:color w:val="auto"/>
          <w:highlight w:val="none"/>
          <w:lang w:val="en-US" w:eastAsia="zh-CN"/>
        </w:rPr>
        <w:t>若本项目实际实施中有岗位涉及</w:t>
      </w:r>
      <w:r>
        <w:rPr>
          <w:rFonts w:hint="eastAsia"/>
          <w:color w:val="auto"/>
          <w:highlight w:val="none"/>
          <w:lang w:val="en-US" w:eastAsia="zh-CN"/>
        </w:rPr>
        <w:t>国家职业资格目录里的法定持证上岗证书，投标人应保证执行该岗位技术人员具备资质。</w:t>
      </w:r>
    </w:p>
    <w:p w14:paraId="07C629A2">
      <w:pPr>
        <w:pStyle w:val="33"/>
        <w:keepNext w:val="0"/>
        <w:keepLines w:val="0"/>
        <w:pageBreakBefore w:val="0"/>
        <w:kinsoku/>
        <w:overflowPunct/>
        <w:topLinePunct w:val="0"/>
        <w:autoSpaceDE/>
        <w:autoSpaceDN/>
        <w:bidi w:val="0"/>
        <w:spacing w:after="0" w:line="360" w:lineRule="auto"/>
        <w:ind w:left="0" w:leftChars="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lang w:eastAsia="zh-CN"/>
        </w:rPr>
        <w:t>技术负责人员应当有多年从事船艇维修保养业务经验，并掌握船艇维修保养及相关政策法规和技术规范。质量检验人员应当熟悉各类船艇维修检测作业规范，掌握船艇维修故障诊断和质量检验的相关技术。</w:t>
      </w:r>
    </w:p>
    <w:p w14:paraId="2B5E06CF">
      <w:pPr>
        <w:pStyle w:val="33"/>
        <w:keepNext w:val="0"/>
        <w:keepLines w:val="0"/>
        <w:pageBreakBefore w:val="0"/>
        <w:kinsoku/>
        <w:overflowPunct/>
        <w:topLinePunct w:val="0"/>
        <w:autoSpaceDE/>
        <w:autoSpaceDN/>
        <w:bidi w:val="0"/>
        <w:spacing w:after="0" w:line="360" w:lineRule="auto"/>
        <w:ind w:left="0" w:leftChars="0"/>
        <w:jc w:val="both"/>
        <w:rPr>
          <w:rFonts w:hint="eastAsia" w:ascii="宋体" w:hAnsi="宋体" w:eastAsia="宋体" w:cs="宋体"/>
          <w:b/>
          <w:bCs/>
          <w:color w:val="auto"/>
          <w:highlight w:val="none"/>
          <w:lang w:eastAsia="zh-CN"/>
        </w:rPr>
      </w:pP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lang w:eastAsia="zh-CN"/>
        </w:rPr>
        <w:t>供应商须</w:t>
      </w:r>
      <w:r>
        <w:rPr>
          <w:rFonts w:hint="eastAsia" w:ascii="宋体" w:hAnsi="宋体" w:eastAsia="宋体" w:cs="宋体"/>
          <w:color w:val="auto"/>
          <w:highlight w:val="none"/>
          <w:lang w:val="en-US" w:eastAsia="zh-CN"/>
        </w:rPr>
        <w:t>具备</w:t>
      </w:r>
      <w:r>
        <w:rPr>
          <w:rFonts w:hint="eastAsia" w:ascii="宋体" w:hAnsi="宋体" w:eastAsia="宋体" w:cs="宋体"/>
          <w:color w:val="auto"/>
          <w:highlight w:val="none"/>
          <w:lang w:eastAsia="zh-CN"/>
        </w:rPr>
        <w:t>本项目修船所需船坞、码头及相关修船设施设备，</w:t>
      </w:r>
      <w:r>
        <w:rPr>
          <w:rFonts w:hint="eastAsia" w:ascii="宋体" w:hAnsi="宋体" w:eastAsia="宋体" w:cs="宋体"/>
          <w:color w:val="auto"/>
          <w:highlight w:val="none"/>
          <w:lang w:val="en-US" w:eastAsia="zh-CN"/>
        </w:rPr>
        <w:t>能够</w:t>
      </w:r>
      <w:r>
        <w:rPr>
          <w:rFonts w:hint="eastAsia" w:ascii="宋体" w:hAnsi="宋体" w:eastAsia="宋体" w:cs="宋体"/>
          <w:color w:val="auto"/>
          <w:highlight w:val="none"/>
          <w:lang w:eastAsia="zh-CN"/>
        </w:rPr>
        <w:t>停泊并吊装船长</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lang w:eastAsia="zh-CN"/>
        </w:rPr>
        <w:t>30米的船舶。</w:t>
      </w:r>
    </w:p>
    <w:p w14:paraId="4C582D09">
      <w:pPr>
        <w:pStyle w:val="33"/>
        <w:keepNext w:val="0"/>
        <w:keepLines w:val="0"/>
        <w:pageBreakBefore w:val="0"/>
        <w:kinsoku/>
        <w:overflowPunct/>
        <w:topLinePunct w:val="0"/>
        <w:autoSpaceDE/>
        <w:autoSpaceDN/>
        <w:bidi w:val="0"/>
        <w:spacing w:after="0" w:line="360" w:lineRule="auto"/>
        <w:ind w:left="0" w:leftChars="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lang w:eastAsia="zh-CN"/>
        </w:rPr>
        <w:t>.在维修过程中，供应商应当遵守采购人和国家有关环保、安全、防火、防污染的规定，供应商违反上述规定，造成采购人损失的（包括但不限于政府相关部门的罚款及处理安全事故和治理污染而发生的全部费用），供应商应当予以赔偿。</w:t>
      </w:r>
    </w:p>
    <w:p w14:paraId="70497991">
      <w:pPr>
        <w:pStyle w:val="33"/>
        <w:keepNext w:val="0"/>
        <w:keepLines w:val="0"/>
        <w:pageBreakBefore w:val="0"/>
        <w:kinsoku/>
        <w:overflowPunct/>
        <w:topLinePunct w:val="0"/>
        <w:autoSpaceDE/>
        <w:autoSpaceDN/>
        <w:bidi w:val="0"/>
        <w:spacing w:after="0" w:line="360" w:lineRule="auto"/>
        <w:ind w:left="0" w:leftChars="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9</w:t>
      </w:r>
      <w:r>
        <w:rPr>
          <w:rFonts w:hint="eastAsia" w:ascii="宋体" w:hAnsi="宋体" w:eastAsia="宋体" w:cs="宋体"/>
          <w:color w:val="auto"/>
          <w:highlight w:val="none"/>
          <w:lang w:eastAsia="zh-CN"/>
        </w:rPr>
        <w:t>.合同期内，如遇台风等恶劣天气，供应商应为采购人船艇提供停泊服务。船艇维修保养及避台风期间，供应商应为采购人代表和其他工作人员提供办公、检查及食宿等。</w:t>
      </w:r>
    </w:p>
    <w:p w14:paraId="3ECA0718">
      <w:pPr>
        <w:pStyle w:val="33"/>
        <w:keepNext w:val="0"/>
        <w:keepLines w:val="0"/>
        <w:pageBreakBefore w:val="0"/>
        <w:kinsoku/>
        <w:overflowPunct/>
        <w:topLinePunct w:val="0"/>
        <w:autoSpaceDE/>
        <w:autoSpaceDN/>
        <w:bidi w:val="0"/>
        <w:spacing w:after="0" w:line="360" w:lineRule="auto"/>
        <w:ind w:left="0" w:leftChars="0"/>
        <w:jc w:val="both"/>
        <w:rPr>
          <w:rFonts w:hint="eastAsia" w:ascii="宋体" w:hAnsi="宋体" w:eastAsia="宋体" w:cs="宋体"/>
          <w:color w:val="auto"/>
          <w:szCs w:val="21"/>
          <w:highlight w:val="none"/>
          <w:lang w:eastAsia="zh-CN"/>
        </w:rPr>
      </w:pPr>
      <w:r>
        <w:rPr>
          <w:rFonts w:hint="eastAsia" w:ascii="宋体" w:hAnsi="宋体" w:eastAsia="宋体" w:cs="宋体"/>
          <w:color w:val="auto"/>
          <w:highlight w:val="none"/>
          <w:lang w:val="en-US" w:eastAsia="zh-CN"/>
        </w:rPr>
        <w:t>10</w:t>
      </w:r>
      <w:r>
        <w:rPr>
          <w:rFonts w:hint="eastAsia" w:ascii="宋体" w:hAnsi="宋体" w:eastAsia="宋体" w:cs="宋体"/>
          <w:color w:val="auto"/>
          <w:highlight w:val="none"/>
          <w:lang w:eastAsia="zh-CN"/>
        </w:rPr>
        <w:t>.供应商应配合采购人提前至少1</w:t>
      </w:r>
      <w:r>
        <w:rPr>
          <w:rFonts w:hint="eastAsia" w:cs="宋体"/>
          <w:color w:val="auto"/>
          <w:highlight w:val="none"/>
          <w:lang w:val="en-US" w:eastAsia="zh-CN"/>
        </w:rPr>
        <w:t>5日</w:t>
      </w:r>
      <w:r>
        <w:rPr>
          <w:rFonts w:hint="eastAsia" w:ascii="宋体" w:hAnsi="宋体" w:eastAsia="宋体" w:cs="宋体"/>
          <w:color w:val="auto"/>
          <w:highlight w:val="none"/>
          <w:lang w:eastAsia="zh-CN"/>
        </w:rPr>
        <w:t>确定船艇进厂日期，减少因临时安排引起的非必要高额费用支出。</w:t>
      </w:r>
    </w:p>
    <w:p w14:paraId="14E0B249">
      <w:pPr>
        <w:pStyle w:val="33"/>
        <w:keepNext w:val="0"/>
        <w:keepLines w:val="0"/>
        <w:pageBreakBefore w:val="0"/>
        <w:kinsoku/>
        <w:overflowPunct/>
        <w:topLinePunct w:val="0"/>
        <w:autoSpaceDE/>
        <w:autoSpaceDN/>
        <w:bidi w:val="0"/>
        <w:spacing w:after="0" w:line="360" w:lineRule="auto"/>
        <w:ind w:left="0" w:leftChars="0" w:firstLine="0" w:firstLineChars="0"/>
        <w:jc w:val="both"/>
        <w:rPr>
          <w:rFonts w:hint="eastAsia" w:ascii="宋体" w:hAnsi="宋体" w:eastAsia="宋体" w:cs="宋体"/>
          <w:color w:val="auto"/>
          <w:szCs w:val="21"/>
          <w:highlight w:val="none"/>
          <w:lang w:eastAsia="zh-CN"/>
        </w:rPr>
      </w:pPr>
    </w:p>
    <w:p w14:paraId="35BD3968">
      <w:pPr>
        <w:pStyle w:val="60"/>
        <w:keepNext w:val="0"/>
        <w:keepLines w:val="0"/>
        <w:pageBreakBefore w:val="0"/>
        <w:kinsoku/>
        <w:overflowPunct/>
        <w:topLinePunct w:val="0"/>
        <w:bidi w:val="0"/>
        <w:spacing w:line="360" w:lineRule="auto"/>
        <w:rPr>
          <w:rFonts w:hint="eastAsia" w:ascii="宋体" w:hAnsi="宋体" w:eastAsia="宋体" w:cs="宋体"/>
          <w:color w:val="auto"/>
          <w:sz w:val="21"/>
          <w:szCs w:val="21"/>
          <w:highlight w:val="none"/>
          <w:lang w:val="en-US" w:eastAsia="zh-CN"/>
        </w:rPr>
      </w:pPr>
      <w:bookmarkStart w:id="54" w:name="_Toc7896"/>
      <w:r>
        <w:rPr>
          <w:rFonts w:hint="eastAsia" w:ascii="宋体" w:hAnsi="宋体" w:eastAsia="宋体" w:cs="宋体"/>
          <w:color w:val="auto"/>
          <w:sz w:val="21"/>
          <w:szCs w:val="21"/>
          <w:highlight w:val="none"/>
          <w:lang w:val="en-US" w:eastAsia="zh-CN"/>
        </w:rPr>
        <w:t>四、其他要求</w:t>
      </w:r>
      <w:bookmarkEnd w:id="54"/>
    </w:p>
    <w:p w14:paraId="07E5CAFC">
      <w:pPr>
        <w:pStyle w:val="33"/>
        <w:keepNext w:val="0"/>
        <w:keepLines w:val="0"/>
        <w:pageBreakBefore w:val="0"/>
        <w:kinsoku/>
        <w:overflowPunct/>
        <w:topLinePunct w:val="0"/>
        <w:autoSpaceDE/>
        <w:autoSpaceDN/>
        <w:bidi w:val="0"/>
        <w:spacing w:after="0" w:line="360" w:lineRule="auto"/>
        <w:ind w:left="0" w:leftChars="0" w:firstLine="420" w:firstLineChars="200"/>
        <w:jc w:val="both"/>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1.中修服务实施</w:t>
      </w:r>
    </w:p>
    <w:p w14:paraId="7F233FD2">
      <w:pPr>
        <w:pStyle w:val="33"/>
        <w:keepNext w:val="0"/>
        <w:keepLines w:val="0"/>
        <w:pageBreakBefore w:val="0"/>
        <w:kinsoku/>
        <w:overflowPunct/>
        <w:topLinePunct w:val="0"/>
        <w:autoSpaceDE/>
        <w:autoSpaceDN/>
        <w:bidi w:val="0"/>
        <w:spacing w:after="0" w:line="360" w:lineRule="auto"/>
        <w:ind w:left="0" w:leftChars="0" w:firstLine="420" w:firstLineChars="200"/>
        <w:jc w:val="both"/>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开工前应明确工期节点、实施重难点、配件合规性与质量标准把控，按主机型号和标准开展维修保养。规范进厂对接、登记备案，搭建维修日志并实时更新，接受采购人监督。应对季节安全隐患及配件价格波动，采取提前储备配件、锁定合规供应商等改进策略。</w:t>
      </w:r>
    </w:p>
    <w:p w14:paraId="0BDF4B5C">
      <w:pPr>
        <w:pStyle w:val="33"/>
        <w:keepNext w:val="0"/>
        <w:keepLines w:val="0"/>
        <w:pageBreakBefore w:val="0"/>
        <w:kinsoku/>
        <w:overflowPunct/>
        <w:topLinePunct w:val="0"/>
        <w:autoSpaceDE/>
        <w:autoSpaceDN/>
        <w:bidi w:val="0"/>
        <w:spacing w:after="0" w:line="360" w:lineRule="auto"/>
        <w:ind w:left="0" w:leftChars="0" w:firstLine="420" w:firstLineChars="2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质量保证方案</w:t>
      </w:r>
    </w:p>
    <w:p w14:paraId="2428D3AF">
      <w:pPr>
        <w:pStyle w:val="33"/>
        <w:keepNext w:val="0"/>
        <w:keepLines w:val="0"/>
        <w:pageBreakBefore w:val="0"/>
        <w:kinsoku/>
        <w:overflowPunct/>
        <w:topLinePunct w:val="0"/>
        <w:autoSpaceDE/>
        <w:autoSpaceDN/>
        <w:bidi w:val="0"/>
        <w:spacing w:after="0" w:line="360" w:lineRule="auto"/>
        <w:ind w:left="0" w:leftChars="0" w:firstLine="420" w:firstLineChars="2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投标人应</w:t>
      </w:r>
      <w:r>
        <w:rPr>
          <w:rFonts w:hint="eastAsia" w:ascii="宋体" w:hAnsi="宋体" w:eastAsia="宋体" w:cs="宋体"/>
          <w:color w:val="auto"/>
          <w:szCs w:val="21"/>
          <w:highlight w:val="none"/>
          <w:lang w:eastAsia="zh-CN"/>
        </w:rPr>
        <w:t>承诺维修质量达标，</w:t>
      </w:r>
      <w:r>
        <w:rPr>
          <w:rFonts w:hint="eastAsia" w:ascii="宋体" w:hAnsi="宋体" w:eastAsia="宋体" w:cs="宋体"/>
          <w:color w:val="auto"/>
          <w:szCs w:val="21"/>
          <w:highlight w:val="none"/>
          <w:lang w:val="en-US" w:eastAsia="zh-CN"/>
        </w:rPr>
        <w:t>不</w:t>
      </w:r>
      <w:r>
        <w:rPr>
          <w:rFonts w:hint="eastAsia" w:ascii="宋体" w:hAnsi="宋体" w:eastAsia="宋体" w:cs="宋体"/>
          <w:color w:val="auto"/>
          <w:szCs w:val="21"/>
          <w:highlight w:val="none"/>
          <w:lang w:eastAsia="zh-CN"/>
        </w:rPr>
        <w:t>达标准</w:t>
      </w:r>
      <w:r>
        <w:rPr>
          <w:rFonts w:hint="eastAsia" w:ascii="宋体" w:hAnsi="宋体" w:eastAsia="宋体" w:cs="宋体"/>
          <w:color w:val="auto"/>
          <w:szCs w:val="21"/>
          <w:highlight w:val="none"/>
          <w:lang w:val="en-US" w:eastAsia="zh-CN"/>
        </w:rPr>
        <w:t>须立即</w:t>
      </w:r>
      <w:r>
        <w:rPr>
          <w:rFonts w:hint="eastAsia" w:ascii="宋体" w:hAnsi="宋体" w:eastAsia="宋体" w:cs="宋体"/>
          <w:color w:val="auto"/>
          <w:szCs w:val="21"/>
          <w:highlight w:val="none"/>
          <w:lang w:eastAsia="zh-CN"/>
        </w:rPr>
        <w:t>返修且不额外计价，明确质量保证期，竣工时规范填写相关信息。确保配件为原装全新件，不合格配件及时更换并承担相关费用，妥善保管旧件。</w:t>
      </w:r>
      <w:r>
        <w:rPr>
          <w:rFonts w:hint="eastAsia" w:ascii="宋体" w:hAnsi="宋体" w:eastAsia="宋体" w:cs="宋体"/>
          <w:color w:val="auto"/>
          <w:szCs w:val="21"/>
          <w:highlight w:val="none"/>
          <w:lang w:val="en-US" w:eastAsia="zh-CN"/>
        </w:rPr>
        <w:t>投标人应</w:t>
      </w:r>
      <w:r>
        <w:rPr>
          <w:rFonts w:hint="eastAsia" w:ascii="宋体" w:hAnsi="宋体" w:eastAsia="宋体" w:cs="宋体"/>
          <w:color w:val="auto"/>
          <w:szCs w:val="21"/>
          <w:highlight w:val="none"/>
          <w:lang w:eastAsia="zh-CN"/>
        </w:rPr>
        <w:t>配备专业团队，项目负责人具备MAN、MTU主机中修经验，保障人员充足，建立完善的服务团队管理制度。</w:t>
      </w:r>
    </w:p>
    <w:p w14:paraId="29D702F2">
      <w:pPr>
        <w:pStyle w:val="33"/>
        <w:keepNext w:val="0"/>
        <w:keepLines w:val="0"/>
        <w:pageBreakBefore w:val="0"/>
        <w:kinsoku/>
        <w:overflowPunct/>
        <w:topLinePunct w:val="0"/>
        <w:autoSpaceDE/>
        <w:autoSpaceDN/>
        <w:bidi w:val="0"/>
        <w:spacing w:after="0" w:line="360" w:lineRule="auto"/>
        <w:ind w:left="0" w:leftChars="0" w:firstLine="420" w:firstLineChars="2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eastAsia="zh-CN"/>
        </w:rPr>
        <w:t>风险事件预防措施及应急处理保障方案</w:t>
      </w:r>
    </w:p>
    <w:p w14:paraId="2DEBAC09">
      <w:pPr>
        <w:pStyle w:val="33"/>
        <w:keepNext w:val="0"/>
        <w:keepLines w:val="0"/>
        <w:pageBreakBefore w:val="0"/>
        <w:kinsoku/>
        <w:overflowPunct/>
        <w:topLinePunct w:val="0"/>
        <w:autoSpaceDE/>
        <w:autoSpaceDN/>
        <w:bidi w:val="0"/>
        <w:spacing w:after="0" w:line="360" w:lineRule="auto"/>
        <w:ind w:left="0" w:leftChars="0" w:firstLine="420" w:firstLineChars="2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投标人应预先明确项目实施过程中存在的生产安全、特种</w:t>
      </w:r>
      <w:r>
        <w:rPr>
          <w:rFonts w:hint="eastAsia" w:ascii="宋体" w:hAnsi="宋体" w:eastAsia="宋体" w:cs="宋体"/>
          <w:color w:val="auto"/>
          <w:szCs w:val="21"/>
          <w:highlight w:val="none"/>
          <w:lang w:eastAsia="zh-CN"/>
        </w:rPr>
        <w:t>作业、设备操作等</w:t>
      </w:r>
      <w:r>
        <w:rPr>
          <w:rFonts w:hint="eastAsia" w:ascii="宋体" w:hAnsi="宋体" w:eastAsia="宋体" w:cs="宋体"/>
          <w:color w:val="auto"/>
          <w:szCs w:val="21"/>
          <w:highlight w:val="none"/>
          <w:lang w:val="en-US" w:eastAsia="zh-CN"/>
        </w:rPr>
        <w:t>潜在</w:t>
      </w:r>
      <w:r>
        <w:rPr>
          <w:rFonts w:hint="eastAsia" w:ascii="宋体" w:hAnsi="宋体" w:eastAsia="宋体" w:cs="宋体"/>
          <w:color w:val="auto"/>
          <w:szCs w:val="21"/>
          <w:highlight w:val="none"/>
          <w:lang w:eastAsia="zh-CN"/>
        </w:rPr>
        <w:t>风险，</w:t>
      </w:r>
      <w:r>
        <w:rPr>
          <w:rFonts w:hint="eastAsia" w:ascii="宋体" w:hAnsi="宋体" w:eastAsia="宋体" w:cs="宋体"/>
          <w:color w:val="auto"/>
          <w:szCs w:val="21"/>
          <w:highlight w:val="none"/>
          <w:lang w:val="en-US" w:eastAsia="zh-CN"/>
        </w:rPr>
        <w:t>并罗列相应的</w:t>
      </w:r>
      <w:r>
        <w:rPr>
          <w:rFonts w:hint="eastAsia" w:ascii="宋体" w:hAnsi="宋体" w:eastAsia="宋体" w:cs="宋体"/>
          <w:color w:val="auto"/>
          <w:szCs w:val="21"/>
          <w:highlight w:val="none"/>
          <w:lang w:eastAsia="zh-CN"/>
        </w:rPr>
        <w:t>预防措施，</w:t>
      </w:r>
      <w:r>
        <w:rPr>
          <w:rFonts w:hint="eastAsia" w:ascii="宋体" w:hAnsi="宋体" w:eastAsia="宋体" w:cs="宋体"/>
          <w:color w:val="auto"/>
          <w:szCs w:val="21"/>
          <w:highlight w:val="none"/>
          <w:lang w:val="en-US" w:eastAsia="zh-CN"/>
        </w:rPr>
        <w:t>保障</w:t>
      </w:r>
      <w:r>
        <w:rPr>
          <w:rFonts w:hint="eastAsia" w:ascii="宋体" w:hAnsi="宋体" w:eastAsia="宋体" w:cs="宋体"/>
          <w:color w:val="auto"/>
          <w:szCs w:val="21"/>
          <w:highlight w:val="none"/>
          <w:lang w:eastAsia="zh-CN"/>
        </w:rPr>
        <w:t>操作流程</w:t>
      </w:r>
      <w:r>
        <w:rPr>
          <w:rFonts w:hint="eastAsia" w:ascii="宋体" w:hAnsi="宋体" w:eastAsia="宋体" w:cs="宋体"/>
          <w:color w:val="auto"/>
          <w:szCs w:val="21"/>
          <w:highlight w:val="none"/>
          <w:lang w:val="en-US" w:eastAsia="zh-CN"/>
        </w:rPr>
        <w:t>规范化。遇到紧急事故应</w:t>
      </w:r>
      <w:r>
        <w:rPr>
          <w:rFonts w:hint="eastAsia" w:ascii="宋体" w:hAnsi="宋体" w:eastAsia="宋体" w:cs="宋体"/>
          <w:color w:val="auto"/>
          <w:szCs w:val="21"/>
          <w:highlight w:val="none"/>
          <w:lang w:eastAsia="zh-CN"/>
        </w:rPr>
        <w:t>及时上报，</w:t>
      </w:r>
      <w:r>
        <w:rPr>
          <w:rFonts w:hint="eastAsia" w:ascii="宋体" w:hAnsi="宋体" w:eastAsia="宋体" w:cs="宋体"/>
          <w:color w:val="auto"/>
          <w:szCs w:val="21"/>
          <w:highlight w:val="none"/>
          <w:lang w:val="en-US" w:eastAsia="zh-CN"/>
        </w:rPr>
        <w:t>并妥善做好应急处理</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投标文件需</w:t>
      </w:r>
      <w:r>
        <w:rPr>
          <w:rFonts w:hint="eastAsia" w:ascii="宋体" w:hAnsi="宋体" w:eastAsia="宋体" w:cs="宋体"/>
          <w:color w:val="auto"/>
          <w:szCs w:val="21"/>
          <w:highlight w:val="none"/>
          <w:lang w:eastAsia="zh-CN"/>
        </w:rPr>
        <w:t>罗列台风、</w:t>
      </w:r>
      <w:r>
        <w:rPr>
          <w:rFonts w:hint="eastAsia" w:ascii="宋体" w:hAnsi="宋体" w:eastAsia="宋体" w:cs="宋体"/>
          <w:color w:val="auto"/>
          <w:szCs w:val="21"/>
          <w:highlight w:val="none"/>
          <w:lang w:val="en-US" w:eastAsia="zh-CN"/>
        </w:rPr>
        <w:t>海啸、</w:t>
      </w:r>
      <w:r>
        <w:rPr>
          <w:rFonts w:hint="eastAsia" w:ascii="宋体" w:hAnsi="宋体" w:eastAsia="宋体" w:cs="宋体"/>
          <w:color w:val="auto"/>
          <w:szCs w:val="21"/>
          <w:highlight w:val="none"/>
          <w:lang w:eastAsia="zh-CN"/>
        </w:rPr>
        <w:t>火灾等</w:t>
      </w:r>
      <w:r>
        <w:rPr>
          <w:rFonts w:hint="eastAsia" w:ascii="宋体" w:hAnsi="宋体" w:eastAsia="宋体" w:cs="宋体"/>
          <w:color w:val="auto"/>
          <w:szCs w:val="21"/>
          <w:highlight w:val="none"/>
          <w:lang w:val="en-US" w:eastAsia="zh-CN"/>
        </w:rPr>
        <w:t>灾害</w:t>
      </w:r>
      <w:r>
        <w:rPr>
          <w:rFonts w:hint="eastAsia" w:ascii="宋体" w:hAnsi="宋体" w:eastAsia="宋体" w:cs="宋体"/>
          <w:color w:val="auto"/>
          <w:szCs w:val="21"/>
          <w:highlight w:val="none"/>
          <w:lang w:eastAsia="zh-CN"/>
        </w:rPr>
        <w:t>风险</w:t>
      </w:r>
      <w:r>
        <w:rPr>
          <w:rFonts w:hint="eastAsia" w:ascii="宋体" w:hAnsi="宋体" w:eastAsia="宋体" w:cs="宋体"/>
          <w:color w:val="auto"/>
          <w:szCs w:val="21"/>
          <w:highlight w:val="none"/>
          <w:lang w:val="en-US" w:eastAsia="zh-CN"/>
        </w:rPr>
        <w:t>的应急预案</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针对性提出解决方案</w:t>
      </w:r>
      <w:r>
        <w:rPr>
          <w:rFonts w:hint="eastAsia" w:ascii="宋体" w:hAnsi="宋体" w:eastAsia="宋体" w:cs="宋体"/>
          <w:color w:val="auto"/>
          <w:szCs w:val="21"/>
          <w:highlight w:val="none"/>
          <w:lang w:eastAsia="zh-CN"/>
        </w:rPr>
        <w:t>。建立应急小组，明确责任分工，备好应急物资，确保各类风险发生时能快速响应、减少损失，做好应急处置。</w:t>
      </w:r>
    </w:p>
    <w:p w14:paraId="4B203C81">
      <w:pPr>
        <w:pStyle w:val="33"/>
        <w:keepNext w:val="0"/>
        <w:keepLines w:val="0"/>
        <w:pageBreakBefore w:val="0"/>
        <w:kinsoku/>
        <w:overflowPunct/>
        <w:topLinePunct w:val="0"/>
        <w:autoSpaceDE/>
        <w:autoSpaceDN/>
        <w:bidi w:val="0"/>
        <w:spacing w:after="0" w:line="360" w:lineRule="auto"/>
        <w:ind w:left="0" w:leftChars="0" w:firstLine="420" w:firstLineChars="200"/>
        <w:jc w:val="both"/>
        <w:rPr>
          <w:rFonts w:hint="eastAsia" w:cs="宋体"/>
          <w:color w:val="auto"/>
          <w:szCs w:val="21"/>
          <w:highlight w:val="none"/>
          <w:lang w:val="en-US" w:eastAsia="zh-CN"/>
        </w:rPr>
      </w:pPr>
      <w:r>
        <w:rPr>
          <w:rFonts w:hint="eastAsia" w:cs="宋体"/>
          <w:color w:val="auto"/>
          <w:szCs w:val="21"/>
          <w:highlight w:val="none"/>
          <w:lang w:val="en-US" w:eastAsia="zh-CN"/>
        </w:rPr>
        <w:t>4.主机中修售后服务承诺</w:t>
      </w:r>
    </w:p>
    <w:p w14:paraId="0FDAA7B9">
      <w:pPr>
        <w:pStyle w:val="33"/>
        <w:keepNext w:val="0"/>
        <w:keepLines w:val="0"/>
        <w:pageBreakBefore w:val="0"/>
        <w:kinsoku/>
        <w:overflowPunct/>
        <w:topLinePunct w:val="0"/>
        <w:autoSpaceDE/>
        <w:autoSpaceDN/>
        <w:bidi w:val="0"/>
        <w:spacing w:after="0" w:line="360" w:lineRule="auto"/>
        <w:ind w:left="0" w:leftChars="0" w:firstLine="420" w:firstLineChars="200"/>
        <w:jc w:val="both"/>
        <w:rPr>
          <w:rFonts w:hint="eastAsia" w:ascii="宋体" w:hAnsi="宋体" w:eastAsia="宋体" w:cs="宋体"/>
          <w:color w:val="auto"/>
          <w:szCs w:val="21"/>
          <w:highlight w:val="none"/>
          <w:lang w:eastAsia="zh-CN"/>
        </w:rPr>
      </w:pPr>
      <w:r>
        <w:rPr>
          <w:rFonts w:hint="eastAsia" w:cs="宋体"/>
          <w:color w:val="auto"/>
          <w:szCs w:val="21"/>
          <w:highlight w:val="none"/>
          <w:lang w:val="en-US" w:eastAsia="zh-CN"/>
        </w:rPr>
        <w:t>中标人应按所承诺抵达售后服务地点的时间，为采购人提供主机中修售后服务；包括但不限于现场售后服务、24小时电话技术支撑等。</w:t>
      </w:r>
      <w:r>
        <w:rPr>
          <w:rFonts w:hint="eastAsia" w:ascii="宋体" w:hAnsi="宋体" w:eastAsia="宋体" w:cs="宋体"/>
          <w:color w:val="auto"/>
          <w:szCs w:val="21"/>
          <w:highlight w:val="none"/>
          <w:lang w:eastAsia="zh-CN"/>
        </w:rPr>
        <w:br w:type="page"/>
      </w:r>
    </w:p>
    <w:p w14:paraId="79078CCC">
      <w:pPr>
        <w:keepNext w:val="0"/>
        <w:keepLines w:val="0"/>
        <w:pageBreakBefore w:val="0"/>
        <w:kinsoku/>
        <w:overflowPunct/>
        <w:topLinePunct w:val="0"/>
        <w:autoSpaceDE/>
        <w:autoSpaceDN/>
        <w:bidi w:val="0"/>
        <w:spacing w:line="360" w:lineRule="auto"/>
        <w:jc w:val="center"/>
        <w:outlineLvl w:val="0"/>
        <w:rPr>
          <w:rFonts w:hint="eastAsia" w:ascii="宋体" w:hAnsi="宋体" w:eastAsia="宋体" w:cs="宋体"/>
          <w:b/>
          <w:bCs/>
          <w:color w:val="auto"/>
          <w:sz w:val="24"/>
          <w:szCs w:val="24"/>
          <w:highlight w:val="none"/>
          <w:lang w:eastAsia="zh-CN"/>
        </w:rPr>
      </w:pPr>
      <w:bookmarkStart w:id="55" w:name="_Toc103461379"/>
      <w:bookmarkStart w:id="56" w:name="_Toc103462368"/>
      <w:bookmarkStart w:id="57" w:name="_Toc6209"/>
      <w:bookmarkStart w:id="58" w:name="_Toc104131892"/>
      <w:bookmarkStart w:id="59" w:name="_Toc103462394"/>
      <w:bookmarkStart w:id="60" w:name="_Toc103461608"/>
      <w:r>
        <w:rPr>
          <w:rFonts w:hint="eastAsia" w:ascii="宋体" w:hAnsi="宋体" w:eastAsia="宋体" w:cs="宋体"/>
          <w:b/>
          <w:bCs/>
          <w:color w:val="auto"/>
          <w:sz w:val="24"/>
          <w:szCs w:val="24"/>
          <w:highlight w:val="none"/>
          <w:lang w:eastAsia="zh-CN"/>
        </w:rPr>
        <w:t>第三章 投标人须知</w:t>
      </w:r>
      <w:bookmarkEnd w:id="55"/>
      <w:bookmarkEnd w:id="56"/>
      <w:bookmarkEnd w:id="57"/>
      <w:bookmarkEnd w:id="58"/>
      <w:bookmarkEnd w:id="59"/>
      <w:bookmarkEnd w:id="60"/>
    </w:p>
    <w:p w14:paraId="6F6C00E0">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投标人必须认真阅读招标文件中所有的事项、格式、条款和采购需求等。投标人没有按照招标文件要求提交全部资料，或者投标文件没有对招标文件在各方面都做出实质性响应的可能导致其投标无效或被拒绝。</w:t>
      </w:r>
    </w:p>
    <w:p w14:paraId="302C3043">
      <w:pPr>
        <w:pStyle w:val="27"/>
        <w:keepNext w:val="0"/>
        <w:keepLines w:val="0"/>
        <w:pageBreakBefore w:val="0"/>
        <w:kinsoku/>
        <w:overflowPunct/>
        <w:topLinePunct w:val="0"/>
        <w:autoSpaceDE/>
        <w:autoSpaceDN/>
        <w:bidi w:val="0"/>
        <w:spacing w:line="360" w:lineRule="auto"/>
        <w:ind w:firstLine="0" w:firstLineChars="0"/>
        <w:outlineLvl w:val="1"/>
        <w:rPr>
          <w:rFonts w:hint="eastAsia" w:ascii="宋体" w:hAnsi="宋体" w:eastAsia="宋体" w:cs="宋体"/>
          <w:b/>
          <w:bCs/>
          <w:color w:val="auto"/>
          <w:sz w:val="21"/>
          <w:szCs w:val="21"/>
          <w:highlight w:val="none"/>
        </w:rPr>
      </w:pPr>
      <w:bookmarkStart w:id="61" w:name="_Toc103462395"/>
      <w:bookmarkStart w:id="62" w:name="_Toc103461380"/>
      <w:bookmarkStart w:id="63" w:name="_Toc103461609"/>
      <w:bookmarkStart w:id="64" w:name="_Toc103462369"/>
      <w:bookmarkStart w:id="65" w:name="_Toc30766"/>
      <w:bookmarkStart w:id="66" w:name="_Toc104131893"/>
      <w:r>
        <w:rPr>
          <w:rFonts w:hint="eastAsia" w:ascii="宋体" w:hAnsi="宋体" w:eastAsia="宋体" w:cs="宋体"/>
          <w:b/>
          <w:bCs/>
          <w:color w:val="auto"/>
          <w:sz w:val="21"/>
          <w:szCs w:val="21"/>
          <w:highlight w:val="none"/>
        </w:rPr>
        <w:t>一、名词解释</w:t>
      </w:r>
      <w:bookmarkEnd w:id="61"/>
      <w:bookmarkEnd w:id="62"/>
      <w:bookmarkEnd w:id="63"/>
      <w:bookmarkEnd w:id="64"/>
      <w:bookmarkEnd w:id="65"/>
      <w:bookmarkEnd w:id="66"/>
    </w:p>
    <w:p w14:paraId="5218BA9D">
      <w:pPr>
        <w:pStyle w:val="27"/>
        <w:keepNext w:val="0"/>
        <w:keepLines w:val="0"/>
        <w:pageBreakBefore w:val="0"/>
        <w:numPr>
          <w:ilvl w:val="3"/>
          <w:numId w:val="4"/>
        </w:numPr>
        <w:kinsoku/>
        <w:overflowPunct/>
        <w:topLinePunct w:val="0"/>
        <w:autoSpaceDE/>
        <w:autoSpaceDN/>
        <w:bidi w:val="0"/>
        <w:spacing w:line="360" w:lineRule="auto"/>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采购代理机构：本项目是指公诚管理咨询有限公司，负责整个采购活动的组织，依法负责编制和发布招标文件，对招标文件拥有最终的解释权，不以任何身份出任评标委员会成员。</w:t>
      </w:r>
    </w:p>
    <w:p w14:paraId="259AFDAC">
      <w:pPr>
        <w:pStyle w:val="27"/>
        <w:keepNext w:val="0"/>
        <w:keepLines w:val="0"/>
        <w:pageBreakBefore w:val="0"/>
        <w:numPr>
          <w:ilvl w:val="3"/>
          <w:numId w:val="4"/>
        </w:numPr>
        <w:kinsoku/>
        <w:overflowPunct/>
        <w:topLinePunct w:val="0"/>
        <w:autoSpaceDE/>
        <w:autoSpaceDN/>
        <w:bidi w:val="0"/>
        <w:spacing w:line="360" w:lineRule="auto"/>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采购人：本项目采购人详见招标公告，是采购活动当事人之一，负责项目的整体规划、技术方案可行性设计论证与实施，作为合同采购方（用户）的主体承担质疑回复、履行合同、验收与评价等义务。</w:t>
      </w:r>
    </w:p>
    <w:p w14:paraId="6CB7300B">
      <w:pPr>
        <w:pStyle w:val="27"/>
        <w:keepNext w:val="0"/>
        <w:keepLines w:val="0"/>
        <w:pageBreakBefore w:val="0"/>
        <w:numPr>
          <w:ilvl w:val="3"/>
          <w:numId w:val="4"/>
        </w:numPr>
        <w:kinsoku/>
        <w:overflowPunct/>
        <w:topLinePunct w:val="0"/>
        <w:autoSpaceDE/>
        <w:autoSpaceDN/>
        <w:bidi w:val="0"/>
        <w:spacing w:line="360" w:lineRule="auto"/>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投标人、供应商：是指通过诚E招电子采购交易平台获取了采购文件，并提交投标文件的供应商。</w:t>
      </w:r>
    </w:p>
    <w:p w14:paraId="41384847">
      <w:pPr>
        <w:pStyle w:val="27"/>
        <w:keepNext w:val="0"/>
        <w:keepLines w:val="0"/>
        <w:pageBreakBefore w:val="0"/>
        <w:numPr>
          <w:ilvl w:val="3"/>
          <w:numId w:val="4"/>
        </w:numPr>
        <w:kinsoku/>
        <w:overflowPunct/>
        <w:topLinePunct w:val="0"/>
        <w:autoSpaceDE/>
        <w:autoSpaceDN/>
        <w:bidi w:val="0"/>
        <w:spacing w:line="360" w:lineRule="auto"/>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“评标委员会”是指根据《中华人民共和国政府采购法》等法律法规规定，由采购人代表和有关专家组成以确定中标供应商或者推荐中标候选人的临时组织。</w:t>
      </w:r>
    </w:p>
    <w:p w14:paraId="19A6FB2E">
      <w:pPr>
        <w:pStyle w:val="27"/>
        <w:keepNext w:val="0"/>
        <w:keepLines w:val="0"/>
        <w:pageBreakBefore w:val="0"/>
        <w:numPr>
          <w:ilvl w:val="3"/>
          <w:numId w:val="4"/>
        </w:numPr>
        <w:kinsoku/>
        <w:overflowPunct/>
        <w:topLinePunct w:val="0"/>
        <w:autoSpaceDE/>
        <w:autoSpaceDN/>
        <w:bidi w:val="0"/>
        <w:spacing w:line="360" w:lineRule="auto"/>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“中标供应商”、“中标人”是指经评标委员会评审确定的对招标文件做出实质性响应，经采购人按照规定在评标委员会推荐的中标候选人中确定的或评标委员会受采购人委托直接确认的投标人。</w:t>
      </w:r>
    </w:p>
    <w:p w14:paraId="2A9DC4DD">
      <w:pPr>
        <w:pStyle w:val="27"/>
        <w:keepNext w:val="0"/>
        <w:keepLines w:val="0"/>
        <w:pageBreakBefore w:val="0"/>
        <w:numPr>
          <w:ilvl w:val="3"/>
          <w:numId w:val="4"/>
        </w:numPr>
        <w:kinsoku/>
        <w:overflowPunct/>
        <w:topLinePunct w:val="0"/>
        <w:autoSpaceDE/>
        <w:autoSpaceDN/>
        <w:bidi w:val="0"/>
        <w:spacing w:line="360" w:lineRule="auto"/>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招标文件：是指包括招标公告和招标文件及其补充、变更和澄清等一系列文件。</w:t>
      </w:r>
    </w:p>
    <w:p w14:paraId="20177B32">
      <w:pPr>
        <w:pStyle w:val="27"/>
        <w:keepNext w:val="0"/>
        <w:keepLines w:val="0"/>
        <w:pageBreakBefore w:val="0"/>
        <w:numPr>
          <w:ilvl w:val="3"/>
          <w:numId w:val="4"/>
        </w:numPr>
        <w:kinsoku/>
        <w:overflowPunct/>
        <w:topLinePunct w:val="0"/>
        <w:autoSpaceDE/>
        <w:autoSpaceDN/>
        <w:bidi w:val="0"/>
        <w:spacing w:line="360" w:lineRule="auto"/>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投标文件：是指投标人提交的投标文件。</w:t>
      </w:r>
    </w:p>
    <w:p w14:paraId="16640DA8">
      <w:pPr>
        <w:pStyle w:val="27"/>
        <w:keepNext w:val="0"/>
        <w:keepLines w:val="0"/>
        <w:pageBreakBefore w:val="0"/>
        <w:numPr>
          <w:ilvl w:val="3"/>
          <w:numId w:val="4"/>
        </w:numPr>
        <w:kinsoku/>
        <w:overflowPunct/>
        <w:topLinePunct w:val="0"/>
        <w:autoSpaceDE/>
        <w:autoSpaceDN/>
        <w:bidi w:val="0"/>
        <w:spacing w:line="360" w:lineRule="auto"/>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全称”、“公司全称”、“投标人/供应商名称”、“加盖单位公章”、“加盖公章”及“公章”：在投标（响应）文件及相关的其他资料中，涉及“全称”或“公司全称”或“投标人/供应商名称”的应在对应文件编辑时使用文本录入方式，或在纸质投标（响应）文件上进行填写，或直接盖单位公章；涉及“加盖单位公章”、“加盖公章”和“公章”应使用投标人单位的公章进行盖章。</w:t>
      </w:r>
    </w:p>
    <w:p w14:paraId="7D2830B9">
      <w:pPr>
        <w:pStyle w:val="27"/>
        <w:keepNext w:val="0"/>
        <w:keepLines w:val="0"/>
        <w:pageBreakBefore w:val="0"/>
        <w:numPr>
          <w:ilvl w:val="3"/>
          <w:numId w:val="4"/>
        </w:numPr>
        <w:kinsoku/>
        <w:overflowPunct/>
        <w:topLinePunct w:val="0"/>
        <w:autoSpaceDE/>
        <w:autoSpaceDN/>
        <w:bidi w:val="0"/>
        <w:spacing w:line="360" w:lineRule="auto"/>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代表（签字或盖章）”及“授权代表（签字或盖章）”：在投标文件及相关的其他资料中，涉及“投标人代表（签字或盖章）”或“授权代表（签字或盖章）”应在纸质投标文件上进行手写签名或加盖个人印章（签名章或方章）。</w:t>
      </w:r>
    </w:p>
    <w:p w14:paraId="1F7CEDD3">
      <w:pPr>
        <w:pStyle w:val="27"/>
        <w:keepNext w:val="0"/>
        <w:keepLines w:val="0"/>
        <w:pageBreakBefore w:val="0"/>
        <w:numPr>
          <w:ilvl w:val="3"/>
          <w:numId w:val="4"/>
        </w:numPr>
        <w:kinsoku/>
        <w:overflowPunct/>
        <w:topLinePunct w:val="0"/>
        <w:autoSpaceDE/>
        <w:autoSpaceDN/>
        <w:bidi w:val="0"/>
        <w:spacing w:line="360" w:lineRule="auto"/>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“法定代表人（签字或盖章）”：在投标文件及相关的其他资料中，涉及“法定代表人（签字或盖章）”应在纸质投标文件上进行手写签名或加盖个人印章（签名章或方章）。</w:t>
      </w:r>
    </w:p>
    <w:p w14:paraId="704DC05B">
      <w:pPr>
        <w:pStyle w:val="27"/>
        <w:keepNext w:val="0"/>
        <w:keepLines w:val="0"/>
        <w:pageBreakBefore w:val="0"/>
        <w:numPr>
          <w:ilvl w:val="3"/>
          <w:numId w:val="4"/>
        </w:numPr>
        <w:kinsoku/>
        <w:overflowPunct/>
        <w:topLinePunct w:val="0"/>
        <w:autoSpaceDE/>
        <w:autoSpaceDN/>
        <w:bidi w:val="0"/>
        <w:spacing w:line="360" w:lineRule="auto"/>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日期、天数、时间：未有特别说明时，均为公历日（天）及北京时间。</w:t>
      </w:r>
    </w:p>
    <w:p w14:paraId="4B7F509B">
      <w:pPr>
        <w:pStyle w:val="2"/>
        <w:keepNext w:val="0"/>
        <w:keepLines w:val="0"/>
        <w:pageBreakBefore w:val="0"/>
        <w:kinsoku/>
        <w:overflowPunct/>
        <w:topLinePunct w:val="0"/>
        <w:autoSpaceDE/>
        <w:autoSpaceDN/>
        <w:bidi w:val="0"/>
        <w:spacing w:line="360" w:lineRule="auto"/>
        <w:rPr>
          <w:rFonts w:hint="eastAsia" w:ascii="宋体" w:hAnsi="宋体" w:eastAsia="宋体" w:cs="宋体"/>
          <w:color w:val="auto"/>
          <w:szCs w:val="21"/>
          <w:highlight w:val="none"/>
          <w:lang w:eastAsia="zh-CN"/>
        </w:rPr>
      </w:pPr>
    </w:p>
    <w:p w14:paraId="3272DB76">
      <w:pPr>
        <w:keepNext w:val="0"/>
        <w:keepLines w:val="0"/>
        <w:pageBreakBefore w:val="0"/>
        <w:widowControl/>
        <w:kinsoku/>
        <w:overflowPunct/>
        <w:topLinePunct w:val="0"/>
        <w:autoSpaceDE/>
        <w:autoSpaceDN/>
        <w:bidi w:val="0"/>
        <w:spacing w:line="360" w:lineRule="auto"/>
        <w:rPr>
          <w:rFonts w:hint="eastAsia" w:ascii="宋体" w:hAnsi="宋体" w:eastAsia="宋体" w:cs="宋体"/>
          <w:b/>
          <w:bCs/>
          <w:color w:val="auto"/>
          <w:szCs w:val="21"/>
          <w:highlight w:val="none"/>
          <w:lang w:eastAsia="zh-CN"/>
        </w:rPr>
      </w:pPr>
      <w:bookmarkStart w:id="67" w:name="_Toc103462396"/>
      <w:bookmarkStart w:id="68" w:name="_Toc103461610"/>
      <w:bookmarkStart w:id="69" w:name="_Toc104131894"/>
      <w:bookmarkStart w:id="70" w:name="_Toc103461381"/>
      <w:bookmarkStart w:id="71" w:name="_Toc103462370"/>
      <w:r>
        <w:rPr>
          <w:rFonts w:hint="eastAsia" w:ascii="宋体" w:hAnsi="宋体" w:eastAsia="宋体" w:cs="宋体"/>
          <w:b/>
          <w:bCs/>
          <w:color w:val="auto"/>
          <w:szCs w:val="21"/>
          <w:highlight w:val="none"/>
          <w:lang w:eastAsia="zh-CN"/>
        </w:rPr>
        <w:br w:type="page"/>
      </w:r>
    </w:p>
    <w:p w14:paraId="7EE53462">
      <w:pPr>
        <w:pStyle w:val="27"/>
        <w:keepNext w:val="0"/>
        <w:keepLines w:val="0"/>
        <w:pageBreakBefore w:val="0"/>
        <w:kinsoku/>
        <w:overflowPunct/>
        <w:topLinePunct w:val="0"/>
        <w:autoSpaceDE/>
        <w:autoSpaceDN/>
        <w:bidi w:val="0"/>
        <w:spacing w:line="360" w:lineRule="auto"/>
        <w:ind w:firstLine="0" w:firstLineChars="0"/>
        <w:outlineLvl w:val="1"/>
        <w:rPr>
          <w:rFonts w:hint="eastAsia" w:ascii="宋体" w:hAnsi="宋体" w:eastAsia="宋体" w:cs="宋体"/>
          <w:b/>
          <w:bCs/>
          <w:color w:val="auto"/>
          <w:sz w:val="21"/>
          <w:szCs w:val="21"/>
          <w:highlight w:val="none"/>
        </w:rPr>
      </w:pPr>
      <w:bookmarkStart w:id="72" w:name="_Toc23836"/>
      <w:r>
        <w:rPr>
          <w:rFonts w:hint="eastAsia" w:ascii="宋体" w:hAnsi="宋体" w:eastAsia="宋体" w:cs="宋体"/>
          <w:b/>
          <w:bCs/>
          <w:color w:val="auto"/>
          <w:sz w:val="21"/>
          <w:szCs w:val="21"/>
          <w:highlight w:val="none"/>
        </w:rPr>
        <w:t>二、须知前附表</w:t>
      </w:r>
      <w:bookmarkEnd w:id="67"/>
      <w:bookmarkEnd w:id="68"/>
      <w:bookmarkEnd w:id="69"/>
      <w:bookmarkEnd w:id="70"/>
      <w:bookmarkEnd w:id="71"/>
      <w:bookmarkEnd w:id="72"/>
    </w:p>
    <w:tbl>
      <w:tblPr>
        <w:tblStyle w:val="34"/>
        <w:tblW w:w="5048"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684"/>
        <w:gridCol w:w="1809"/>
        <w:gridCol w:w="7254"/>
      </w:tblGrid>
      <w:tr w14:paraId="31296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5000" w:type="pct"/>
            <w:gridSpan w:val="3"/>
            <w:shd w:val="clear" w:color="auto" w:fill="F4F4F4"/>
            <w:vAlign w:val="center"/>
          </w:tcPr>
          <w:p w14:paraId="28F04742">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本表与招标文件对应章节的内容若不一致，以本表为准。</w:t>
            </w:r>
          </w:p>
        </w:tc>
      </w:tr>
      <w:tr w14:paraId="70E8B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1" w:type="pct"/>
            <w:shd w:val="clear" w:color="auto" w:fill="F4F4F4"/>
            <w:vAlign w:val="center"/>
          </w:tcPr>
          <w:p w14:paraId="72C2F68E">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序号</w:t>
            </w:r>
          </w:p>
        </w:tc>
        <w:tc>
          <w:tcPr>
            <w:tcW w:w="928" w:type="pct"/>
            <w:shd w:val="clear" w:color="auto" w:fill="F4F4F4"/>
            <w:vAlign w:val="center"/>
          </w:tcPr>
          <w:p w14:paraId="65DD01B9">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条款名称</w:t>
            </w:r>
          </w:p>
        </w:tc>
        <w:tc>
          <w:tcPr>
            <w:tcW w:w="3719" w:type="pct"/>
            <w:shd w:val="clear" w:color="auto" w:fill="F4F4F4"/>
            <w:vAlign w:val="center"/>
          </w:tcPr>
          <w:p w14:paraId="2BADEF33">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内容及要求</w:t>
            </w:r>
          </w:p>
        </w:tc>
      </w:tr>
      <w:tr w14:paraId="0E2E8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1" w:type="pct"/>
            <w:vAlign w:val="center"/>
          </w:tcPr>
          <w:p w14:paraId="498B1A4F">
            <w:pPr>
              <w:pStyle w:val="66"/>
              <w:keepNext w:val="0"/>
              <w:keepLines w:val="0"/>
              <w:pageBreakBefore w:val="0"/>
              <w:widowControl w:val="0"/>
              <w:numPr>
                <w:ilvl w:val="0"/>
                <w:numId w:val="5"/>
              </w:numPr>
              <w:kinsoku/>
              <w:wordWrap/>
              <w:overflowPunct/>
              <w:topLinePunct w:val="0"/>
              <w:autoSpaceDE/>
              <w:autoSpaceDN/>
              <w:bidi w:val="0"/>
              <w:adjustRightInd/>
              <w:snapToGrid/>
              <w:spacing w:line="360" w:lineRule="auto"/>
              <w:ind w:left="105" w:leftChars="50" w:right="105" w:rightChars="50" w:firstLine="0" w:firstLineChars="0"/>
              <w:jc w:val="center"/>
              <w:textAlignment w:val="auto"/>
              <w:rPr>
                <w:rFonts w:hint="eastAsia" w:ascii="宋体" w:hAnsi="宋体" w:eastAsia="宋体" w:cs="宋体"/>
                <w:color w:val="auto"/>
                <w:szCs w:val="21"/>
                <w:highlight w:val="none"/>
              </w:rPr>
            </w:pPr>
          </w:p>
        </w:tc>
        <w:tc>
          <w:tcPr>
            <w:tcW w:w="928" w:type="pct"/>
            <w:vAlign w:val="center"/>
          </w:tcPr>
          <w:p w14:paraId="3640DC8C">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采购包情况</w:t>
            </w:r>
          </w:p>
        </w:tc>
        <w:tc>
          <w:tcPr>
            <w:tcW w:w="3719" w:type="pct"/>
          </w:tcPr>
          <w:p w14:paraId="6E911458">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本项目共1个采购包</w:t>
            </w:r>
          </w:p>
        </w:tc>
      </w:tr>
      <w:tr w14:paraId="3767F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1" w:type="pct"/>
            <w:vAlign w:val="center"/>
          </w:tcPr>
          <w:p w14:paraId="0BBAE491">
            <w:pPr>
              <w:pStyle w:val="66"/>
              <w:keepNext w:val="0"/>
              <w:keepLines w:val="0"/>
              <w:pageBreakBefore w:val="0"/>
              <w:widowControl w:val="0"/>
              <w:numPr>
                <w:ilvl w:val="0"/>
                <w:numId w:val="5"/>
              </w:numPr>
              <w:kinsoku/>
              <w:wordWrap/>
              <w:overflowPunct/>
              <w:topLinePunct w:val="0"/>
              <w:autoSpaceDE/>
              <w:autoSpaceDN/>
              <w:bidi w:val="0"/>
              <w:adjustRightInd/>
              <w:snapToGrid/>
              <w:spacing w:line="360" w:lineRule="auto"/>
              <w:ind w:left="105" w:leftChars="50" w:right="105" w:rightChars="50" w:firstLine="0" w:firstLineChars="0"/>
              <w:jc w:val="center"/>
              <w:textAlignment w:val="auto"/>
              <w:rPr>
                <w:rFonts w:hint="eastAsia" w:ascii="宋体" w:hAnsi="宋体" w:eastAsia="宋体" w:cs="宋体"/>
                <w:color w:val="auto"/>
                <w:szCs w:val="21"/>
                <w:highlight w:val="none"/>
              </w:rPr>
            </w:pPr>
          </w:p>
        </w:tc>
        <w:tc>
          <w:tcPr>
            <w:tcW w:w="928" w:type="pct"/>
            <w:vAlign w:val="center"/>
          </w:tcPr>
          <w:p w14:paraId="16F41452">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Cs w:val="21"/>
                <w:highlight w:val="none"/>
                <w:lang w:val="en-US"/>
              </w:rPr>
            </w:pPr>
            <w:r>
              <w:rPr>
                <w:rFonts w:hint="eastAsia" w:ascii="宋体" w:hAnsi="宋体" w:eastAsia="宋体" w:cs="宋体"/>
                <w:color w:val="auto"/>
                <w:szCs w:val="21"/>
                <w:highlight w:val="none"/>
                <w:lang w:eastAsia="zh-CN"/>
              </w:rPr>
              <w:t>资金</w:t>
            </w:r>
            <w:r>
              <w:rPr>
                <w:rFonts w:hint="eastAsia" w:ascii="宋体" w:hAnsi="宋体" w:eastAsia="宋体" w:cs="宋体"/>
                <w:color w:val="auto"/>
                <w:szCs w:val="21"/>
                <w:highlight w:val="none"/>
                <w:lang w:val="en-US" w:eastAsia="zh-CN"/>
              </w:rPr>
              <w:t>来源</w:t>
            </w:r>
          </w:p>
        </w:tc>
        <w:tc>
          <w:tcPr>
            <w:tcW w:w="3719" w:type="pct"/>
          </w:tcPr>
          <w:p w14:paraId="0AC40BE2">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■国库集中支付</w:t>
            </w:r>
            <w:r>
              <w:rPr>
                <w:rFonts w:hint="eastAsia" w:ascii="宋体" w:hAnsi="宋体" w:eastAsia="宋体" w:cs="宋体"/>
                <w:color w:val="auto"/>
                <w:szCs w:val="21"/>
                <w:highlight w:val="none"/>
                <w:lang w:val="en-US" w:eastAsia="zh-CN"/>
              </w:rPr>
              <w:t xml:space="preserve"> / </w:t>
            </w:r>
            <w:r>
              <w:rPr>
                <w:rFonts w:hint="eastAsia" w:ascii="宋体" w:hAnsi="宋体" w:eastAsia="宋体" w:cs="宋体"/>
                <w:color w:val="auto"/>
                <w:szCs w:val="21"/>
                <w:highlight w:val="none"/>
                <w:lang w:eastAsia="zh-CN"/>
              </w:rPr>
              <w:t>□单位自行支付</w:t>
            </w:r>
            <w:r>
              <w:rPr>
                <w:rFonts w:hint="eastAsia" w:ascii="宋体" w:hAnsi="宋体" w:eastAsia="宋体" w:cs="宋体"/>
                <w:color w:val="auto"/>
                <w:szCs w:val="21"/>
                <w:highlight w:val="none"/>
                <w:lang w:val="en-US" w:eastAsia="zh-CN"/>
              </w:rPr>
              <w:t xml:space="preserve"> / </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其他：</w:t>
            </w:r>
            <w:r>
              <w:rPr>
                <w:rFonts w:hint="eastAsia" w:ascii="宋体" w:hAnsi="宋体" w:eastAsia="宋体" w:cs="宋体"/>
                <w:color w:val="auto"/>
                <w:szCs w:val="21"/>
                <w:highlight w:val="none"/>
                <w:u w:val="single"/>
                <w:lang w:val="en-US" w:eastAsia="zh-CN"/>
              </w:rPr>
              <w:t xml:space="preserve">     </w:t>
            </w:r>
          </w:p>
        </w:tc>
      </w:tr>
      <w:tr w14:paraId="0C309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1" w:type="pct"/>
            <w:vAlign w:val="center"/>
          </w:tcPr>
          <w:p w14:paraId="712913EE">
            <w:pPr>
              <w:pStyle w:val="66"/>
              <w:keepNext w:val="0"/>
              <w:keepLines w:val="0"/>
              <w:pageBreakBefore w:val="0"/>
              <w:widowControl w:val="0"/>
              <w:numPr>
                <w:ilvl w:val="0"/>
                <w:numId w:val="5"/>
              </w:numPr>
              <w:kinsoku/>
              <w:wordWrap/>
              <w:overflowPunct/>
              <w:topLinePunct w:val="0"/>
              <w:autoSpaceDE/>
              <w:autoSpaceDN/>
              <w:bidi w:val="0"/>
              <w:adjustRightInd/>
              <w:snapToGrid/>
              <w:spacing w:line="360" w:lineRule="auto"/>
              <w:ind w:left="105" w:leftChars="50" w:right="105" w:rightChars="50" w:firstLine="0" w:firstLineChars="0"/>
              <w:jc w:val="center"/>
              <w:textAlignment w:val="auto"/>
              <w:rPr>
                <w:rFonts w:hint="eastAsia" w:ascii="宋体" w:hAnsi="宋体" w:eastAsia="宋体" w:cs="宋体"/>
                <w:color w:val="auto"/>
                <w:szCs w:val="21"/>
                <w:highlight w:val="none"/>
                <w:lang w:eastAsia="zh-CN"/>
              </w:rPr>
            </w:pPr>
          </w:p>
        </w:tc>
        <w:tc>
          <w:tcPr>
            <w:tcW w:w="928" w:type="pct"/>
            <w:vAlign w:val="center"/>
          </w:tcPr>
          <w:p w14:paraId="39A414D4">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公告发布媒介</w:t>
            </w:r>
          </w:p>
        </w:tc>
        <w:tc>
          <w:tcPr>
            <w:tcW w:w="3719" w:type="pct"/>
          </w:tcPr>
          <w:p w14:paraId="425505B6">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中国政府采购网（</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"http://www.ccgp.gov.cn/" </w:instrText>
            </w:r>
            <w:r>
              <w:rPr>
                <w:rFonts w:hint="eastAsia" w:ascii="宋体" w:hAnsi="宋体" w:eastAsia="宋体" w:cs="宋体"/>
                <w:color w:val="auto"/>
                <w:highlight w:val="none"/>
              </w:rPr>
              <w:fldChar w:fldCharType="separate"/>
            </w:r>
            <w:r>
              <w:rPr>
                <w:rStyle w:val="39"/>
                <w:rFonts w:hint="eastAsia" w:ascii="宋体" w:hAnsi="宋体" w:eastAsia="宋体" w:cs="宋体"/>
                <w:color w:val="auto"/>
                <w:szCs w:val="21"/>
                <w:highlight w:val="none"/>
              </w:rPr>
              <w:t>http://www.ccgp.gov.cn/</w:t>
            </w:r>
            <w:r>
              <w:rPr>
                <w:rStyle w:val="39"/>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t>）</w:t>
            </w:r>
          </w:p>
          <w:p w14:paraId="63BC9B87">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■诚E招电子采购交易平台（https://www.chengezhao.com/）</w:t>
            </w:r>
          </w:p>
          <w:p w14:paraId="1287CE18">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相关公告在以上媒体上公布之日即视为有效送达，不再另行通知。</w:t>
            </w:r>
          </w:p>
        </w:tc>
      </w:tr>
      <w:tr w14:paraId="58A34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1" w:type="pct"/>
            <w:vAlign w:val="center"/>
          </w:tcPr>
          <w:p w14:paraId="66E4825F">
            <w:pPr>
              <w:pStyle w:val="66"/>
              <w:keepNext w:val="0"/>
              <w:keepLines w:val="0"/>
              <w:pageBreakBefore w:val="0"/>
              <w:widowControl w:val="0"/>
              <w:numPr>
                <w:ilvl w:val="0"/>
                <w:numId w:val="5"/>
              </w:numPr>
              <w:kinsoku/>
              <w:wordWrap/>
              <w:overflowPunct/>
              <w:topLinePunct w:val="0"/>
              <w:autoSpaceDE/>
              <w:autoSpaceDN/>
              <w:bidi w:val="0"/>
              <w:adjustRightInd/>
              <w:snapToGrid/>
              <w:spacing w:line="360" w:lineRule="auto"/>
              <w:ind w:left="105" w:leftChars="50" w:right="105" w:rightChars="50" w:firstLine="0" w:firstLineChars="0"/>
              <w:jc w:val="center"/>
              <w:textAlignment w:val="auto"/>
              <w:rPr>
                <w:rFonts w:hint="eastAsia" w:ascii="宋体" w:hAnsi="宋体" w:eastAsia="宋体" w:cs="宋体"/>
                <w:color w:val="auto"/>
                <w:szCs w:val="21"/>
                <w:highlight w:val="none"/>
                <w:lang w:eastAsia="zh-CN"/>
              </w:rPr>
            </w:pPr>
          </w:p>
        </w:tc>
        <w:tc>
          <w:tcPr>
            <w:tcW w:w="928" w:type="pct"/>
            <w:vAlign w:val="center"/>
          </w:tcPr>
          <w:p w14:paraId="72E3A29E">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开标方式</w:t>
            </w:r>
          </w:p>
        </w:tc>
        <w:tc>
          <w:tcPr>
            <w:tcW w:w="3719" w:type="pct"/>
          </w:tcPr>
          <w:p w14:paraId="3CB9FB4A">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现场开标</w:t>
            </w:r>
          </w:p>
        </w:tc>
      </w:tr>
      <w:tr w14:paraId="7A484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1" w:type="pct"/>
            <w:vAlign w:val="center"/>
          </w:tcPr>
          <w:p w14:paraId="7A186BA0">
            <w:pPr>
              <w:pStyle w:val="66"/>
              <w:keepNext w:val="0"/>
              <w:keepLines w:val="0"/>
              <w:pageBreakBefore w:val="0"/>
              <w:widowControl w:val="0"/>
              <w:numPr>
                <w:ilvl w:val="0"/>
                <w:numId w:val="5"/>
              </w:numPr>
              <w:kinsoku/>
              <w:wordWrap/>
              <w:overflowPunct/>
              <w:topLinePunct w:val="0"/>
              <w:autoSpaceDE/>
              <w:autoSpaceDN/>
              <w:bidi w:val="0"/>
              <w:adjustRightInd/>
              <w:snapToGrid/>
              <w:spacing w:line="360" w:lineRule="auto"/>
              <w:ind w:left="105" w:leftChars="50" w:right="105" w:rightChars="50" w:firstLine="0" w:firstLineChars="0"/>
              <w:jc w:val="center"/>
              <w:textAlignment w:val="auto"/>
              <w:rPr>
                <w:rFonts w:hint="eastAsia" w:ascii="宋体" w:hAnsi="宋体" w:eastAsia="宋体" w:cs="宋体"/>
                <w:color w:val="auto"/>
                <w:szCs w:val="21"/>
                <w:highlight w:val="none"/>
              </w:rPr>
            </w:pPr>
          </w:p>
        </w:tc>
        <w:tc>
          <w:tcPr>
            <w:tcW w:w="928" w:type="pct"/>
            <w:vAlign w:val="center"/>
          </w:tcPr>
          <w:p w14:paraId="0D30D363">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评标方式</w:t>
            </w:r>
          </w:p>
        </w:tc>
        <w:tc>
          <w:tcPr>
            <w:tcW w:w="3719" w:type="pct"/>
          </w:tcPr>
          <w:p w14:paraId="44A75E57">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现场评标</w:t>
            </w:r>
          </w:p>
        </w:tc>
      </w:tr>
      <w:tr w14:paraId="1291B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1" w:type="pct"/>
            <w:vAlign w:val="center"/>
          </w:tcPr>
          <w:p w14:paraId="1D0F552D">
            <w:pPr>
              <w:pStyle w:val="66"/>
              <w:keepNext w:val="0"/>
              <w:keepLines w:val="0"/>
              <w:pageBreakBefore w:val="0"/>
              <w:widowControl w:val="0"/>
              <w:numPr>
                <w:ilvl w:val="0"/>
                <w:numId w:val="5"/>
              </w:numPr>
              <w:kinsoku/>
              <w:wordWrap/>
              <w:overflowPunct/>
              <w:topLinePunct w:val="0"/>
              <w:autoSpaceDE/>
              <w:autoSpaceDN/>
              <w:bidi w:val="0"/>
              <w:adjustRightInd/>
              <w:snapToGrid/>
              <w:spacing w:line="360" w:lineRule="auto"/>
              <w:ind w:left="105" w:leftChars="50" w:right="105" w:rightChars="50" w:firstLine="0" w:firstLineChars="0"/>
              <w:jc w:val="center"/>
              <w:textAlignment w:val="auto"/>
              <w:rPr>
                <w:rFonts w:hint="eastAsia" w:ascii="宋体" w:hAnsi="宋体" w:eastAsia="宋体" w:cs="宋体"/>
                <w:color w:val="auto"/>
                <w:szCs w:val="21"/>
                <w:highlight w:val="none"/>
              </w:rPr>
            </w:pPr>
          </w:p>
        </w:tc>
        <w:tc>
          <w:tcPr>
            <w:tcW w:w="928" w:type="pct"/>
            <w:vAlign w:val="center"/>
          </w:tcPr>
          <w:p w14:paraId="57B081F7">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评标办法</w:t>
            </w:r>
          </w:p>
        </w:tc>
        <w:tc>
          <w:tcPr>
            <w:tcW w:w="3719" w:type="pct"/>
          </w:tcPr>
          <w:p w14:paraId="649F3CA3">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■综合评分法 / □最低评标价法</w:t>
            </w:r>
          </w:p>
        </w:tc>
      </w:tr>
      <w:tr w14:paraId="6D56D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1" w:type="pct"/>
            <w:vAlign w:val="center"/>
          </w:tcPr>
          <w:p w14:paraId="6C756A40">
            <w:pPr>
              <w:pStyle w:val="66"/>
              <w:keepNext w:val="0"/>
              <w:keepLines w:val="0"/>
              <w:pageBreakBefore w:val="0"/>
              <w:widowControl w:val="0"/>
              <w:numPr>
                <w:ilvl w:val="0"/>
                <w:numId w:val="5"/>
              </w:numPr>
              <w:kinsoku/>
              <w:wordWrap/>
              <w:overflowPunct/>
              <w:topLinePunct w:val="0"/>
              <w:autoSpaceDE/>
              <w:autoSpaceDN/>
              <w:bidi w:val="0"/>
              <w:adjustRightInd/>
              <w:snapToGrid/>
              <w:spacing w:line="360" w:lineRule="auto"/>
              <w:ind w:left="105" w:leftChars="50" w:right="105" w:rightChars="50" w:firstLine="0" w:firstLineChars="0"/>
              <w:jc w:val="center"/>
              <w:textAlignment w:val="auto"/>
              <w:rPr>
                <w:rFonts w:hint="eastAsia" w:ascii="宋体" w:hAnsi="宋体" w:eastAsia="宋体" w:cs="宋体"/>
                <w:color w:val="auto"/>
                <w:szCs w:val="21"/>
                <w:highlight w:val="none"/>
                <w:lang w:eastAsia="zh-CN"/>
              </w:rPr>
            </w:pPr>
          </w:p>
        </w:tc>
        <w:tc>
          <w:tcPr>
            <w:tcW w:w="928" w:type="pct"/>
            <w:vAlign w:val="center"/>
          </w:tcPr>
          <w:p w14:paraId="010EF5C0">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报价形式</w:t>
            </w:r>
          </w:p>
        </w:tc>
        <w:tc>
          <w:tcPr>
            <w:tcW w:w="3719" w:type="pct"/>
          </w:tcPr>
          <w:p w14:paraId="0BD1578E">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■总价 / □单价 / □折扣率 / □下浮率</w:t>
            </w:r>
          </w:p>
        </w:tc>
      </w:tr>
      <w:tr w14:paraId="4599C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1" w:type="pct"/>
            <w:vAlign w:val="center"/>
          </w:tcPr>
          <w:p w14:paraId="310E79B4">
            <w:pPr>
              <w:pStyle w:val="66"/>
              <w:keepNext w:val="0"/>
              <w:keepLines w:val="0"/>
              <w:pageBreakBefore w:val="0"/>
              <w:widowControl w:val="0"/>
              <w:numPr>
                <w:ilvl w:val="0"/>
                <w:numId w:val="5"/>
              </w:numPr>
              <w:kinsoku/>
              <w:wordWrap/>
              <w:overflowPunct/>
              <w:topLinePunct w:val="0"/>
              <w:autoSpaceDE/>
              <w:autoSpaceDN/>
              <w:bidi w:val="0"/>
              <w:adjustRightInd/>
              <w:snapToGrid/>
              <w:spacing w:line="360" w:lineRule="auto"/>
              <w:ind w:left="105" w:leftChars="50" w:right="105" w:rightChars="50" w:firstLine="0" w:firstLineChars="0"/>
              <w:jc w:val="center"/>
              <w:textAlignment w:val="auto"/>
              <w:rPr>
                <w:rFonts w:hint="eastAsia" w:ascii="宋体" w:hAnsi="宋体" w:eastAsia="宋体" w:cs="宋体"/>
                <w:color w:val="auto"/>
                <w:szCs w:val="21"/>
                <w:highlight w:val="none"/>
                <w:lang w:eastAsia="zh-CN"/>
              </w:rPr>
            </w:pPr>
          </w:p>
        </w:tc>
        <w:tc>
          <w:tcPr>
            <w:tcW w:w="928" w:type="pct"/>
            <w:vAlign w:val="center"/>
          </w:tcPr>
          <w:p w14:paraId="52D0A823">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报价要求</w:t>
            </w:r>
          </w:p>
        </w:tc>
        <w:tc>
          <w:tcPr>
            <w:tcW w:w="3719" w:type="pct"/>
          </w:tcPr>
          <w:p w14:paraId="36484A4E">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报价需包括但不限于完成合同约定所需的人工费、提供服务过程中所使用的所有设备、材料、配件、辅材的费用、专用工具购置费、商检费、包装运输费、装卸费、各类保险费、安装费、调试费、零配件费、备品备件费与专用工具费、清关费（如有）、知识产权费（如有）、采取补救和整改措施服务的差额费用、检测验收、利润、税费、全额含税发票、质量保证期内的售后维护服务费，项目安装现场总包或各现场单位的配合协调费等，包括</w:t>
            </w:r>
            <w:r>
              <w:rPr>
                <w:rFonts w:hint="eastAsia" w:ascii="宋体" w:hAnsi="宋体" w:eastAsia="宋体" w:cs="宋体"/>
                <w:color w:val="auto"/>
                <w:szCs w:val="21"/>
                <w:highlight w:val="none"/>
                <w:lang w:val="en-US" w:eastAsia="zh-CN"/>
              </w:rPr>
              <w:t>投标人</w:t>
            </w:r>
            <w:r>
              <w:rPr>
                <w:rFonts w:hint="eastAsia" w:ascii="宋体" w:hAnsi="宋体" w:eastAsia="宋体" w:cs="宋体"/>
                <w:color w:val="auto"/>
                <w:szCs w:val="21"/>
                <w:highlight w:val="none"/>
              </w:rPr>
              <w:t>履行合同义务承担合同责任和风险的全部对价</w:t>
            </w:r>
            <w:r>
              <w:rPr>
                <w:rFonts w:hint="eastAsia" w:ascii="宋体" w:hAnsi="宋体" w:eastAsia="宋体" w:cs="宋体"/>
                <w:color w:val="auto"/>
                <w:szCs w:val="21"/>
                <w:highlight w:val="none"/>
                <w:lang w:eastAsia="zh-CN"/>
              </w:rPr>
              <w:t>。供应商漏报或不报，采购人将视为该漏报或不报部分的费用已包括在已报的报价中而不予支付。</w:t>
            </w:r>
            <w:r>
              <w:rPr>
                <w:rFonts w:hint="eastAsia" w:ascii="宋体" w:hAnsi="宋体" w:eastAsia="宋体" w:cs="宋体"/>
                <w:b/>
                <w:bCs/>
                <w:color w:val="auto"/>
                <w:szCs w:val="21"/>
                <w:highlight w:val="none"/>
                <w:lang w:eastAsia="zh-CN"/>
              </w:rPr>
              <w:t>供应商投标报价不得高于预算总金额或最高限价，否则作无效投标处理。</w:t>
            </w:r>
          </w:p>
        </w:tc>
      </w:tr>
      <w:tr w14:paraId="679BF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1" w:type="pct"/>
            <w:vAlign w:val="center"/>
          </w:tcPr>
          <w:p w14:paraId="69D0FF4B">
            <w:pPr>
              <w:pStyle w:val="66"/>
              <w:keepNext w:val="0"/>
              <w:keepLines w:val="0"/>
              <w:pageBreakBefore w:val="0"/>
              <w:widowControl w:val="0"/>
              <w:numPr>
                <w:ilvl w:val="0"/>
                <w:numId w:val="5"/>
              </w:numPr>
              <w:kinsoku/>
              <w:wordWrap/>
              <w:overflowPunct/>
              <w:topLinePunct w:val="0"/>
              <w:autoSpaceDE/>
              <w:autoSpaceDN/>
              <w:bidi w:val="0"/>
              <w:adjustRightInd/>
              <w:snapToGrid/>
              <w:spacing w:line="360" w:lineRule="auto"/>
              <w:ind w:left="105" w:leftChars="50" w:right="105" w:rightChars="50" w:firstLine="0" w:firstLineChars="0"/>
              <w:jc w:val="center"/>
              <w:textAlignment w:val="auto"/>
              <w:rPr>
                <w:rFonts w:hint="eastAsia" w:ascii="宋体" w:hAnsi="宋体" w:eastAsia="宋体" w:cs="宋体"/>
                <w:color w:val="auto"/>
                <w:szCs w:val="21"/>
                <w:highlight w:val="none"/>
                <w:lang w:eastAsia="zh-CN"/>
              </w:rPr>
            </w:pPr>
          </w:p>
        </w:tc>
        <w:tc>
          <w:tcPr>
            <w:tcW w:w="928" w:type="pct"/>
            <w:vAlign w:val="center"/>
          </w:tcPr>
          <w:p w14:paraId="453EBED3">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核心产品</w:t>
            </w:r>
          </w:p>
        </w:tc>
        <w:tc>
          <w:tcPr>
            <w:tcW w:w="3719" w:type="pct"/>
          </w:tcPr>
          <w:p w14:paraId="00266FB0">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■本项目不适用。</w:t>
            </w:r>
          </w:p>
          <w:p w14:paraId="1AD12077">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□本项目为单一产品采购项目。</w:t>
            </w:r>
          </w:p>
          <w:p w14:paraId="27BAFB86">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textAlignment w:val="auto"/>
              <w:rPr>
                <w:rFonts w:hint="eastAsia" w:ascii="宋体" w:hAnsi="宋体" w:eastAsia="宋体" w:cs="宋体"/>
                <w:color w:val="auto"/>
                <w:highlight w:val="none"/>
                <w:lang w:eastAsia="zh-CN"/>
              </w:rPr>
            </w:pPr>
            <w:r>
              <w:rPr>
                <w:rFonts w:hint="eastAsia" w:ascii="宋体" w:hAnsi="宋体" w:eastAsia="宋体" w:cs="宋体"/>
                <w:color w:val="auto"/>
                <w:szCs w:val="21"/>
                <w:highlight w:val="none"/>
                <w:lang w:eastAsia="zh-CN"/>
              </w:rPr>
              <w:t>□本项目为非单一产品采购项目，核心产品为：</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lang w:eastAsia="zh-CN"/>
              </w:rPr>
              <w:t>。</w:t>
            </w:r>
          </w:p>
        </w:tc>
      </w:tr>
      <w:tr w14:paraId="3C5BA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1" w:type="pct"/>
            <w:vAlign w:val="center"/>
          </w:tcPr>
          <w:p w14:paraId="17EE8D21">
            <w:pPr>
              <w:pStyle w:val="66"/>
              <w:keepNext w:val="0"/>
              <w:keepLines w:val="0"/>
              <w:pageBreakBefore w:val="0"/>
              <w:widowControl w:val="0"/>
              <w:numPr>
                <w:ilvl w:val="0"/>
                <w:numId w:val="5"/>
              </w:numPr>
              <w:kinsoku/>
              <w:wordWrap/>
              <w:overflowPunct/>
              <w:topLinePunct w:val="0"/>
              <w:autoSpaceDE/>
              <w:autoSpaceDN/>
              <w:bidi w:val="0"/>
              <w:adjustRightInd/>
              <w:snapToGrid/>
              <w:spacing w:line="360" w:lineRule="auto"/>
              <w:ind w:left="105" w:leftChars="50" w:right="105" w:rightChars="50" w:firstLine="0" w:firstLineChars="0"/>
              <w:jc w:val="center"/>
              <w:textAlignment w:val="auto"/>
              <w:rPr>
                <w:rFonts w:hint="eastAsia" w:ascii="宋体" w:hAnsi="宋体" w:eastAsia="宋体" w:cs="宋体"/>
                <w:color w:val="auto"/>
                <w:szCs w:val="21"/>
                <w:highlight w:val="none"/>
                <w:lang w:eastAsia="zh-CN"/>
              </w:rPr>
            </w:pPr>
          </w:p>
        </w:tc>
        <w:tc>
          <w:tcPr>
            <w:tcW w:w="928" w:type="pct"/>
            <w:vAlign w:val="center"/>
          </w:tcPr>
          <w:p w14:paraId="1598DAAE">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现场踏勘</w:t>
            </w:r>
          </w:p>
        </w:tc>
        <w:tc>
          <w:tcPr>
            <w:tcW w:w="3719" w:type="pct"/>
          </w:tcPr>
          <w:p w14:paraId="718DAE43">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□否 / ■是，踏勘详细要求：</w:t>
            </w:r>
          </w:p>
          <w:p w14:paraId="3CBAAE31">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时间：</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lang w:eastAsia="zh-CN"/>
              </w:rPr>
              <w:t>公告</w:t>
            </w:r>
            <w:r>
              <w:rPr>
                <w:rFonts w:hint="eastAsia" w:ascii="宋体" w:hAnsi="宋体" w:eastAsia="宋体" w:cs="宋体"/>
                <w:color w:val="auto"/>
                <w:szCs w:val="21"/>
                <w:highlight w:val="none"/>
                <w:lang w:val="en-US" w:eastAsia="zh-CN"/>
              </w:rPr>
              <w:t>公示期发布日</w:t>
            </w:r>
            <w:r>
              <w:rPr>
                <w:rFonts w:hint="eastAsia" w:ascii="宋体" w:hAnsi="宋体" w:eastAsia="宋体" w:cs="宋体"/>
                <w:color w:val="auto"/>
                <w:szCs w:val="21"/>
                <w:highlight w:val="none"/>
                <w:lang w:eastAsia="zh-CN"/>
              </w:rPr>
              <w:t>后第</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lang w:eastAsia="zh-CN"/>
              </w:rPr>
              <w:t>个</w:t>
            </w:r>
            <w:r>
              <w:rPr>
                <w:rFonts w:hint="eastAsia" w:ascii="宋体" w:hAnsi="宋体" w:eastAsia="宋体" w:cs="宋体"/>
                <w:color w:val="auto"/>
                <w:szCs w:val="21"/>
                <w:highlight w:val="none"/>
                <w:lang w:val="en-US" w:eastAsia="zh-CN"/>
              </w:rPr>
              <w:t>日历</w:t>
            </w:r>
            <w:r>
              <w:rPr>
                <w:rFonts w:hint="eastAsia" w:ascii="宋体" w:hAnsi="宋体" w:eastAsia="宋体" w:cs="宋体"/>
                <w:color w:val="auto"/>
                <w:szCs w:val="21"/>
                <w:highlight w:val="none"/>
                <w:lang w:eastAsia="zh-CN"/>
              </w:rPr>
              <w:t>日</w:t>
            </w:r>
          </w:p>
          <w:p w14:paraId="62B0E1A3">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地点：万山边检站桂山岛边检专用码头</w:t>
            </w:r>
          </w:p>
          <w:p w14:paraId="1CE8BF10">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联系人：陈警官，0756-8167857</w:t>
            </w:r>
          </w:p>
          <w:p w14:paraId="6E75FA41">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说明：/</w:t>
            </w:r>
          </w:p>
        </w:tc>
      </w:tr>
      <w:tr w14:paraId="6B4F8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1" w:type="pct"/>
            <w:vAlign w:val="center"/>
          </w:tcPr>
          <w:p w14:paraId="346DF90D">
            <w:pPr>
              <w:pStyle w:val="66"/>
              <w:keepNext w:val="0"/>
              <w:keepLines w:val="0"/>
              <w:pageBreakBefore w:val="0"/>
              <w:widowControl w:val="0"/>
              <w:numPr>
                <w:ilvl w:val="0"/>
                <w:numId w:val="5"/>
              </w:numPr>
              <w:kinsoku/>
              <w:wordWrap/>
              <w:overflowPunct/>
              <w:topLinePunct w:val="0"/>
              <w:autoSpaceDE/>
              <w:autoSpaceDN/>
              <w:bidi w:val="0"/>
              <w:adjustRightInd/>
              <w:snapToGrid/>
              <w:spacing w:line="360" w:lineRule="auto"/>
              <w:ind w:left="105" w:leftChars="50" w:right="105" w:rightChars="50" w:firstLine="0" w:firstLineChars="0"/>
              <w:jc w:val="center"/>
              <w:textAlignment w:val="auto"/>
              <w:rPr>
                <w:rFonts w:hint="eastAsia" w:ascii="宋体" w:hAnsi="宋体" w:eastAsia="宋体" w:cs="宋体"/>
                <w:color w:val="auto"/>
                <w:szCs w:val="21"/>
                <w:highlight w:val="none"/>
              </w:rPr>
            </w:pPr>
          </w:p>
        </w:tc>
        <w:tc>
          <w:tcPr>
            <w:tcW w:w="928" w:type="pct"/>
            <w:vAlign w:val="center"/>
          </w:tcPr>
          <w:p w14:paraId="0DBE958A">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投标有效期</w:t>
            </w:r>
          </w:p>
        </w:tc>
        <w:tc>
          <w:tcPr>
            <w:tcW w:w="3719" w:type="pct"/>
          </w:tcPr>
          <w:p w14:paraId="132B9106">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从提交投标（响应）文件的截止之日起90日历天</w:t>
            </w:r>
          </w:p>
        </w:tc>
      </w:tr>
      <w:tr w14:paraId="34A4E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1" w:type="pct"/>
            <w:vAlign w:val="center"/>
          </w:tcPr>
          <w:p w14:paraId="315CF27C">
            <w:pPr>
              <w:pStyle w:val="66"/>
              <w:keepNext w:val="0"/>
              <w:keepLines w:val="0"/>
              <w:pageBreakBefore w:val="0"/>
              <w:widowControl w:val="0"/>
              <w:numPr>
                <w:ilvl w:val="0"/>
                <w:numId w:val="5"/>
              </w:numPr>
              <w:kinsoku/>
              <w:wordWrap/>
              <w:overflowPunct/>
              <w:topLinePunct w:val="0"/>
              <w:autoSpaceDE/>
              <w:autoSpaceDN/>
              <w:bidi w:val="0"/>
              <w:adjustRightInd/>
              <w:snapToGrid/>
              <w:spacing w:line="360" w:lineRule="auto"/>
              <w:ind w:left="105" w:leftChars="50" w:right="105" w:rightChars="50" w:firstLine="0" w:firstLineChars="0"/>
              <w:jc w:val="center"/>
              <w:textAlignment w:val="auto"/>
              <w:rPr>
                <w:rFonts w:hint="eastAsia" w:ascii="宋体" w:hAnsi="宋体" w:eastAsia="宋体" w:cs="宋体"/>
                <w:color w:val="auto"/>
                <w:szCs w:val="21"/>
                <w:highlight w:val="none"/>
                <w:lang w:eastAsia="zh-CN"/>
              </w:rPr>
            </w:pPr>
          </w:p>
        </w:tc>
        <w:tc>
          <w:tcPr>
            <w:tcW w:w="928" w:type="pct"/>
            <w:vAlign w:val="center"/>
          </w:tcPr>
          <w:p w14:paraId="63FDFB53">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投标保证金</w:t>
            </w:r>
          </w:p>
        </w:tc>
        <w:tc>
          <w:tcPr>
            <w:tcW w:w="3719" w:type="pct"/>
          </w:tcPr>
          <w:p w14:paraId="28DB2916">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■本项目无需递交投标保证金</w:t>
            </w:r>
          </w:p>
          <w:p w14:paraId="7E0DD7D6">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□本项目需要递交投标保证金，要求如下：</w:t>
            </w:r>
          </w:p>
          <w:p w14:paraId="6F03A778">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保证金人民币：0.00元整</w:t>
            </w:r>
          </w:p>
          <w:p w14:paraId="62446D2C">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开户单位：公诚管理咨询有限公司</w:t>
            </w:r>
          </w:p>
          <w:p w14:paraId="79D95EDA">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开户账号：/</w:t>
            </w:r>
          </w:p>
          <w:p w14:paraId="391A499C">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开户银行：中信银行广州花园支行</w:t>
            </w:r>
          </w:p>
          <w:p w14:paraId="5CE7DBBC">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提交方式：</w:t>
            </w:r>
            <w:r>
              <w:rPr>
                <w:rFonts w:hint="eastAsia" w:ascii="宋体" w:hAnsi="宋体" w:eastAsia="宋体" w:cs="宋体"/>
                <w:color w:val="auto"/>
                <w:highlight w:val="none"/>
              </w:rPr>
              <w:t>转账、支票、汇票、本票或者金融机构、担保机构出具的保函等非现金形式</w:t>
            </w:r>
            <w:r>
              <w:rPr>
                <w:rFonts w:hint="eastAsia" w:ascii="宋体" w:hAnsi="宋体" w:eastAsia="宋体" w:cs="宋体"/>
                <w:color w:val="auto"/>
                <w:highlight w:val="none"/>
                <w:lang w:val="en-US" w:eastAsia="zh-CN"/>
              </w:rPr>
              <w:t>提交</w:t>
            </w:r>
            <w:r>
              <w:rPr>
                <w:rFonts w:hint="eastAsia" w:ascii="宋体" w:hAnsi="宋体" w:eastAsia="宋体" w:cs="宋体"/>
                <w:color w:val="auto"/>
                <w:szCs w:val="21"/>
                <w:highlight w:val="none"/>
                <w:lang w:eastAsia="zh-CN"/>
              </w:rPr>
              <w:t>。</w:t>
            </w:r>
          </w:p>
          <w:p w14:paraId="4A18D904">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投标保证金有效期：与投标有效期一致。</w:t>
            </w:r>
          </w:p>
          <w:p w14:paraId="29FA3166">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电子保函：供应商可以通过登录“诚E招（www.chengezhao.com）”在线申请办理</w:t>
            </w:r>
            <w:r>
              <w:rPr>
                <w:rFonts w:hint="eastAsia" w:ascii="宋体" w:hAnsi="宋体" w:eastAsia="宋体" w:cs="宋体"/>
                <w:color w:val="auto"/>
                <w:highlight w:val="none"/>
              </w:rPr>
              <w:t>金融机构</w:t>
            </w:r>
            <w:r>
              <w:rPr>
                <w:rFonts w:hint="eastAsia" w:ascii="宋体" w:hAnsi="宋体" w:eastAsia="宋体" w:cs="宋体"/>
                <w:color w:val="auto"/>
                <w:highlight w:val="none"/>
                <w:lang w:val="en-US" w:eastAsia="zh-CN"/>
              </w:rPr>
              <w:t>或</w:t>
            </w:r>
            <w:r>
              <w:rPr>
                <w:rFonts w:hint="eastAsia" w:ascii="宋体" w:hAnsi="宋体" w:eastAsia="宋体" w:cs="宋体"/>
                <w:color w:val="auto"/>
                <w:highlight w:val="none"/>
              </w:rPr>
              <w:t>担保机构出具的</w:t>
            </w:r>
            <w:r>
              <w:rPr>
                <w:rFonts w:hint="eastAsia" w:ascii="宋体" w:hAnsi="宋体" w:eastAsia="宋体" w:cs="宋体"/>
                <w:color w:val="auto"/>
                <w:szCs w:val="21"/>
                <w:highlight w:val="none"/>
                <w:lang w:eastAsia="zh-CN"/>
              </w:rPr>
              <w:t>电子保函（客服热线：020-89524219），成功出函并点击生效之后等效于缴纳了保证金；如选择其他具有电子投标保函资质的机构开具电子投标保函，电子投标保函中须载明线上查验方法，且保函查验结果为真，同时将电子保函上传至诚E招，打印件制作在投标（响应）文件中。（电子保函递交之后可致电采购代理机构核实）</w:t>
            </w:r>
          </w:p>
          <w:p w14:paraId="5D606E00">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纸质保函：通过金融机构</w:t>
            </w:r>
            <w:r>
              <w:rPr>
                <w:rFonts w:hint="eastAsia" w:ascii="宋体" w:hAnsi="宋体" w:eastAsia="宋体" w:cs="宋体"/>
                <w:color w:val="auto"/>
                <w:szCs w:val="21"/>
                <w:highlight w:val="none"/>
                <w:lang w:val="en-US" w:eastAsia="zh-CN"/>
              </w:rPr>
              <w:t>或</w:t>
            </w:r>
            <w:r>
              <w:rPr>
                <w:rFonts w:hint="eastAsia" w:ascii="宋体" w:hAnsi="宋体" w:eastAsia="宋体" w:cs="宋体"/>
                <w:color w:val="auto"/>
                <w:szCs w:val="21"/>
                <w:highlight w:val="none"/>
                <w:lang w:eastAsia="zh-CN"/>
              </w:rPr>
              <w:t>担保机构开具的纸质保函，须密封递交原件。</w:t>
            </w:r>
          </w:p>
        </w:tc>
      </w:tr>
      <w:tr w14:paraId="3F494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1" w:type="pct"/>
            <w:vAlign w:val="center"/>
          </w:tcPr>
          <w:p w14:paraId="70FD9767">
            <w:pPr>
              <w:pStyle w:val="66"/>
              <w:keepNext w:val="0"/>
              <w:keepLines w:val="0"/>
              <w:pageBreakBefore w:val="0"/>
              <w:widowControl w:val="0"/>
              <w:numPr>
                <w:ilvl w:val="0"/>
                <w:numId w:val="5"/>
              </w:numPr>
              <w:kinsoku/>
              <w:wordWrap/>
              <w:overflowPunct/>
              <w:topLinePunct w:val="0"/>
              <w:autoSpaceDE/>
              <w:autoSpaceDN/>
              <w:bidi w:val="0"/>
              <w:adjustRightInd/>
              <w:snapToGrid/>
              <w:spacing w:line="360" w:lineRule="auto"/>
              <w:ind w:left="105" w:leftChars="50" w:right="105" w:rightChars="50" w:firstLine="0" w:firstLineChars="0"/>
              <w:jc w:val="center"/>
              <w:textAlignment w:val="auto"/>
              <w:rPr>
                <w:rFonts w:hint="eastAsia" w:ascii="宋体" w:hAnsi="宋体" w:eastAsia="宋体" w:cs="宋体"/>
                <w:color w:val="auto"/>
                <w:szCs w:val="21"/>
                <w:highlight w:val="none"/>
                <w:lang w:eastAsia="zh-CN"/>
              </w:rPr>
            </w:pPr>
          </w:p>
        </w:tc>
        <w:tc>
          <w:tcPr>
            <w:tcW w:w="928" w:type="pct"/>
            <w:vAlign w:val="center"/>
          </w:tcPr>
          <w:p w14:paraId="5F48BDBA">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w:t>
            </w:r>
            <w:r>
              <w:rPr>
                <w:rFonts w:hint="eastAsia" w:ascii="宋体" w:hAnsi="宋体" w:eastAsia="宋体" w:cs="宋体"/>
                <w:color w:val="auto"/>
                <w:szCs w:val="21"/>
                <w:highlight w:val="none"/>
                <w:lang w:eastAsia="zh-CN"/>
              </w:rPr>
              <w:t>数量和要求</w:t>
            </w:r>
          </w:p>
        </w:tc>
        <w:tc>
          <w:tcPr>
            <w:tcW w:w="3719" w:type="pct"/>
          </w:tcPr>
          <w:p w14:paraId="3412C066">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1.正本1份，副本4份，电子文件1份。正本与副本不一致时，以正本为准。</w:t>
            </w:r>
          </w:p>
          <w:p w14:paraId="43C98AC9">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电子文件：应包含纸质投标文件全部内容，以U盘或者光盘形式存储；电子文件中应包含Word、Excel等可编辑文档和签字盖章版的PDF扫描件；投标文件包括的其他电子文档（如视频等）也应包含在内；若有分项报价表（非固定格式，自行提供的），需提供Excel版本。</w:t>
            </w:r>
          </w:p>
          <w:p w14:paraId="4BA5D886">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针对多个采购包项目，若在评审要求相同的情况下，供应商可以选择编制一份或者多份投标（响应）文件，但须明确适用于“采购包1、采购包2、…”，若某些投标（响应）内容不可同时适用于多个采购包，则需分别进行明确，如报价部分的内容等文件。</w:t>
            </w:r>
          </w:p>
        </w:tc>
      </w:tr>
      <w:tr w14:paraId="36371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1" w:type="pct"/>
            <w:vAlign w:val="center"/>
          </w:tcPr>
          <w:p w14:paraId="0A9BECD6">
            <w:pPr>
              <w:pStyle w:val="66"/>
              <w:keepNext w:val="0"/>
              <w:keepLines w:val="0"/>
              <w:pageBreakBefore w:val="0"/>
              <w:widowControl w:val="0"/>
              <w:numPr>
                <w:ilvl w:val="0"/>
                <w:numId w:val="5"/>
              </w:numPr>
              <w:kinsoku/>
              <w:wordWrap/>
              <w:overflowPunct/>
              <w:topLinePunct w:val="0"/>
              <w:autoSpaceDE/>
              <w:autoSpaceDN/>
              <w:bidi w:val="0"/>
              <w:adjustRightInd/>
              <w:snapToGrid/>
              <w:spacing w:line="360" w:lineRule="auto"/>
              <w:ind w:left="105" w:leftChars="50" w:right="105" w:rightChars="50" w:firstLine="0" w:firstLineChars="0"/>
              <w:jc w:val="center"/>
              <w:textAlignment w:val="auto"/>
              <w:rPr>
                <w:rFonts w:hint="eastAsia" w:ascii="宋体" w:hAnsi="宋体" w:eastAsia="宋体" w:cs="宋体"/>
                <w:color w:val="auto"/>
                <w:szCs w:val="21"/>
                <w:highlight w:val="none"/>
                <w:lang w:eastAsia="zh-CN"/>
              </w:rPr>
            </w:pPr>
          </w:p>
        </w:tc>
        <w:tc>
          <w:tcPr>
            <w:tcW w:w="928" w:type="pct"/>
            <w:vAlign w:val="center"/>
          </w:tcPr>
          <w:p w14:paraId="0D406D27">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w:t>
            </w:r>
            <w:r>
              <w:rPr>
                <w:rFonts w:hint="eastAsia" w:ascii="宋体" w:hAnsi="宋体" w:eastAsia="宋体" w:cs="宋体"/>
                <w:color w:val="auto"/>
                <w:szCs w:val="21"/>
                <w:highlight w:val="none"/>
                <w:lang w:eastAsia="zh-CN"/>
              </w:rPr>
              <w:t>密封要求</w:t>
            </w:r>
          </w:p>
        </w:tc>
        <w:tc>
          <w:tcPr>
            <w:tcW w:w="3719" w:type="pct"/>
          </w:tcPr>
          <w:p w14:paraId="6B1D77BD">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投标文件正本、副本和电子文件可以单独密封包装，也可以密封包装在一起，封口处应粘贴处理。</w:t>
            </w:r>
          </w:p>
        </w:tc>
      </w:tr>
      <w:tr w14:paraId="6564D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1" w:type="pct"/>
            <w:vAlign w:val="center"/>
          </w:tcPr>
          <w:p w14:paraId="0A8F4C25">
            <w:pPr>
              <w:pStyle w:val="66"/>
              <w:keepNext w:val="0"/>
              <w:keepLines w:val="0"/>
              <w:pageBreakBefore w:val="0"/>
              <w:widowControl w:val="0"/>
              <w:numPr>
                <w:ilvl w:val="0"/>
                <w:numId w:val="5"/>
              </w:numPr>
              <w:kinsoku/>
              <w:wordWrap/>
              <w:overflowPunct/>
              <w:topLinePunct w:val="0"/>
              <w:autoSpaceDE/>
              <w:autoSpaceDN/>
              <w:bidi w:val="0"/>
              <w:adjustRightInd/>
              <w:snapToGrid/>
              <w:spacing w:line="360" w:lineRule="auto"/>
              <w:ind w:left="105" w:leftChars="50" w:right="105" w:rightChars="50" w:firstLine="0" w:firstLineChars="0"/>
              <w:jc w:val="center"/>
              <w:textAlignment w:val="auto"/>
              <w:rPr>
                <w:rFonts w:hint="eastAsia" w:ascii="宋体" w:hAnsi="宋体" w:eastAsia="宋体" w:cs="宋体"/>
                <w:color w:val="auto"/>
                <w:szCs w:val="21"/>
                <w:highlight w:val="none"/>
                <w:lang w:eastAsia="zh-CN"/>
              </w:rPr>
            </w:pPr>
          </w:p>
        </w:tc>
        <w:tc>
          <w:tcPr>
            <w:tcW w:w="928" w:type="pct"/>
            <w:vAlign w:val="center"/>
          </w:tcPr>
          <w:p w14:paraId="54F9DBF1">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中标候选供应商推荐家数</w:t>
            </w:r>
          </w:p>
        </w:tc>
        <w:tc>
          <w:tcPr>
            <w:tcW w:w="3719" w:type="pct"/>
            <w:vAlign w:val="center"/>
          </w:tcPr>
          <w:p w14:paraId="31084FEF">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both"/>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3家</w:t>
            </w:r>
          </w:p>
        </w:tc>
      </w:tr>
      <w:tr w14:paraId="16EE9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c>
          <w:tcPr>
            <w:tcW w:w="351" w:type="pct"/>
            <w:vAlign w:val="center"/>
          </w:tcPr>
          <w:p w14:paraId="1C442789">
            <w:pPr>
              <w:pStyle w:val="66"/>
              <w:keepNext w:val="0"/>
              <w:keepLines w:val="0"/>
              <w:pageBreakBefore w:val="0"/>
              <w:widowControl w:val="0"/>
              <w:numPr>
                <w:ilvl w:val="0"/>
                <w:numId w:val="5"/>
              </w:numPr>
              <w:kinsoku/>
              <w:wordWrap/>
              <w:overflowPunct/>
              <w:topLinePunct w:val="0"/>
              <w:autoSpaceDE/>
              <w:autoSpaceDN/>
              <w:bidi w:val="0"/>
              <w:adjustRightInd/>
              <w:snapToGrid/>
              <w:spacing w:line="360" w:lineRule="auto"/>
              <w:ind w:left="105" w:leftChars="50" w:right="105" w:rightChars="50" w:firstLine="0" w:firstLineChars="0"/>
              <w:jc w:val="center"/>
              <w:textAlignment w:val="auto"/>
              <w:rPr>
                <w:rFonts w:hint="eastAsia" w:ascii="宋体" w:hAnsi="宋体" w:eastAsia="宋体" w:cs="宋体"/>
                <w:color w:val="auto"/>
                <w:szCs w:val="21"/>
                <w:highlight w:val="none"/>
              </w:rPr>
            </w:pPr>
          </w:p>
        </w:tc>
        <w:tc>
          <w:tcPr>
            <w:tcW w:w="928" w:type="pct"/>
            <w:vAlign w:val="center"/>
          </w:tcPr>
          <w:p w14:paraId="5F02B357">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中标供应商数量</w:t>
            </w:r>
          </w:p>
        </w:tc>
        <w:tc>
          <w:tcPr>
            <w:tcW w:w="3719" w:type="pct"/>
            <w:vAlign w:val="center"/>
          </w:tcPr>
          <w:p w14:paraId="2119197A">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both"/>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1家</w:t>
            </w:r>
          </w:p>
        </w:tc>
      </w:tr>
      <w:tr w14:paraId="25536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1" w:type="pct"/>
            <w:vAlign w:val="center"/>
          </w:tcPr>
          <w:p w14:paraId="6E9A41E5">
            <w:pPr>
              <w:pStyle w:val="66"/>
              <w:keepNext w:val="0"/>
              <w:keepLines w:val="0"/>
              <w:pageBreakBefore w:val="0"/>
              <w:widowControl w:val="0"/>
              <w:numPr>
                <w:ilvl w:val="0"/>
                <w:numId w:val="5"/>
              </w:numPr>
              <w:kinsoku/>
              <w:wordWrap/>
              <w:overflowPunct/>
              <w:topLinePunct w:val="0"/>
              <w:autoSpaceDE/>
              <w:autoSpaceDN/>
              <w:bidi w:val="0"/>
              <w:adjustRightInd/>
              <w:snapToGrid/>
              <w:spacing w:line="360" w:lineRule="auto"/>
              <w:ind w:left="105" w:leftChars="50" w:right="105" w:rightChars="50" w:firstLine="0" w:firstLineChars="0"/>
              <w:jc w:val="center"/>
              <w:textAlignment w:val="auto"/>
              <w:rPr>
                <w:rFonts w:hint="eastAsia" w:ascii="宋体" w:hAnsi="宋体" w:eastAsia="宋体" w:cs="宋体"/>
                <w:color w:val="auto"/>
                <w:szCs w:val="21"/>
                <w:highlight w:val="none"/>
              </w:rPr>
            </w:pPr>
          </w:p>
        </w:tc>
        <w:tc>
          <w:tcPr>
            <w:tcW w:w="928" w:type="pct"/>
            <w:vAlign w:val="center"/>
          </w:tcPr>
          <w:p w14:paraId="6B47ED58">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有效供应商家数</w:t>
            </w:r>
          </w:p>
        </w:tc>
        <w:tc>
          <w:tcPr>
            <w:tcW w:w="3719" w:type="pct"/>
            <w:vAlign w:val="center"/>
          </w:tcPr>
          <w:p w14:paraId="6B95EB00">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3家</w:t>
            </w:r>
          </w:p>
          <w:p w14:paraId="30EEABFC">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此人数约定了开标与评标过程中的最低有效供应商家数，当家数不足时项目将不得开标、不得评标或直接废标。</w:t>
            </w:r>
          </w:p>
        </w:tc>
      </w:tr>
      <w:tr w14:paraId="7F992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1" w:type="pct"/>
            <w:vAlign w:val="center"/>
          </w:tcPr>
          <w:p w14:paraId="4500B17D">
            <w:pPr>
              <w:pStyle w:val="66"/>
              <w:keepNext w:val="0"/>
              <w:keepLines w:val="0"/>
              <w:pageBreakBefore w:val="0"/>
              <w:widowControl w:val="0"/>
              <w:numPr>
                <w:ilvl w:val="0"/>
                <w:numId w:val="5"/>
              </w:numPr>
              <w:kinsoku/>
              <w:wordWrap/>
              <w:overflowPunct/>
              <w:topLinePunct w:val="0"/>
              <w:autoSpaceDE/>
              <w:autoSpaceDN/>
              <w:bidi w:val="0"/>
              <w:adjustRightInd/>
              <w:snapToGrid/>
              <w:spacing w:line="360" w:lineRule="auto"/>
              <w:ind w:left="105" w:leftChars="50" w:right="105" w:rightChars="50" w:firstLine="0" w:firstLineChars="0"/>
              <w:jc w:val="center"/>
              <w:textAlignment w:val="auto"/>
              <w:rPr>
                <w:rFonts w:hint="eastAsia" w:ascii="宋体" w:hAnsi="宋体" w:eastAsia="宋体" w:cs="宋体"/>
                <w:color w:val="auto"/>
                <w:szCs w:val="21"/>
                <w:highlight w:val="none"/>
                <w:lang w:eastAsia="zh-CN"/>
              </w:rPr>
            </w:pPr>
          </w:p>
        </w:tc>
        <w:tc>
          <w:tcPr>
            <w:tcW w:w="928" w:type="pct"/>
            <w:vAlign w:val="center"/>
          </w:tcPr>
          <w:p w14:paraId="7A40D634">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项目兼投兼中（兼投不兼中）规则</w:t>
            </w:r>
          </w:p>
        </w:tc>
        <w:tc>
          <w:tcPr>
            <w:tcW w:w="3719" w:type="pct"/>
            <w:vAlign w:val="center"/>
          </w:tcPr>
          <w:p w14:paraId="538B8C00">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本项目不涉及</w:t>
            </w:r>
          </w:p>
        </w:tc>
      </w:tr>
      <w:tr w14:paraId="1BC42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1" w:type="pct"/>
            <w:vAlign w:val="center"/>
          </w:tcPr>
          <w:p w14:paraId="2337EF19">
            <w:pPr>
              <w:pStyle w:val="66"/>
              <w:keepNext w:val="0"/>
              <w:keepLines w:val="0"/>
              <w:pageBreakBefore w:val="0"/>
              <w:widowControl w:val="0"/>
              <w:numPr>
                <w:ilvl w:val="0"/>
                <w:numId w:val="5"/>
              </w:numPr>
              <w:kinsoku/>
              <w:wordWrap/>
              <w:overflowPunct/>
              <w:topLinePunct w:val="0"/>
              <w:autoSpaceDE/>
              <w:autoSpaceDN/>
              <w:bidi w:val="0"/>
              <w:adjustRightInd/>
              <w:snapToGrid/>
              <w:spacing w:line="360" w:lineRule="auto"/>
              <w:ind w:left="105" w:leftChars="50" w:right="105" w:rightChars="50" w:firstLine="0" w:firstLineChars="0"/>
              <w:jc w:val="center"/>
              <w:textAlignment w:val="auto"/>
              <w:rPr>
                <w:rFonts w:hint="eastAsia" w:ascii="宋体" w:hAnsi="宋体" w:eastAsia="宋体" w:cs="宋体"/>
                <w:color w:val="auto"/>
                <w:szCs w:val="21"/>
                <w:highlight w:val="none"/>
              </w:rPr>
            </w:pPr>
          </w:p>
        </w:tc>
        <w:tc>
          <w:tcPr>
            <w:tcW w:w="928" w:type="pct"/>
            <w:vAlign w:val="center"/>
          </w:tcPr>
          <w:p w14:paraId="2A84C46B">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中标供应商确定方式</w:t>
            </w:r>
          </w:p>
        </w:tc>
        <w:tc>
          <w:tcPr>
            <w:tcW w:w="3719" w:type="pct"/>
            <w:vAlign w:val="center"/>
          </w:tcPr>
          <w:p w14:paraId="366F8EBB">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■采购人按照评标报告中推荐的中标候选人确定中标人。 / □采购人授权评标委员会按照评审原则直接确定中标人。</w:t>
            </w:r>
          </w:p>
        </w:tc>
      </w:tr>
      <w:tr w14:paraId="7BCC6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1" w:type="pct"/>
            <w:vAlign w:val="center"/>
          </w:tcPr>
          <w:p w14:paraId="13972B31">
            <w:pPr>
              <w:pStyle w:val="66"/>
              <w:keepNext w:val="0"/>
              <w:keepLines w:val="0"/>
              <w:pageBreakBefore w:val="0"/>
              <w:widowControl w:val="0"/>
              <w:numPr>
                <w:ilvl w:val="0"/>
                <w:numId w:val="5"/>
              </w:numPr>
              <w:kinsoku/>
              <w:wordWrap/>
              <w:overflowPunct/>
              <w:topLinePunct w:val="0"/>
              <w:autoSpaceDE/>
              <w:autoSpaceDN/>
              <w:bidi w:val="0"/>
              <w:adjustRightInd/>
              <w:snapToGrid/>
              <w:spacing w:line="360" w:lineRule="auto"/>
              <w:ind w:left="105" w:leftChars="50" w:right="105" w:rightChars="50" w:firstLine="0" w:firstLineChars="0"/>
              <w:jc w:val="center"/>
              <w:textAlignment w:val="auto"/>
              <w:rPr>
                <w:rFonts w:hint="eastAsia" w:ascii="宋体" w:hAnsi="宋体" w:eastAsia="宋体" w:cs="宋体"/>
                <w:color w:val="auto"/>
                <w:szCs w:val="21"/>
                <w:highlight w:val="none"/>
                <w:lang w:eastAsia="zh-CN"/>
              </w:rPr>
            </w:pPr>
          </w:p>
        </w:tc>
        <w:tc>
          <w:tcPr>
            <w:tcW w:w="928" w:type="pct"/>
            <w:vAlign w:val="center"/>
          </w:tcPr>
          <w:p w14:paraId="23416B12">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代理服务费</w:t>
            </w:r>
          </w:p>
        </w:tc>
        <w:tc>
          <w:tcPr>
            <w:tcW w:w="3719" w:type="pct"/>
            <w:vAlign w:val="center"/>
          </w:tcPr>
          <w:p w14:paraId="5F897070">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收费标准：依照下表的[□货物/■服务]采购收费标准，以项目（各包组）中标金额作为基数按照差额定率累进法计算代理服务费</w:t>
            </w:r>
            <w:r>
              <w:rPr>
                <w:rFonts w:hint="eastAsia" w:ascii="宋体" w:hAnsi="宋体" w:eastAsia="宋体" w:cs="宋体"/>
                <w:color w:val="auto"/>
                <w:szCs w:val="21"/>
                <w:highlight w:val="none"/>
                <w:lang w:val="en-US" w:eastAsia="zh-CN"/>
              </w:rPr>
              <w:t>后乘以92%</w:t>
            </w:r>
            <w:r>
              <w:rPr>
                <w:rFonts w:hint="eastAsia" w:ascii="宋体" w:hAnsi="宋体" w:eastAsia="宋体" w:cs="宋体"/>
                <w:color w:val="auto"/>
                <w:szCs w:val="21"/>
                <w:highlight w:val="none"/>
                <w:lang w:eastAsia="zh-CN"/>
              </w:rPr>
              <w:t>。</w:t>
            </w:r>
          </w:p>
          <w:tbl>
            <w:tblPr>
              <w:tblStyle w:val="34"/>
              <w:tblW w:w="5000" w:type="pct"/>
              <w:tblInd w:w="0" w:type="dxa"/>
              <w:tblLayout w:type="autofit"/>
              <w:tblCellMar>
                <w:top w:w="15" w:type="dxa"/>
                <w:left w:w="15" w:type="dxa"/>
                <w:bottom w:w="15" w:type="dxa"/>
                <w:right w:w="15" w:type="dxa"/>
              </w:tblCellMar>
            </w:tblPr>
            <w:tblGrid>
              <w:gridCol w:w="3324"/>
              <w:gridCol w:w="1957"/>
              <w:gridCol w:w="1957"/>
            </w:tblGrid>
            <w:tr w14:paraId="06A84623">
              <w:tblPrEx>
                <w:tblCellMar>
                  <w:top w:w="15" w:type="dxa"/>
                  <w:left w:w="15" w:type="dxa"/>
                  <w:bottom w:w="15" w:type="dxa"/>
                  <w:right w:w="15" w:type="dxa"/>
                </w:tblCellMar>
              </w:tblPrEx>
              <w:trPr>
                <w:trHeight w:val="340" w:hRule="atLeast"/>
              </w:trPr>
              <w:tc>
                <w:tcPr>
                  <w:tcW w:w="2296" w:type="pct"/>
                  <w:tcBorders>
                    <w:top w:val="single" w:color="000000" w:sz="4" w:space="0"/>
                    <w:left w:val="single" w:color="000000" w:sz="4" w:space="0"/>
                    <w:right w:val="single" w:color="000000" w:sz="4" w:space="0"/>
                  </w:tcBorders>
                  <w:vAlign w:val="center"/>
                </w:tcPr>
                <w:p w14:paraId="1CCB93B3">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中标金额N（万元）</w:t>
                  </w:r>
                </w:p>
              </w:tc>
              <w:tc>
                <w:tcPr>
                  <w:tcW w:w="1351" w:type="pct"/>
                  <w:tcBorders>
                    <w:top w:val="single" w:color="000000" w:sz="4" w:space="0"/>
                    <w:left w:val="single" w:color="000000" w:sz="4" w:space="0"/>
                    <w:right w:val="single" w:color="000000" w:sz="4" w:space="0"/>
                  </w:tcBorders>
                  <w:vAlign w:val="center"/>
                </w:tcPr>
                <w:p w14:paraId="5602B366">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货物采购费率</w:t>
                  </w:r>
                </w:p>
              </w:tc>
              <w:tc>
                <w:tcPr>
                  <w:tcW w:w="1351" w:type="pct"/>
                  <w:tcBorders>
                    <w:top w:val="single" w:color="000000" w:sz="4" w:space="0"/>
                    <w:left w:val="single" w:color="000000" w:sz="4" w:space="0"/>
                    <w:bottom w:val="single" w:color="000000" w:sz="4" w:space="0"/>
                    <w:right w:val="single" w:color="000000" w:sz="4" w:space="0"/>
                  </w:tcBorders>
                  <w:vAlign w:val="center"/>
                </w:tcPr>
                <w:p w14:paraId="06E8A6F4">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服务采购费率</w:t>
                  </w:r>
                </w:p>
              </w:tc>
            </w:tr>
            <w:tr w14:paraId="26C0E1C2">
              <w:tblPrEx>
                <w:tblCellMar>
                  <w:top w:w="15" w:type="dxa"/>
                  <w:left w:w="15" w:type="dxa"/>
                  <w:bottom w:w="15" w:type="dxa"/>
                  <w:right w:w="15" w:type="dxa"/>
                </w:tblCellMar>
              </w:tblPrEx>
              <w:trPr>
                <w:trHeight w:val="340" w:hRule="atLeast"/>
              </w:trPr>
              <w:tc>
                <w:tcPr>
                  <w:tcW w:w="2296" w:type="pct"/>
                  <w:tcBorders>
                    <w:top w:val="single" w:color="000000" w:sz="4" w:space="0"/>
                    <w:left w:val="single" w:color="000000" w:sz="4" w:space="0"/>
                    <w:bottom w:val="single" w:color="000000" w:sz="4" w:space="0"/>
                    <w:right w:val="single" w:color="000000" w:sz="4" w:space="0"/>
                  </w:tcBorders>
                  <w:vAlign w:val="center"/>
                </w:tcPr>
                <w:p w14:paraId="506294B7">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0＜N≤100</w:t>
                  </w:r>
                </w:p>
              </w:tc>
              <w:tc>
                <w:tcPr>
                  <w:tcW w:w="1351" w:type="pct"/>
                  <w:tcBorders>
                    <w:top w:val="single" w:color="000000" w:sz="4" w:space="0"/>
                    <w:left w:val="single" w:color="000000" w:sz="4" w:space="0"/>
                    <w:bottom w:val="single" w:color="000000" w:sz="4" w:space="0"/>
                    <w:right w:val="single" w:color="000000" w:sz="4" w:space="0"/>
                  </w:tcBorders>
                  <w:vAlign w:val="center"/>
                </w:tcPr>
                <w:p w14:paraId="3A2EFE9D">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1.50%</w:t>
                  </w:r>
                </w:p>
              </w:tc>
              <w:tc>
                <w:tcPr>
                  <w:tcW w:w="1351" w:type="pct"/>
                  <w:tcBorders>
                    <w:top w:val="single" w:color="000000" w:sz="4" w:space="0"/>
                    <w:left w:val="single" w:color="000000" w:sz="4" w:space="0"/>
                    <w:bottom w:val="single" w:color="000000" w:sz="4" w:space="0"/>
                    <w:right w:val="single" w:color="000000" w:sz="4" w:space="0"/>
                  </w:tcBorders>
                  <w:vAlign w:val="center"/>
                </w:tcPr>
                <w:p w14:paraId="7BFF09C7">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1.50%</w:t>
                  </w:r>
                </w:p>
              </w:tc>
            </w:tr>
            <w:tr w14:paraId="79115476">
              <w:tblPrEx>
                <w:tblCellMar>
                  <w:top w:w="15" w:type="dxa"/>
                  <w:left w:w="15" w:type="dxa"/>
                  <w:bottom w:w="15" w:type="dxa"/>
                  <w:right w:w="15" w:type="dxa"/>
                </w:tblCellMar>
              </w:tblPrEx>
              <w:trPr>
                <w:trHeight w:val="340" w:hRule="atLeast"/>
              </w:trPr>
              <w:tc>
                <w:tcPr>
                  <w:tcW w:w="2296" w:type="pct"/>
                  <w:tcBorders>
                    <w:top w:val="single" w:color="000000" w:sz="4" w:space="0"/>
                    <w:left w:val="single" w:color="000000" w:sz="4" w:space="0"/>
                    <w:bottom w:val="single" w:color="000000" w:sz="4" w:space="0"/>
                    <w:right w:val="single" w:color="000000" w:sz="4" w:space="0"/>
                  </w:tcBorders>
                  <w:vAlign w:val="center"/>
                </w:tcPr>
                <w:p w14:paraId="5FD920D4">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100＜N≤500 </w:t>
                  </w:r>
                </w:p>
              </w:tc>
              <w:tc>
                <w:tcPr>
                  <w:tcW w:w="1351" w:type="pct"/>
                  <w:tcBorders>
                    <w:top w:val="single" w:color="000000" w:sz="4" w:space="0"/>
                    <w:left w:val="single" w:color="000000" w:sz="4" w:space="0"/>
                    <w:bottom w:val="single" w:color="000000" w:sz="4" w:space="0"/>
                    <w:right w:val="single" w:color="000000" w:sz="4" w:space="0"/>
                  </w:tcBorders>
                  <w:vAlign w:val="center"/>
                </w:tcPr>
                <w:p w14:paraId="0D45E1A2">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1.10%</w:t>
                  </w:r>
                </w:p>
              </w:tc>
              <w:tc>
                <w:tcPr>
                  <w:tcW w:w="1351" w:type="pct"/>
                  <w:tcBorders>
                    <w:top w:val="single" w:color="000000" w:sz="4" w:space="0"/>
                    <w:left w:val="single" w:color="000000" w:sz="4" w:space="0"/>
                    <w:bottom w:val="single" w:color="000000" w:sz="4" w:space="0"/>
                    <w:right w:val="single" w:color="000000" w:sz="4" w:space="0"/>
                  </w:tcBorders>
                  <w:vAlign w:val="center"/>
                </w:tcPr>
                <w:p w14:paraId="653F0156">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0.80%</w:t>
                  </w:r>
                </w:p>
              </w:tc>
            </w:tr>
          </w:tbl>
          <w:p w14:paraId="3C019FCD">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both"/>
              <w:textAlignment w:val="auto"/>
              <w:rPr>
                <w:rFonts w:hint="eastAsia" w:ascii="宋体" w:hAnsi="宋体" w:eastAsia="宋体" w:cs="宋体"/>
                <w:color w:val="auto"/>
                <w:szCs w:val="21"/>
                <w:highlight w:val="none"/>
                <w:lang w:eastAsia="zh-CN"/>
              </w:rPr>
            </w:pPr>
          </w:p>
        </w:tc>
      </w:tr>
      <w:tr w14:paraId="0A21C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1" w:type="pct"/>
            <w:vAlign w:val="center"/>
          </w:tcPr>
          <w:p w14:paraId="254BB9D4">
            <w:pPr>
              <w:pStyle w:val="66"/>
              <w:keepNext w:val="0"/>
              <w:keepLines w:val="0"/>
              <w:pageBreakBefore w:val="0"/>
              <w:widowControl w:val="0"/>
              <w:numPr>
                <w:ilvl w:val="0"/>
                <w:numId w:val="5"/>
              </w:numPr>
              <w:kinsoku/>
              <w:wordWrap/>
              <w:overflowPunct/>
              <w:topLinePunct w:val="0"/>
              <w:autoSpaceDE/>
              <w:autoSpaceDN/>
              <w:bidi w:val="0"/>
              <w:adjustRightInd/>
              <w:snapToGrid/>
              <w:spacing w:line="360" w:lineRule="auto"/>
              <w:ind w:left="105" w:leftChars="50" w:right="105" w:rightChars="50" w:firstLine="0" w:firstLineChars="0"/>
              <w:jc w:val="center"/>
              <w:textAlignment w:val="auto"/>
              <w:rPr>
                <w:rFonts w:hint="eastAsia" w:ascii="宋体" w:hAnsi="宋体" w:eastAsia="宋体" w:cs="宋体"/>
                <w:color w:val="auto"/>
                <w:szCs w:val="21"/>
                <w:highlight w:val="none"/>
              </w:rPr>
            </w:pPr>
          </w:p>
        </w:tc>
        <w:tc>
          <w:tcPr>
            <w:tcW w:w="928" w:type="pct"/>
            <w:vAlign w:val="center"/>
          </w:tcPr>
          <w:p w14:paraId="1BD7D91A">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代理服务费收取方式</w:t>
            </w:r>
          </w:p>
        </w:tc>
        <w:tc>
          <w:tcPr>
            <w:tcW w:w="3719" w:type="pct"/>
            <w:vAlign w:val="center"/>
          </w:tcPr>
          <w:p w14:paraId="342980BD">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向中标供应商收取</w:t>
            </w:r>
          </w:p>
        </w:tc>
      </w:tr>
      <w:tr w14:paraId="62008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1" w:type="pct"/>
            <w:vAlign w:val="center"/>
          </w:tcPr>
          <w:p w14:paraId="30ADAC17">
            <w:pPr>
              <w:pStyle w:val="66"/>
              <w:keepNext w:val="0"/>
              <w:keepLines w:val="0"/>
              <w:pageBreakBefore w:val="0"/>
              <w:widowControl w:val="0"/>
              <w:numPr>
                <w:ilvl w:val="0"/>
                <w:numId w:val="5"/>
              </w:numPr>
              <w:kinsoku/>
              <w:wordWrap/>
              <w:overflowPunct/>
              <w:topLinePunct w:val="0"/>
              <w:autoSpaceDE/>
              <w:autoSpaceDN/>
              <w:bidi w:val="0"/>
              <w:adjustRightInd/>
              <w:snapToGrid/>
              <w:spacing w:line="360" w:lineRule="auto"/>
              <w:ind w:left="105" w:leftChars="50" w:right="105" w:rightChars="50" w:firstLine="0" w:firstLineChars="0"/>
              <w:jc w:val="center"/>
              <w:textAlignment w:val="auto"/>
              <w:rPr>
                <w:rFonts w:hint="eastAsia" w:ascii="宋体" w:hAnsi="宋体" w:eastAsia="宋体" w:cs="宋体"/>
                <w:color w:val="auto"/>
                <w:szCs w:val="21"/>
                <w:highlight w:val="none"/>
              </w:rPr>
            </w:pPr>
          </w:p>
        </w:tc>
        <w:tc>
          <w:tcPr>
            <w:tcW w:w="928" w:type="pct"/>
            <w:vAlign w:val="center"/>
          </w:tcPr>
          <w:p w14:paraId="7EE6A268">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合同签订</w:t>
            </w:r>
          </w:p>
        </w:tc>
        <w:tc>
          <w:tcPr>
            <w:tcW w:w="3719" w:type="pct"/>
            <w:vAlign w:val="center"/>
          </w:tcPr>
          <w:p w14:paraId="78775C5F">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本采购文件提供的合同文本具体条款内容由采购人和中标供应商协商确定，不得对招标文件和投标文件的实质性条款作出变更，且必须包括但不限于标的名称，采购标的质量、数量（规模），履行时间（期限）、地点和方式，包装方式（如有），价款或者报酬、付款进度安排、资金支付方式，验收、交付标准和方法，质量保修范围（如有）和保修期（如有），违约责任与解决争议的方法等内容。</w:t>
            </w:r>
          </w:p>
        </w:tc>
      </w:tr>
      <w:tr w14:paraId="077D6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1" w:type="pct"/>
            <w:vAlign w:val="center"/>
          </w:tcPr>
          <w:p w14:paraId="07C61F25">
            <w:pPr>
              <w:pStyle w:val="66"/>
              <w:keepNext w:val="0"/>
              <w:keepLines w:val="0"/>
              <w:pageBreakBefore w:val="0"/>
              <w:widowControl w:val="0"/>
              <w:numPr>
                <w:ilvl w:val="0"/>
                <w:numId w:val="5"/>
              </w:numPr>
              <w:kinsoku/>
              <w:wordWrap/>
              <w:overflowPunct/>
              <w:topLinePunct w:val="0"/>
              <w:autoSpaceDE/>
              <w:autoSpaceDN/>
              <w:bidi w:val="0"/>
              <w:adjustRightInd/>
              <w:snapToGrid/>
              <w:spacing w:line="360" w:lineRule="auto"/>
              <w:ind w:left="105" w:leftChars="50" w:right="105" w:rightChars="50" w:firstLine="0" w:firstLineChars="0"/>
              <w:jc w:val="center"/>
              <w:textAlignment w:val="auto"/>
              <w:rPr>
                <w:rFonts w:hint="eastAsia" w:ascii="宋体" w:hAnsi="宋体" w:eastAsia="宋体" w:cs="宋体"/>
                <w:color w:val="auto"/>
                <w:szCs w:val="21"/>
                <w:highlight w:val="none"/>
                <w:lang w:eastAsia="zh-CN"/>
              </w:rPr>
            </w:pPr>
            <w:bookmarkStart w:id="73" w:name="_Hlk113913931"/>
          </w:p>
        </w:tc>
        <w:tc>
          <w:tcPr>
            <w:tcW w:w="928" w:type="pct"/>
            <w:vAlign w:val="center"/>
          </w:tcPr>
          <w:p w14:paraId="1A349911">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本项目采购标的对应的中小企业划分标准所属行业</w:t>
            </w:r>
          </w:p>
        </w:tc>
        <w:tc>
          <w:tcPr>
            <w:tcW w:w="3719" w:type="pct"/>
            <w:vAlign w:val="center"/>
          </w:tcPr>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3"/>
              <w:gridCol w:w="3357"/>
              <w:gridCol w:w="2964"/>
            </w:tblGrid>
            <w:tr w14:paraId="3039E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vAlign w:val="center"/>
                </w:tcPr>
                <w:p w14:paraId="2E464A98">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包号</w:t>
                  </w:r>
                </w:p>
              </w:tc>
              <w:tc>
                <w:tcPr>
                  <w:tcW w:w="3357" w:type="dxa"/>
                  <w:vAlign w:val="center"/>
                </w:tcPr>
                <w:p w14:paraId="5B4C2F95">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标的名称</w:t>
                  </w:r>
                </w:p>
              </w:tc>
              <w:tc>
                <w:tcPr>
                  <w:tcW w:w="2964" w:type="dxa"/>
                  <w:vAlign w:val="center"/>
                </w:tcPr>
                <w:p w14:paraId="52A10582">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中小企业划分标准所属行业</w:t>
                  </w:r>
                </w:p>
              </w:tc>
            </w:tr>
            <w:tr w14:paraId="5897A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vAlign w:val="center"/>
                </w:tcPr>
                <w:p w14:paraId="5C42E8EB">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w:t>
                  </w:r>
                </w:p>
              </w:tc>
              <w:tc>
                <w:tcPr>
                  <w:tcW w:w="3357" w:type="dxa"/>
                  <w:vAlign w:val="center"/>
                </w:tcPr>
                <w:p w14:paraId="543C691C">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Cs w:val="21"/>
                      <w:highlight w:val="none"/>
                      <w:lang w:eastAsia="zh-CN"/>
                    </w:rPr>
                  </w:pPr>
                  <w:r>
                    <w:rPr>
                      <w:rFonts w:hint="eastAsia" w:cs="宋体"/>
                      <w:color w:val="auto"/>
                      <w:szCs w:val="21"/>
                      <w:highlight w:val="none"/>
                      <w:lang w:eastAsia="zh-CN"/>
                    </w:rPr>
                    <w:t>中华人民共和国万山出入境边防检查站2026年船艇中修项目</w:t>
                  </w:r>
                </w:p>
              </w:tc>
              <w:tc>
                <w:tcPr>
                  <w:tcW w:w="2964" w:type="dxa"/>
                  <w:vAlign w:val="center"/>
                </w:tcPr>
                <w:p w14:paraId="5A1B2695">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工业</w:t>
                  </w:r>
                </w:p>
              </w:tc>
            </w:tr>
          </w:tbl>
          <w:p w14:paraId="2DEF81C7">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both"/>
              <w:textAlignment w:val="auto"/>
              <w:rPr>
                <w:rFonts w:hint="eastAsia" w:ascii="宋体" w:hAnsi="宋体" w:eastAsia="宋体" w:cs="宋体"/>
                <w:color w:val="auto"/>
                <w:szCs w:val="21"/>
                <w:highlight w:val="none"/>
                <w:lang w:eastAsia="zh-CN"/>
              </w:rPr>
            </w:pPr>
          </w:p>
        </w:tc>
      </w:tr>
      <w:bookmarkEnd w:id="73"/>
      <w:tr w14:paraId="31C4C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1" w:type="pct"/>
            <w:vAlign w:val="center"/>
          </w:tcPr>
          <w:p w14:paraId="62E30AA7">
            <w:pPr>
              <w:pStyle w:val="66"/>
              <w:keepNext w:val="0"/>
              <w:keepLines w:val="0"/>
              <w:pageBreakBefore w:val="0"/>
              <w:widowControl w:val="0"/>
              <w:numPr>
                <w:ilvl w:val="0"/>
                <w:numId w:val="5"/>
              </w:numPr>
              <w:kinsoku/>
              <w:wordWrap/>
              <w:overflowPunct/>
              <w:topLinePunct w:val="0"/>
              <w:autoSpaceDE/>
              <w:autoSpaceDN/>
              <w:bidi w:val="0"/>
              <w:adjustRightInd/>
              <w:snapToGrid/>
              <w:spacing w:line="360" w:lineRule="auto"/>
              <w:ind w:left="105" w:leftChars="50" w:right="105" w:rightChars="50" w:firstLine="0" w:firstLineChars="0"/>
              <w:jc w:val="center"/>
              <w:textAlignment w:val="auto"/>
              <w:rPr>
                <w:rFonts w:hint="eastAsia" w:ascii="宋体" w:hAnsi="宋体" w:eastAsia="宋体" w:cs="宋体"/>
                <w:color w:val="auto"/>
                <w:szCs w:val="21"/>
                <w:highlight w:val="none"/>
                <w:lang w:eastAsia="zh-CN"/>
              </w:rPr>
            </w:pPr>
          </w:p>
        </w:tc>
        <w:tc>
          <w:tcPr>
            <w:tcW w:w="928" w:type="pct"/>
            <w:vAlign w:val="center"/>
          </w:tcPr>
          <w:p w14:paraId="7036A97F">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项目属性</w:t>
            </w:r>
          </w:p>
        </w:tc>
        <w:tc>
          <w:tcPr>
            <w:tcW w:w="3719" w:type="pct"/>
            <w:vAlign w:val="center"/>
          </w:tcPr>
          <w:p w14:paraId="6E08C60E">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18"/>
                <w:highlight w:val="none"/>
                <w:lang w:eastAsia="zh-CN"/>
              </w:rPr>
              <w:t>□</w:t>
            </w:r>
            <w:r>
              <w:rPr>
                <w:rFonts w:hint="eastAsia" w:ascii="宋体" w:hAnsi="宋体" w:eastAsia="宋体" w:cs="宋体"/>
                <w:color w:val="auto"/>
                <w:szCs w:val="21"/>
                <w:highlight w:val="none"/>
                <w:lang w:eastAsia="zh-CN"/>
              </w:rPr>
              <w:t xml:space="preserve">货物项目 / </w:t>
            </w:r>
            <w:r>
              <w:rPr>
                <w:rFonts w:hint="eastAsia" w:ascii="宋体" w:hAnsi="宋体" w:eastAsia="宋体" w:cs="宋体"/>
                <w:color w:val="auto"/>
                <w:szCs w:val="18"/>
                <w:highlight w:val="none"/>
                <w:lang w:eastAsia="zh-CN"/>
              </w:rPr>
              <w:t>■</w:t>
            </w:r>
            <w:r>
              <w:rPr>
                <w:rFonts w:hint="eastAsia" w:ascii="宋体" w:hAnsi="宋体" w:eastAsia="宋体" w:cs="宋体"/>
                <w:color w:val="auto"/>
                <w:szCs w:val="21"/>
                <w:highlight w:val="none"/>
                <w:lang w:eastAsia="zh-CN"/>
              </w:rPr>
              <w:t>服务项目</w:t>
            </w:r>
          </w:p>
        </w:tc>
      </w:tr>
      <w:tr w14:paraId="4800C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1" w:type="pct"/>
            <w:vAlign w:val="center"/>
          </w:tcPr>
          <w:p w14:paraId="34856BEE">
            <w:pPr>
              <w:pStyle w:val="66"/>
              <w:keepNext w:val="0"/>
              <w:keepLines w:val="0"/>
              <w:pageBreakBefore w:val="0"/>
              <w:widowControl w:val="0"/>
              <w:numPr>
                <w:ilvl w:val="0"/>
                <w:numId w:val="5"/>
              </w:numPr>
              <w:kinsoku/>
              <w:wordWrap/>
              <w:overflowPunct/>
              <w:topLinePunct w:val="0"/>
              <w:autoSpaceDE/>
              <w:autoSpaceDN/>
              <w:bidi w:val="0"/>
              <w:adjustRightInd/>
              <w:snapToGrid/>
              <w:spacing w:line="360" w:lineRule="auto"/>
              <w:ind w:left="105" w:leftChars="50" w:right="105" w:rightChars="50" w:firstLine="0" w:firstLineChars="0"/>
              <w:jc w:val="center"/>
              <w:textAlignment w:val="auto"/>
              <w:rPr>
                <w:rFonts w:hint="eastAsia" w:ascii="宋体" w:hAnsi="宋体" w:eastAsia="宋体" w:cs="宋体"/>
                <w:color w:val="auto"/>
                <w:szCs w:val="21"/>
                <w:highlight w:val="none"/>
                <w:lang w:eastAsia="zh-CN"/>
              </w:rPr>
            </w:pPr>
          </w:p>
        </w:tc>
        <w:tc>
          <w:tcPr>
            <w:tcW w:w="928" w:type="pct"/>
            <w:vAlign w:val="center"/>
          </w:tcPr>
          <w:p w14:paraId="038709BB">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是否允许进口产品</w:t>
            </w:r>
          </w:p>
        </w:tc>
        <w:tc>
          <w:tcPr>
            <w:tcW w:w="3719" w:type="pct"/>
            <w:vAlign w:val="center"/>
          </w:tcPr>
          <w:p w14:paraId="5C8AFD1C">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□是 / ■否</w:t>
            </w:r>
          </w:p>
        </w:tc>
      </w:tr>
      <w:tr w14:paraId="53875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1" w:type="pct"/>
            <w:vAlign w:val="center"/>
          </w:tcPr>
          <w:p w14:paraId="169859EA">
            <w:pPr>
              <w:pStyle w:val="66"/>
              <w:keepNext w:val="0"/>
              <w:keepLines w:val="0"/>
              <w:pageBreakBefore w:val="0"/>
              <w:widowControl w:val="0"/>
              <w:numPr>
                <w:ilvl w:val="0"/>
                <w:numId w:val="5"/>
              </w:numPr>
              <w:kinsoku/>
              <w:wordWrap/>
              <w:overflowPunct/>
              <w:topLinePunct w:val="0"/>
              <w:autoSpaceDE/>
              <w:autoSpaceDN/>
              <w:bidi w:val="0"/>
              <w:adjustRightInd/>
              <w:snapToGrid/>
              <w:spacing w:line="360" w:lineRule="auto"/>
              <w:ind w:left="105" w:leftChars="50" w:right="105" w:rightChars="50" w:firstLine="0" w:firstLineChars="0"/>
              <w:jc w:val="center"/>
              <w:textAlignment w:val="auto"/>
              <w:rPr>
                <w:rFonts w:hint="eastAsia" w:ascii="宋体" w:hAnsi="宋体" w:eastAsia="宋体" w:cs="宋体"/>
                <w:color w:val="auto"/>
                <w:szCs w:val="21"/>
                <w:highlight w:val="none"/>
                <w:lang w:eastAsia="zh-CN"/>
              </w:rPr>
            </w:pPr>
          </w:p>
        </w:tc>
        <w:tc>
          <w:tcPr>
            <w:tcW w:w="928" w:type="pct"/>
            <w:vAlign w:val="center"/>
          </w:tcPr>
          <w:p w14:paraId="7B2489CA">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合同分包</w:t>
            </w:r>
          </w:p>
        </w:tc>
        <w:tc>
          <w:tcPr>
            <w:tcW w:w="3719" w:type="pct"/>
            <w:vAlign w:val="center"/>
          </w:tcPr>
          <w:p w14:paraId="7E6218A5">
            <w:pPr>
              <w:pStyle w:val="27"/>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本项目的非主体、非关键性工作是否允许分包： </w:t>
            </w:r>
          </w:p>
          <w:p w14:paraId="6D5E7CD4">
            <w:pPr>
              <w:pStyle w:val="27"/>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■不允许</w:t>
            </w:r>
          </w:p>
          <w:p w14:paraId="6590DF36">
            <w:pPr>
              <w:pStyle w:val="27"/>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□允许，具体要求：</w:t>
            </w:r>
          </w:p>
          <w:p w14:paraId="42E0631D">
            <w:pPr>
              <w:pStyle w:val="27"/>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（1）可以分包履行的具体内容：_____；</w:t>
            </w:r>
          </w:p>
          <w:p w14:paraId="2614EC96">
            <w:pPr>
              <w:pStyle w:val="27"/>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（2）允许分包的金额或者比例：_____；</w:t>
            </w:r>
          </w:p>
          <w:p w14:paraId="5FF84AE0">
            <w:pPr>
              <w:pStyle w:val="27"/>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（3）分包供应商必须具备的资质：_____；</w:t>
            </w:r>
          </w:p>
          <w:p w14:paraId="73947F39">
            <w:pPr>
              <w:pStyle w:val="27"/>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firstLine="0" w:firstLineChars="0"/>
              <w:textAlignment w:val="auto"/>
              <w:rPr>
                <w:rFonts w:hint="eastAsia" w:ascii="宋体" w:hAnsi="宋体" w:eastAsia="宋体" w:cs="宋体"/>
                <w:color w:val="auto"/>
                <w:szCs w:val="21"/>
                <w:highlight w:val="none"/>
                <w:u w:val="single"/>
              </w:rPr>
            </w:pPr>
            <w:r>
              <w:rPr>
                <w:rFonts w:hint="eastAsia" w:ascii="宋体" w:hAnsi="宋体" w:eastAsia="宋体" w:cs="宋体"/>
                <w:color w:val="auto"/>
                <w:sz w:val="21"/>
                <w:szCs w:val="21"/>
                <w:highlight w:val="none"/>
              </w:rPr>
              <w:t>（4）其他要求：_____。</w:t>
            </w:r>
          </w:p>
        </w:tc>
      </w:tr>
      <w:tr w14:paraId="18D15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351" w:type="pct"/>
            <w:vAlign w:val="center"/>
          </w:tcPr>
          <w:p w14:paraId="2AE38B01">
            <w:pPr>
              <w:pStyle w:val="66"/>
              <w:keepNext w:val="0"/>
              <w:keepLines w:val="0"/>
              <w:pageBreakBefore w:val="0"/>
              <w:widowControl w:val="0"/>
              <w:numPr>
                <w:ilvl w:val="0"/>
                <w:numId w:val="5"/>
              </w:numPr>
              <w:kinsoku/>
              <w:wordWrap/>
              <w:overflowPunct/>
              <w:topLinePunct w:val="0"/>
              <w:autoSpaceDE/>
              <w:autoSpaceDN/>
              <w:bidi w:val="0"/>
              <w:adjustRightInd/>
              <w:snapToGrid/>
              <w:spacing w:line="360" w:lineRule="auto"/>
              <w:ind w:left="105" w:leftChars="50" w:right="105" w:rightChars="50" w:firstLine="0" w:firstLineChars="0"/>
              <w:jc w:val="center"/>
              <w:textAlignment w:val="auto"/>
              <w:rPr>
                <w:rFonts w:hint="eastAsia" w:ascii="宋体" w:hAnsi="宋体" w:eastAsia="宋体" w:cs="宋体"/>
                <w:color w:val="auto"/>
                <w:szCs w:val="21"/>
                <w:highlight w:val="none"/>
                <w:lang w:eastAsia="zh-CN"/>
              </w:rPr>
            </w:pPr>
            <w:bookmarkStart w:id="74" w:name="_Toc103461611"/>
            <w:bookmarkStart w:id="75" w:name="_Toc103462397"/>
            <w:bookmarkStart w:id="76" w:name="_Toc103462371"/>
            <w:bookmarkStart w:id="77" w:name="_Toc103461382"/>
          </w:p>
        </w:tc>
        <w:tc>
          <w:tcPr>
            <w:tcW w:w="928" w:type="pct"/>
            <w:vAlign w:val="center"/>
          </w:tcPr>
          <w:p w14:paraId="677D4640">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总公司与分公司投标注意事项</w:t>
            </w:r>
          </w:p>
        </w:tc>
        <w:tc>
          <w:tcPr>
            <w:tcW w:w="3719" w:type="pct"/>
            <w:vAlign w:val="center"/>
          </w:tcPr>
          <w:p w14:paraId="794B1E13">
            <w:pPr>
              <w:pStyle w:val="27"/>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资格要求中所指“其他组织”不包括法人的分支机构，由于法人分支机构不能独立承担民事责任，不能以分支机构的身份参加政府采购，只能以法人身份参加。但由于银行、保险、石油石化、电力、电信、邮政、铁路等行业具有其特殊性，如果能够提供其法人给予的相应授权证明材料，可以参加政府采购活动。</w:t>
            </w:r>
          </w:p>
          <w:p w14:paraId="18344B12">
            <w:pPr>
              <w:pStyle w:val="27"/>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2.上述特殊行业的分支机构参与投标时，其总公司的资质、业绩、设备和人员证明等将予以认可，视为投标人提供的证明材料。</w:t>
            </w:r>
          </w:p>
          <w:p w14:paraId="22170B54">
            <w:pPr>
              <w:pStyle w:val="27"/>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3.上述特殊行业的分支机构参与投标时，其同一总公司下的其他分支机构的资质、业绩、设备和人员证明等也将予以认可，视为投标人提供的证明材料。</w:t>
            </w:r>
          </w:p>
          <w:p w14:paraId="53744ED4">
            <w:pPr>
              <w:pStyle w:val="27"/>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4.总公司参与投标时，可以使用分公司的资质、业绩、设备和人员证明等参与政府采购活动。</w:t>
            </w:r>
          </w:p>
        </w:tc>
      </w:tr>
    </w:tbl>
    <w:p w14:paraId="4BCC7403">
      <w:pPr>
        <w:keepNext w:val="0"/>
        <w:keepLines w:val="0"/>
        <w:pageBreakBefore w:val="0"/>
        <w:widowControl/>
        <w:kinsoku/>
        <w:overflowPunct/>
        <w:topLinePunct w:val="0"/>
        <w:autoSpaceDE/>
        <w:autoSpaceDN/>
        <w:bidi w:val="0"/>
        <w:spacing w:line="360" w:lineRule="auto"/>
        <w:rPr>
          <w:rFonts w:hint="eastAsia" w:ascii="宋体" w:hAnsi="宋体" w:eastAsia="宋体" w:cs="宋体"/>
          <w:b/>
          <w:bCs/>
          <w:color w:val="auto"/>
          <w:szCs w:val="21"/>
          <w:highlight w:val="none"/>
          <w:lang w:eastAsia="zh-CN"/>
        </w:rPr>
      </w:pPr>
    </w:p>
    <w:p w14:paraId="233FE8B0">
      <w:pPr>
        <w:pStyle w:val="27"/>
        <w:keepNext w:val="0"/>
        <w:keepLines w:val="0"/>
        <w:pageBreakBefore w:val="0"/>
        <w:kinsoku/>
        <w:overflowPunct/>
        <w:topLinePunct w:val="0"/>
        <w:autoSpaceDE/>
        <w:autoSpaceDN/>
        <w:bidi w:val="0"/>
        <w:spacing w:line="360" w:lineRule="auto"/>
        <w:ind w:firstLine="0" w:firstLineChars="0"/>
        <w:outlineLvl w:val="1"/>
        <w:rPr>
          <w:rFonts w:hint="eastAsia" w:ascii="宋体" w:hAnsi="宋体" w:eastAsia="宋体" w:cs="宋体"/>
          <w:b/>
          <w:bCs/>
          <w:color w:val="auto"/>
          <w:sz w:val="21"/>
          <w:szCs w:val="21"/>
          <w:highlight w:val="none"/>
        </w:rPr>
      </w:pPr>
      <w:bookmarkStart w:id="78" w:name="_Toc104131895"/>
      <w:bookmarkStart w:id="79" w:name="_Toc9376"/>
      <w:r>
        <w:rPr>
          <w:rFonts w:hint="eastAsia" w:ascii="宋体" w:hAnsi="宋体" w:eastAsia="宋体" w:cs="宋体"/>
          <w:b/>
          <w:bCs/>
          <w:color w:val="auto"/>
          <w:sz w:val="21"/>
          <w:szCs w:val="21"/>
          <w:highlight w:val="none"/>
        </w:rPr>
        <w:t>三、说明</w:t>
      </w:r>
      <w:bookmarkEnd w:id="74"/>
      <w:bookmarkEnd w:id="75"/>
      <w:bookmarkEnd w:id="76"/>
      <w:bookmarkEnd w:id="77"/>
      <w:bookmarkEnd w:id="78"/>
      <w:bookmarkEnd w:id="79"/>
    </w:p>
    <w:p w14:paraId="44421F99">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1.总则</w:t>
      </w:r>
    </w:p>
    <w:p w14:paraId="3795219C">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采购人、采购代理机构及投标人进行的本次采购活动适用《中华人民共和国政府采购法》及其配套的法规、规章、政策。</w:t>
      </w:r>
    </w:p>
    <w:p w14:paraId="464CEF10">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投标人应仔细阅读本项目招标公告及招标文件的所有内容（包括变更、补充、澄清以及修改等，且均为招标文件的组成部分），按照招标文件要求以及格式编制投标文件，并保证其真实性，否则一切后果自负。</w:t>
      </w:r>
    </w:p>
    <w:p w14:paraId="017012A1">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本次公开招标项目，是以招标公告的方式邀请非特定的投标人参加投标。</w:t>
      </w:r>
    </w:p>
    <w:p w14:paraId="0D90E8F7">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2.适用范围</w:t>
      </w:r>
    </w:p>
    <w:p w14:paraId="58F0A458">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本招标文件仅适用于本次招标公告中所涉及的项目和内容。</w:t>
      </w:r>
    </w:p>
    <w:p w14:paraId="40B60ADA">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.进口产品</w:t>
      </w:r>
    </w:p>
    <w:p w14:paraId="34F89A1E">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bookmarkStart w:id="80" w:name="_Hlk172377601"/>
      <w:r>
        <w:rPr>
          <w:rFonts w:hint="eastAsia" w:ascii="宋体" w:hAnsi="宋体" w:eastAsia="宋体" w:cs="宋体"/>
          <w:color w:val="auto"/>
          <w:sz w:val="21"/>
          <w:szCs w:val="21"/>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bookmarkEnd w:id="80"/>
    <w:p w14:paraId="6A443DAF">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若本项目允许采购进口产品，供应商应保证所投产品可履行合法报通关手续进入中国关境内。</w:t>
      </w:r>
    </w:p>
    <w:p w14:paraId="66370BB1">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若本项目不允许采购进口产品，如供应商所投产品为进口产品，</w:t>
      </w:r>
      <w:bookmarkStart w:id="81" w:name="_Hlk172377613"/>
      <w:r>
        <w:rPr>
          <w:rFonts w:hint="eastAsia" w:ascii="宋体" w:hAnsi="宋体" w:eastAsia="宋体" w:cs="宋体"/>
          <w:color w:val="auto"/>
          <w:sz w:val="21"/>
          <w:szCs w:val="21"/>
          <w:highlight w:val="none"/>
        </w:rPr>
        <w:t>其投标将被认定为投标无效</w:t>
      </w:r>
      <w:bookmarkEnd w:id="81"/>
      <w:r>
        <w:rPr>
          <w:rFonts w:hint="eastAsia" w:ascii="宋体" w:hAnsi="宋体" w:eastAsia="宋体" w:cs="宋体"/>
          <w:color w:val="auto"/>
          <w:sz w:val="21"/>
          <w:szCs w:val="21"/>
          <w:highlight w:val="none"/>
        </w:rPr>
        <w:t>。</w:t>
      </w:r>
    </w:p>
    <w:p w14:paraId="231F7D46">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.投标的费用</w:t>
      </w:r>
    </w:p>
    <w:p w14:paraId="51143AFD">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不论投标结果如何，投标人应承担所有与准备和参加投标有关的费用。采购代理机构和采购人均无义务和责任承担相关费用。</w:t>
      </w:r>
    </w:p>
    <w:p w14:paraId="6D5CF0D0">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.以联合体形式投标的，应符合以下规定：</w:t>
      </w:r>
    </w:p>
    <w:p w14:paraId="292E22C9">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.1联合体各方均应当满足《中华人民共和国政府采购法》第二十二条规定的条件，并在投标文件中提供联合体各方的相关证明材料。</w:t>
      </w:r>
    </w:p>
    <w:p w14:paraId="4E2D5607">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2联合体各方之间应签订共同投标协议书并在投标文件中提交，明确约定联合体各方承担的工作和相应的责任。联合体各方签订共同投标协议书后，不得再以自己名义单独在同一项目（采购包）中投标，也不得组成新的联合体参加同一项目（采购包）投标，若违反规定则其参与的所有投标将视为无效投标。</w:t>
      </w:r>
    </w:p>
    <w:p w14:paraId="6FDF2D65">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.3联合体名称需与联合体共同投标协议书签署方一致。对于需交投标保证金的，以牵头方名义缴纳。</w:t>
      </w:r>
    </w:p>
    <w:p w14:paraId="4891DDB0">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.4联合体成员存在不良信用记录的，视同联合体存在不良信用记录。</w:t>
      </w:r>
    </w:p>
    <w:p w14:paraId="6A6424F8">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5联合体各方均应满足《中华人民共和国政府采购法》第二十二条规定的条件。根据《中华人民共和国政府采购法实施条例》第二十二条，联合体中有同类资质的供应商按照联合体分工承担相同工作的，应当按照资质等级较低的供应商确定资质等级。</w:t>
      </w:r>
    </w:p>
    <w:p w14:paraId="47BE0166">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.6联合体各方应当共同与采购人签订采购合同，就合同约定的事项对采购人承担连带责任。</w:t>
      </w:r>
    </w:p>
    <w:p w14:paraId="315B3C9C">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.7大中型企业、其他自然人、法人或者非法人组织与小型、微型企业组成联合体共同参加投标，共同投标协议中应写明小型、微型企业的协议合同金额占到共同投标协议投标总金额的比例。</w:t>
      </w:r>
    </w:p>
    <w:p w14:paraId="3D1B5AE4">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.关联企业投标说明</w:t>
      </w:r>
    </w:p>
    <w:p w14:paraId="5B16B398">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.1对于不接受联合体投标的采购项目（采购包）：法定代表人或单位负责人为同一个人或者存在直接控股、管理关系的不同供应商，不得同时参加同一项目或同一采购包的投标。如同时参加，则其投标将被拒绝。</w:t>
      </w:r>
    </w:p>
    <w:p w14:paraId="1DA3BCE8">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2对于接受联合体投标的采购项目（采购包）：除联合体外，法定代表人或单位负责人为同一个人或者存在直接控股、管理关系的不同供应商，不得同时参加同一项目或同一采购包的投标。如同时参加，则评审时将同时被拒绝。</w:t>
      </w:r>
    </w:p>
    <w:p w14:paraId="68C50CB0">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7</w:t>
      </w:r>
      <w:r>
        <w:rPr>
          <w:rFonts w:hint="eastAsia" w:ascii="宋体" w:hAnsi="宋体" w:eastAsia="宋体" w:cs="宋体"/>
          <w:b/>
          <w:bCs/>
          <w:color w:val="auto"/>
          <w:sz w:val="21"/>
          <w:szCs w:val="21"/>
          <w:highlight w:val="none"/>
        </w:rPr>
        <w:t>.关于中小微企业投标</w:t>
      </w:r>
    </w:p>
    <w:p w14:paraId="175E815C">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小微企业响应是指在政府采购活动中，供应商提供的货物均由中小微企业制造、工程均由中小微企业承建或者服务均由中小微企业承接，并在响应文件中提供《中小企业声明函》。本条款所称中小微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 中小企业划分见《关于印发中小企业划型标准规定的通知》（工信部联企业〔2011〕300号) 和《金融业企业划型标准规定》（银发〔2015〕309号）。</w:t>
      </w:r>
    </w:p>
    <w:p w14:paraId="134DBB7F">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2862F702">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根据财库〔2017〕141号《财政部 民政部  中国残疾人联合会关于促进残疾人就业政府采购政策的通知》，在政府采购活动中，残疾人福利性单位视同小型、微型企业，享受政府采购支持政策的残疾人福利性单位应当同时满足《财政部 民政部 中国残疾人联合会关于促进残疾人就业政府采购政策的通知》所列条件</w:t>
      </w:r>
      <w:bookmarkStart w:id="82" w:name="_Hlk172147774"/>
      <w:r>
        <w:rPr>
          <w:rFonts w:hint="eastAsia" w:ascii="宋体" w:hAnsi="宋体" w:eastAsia="宋体" w:cs="宋体"/>
          <w:color w:val="auto"/>
          <w:sz w:val="21"/>
          <w:szCs w:val="21"/>
          <w:highlight w:val="none"/>
        </w:rPr>
        <w:t>：</w:t>
      </w:r>
    </w:p>
    <w:p w14:paraId="6ED6E02B">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（1）安置的残疾人占本单位在职职工人数的比例不低于25%（含25%），并且安置的残疾人人数不少于10 人（含10 人）；</w:t>
      </w:r>
    </w:p>
    <w:p w14:paraId="63309CC6">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（2）依法与安置的每位残疾人签订了一年以上（含一年）的劳动合同或服务协议；</w:t>
      </w:r>
    </w:p>
    <w:p w14:paraId="1964AE5B">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（3）为安置的每位残疾人按月足额缴纳了基本养老保险、基本医疗保险、失业保险、工伤保险和生育保险等社会保险费；</w:t>
      </w:r>
    </w:p>
    <w:p w14:paraId="7DC5B1C8">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（4）通过银行等金融机构向安置的每位残疾人，按月支付了不低于单位所在区县适用的经省级人民政府批准的月最低工资标准的工资；</w:t>
      </w:r>
    </w:p>
    <w:p w14:paraId="34FA4722">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（5）提供本单位制造的货物、承担的工程或者服务（以下简称产品），或者提供其他残疾人福利性单位制造的货物（不包括使用非残疾人福利性单位注册商标的货物）。</w:t>
      </w:r>
    </w:p>
    <w:p w14:paraId="596DB164">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7EB35556">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残疾人福利性单位属于小型、微型企业的，不重复享受政策。符合条件的残疾人福利性单位在参加政府采购活动时，应当提供《残疾人福利性单位声明函》，并对声明的真实性负责。</w:t>
      </w:r>
    </w:p>
    <w:bookmarkEnd w:id="82"/>
    <w:p w14:paraId="0A386DBF">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8</w:t>
      </w:r>
      <w:r>
        <w:rPr>
          <w:rFonts w:hint="eastAsia" w:ascii="宋体" w:hAnsi="宋体" w:eastAsia="宋体" w:cs="宋体"/>
          <w:b/>
          <w:bCs/>
          <w:color w:val="auto"/>
          <w:sz w:val="21"/>
          <w:szCs w:val="21"/>
          <w:highlight w:val="none"/>
        </w:rPr>
        <w:t>.纪律与保密事项</w:t>
      </w:r>
    </w:p>
    <w:p w14:paraId="6743DB9F">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.1投标人不得相互串通投标报价，不得妨碍其他投标人的公平竞争，不得损害采购人或其他投标人的合法权益，投标人不得以向采购人、评标委员会成员行贿或者采取其他不正当手段谋取中标。</w:t>
      </w:r>
    </w:p>
    <w:p w14:paraId="6AADBFBA">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.2在确定中标供应商之前，投标人不得与采购人就投标价格、投标方案等实质性内容进行谈判，也不得私下接触评标委员会成员。</w:t>
      </w:r>
    </w:p>
    <w:p w14:paraId="0C5A92A8">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.3在确定中标供应商之前，投标人试图在投标文件审查、澄清、比较和评价时对评标委员会、采购人和采购代理机构施加任何影响都可能导致其投标无效。</w:t>
      </w:r>
    </w:p>
    <w:p w14:paraId="206E82F2">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.4获得本招标文件者，须履行本项目下保密义务，不得将因本次项目获得的信息向第三人外传，不得将招标文件用作本次投标以外的任何用途。</w:t>
      </w:r>
    </w:p>
    <w:p w14:paraId="62DC337E">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5由采购人向投标人提供的图纸、详细资料、样品、模型、模件和所有其它资料，均为保密资料，仅被用于它所规定的用途。除非得到采购人的同意，不能向任何第三方透露。开标结束后，应采购人要求，投标人应归还所有从采购人处获得的保密资料。</w:t>
      </w:r>
    </w:p>
    <w:p w14:paraId="7251EEFA">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.6采购人或采购代理机构有权将供应商提供的所有资料向有关政府部门或评审小组披露。</w:t>
      </w:r>
    </w:p>
    <w:p w14:paraId="53D58848">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7在采购人或采购代理机构认为适当时、国家机关调查、审查、审计时以及其他符合法律规定的情形下，采购人或采购代理机构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14:paraId="50F4C69B">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.语言文字以及度量衡单位</w:t>
      </w:r>
    </w:p>
    <w:p w14:paraId="70B9FC10">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1除招标文件另有规定外，投标文件应使用中文文本，若有不同文本，以中文文本为准。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37021818">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.2除非招标文件的技术规格中另有规定，投标人在投标文件中及其与采购人和采购代理机构的所有往来文件中的计量单位均应采用中华人民共和国法定计量单位。</w:t>
      </w:r>
    </w:p>
    <w:p w14:paraId="4ACDAAFD">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.3投标人所提供的货物和服务均应以人民币报价，货币单位：元。</w:t>
      </w:r>
    </w:p>
    <w:p w14:paraId="285BE480">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0</w:t>
      </w:r>
      <w:r>
        <w:rPr>
          <w:rFonts w:hint="eastAsia" w:ascii="宋体" w:hAnsi="宋体" w:eastAsia="宋体" w:cs="宋体"/>
          <w:b/>
          <w:bCs/>
          <w:color w:val="auto"/>
          <w:sz w:val="21"/>
          <w:szCs w:val="21"/>
          <w:highlight w:val="none"/>
        </w:rPr>
        <w:t>.现场踏勘（如有）</w:t>
      </w:r>
    </w:p>
    <w:p w14:paraId="4A06C930">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.1招标文件规定组织踏勘现场的，采购人按招标文件规定的时间、地点组织投标人踏勘项目现场。</w:t>
      </w:r>
    </w:p>
    <w:p w14:paraId="67C8AE36">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.2投标人自行承担踏勘现场发生的责任、风险和自身费用。</w:t>
      </w:r>
    </w:p>
    <w:p w14:paraId="2B007E03">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.3采购人在踏勘现场中介绍的资料和数据等，只是为了使投标人能够利用招标人现有的资料。招标人对投标人由此而作出的推论、解释和结论概不负责。</w:t>
      </w:r>
    </w:p>
    <w:p w14:paraId="4C4A40A3">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bookmarkStart w:id="83" w:name="_Hlk172147848"/>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.转包与分包</w:t>
      </w:r>
    </w:p>
    <w:p w14:paraId="41D1BA63">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.1本项目不允许转包。</w:t>
      </w:r>
    </w:p>
    <w:p w14:paraId="70522D0F">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2本项目是否允许分包详见“须知前附表”，本项目不允许违法分包。允许分包的非主体、非关键性工作，根据法律法规规定承担该工作需要行政许可的，如该工作由投标人自行承担，投标人应具备相应的行政许可，如投标人不具备相应的行政许可必须采用分包的方式，但分包投标人应具备相应行政许可。</w:t>
      </w:r>
    </w:p>
    <w:p w14:paraId="17EA6B03">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.3投标人根据招标文件的规定和采购项目的实际情况，拟在中标后将中标项目的非主体、非关键性工作分包的，应当在投标文件中载明分包承担主体，分包承担主体应当具备相应资质条件且不得再次分包。</w:t>
      </w:r>
    </w:p>
    <w:p w14:paraId="55E36C8F">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.4享受中小企业扶持政策获得政府采购合同的，小微企业不得将合同分包给大中型企业，中型企业不得将合同分包给大型企业。</w:t>
      </w:r>
    </w:p>
    <w:p w14:paraId="3ED0DFFE">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.5投标人应在签订政府采购合同前向采购人提供分包合同，否则，采购人有权拒绝签订采购合同。</w:t>
      </w:r>
    </w:p>
    <w:bookmarkEnd w:id="83"/>
    <w:p w14:paraId="4AC97E5F">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p>
    <w:p w14:paraId="18A20764">
      <w:pPr>
        <w:pStyle w:val="27"/>
        <w:keepNext w:val="0"/>
        <w:keepLines w:val="0"/>
        <w:pageBreakBefore w:val="0"/>
        <w:kinsoku/>
        <w:overflowPunct/>
        <w:topLinePunct w:val="0"/>
        <w:autoSpaceDE/>
        <w:autoSpaceDN/>
        <w:bidi w:val="0"/>
        <w:spacing w:line="360" w:lineRule="auto"/>
        <w:ind w:firstLine="0" w:firstLineChars="0"/>
        <w:outlineLvl w:val="1"/>
        <w:rPr>
          <w:rFonts w:hint="eastAsia" w:ascii="宋体" w:hAnsi="宋体" w:eastAsia="宋体" w:cs="宋体"/>
          <w:b/>
          <w:bCs/>
          <w:color w:val="auto"/>
          <w:sz w:val="21"/>
          <w:szCs w:val="21"/>
          <w:highlight w:val="none"/>
        </w:rPr>
      </w:pPr>
      <w:bookmarkStart w:id="84" w:name="_Toc103461383"/>
      <w:bookmarkStart w:id="85" w:name="_Toc7644"/>
      <w:bookmarkStart w:id="86" w:name="_Toc104131896"/>
      <w:bookmarkStart w:id="87" w:name="_Toc103461612"/>
      <w:bookmarkStart w:id="88" w:name="_Toc103462372"/>
      <w:bookmarkStart w:id="89" w:name="_Toc103462398"/>
      <w:r>
        <w:rPr>
          <w:rFonts w:hint="eastAsia" w:ascii="宋体" w:hAnsi="宋体" w:eastAsia="宋体" w:cs="宋体"/>
          <w:b/>
          <w:bCs/>
          <w:color w:val="auto"/>
          <w:sz w:val="21"/>
          <w:szCs w:val="21"/>
          <w:highlight w:val="none"/>
        </w:rPr>
        <w:t>四、招标文件的澄清和修改</w:t>
      </w:r>
      <w:bookmarkEnd w:id="84"/>
      <w:bookmarkEnd w:id="85"/>
      <w:bookmarkEnd w:id="86"/>
      <w:bookmarkEnd w:id="87"/>
      <w:bookmarkEnd w:id="88"/>
      <w:bookmarkEnd w:id="89"/>
    </w:p>
    <w:p w14:paraId="2B4EBAB3">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采购代理机构对招标文件进行必要的澄清或者修改的，在指定媒体上发布更正公告。澄清或者修改的内容可能影响投标文件编制的，更正公告在投标截止时间至少15日前发出；不足15日的，代理机构顺延提交投标文件截止时间。</w:t>
      </w:r>
    </w:p>
    <w:p w14:paraId="187A866A">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更正公告及其所发布的内容或信息（包括但不限于：招标文件的澄清或修改、现场考察或答疑会的有关事宜等）作为招标文件的组成部分，对投标人具有约束力。一经在指定媒体上发布后，更正公告将作为通知所有招标文件收受人的书面形式。</w:t>
      </w:r>
    </w:p>
    <w:p w14:paraId="6CC51C9C">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3.如更正公告有重新发布招标文件的，供应商应重新获取最新发布的招标文件制作投标文件。</w:t>
      </w:r>
    </w:p>
    <w:p w14:paraId="61B11C1A">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4.投标人在规定的时间内未对招标文件提出疑问、质疑或要求澄清的，将视其为无异议。对招标文件中描述有歧义或前后不一致的地方，评标委员会有权进行评判，但对同一条款的评判应适用于每个投标人。</w:t>
      </w:r>
    </w:p>
    <w:p w14:paraId="2570A73E">
      <w:pPr>
        <w:keepNext w:val="0"/>
        <w:keepLines w:val="0"/>
        <w:pageBreakBefore w:val="0"/>
        <w:kinsoku/>
        <w:overflowPunct/>
        <w:topLinePunct w:val="0"/>
        <w:autoSpaceDE/>
        <w:autoSpaceDN/>
        <w:bidi w:val="0"/>
        <w:spacing w:line="360" w:lineRule="auto"/>
        <w:rPr>
          <w:rFonts w:hint="eastAsia" w:ascii="宋体" w:hAnsi="宋体" w:eastAsia="宋体" w:cs="宋体"/>
          <w:color w:val="auto"/>
          <w:szCs w:val="21"/>
          <w:highlight w:val="none"/>
          <w:lang w:eastAsia="zh-CN"/>
        </w:rPr>
      </w:pPr>
    </w:p>
    <w:p w14:paraId="3D390A4A">
      <w:pPr>
        <w:pStyle w:val="27"/>
        <w:keepNext w:val="0"/>
        <w:keepLines w:val="0"/>
        <w:pageBreakBefore w:val="0"/>
        <w:kinsoku/>
        <w:overflowPunct/>
        <w:topLinePunct w:val="0"/>
        <w:autoSpaceDE/>
        <w:autoSpaceDN/>
        <w:bidi w:val="0"/>
        <w:spacing w:line="360" w:lineRule="auto"/>
        <w:ind w:firstLine="0" w:firstLineChars="0"/>
        <w:outlineLvl w:val="1"/>
        <w:rPr>
          <w:rFonts w:hint="eastAsia" w:ascii="宋体" w:hAnsi="宋体" w:eastAsia="宋体" w:cs="宋体"/>
          <w:b/>
          <w:bCs/>
          <w:color w:val="auto"/>
          <w:sz w:val="21"/>
          <w:szCs w:val="21"/>
          <w:highlight w:val="none"/>
        </w:rPr>
      </w:pPr>
      <w:bookmarkStart w:id="90" w:name="_Toc27325"/>
      <w:bookmarkStart w:id="91" w:name="_Toc104131897"/>
      <w:bookmarkStart w:id="92" w:name="_Toc103462373"/>
      <w:bookmarkStart w:id="93" w:name="_Toc103461613"/>
      <w:bookmarkStart w:id="94" w:name="_Toc103461384"/>
      <w:bookmarkStart w:id="95" w:name="_Toc103462399"/>
      <w:r>
        <w:rPr>
          <w:rFonts w:hint="eastAsia" w:ascii="宋体" w:hAnsi="宋体" w:eastAsia="宋体" w:cs="宋体"/>
          <w:b/>
          <w:bCs/>
          <w:color w:val="auto"/>
          <w:sz w:val="21"/>
          <w:szCs w:val="21"/>
          <w:highlight w:val="none"/>
        </w:rPr>
        <w:t>五、投标要求</w:t>
      </w:r>
      <w:bookmarkEnd w:id="90"/>
      <w:bookmarkEnd w:id="91"/>
      <w:bookmarkEnd w:id="92"/>
      <w:bookmarkEnd w:id="93"/>
      <w:bookmarkEnd w:id="94"/>
      <w:bookmarkEnd w:id="95"/>
    </w:p>
    <w:p w14:paraId="59DA7054">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1.投标登记</w:t>
      </w:r>
    </w:p>
    <w:p w14:paraId="0409FB70">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供应商应按照本项目“第一章 投标邀请”中规定的“获取招标文件方式”去获取招标文件（未按上述方式获取招标文件的供应商，其投标资格将被视为无效）。</w:t>
      </w:r>
    </w:p>
    <w:p w14:paraId="787931F3">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2.投标文件的制作</w:t>
      </w:r>
    </w:p>
    <w:p w14:paraId="78845A6C">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2.1投标文件格式要求详见第六章说明。</w:t>
      </w:r>
    </w:p>
    <w:p w14:paraId="367D55D5">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2.2投标报价（如有报价）说明如下：</w:t>
      </w:r>
    </w:p>
    <w:p w14:paraId="28F99BD2">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应按照“第二章采购需求”的需求内容、责任范围以及合同条款进行报价。并按“开标一览表”和“分项报价表（如有）”规定的格式报出总价和分项价格。投标总价中不得包含招标文件要求以外的内容，否则，在评审时不予核减。</w:t>
      </w:r>
    </w:p>
    <w:p w14:paraId="6CD6DD50">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bookmarkStart w:id="96" w:name="_Hlk172148802"/>
      <w:r>
        <w:rPr>
          <w:rFonts w:hint="eastAsia" w:ascii="宋体" w:hAnsi="宋体" w:eastAsia="宋体" w:cs="宋体"/>
          <w:color w:val="auto"/>
          <w:sz w:val="21"/>
          <w:szCs w:val="21"/>
          <w:highlight w:val="none"/>
        </w:rPr>
        <w:t>（2）投标人的报价应包括为完成本项目所发生的一切费用和税费，招标人将不再支付报价以外的任何费用。投标人的报价应包括但不限于下列内容，《须知前附表》中有特殊规定的，从其规定。</w:t>
      </w:r>
    </w:p>
    <w:p w14:paraId="7DE4F12F">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按照招标文件要求完成本项目的全部相关服务费用；</w:t>
      </w:r>
    </w:p>
    <w:p w14:paraId="63B60A71">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②按照招标文件要求完成本项目的全部相关服务费用。</w:t>
      </w:r>
    </w:p>
    <w:p w14:paraId="3D23638D">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（3）投标人不能提供任何有选择性或可调整或附有条件的报价，否则其投标无效。</w:t>
      </w:r>
    </w:p>
    <w:bookmarkEnd w:id="96"/>
    <w:p w14:paraId="77FA4D89">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2.3如有对多个采购包投标的，要对每个采购包独立制作投标文件</w:t>
      </w:r>
      <w:bookmarkStart w:id="97" w:name="_Hlk103513187"/>
      <w:r>
        <w:rPr>
          <w:rFonts w:hint="eastAsia" w:ascii="宋体" w:hAnsi="宋体" w:eastAsia="宋体" w:cs="宋体"/>
          <w:color w:val="auto"/>
          <w:sz w:val="21"/>
          <w:szCs w:val="21"/>
          <w:highlight w:val="none"/>
        </w:rPr>
        <w:t>，或者分别制作通用册和专用册的投标文件，且需在投标文件中明示对应采购包情况。</w:t>
      </w:r>
      <w:bookmarkEnd w:id="97"/>
    </w:p>
    <w:p w14:paraId="55B40DE0">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2.4投标人不得将同一个项目或同一个采购包的内容拆开投标，</w:t>
      </w:r>
      <w:bookmarkStart w:id="98" w:name="_Hlk172148835"/>
      <w:r>
        <w:rPr>
          <w:rFonts w:hint="eastAsia" w:ascii="宋体" w:hAnsi="宋体" w:eastAsia="宋体" w:cs="宋体"/>
          <w:color w:val="auto"/>
          <w:sz w:val="21"/>
          <w:szCs w:val="21"/>
          <w:highlight w:val="none"/>
        </w:rPr>
        <w:t>否则其投标将被视为非实质性响应，并作无效投标处理。</w:t>
      </w:r>
      <w:bookmarkEnd w:id="98"/>
    </w:p>
    <w:p w14:paraId="59AE4A2D">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2.5投标人须对招标文件的对应要求给予唯一的实质性响应，否则将视为不响应。</w:t>
      </w:r>
    </w:p>
    <w:p w14:paraId="170C0B67">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2.6招标文件中，凡标有“★”的地方均为实质性响应条款，投标人若有一项带“★”的条款未响应或不满足，将按无效投标处理。</w:t>
      </w:r>
    </w:p>
    <w:p w14:paraId="112E63AE">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2.7投标人必须按招标文件指定的格式填写各种报价，各报价应计算正确。除在招标文件另有规定外（如：报折扣、报优惠率等），计量单位应使用中华人民共和国法定计量单位，以人民币填报所有报价。</w:t>
      </w:r>
    </w:p>
    <w:p w14:paraId="20220FC8">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2.8投标文件以及投标人与采购人、代理机构就有关投标的往来函电均应使用中文。投标人提交的支持性文件和印制的文件可以用另一种语言，但相应内容应翻译成中文，在解释投标文件时以中文文本为准。</w:t>
      </w:r>
    </w:p>
    <w:p w14:paraId="145D11E2">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投标人应按招标文件的规定及附件要求的内容和格式完整地填写和提供资料。投标人必须对投标文件所提供的全部资料的真实性承担法律责任，并无条件接受采购人和采购监督管理部门对其中任何资料进行核实（核对原件）的要求。采购人核对发现有不一致或供应商无正当理由不按时提供原件的，应当书面知会代理机构。</w:t>
      </w:r>
    </w:p>
    <w:p w14:paraId="41EAD21C">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bookmarkStart w:id="99" w:name="_Hlk172148845"/>
      <w:r>
        <w:rPr>
          <w:rFonts w:hint="eastAsia" w:ascii="宋体" w:hAnsi="宋体" w:eastAsia="宋体" w:cs="宋体"/>
          <w:color w:val="auto"/>
          <w:sz w:val="21"/>
          <w:szCs w:val="21"/>
          <w:highlight w:val="none"/>
        </w:rPr>
        <w:t>2.10投标人应按本招标文件规定的格式和顺序编制、装订投标文件并标注页码，投标文件内容不完整、编排混乱导致投标文件被误读、漏读或者查找不到相关内容的，由此引发的后果由投标人承担。</w:t>
      </w:r>
    </w:p>
    <w:p w14:paraId="32820419">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2.11投标文件的正本应用不褪色的材料书写或者打印，投标文件正本须按照招标文件明确的规定提供原件或复印件，副本可为正本签字、盖章后的复印件，当副本和正本不一致时，以正本为准。</w:t>
      </w:r>
    </w:p>
    <w:p w14:paraId="63FA1B33">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2.12投标文件须由投标人在规定位置盖公章并签字（具体以第六章投标文件格式与要求规定的为准） ，否则按无效投标处理。骑缝位置盖公章不视为在规定位置盖章。</w:t>
      </w:r>
    </w:p>
    <w:p w14:paraId="3B6379F3">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2.13投标文件中标注的投标人名称应与主体资格证明（如营业执照、事业单位法人证书、执业许可证、自然人身份证等）及公章一致，否则按无效投标处理。</w:t>
      </w:r>
    </w:p>
    <w:p w14:paraId="369B3332">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2.14投标文件应尽量避免涂改、行间插字或者删除。如果出现上述情况，改动之处应由投标人的法定代表人或者其委托代理人签字或者加盖公章。投标文件因字迹潦草或者表达不清所引起的后果由投标人承担。</w:t>
      </w:r>
    </w:p>
    <w:bookmarkEnd w:id="99"/>
    <w:p w14:paraId="07C18322">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3.投标文件的提交</w:t>
      </w:r>
    </w:p>
    <w:p w14:paraId="11ACCB03">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3.1在投标文件提交截止时间前，投标人须将投标文件提交至招标公告所示的提交投标文件地址。时间以北京时间为准，投标截止时间结束后，将不再接收投标文件。</w:t>
      </w:r>
    </w:p>
    <w:p w14:paraId="309491DA">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bookmarkStart w:id="100" w:name="_Hlk172148863"/>
      <w:r>
        <w:rPr>
          <w:rFonts w:hint="eastAsia" w:ascii="宋体" w:hAnsi="宋体" w:eastAsia="宋体" w:cs="宋体"/>
          <w:color w:val="auto"/>
          <w:sz w:val="21"/>
          <w:szCs w:val="21"/>
          <w:highlight w:val="none"/>
        </w:rPr>
        <w:t xml:space="preserve">3.2投标人须按照“须知前附表”规定的密封要求对投标文件进行密封包装，以保证自己的投标信息在开标前不被透露，否则代理机构应当拒收。 </w:t>
      </w:r>
    </w:p>
    <w:p w14:paraId="4E308AAA">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w:t>
      </w:r>
      <w:bookmarkEnd w:id="100"/>
      <w:r>
        <w:rPr>
          <w:rFonts w:hint="eastAsia" w:ascii="宋体" w:hAnsi="宋体" w:eastAsia="宋体" w:cs="宋体"/>
          <w:color w:val="auto"/>
          <w:sz w:val="21"/>
          <w:szCs w:val="21"/>
          <w:highlight w:val="none"/>
        </w:rPr>
        <w:t>代理机构对因不可抗力事件造成的投标文件的损坏、丢失的，不承担责任。</w:t>
      </w:r>
    </w:p>
    <w:p w14:paraId="67D55DBA">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4.投标文件的修改、撤回与撤销</w:t>
      </w:r>
    </w:p>
    <w:p w14:paraId="0E9A055E">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在提交投标文件截止时间前，投标人可以修改或撤回投标文件，并于提交投标文件截止时间前将修改后的投标文件送达至招标公告所示的提交投标文件地址，到达投标文件提交截止时间后，将不允许修改或撤回。</w:t>
      </w:r>
    </w:p>
    <w:p w14:paraId="34EFD0D6">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4.2在提交投标文件截止时间后，投标人不得补充、修改和更换投标文件。</w:t>
      </w:r>
    </w:p>
    <w:p w14:paraId="369CDE20">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bookmarkStart w:id="101" w:name="_Hlk172148872"/>
      <w:r>
        <w:rPr>
          <w:rFonts w:hint="eastAsia" w:ascii="宋体" w:hAnsi="宋体" w:eastAsia="宋体" w:cs="宋体"/>
          <w:color w:val="auto"/>
          <w:sz w:val="21"/>
          <w:szCs w:val="21"/>
          <w:highlight w:val="none"/>
        </w:rPr>
        <w:t>4.3投标截止时间后，投标人在投标有效期内撤销投标的，其撤销投标的行为无效。</w:t>
      </w:r>
    </w:p>
    <w:p w14:paraId="049AFA5F">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4.4除投标人不足3家未开标外，采购人和采购代理机构对所接收投标文件概不退回。</w:t>
      </w:r>
    </w:p>
    <w:bookmarkEnd w:id="101"/>
    <w:p w14:paraId="0EC2C446">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5.投标保证金</w:t>
      </w:r>
    </w:p>
    <w:p w14:paraId="4F80675A">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5.1投标保证金的缴纳</w:t>
      </w:r>
    </w:p>
    <w:p w14:paraId="7C83B8E9">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投标人在提交投标文件时，应按投标人须知前附表规定的金额和缴纳要求缴纳投标保证金，并作为其投标文件的组成部分。</w:t>
      </w:r>
    </w:p>
    <w:p w14:paraId="29231864">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bookmarkStart w:id="102" w:name="_Hlk172148880"/>
      <w:r>
        <w:rPr>
          <w:rFonts w:hint="eastAsia" w:ascii="宋体" w:hAnsi="宋体" w:eastAsia="宋体" w:cs="宋体"/>
          <w:color w:val="auto"/>
          <w:sz w:val="21"/>
          <w:szCs w:val="21"/>
          <w:highlight w:val="none"/>
        </w:rPr>
        <w:t>联合体投标的，可以由联合体中的一方或者共同提交投标保证金，以一方名义提交投标保证金的，对联合体各方均具有约束力。</w:t>
      </w:r>
    </w:p>
    <w:bookmarkEnd w:id="102"/>
    <w:p w14:paraId="067FE7BF">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采用转账、支票、本票、汇票形式提交的，投标保证金从投标人账户递交，由公诚管理咨询有限公司代收。具体操作要求详见公诚管理咨询有限公司有关指引，递交事宜请自行咨询公诚管理咨询有限公司；请各投标人在投标文件递交截止时间前按须知前附表规定的金额递交至公诚管理咨询有限公司，到账情况以开标时公诚管理咨询有限公司查询的信息为准。</w:t>
      </w:r>
    </w:p>
    <w:p w14:paraId="00684E52">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如采用金融机构、专业担保机构开具的投标担保函、投标保证保险函等形式提交投标保证金的，投标担保函或投标保证保险函须开具给采购人（保险受益人须为采购人），并与投标文件一同递交。</w:t>
      </w:r>
    </w:p>
    <w:p w14:paraId="6D0B9E41">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bookmarkStart w:id="103" w:name="_Hlk103514395"/>
      <w:r>
        <w:rPr>
          <w:rFonts w:hint="eastAsia" w:ascii="宋体" w:hAnsi="宋体" w:eastAsia="宋体" w:cs="宋体"/>
          <w:color w:val="auto"/>
          <w:sz w:val="21"/>
          <w:szCs w:val="20"/>
          <w:highlight w:val="none"/>
        </w:rPr>
        <w:t>供应商可登录“诚E招电子采购交易平台”（https://www.chengezhao.com/），申请办理电子保函，电子保函与纸质保函具有同样效力。</w:t>
      </w:r>
    </w:p>
    <w:bookmarkEnd w:id="103"/>
    <w:p w14:paraId="5FFE0BA9">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意事项：供应商通过线下方式缴纳保证金（转账、支票、汇票、本票、纸质保函）的，需准备缴纳凭证的扫描件作为核验凭证；通过电子保函形式缴纳保证金的，如遇开标或评标现场无法获取电子保函信息时，可提供电子保函打印件或购买凭证作为核验凭证。相关凭证应上传至“诚E招电子采购交易平台”归档保存。</w:t>
      </w:r>
    </w:p>
    <w:p w14:paraId="57CC19D4">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5.2投标保证金的退还：</w:t>
      </w:r>
    </w:p>
    <w:p w14:paraId="7199731C">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bookmarkStart w:id="104" w:name="_Hlk172148909"/>
      <w:r>
        <w:rPr>
          <w:rFonts w:hint="eastAsia" w:ascii="宋体" w:hAnsi="宋体" w:eastAsia="宋体" w:cs="宋体"/>
          <w:color w:val="auto"/>
          <w:sz w:val="21"/>
          <w:szCs w:val="21"/>
          <w:highlight w:val="none"/>
        </w:rPr>
        <w:t>（1）投标人在投标截止时间前撤回已提交的投标文件的，自收到投标人书面撤回通知之日起5个工作日内退还已收取的投标保证金。</w:t>
      </w:r>
    </w:p>
    <w:p w14:paraId="5C52A509">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（2）未中标的投标人投标保证金，自中标通知书发出之日起5个工作日内退还。</w:t>
      </w:r>
    </w:p>
    <w:p w14:paraId="76F33013">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（3）中标供应商的投标保证金，自政府采购合同签订之日起5个工作日内退还。</w:t>
      </w:r>
    </w:p>
    <w:p w14:paraId="1BECABE6">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（4）终止招标项目已经收取投标保证金的，自终止采购活动后5个工作日内退还已收取的投标保证金及其在银行产生的孳息。</w:t>
      </w:r>
    </w:p>
    <w:p w14:paraId="2E20ADCE">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（5）在满足退保条件的情况下，投标人应及时联系保证金收受单位办理退还投标保证金手续。</w:t>
      </w:r>
    </w:p>
    <w:p w14:paraId="125DDCE3">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备注：因投标人自身原因导致无法及时退还的，采购人或采购代理机构将不承担相应责任。</w:t>
      </w:r>
    </w:p>
    <w:bookmarkEnd w:id="104"/>
    <w:p w14:paraId="70B8FC6A">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5.3有下列情形之一的，投标保证金将不予退还：</w:t>
      </w:r>
    </w:p>
    <w:p w14:paraId="4DE82AD1">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（1）提供虚假材料谋取中标、成交的；</w:t>
      </w:r>
    </w:p>
    <w:p w14:paraId="6424CCA1">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（2）投标人在招标文件规定的投标有效期内撤销其投标；</w:t>
      </w:r>
    </w:p>
    <w:p w14:paraId="01A3D4B7">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（3）中标后，无正当理由放弃中标资格；</w:t>
      </w:r>
    </w:p>
    <w:p w14:paraId="7296BD7E">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（4）中标后，无正当理由不与采购人签订合同；</w:t>
      </w:r>
    </w:p>
    <w:p w14:paraId="5F5C6A83">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bookmarkStart w:id="105" w:name="_Hlk172149166"/>
      <w:r>
        <w:rPr>
          <w:rFonts w:hint="eastAsia" w:ascii="宋体" w:hAnsi="宋体" w:eastAsia="宋体" w:cs="宋体"/>
          <w:color w:val="auto"/>
          <w:sz w:val="21"/>
          <w:szCs w:val="21"/>
          <w:highlight w:val="none"/>
        </w:rPr>
        <w:t>（5）在签订合同时，向采购人提出附加条件的；</w:t>
      </w:r>
    </w:p>
    <w:p w14:paraId="397BBC9F">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（6）不按照招标文件要求提交履约保证金的；</w:t>
      </w:r>
    </w:p>
    <w:p w14:paraId="5AEEBE44">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（7）法律法规和招标文件规定的其他情形</w:t>
      </w:r>
      <w:bookmarkEnd w:id="105"/>
      <w:r>
        <w:rPr>
          <w:rFonts w:hint="eastAsia" w:ascii="宋体" w:hAnsi="宋体" w:eastAsia="宋体" w:cs="宋体"/>
          <w:color w:val="auto"/>
          <w:sz w:val="21"/>
          <w:szCs w:val="21"/>
          <w:highlight w:val="none"/>
        </w:rPr>
        <w:t>。</w:t>
      </w:r>
    </w:p>
    <w:p w14:paraId="37CE3BCB">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6.投标有效期</w:t>
      </w:r>
    </w:p>
    <w:p w14:paraId="52C86A1F">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6.1投标有效期内投标人撤销投标文件的，采购人或者采购代理机构可以不退还投标保证金（如有）。采用投标保函方式替代保证金的，采购人或者采购代理机构可以向担保机构索赔保证金。</w:t>
      </w:r>
    </w:p>
    <w:p w14:paraId="3E7D4B4D">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出现特殊情况需延长投标有效期的，采购人或采购代理机构可于投标有效期满之前要求投标人同意延长有效期，要求与答复均以书面形式通知所有投标人。投标人同意延长的，应相应延长其投标保证金（如有）的有效期，但不得要求或被允许修改或撤销其投标文件；投标人可以拒绝延长有效期，但其投标将会被视为无效，拒绝延长有效期的投标人有权收回其投标保证金（如有）。采用投标保函方式替代保证金的，投标有效期超出保函有效期的，采购人或者采购代理机构应提示投标人重新开函，未获得有效保函的投标人其投标将会被视为无效。</w:t>
      </w:r>
    </w:p>
    <w:p w14:paraId="0ED41D4D">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7.样品（演示）</w:t>
      </w:r>
    </w:p>
    <w:p w14:paraId="73FA62EA">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7.1招标文件规定投标人提交样品的，样品属于投标文件的组成部分。样品的生产、运输、安装、保全等一切费用由投标人自理。</w:t>
      </w:r>
    </w:p>
    <w:p w14:paraId="557F76A5">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7.2投标截止时间前，投标人应将样品送达至指定地点，按要求摆放并做好展示。若需要现场演示的，投标人应提前做好演示准备（包括演示设备）。</w:t>
      </w:r>
    </w:p>
    <w:p w14:paraId="397C6BB8">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采购结果公告发布后，中标供应商的样品由采购人封存，作为履约验收的依据之一。未中标供应商在接到采购代理机构通知后，应按规定时间尽快自行取回样品，否则视同供应商不再认领，代理机构有权进行处理。</w:t>
      </w:r>
    </w:p>
    <w:p w14:paraId="3BE03EF9">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bookmarkStart w:id="106" w:name="_Hlk172149274"/>
      <w:bookmarkStart w:id="107" w:name="_Hlk172149506"/>
      <w:r>
        <w:rPr>
          <w:rFonts w:hint="eastAsia" w:ascii="宋体" w:hAnsi="宋体" w:eastAsia="宋体" w:cs="宋体"/>
          <w:b/>
          <w:bCs/>
          <w:color w:val="auto"/>
          <w:sz w:val="21"/>
          <w:szCs w:val="21"/>
          <w:highlight w:val="none"/>
        </w:rPr>
        <w:t>8.商品包装和快递包装（如有）</w:t>
      </w:r>
    </w:p>
    <w:p w14:paraId="01453073">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中如涉及商品包装和快递包装的，其包装需求标准应不低于《关于印发〈商品包装政府采购需求标准（试行）〉、〈快递包装政府采购需求标准（试行）〉的通知》（财办库〔2020〕123号）规定的包装要求，其他包装需求详见招标文件具体规定。</w:t>
      </w:r>
    </w:p>
    <w:bookmarkEnd w:id="106"/>
    <w:p w14:paraId="797A04CF">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9.除招标文件另有规定外，有下列情形之一的，投标无效：</w:t>
      </w:r>
    </w:p>
    <w:p w14:paraId="619ED09D">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 未按招标文件的规定提交投标保证金的；</w:t>
      </w:r>
    </w:p>
    <w:p w14:paraId="7A9E7CDD">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 投标文件未按照招标文件要求签署、盖章；</w:t>
      </w:r>
    </w:p>
    <w:p w14:paraId="10985DBB">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9.3 不符合招标文件中规定的资格要求；</w:t>
      </w:r>
    </w:p>
    <w:p w14:paraId="64C95477">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9.4 投标报价超过招标文件中规定的预算金额或最高限价；</w:t>
      </w:r>
    </w:p>
    <w:p w14:paraId="5FBD0E6A">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9.5 评标委员会认为投标人的报价明显低于其他通过符合性审查投标人的报价，有可能影响履约的，且投标人未按照规定证明其报价合理性的；</w:t>
      </w:r>
    </w:p>
    <w:p w14:paraId="4E86C8AD">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9.6 投标文件含有采购人不能接受的附加条件；</w:t>
      </w:r>
    </w:p>
    <w:p w14:paraId="278754BA">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9.7 有关法律、法规和规章及招标文件规定的其他无效情形。</w:t>
      </w:r>
    </w:p>
    <w:bookmarkEnd w:id="107"/>
    <w:p w14:paraId="35DE88E9">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p>
    <w:p w14:paraId="649A667C">
      <w:pPr>
        <w:pStyle w:val="27"/>
        <w:keepNext w:val="0"/>
        <w:keepLines w:val="0"/>
        <w:pageBreakBefore w:val="0"/>
        <w:kinsoku/>
        <w:overflowPunct/>
        <w:topLinePunct w:val="0"/>
        <w:autoSpaceDE/>
        <w:autoSpaceDN/>
        <w:bidi w:val="0"/>
        <w:spacing w:line="360" w:lineRule="auto"/>
        <w:ind w:firstLine="0" w:firstLineChars="0"/>
        <w:outlineLvl w:val="1"/>
        <w:rPr>
          <w:rFonts w:hint="eastAsia" w:ascii="宋体" w:hAnsi="宋体" w:eastAsia="宋体" w:cs="宋体"/>
          <w:b/>
          <w:bCs/>
          <w:color w:val="auto"/>
          <w:sz w:val="21"/>
          <w:szCs w:val="21"/>
          <w:highlight w:val="none"/>
        </w:rPr>
      </w:pPr>
      <w:bookmarkStart w:id="108" w:name="_Toc103462374"/>
      <w:bookmarkStart w:id="109" w:name="_Toc8844"/>
      <w:bookmarkStart w:id="110" w:name="_Toc103462400"/>
      <w:bookmarkStart w:id="111" w:name="_Toc104131898"/>
      <w:bookmarkStart w:id="112" w:name="_Toc103461614"/>
      <w:bookmarkStart w:id="113" w:name="_Toc103461385"/>
      <w:r>
        <w:rPr>
          <w:rFonts w:hint="eastAsia" w:ascii="宋体" w:hAnsi="宋体" w:eastAsia="宋体" w:cs="宋体"/>
          <w:b/>
          <w:bCs/>
          <w:color w:val="auto"/>
          <w:sz w:val="21"/>
          <w:szCs w:val="21"/>
          <w:highlight w:val="none"/>
        </w:rPr>
        <w:t>六、开标、评标和定标</w:t>
      </w:r>
      <w:bookmarkEnd w:id="108"/>
      <w:bookmarkEnd w:id="109"/>
      <w:bookmarkEnd w:id="110"/>
      <w:bookmarkEnd w:id="111"/>
      <w:bookmarkEnd w:id="112"/>
      <w:bookmarkEnd w:id="113"/>
    </w:p>
    <w:p w14:paraId="26DD10EA">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1.开标</w:t>
      </w:r>
    </w:p>
    <w:p w14:paraId="5C392B04">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1.1开标程序</w:t>
      </w:r>
    </w:p>
    <w:p w14:paraId="7A3361D3">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招标工作人员按招标公告规定的时间进行开标，由采购人或者采购代理机构工作人员宣布投标人名称，投标价格和招标文件规定的需要宣布的其他内容（以开标一览表要求为准）。</w:t>
      </w:r>
    </w:p>
    <w:p w14:paraId="2C3870C2">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采用现场开标的：供应商的法定代表人或其委托代理人可以携带本人身份证等材料按照本采购公告载明的时间和地点前往参加现场开标会议，也可以不参加现场开标会议。</w:t>
      </w:r>
    </w:p>
    <w:p w14:paraId="16EB0BB3">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1.2开标异议</w:t>
      </w:r>
    </w:p>
    <w:p w14:paraId="5D1B38C3">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投标人代表对开标过程和开标记录有疑义，以及认为采购人、采购代理机构相关工作人员有需要回避的情形的，应当场提出询问或者回避申请。投标人未参加开标的，视同认可开标结果。</w:t>
      </w:r>
    </w:p>
    <w:p w14:paraId="74D631DF">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1.3投标截止时间后，投标人不足须知前附表中约定的有效供应商家数的，不得开标。同时，本次采购活动结束。</w:t>
      </w:r>
    </w:p>
    <w:p w14:paraId="280D775F">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2.评审（详见第四章）</w:t>
      </w:r>
    </w:p>
    <w:p w14:paraId="03895A48">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3.定标</w:t>
      </w:r>
    </w:p>
    <w:p w14:paraId="306BF00E">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3.1中标公告：</w:t>
      </w:r>
    </w:p>
    <w:p w14:paraId="0021012A">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中标供应商确定之日起2个工作日内，采购人或采购代理机构将在相关公告发布媒介（与招标公告发布媒介一致）</w:t>
      </w:r>
      <w:bookmarkStart w:id="114" w:name="_Hlk103515626"/>
      <w:r>
        <w:rPr>
          <w:rFonts w:hint="eastAsia" w:ascii="宋体" w:hAnsi="宋体" w:eastAsia="宋体" w:cs="宋体"/>
          <w:color w:val="auto"/>
          <w:sz w:val="21"/>
          <w:szCs w:val="21"/>
          <w:highlight w:val="none"/>
        </w:rPr>
        <w:t>上以公告的形式</w:t>
      </w:r>
      <w:bookmarkEnd w:id="114"/>
      <w:r>
        <w:rPr>
          <w:rFonts w:hint="eastAsia" w:ascii="宋体" w:hAnsi="宋体" w:eastAsia="宋体" w:cs="宋体"/>
          <w:color w:val="auto"/>
          <w:sz w:val="21"/>
          <w:szCs w:val="21"/>
          <w:highlight w:val="none"/>
        </w:rPr>
        <w:t>发布中标结果，中标公告的公告期限为1个工作日。中标公告同时作为采购代理机构通知除中标供应商外的其他投标人没有中标的书面形式，采购代理机构不再以其它方式另行通知。</w:t>
      </w:r>
    </w:p>
    <w:p w14:paraId="23D61765">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3.2中标通知书：</w:t>
      </w:r>
    </w:p>
    <w:p w14:paraId="3A3EFB48">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通知书在发布中标公告时，将给中标供应商发送《中标通知书》，《中标通知书》将作为授予合同资格的唯一合法依据。中标通知书发出后，采购人不得违法改变中标结果，中标供应商不得放弃中标。中标供应商放弃中标的，应当依法承担相应的法律责任。</w:t>
      </w:r>
    </w:p>
    <w:p w14:paraId="11B0F8D6">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3.3终止公告：</w:t>
      </w:r>
    </w:p>
    <w:p w14:paraId="644FB406">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项目废标后，采购人或采购代理机构将在</w:t>
      </w:r>
      <w:r>
        <w:rPr>
          <w:rFonts w:hint="eastAsia" w:ascii="宋体" w:hAnsi="宋体" w:eastAsia="宋体" w:cs="宋体"/>
          <w:color w:val="auto"/>
          <w:sz w:val="21"/>
          <w:szCs w:val="20"/>
          <w:highlight w:val="none"/>
        </w:rPr>
        <w:t>相关公告发布媒介（与招标公告发布媒介一致）</w:t>
      </w:r>
      <w:r>
        <w:rPr>
          <w:rFonts w:hint="eastAsia" w:ascii="宋体" w:hAnsi="宋体" w:eastAsia="宋体" w:cs="宋体"/>
          <w:color w:val="auto"/>
          <w:sz w:val="21"/>
          <w:szCs w:val="21"/>
          <w:highlight w:val="none"/>
        </w:rPr>
        <w:t>上发布终止公告，终止公告的公告期限为1个工作日。</w:t>
      </w:r>
    </w:p>
    <w:p w14:paraId="0C94FAA8">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bookmarkStart w:id="115" w:name="_Hlk172149596"/>
      <w:r>
        <w:rPr>
          <w:rFonts w:hint="eastAsia" w:ascii="宋体" w:hAnsi="宋体" w:eastAsia="宋体" w:cs="宋体"/>
          <w:color w:val="auto"/>
          <w:sz w:val="21"/>
          <w:szCs w:val="21"/>
          <w:highlight w:val="none"/>
        </w:rPr>
        <w:t>3.4在招标采购中，出现下列情形之一的，应予废标：</w:t>
      </w:r>
    </w:p>
    <w:p w14:paraId="454C191C">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（1）符合专业条件的供应商或者对招标文件作实质响应的供应商不足三家的；或参与竞争的核心产品品牌不足 3 个的；</w:t>
      </w:r>
    </w:p>
    <w:p w14:paraId="53DB93E4">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（2）出现影响采购公正的违法、违规行为的；</w:t>
      </w:r>
    </w:p>
    <w:p w14:paraId="6FE9B822">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（3）投标人的报价均超过了采购预算，采购人不能支付的；</w:t>
      </w:r>
    </w:p>
    <w:p w14:paraId="0B4A7D1D">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（4）因重大变故，采购任务取消的。</w:t>
      </w:r>
    </w:p>
    <w:p w14:paraId="734CC4CF">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废标后，采购人应当将废标理由通知所有投标人。</w:t>
      </w:r>
    </w:p>
    <w:bookmarkEnd w:id="115"/>
    <w:p w14:paraId="703CE0C3">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p>
    <w:p w14:paraId="0CA62B59">
      <w:pPr>
        <w:pStyle w:val="27"/>
        <w:keepNext w:val="0"/>
        <w:keepLines w:val="0"/>
        <w:pageBreakBefore w:val="0"/>
        <w:kinsoku/>
        <w:overflowPunct/>
        <w:topLinePunct w:val="0"/>
        <w:autoSpaceDE/>
        <w:autoSpaceDN/>
        <w:bidi w:val="0"/>
        <w:spacing w:line="360" w:lineRule="auto"/>
        <w:ind w:firstLine="0" w:firstLineChars="0"/>
        <w:outlineLvl w:val="1"/>
        <w:rPr>
          <w:rFonts w:hint="eastAsia" w:ascii="宋体" w:hAnsi="宋体" w:eastAsia="宋体" w:cs="宋体"/>
          <w:b/>
          <w:bCs/>
          <w:color w:val="auto"/>
          <w:sz w:val="21"/>
          <w:szCs w:val="21"/>
          <w:highlight w:val="none"/>
        </w:rPr>
      </w:pPr>
      <w:bookmarkStart w:id="116" w:name="_Toc103462401"/>
      <w:bookmarkStart w:id="117" w:name="_Toc103461615"/>
      <w:bookmarkStart w:id="118" w:name="_Toc103462375"/>
      <w:bookmarkStart w:id="119" w:name="_Toc1846"/>
      <w:bookmarkStart w:id="120" w:name="_Toc104131899"/>
      <w:bookmarkStart w:id="121" w:name="_Toc103461386"/>
      <w:r>
        <w:rPr>
          <w:rFonts w:hint="eastAsia" w:ascii="宋体" w:hAnsi="宋体" w:eastAsia="宋体" w:cs="宋体"/>
          <w:b/>
          <w:bCs/>
          <w:color w:val="auto"/>
          <w:sz w:val="21"/>
          <w:szCs w:val="21"/>
          <w:highlight w:val="none"/>
        </w:rPr>
        <w:t>七、询问、质疑与投诉</w:t>
      </w:r>
      <w:bookmarkEnd w:id="116"/>
      <w:bookmarkEnd w:id="117"/>
      <w:bookmarkEnd w:id="118"/>
      <w:bookmarkEnd w:id="119"/>
      <w:bookmarkEnd w:id="120"/>
      <w:bookmarkEnd w:id="121"/>
    </w:p>
    <w:p w14:paraId="703E19B6">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1.询问</w:t>
      </w:r>
    </w:p>
    <w:p w14:paraId="37F8E507">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对政府采购活动事项（招标文件、采购过程和中标结果）有疑问的，可以向采购人或采购代理机构提出询问，采购人或采购代理机构将及时作出答复，但答复的内容不涉及商业秘密。询问可以口头方式提出，也可以书面方式提出，书面方式包括但不限于传真、信函、电子邮件。联系方式见《投标邀请》中“采购人、采购代理机构的名称、地址和联系方式”。</w:t>
      </w:r>
    </w:p>
    <w:p w14:paraId="0675DBB0">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2.质疑</w:t>
      </w:r>
    </w:p>
    <w:p w14:paraId="137EB03E">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供应商认为招标文件、采购过程和中标结果使自己的权益受到损害的，可以在知道或者应知其权益受到损害之日起七个工作日内，以书面原件形式向采购人或采购代理机构一次性提出针对同一采购程序环节的质疑，逾期质疑无效。法定质疑期内针对同一采购程序环节再次提出的质疑，采购人、采购代理机构有权不予答复。</w:t>
      </w:r>
    </w:p>
    <w:p w14:paraId="22315906">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供应商应知其权益受到损害之日是指：</w:t>
      </w:r>
    </w:p>
    <w:p w14:paraId="63634A17">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（1）对招标文件提出质疑的，为获取招标文件之日或者招标文件公告期限届满之日；</w:t>
      </w:r>
    </w:p>
    <w:p w14:paraId="51F98905">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（2）对采购过程提出质疑的，为各采购程序环节结束之日；</w:t>
      </w:r>
    </w:p>
    <w:p w14:paraId="7690C3AC">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（3）对中标结果提出质疑的，为中标结果公告期限届满之日。</w:t>
      </w:r>
    </w:p>
    <w:p w14:paraId="5268F642">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2.2质疑函应当包括下列主要内容：</w:t>
      </w:r>
    </w:p>
    <w:p w14:paraId="3806344D">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（1）质疑供应商和相关供应商的名称、地址、邮编、联系人及联系电话等；</w:t>
      </w:r>
    </w:p>
    <w:p w14:paraId="50215D4D">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（2）质疑项目名称及编号、具体明确的质疑事项和与质疑事项相关的请求；</w:t>
      </w:r>
    </w:p>
    <w:p w14:paraId="3CF0FC93">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（3）认为采购文件、采购过程、中标和成交结果使自己的合法权益受到损害的法律依据、事实依据、相关证明材料及证据来源；</w:t>
      </w:r>
    </w:p>
    <w:p w14:paraId="7135F1EF">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（4）提出质疑的日期。</w:t>
      </w:r>
    </w:p>
    <w:p w14:paraId="49AF91C2">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2.3质疑函应当署名。质疑供应商为自然人的，应当由本人签字；质疑供应商为法人或者其他组织的，应当由法定代表人、主要负责人，或者其授权代表签字或者盖章，并加盖公章。</w:t>
      </w:r>
    </w:p>
    <w:p w14:paraId="6E436A8D">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2.4以联合体形式参加政府采购活动的，其质疑应当由联合体成员委托主体提出。</w:t>
      </w:r>
    </w:p>
    <w:p w14:paraId="2681A66E">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供应商质疑应当有明确的请求和必要的证明材料。质疑内容不得含有虚假、恶意成份。依照谁主张谁举证的原则，提出质疑者必须同时提交相关确凿的证据材料和注明证据的确切来源，证据来源必须合法，采购人或采购代理机构有权将质疑函转发质疑事项各关联方，请其作出解释说明。对捏造事实、滥用维权扰乱采购秩序的恶意质疑者，将上报政府采购监督管理部门依法处理。</w:t>
      </w:r>
    </w:p>
    <w:p w14:paraId="02029444">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2.6质疑联系方式如下 ：</w:t>
      </w:r>
    </w:p>
    <w:p w14:paraId="36EF9212">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质疑联系人：</w:t>
      </w:r>
      <w:r>
        <w:rPr>
          <w:rFonts w:hint="eastAsia" w:ascii="宋体" w:hAnsi="宋体" w:eastAsia="宋体" w:cs="宋体"/>
          <w:color w:val="auto"/>
          <w:sz w:val="21"/>
          <w:szCs w:val="21"/>
          <w:highlight w:val="none"/>
          <w:lang w:val="en-US" w:eastAsia="zh-CN"/>
        </w:rPr>
        <w:t>杨述文</w:t>
      </w:r>
    </w:p>
    <w:p w14:paraId="5C182330">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电话：0756-2666861</w:t>
      </w:r>
    </w:p>
    <w:p w14:paraId="3132FAEA">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w:t>
      </w:r>
      <w:bookmarkStart w:id="122" w:name="_Hlk111934255"/>
      <w:r>
        <w:rPr>
          <w:rFonts w:hint="eastAsia" w:ascii="宋体" w:hAnsi="宋体" w:eastAsia="宋体" w:cs="宋体"/>
          <w:color w:val="auto"/>
          <w:sz w:val="21"/>
          <w:szCs w:val="21"/>
          <w:highlight w:val="none"/>
        </w:rPr>
        <w:t>广东省珠海市香洲区兴华路192号2号楼4楼公诚管理咨询有限公司</w:t>
      </w:r>
      <w:bookmarkEnd w:id="122"/>
    </w:p>
    <w:p w14:paraId="30CE6B29">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邮箱：</w:t>
      </w:r>
      <w:r>
        <w:rPr>
          <w:rFonts w:hint="eastAsia" w:ascii="宋体" w:hAnsi="宋体" w:eastAsia="宋体" w:cs="宋体"/>
          <w:color w:val="auto"/>
          <w:sz w:val="21"/>
          <w:szCs w:val="21"/>
          <w:highlight w:val="none"/>
          <w:lang w:eastAsia="zh-CN"/>
        </w:rPr>
        <w:t>yangshuwen</w:t>
      </w:r>
      <w:r>
        <w:rPr>
          <w:rFonts w:hint="eastAsia" w:ascii="宋体" w:hAnsi="宋体" w:eastAsia="宋体" w:cs="宋体"/>
          <w:color w:val="auto"/>
          <w:sz w:val="21"/>
          <w:szCs w:val="21"/>
          <w:highlight w:val="none"/>
        </w:rPr>
        <w:t>.gcmc.gd@chinaccs.cn</w:t>
      </w:r>
    </w:p>
    <w:p w14:paraId="5EDD4A7A">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邮编：519000</w:t>
      </w:r>
    </w:p>
    <w:p w14:paraId="31B1B17D">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bookmarkStart w:id="123" w:name="_Hlk111934338"/>
      <w:r>
        <w:rPr>
          <w:rFonts w:hint="eastAsia" w:ascii="宋体" w:hAnsi="宋体" w:eastAsia="宋体" w:cs="宋体"/>
          <w:color w:val="auto"/>
          <w:sz w:val="21"/>
          <w:szCs w:val="21"/>
          <w:highlight w:val="none"/>
        </w:rPr>
        <w:t>2.7质疑提交方式</w:t>
      </w:r>
    </w:p>
    <w:p w14:paraId="251C9D8C">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在法定质疑期内通过“现场提交”或“邮寄”或“快递（不接收到付件）”的形式递交纸质质疑函。</w:t>
      </w:r>
    </w:p>
    <w:p w14:paraId="42D2249F">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以邮寄、快递方式递交的，质疑提起日期应当以邮寄件上的戳记日期、邮政快递件上的戳记日期或非邮政快递件上的签注日期，受理日期为公诚管理咨询有限公司收到符合规定的质疑材料之日。若质疑材料不符合受理条件的，公诚管理咨询有限公司向供应商出具质疑补正通知书或无效质疑告知书。</w:t>
      </w:r>
    </w:p>
    <w:p w14:paraId="340C8281">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递交纸质质疑函后，质疑人需要通过“电子邮件”等方式将“签字盖章版和WORD可编辑版的质疑函以及快递单号（如有）”发送至采购代理机构电子邮箱，并且在工作日时间（8:30-12:00和14:00-17:30）电话告知采购代理机构查收。</w:t>
      </w:r>
    </w:p>
    <w:p w14:paraId="0C9F859D">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（3）质疑答复结果将通过“现场领取”或“邮寄”或“快递”或“电子邮件”等书面形式送达至质疑人，请质疑人及时查收质疑答复结果。</w:t>
      </w:r>
    </w:p>
    <w:bookmarkEnd w:id="123"/>
    <w:p w14:paraId="0B7EDD9D">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3.投诉</w:t>
      </w:r>
    </w:p>
    <w:p w14:paraId="3E3E8499">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质疑人对采购人或采购代理机构的质疑答复不满意或在规定时间内未得到答复的，可以在答复期满后15个工作日内，向本项目监督管理部门提起投诉。</w:t>
      </w:r>
    </w:p>
    <w:p w14:paraId="056BF45D">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p>
    <w:p w14:paraId="573847C8">
      <w:pPr>
        <w:pStyle w:val="27"/>
        <w:keepNext w:val="0"/>
        <w:keepLines w:val="0"/>
        <w:pageBreakBefore w:val="0"/>
        <w:kinsoku/>
        <w:overflowPunct/>
        <w:topLinePunct w:val="0"/>
        <w:autoSpaceDE/>
        <w:autoSpaceDN/>
        <w:bidi w:val="0"/>
        <w:spacing w:line="360" w:lineRule="auto"/>
        <w:ind w:firstLine="0" w:firstLineChars="0"/>
        <w:outlineLvl w:val="1"/>
        <w:rPr>
          <w:rFonts w:hint="eastAsia" w:ascii="宋体" w:hAnsi="宋体" w:eastAsia="宋体" w:cs="宋体"/>
          <w:b/>
          <w:bCs/>
          <w:color w:val="auto"/>
          <w:sz w:val="21"/>
          <w:szCs w:val="21"/>
          <w:highlight w:val="none"/>
        </w:rPr>
      </w:pPr>
      <w:bookmarkStart w:id="124" w:name="_Toc104131900"/>
      <w:bookmarkStart w:id="125" w:name="_Toc103462376"/>
      <w:bookmarkStart w:id="126" w:name="_Toc16036"/>
      <w:bookmarkStart w:id="127" w:name="_Toc103461616"/>
      <w:bookmarkStart w:id="128" w:name="_Toc103462402"/>
      <w:bookmarkStart w:id="129" w:name="_Toc103461387"/>
      <w:r>
        <w:rPr>
          <w:rFonts w:hint="eastAsia" w:ascii="宋体" w:hAnsi="宋体" w:eastAsia="宋体" w:cs="宋体"/>
          <w:b/>
          <w:bCs/>
          <w:color w:val="auto"/>
          <w:sz w:val="21"/>
          <w:szCs w:val="21"/>
          <w:highlight w:val="none"/>
        </w:rPr>
        <w:t>八、合同签订和履行</w:t>
      </w:r>
      <w:bookmarkEnd w:id="124"/>
      <w:bookmarkEnd w:id="125"/>
      <w:bookmarkEnd w:id="126"/>
      <w:bookmarkEnd w:id="127"/>
      <w:bookmarkEnd w:id="128"/>
      <w:bookmarkEnd w:id="129"/>
    </w:p>
    <w:p w14:paraId="5B6779B1">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1.合同签订</w:t>
      </w:r>
    </w:p>
    <w:p w14:paraId="06E616A1">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1.1采购人应当自《中标通知书》发出之日起三十日内，按照招标文件和中标供应商投标文件的约定，与中标供应商签订合同。所签订的合同不得对招标文件和中标供应商投标文件作实质性修改。</w:t>
      </w:r>
    </w:p>
    <w:p w14:paraId="2D0AE6CA">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1.2采购人不得提出试用合格等任何不合理的要求作为签订合同的条件，且不得与中标供应商私下订立背离合同实质性内容的协议。</w:t>
      </w:r>
    </w:p>
    <w:p w14:paraId="0B1C4A60">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1.3合同条款中应规定，乙方完全遵守《中华人民共和国民法典》有关规定和《中华人民共和国妇女权益保障法》中关于“劳动和社会保障权益”的有关要求。</w:t>
      </w:r>
    </w:p>
    <w:p w14:paraId="34DE4909">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1.4采购人应当自政府采购合同签订之日起2个工作日内，将政府采购合同在省级以上人民政府财政部门指定的媒体上公告，但政府采购合同中涉及国家秘密、商业秘密的内容除外。</w:t>
      </w:r>
    </w:p>
    <w:p w14:paraId="283DA849">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bookmarkStart w:id="130" w:name="_Hlk172149869"/>
      <w:r>
        <w:rPr>
          <w:rFonts w:hint="eastAsia" w:ascii="宋体" w:hAnsi="宋体" w:eastAsia="宋体" w:cs="宋体"/>
          <w:color w:val="auto"/>
          <w:sz w:val="21"/>
          <w:szCs w:val="21"/>
          <w:highlight w:val="none"/>
        </w:rPr>
        <w:t>1.5中标人拒绝签订政府采购合同（包括但不限于放弃中标、因不可抗力不能履行合同而放弃签订合同），采购人可以按照评标报告推荐的中标候选人名单排序，确定下一候选人为中标供应商，也可以重新开展政府采购活动。</w:t>
      </w:r>
    </w:p>
    <w:p w14:paraId="34A1A1A0">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签订合同后，中标人不得将货物及其他相关服务进行转包。未经采购人同意，中标人也不得采用分包的形式履行合同，否则采购人有权终止合同，中标人的履约保证金（如有）将不予退还。转包或分包造成采购人损失的，中标人应承担相应赔偿责任。</w:t>
      </w:r>
    </w:p>
    <w:bookmarkEnd w:id="130"/>
    <w:p w14:paraId="761D3E6B">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p>
    <w:p w14:paraId="734693C8">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2.合同的履行</w:t>
      </w:r>
    </w:p>
    <w:p w14:paraId="6DDAE038">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2.1政府采购合同订立后，合同各方不得擅自变更、中止或者终止合同。</w:t>
      </w:r>
    </w:p>
    <w:p w14:paraId="4752AEEA">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w w:val="90"/>
          <w:sz w:val="21"/>
          <w:szCs w:val="21"/>
          <w:highlight w:val="none"/>
        </w:rPr>
      </w:pPr>
      <w:r>
        <w:rPr>
          <w:rFonts w:hint="eastAsia" w:ascii="宋体" w:hAnsi="宋体" w:eastAsia="宋体" w:cs="宋体"/>
          <w:color w:val="auto"/>
          <w:sz w:val="21"/>
          <w:szCs w:val="21"/>
          <w:highlight w:val="none"/>
        </w:rPr>
        <w:t>2.2政府采购合同履行中，采购人需追加与合同标的相同的货物、工程或者服务的，在不改变合同其他条款的前提下，可以与中标供应商签订补充合同，但所补充合同的采购金额不得超过原采购金额的</w:t>
      </w:r>
      <w:r>
        <w:rPr>
          <w:rFonts w:hint="eastAsia" w:ascii="宋体" w:hAnsi="宋体" w:eastAsia="宋体" w:cs="宋体"/>
          <w:color w:val="auto"/>
          <w:w w:val="90"/>
          <w:sz w:val="21"/>
          <w:szCs w:val="21"/>
          <w:highlight w:val="none"/>
        </w:rPr>
        <w:t>10%。</w:t>
      </w:r>
    </w:p>
    <w:p w14:paraId="3C061946">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3.履约保证金不予退还情形</w:t>
      </w:r>
    </w:p>
    <w:p w14:paraId="249A3F66">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3.1中标人不履行与采购人订立合同的，履约保证金不予退还，给采购人造成的损失超过履约保证金数额的，还应当对超过部分予以赔偿；</w:t>
      </w:r>
    </w:p>
    <w:p w14:paraId="26C2D922">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3.2项目验收结果不合格的，履约保证金将不予退还；</w:t>
      </w:r>
    </w:p>
    <w:p w14:paraId="04736EA6">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3.3其他违反国家相关法律法规的情形。</w:t>
      </w:r>
    </w:p>
    <w:p w14:paraId="7445CEF5">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14:paraId="6ECBC542">
      <w:pPr>
        <w:keepNext w:val="0"/>
        <w:keepLines w:val="0"/>
        <w:pageBreakBefore w:val="0"/>
        <w:kinsoku/>
        <w:overflowPunct/>
        <w:topLinePunct w:val="0"/>
        <w:autoSpaceDE/>
        <w:autoSpaceDN/>
        <w:bidi w:val="0"/>
        <w:spacing w:line="360" w:lineRule="auto"/>
        <w:jc w:val="center"/>
        <w:outlineLvl w:val="0"/>
        <w:rPr>
          <w:rFonts w:hint="eastAsia" w:ascii="宋体" w:hAnsi="宋体" w:eastAsia="宋体" w:cs="宋体"/>
          <w:b/>
          <w:bCs/>
          <w:color w:val="auto"/>
          <w:sz w:val="24"/>
          <w:szCs w:val="24"/>
          <w:highlight w:val="none"/>
          <w:lang w:eastAsia="zh-CN"/>
        </w:rPr>
      </w:pPr>
      <w:bookmarkStart w:id="131" w:name="_Toc103461617"/>
      <w:bookmarkStart w:id="132" w:name="_Toc2823"/>
      <w:bookmarkStart w:id="133" w:name="_Toc103462377"/>
      <w:bookmarkStart w:id="134" w:name="_Toc103461388"/>
      <w:bookmarkStart w:id="135" w:name="_Toc104131901"/>
      <w:bookmarkStart w:id="136" w:name="_Toc103462403"/>
      <w:r>
        <w:rPr>
          <w:rFonts w:hint="eastAsia" w:ascii="宋体" w:hAnsi="宋体" w:eastAsia="宋体" w:cs="宋体"/>
          <w:b/>
          <w:bCs/>
          <w:color w:val="auto"/>
          <w:sz w:val="24"/>
          <w:szCs w:val="24"/>
          <w:highlight w:val="none"/>
          <w:lang w:eastAsia="zh-CN"/>
        </w:rPr>
        <w:t>第四章 评标</w:t>
      </w:r>
      <w:bookmarkEnd w:id="131"/>
      <w:bookmarkEnd w:id="132"/>
      <w:bookmarkEnd w:id="133"/>
      <w:bookmarkEnd w:id="134"/>
      <w:bookmarkEnd w:id="135"/>
      <w:bookmarkEnd w:id="136"/>
    </w:p>
    <w:p w14:paraId="5488BD7E">
      <w:pPr>
        <w:pStyle w:val="27"/>
        <w:keepNext w:val="0"/>
        <w:keepLines w:val="0"/>
        <w:pageBreakBefore w:val="0"/>
        <w:kinsoku/>
        <w:overflowPunct/>
        <w:topLinePunct w:val="0"/>
        <w:autoSpaceDE/>
        <w:autoSpaceDN/>
        <w:bidi w:val="0"/>
        <w:spacing w:line="360" w:lineRule="auto"/>
        <w:ind w:firstLine="0" w:firstLineChars="0"/>
        <w:outlineLvl w:val="1"/>
        <w:rPr>
          <w:rFonts w:hint="eastAsia" w:ascii="宋体" w:hAnsi="宋体" w:eastAsia="宋体" w:cs="宋体"/>
          <w:b/>
          <w:bCs/>
          <w:color w:val="auto"/>
          <w:sz w:val="21"/>
          <w:szCs w:val="21"/>
          <w:highlight w:val="none"/>
        </w:rPr>
      </w:pPr>
      <w:bookmarkStart w:id="137" w:name="_Toc9482"/>
      <w:bookmarkStart w:id="138" w:name="_Toc103461389"/>
      <w:bookmarkStart w:id="139" w:name="_Toc103462404"/>
      <w:bookmarkStart w:id="140" w:name="_Toc104131902"/>
      <w:bookmarkStart w:id="141" w:name="_Toc103461618"/>
      <w:bookmarkStart w:id="142" w:name="_Toc103462378"/>
      <w:r>
        <w:rPr>
          <w:rFonts w:hint="eastAsia" w:ascii="宋体" w:hAnsi="宋体" w:eastAsia="宋体" w:cs="宋体"/>
          <w:b/>
          <w:bCs/>
          <w:color w:val="auto"/>
          <w:sz w:val="21"/>
          <w:szCs w:val="21"/>
          <w:highlight w:val="none"/>
        </w:rPr>
        <w:t>一、评标要求</w:t>
      </w:r>
      <w:bookmarkEnd w:id="137"/>
      <w:bookmarkEnd w:id="138"/>
      <w:bookmarkEnd w:id="139"/>
      <w:bookmarkEnd w:id="140"/>
      <w:bookmarkEnd w:id="141"/>
      <w:bookmarkEnd w:id="142"/>
    </w:p>
    <w:p w14:paraId="2A084A7E">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1.评标方法</w:t>
      </w:r>
    </w:p>
    <w:p w14:paraId="7BA5ADB7">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综合评分法,是指投标文件满足招标文件全部实质性要求，且按照评审因素的量化指标评审得分最高的投标人为中标候选人的评标方法。（最低报价不是中标的唯一依据。）</w:t>
      </w:r>
    </w:p>
    <w:p w14:paraId="650AFF12">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bookmarkStart w:id="143" w:name="_Hlk103536730"/>
      <w:r>
        <w:rPr>
          <w:rFonts w:hint="eastAsia" w:ascii="宋体" w:hAnsi="宋体" w:eastAsia="宋体" w:cs="宋体"/>
          <w:color w:val="auto"/>
          <w:sz w:val="21"/>
          <w:szCs w:val="21"/>
          <w:highlight w:val="none"/>
        </w:rPr>
        <w:t>最低评标价法，是指投标文件满足招标文件全部实质性要求，且投标报价最低的供应商为中标候选人的评标方法。</w:t>
      </w:r>
    </w:p>
    <w:bookmarkEnd w:id="143"/>
    <w:p w14:paraId="3AD677D7">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2.评标原则</w:t>
      </w:r>
    </w:p>
    <w:p w14:paraId="6B75AB9B">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2.1评标活动遵循公平、公正、科学和择优的原则，以招标文件和投标文件为评标的基本依据，并按照招标文件规定的评标方法和评标标准进行评标。</w:t>
      </w:r>
    </w:p>
    <w:p w14:paraId="0CBCDCDE">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2.2具体评标事项由评标委员会负责，并按招标文件的规定办法进行评审。</w:t>
      </w:r>
    </w:p>
    <w:p w14:paraId="17D6D29F">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2.3合格投标人不足须知前附表中约定的有效供应商家数的，不得评标。</w:t>
      </w:r>
    </w:p>
    <w:p w14:paraId="68402E69">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3.评标委员会</w:t>
      </w:r>
    </w:p>
    <w:p w14:paraId="6F44668D">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3.1评标委员会由采购人代表和评审专家组成，成员人数应当为5人及以上单数，其中评审专家不得少于成员总数的三分之二。</w:t>
      </w:r>
    </w:p>
    <w:p w14:paraId="7678E69F">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3.2评标应遵守下列评标纪律：</w:t>
      </w:r>
    </w:p>
    <w:p w14:paraId="45DD0DA8">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（1）评标情况不得私自外泄，有关信息由公诚管理咨询有限公司统一对外发布。</w:t>
      </w:r>
    </w:p>
    <w:p w14:paraId="1D7263BD">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（2）对公诚管理咨询有限公司或投标人提供的要求保密的资料，不得摘记翻印和外传。</w:t>
      </w:r>
    </w:p>
    <w:p w14:paraId="6494F76F">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（3）不得收受投标供应商或有关人员的任何礼物，不得串联鼓动其他人袒护某投标人。若与投标人存在利害关系，则应主动声明并回避。</w:t>
      </w:r>
    </w:p>
    <w:p w14:paraId="46A6444B">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（4）全体评委应按照招标文件规定进行评标，一切认定事项应查有实据且不得弄虚作假。</w:t>
      </w:r>
    </w:p>
    <w:p w14:paraId="23149249">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（5）评标委员会各成员应当独立对每个投标人的投标文件进行评价，并对评价意见承担个人责任。评审过程中，不得发表倾向性言论。</w:t>
      </w:r>
    </w:p>
    <w:p w14:paraId="44563A54">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对违反评标纪律的评委，将取消其评委资格，对评标工作造成严重损失者将予以通报批评乃至追究法律责任。</w:t>
      </w:r>
    </w:p>
    <w:p w14:paraId="6F1EF6E2">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bookmarkStart w:id="144" w:name="_Hlk172190710"/>
      <w:r>
        <w:rPr>
          <w:rFonts w:hint="eastAsia" w:ascii="宋体" w:hAnsi="宋体" w:eastAsia="宋体" w:cs="宋体"/>
          <w:color w:val="auto"/>
          <w:sz w:val="21"/>
          <w:szCs w:val="21"/>
          <w:highlight w:val="none"/>
        </w:rPr>
        <w:t>3.3评审专家与参加采购活动的供应商存在下列利害关系之一的，应当回避：</w:t>
      </w:r>
    </w:p>
    <w:p w14:paraId="79424BA4">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（1）参加采购活动前三年内，与供应商存在劳动关系，或者担任过供应商的董事、监事，或者是供应商的控股股东或实际控制人；</w:t>
      </w:r>
    </w:p>
    <w:p w14:paraId="346F82C6">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（2）与供应商的法定代表人或者负责人有夫妻、直系血亲、三代以内旁系血亲或者近姻亲关系；</w:t>
      </w:r>
    </w:p>
    <w:p w14:paraId="1BB27491">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（3）与供应商有其他可能影响政府采购活动公平、公正进行的关系。</w:t>
      </w:r>
    </w:p>
    <w:p w14:paraId="2C777C52">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评审专家发现本人与参加采购活动的供应商有利害关系的，应当主动提出回避。采购人或者采购代理机构发现评审专家与参加采购活动的供应商有利害关系的，应当要求其回避。</w:t>
      </w:r>
    </w:p>
    <w:p w14:paraId="29A83E5F">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3.4评标委员会负责具体评标事务，并独立履行下列职责：</w:t>
      </w:r>
    </w:p>
    <w:p w14:paraId="4BFA3463">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（1）审查、评价投标文件是否符合招标文件的商务、技术等实质性要求；</w:t>
      </w:r>
    </w:p>
    <w:p w14:paraId="668C3385">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（2）要求投标人对投标文件有关事项作出澄清或者说明；</w:t>
      </w:r>
    </w:p>
    <w:p w14:paraId="02DC2F83">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（3）对投标文件进行比较和评价；</w:t>
      </w:r>
    </w:p>
    <w:p w14:paraId="71093399">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（4）确定中标候选人名单，以及根据采购人委托直接确定中标人；</w:t>
      </w:r>
    </w:p>
    <w:p w14:paraId="751FA7BF">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（5）向采购人、采购代理机构或者有关部门报告评标中发现的违法行为；</w:t>
      </w:r>
    </w:p>
    <w:p w14:paraId="58D7A549">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（6）法律法规规定的其他职责。</w:t>
      </w:r>
    </w:p>
    <w:p w14:paraId="54C53CEF">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4.有下列情形之一的，属于恶意串通，对投标人依照政府采购法第七十七条第一款的规定追究法律责任：</w:t>
      </w:r>
    </w:p>
    <w:p w14:paraId="34F58D41">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4.1投标人直接或者间接从采购人或者采购代理机构处获得其他投标人的相关情况并修改其投标文件；</w:t>
      </w:r>
    </w:p>
    <w:p w14:paraId="44C2E950">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4.2投标人按照采购人或者采购代理机构的授意撤换、修改投标文件；</w:t>
      </w:r>
    </w:p>
    <w:p w14:paraId="76A9CF67">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4.3投标人之间协商报价、技术方案等投标文件的实质性内容；</w:t>
      </w:r>
    </w:p>
    <w:p w14:paraId="36837DA4">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4.4属于同一集团、协会、商会等组织成员的投标人按照该组织要求协同参加政府采购活动；</w:t>
      </w:r>
    </w:p>
    <w:p w14:paraId="57F87364">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4.5投标人之间事先约定由某一特定投标人中标；</w:t>
      </w:r>
    </w:p>
    <w:p w14:paraId="67F7D4B9">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4.6投标人之间商定部分投标人放弃参加政府采购活动或者放弃中标；</w:t>
      </w:r>
    </w:p>
    <w:p w14:paraId="14DDACD2">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4.7投标人与采购人或者采购代理机构之间、投标人相互之间，为谋求特定投标人中标或者排斥其他投标人的其他串通行为。</w:t>
      </w:r>
    </w:p>
    <w:bookmarkEnd w:id="144"/>
    <w:p w14:paraId="7C7C5D83">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bookmarkStart w:id="145" w:name="_Hlk172190723"/>
      <w:r>
        <w:rPr>
          <w:rFonts w:hint="eastAsia" w:ascii="宋体" w:hAnsi="宋体" w:eastAsia="宋体" w:cs="宋体"/>
          <w:b/>
          <w:bCs/>
          <w:color w:val="auto"/>
          <w:sz w:val="21"/>
          <w:szCs w:val="21"/>
          <w:highlight w:val="none"/>
        </w:rPr>
        <w:t>5.有下列情形之一的，视为投标人串通投标，其投标无效；</w:t>
      </w:r>
    </w:p>
    <w:p w14:paraId="59441D04">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5.1不同投标人的投标文件由同一单位或者个人编制；</w:t>
      </w:r>
    </w:p>
    <w:p w14:paraId="3E4409A6">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5.2不同投标人委托同一单位或者个人办理投标事宜；</w:t>
      </w:r>
    </w:p>
    <w:p w14:paraId="6CED9CA3">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5.3不同投标人的投标文件载明的项目管理成员或者联系人员为同一人；</w:t>
      </w:r>
    </w:p>
    <w:p w14:paraId="19D47181">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5.4不同投标人的投标文件异常一致或者投标报价呈规律性差异；</w:t>
      </w:r>
    </w:p>
    <w:p w14:paraId="54E6E36D">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5.5不同投标人的投标文件相互混装；</w:t>
      </w:r>
    </w:p>
    <w:p w14:paraId="2569F3B4">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5.6不同投标人的投标保证金或购买电子保函支付款为从同一单位或个人的账户转出；</w:t>
      </w:r>
    </w:p>
    <w:p w14:paraId="0129DC03">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说明：在评标过程中发现投标人有上述情形的，评标委员会应当认定其投标无效。同时，项目评审时被认定为串通投标的投标人不得参加该合同项下的采购活动。</w:t>
      </w:r>
    </w:p>
    <w:bookmarkEnd w:id="145"/>
    <w:p w14:paraId="26702EE5">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6.投标无效的情形</w:t>
      </w:r>
    </w:p>
    <w:p w14:paraId="45F3B7C9">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6.1详见资格性审查、符合性审查和招标文件其他投标无效条款。</w:t>
      </w:r>
    </w:p>
    <w:p w14:paraId="7D8523D2">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bookmarkStart w:id="146" w:name="_Hlk172190736"/>
      <w:r>
        <w:rPr>
          <w:rFonts w:hint="eastAsia" w:ascii="宋体" w:hAnsi="宋体" w:eastAsia="宋体" w:cs="宋体"/>
          <w:color w:val="auto"/>
          <w:sz w:val="21"/>
          <w:szCs w:val="21"/>
          <w:highlight w:val="none"/>
        </w:rPr>
        <w:t>6.2在评标过程中发现投标人有不遵循公平竞争的原则，恶意串通，妨碍其他投标人的竞争行为，损害采购人或者其他投标人的合法权益的，评标委员会应当认定其投标无效，并书面报告本级财政部门。</w:t>
      </w:r>
    </w:p>
    <w:bookmarkEnd w:id="146"/>
    <w:p w14:paraId="3F923BF9">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7.定标</w:t>
      </w:r>
    </w:p>
    <w:p w14:paraId="67851347">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评标委员会按照招标文件确定的评标方法、步骤、标准，对投标文件进行评审。评标结束后，对投标人的评审名次进行排序，确定中标供应商或者推荐中标候选人。</w:t>
      </w:r>
    </w:p>
    <w:p w14:paraId="6AA283A2">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8.价格修正</w:t>
      </w:r>
    </w:p>
    <w:p w14:paraId="6585E77D">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对报价的计算错误按以下原则修正：</w:t>
      </w:r>
    </w:p>
    <w:p w14:paraId="29BF1C41">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（1）投标文件中开标一览表内容与投标文件中相应内容不一致的，以开标一览表为准；</w:t>
      </w:r>
    </w:p>
    <w:p w14:paraId="49BC51D9">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（2）大写金额和小写金额不一致的，以大写金额为准；</w:t>
      </w:r>
    </w:p>
    <w:p w14:paraId="1D1CB9C9">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（3）单价金额小数点或者百分比有明显错位的，以开标一览表的总价为准，并修改单价。</w:t>
      </w:r>
    </w:p>
    <w:p w14:paraId="1E3D0A32">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（4）总价金额与按单价汇总金额不一致的，以单价金额计算结果为准。但是单价金额计算结果超过预算价的，对其按无效投标处理。</w:t>
      </w:r>
    </w:p>
    <w:p w14:paraId="25E26B13">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注：同时出现两种以上不一致的，按照前款规定的顺序进行价格澄清。供应商澄清后的价格加盖供应商公章，或法定代表人签字或盖章，或法定代表人授权委托人签字或盖章确认后产生约束力，但不得超出投标文件的范围或者改变投标文件的实质性内容，投标人不确认的，其投标无效。</w:t>
      </w:r>
    </w:p>
    <w:p w14:paraId="02656823">
      <w:pPr>
        <w:pStyle w:val="27"/>
        <w:keepNext w:val="0"/>
        <w:keepLines w:val="0"/>
        <w:pageBreakBefore w:val="0"/>
        <w:kinsoku/>
        <w:overflowPunct/>
        <w:topLinePunct w:val="0"/>
        <w:autoSpaceDE/>
        <w:autoSpaceDN/>
        <w:bidi w:val="0"/>
        <w:spacing w:line="360" w:lineRule="auto"/>
        <w:ind w:firstLine="0" w:firstLineChars="0"/>
        <w:outlineLvl w:val="1"/>
        <w:rPr>
          <w:rFonts w:hint="eastAsia" w:ascii="宋体" w:hAnsi="宋体" w:eastAsia="宋体" w:cs="宋体"/>
          <w:b/>
          <w:bCs/>
          <w:color w:val="auto"/>
          <w:sz w:val="21"/>
          <w:szCs w:val="21"/>
          <w:highlight w:val="none"/>
        </w:rPr>
      </w:pPr>
      <w:bookmarkStart w:id="147" w:name="_Toc103462405"/>
      <w:bookmarkStart w:id="148" w:name="_Toc103462379"/>
      <w:bookmarkStart w:id="149" w:name="_Toc103461390"/>
      <w:bookmarkStart w:id="150" w:name="_Toc103461619"/>
      <w:bookmarkStart w:id="151" w:name="_Toc104131903"/>
      <w:bookmarkStart w:id="152" w:name="_Toc5100"/>
      <w:r>
        <w:rPr>
          <w:rFonts w:hint="eastAsia" w:ascii="宋体" w:hAnsi="宋体" w:eastAsia="宋体" w:cs="宋体"/>
          <w:b/>
          <w:bCs/>
          <w:color w:val="auto"/>
          <w:sz w:val="21"/>
          <w:szCs w:val="21"/>
          <w:highlight w:val="none"/>
        </w:rPr>
        <w:t>二、政府采购政策落实</w:t>
      </w:r>
      <w:bookmarkEnd w:id="147"/>
      <w:bookmarkEnd w:id="148"/>
      <w:bookmarkEnd w:id="149"/>
      <w:bookmarkEnd w:id="150"/>
      <w:bookmarkEnd w:id="151"/>
      <w:bookmarkEnd w:id="152"/>
    </w:p>
    <w:p w14:paraId="3614CC35">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1.节能、环保要求</w:t>
      </w:r>
    </w:p>
    <w:p w14:paraId="76D68D93">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采购的产品属于品目清单范围的，将依据国家确定的认证机构出具的、处于有效期之内的节能产品、环境标志产品认证证书，对获得证书的产品实施政府优先采购或强制采购，具体按照本招标文件相关要求执行。</w:t>
      </w:r>
    </w:p>
    <w:p w14:paraId="50B340EE">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相关认证机构和获证产品信息以市场监管总局组织建立的节能产品、环境标志产品认证结果信息发布平台公布为准。</w:t>
      </w:r>
    </w:p>
    <w:p w14:paraId="541F63F8">
      <w:pPr>
        <w:pStyle w:val="78"/>
        <w:keepNext w:val="0"/>
        <w:keepLines w:val="0"/>
        <w:pageBreakBefore w:val="0"/>
        <w:widowControl/>
        <w:kinsoku/>
        <w:wordWrap/>
        <w:overflowPunct/>
        <w:topLinePunct w:val="0"/>
        <w:autoSpaceDE w:val="0"/>
        <w:autoSpaceDN w:val="0"/>
        <w:bidi w:val="0"/>
        <w:adjustRightInd/>
        <w:snapToGrid/>
        <w:spacing w:line="360" w:lineRule="auto"/>
        <w:textAlignment w:val="auto"/>
        <w:outlineLvl w:val="2"/>
        <w:rPr>
          <w:rFonts w:hint="eastAsia" w:ascii="宋体" w:hAnsi="宋体" w:eastAsia="宋体" w:cs="宋体"/>
          <w:color w:val="auto"/>
          <w:sz w:val="21"/>
          <w:szCs w:val="21"/>
          <w:highlight w:val="none"/>
          <w:lang w:eastAsia="zh-CN"/>
        </w:rPr>
      </w:pPr>
      <w:r>
        <w:rPr>
          <w:rFonts w:hint="eastAsia" w:ascii="宋体" w:hAnsi="宋体" w:eastAsia="宋体" w:cs="宋体"/>
          <w:b/>
          <w:color w:val="auto"/>
          <w:sz w:val="21"/>
          <w:szCs w:val="21"/>
          <w:highlight w:val="none"/>
        </w:rPr>
        <w:t>2.对符合本国产品标准的产品给予价格扣除</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lang w:val="en-US" w:eastAsia="zh-CN"/>
        </w:rPr>
        <w:t>本项目不涉及</w:t>
      </w:r>
      <w:r>
        <w:rPr>
          <w:rFonts w:hint="eastAsia" w:ascii="宋体" w:hAnsi="宋体" w:eastAsia="宋体" w:cs="宋体"/>
          <w:b/>
          <w:color w:val="auto"/>
          <w:sz w:val="21"/>
          <w:szCs w:val="21"/>
          <w:highlight w:val="none"/>
          <w:lang w:eastAsia="zh-CN"/>
        </w:rPr>
        <w:t>）</w:t>
      </w:r>
    </w:p>
    <w:p w14:paraId="68F14E08">
      <w:pPr>
        <w:pStyle w:val="78"/>
        <w:keepNext w:val="0"/>
        <w:keepLines w:val="0"/>
        <w:pageBreakBefore w:val="0"/>
        <w:widowControl/>
        <w:kinsoku/>
        <w:wordWrap/>
        <w:overflowPunct/>
        <w:topLinePunct w:val="0"/>
        <w:autoSpaceDE w:val="0"/>
        <w:autoSpaceDN w:val="0"/>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依照《国务院办公厅关于在政府采购中实施本国产品标准及相关政策的通知》（国办发〔2025〕34号）及《财政部关于贯彻落实&lt;国务院办公厅关于在政府采购中实施本国产品标准及相关政策的通知&gt;的意见》（财库〔2025〕30号）等相关规定。</w:t>
      </w:r>
    </w:p>
    <w:p w14:paraId="0748896A">
      <w:pPr>
        <w:pStyle w:val="78"/>
        <w:keepNext w:val="0"/>
        <w:keepLines w:val="0"/>
        <w:pageBreakBefore w:val="0"/>
        <w:widowControl/>
        <w:kinsoku/>
        <w:wordWrap/>
        <w:overflowPunct/>
        <w:topLinePunct w:val="0"/>
        <w:autoSpaceDE w:val="0"/>
        <w:autoSpaceDN w:val="0"/>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b/>
          <w:color w:val="auto"/>
          <w:sz w:val="21"/>
          <w:szCs w:val="21"/>
          <w:highlight w:val="none"/>
        </w:rPr>
        <w:t>本国产品标准的适用范围</w:t>
      </w:r>
      <w:r>
        <w:rPr>
          <w:rFonts w:hint="eastAsia" w:ascii="宋体" w:hAnsi="宋体" w:eastAsia="宋体" w:cs="宋体"/>
          <w:color w:val="auto"/>
          <w:sz w:val="21"/>
          <w:szCs w:val="21"/>
          <w:highlight w:val="no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76EEF381">
      <w:pPr>
        <w:pStyle w:val="78"/>
        <w:keepNext w:val="0"/>
        <w:keepLines w:val="0"/>
        <w:pageBreakBefore w:val="0"/>
        <w:widowControl/>
        <w:kinsoku/>
        <w:wordWrap/>
        <w:overflowPunct/>
        <w:topLinePunct w:val="0"/>
        <w:autoSpaceDE w:val="0"/>
        <w:autoSpaceDN w:val="0"/>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b/>
          <w:color w:val="auto"/>
          <w:sz w:val="21"/>
          <w:szCs w:val="21"/>
          <w:highlight w:val="none"/>
        </w:rPr>
        <w:t>准确界定产品在中国境内生产</w:t>
      </w:r>
      <w:r>
        <w:rPr>
          <w:rFonts w:hint="eastAsia" w:ascii="宋体" w:hAnsi="宋体" w:eastAsia="宋体" w:cs="宋体"/>
          <w:color w:val="auto"/>
          <w:sz w:val="21"/>
          <w:szCs w:val="21"/>
          <w:highlight w:val="none"/>
        </w:rP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79838BD4">
      <w:pPr>
        <w:pStyle w:val="78"/>
        <w:keepNext w:val="0"/>
        <w:keepLines w:val="0"/>
        <w:pageBreakBefore w:val="0"/>
        <w:widowControl/>
        <w:kinsoku/>
        <w:wordWrap/>
        <w:overflowPunct/>
        <w:topLinePunct w:val="0"/>
        <w:autoSpaceDE w:val="0"/>
        <w:autoSpaceDN w:val="0"/>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b/>
          <w:color w:val="auto"/>
          <w:sz w:val="21"/>
          <w:szCs w:val="21"/>
          <w:highlight w:val="none"/>
        </w:rPr>
        <w:t>对本国产品的支持政策</w:t>
      </w:r>
      <w:r>
        <w:rPr>
          <w:rFonts w:hint="eastAsia" w:ascii="宋体" w:hAnsi="宋体" w:eastAsia="宋体" w:cs="宋体"/>
          <w:color w:val="auto"/>
          <w:sz w:val="21"/>
          <w:szCs w:val="21"/>
          <w:highlight w:val="none"/>
        </w:rPr>
        <w:t>。政府采购活动中既有本国产品又有非本国产品参与竞争的，依法对本国产品给予价格评审优惠，对本国产品的报价给予20%的价格扣除，用扣除后的价格参与评审。</w:t>
      </w:r>
    </w:p>
    <w:p w14:paraId="75300ECD">
      <w:pPr>
        <w:pStyle w:val="78"/>
        <w:keepNext w:val="0"/>
        <w:keepLines w:val="0"/>
        <w:pageBreakBefore w:val="0"/>
        <w:widowControl/>
        <w:kinsoku/>
        <w:wordWrap/>
        <w:overflowPunct/>
        <w:topLinePunct w:val="0"/>
        <w:autoSpaceDE w:val="0"/>
        <w:autoSpaceDN w:val="0"/>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CD0D757">
      <w:pPr>
        <w:pStyle w:val="78"/>
        <w:keepNext w:val="0"/>
        <w:keepLines w:val="0"/>
        <w:pageBreakBefore w:val="0"/>
        <w:widowControl/>
        <w:kinsoku/>
        <w:wordWrap/>
        <w:overflowPunct/>
        <w:topLinePunct w:val="0"/>
        <w:autoSpaceDE w:val="0"/>
        <w:autoSpaceDN w:val="0"/>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b/>
          <w:color w:val="auto"/>
          <w:sz w:val="21"/>
          <w:szCs w:val="21"/>
          <w:highlight w:val="none"/>
        </w:rPr>
        <w:t>认真审查有关证明文件</w:t>
      </w:r>
      <w:r>
        <w:rPr>
          <w:rFonts w:hint="eastAsia" w:ascii="宋体" w:hAnsi="宋体" w:eastAsia="宋体" w:cs="宋体"/>
          <w:color w:val="auto"/>
          <w:sz w:val="21"/>
          <w:szCs w:val="21"/>
          <w:highlight w:val="none"/>
        </w:rPr>
        <w:t>。采购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14:paraId="2C38DA95">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.对小型、微型企业、监狱企业或残疾人福利性单位给予价格扣除</w:t>
      </w:r>
    </w:p>
    <w:p w14:paraId="1E8E7945">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依照《政府采购促进中小企业发展管理办法》、《支持监狱企业发展有关问题的通知》和《财政部 民政部 中国残疾人联合会关于促进残疾人就业政府采购政策的通知》的规定，凡符合享受《政府采购促进中小企业发展管理办法》规定的中小企业扶持政策的单位，按照以下比例给予相应的价格扣除：（监狱企业、残疾人福利性单位视同为小、微企业）。</w:t>
      </w:r>
    </w:p>
    <w:p w14:paraId="0D01D7DF">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.价格扣除相关要求</w:t>
      </w:r>
    </w:p>
    <w:tbl>
      <w:tblPr>
        <w:tblStyle w:val="34"/>
        <w:tblW w:w="9907" w:type="dxa"/>
        <w:tblInd w:w="113"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44"/>
        <w:gridCol w:w="1031"/>
        <w:gridCol w:w="4942"/>
        <w:gridCol w:w="720"/>
        <w:gridCol w:w="2470"/>
      </w:tblGrid>
      <w:tr w14:paraId="58AD4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2" w:hRule="atLeast"/>
        </w:trPr>
        <w:tc>
          <w:tcPr>
            <w:tcW w:w="744" w:type="dxa"/>
            <w:shd w:val="clear" w:color="auto" w:fill="F4F4F4"/>
            <w:vAlign w:val="center"/>
          </w:tcPr>
          <w:p w14:paraId="6F680DCC">
            <w:pPr>
              <w:pStyle w:val="54"/>
              <w:keepNext w:val="0"/>
              <w:keepLines w:val="0"/>
              <w:pageBreakBefore w:val="0"/>
              <w:kinsoku/>
              <w:overflowPunct/>
              <w:topLinePunct w:val="0"/>
              <w:autoSpaceDE/>
              <w:autoSpaceDN/>
              <w:bidi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序号</w:t>
            </w:r>
          </w:p>
        </w:tc>
        <w:tc>
          <w:tcPr>
            <w:tcW w:w="1031" w:type="dxa"/>
            <w:shd w:val="clear" w:color="auto" w:fill="F4F4F4"/>
            <w:vAlign w:val="center"/>
          </w:tcPr>
          <w:p w14:paraId="02816429">
            <w:pPr>
              <w:pStyle w:val="54"/>
              <w:keepNext w:val="0"/>
              <w:keepLines w:val="0"/>
              <w:pageBreakBefore w:val="0"/>
              <w:kinsoku/>
              <w:overflowPunct/>
              <w:topLinePunct w:val="0"/>
              <w:autoSpaceDE/>
              <w:autoSpaceDN/>
              <w:bidi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情形</w:t>
            </w:r>
          </w:p>
        </w:tc>
        <w:tc>
          <w:tcPr>
            <w:tcW w:w="4942" w:type="dxa"/>
            <w:shd w:val="clear" w:color="auto" w:fill="F4F4F4"/>
            <w:vAlign w:val="center"/>
          </w:tcPr>
          <w:p w14:paraId="70F07602">
            <w:pPr>
              <w:pStyle w:val="54"/>
              <w:keepNext w:val="0"/>
              <w:keepLines w:val="0"/>
              <w:pageBreakBefore w:val="0"/>
              <w:kinsoku/>
              <w:overflowPunct/>
              <w:topLinePunct w:val="0"/>
              <w:autoSpaceDE/>
              <w:autoSpaceDN/>
              <w:bidi w:val="0"/>
              <w:spacing w:line="360" w:lineRule="auto"/>
              <w:ind w:right="123"/>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适用对象</w:t>
            </w:r>
          </w:p>
        </w:tc>
        <w:tc>
          <w:tcPr>
            <w:tcW w:w="720" w:type="dxa"/>
            <w:shd w:val="clear" w:color="auto" w:fill="F4F4F4"/>
            <w:vAlign w:val="center"/>
          </w:tcPr>
          <w:p w14:paraId="2DB50594">
            <w:pPr>
              <w:pStyle w:val="54"/>
              <w:keepNext w:val="0"/>
              <w:keepLines w:val="0"/>
              <w:pageBreakBefore w:val="0"/>
              <w:kinsoku/>
              <w:overflowPunct/>
              <w:topLinePunct w:val="0"/>
              <w:autoSpaceDE/>
              <w:autoSpaceDN/>
              <w:bidi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价格扣除比例</w:t>
            </w:r>
          </w:p>
        </w:tc>
        <w:tc>
          <w:tcPr>
            <w:tcW w:w="2470" w:type="dxa"/>
            <w:shd w:val="clear" w:color="auto" w:fill="F4F4F4"/>
            <w:vAlign w:val="center"/>
          </w:tcPr>
          <w:p w14:paraId="15642686">
            <w:pPr>
              <w:pStyle w:val="54"/>
              <w:keepNext w:val="0"/>
              <w:keepLines w:val="0"/>
              <w:pageBreakBefore w:val="0"/>
              <w:kinsoku/>
              <w:overflowPunct/>
              <w:topLinePunct w:val="0"/>
              <w:autoSpaceDE/>
              <w:autoSpaceDN/>
              <w:bidi w:val="0"/>
              <w:spacing w:line="360" w:lineRule="auto"/>
              <w:ind w:right="-47"/>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计算公式</w:t>
            </w:r>
          </w:p>
        </w:tc>
      </w:tr>
      <w:tr w14:paraId="43CCC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0" w:hRule="atLeast"/>
        </w:trPr>
        <w:tc>
          <w:tcPr>
            <w:tcW w:w="744" w:type="dxa"/>
            <w:vAlign w:val="center"/>
          </w:tcPr>
          <w:p w14:paraId="067FA5B6">
            <w:pPr>
              <w:pStyle w:val="54"/>
              <w:keepNext w:val="0"/>
              <w:keepLines w:val="0"/>
              <w:pageBreakBefore w:val="0"/>
              <w:numPr>
                <w:ilvl w:val="0"/>
                <w:numId w:val="6"/>
              </w:numPr>
              <w:kinsoku/>
              <w:overflowPunct/>
              <w:topLinePunct w:val="0"/>
              <w:autoSpaceDE/>
              <w:autoSpaceDN/>
              <w:bidi w:val="0"/>
              <w:spacing w:line="360" w:lineRule="auto"/>
              <w:jc w:val="center"/>
              <w:rPr>
                <w:rFonts w:hint="eastAsia" w:ascii="宋体" w:hAnsi="宋体" w:eastAsia="宋体" w:cs="宋体"/>
                <w:color w:val="auto"/>
                <w:szCs w:val="21"/>
                <w:highlight w:val="none"/>
                <w:lang w:eastAsia="zh-CN"/>
              </w:rPr>
            </w:pPr>
          </w:p>
        </w:tc>
        <w:tc>
          <w:tcPr>
            <w:tcW w:w="1031" w:type="dxa"/>
            <w:vAlign w:val="center"/>
          </w:tcPr>
          <w:p w14:paraId="072B508A">
            <w:pPr>
              <w:pStyle w:val="54"/>
              <w:keepNext w:val="0"/>
              <w:keepLines w:val="0"/>
              <w:pageBreakBefore w:val="0"/>
              <w:kinsoku/>
              <w:overflowPunct/>
              <w:topLinePunct w:val="0"/>
              <w:autoSpaceDE/>
              <w:autoSpaceDN/>
              <w:bidi w:val="0"/>
              <w:spacing w:line="360" w:lineRule="auto"/>
              <w:ind w:left="100" w:right="134"/>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属于政府采购品目清单的节能产品、环境标志产品</w:t>
            </w:r>
          </w:p>
        </w:tc>
        <w:tc>
          <w:tcPr>
            <w:tcW w:w="4942" w:type="dxa"/>
            <w:vAlign w:val="center"/>
          </w:tcPr>
          <w:p w14:paraId="672329DE">
            <w:pPr>
              <w:pStyle w:val="54"/>
              <w:keepNext w:val="0"/>
              <w:keepLines w:val="0"/>
              <w:pageBreakBefore w:val="0"/>
              <w:kinsoku/>
              <w:overflowPunct/>
              <w:topLinePunct w:val="0"/>
              <w:autoSpaceDE/>
              <w:autoSpaceDN/>
              <w:bidi w:val="0"/>
              <w:spacing w:line="360" w:lineRule="auto"/>
              <w:ind w:left="100" w:right="134"/>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投标（响应）产品属于政府采购清单中的非强制采购节能产品或环境标志产品，且</w:t>
            </w:r>
            <w:r>
              <w:rPr>
                <w:rFonts w:hint="eastAsia" w:ascii="宋体" w:hAnsi="宋体" w:eastAsia="宋体" w:cs="宋体"/>
                <w:color w:val="auto"/>
                <w:szCs w:val="21"/>
                <w:highlight w:val="none"/>
                <w:lang w:val="en-US" w:eastAsia="zh-CN"/>
              </w:rPr>
              <w:t>在投标（响应）文件中同时</w:t>
            </w:r>
            <w:r>
              <w:rPr>
                <w:rFonts w:hint="eastAsia" w:ascii="宋体" w:hAnsi="宋体" w:eastAsia="宋体" w:cs="宋体"/>
                <w:color w:val="auto"/>
                <w:szCs w:val="21"/>
                <w:highlight w:val="none"/>
              </w:rPr>
              <w:t>提供了</w:t>
            </w:r>
            <w:r>
              <w:rPr>
                <w:rFonts w:hint="eastAsia" w:ascii="宋体" w:hAnsi="宋体" w:eastAsia="宋体" w:cs="宋体"/>
                <w:color w:val="auto"/>
                <w:szCs w:val="21"/>
                <w:highlight w:val="none"/>
                <w:lang w:eastAsia="zh-CN"/>
              </w:rPr>
              <w:t>：①</w:t>
            </w:r>
            <w:r>
              <w:rPr>
                <w:rFonts w:hint="eastAsia" w:ascii="宋体" w:hAnsi="宋体" w:eastAsia="宋体" w:cs="宋体"/>
                <w:color w:val="auto"/>
                <w:szCs w:val="21"/>
                <w:highlight w:val="none"/>
              </w:rPr>
              <w:t>有效的节能产品认证证书或环境标志产品认证证书</w:t>
            </w:r>
            <w:r>
              <w:rPr>
                <w:rFonts w:hint="eastAsia" w:ascii="宋体" w:hAnsi="宋体" w:eastAsia="宋体" w:cs="宋体"/>
                <w:color w:val="auto"/>
                <w:szCs w:val="21"/>
                <w:highlight w:val="none"/>
                <w:lang w:eastAsia="zh-CN"/>
              </w:rPr>
              <w:t>；②</w:t>
            </w:r>
            <w:r>
              <w:rPr>
                <w:rFonts w:hint="eastAsia" w:ascii="宋体" w:hAnsi="宋体" w:eastAsia="宋体" w:cs="宋体"/>
                <w:color w:val="auto"/>
                <w:szCs w:val="21"/>
                <w:highlight w:val="none"/>
              </w:rPr>
              <w:t>中国政府采购网（http://www.ccgp.gov.cn/jnhb/jnhbqd/）查询截图（网页查询的证书编号必须与认证证书的一致，且状态为有效；如公开网页信息中无法查询，或证书信息与公开网页信息不一致的，可提供认证单位出具的说明文件，否则视为不满足要求）</w:t>
            </w:r>
            <w:r>
              <w:rPr>
                <w:rFonts w:hint="eastAsia" w:ascii="宋体" w:hAnsi="宋体" w:eastAsia="宋体" w:cs="宋体"/>
                <w:color w:val="auto"/>
                <w:szCs w:val="21"/>
                <w:highlight w:val="none"/>
                <w:lang w:val="en-US" w:eastAsia="zh-CN"/>
              </w:rPr>
              <w:t>的，才予以认可。</w:t>
            </w:r>
          </w:p>
        </w:tc>
        <w:tc>
          <w:tcPr>
            <w:tcW w:w="720" w:type="dxa"/>
            <w:vAlign w:val="center"/>
          </w:tcPr>
          <w:p w14:paraId="303B9C4F">
            <w:pPr>
              <w:pStyle w:val="54"/>
              <w:keepNext w:val="0"/>
              <w:keepLines w:val="0"/>
              <w:pageBreakBefore w:val="0"/>
              <w:kinsoku/>
              <w:overflowPunct/>
              <w:topLinePunct w:val="0"/>
              <w:autoSpaceDE/>
              <w:autoSpaceDN/>
              <w:bidi w:val="0"/>
              <w:spacing w:line="360" w:lineRule="auto"/>
              <w:ind w:left="100" w:right="134"/>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5%</w:t>
            </w:r>
          </w:p>
        </w:tc>
        <w:tc>
          <w:tcPr>
            <w:tcW w:w="2470" w:type="dxa"/>
            <w:vAlign w:val="center"/>
          </w:tcPr>
          <w:p w14:paraId="3BC563D0">
            <w:pPr>
              <w:pStyle w:val="54"/>
              <w:keepNext w:val="0"/>
              <w:keepLines w:val="0"/>
              <w:pageBreakBefore w:val="0"/>
              <w:kinsoku/>
              <w:overflowPunct/>
              <w:topLinePunct w:val="0"/>
              <w:autoSpaceDE/>
              <w:autoSpaceDN/>
              <w:bidi w:val="0"/>
              <w:spacing w:line="360" w:lineRule="auto"/>
              <w:ind w:left="100" w:right="134"/>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对满足要求的所有节能产品和环境标志产品的总报价给予价格扣除C2，即：该类产品评标价＝该类产品投标报价×（1-C2）；当同一产品同时获得节能产品认证证书和环境标志产品认证证书时，不可重复进行价格扣除。</w:t>
            </w:r>
          </w:p>
        </w:tc>
      </w:tr>
      <w:tr w14:paraId="60D80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9907" w:type="dxa"/>
            <w:gridSpan w:val="5"/>
            <w:vAlign w:val="center"/>
          </w:tcPr>
          <w:p w14:paraId="1D97F5DA">
            <w:pPr>
              <w:pStyle w:val="54"/>
              <w:keepNext w:val="0"/>
              <w:keepLines w:val="0"/>
              <w:pageBreakBefore w:val="0"/>
              <w:kinsoku/>
              <w:overflowPunct/>
              <w:topLinePunct w:val="0"/>
              <w:autoSpaceDE/>
              <w:autoSpaceDN/>
              <w:bidi w:val="0"/>
              <w:spacing w:line="360" w:lineRule="auto"/>
              <w:ind w:left="102"/>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注：</w:t>
            </w:r>
          </w:p>
          <w:p w14:paraId="07F13BE6">
            <w:pPr>
              <w:pStyle w:val="54"/>
              <w:keepNext w:val="0"/>
              <w:keepLines w:val="0"/>
              <w:pageBreakBefore w:val="0"/>
              <w:numPr>
                <w:ilvl w:val="0"/>
                <w:numId w:val="7"/>
              </w:numPr>
              <w:kinsoku/>
              <w:overflowPunct/>
              <w:topLinePunct w:val="0"/>
              <w:autoSpaceDE/>
              <w:autoSpaceDN/>
              <w:bidi w:val="0"/>
              <w:spacing w:line="360" w:lineRule="auto"/>
              <w:ind w:left="102"/>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 xml:space="preserve">上述评标价仅用于计算价格分，中标金额以实际投标价为准。 </w:t>
            </w:r>
          </w:p>
          <w:p w14:paraId="7DB4B179">
            <w:pPr>
              <w:pStyle w:val="54"/>
              <w:keepNext w:val="0"/>
              <w:keepLines w:val="0"/>
              <w:pageBreakBefore w:val="0"/>
              <w:numPr>
                <w:ilvl w:val="0"/>
                <w:numId w:val="7"/>
              </w:numPr>
              <w:kinsoku/>
              <w:overflowPunct/>
              <w:topLinePunct w:val="0"/>
              <w:autoSpaceDE/>
              <w:autoSpaceDN/>
              <w:bidi w:val="0"/>
              <w:spacing w:line="360" w:lineRule="auto"/>
              <w:ind w:left="102"/>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组成联合体的大中型企业和其他自然人、法人或者其他组织、与小型、微型企业之间不得存在投资关系。</w:t>
            </w:r>
          </w:p>
          <w:p w14:paraId="6D7C3405">
            <w:pPr>
              <w:pStyle w:val="54"/>
              <w:keepNext w:val="0"/>
              <w:keepLines w:val="0"/>
              <w:pageBreakBefore w:val="0"/>
              <w:numPr>
                <w:ilvl w:val="0"/>
                <w:numId w:val="7"/>
              </w:numPr>
              <w:kinsoku/>
              <w:overflowPunct/>
              <w:topLinePunct w:val="0"/>
              <w:autoSpaceDE/>
              <w:autoSpaceDN/>
              <w:bidi w:val="0"/>
              <w:spacing w:line="360" w:lineRule="auto"/>
              <w:ind w:left="102"/>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组成联合体或者接受分包的小微企业与联合体内其他企业、分包企业之间存在直接控股、管理关系的，不享受价格扣除优惠政策。</w:t>
            </w:r>
          </w:p>
          <w:p w14:paraId="7D8B06EE">
            <w:pPr>
              <w:pStyle w:val="54"/>
              <w:keepNext w:val="0"/>
              <w:keepLines w:val="0"/>
              <w:pageBreakBefore w:val="0"/>
              <w:numPr>
                <w:ilvl w:val="0"/>
                <w:numId w:val="7"/>
              </w:numPr>
              <w:kinsoku/>
              <w:overflowPunct/>
              <w:topLinePunct w:val="0"/>
              <w:autoSpaceDE/>
              <w:autoSpaceDN/>
              <w:bidi w:val="0"/>
              <w:spacing w:line="360" w:lineRule="auto"/>
              <w:ind w:left="102"/>
              <w:jc w:val="both"/>
              <w:rPr>
                <w:rFonts w:hint="eastAsia" w:ascii="宋体" w:hAnsi="宋体" w:eastAsia="宋体" w:cs="宋体"/>
                <w:color w:val="auto"/>
                <w:szCs w:val="21"/>
                <w:highlight w:val="none"/>
                <w:lang w:eastAsia="zh-CN"/>
              </w:rPr>
            </w:pPr>
            <w:r>
              <w:rPr>
                <w:rFonts w:hint="eastAsia" w:ascii="宋体" w:hAnsi="宋体" w:eastAsia="宋体" w:cs="宋体"/>
                <w:color w:val="auto"/>
                <w:sz w:val="21"/>
                <w:szCs w:val="21"/>
                <w:highlight w:val="none"/>
                <w:lang w:val="en-US" w:eastAsia="zh-CN"/>
              </w:rPr>
              <w:t>当涉及政府采购政策叠加适用，统一在原投标报价的基础上进行价格扣除。</w:t>
            </w:r>
          </w:p>
        </w:tc>
      </w:tr>
    </w:tbl>
    <w:p w14:paraId="22044204">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（1）所称小型和微型企业应当符合以下条件：</w:t>
      </w:r>
    </w:p>
    <w:p w14:paraId="19BAB8B8">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在中华人民共和国境内依法设立，依据国务院批准的中小企业划分标准确定的小型企业和微型企业，但与大企业的负责人为同一人，或者与大企业存在直接控股、管理关系的除外。</w:t>
      </w:r>
    </w:p>
    <w:p w14:paraId="00D54C3C">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符合中小企业划分标准的个体工商户，在政府采购活动中视同中小企业。</w:t>
      </w:r>
    </w:p>
    <w:p w14:paraId="58275CEE">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提供本企业（属于小微企业）制造的货物或者提供其他小型或微型企业制造的货物/提供本企业（属于小微企业）承接的服务。</w:t>
      </w:r>
    </w:p>
    <w:p w14:paraId="08E11E38">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符合中小企业扶持政策的投标人应填写《中小企业声明函》；监狱企业须投标人提供由监狱管理局、戒毒管理局（含新疆生产建设兵团）出具的属于监狱企业的证明文件；残疾人福利性单位应填写《残疾人福利性单位声明函》，否则不认定价格扣除。</w:t>
      </w:r>
    </w:p>
    <w:p w14:paraId="3AF1D989">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说明：投标人应当对其出具的《中小企业声明函》真实性负责，投标人出具的《中小企业声明函》内容不实的，属于提供虚假材料谋取中标。</w:t>
      </w:r>
    </w:p>
    <w:p w14:paraId="03F6A979">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统一在一份《中小企业声明函》中说明联合体各方的中小微情况：包括联合体各方均为小型、微型企业的，及中小微企业作为联合体一方参与政府采购活动，且共同投标协议书中约定，小型、微型企业的协议合同金额占到联合体协议合同总金额30%以上的。</w:t>
      </w:r>
    </w:p>
    <w:p w14:paraId="1BD2100B">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p>
    <w:p w14:paraId="6362DB14">
      <w:pPr>
        <w:pStyle w:val="27"/>
        <w:keepNext w:val="0"/>
        <w:keepLines w:val="0"/>
        <w:pageBreakBefore w:val="0"/>
        <w:kinsoku/>
        <w:overflowPunct/>
        <w:topLinePunct w:val="0"/>
        <w:autoSpaceDE/>
        <w:autoSpaceDN/>
        <w:bidi w:val="0"/>
        <w:spacing w:line="360" w:lineRule="auto"/>
        <w:ind w:firstLine="0" w:firstLineChars="0"/>
        <w:outlineLvl w:val="1"/>
        <w:rPr>
          <w:rFonts w:hint="eastAsia" w:ascii="宋体" w:hAnsi="宋体" w:eastAsia="宋体" w:cs="宋体"/>
          <w:b/>
          <w:bCs/>
          <w:color w:val="auto"/>
          <w:sz w:val="21"/>
          <w:szCs w:val="21"/>
          <w:highlight w:val="none"/>
        </w:rPr>
      </w:pPr>
      <w:bookmarkStart w:id="153" w:name="_Toc103462406"/>
      <w:bookmarkStart w:id="154" w:name="_Toc103461391"/>
      <w:bookmarkStart w:id="155" w:name="_Toc103461620"/>
      <w:bookmarkStart w:id="156" w:name="_Toc8498"/>
      <w:bookmarkStart w:id="157" w:name="_Toc103462380"/>
      <w:bookmarkStart w:id="158" w:name="_Toc104131904"/>
      <w:r>
        <w:rPr>
          <w:rFonts w:hint="eastAsia" w:ascii="宋体" w:hAnsi="宋体" w:eastAsia="宋体" w:cs="宋体"/>
          <w:b/>
          <w:bCs/>
          <w:color w:val="auto"/>
          <w:sz w:val="21"/>
          <w:szCs w:val="21"/>
          <w:highlight w:val="none"/>
        </w:rPr>
        <w:t>三、评审程序</w:t>
      </w:r>
      <w:bookmarkEnd w:id="153"/>
      <w:bookmarkEnd w:id="154"/>
      <w:bookmarkEnd w:id="155"/>
      <w:bookmarkEnd w:id="156"/>
      <w:bookmarkEnd w:id="157"/>
      <w:bookmarkEnd w:id="158"/>
    </w:p>
    <w:p w14:paraId="771CA144">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1.资格性审查、符合性审查和异常低价审查</w:t>
      </w:r>
    </w:p>
    <w:p w14:paraId="6F172B07">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资格性审查。公开招标采购项目开标结束后，采购人或采购代理机构应当依法对投标人的资格进行审查，以确定投标人是否具备投标资格。（详见后附表一资格性审查表）</w:t>
      </w:r>
    </w:p>
    <w:p w14:paraId="15E89657">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符合性审查。评标委员会依据招标文件的规定，从投标文件的有效性、完整性和对招标文件的响应程度进行审查，以确定是否对招标文件的实质性要求作出响应。（详见后附表二符合性审查表）</w:t>
      </w:r>
    </w:p>
    <w:p w14:paraId="396D1808">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异常低价审查。采购评审中出现下列情形之一的，评审委员会应当启动异常低价投标（响应）审查程序（详见后附表三异常低价审查表）：</w:t>
      </w:r>
    </w:p>
    <w:p w14:paraId="22FBF681">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（1）投标（响应）报价低于全部通过符合性审查供应商投标（响应）报价平均值50%的，即投标（响应）报价&lt;全部通过符合性审查供应商投标（响应）报价平均值×50%；</w:t>
      </w:r>
    </w:p>
    <w:p w14:paraId="285C0830">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（2）)投标（响应）报价低于通过符合性审查且报价次低供应商投标（响应）报价50%的，即投标（响应）报价&lt;通过符合性审查且报价次低供应商投标（响应）报价×50%；</w:t>
      </w:r>
    </w:p>
    <w:p w14:paraId="33B9300C">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（3）投标（响应）报价低于采购项目最高限价45%的，即投标（响应）报价&lt;采购项目最高限价×45%；</w:t>
      </w:r>
    </w:p>
    <w:p w14:paraId="3A3115B7">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（4）评审委员会基于专业判断，认为供应商报价过低，有可能影响产品质量或者不能诚信履约的其他情形。</w:t>
      </w:r>
    </w:p>
    <w:p w14:paraId="7FA1BE0D">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如项目（包组）采用下浮率报价的，则所述的投标（响应）报价， 则为（1-下浮率报价）。</w:t>
      </w:r>
    </w:p>
    <w:p w14:paraId="04CA0702">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相关法律法规对供应商报价有规定的，从其规定。</w:t>
      </w:r>
    </w:p>
    <w:p w14:paraId="411646BE">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FEA5312">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被启动异常低价审查的供应商，如果不提供书面说明、证明材料，或者提供的书面说明、证明材料不能证明其报价合理性的，</w:t>
      </w:r>
      <w:r>
        <w:rPr>
          <w:rFonts w:hint="eastAsia" w:ascii="宋体" w:hAnsi="宋体" w:eastAsia="宋体" w:cs="宋体"/>
          <w:color w:val="auto"/>
          <w:sz w:val="21"/>
          <w:szCs w:val="21"/>
          <w:highlight w:val="none"/>
          <w:lang w:val="en-US" w:eastAsia="zh-CN"/>
        </w:rPr>
        <w:t>评审委员会</w:t>
      </w:r>
      <w:r>
        <w:rPr>
          <w:rFonts w:hint="eastAsia" w:ascii="宋体" w:hAnsi="宋体" w:eastAsia="宋体" w:cs="宋体"/>
          <w:color w:val="auto"/>
          <w:sz w:val="21"/>
          <w:szCs w:val="21"/>
          <w:highlight w:val="none"/>
        </w:rPr>
        <w:t>应当将其作为无效投标（响应）处理。</w:t>
      </w:r>
    </w:p>
    <w:p w14:paraId="04C82890">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通过异常低价审查的不足3家，不得进入详细评审。</w:t>
      </w:r>
    </w:p>
    <w:p w14:paraId="211453BF">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资格性审查、符合性审查、异常低价审查中凡有其中任意一项未通过的，评审结果为未通过，未通过资格性审查、符合性审查、异常低价审查的投标人按无效投标处理。</w:t>
      </w:r>
    </w:p>
    <w:p w14:paraId="2423D5FC">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各投标人进行资格审查、符合性审查、异常低价审查过程中，对初步被认定为无效投标者，由评标委员会组长或采购人代表将集体意见及时告知投标当事人。采购代理机构应在评标报告中以书面形式解释其排除的具体原因。</w:t>
      </w:r>
    </w:p>
    <w:p w14:paraId="71A788A9">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sz w:val="21"/>
          <w:szCs w:val="21"/>
          <w:highlight w:val="none"/>
        </w:rPr>
        <w:t>合格投标人不足3家的，不得评标。</w:t>
      </w:r>
    </w:p>
    <w:p w14:paraId="629D20BB">
      <w:pPr>
        <w:pStyle w:val="27"/>
        <w:keepNext w:val="0"/>
        <w:keepLines w:val="0"/>
        <w:pageBreakBefore w:val="0"/>
        <w:kinsoku/>
        <w:overflowPunct/>
        <w:topLinePunct w:val="0"/>
        <w:autoSpaceDE/>
        <w:autoSpaceDN/>
        <w:bidi w:val="0"/>
        <w:spacing w:line="360" w:lineRule="auto"/>
        <w:rPr>
          <w:rFonts w:hint="eastAsia" w:ascii="宋体" w:hAnsi="宋体" w:eastAsia="宋体" w:cs="宋体"/>
          <w:color w:val="auto"/>
          <w:highlight w:val="none"/>
        </w:rPr>
      </w:pPr>
    </w:p>
    <w:p w14:paraId="0F6925EE">
      <w:pPr>
        <w:pStyle w:val="27"/>
        <w:keepNext w:val="0"/>
        <w:keepLines w:val="0"/>
        <w:pageBreakBefore w:val="0"/>
        <w:kinsoku/>
        <w:overflowPunct/>
        <w:topLinePunct w:val="0"/>
        <w:autoSpaceDE/>
        <w:autoSpaceDN/>
        <w:bidi w:val="0"/>
        <w:spacing w:line="360" w:lineRule="auto"/>
        <w:ind w:firstLine="422"/>
        <w:outlineLvl w:val="3"/>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表一：资格性审查表</w:t>
      </w:r>
    </w:p>
    <w:tbl>
      <w:tblPr>
        <w:tblStyle w:val="34"/>
        <w:tblW w:w="9762"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45"/>
        <w:gridCol w:w="2266"/>
        <w:gridCol w:w="6651"/>
      </w:tblGrid>
      <w:tr w14:paraId="68384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845" w:type="dxa"/>
            <w:shd w:val="clear" w:color="auto" w:fill="F4F4F4"/>
            <w:vAlign w:val="center"/>
          </w:tcPr>
          <w:p w14:paraId="39A606A5">
            <w:pPr>
              <w:pStyle w:val="54"/>
              <w:keepNext w:val="0"/>
              <w:keepLines w:val="0"/>
              <w:pageBreakBefore w:val="0"/>
              <w:kinsoku/>
              <w:overflowPunct/>
              <w:topLinePunct w:val="0"/>
              <w:autoSpaceDE/>
              <w:autoSpaceDN/>
              <w:bidi w:val="0"/>
              <w:spacing w:line="360" w:lineRule="auto"/>
              <w:ind w:left="22" w:right="-11"/>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序号</w:t>
            </w:r>
          </w:p>
        </w:tc>
        <w:tc>
          <w:tcPr>
            <w:tcW w:w="8917" w:type="dxa"/>
            <w:gridSpan w:val="2"/>
            <w:shd w:val="clear" w:color="auto" w:fill="F4F4F4"/>
          </w:tcPr>
          <w:p w14:paraId="0C2236DE">
            <w:pPr>
              <w:pStyle w:val="54"/>
              <w:keepNext w:val="0"/>
              <w:keepLines w:val="0"/>
              <w:pageBreakBefore w:val="0"/>
              <w:kinsoku/>
              <w:overflowPunct/>
              <w:topLinePunct w:val="0"/>
              <w:autoSpaceDE/>
              <w:autoSpaceDN/>
              <w:bidi w:val="0"/>
              <w:spacing w:line="360" w:lineRule="auto"/>
              <w:ind w:right="34"/>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资格审查内容</w:t>
            </w:r>
          </w:p>
        </w:tc>
      </w:tr>
      <w:tr w14:paraId="0F696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845" w:type="dxa"/>
            <w:vAlign w:val="center"/>
          </w:tcPr>
          <w:p w14:paraId="5430A809">
            <w:pPr>
              <w:pStyle w:val="54"/>
              <w:keepNext w:val="0"/>
              <w:keepLines w:val="0"/>
              <w:pageBreakBefore w:val="0"/>
              <w:numPr>
                <w:ilvl w:val="0"/>
                <w:numId w:val="8"/>
              </w:numPr>
              <w:kinsoku/>
              <w:overflowPunct/>
              <w:topLinePunct w:val="0"/>
              <w:autoSpaceDE/>
              <w:autoSpaceDN/>
              <w:bidi w:val="0"/>
              <w:spacing w:line="360" w:lineRule="auto"/>
              <w:jc w:val="center"/>
              <w:rPr>
                <w:rFonts w:hint="eastAsia" w:ascii="宋体" w:hAnsi="宋体" w:eastAsia="宋体" w:cs="宋体"/>
                <w:color w:val="auto"/>
                <w:szCs w:val="21"/>
                <w:highlight w:val="none"/>
              </w:rPr>
            </w:pPr>
          </w:p>
        </w:tc>
        <w:tc>
          <w:tcPr>
            <w:tcW w:w="2266" w:type="dxa"/>
            <w:vAlign w:val="center"/>
          </w:tcPr>
          <w:p w14:paraId="291B7084">
            <w:pPr>
              <w:pStyle w:val="54"/>
              <w:keepNext w:val="0"/>
              <w:keepLines w:val="0"/>
              <w:pageBreakBefore w:val="0"/>
              <w:kinsoku/>
              <w:overflowPunct/>
              <w:topLinePunct w:val="0"/>
              <w:autoSpaceDE/>
              <w:autoSpaceDN/>
              <w:bidi w:val="0"/>
              <w:spacing w:line="360" w:lineRule="auto"/>
              <w:ind w:left="100" w:right="206"/>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具有独立承担民事责任的能力</w:t>
            </w:r>
          </w:p>
        </w:tc>
        <w:tc>
          <w:tcPr>
            <w:tcW w:w="6651" w:type="dxa"/>
            <w:vAlign w:val="center"/>
          </w:tcPr>
          <w:p w14:paraId="01B3056D">
            <w:pPr>
              <w:pStyle w:val="54"/>
              <w:keepNext w:val="0"/>
              <w:keepLines w:val="0"/>
              <w:pageBreakBefore w:val="0"/>
              <w:kinsoku/>
              <w:overflowPunct/>
              <w:topLinePunct w:val="0"/>
              <w:autoSpaceDE/>
              <w:autoSpaceDN/>
              <w:bidi w:val="0"/>
              <w:spacing w:line="360" w:lineRule="auto"/>
              <w:ind w:left="100" w:right="98"/>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在中华人民共和国境内注册的法人或其他组织或自然人，投标文件中须提供有效的营业执照（或事业法人登记证或身份证等相关证明）复印件。分支机构</w:t>
            </w:r>
            <w:r>
              <w:rPr>
                <w:rFonts w:hint="eastAsia" w:ascii="宋体" w:hAnsi="宋体" w:eastAsia="宋体" w:cs="宋体"/>
                <w:color w:val="auto"/>
                <w:highlight w:val="none"/>
                <w:lang w:eastAsia="zh-CN"/>
              </w:rPr>
              <w:t>投标</w:t>
            </w:r>
            <w:r>
              <w:rPr>
                <w:rFonts w:hint="eastAsia" w:ascii="宋体" w:hAnsi="宋体" w:eastAsia="宋体" w:cs="宋体"/>
                <w:color w:val="auto"/>
                <w:szCs w:val="21"/>
                <w:highlight w:val="none"/>
                <w:lang w:eastAsia="zh-CN"/>
              </w:rPr>
              <w:t>的，投标文件中须提供总公司和分公司营业执照复印件，总公司出具给分支机构的授权书。</w:t>
            </w:r>
          </w:p>
        </w:tc>
      </w:tr>
      <w:tr w14:paraId="39A2D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845" w:type="dxa"/>
            <w:vAlign w:val="center"/>
          </w:tcPr>
          <w:p w14:paraId="41DBDFC4">
            <w:pPr>
              <w:pStyle w:val="54"/>
              <w:keepNext w:val="0"/>
              <w:keepLines w:val="0"/>
              <w:pageBreakBefore w:val="0"/>
              <w:numPr>
                <w:ilvl w:val="0"/>
                <w:numId w:val="8"/>
              </w:numPr>
              <w:kinsoku/>
              <w:overflowPunct/>
              <w:topLinePunct w:val="0"/>
              <w:autoSpaceDE/>
              <w:autoSpaceDN/>
              <w:bidi w:val="0"/>
              <w:spacing w:line="360" w:lineRule="auto"/>
              <w:jc w:val="center"/>
              <w:rPr>
                <w:rFonts w:hint="eastAsia" w:ascii="宋体" w:hAnsi="宋体" w:eastAsia="宋体" w:cs="宋体"/>
                <w:color w:val="auto"/>
                <w:szCs w:val="21"/>
                <w:highlight w:val="none"/>
                <w:lang w:eastAsia="zh-CN"/>
              </w:rPr>
            </w:pPr>
          </w:p>
        </w:tc>
        <w:tc>
          <w:tcPr>
            <w:tcW w:w="2266" w:type="dxa"/>
            <w:vAlign w:val="center"/>
          </w:tcPr>
          <w:p w14:paraId="18E42786">
            <w:pPr>
              <w:pStyle w:val="54"/>
              <w:keepNext w:val="0"/>
              <w:keepLines w:val="0"/>
              <w:pageBreakBefore w:val="0"/>
              <w:kinsoku/>
              <w:overflowPunct/>
              <w:topLinePunct w:val="0"/>
              <w:autoSpaceDE/>
              <w:autoSpaceDN/>
              <w:bidi w:val="0"/>
              <w:spacing w:line="360" w:lineRule="auto"/>
              <w:ind w:left="100"/>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有依法缴纳税收和社会保障资金的良好记录</w:t>
            </w:r>
          </w:p>
        </w:tc>
        <w:tc>
          <w:tcPr>
            <w:tcW w:w="6651" w:type="dxa"/>
            <w:vAlign w:val="center"/>
          </w:tcPr>
          <w:p w14:paraId="670AD26A">
            <w:pPr>
              <w:pStyle w:val="54"/>
              <w:keepNext w:val="0"/>
              <w:keepLines w:val="0"/>
              <w:pageBreakBefore w:val="0"/>
              <w:kinsoku/>
              <w:overflowPunct/>
              <w:topLinePunct w:val="0"/>
              <w:autoSpaceDE/>
              <w:autoSpaceDN/>
              <w:bidi w:val="0"/>
              <w:spacing w:line="360" w:lineRule="auto"/>
              <w:ind w:left="1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投标文件中须提供20</w:t>
            </w:r>
            <w:r>
              <w:rPr>
                <w:rFonts w:hint="eastAsia" w:ascii="宋体" w:hAnsi="宋体" w:eastAsia="宋体" w:cs="宋体"/>
                <w:color w:val="auto"/>
                <w:szCs w:val="21"/>
                <w:highlight w:val="none"/>
                <w:lang w:val="en-US" w:eastAsia="zh-CN"/>
              </w:rPr>
              <w:t>26</w:t>
            </w:r>
            <w:r>
              <w:rPr>
                <w:rFonts w:hint="eastAsia" w:ascii="宋体" w:hAnsi="宋体" w:eastAsia="宋体" w:cs="宋体"/>
                <w:color w:val="auto"/>
                <w:szCs w:val="21"/>
                <w:highlight w:val="none"/>
                <w:lang w:eastAsia="zh-CN"/>
              </w:rPr>
              <w:t>年</w:t>
            </w:r>
            <w:r>
              <w:rPr>
                <w:rFonts w:hint="eastAsia" w:ascii="宋体" w:hAnsi="宋体" w:eastAsia="宋体" w:cs="宋体"/>
                <w:color w:val="auto"/>
                <w:szCs w:val="21"/>
                <w:highlight w:val="none"/>
                <w:lang w:val="en-US" w:eastAsia="zh-CN"/>
              </w:rPr>
              <w:t>01</w:t>
            </w:r>
            <w:r>
              <w:rPr>
                <w:rFonts w:hint="eastAsia" w:ascii="宋体" w:hAnsi="宋体" w:eastAsia="宋体" w:cs="宋体"/>
                <w:color w:val="auto"/>
                <w:szCs w:val="21"/>
                <w:highlight w:val="none"/>
                <w:lang w:eastAsia="zh-CN"/>
              </w:rPr>
              <w:t>月至今任意1个月依法缴纳税收和社会保障资金的相关材料。如依法免税或不需要缴纳社会保障资金的，提供相应证明材料。</w:t>
            </w:r>
          </w:p>
        </w:tc>
      </w:tr>
      <w:tr w14:paraId="0CC1F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845" w:type="dxa"/>
            <w:vAlign w:val="center"/>
          </w:tcPr>
          <w:p w14:paraId="230034C5">
            <w:pPr>
              <w:pStyle w:val="54"/>
              <w:keepNext w:val="0"/>
              <w:keepLines w:val="0"/>
              <w:pageBreakBefore w:val="0"/>
              <w:numPr>
                <w:ilvl w:val="0"/>
                <w:numId w:val="8"/>
              </w:numPr>
              <w:kinsoku/>
              <w:overflowPunct/>
              <w:topLinePunct w:val="0"/>
              <w:autoSpaceDE/>
              <w:autoSpaceDN/>
              <w:bidi w:val="0"/>
              <w:spacing w:line="360" w:lineRule="auto"/>
              <w:jc w:val="center"/>
              <w:rPr>
                <w:rFonts w:hint="eastAsia" w:ascii="宋体" w:hAnsi="宋体" w:eastAsia="宋体" w:cs="宋体"/>
                <w:color w:val="auto"/>
                <w:szCs w:val="21"/>
                <w:highlight w:val="none"/>
                <w:lang w:eastAsia="zh-CN"/>
              </w:rPr>
            </w:pPr>
          </w:p>
        </w:tc>
        <w:tc>
          <w:tcPr>
            <w:tcW w:w="2266" w:type="dxa"/>
            <w:vAlign w:val="center"/>
          </w:tcPr>
          <w:p w14:paraId="6780CD09">
            <w:pPr>
              <w:pStyle w:val="54"/>
              <w:keepNext w:val="0"/>
              <w:keepLines w:val="0"/>
              <w:pageBreakBefore w:val="0"/>
              <w:kinsoku/>
              <w:overflowPunct/>
              <w:topLinePunct w:val="0"/>
              <w:autoSpaceDE/>
              <w:autoSpaceDN/>
              <w:bidi w:val="0"/>
              <w:spacing w:line="360" w:lineRule="auto"/>
              <w:ind w:left="100"/>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具有良好的商业信誉和健全的财务会计制度</w:t>
            </w:r>
          </w:p>
        </w:tc>
        <w:tc>
          <w:tcPr>
            <w:tcW w:w="6651" w:type="dxa"/>
            <w:vAlign w:val="center"/>
          </w:tcPr>
          <w:p w14:paraId="203FC28E">
            <w:pPr>
              <w:pStyle w:val="54"/>
              <w:keepNext w:val="0"/>
              <w:keepLines w:val="0"/>
              <w:pageBreakBefore w:val="0"/>
              <w:kinsoku/>
              <w:overflowPunct/>
              <w:topLinePunct w:val="0"/>
              <w:autoSpaceDE/>
              <w:autoSpaceDN/>
              <w:bidi w:val="0"/>
              <w:spacing w:line="360" w:lineRule="auto"/>
              <w:ind w:left="100" w:right="98"/>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投标文件中须提供20</w:t>
            </w:r>
            <w:r>
              <w:rPr>
                <w:rFonts w:hint="eastAsia" w:ascii="宋体" w:hAnsi="宋体" w:eastAsia="宋体" w:cs="宋体"/>
                <w:color w:val="auto"/>
                <w:szCs w:val="21"/>
                <w:highlight w:val="none"/>
                <w:lang w:val="en-US" w:eastAsia="zh-CN"/>
              </w:rPr>
              <w:t>25</w:t>
            </w:r>
            <w:r>
              <w:rPr>
                <w:rFonts w:hint="eastAsia" w:ascii="宋体" w:hAnsi="宋体" w:eastAsia="宋体" w:cs="宋体"/>
                <w:color w:val="auto"/>
                <w:szCs w:val="21"/>
                <w:highlight w:val="none"/>
                <w:lang w:eastAsia="zh-CN"/>
              </w:rPr>
              <w:t>年度经审计的财务状况报告，或20</w:t>
            </w:r>
            <w:r>
              <w:rPr>
                <w:rFonts w:hint="eastAsia" w:ascii="宋体" w:hAnsi="宋体" w:eastAsia="宋体" w:cs="宋体"/>
                <w:color w:val="auto"/>
                <w:szCs w:val="21"/>
                <w:highlight w:val="none"/>
                <w:lang w:val="en-US" w:eastAsia="zh-CN"/>
              </w:rPr>
              <w:t>26</w:t>
            </w:r>
            <w:r>
              <w:rPr>
                <w:rFonts w:hint="eastAsia" w:ascii="宋体" w:hAnsi="宋体" w:eastAsia="宋体" w:cs="宋体"/>
                <w:color w:val="auto"/>
                <w:szCs w:val="21"/>
                <w:highlight w:val="none"/>
                <w:lang w:eastAsia="zh-CN"/>
              </w:rPr>
              <w:t>年</w:t>
            </w:r>
            <w:r>
              <w:rPr>
                <w:rFonts w:hint="eastAsia" w:ascii="宋体" w:hAnsi="宋体" w:eastAsia="宋体" w:cs="宋体"/>
                <w:color w:val="auto"/>
                <w:szCs w:val="21"/>
                <w:highlight w:val="none"/>
                <w:lang w:val="en-US" w:eastAsia="zh-CN"/>
              </w:rPr>
              <w:t>01</w:t>
            </w:r>
            <w:r>
              <w:rPr>
                <w:rFonts w:hint="eastAsia" w:ascii="宋体" w:hAnsi="宋体" w:eastAsia="宋体" w:cs="宋体"/>
                <w:color w:val="auto"/>
                <w:szCs w:val="21"/>
                <w:highlight w:val="none"/>
                <w:lang w:eastAsia="zh-CN"/>
              </w:rPr>
              <w:t>月至今任意1个月的会计报表，或银行出具的资信证明（资信证明应在有效期内；未注明有效期的，银行出具时间至提交投标文件截止时间不超过一年）。</w:t>
            </w:r>
          </w:p>
        </w:tc>
      </w:tr>
      <w:tr w14:paraId="4983D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845" w:type="dxa"/>
            <w:vAlign w:val="center"/>
          </w:tcPr>
          <w:p w14:paraId="0CE350AA">
            <w:pPr>
              <w:pStyle w:val="54"/>
              <w:keepNext w:val="0"/>
              <w:keepLines w:val="0"/>
              <w:pageBreakBefore w:val="0"/>
              <w:numPr>
                <w:ilvl w:val="0"/>
                <w:numId w:val="8"/>
              </w:numPr>
              <w:kinsoku/>
              <w:overflowPunct/>
              <w:topLinePunct w:val="0"/>
              <w:autoSpaceDE/>
              <w:autoSpaceDN/>
              <w:bidi w:val="0"/>
              <w:spacing w:line="360" w:lineRule="auto"/>
              <w:jc w:val="center"/>
              <w:rPr>
                <w:rFonts w:hint="eastAsia" w:ascii="宋体" w:hAnsi="宋体" w:eastAsia="宋体" w:cs="宋体"/>
                <w:color w:val="auto"/>
                <w:szCs w:val="21"/>
                <w:highlight w:val="none"/>
                <w:lang w:eastAsia="zh-CN"/>
              </w:rPr>
            </w:pPr>
          </w:p>
        </w:tc>
        <w:tc>
          <w:tcPr>
            <w:tcW w:w="2266" w:type="dxa"/>
            <w:vAlign w:val="center"/>
          </w:tcPr>
          <w:p w14:paraId="7EC93E5B">
            <w:pPr>
              <w:pStyle w:val="54"/>
              <w:keepNext w:val="0"/>
              <w:keepLines w:val="0"/>
              <w:pageBreakBefore w:val="0"/>
              <w:kinsoku/>
              <w:overflowPunct/>
              <w:topLinePunct w:val="0"/>
              <w:autoSpaceDE/>
              <w:autoSpaceDN/>
              <w:bidi w:val="0"/>
              <w:spacing w:line="360" w:lineRule="auto"/>
              <w:ind w:left="100"/>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履行合同所必需的设备和专业技术能力</w:t>
            </w:r>
          </w:p>
        </w:tc>
        <w:tc>
          <w:tcPr>
            <w:tcW w:w="6651" w:type="dxa"/>
            <w:vAlign w:val="center"/>
          </w:tcPr>
          <w:p w14:paraId="4773DAC5">
            <w:pPr>
              <w:pStyle w:val="54"/>
              <w:keepNext w:val="0"/>
              <w:keepLines w:val="0"/>
              <w:pageBreakBefore w:val="0"/>
              <w:kinsoku/>
              <w:overflowPunct/>
              <w:topLinePunct w:val="0"/>
              <w:autoSpaceDE/>
              <w:autoSpaceDN/>
              <w:bidi w:val="0"/>
              <w:spacing w:line="360" w:lineRule="auto"/>
              <w:ind w:left="1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投标文件中须提供设备和专业技术能力情况表。</w:t>
            </w:r>
          </w:p>
        </w:tc>
      </w:tr>
      <w:tr w14:paraId="7F278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845" w:type="dxa"/>
            <w:vAlign w:val="center"/>
          </w:tcPr>
          <w:p w14:paraId="3A837B54">
            <w:pPr>
              <w:pStyle w:val="54"/>
              <w:keepNext w:val="0"/>
              <w:keepLines w:val="0"/>
              <w:pageBreakBefore w:val="0"/>
              <w:numPr>
                <w:ilvl w:val="0"/>
                <w:numId w:val="8"/>
              </w:numPr>
              <w:kinsoku/>
              <w:overflowPunct/>
              <w:topLinePunct w:val="0"/>
              <w:autoSpaceDE/>
              <w:autoSpaceDN/>
              <w:bidi w:val="0"/>
              <w:spacing w:line="360" w:lineRule="auto"/>
              <w:jc w:val="center"/>
              <w:rPr>
                <w:rFonts w:hint="eastAsia" w:ascii="宋体" w:hAnsi="宋体" w:eastAsia="宋体" w:cs="宋体"/>
                <w:color w:val="auto"/>
                <w:szCs w:val="21"/>
                <w:highlight w:val="none"/>
                <w:lang w:eastAsia="zh-CN"/>
              </w:rPr>
            </w:pPr>
          </w:p>
        </w:tc>
        <w:tc>
          <w:tcPr>
            <w:tcW w:w="2266" w:type="dxa"/>
            <w:vAlign w:val="center"/>
          </w:tcPr>
          <w:p w14:paraId="01C0A575">
            <w:pPr>
              <w:pStyle w:val="54"/>
              <w:keepNext w:val="0"/>
              <w:keepLines w:val="0"/>
              <w:pageBreakBefore w:val="0"/>
              <w:kinsoku/>
              <w:overflowPunct/>
              <w:topLinePunct w:val="0"/>
              <w:autoSpaceDE/>
              <w:autoSpaceDN/>
              <w:bidi w:val="0"/>
              <w:spacing w:line="360" w:lineRule="auto"/>
              <w:ind w:left="100" w:right="86"/>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参加采购活动前</w:t>
            </w:r>
            <w:r>
              <w:rPr>
                <w:rFonts w:hint="eastAsia" w:ascii="宋体" w:hAnsi="宋体" w:eastAsia="宋体" w:cs="宋体"/>
                <w:color w:val="auto"/>
                <w:w w:val="110"/>
                <w:szCs w:val="21"/>
                <w:highlight w:val="none"/>
                <w:lang w:eastAsia="zh-CN"/>
              </w:rPr>
              <w:t>3</w:t>
            </w:r>
            <w:r>
              <w:rPr>
                <w:rFonts w:hint="eastAsia" w:ascii="宋体" w:hAnsi="宋体" w:eastAsia="宋体" w:cs="宋体"/>
                <w:color w:val="auto"/>
                <w:szCs w:val="21"/>
                <w:highlight w:val="none"/>
                <w:lang w:eastAsia="zh-CN"/>
              </w:rPr>
              <w:t>年内，在经营活动中没有重大违法记录</w:t>
            </w:r>
          </w:p>
        </w:tc>
        <w:tc>
          <w:tcPr>
            <w:tcW w:w="6651" w:type="dxa"/>
            <w:vAlign w:val="center"/>
          </w:tcPr>
          <w:p w14:paraId="7B103F74">
            <w:pPr>
              <w:pStyle w:val="54"/>
              <w:keepNext w:val="0"/>
              <w:keepLines w:val="0"/>
              <w:pageBreakBefore w:val="0"/>
              <w:kinsoku/>
              <w:overflowPunct/>
              <w:topLinePunct w:val="0"/>
              <w:autoSpaceDE/>
              <w:autoSpaceDN/>
              <w:bidi w:val="0"/>
              <w:spacing w:line="360" w:lineRule="auto"/>
              <w:ind w:left="1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在《投标函》中进行相关申明。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14:paraId="6AF12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845" w:type="dxa"/>
            <w:vAlign w:val="center"/>
          </w:tcPr>
          <w:p w14:paraId="6B9A3FBF">
            <w:pPr>
              <w:pStyle w:val="54"/>
              <w:keepNext w:val="0"/>
              <w:keepLines w:val="0"/>
              <w:pageBreakBefore w:val="0"/>
              <w:numPr>
                <w:ilvl w:val="0"/>
                <w:numId w:val="8"/>
              </w:numPr>
              <w:kinsoku/>
              <w:overflowPunct/>
              <w:topLinePunct w:val="0"/>
              <w:autoSpaceDE/>
              <w:autoSpaceDN/>
              <w:bidi w:val="0"/>
              <w:spacing w:line="360" w:lineRule="auto"/>
              <w:jc w:val="center"/>
              <w:rPr>
                <w:rFonts w:hint="eastAsia" w:ascii="宋体" w:hAnsi="宋体" w:eastAsia="宋体" w:cs="宋体"/>
                <w:color w:val="auto"/>
                <w:szCs w:val="21"/>
                <w:highlight w:val="none"/>
                <w:lang w:eastAsia="zh-CN"/>
              </w:rPr>
            </w:pPr>
          </w:p>
        </w:tc>
        <w:tc>
          <w:tcPr>
            <w:tcW w:w="2266" w:type="dxa"/>
            <w:vAlign w:val="center"/>
          </w:tcPr>
          <w:p w14:paraId="668CE499">
            <w:pPr>
              <w:pStyle w:val="54"/>
              <w:keepNext w:val="0"/>
              <w:keepLines w:val="0"/>
              <w:pageBreakBefore w:val="0"/>
              <w:kinsoku/>
              <w:overflowPunct/>
              <w:topLinePunct w:val="0"/>
              <w:autoSpaceDE/>
              <w:autoSpaceDN/>
              <w:bidi w:val="0"/>
              <w:spacing w:line="360" w:lineRule="auto"/>
              <w:ind w:left="100" w:right="86"/>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供应商必须符合法律、行政法规规定的其他条件</w:t>
            </w:r>
          </w:p>
        </w:tc>
        <w:tc>
          <w:tcPr>
            <w:tcW w:w="6651" w:type="dxa"/>
            <w:vAlign w:val="center"/>
          </w:tcPr>
          <w:p w14:paraId="22ABD026">
            <w:pPr>
              <w:pStyle w:val="54"/>
              <w:keepNext w:val="0"/>
              <w:keepLines w:val="0"/>
              <w:pageBreakBefore w:val="0"/>
              <w:kinsoku/>
              <w:overflowPunct/>
              <w:topLinePunct w:val="0"/>
              <w:autoSpaceDE/>
              <w:autoSpaceDN/>
              <w:bidi w:val="0"/>
              <w:spacing w:line="360" w:lineRule="auto"/>
              <w:ind w:left="10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单位负责人为同一人或者存在直接控股、管理关系的不同供应商，不得同时参加本采购项目（或采购包）投标（响应）。为本项目提供整体设计、规范编制或者项目管理、监理、检测等服务的供应商，不得再参与本项目投标（响应）。在《投标函》中进行相关申明。</w:t>
            </w:r>
          </w:p>
        </w:tc>
      </w:tr>
      <w:tr w14:paraId="3FEDC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845" w:type="dxa"/>
            <w:vAlign w:val="center"/>
          </w:tcPr>
          <w:p w14:paraId="419545E7">
            <w:pPr>
              <w:pStyle w:val="54"/>
              <w:keepNext w:val="0"/>
              <w:keepLines w:val="0"/>
              <w:pageBreakBefore w:val="0"/>
              <w:numPr>
                <w:ilvl w:val="0"/>
                <w:numId w:val="8"/>
              </w:numPr>
              <w:kinsoku/>
              <w:overflowPunct/>
              <w:topLinePunct w:val="0"/>
              <w:autoSpaceDE/>
              <w:autoSpaceDN/>
              <w:bidi w:val="0"/>
              <w:spacing w:line="360" w:lineRule="auto"/>
              <w:jc w:val="center"/>
              <w:rPr>
                <w:rFonts w:hint="eastAsia" w:ascii="宋体" w:hAnsi="宋体" w:eastAsia="宋体" w:cs="宋体"/>
                <w:color w:val="auto"/>
                <w:szCs w:val="21"/>
                <w:highlight w:val="none"/>
                <w:lang w:eastAsia="zh-CN"/>
              </w:rPr>
            </w:pPr>
          </w:p>
        </w:tc>
        <w:tc>
          <w:tcPr>
            <w:tcW w:w="2266" w:type="dxa"/>
            <w:vAlign w:val="center"/>
          </w:tcPr>
          <w:p w14:paraId="5F69DFC7">
            <w:pPr>
              <w:pStyle w:val="54"/>
              <w:keepNext w:val="0"/>
              <w:keepLines w:val="0"/>
              <w:pageBreakBefore w:val="0"/>
              <w:kinsoku/>
              <w:overflowPunct/>
              <w:topLinePunct w:val="0"/>
              <w:autoSpaceDE/>
              <w:autoSpaceDN/>
              <w:bidi w:val="0"/>
              <w:spacing w:line="360" w:lineRule="auto"/>
              <w:ind w:left="10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信用记录</w:t>
            </w:r>
          </w:p>
        </w:tc>
        <w:tc>
          <w:tcPr>
            <w:tcW w:w="6651" w:type="dxa"/>
            <w:vAlign w:val="center"/>
          </w:tcPr>
          <w:p w14:paraId="3E3F088F">
            <w:pPr>
              <w:pStyle w:val="54"/>
              <w:keepNext w:val="0"/>
              <w:keepLines w:val="0"/>
              <w:pageBreakBefore w:val="0"/>
              <w:kinsoku/>
              <w:overflowPunct/>
              <w:topLinePunct w:val="0"/>
              <w:autoSpaceDE/>
              <w:autoSpaceDN/>
              <w:bidi w:val="0"/>
              <w:spacing w:line="360" w:lineRule="auto"/>
              <w:ind w:left="100" w:right="98"/>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供应商未被列入“信用中国”网站（www.creditchina.gov.cn）“失信被执行人名单或重大税收违法失信主体或政府采购严重违法失信行为记录名单”中；不处于“中国政府采购网”（www.ccgp.gov.cn）“政府采购严重违法失信行为信息记录”中的禁止参加政府采购活动期间。</w:t>
            </w:r>
            <w:r>
              <w:rPr>
                <w:rFonts w:hint="eastAsia" w:ascii="宋体" w:hAnsi="宋体" w:eastAsia="宋体" w:cs="宋体"/>
                <w:color w:val="auto"/>
                <w:szCs w:val="21"/>
                <w:highlight w:val="none"/>
                <w:lang w:eastAsia="zh-CN"/>
              </w:rPr>
              <w:t>（以采购代理机构于投标（响应）截止时间当天在上述网站查询结果为准，如在上述网站查询结果均显示没有相关记录，视为没有上述不良信用记录；如相关失信记录已失效，供应商须提供相关证明资料。）</w:t>
            </w:r>
          </w:p>
        </w:tc>
      </w:tr>
      <w:tr w14:paraId="57FDF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845" w:type="dxa"/>
            <w:vAlign w:val="center"/>
          </w:tcPr>
          <w:p w14:paraId="4D7A1108">
            <w:pPr>
              <w:pStyle w:val="54"/>
              <w:keepNext w:val="0"/>
              <w:keepLines w:val="0"/>
              <w:pageBreakBefore w:val="0"/>
              <w:numPr>
                <w:ilvl w:val="0"/>
                <w:numId w:val="8"/>
              </w:numPr>
              <w:kinsoku/>
              <w:overflowPunct/>
              <w:topLinePunct w:val="0"/>
              <w:autoSpaceDE/>
              <w:autoSpaceDN/>
              <w:bidi w:val="0"/>
              <w:spacing w:line="360" w:lineRule="auto"/>
              <w:jc w:val="center"/>
              <w:rPr>
                <w:rFonts w:hint="eastAsia" w:ascii="宋体" w:hAnsi="宋体" w:eastAsia="宋体" w:cs="宋体"/>
                <w:color w:val="auto"/>
                <w:szCs w:val="21"/>
                <w:highlight w:val="none"/>
                <w:lang w:eastAsia="zh-CN"/>
              </w:rPr>
            </w:pPr>
          </w:p>
        </w:tc>
        <w:tc>
          <w:tcPr>
            <w:tcW w:w="2266" w:type="dxa"/>
            <w:vAlign w:val="center"/>
          </w:tcPr>
          <w:p w14:paraId="55B7528C">
            <w:pPr>
              <w:pStyle w:val="54"/>
              <w:keepNext w:val="0"/>
              <w:keepLines w:val="0"/>
              <w:pageBreakBefore w:val="0"/>
              <w:kinsoku/>
              <w:overflowPunct/>
              <w:topLinePunct w:val="0"/>
              <w:autoSpaceDE/>
              <w:autoSpaceDN/>
              <w:bidi w:val="0"/>
              <w:spacing w:line="360" w:lineRule="auto"/>
              <w:ind w:left="100" w:right="206"/>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落实政府采购政策需满足的资格要求</w:t>
            </w:r>
            <w:r>
              <w:rPr>
                <w:rFonts w:hint="eastAsia" w:ascii="宋体" w:hAnsi="宋体" w:eastAsia="宋体" w:cs="宋体"/>
                <w:color w:val="auto"/>
                <w:szCs w:val="21"/>
                <w:highlight w:val="none"/>
                <w:lang w:eastAsia="zh-CN"/>
              </w:rPr>
              <w:cr/>
            </w:r>
          </w:p>
        </w:tc>
        <w:tc>
          <w:tcPr>
            <w:tcW w:w="6651" w:type="dxa"/>
          </w:tcPr>
          <w:p w14:paraId="5C21C0F6">
            <w:pPr>
              <w:pStyle w:val="54"/>
              <w:keepNext w:val="0"/>
              <w:keepLines w:val="0"/>
              <w:pageBreakBefore w:val="0"/>
              <w:kinsoku/>
              <w:overflowPunct/>
              <w:topLinePunct w:val="0"/>
              <w:autoSpaceDE/>
              <w:autoSpaceDN/>
              <w:bidi w:val="0"/>
              <w:spacing w:line="360" w:lineRule="auto"/>
              <w:ind w:left="100" w:right="158"/>
              <w:rPr>
                <w:rFonts w:hint="eastAsia" w:ascii="宋体" w:hAnsi="宋体" w:eastAsia="宋体" w:cs="宋体"/>
                <w:color w:val="auto"/>
                <w:szCs w:val="21"/>
                <w:highlight w:val="none"/>
                <w:lang w:eastAsia="zh-CN"/>
              </w:rPr>
            </w:pPr>
            <w:r>
              <w:rPr>
                <w:rFonts w:hint="eastAsia" w:ascii="宋体" w:hAnsi="宋体" w:eastAsia="宋体" w:cs="宋体"/>
                <w:color w:val="auto"/>
                <w:highlight w:val="none"/>
              </w:rPr>
              <w:t>本项目整体专门面向中小企业采购，供应商应为中小微企业或监狱企业或残疾人福利性单位，须提供《中小企业声明函（工程、服务）》，或省级以上监狱管理局、戒毒管理局（含新疆生产建设兵团）出具的属于监狱企业的证明文件，或《残疾人福利性单位声明函》。</w:t>
            </w:r>
          </w:p>
        </w:tc>
      </w:tr>
      <w:tr w14:paraId="71031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9762" w:type="dxa"/>
            <w:gridSpan w:val="3"/>
            <w:vAlign w:val="center"/>
          </w:tcPr>
          <w:p w14:paraId="0F34E6F9">
            <w:pPr>
              <w:pStyle w:val="54"/>
              <w:keepNext w:val="0"/>
              <w:keepLines w:val="0"/>
              <w:pageBreakBefore w:val="0"/>
              <w:kinsoku/>
              <w:overflowPunct/>
              <w:topLinePunct w:val="0"/>
              <w:autoSpaceDE/>
              <w:autoSpaceDN/>
              <w:bidi w:val="0"/>
              <w:spacing w:line="360" w:lineRule="auto"/>
              <w:ind w:left="102" w:right="159"/>
              <w:jc w:val="center"/>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结论</w:t>
            </w:r>
          </w:p>
        </w:tc>
      </w:tr>
      <w:tr w14:paraId="4AF7F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9762" w:type="dxa"/>
            <w:gridSpan w:val="3"/>
            <w:vAlign w:val="center"/>
          </w:tcPr>
          <w:p w14:paraId="0CA05EF4">
            <w:pPr>
              <w:keepNext w:val="0"/>
              <w:keepLines w:val="0"/>
              <w:pageBreakBefore w:val="0"/>
              <w:kinsoku/>
              <w:overflowPunct/>
              <w:topLinePunct w:val="0"/>
              <w:autoSpaceDE/>
              <w:autoSpaceDN/>
              <w:bidi w:val="0"/>
              <w:spacing w:line="360" w:lineRule="auto"/>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填表说明：</w:t>
            </w:r>
          </w:p>
          <w:p w14:paraId="6C9F85D5">
            <w:pPr>
              <w:keepNext w:val="0"/>
              <w:keepLines w:val="0"/>
              <w:pageBreakBefore w:val="0"/>
              <w:kinsoku/>
              <w:overflowPunct/>
              <w:topLinePunct w:val="0"/>
              <w:autoSpaceDE/>
              <w:autoSpaceDN/>
              <w:bidi w:val="0"/>
              <w:spacing w:line="360" w:lineRule="auto"/>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1.“通过”打“√”，“未通过”打“×”；</w:t>
            </w:r>
          </w:p>
          <w:p w14:paraId="4662F0F0">
            <w:pPr>
              <w:keepNext w:val="0"/>
              <w:keepLines w:val="0"/>
              <w:pageBreakBefore w:val="0"/>
              <w:kinsoku/>
              <w:overflowPunct/>
              <w:topLinePunct w:val="0"/>
              <w:autoSpaceDE/>
              <w:autoSpaceDN/>
              <w:bidi w:val="0"/>
              <w:spacing w:line="360" w:lineRule="auto"/>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2.在结论栏中填写“通过”或“未通过”；</w:t>
            </w:r>
          </w:p>
          <w:p w14:paraId="6EC17BD5">
            <w:pPr>
              <w:keepNext w:val="0"/>
              <w:keepLines w:val="0"/>
              <w:pageBreakBefore w:val="0"/>
              <w:kinsoku/>
              <w:overflowPunct/>
              <w:topLinePunct w:val="0"/>
              <w:autoSpaceDE/>
              <w:autoSpaceDN/>
              <w:bidi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bCs/>
                <w:color w:val="auto"/>
                <w:szCs w:val="21"/>
                <w:highlight w:val="none"/>
                <w:lang w:eastAsia="zh-CN"/>
              </w:rPr>
              <w:t>3.投标人有一个“未通过”，审查结论视为“未通过”。</w:t>
            </w:r>
          </w:p>
        </w:tc>
      </w:tr>
    </w:tbl>
    <w:p w14:paraId="6C840BF5">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p>
    <w:p w14:paraId="2ECEE864">
      <w:pPr>
        <w:pStyle w:val="27"/>
        <w:keepNext w:val="0"/>
        <w:keepLines w:val="0"/>
        <w:pageBreakBefore w:val="0"/>
        <w:kinsoku/>
        <w:overflowPunct/>
        <w:topLinePunct w:val="0"/>
        <w:autoSpaceDE/>
        <w:autoSpaceDN/>
        <w:bidi w:val="0"/>
        <w:spacing w:line="360" w:lineRule="auto"/>
        <w:ind w:firstLine="422"/>
        <w:outlineLvl w:val="3"/>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表二：符合性审查表</w:t>
      </w:r>
    </w:p>
    <w:tbl>
      <w:tblPr>
        <w:tblStyle w:val="34"/>
        <w:tblW w:w="9762"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45"/>
        <w:gridCol w:w="2266"/>
        <w:gridCol w:w="6651"/>
      </w:tblGrid>
      <w:tr w14:paraId="44D29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3" w:hRule="atLeast"/>
        </w:trPr>
        <w:tc>
          <w:tcPr>
            <w:tcW w:w="845" w:type="dxa"/>
            <w:shd w:val="clear" w:color="auto" w:fill="F1F1F1" w:themeFill="background1" w:themeFillShade="F2"/>
            <w:vAlign w:val="center"/>
          </w:tcPr>
          <w:p w14:paraId="10CB3555">
            <w:pPr>
              <w:pStyle w:val="54"/>
              <w:keepNext w:val="0"/>
              <w:keepLines w:val="0"/>
              <w:pageBreakBefore w:val="0"/>
              <w:kinsoku/>
              <w:overflowPunct/>
              <w:topLinePunct w:val="0"/>
              <w:autoSpaceDE/>
              <w:autoSpaceDN/>
              <w:bidi w:val="0"/>
              <w:spacing w:line="360" w:lineRule="auto"/>
              <w:ind w:left="143" w:right="152"/>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序号</w:t>
            </w:r>
          </w:p>
        </w:tc>
        <w:tc>
          <w:tcPr>
            <w:tcW w:w="2266" w:type="dxa"/>
            <w:shd w:val="clear" w:color="auto" w:fill="F1F1F1" w:themeFill="background1" w:themeFillShade="F2"/>
            <w:vAlign w:val="center"/>
          </w:tcPr>
          <w:p w14:paraId="2C78228A">
            <w:pPr>
              <w:pStyle w:val="54"/>
              <w:keepNext w:val="0"/>
              <w:keepLines w:val="0"/>
              <w:pageBreakBefore w:val="0"/>
              <w:kinsoku/>
              <w:overflowPunct/>
              <w:topLinePunct w:val="0"/>
              <w:autoSpaceDE/>
              <w:autoSpaceDN/>
              <w:bidi w:val="0"/>
              <w:spacing w:line="360" w:lineRule="auto"/>
              <w:ind w:left="-3"/>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评审点要求概况</w:t>
            </w:r>
          </w:p>
        </w:tc>
        <w:tc>
          <w:tcPr>
            <w:tcW w:w="6651" w:type="dxa"/>
            <w:shd w:val="clear" w:color="auto" w:fill="F1F1F1" w:themeFill="background1" w:themeFillShade="F2"/>
            <w:vAlign w:val="center"/>
          </w:tcPr>
          <w:p w14:paraId="332C3714">
            <w:pPr>
              <w:pStyle w:val="54"/>
              <w:keepNext w:val="0"/>
              <w:keepLines w:val="0"/>
              <w:pageBreakBefore w:val="0"/>
              <w:kinsoku/>
              <w:overflowPunct/>
              <w:topLinePunct w:val="0"/>
              <w:autoSpaceDE/>
              <w:autoSpaceDN/>
              <w:bidi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评审点具体描述</w:t>
            </w:r>
          </w:p>
        </w:tc>
      </w:tr>
      <w:tr w14:paraId="0ABA7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845" w:type="dxa"/>
            <w:vAlign w:val="center"/>
          </w:tcPr>
          <w:p w14:paraId="307F3833">
            <w:pPr>
              <w:pStyle w:val="54"/>
              <w:keepNext w:val="0"/>
              <w:keepLines w:val="0"/>
              <w:pageBreakBefore w:val="0"/>
              <w:numPr>
                <w:ilvl w:val="0"/>
                <w:numId w:val="9"/>
              </w:numPr>
              <w:kinsoku/>
              <w:overflowPunct/>
              <w:topLinePunct w:val="0"/>
              <w:autoSpaceDE/>
              <w:autoSpaceDN/>
              <w:bidi w:val="0"/>
              <w:spacing w:line="360" w:lineRule="auto"/>
              <w:jc w:val="center"/>
              <w:rPr>
                <w:rFonts w:hint="eastAsia" w:ascii="宋体" w:hAnsi="宋体" w:eastAsia="宋体" w:cs="宋体"/>
                <w:color w:val="auto"/>
                <w:szCs w:val="21"/>
                <w:highlight w:val="none"/>
              </w:rPr>
            </w:pPr>
          </w:p>
        </w:tc>
        <w:tc>
          <w:tcPr>
            <w:tcW w:w="2266" w:type="dxa"/>
            <w:vAlign w:val="center"/>
          </w:tcPr>
          <w:p w14:paraId="31AD5FD7">
            <w:pPr>
              <w:pStyle w:val="54"/>
              <w:keepNext w:val="0"/>
              <w:keepLines w:val="0"/>
              <w:pageBreakBefore w:val="0"/>
              <w:kinsoku/>
              <w:overflowPunct/>
              <w:topLinePunct w:val="0"/>
              <w:autoSpaceDE/>
              <w:autoSpaceDN/>
              <w:bidi w:val="0"/>
              <w:spacing w:line="360" w:lineRule="auto"/>
              <w:ind w:right="158"/>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投标函</w:t>
            </w:r>
          </w:p>
        </w:tc>
        <w:tc>
          <w:tcPr>
            <w:tcW w:w="6651" w:type="dxa"/>
            <w:vAlign w:val="center"/>
          </w:tcPr>
          <w:p w14:paraId="1A4C80E6">
            <w:pPr>
              <w:pStyle w:val="54"/>
              <w:keepNext w:val="0"/>
              <w:keepLines w:val="0"/>
              <w:pageBreakBefore w:val="0"/>
              <w:kinsoku/>
              <w:overflowPunct/>
              <w:topLinePunct w:val="0"/>
              <w:autoSpaceDE/>
              <w:autoSpaceDN/>
              <w:bidi w:val="0"/>
              <w:spacing w:line="360" w:lineRule="auto"/>
              <w:ind w:left="100" w:right="158"/>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按招标文件要求提交《投标函》，内容完整，无重大错漏，按对应格式文件签署和盖章。</w:t>
            </w:r>
          </w:p>
        </w:tc>
      </w:tr>
      <w:tr w14:paraId="77601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5" w:hRule="atLeast"/>
        </w:trPr>
        <w:tc>
          <w:tcPr>
            <w:tcW w:w="845" w:type="dxa"/>
            <w:vAlign w:val="center"/>
          </w:tcPr>
          <w:p w14:paraId="48DEACC7">
            <w:pPr>
              <w:pStyle w:val="54"/>
              <w:keepNext w:val="0"/>
              <w:keepLines w:val="0"/>
              <w:pageBreakBefore w:val="0"/>
              <w:numPr>
                <w:ilvl w:val="0"/>
                <w:numId w:val="9"/>
              </w:numPr>
              <w:kinsoku/>
              <w:overflowPunct/>
              <w:topLinePunct w:val="0"/>
              <w:autoSpaceDE/>
              <w:autoSpaceDN/>
              <w:bidi w:val="0"/>
              <w:spacing w:line="360" w:lineRule="auto"/>
              <w:jc w:val="center"/>
              <w:rPr>
                <w:rFonts w:hint="eastAsia" w:ascii="宋体" w:hAnsi="宋体" w:eastAsia="宋体" w:cs="宋体"/>
                <w:color w:val="auto"/>
                <w:szCs w:val="21"/>
                <w:highlight w:val="none"/>
                <w:lang w:eastAsia="zh-CN"/>
              </w:rPr>
            </w:pPr>
          </w:p>
        </w:tc>
        <w:tc>
          <w:tcPr>
            <w:tcW w:w="2266" w:type="dxa"/>
            <w:vAlign w:val="center"/>
          </w:tcPr>
          <w:p w14:paraId="2D51703C">
            <w:pPr>
              <w:pStyle w:val="54"/>
              <w:keepNext w:val="0"/>
              <w:keepLines w:val="0"/>
              <w:pageBreakBefore w:val="0"/>
              <w:kinsoku/>
              <w:overflowPunct/>
              <w:topLinePunct w:val="0"/>
              <w:autoSpaceDE/>
              <w:autoSpaceDN/>
              <w:bidi w:val="0"/>
              <w:spacing w:line="360" w:lineRule="auto"/>
              <w:ind w:right="158"/>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投标有效期</w:t>
            </w:r>
          </w:p>
        </w:tc>
        <w:tc>
          <w:tcPr>
            <w:tcW w:w="6651" w:type="dxa"/>
            <w:vAlign w:val="center"/>
          </w:tcPr>
          <w:p w14:paraId="049B463C">
            <w:pPr>
              <w:pStyle w:val="54"/>
              <w:keepNext w:val="0"/>
              <w:keepLines w:val="0"/>
              <w:pageBreakBefore w:val="0"/>
              <w:kinsoku/>
              <w:overflowPunct/>
              <w:topLinePunct w:val="0"/>
              <w:autoSpaceDE/>
              <w:autoSpaceDN/>
              <w:bidi w:val="0"/>
              <w:spacing w:line="360" w:lineRule="auto"/>
              <w:ind w:left="100" w:right="158"/>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投标有效期不少于招标文件中载明的投标有效期。</w:t>
            </w:r>
          </w:p>
        </w:tc>
      </w:tr>
      <w:tr w14:paraId="05810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5" w:hRule="atLeast"/>
        </w:trPr>
        <w:tc>
          <w:tcPr>
            <w:tcW w:w="845" w:type="dxa"/>
            <w:vAlign w:val="center"/>
          </w:tcPr>
          <w:p w14:paraId="0295A282">
            <w:pPr>
              <w:pStyle w:val="54"/>
              <w:keepNext w:val="0"/>
              <w:keepLines w:val="0"/>
              <w:pageBreakBefore w:val="0"/>
              <w:numPr>
                <w:ilvl w:val="0"/>
                <w:numId w:val="9"/>
              </w:numPr>
              <w:kinsoku/>
              <w:overflowPunct/>
              <w:topLinePunct w:val="0"/>
              <w:autoSpaceDE/>
              <w:autoSpaceDN/>
              <w:bidi w:val="0"/>
              <w:spacing w:line="360" w:lineRule="auto"/>
              <w:jc w:val="center"/>
              <w:rPr>
                <w:rFonts w:hint="eastAsia" w:ascii="宋体" w:hAnsi="宋体" w:eastAsia="宋体" w:cs="宋体"/>
                <w:color w:val="auto"/>
                <w:szCs w:val="21"/>
                <w:highlight w:val="none"/>
                <w:lang w:eastAsia="zh-CN"/>
              </w:rPr>
            </w:pPr>
          </w:p>
        </w:tc>
        <w:tc>
          <w:tcPr>
            <w:tcW w:w="2266" w:type="dxa"/>
            <w:vAlign w:val="center"/>
          </w:tcPr>
          <w:p w14:paraId="5493A2EB">
            <w:pPr>
              <w:pStyle w:val="54"/>
              <w:keepNext w:val="0"/>
              <w:keepLines w:val="0"/>
              <w:pageBreakBefore w:val="0"/>
              <w:kinsoku/>
              <w:overflowPunct/>
              <w:topLinePunct w:val="0"/>
              <w:autoSpaceDE/>
              <w:autoSpaceDN/>
              <w:bidi w:val="0"/>
              <w:spacing w:line="360" w:lineRule="auto"/>
              <w:ind w:right="158"/>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投标报价</w:t>
            </w:r>
          </w:p>
        </w:tc>
        <w:tc>
          <w:tcPr>
            <w:tcW w:w="6651" w:type="dxa"/>
            <w:vAlign w:val="center"/>
          </w:tcPr>
          <w:p w14:paraId="194D43B7">
            <w:pPr>
              <w:pStyle w:val="54"/>
              <w:keepNext w:val="0"/>
              <w:keepLines w:val="0"/>
              <w:pageBreakBefore w:val="0"/>
              <w:kinsoku/>
              <w:overflowPunct/>
              <w:topLinePunct w:val="0"/>
              <w:autoSpaceDE/>
              <w:autoSpaceDN/>
              <w:bidi w:val="0"/>
              <w:spacing w:line="360" w:lineRule="auto"/>
              <w:ind w:left="100" w:right="158"/>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1.投标报价是固定价且是唯一的，未超过项目预算总金额</w:t>
            </w:r>
            <w:r>
              <w:rPr>
                <w:rFonts w:hint="eastAsia" w:ascii="宋体" w:hAnsi="宋体" w:eastAsia="宋体" w:cs="宋体"/>
                <w:color w:val="auto"/>
                <w:szCs w:val="21"/>
                <w:highlight w:val="none"/>
                <w:lang w:val="en-US" w:eastAsia="zh-CN"/>
              </w:rPr>
              <w:t>和</w:t>
            </w:r>
            <w:r>
              <w:rPr>
                <w:rFonts w:hint="eastAsia" w:ascii="宋体" w:hAnsi="宋体" w:eastAsia="宋体" w:cs="宋体"/>
                <w:color w:val="auto"/>
                <w:szCs w:val="21"/>
                <w:highlight w:val="none"/>
                <w:lang w:eastAsia="zh-CN"/>
              </w:rPr>
              <w:t>最高限价的。</w:t>
            </w:r>
          </w:p>
          <w:p w14:paraId="4DF3055F">
            <w:pPr>
              <w:pStyle w:val="54"/>
              <w:keepNext w:val="0"/>
              <w:keepLines w:val="0"/>
              <w:pageBreakBefore w:val="0"/>
              <w:kinsoku/>
              <w:overflowPunct/>
              <w:topLinePunct w:val="0"/>
              <w:autoSpaceDE/>
              <w:autoSpaceDN/>
              <w:bidi w:val="0"/>
              <w:spacing w:line="360" w:lineRule="auto"/>
              <w:ind w:left="100" w:right="158"/>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2.价格修正：若出现投标报价错误的，按采购文件规定的价格修正原则处理，供应商按规定书面确认报价。</w:t>
            </w:r>
          </w:p>
        </w:tc>
      </w:tr>
      <w:tr w14:paraId="7B08F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4" w:hRule="atLeast"/>
        </w:trPr>
        <w:tc>
          <w:tcPr>
            <w:tcW w:w="845" w:type="dxa"/>
            <w:vAlign w:val="center"/>
          </w:tcPr>
          <w:p w14:paraId="0DB27E25">
            <w:pPr>
              <w:pStyle w:val="54"/>
              <w:keepNext w:val="0"/>
              <w:keepLines w:val="0"/>
              <w:pageBreakBefore w:val="0"/>
              <w:numPr>
                <w:ilvl w:val="0"/>
                <w:numId w:val="9"/>
              </w:numPr>
              <w:kinsoku/>
              <w:overflowPunct/>
              <w:topLinePunct w:val="0"/>
              <w:autoSpaceDE/>
              <w:autoSpaceDN/>
              <w:bidi w:val="0"/>
              <w:spacing w:line="360" w:lineRule="auto"/>
              <w:jc w:val="center"/>
              <w:rPr>
                <w:rFonts w:hint="eastAsia" w:ascii="宋体" w:hAnsi="宋体" w:eastAsia="宋体" w:cs="宋体"/>
                <w:color w:val="auto"/>
                <w:szCs w:val="21"/>
                <w:highlight w:val="none"/>
                <w:lang w:eastAsia="zh-CN"/>
              </w:rPr>
            </w:pPr>
          </w:p>
        </w:tc>
        <w:tc>
          <w:tcPr>
            <w:tcW w:w="2266" w:type="dxa"/>
            <w:vAlign w:val="center"/>
          </w:tcPr>
          <w:p w14:paraId="64389656">
            <w:pPr>
              <w:pStyle w:val="54"/>
              <w:keepNext w:val="0"/>
              <w:keepLines w:val="0"/>
              <w:pageBreakBefore w:val="0"/>
              <w:kinsoku/>
              <w:overflowPunct/>
              <w:topLinePunct w:val="0"/>
              <w:autoSpaceDE/>
              <w:autoSpaceDN/>
              <w:bidi w:val="0"/>
              <w:spacing w:line="360" w:lineRule="auto"/>
              <w:ind w:right="158"/>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法定代表人证明书和法定代表人授权书</w:t>
            </w:r>
          </w:p>
        </w:tc>
        <w:tc>
          <w:tcPr>
            <w:tcW w:w="6651" w:type="dxa"/>
            <w:vAlign w:val="center"/>
          </w:tcPr>
          <w:p w14:paraId="711164B8">
            <w:pPr>
              <w:pStyle w:val="54"/>
              <w:keepNext w:val="0"/>
              <w:keepLines w:val="0"/>
              <w:pageBreakBefore w:val="0"/>
              <w:kinsoku/>
              <w:overflowPunct/>
              <w:topLinePunct w:val="0"/>
              <w:autoSpaceDE/>
              <w:autoSpaceDN/>
              <w:bidi w:val="0"/>
              <w:spacing w:line="360" w:lineRule="auto"/>
              <w:ind w:left="100" w:right="158"/>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供应商提供的法定代表人证明书及法定代表人授权书原件，按格式要求签署并盖章；若法定代表人作为投标代表参加投标，则只需提供法定代表人证明书。</w:t>
            </w:r>
          </w:p>
        </w:tc>
      </w:tr>
      <w:tr w14:paraId="65B5F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 w:hRule="atLeast"/>
        </w:trPr>
        <w:tc>
          <w:tcPr>
            <w:tcW w:w="845" w:type="dxa"/>
            <w:vAlign w:val="center"/>
          </w:tcPr>
          <w:p w14:paraId="77BCEFE8">
            <w:pPr>
              <w:pStyle w:val="54"/>
              <w:keepNext w:val="0"/>
              <w:keepLines w:val="0"/>
              <w:pageBreakBefore w:val="0"/>
              <w:numPr>
                <w:ilvl w:val="0"/>
                <w:numId w:val="9"/>
              </w:numPr>
              <w:kinsoku/>
              <w:overflowPunct/>
              <w:topLinePunct w:val="0"/>
              <w:autoSpaceDE/>
              <w:autoSpaceDN/>
              <w:bidi w:val="0"/>
              <w:spacing w:line="360" w:lineRule="auto"/>
              <w:jc w:val="center"/>
              <w:rPr>
                <w:rFonts w:hint="eastAsia" w:ascii="宋体" w:hAnsi="宋体" w:eastAsia="宋体" w:cs="宋体"/>
                <w:color w:val="auto"/>
                <w:szCs w:val="21"/>
                <w:highlight w:val="none"/>
                <w:lang w:eastAsia="zh-CN"/>
              </w:rPr>
            </w:pPr>
          </w:p>
        </w:tc>
        <w:tc>
          <w:tcPr>
            <w:tcW w:w="2266" w:type="dxa"/>
            <w:vAlign w:val="center"/>
          </w:tcPr>
          <w:p w14:paraId="51F3A8C5">
            <w:pPr>
              <w:pStyle w:val="54"/>
              <w:keepNext w:val="0"/>
              <w:keepLines w:val="0"/>
              <w:pageBreakBefore w:val="0"/>
              <w:kinsoku/>
              <w:overflowPunct/>
              <w:topLinePunct w:val="0"/>
              <w:autoSpaceDE/>
              <w:autoSpaceDN/>
              <w:bidi w:val="0"/>
              <w:spacing w:line="360" w:lineRule="auto"/>
              <w:ind w:right="158"/>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附加条件</w:t>
            </w:r>
          </w:p>
        </w:tc>
        <w:tc>
          <w:tcPr>
            <w:tcW w:w="6651" w:type="dxa"/>
            <w:vAlign w:val="center"/>
          </w:tcPr>
          <w:p w14:paraId="49082F9C">
            <w:pPr>
              <w:pStyle w:val="54"/>
              <w:keepNext w:val="0"/>
              <w:keepLines w:val="0"/>
              <w:pageBreakBefore w:val="0"/>
              <w:kinsoku/>
              <w:overflowPunct/>
              <w:topLinePunct w:val="0"/>
              <w:autoSpaceDE/>
              <w:autoSpaceDN/>
              <w:bidi w:val="0"/>
              <w:spacing w:line="360" w:lineRule="auto"/>
              <w:ind w:left="100" w:right="158"/>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投标文件中未含有采购人不能接受的附加条件。</w:t>
            </w:r>
          </w:p>
        </w:tc>
      </w:tr>
      <w:tr w14:paraId="3BF204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4" w:hRule="atLeast"/>
        </w:trPr>
        <w:tc>
          <w:tcPr>
            <w:tcW w:w="845" w:type="dxa"/>
            <w:vAlign w:val="center"/>
          </w:tcPr>
          <w:p w14:paraId="5E8C3F82">
            <w:pPr>
              <w:pStyle w:val="54"/>
              <w:keepNext w:val="0"/>
              <w:keepLines w:val="0"/>
              <w:pageBreakBefore w:val="0"/>
              <w:numPr>
                <w:ilvl w:val="0"/>
                <w:numId w:val="9"/>
              </w:numPr>
              <w:kinsoku/>
              <w:overflowPunct/>
              <w:topLinePunct w:val="0"/>
              <w:autoSpaceDE/>
              <w:autoSpaceDN/>
              <w:bidi w:val="0"/>
              <w:spacing w:line="360" w:lineRule="auto"/>
              <w:jc w:val="center"/>
              <w:rPr>
                <w:rFonts w:hint="eastAsia" w:ascii="宋体" w:hAnsi="宋体" w:eastAsia="宋体" w:cs="宋体"/>
                <w:color w:val="auto"/>
                <w:szCs w:val="21"/>
                <w:highlight w:val="none"/>
                <w:lang w:eastAsia="zh-CN"/>
              </w:rPr>
            </w:pPr>
          </w:p>
        </w:tc>
        <w:tc>
          <w:tcPr>
            <w:tcW w:w="2266" w:type="dxa"/>
            <w:vAlign w:val="center"/>
          </w:tcPr>
          <w:p w14:paraId="7BE71C92">
            <w:pPr>
              <w:pStyle w:val="54"/>
              <w:keepNext w:val="0"/>
              <w:keepLines w:val="0"/>
              <w:pageBreakBefore w:val="0"/>
              <w:kinsoku/>
              <w:overflowPunct/>
              <w:topLinePunct w:val="0"/>
              <w:autoSpaceDE/>
              <w:autoSpaceDN/>
              <w:bidi w:val="0"/>
              <w:spacing w:line="360" w:lineRule="auto"/>
              <w:ind w:right="158"/>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“★”号条款要求</w:t>
            </w:r>
          </w:p>
        </w:tc>
        <w:tc>
          <w:tcPr>
            <w:tcW w:w="6651" w:type="dxa"/>
            <w:vAlign w:val="center"/>
          </w:tcPr>
          <w:p w14:paraId="71600E9D">
            <w:pPr>
              <w:pStyle w:val="54"/>
              <w:keepNext w:val="0"/>
              <w:keepLines w:val="0"/>
              <w:pageBreakBefore w:val="0"/>
              <w:kinsoku/>
              <w:overflowPunct/>
              <w:topLinePunct w:val="0"/>
              <w:autoSpaceDE/>
              <w:autoSpaceDN/>
              <w:bidi w:val="0"/>
              <w:spacing w:line="360" w:lineRule="auto"/>
              <w:ind w:left="100" w:right="158"/>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满足采购文件要求中标注“★”号条款的要求，提供《实质性条款响应表》，且不存在负偏离或不满足的情况。</w:t>
            </w:r>
          </w:p>
        </w:tc>
      </w:tr>
      <w:tr w14:paraId="5A1C5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4" w:hRule="atLeast"/>
        </w:trPr>
        <w:tc>
          <w:tcPr>
            <w:tcW w:w="845" w:type="dxa"/>
            <w:vAlign w:val="center"/>
          </w:tcPr>
          <w:p w14:paraId="2765AD84">
            <w:pPr>
              <w:pStyle w:val="54"/>
              <w:keepNext w:val="0"/>
              <w:keepLines w:val="0"/>
              <w:pageBreakBefore w:val="0"/>
              <w:numPr>
                <w:ilvl w:val="0"/>
                <w:numId w:val="9"/>
              </w:numPr>
              <w:kinsoku/>
              <w:overflowPunct/>
              <w:topLinePunct w:val="0"/>
              <w:autoSpaceDE/>
              <w:autoSpaceDN/>
              <w:bidi w:val="0"/>
              <w:spacing w:line="360" w:lineRule="auto"/>
              <w:jc w:val="center"/>
              <w:rPr>
                <w:rFonts w:hint="eastAsia" w:ascii="宋体" w:hAnsi="宋体" w:eastAsia="宋体" w:cs="宋体"/>
                <w:color w:val="auto"/>
                <w:szCs w:val="21"/>
                <w:highlight w:val="none"/>
                <w:lang w:eastAsia="zh-CN"/>
              </w:rPr>
            </w:pPr>
          </w:p>
        </w:tc>
        <w:tc>
          <w:tcPr>
            <w:tcW w:w="2266" w:type="dxa"/>
            <w:vAlign w:val="center"/>
          </w:tcPr>
          <w:p w14:paraId="430551BE">
            <w:pPr>
              <w:pStyle w:val="54"/>
              <w:keepNext w:val="0"/>
              <w:keepLines w:val="0"/>
              <w:pageBreakBefore w:val="0"/>
              <w:kinsoku/>
              <w:overflowPunct/>
              <w:topLinePunct w:val="0"/>
              <w:autoSpaceDE/>
              <w:autoSpaceDN/>
              <w:bidi w:val="0"/>
              <w:spacing w:line="360" w:lineRule="auto"/>
              <w:ind w:right="158"/>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商务条款响应情况</w:t>
            </w:r>
          </w:p>
        </w:tc>
        <w:tc>
          <w:tcPr>
            <w:tcW w:w="6651" w:type="dxa"/>
            <w:vAlign w:val="center"/>
          </w:tcPr>
          <w:p w14:paraId="4CC73657">
            <w:pPr>
              <w:pStyle w:val="54"/>
              <w:keepNext w:val="0"/>
              <w:keepLines w:val="0"/>
              <w:pageBreakBefore w:val="0"/>
              <w:kinsoku/>
              <w:overflowPunct/>
              <w:topLinePunct w:val="0"/>
              <w:autoSpaceDE/>
              <w:autoSpaceDN/>
              <w:bidi w:val="0"/>
              <w:spacing w:line="360" w:lineRule="auto"/>
              <w:ind w:left="100" w:right="158"/>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满足采购文件中“采购需求”的“主要商务要求”，提供《商务条款响应表》，且不存在负偏离或不满足的情况。</w:t>
            </w:r>
          </w:p>
        </w:tc>
      </w:tr>
      <w:tr w14:paraId="2F6A9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845" w:type="dxa"/>
            <w:vAlign w:val="center"/>
          </w:tcPr>
          <w:p w14:paraId="0EBFF4FF">
            <w:pPr>
              <w:pStyle w:val="54"/>
              <w:keepNext w:val="0"/>
              <w:keepLines w:val="0"/>
              <w:pageBreakBefore w:val="0"/>
              <w:numPr>
                <w:ilvl w:val="0"/>
                <w:numId w:val="9"/>
              </w:numPr>
              <w:kinsoku/>
              <w:overflowPunct/>
              <w:topLinePunct w:val="0"/>
              <w:autoSpaceDE/>
              <w:autoSpaceDN/>
              <w:bidi w:val="0"/>
              <w:spacing w:line="360" w:lineRule="auto"/>
              <w:jc w:val="center"/>
              <w:rPr>
                <w:rFonts w:hint="eastAsia" w:ascii="宋体" w:hAnsi="宋体" w:eastAsia="宋体" w:cs="宋体"/>
                <w:color w:val="auto"/>
                <w:szCs w:val="21"/>
                <w:highlight w:val="none"/>
                <w:lang w:eastAsia="zh-CN"/>
              </w:rPr>
            </w:pPr>
          </w:p>
        </w:tc>
        <w:tc>
          <w:tcPr>
            <w:tcW w:w="2266" w:type="dxa"/>
            <w:vAlign w:val="center"/>
          </w:tcPr>
          <w:p w14:paraId="136EA199">
            <w:pPr>
              <w:pStyle w:val="54"/>
              <w:keepNext w:val="0"/>
              <w:keepLines w:val="0"/>
              <w:pageBreakBefore w:val="0"/>
              <w:kinsoku/>
              <w:overflowPunct/>
              <w:topLinePunct w:val="0"/>
              <w:autoSpaceDE/>
              <w:autoSpaceDN/>
              <w:bidi w:val="0"/>
              <w:spacing w:line="360" w:lineRule="auto"/>
              <w:ind w:right="158"/>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投标文件签署、盖章要求</w:t>
            </w:r>
          </w:p>
        </w:tc>
        <w:tc>
          <w:tcPr>
            <w:tcW w:w="6651" w:type="dxa"/>
            <w:vAlign w:val="center"/>
          </w:tcPr>
          <w:p w14:paraId="64CB52C5">
            <w:pPr>
              <w:pStyle w:val="54"/>
              <w:keepNext w:val="0"/>
              <w:keepLines w:val="0"/>
              <w:pageBreakBefore w:val="0"/>
              <w:kinsoku/>
              <w:overflowPunct/>
              <w:topLinePunct w:val="0"/>
              <w:autoSpaceDE/>
              <w:autoSpaceDN/>
              <w:bidi w:val="0"/>
              <w:spacing w:line="360" w:lineRule="auto"/>
              <w:ind w:left="100" w:right="158"/>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投标文件按照招标文件要求签署、盖章。</w:t>
            </w:r>
          </w:p>
        </w:tc>
      </w:tr>
      <w:tr w14:paraId="7C90D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845" w:type="dxa"/>
            <w:vAlign w:val="center"/>
          </w:tcPr>
          <w:p w14:paraId="0496ABAC">
            <w:pPr>
              <w:pStyle w:val="54"/>
              <w:keepNext w:val="0"/>
              <w:keepLines w:val="0"/>
              <w:pageBreakBefore w:val="0"/>
              <w:numPr>
                <w:ilvl w:val="0"/>
                <w:numId w:val="9"/>
              </w:numPr>
              <w:kinsoku/>
              <w:overflowPunct/>
              <w:topLinePunct w:val="0"/>
              <w:autoSpaceDE/>
              <w:autoSpaceDN/>
              <w:bidi w:val="0"/>
              <w:spacing w:line="360" w:lineRule="auto"/>
              <w:jc w:val="center"/>
              <w:rPr>
                <w:rFonts w:hint="eastAsia" w:ascii="宋体" w:hAnsi="宋体" w:eastAsia="宋体" w:cs="宋体"/>
                <w:color w:val="auto"/>
                <w:szCs w:val="21"/>
                <w:highlight w:val="none"/>
                <w:lang w:eastAsia="zh-CN"/>
              </w:rPr>
            </w:pPr>
          </w:p>
        </w:tc>
        <w:tc>
          <w:tcPr>
            <w:tcW w:w="2266" w:type="dxa"/>
            <w:vAlign w:val="center"/>
          </w:tcPr>
          <w:p w14:paraId="0BFFFE2D">
            <w:pPr>
              <w:pStyle w:val="54"/>
              <w:keepNext w:val="0"/>
              <w:keepLines w:val="0"/>
              <w:pageBreakBefore w:val="0"/>
              <w:kinsoku/>
              <w:overflowPunct/>
              <w:topLinePunct w:val="0"/>
              <w:autoSpaceDE/>
              <w:autoSpaceDN/>
              <w:bidi w:val="0"/>
              <w:spacing w:line="360" w:lineRule="auto"/>
              <w:ind w:right="158"/>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其他无效情形</w:t>
            </w:r>
          </w:p>
        </w:tc>
        <w:tc>
          <w:tcPr>
            <w:tcW w:w="6651" w:type="dxa"/>
            <w:vAlign w:val="center"/>
          </w:tcPr>
          <w:p w14:paraId="52FC1EC5">
            <w:pPr>
              <w:pStyle w:val="54"/>
              <w:keepNext w:val="0"/>
              <w:keepLines w:val="0"/>
              <w:pageBreakBefore w:val="0"/>
              <w:kinsoku/>
              <w:overflowPunct/>
              <w:topLinePunct w:val="0"/>
              <w:autoSpaceDE/>
              <w:autoSpaceDN/>
              <w:bidi w:val="0"/>
              <w:spacing w:line="360" w:lineRule="auto"/>
              <w:ind w:left="100" w:right="158"/>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投标文件中不存在有关法律、法规和规章及招标文件规定的其他无效情形。</w:t>
            </w:r>
          </w:p>
        </w:tc>
      </w:tr>
      <w:tr w14:paraId="74B47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762" w:type="dxa"/>
            <w:gridSpan w:val="3"/>
            <w:vAlign w:val="center"/>
          </w:tcPr>
          <w:p w14:paraId="0B7041BB">
            <w:pPr>
              <w:pStyle w:val="54"/>
              <w:keepNext w:val="0"/>
              <w:keepLines w:val="0"/>
              <w:pageBreakBefore w:val="0"/>
              <w:kinsoku/>
              <w:overflowPunct/>
              <w:topLinePunct w:val="0"/>
              <w:autoSpaceDE/>
              <w:autoSpaceDN/>
              <w:bidi w:val="0"/>
              <w:spacing w:line="360" w:lineRule="auto"/>
              <w:ind w:left="100" w:right="158"/>
              <w:jc w:val="center"/>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结论</w:t>
            </w:r>
          </w:p>
        </w:tc>
      </w:tr>
      <w:tr w14:paraId="07575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762" w:type="dxa"/>
            <w:gridSpan w:val="3"/>
            <w:vAlign w:val="center"/>
          </w:tcPr>
          <w:p w14:paraId="6A567399">
            <w:pPr>
              <w:keepNext w:val="0"/>
              <w:keepLines w:val="0"/>
              <w:pageBreakBefore w:val="0"/>
              <w:kinsoku/>
              <w:overflowPunct/>
              <w:topLinePunct w:val="0"/>
              <w:autoSpaceDE/>
              <w:autoSpaceDN/>
              <w:bidi w:val="0"/>
              <w:spacing w:line="360" w:lineRule="auto"/>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填表说明：</w:t>
            </w:r>
          </w:p>
          <w:p w14:paraId="4C148D77">
            <w:pPr>
              <w:keepNext w:val="0"/>
              <w:keepLines w:val="0"/>
              <w:pageBreakBefore w:val="0"/>
              <w:kinsoku/>
              <w:overflowPunct/>
              <w:topLinePunct w:val="0"/>
              <w:autoSpaceDE/>
              <w:autoSpaceDN/>
              <w:bidi w:val="0"/>
              <w:spacing w:line="360" w:lineRule="auto"/>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1.“通过”打“√”，“未通过”打“×”；</w:t>
            </w:r>
          </w:p>
          <w:p w14:paraId="0C88E93B">
            <w:pPr>
              <w:keepNext w:val="0"/>
              <w:keepLines w:val="0"/>
              <w:pageBreakBefore w:val="0"/>
              <w:kinsoku/>
              <w:overflowPunct/>
              <w:topLinePunct w:val="0"/>
              <w:autoSpaceDE/>
              <w:autoSpaceDN/>
              <w:bidi w:val="0"/>
              <w:spacing w:line="360" w:lineRule="auto"/>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2.在结论栏中填写“通过”或“未通过”；</w:t>
            </w:r>
          </w:p>
          <w:p w14:paraId="43B8FFCC">
            <w:pPr>
              <w:pStyle w:val="54"/>
              <w:keepNext w:val="0"/>
              <w:keepLines w:val="0"/>
              <w:pageBreakBefore w:val="0"/>
              <w:kinsoku/>
              <w:overflowPunct/>
              <w:topLinePunct w:val="0"/>
              <w:autoSpaceDE/>
              <w:autoSpaceDN/>
              <w:bidi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bCs/>
                <w:color w:val="auto"/>
                <w:szCs w:val="21"/>
                <w:highlight w:val="none"/>
                <w:lang w:eastAsia="zh-CN"/>
              </w:rPr>
              <w:t>3.投标人有一个“未通过”，审查结论视为“未通过”。</w:t>
            </w:r>
          </w:p>
        </w:tc>
      </w:tr>
    </w:tbl>
    <w:p w14:paraId="116C41AC">
      <w:pPr>
        <w:keepNext w:val="0"/>
        <w:keepLines w:val="0"/>
        <w:pageBreakBefore w:val="0"/>
        <w:kinsoku/>
        <w:overflowPunct/>
        <w:topLinePunct w:val="0"/>
        <w:bidi w:val="0"/>
        <w:spacing w:line="360" w:lineRule="auto"/>
        <w:rPr>
          <w:rFonts w:hint="eastAsia" w:ascii="宋体" w:hAnsi="宋体" w:eastAsia="宋体" w:cs="宋体"/>
          <w:color w:val="auto"/>
          <w:highlight w:val="none"/>
          <w:lang w:eastAsia="zh-CN"/>
        </w:rPr>
      </w:pPr>
    </w:p>
    <w:p w14:paraId="3E5BCEA6">
      <w:pPr>
        <w:pStyle w:val="27"/>
        <w:keepNext w:val="0"/>
        <w:keepLines w:val="0"/>
        <w:pageBreakBefore w:val="0"/>
        <w:kinsoku/>
        <w:overflowPunct/>
        <w:topLinePunct w:val="0"/>
        <w:autoSpaceDE/>
        <w:autoSpaceDN/>
        <w:bidi w:val="0"/>
        <w:spacing w:line="360" w:lineRule="auto"/>
        <w:ind w:firstLine="422"/>
        <w:outlineLvl w:val="3"/>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表三：异常低价审查表</w:t>
      </w:r>
    </w:p>
    <w:tbl>
      <w:tblPr>
        <w:tblStyle w:val="34"/>
        <w:tblW w:w="5062"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510"/>
        <w:gridCol w:w="1071"/>
        <w:gridCol w:w="6066"/>
        <w:gridCol w:w="2127"/>
      </w:tblGrid>
      <w:tr w14:paraId="256D6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261" w:type="pct"/>
            <w:shd w:val="clear" w:color="auto" w:fill="F4F4F4"/>
            <w:vAlign w:val="center"/>
          </w:tcPr>
          <w:p w14:paraId="10EED153">
            <w:pPr>
              <w:pStyle w:val="5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序号</w:t>
            </w:r>
          </w:p>
        </w:tc>
        <w:tc>
          <w:tcPr>
            <w:tcW w:w="548" w:type="pct"/>
            <w:shd w:val="clear" w:color="auto" w:fill="F4F4F4"/>
            <w:vAlign w:val="center"/>
          </w:tcPr>
          <w:p w14:paraId="00586789">
            <w:pPr>
              <w:pStyle w:val="54"/>
              <w:keepNext w:val="0"/>
              <w:keepLines w:val="0"/>
              <w:pageBreakBefore w:val="0"/>
              <w:widowControl w:val="0"/>
              <w:kinsoku/>
              <w:wordWrap/>
              <w:overflowPunct/>
              <w:topLinePunct w:val="0"/>
              <w:autoSpaceDE/>
              <w:autoSpaceDN/>
              <w:bidi w:val="0"/>
              <w:adjustRightInd/>
              <w:snapToGrid/>
              <w:spacing w:line="360" w:lineRule="auto"/>
              <w:ind w:left="-3"/>
              <w:jc w:val="center"/>
              <w:textAlignment w:val="auto"/>
              <w:outlineLvl w:val="9"/>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评审点要求概况</w:t>
            </w:r>
          </w:p>
        </w:tc>
        <w:tc>
          <w:tcPr>
            <w:tcW w:w="3103" w:type="pct"/>
            <w:shd w:val="clear" w:color="auto" w:fill="F4F4F4"/>
            <w:vAlign w:val="center"/>
          </w:tcPr>
          <w:p w14:paraId="28EC7491">
            <w:pPr>
              <w:pStyle w:val="54"/>
              <w:keepNext w:val="0"/>
              <w:keepLines w:val="0"/>
              <w:pageBreakBefore w:val="0"/>
              <w:widowControl w:val="0"/>
              <w:kinsoku/>
              <w:wordWrap/>
              <w:overflowPunct/>
              <w:topLinePunct w:val="0"/>
              <w:autoSpaceDE/>
              <w:autoSpaceDN/>
              <w:bidi w:val="0"/>
              <w:adjustRightInd/>
              <w:snapToGrid/>
              <w:spacing w:line="360" w:lineRule="auto"/>
              <w:ind w:left="-3"/>
              <w:jc w:val="center"/>
              <w:textAlignment w:val="auto"/>
              <w:outlineLvl w:val="9"/>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异常低价的情形</w:t>
            </w:r>
          </w:p>
        </w:tc>
        <w:tc>
          <w:tcPr>
            <w:tcW w:w="1085" w:type="pct"/>
            <w:shd w:val="clear" w:color="auto" w:fill="F4F4F4"/>
            <w:vAlign w:val="center"/>
          </w:tcPr>
          <w:p w14:paraId="62D3674C">
            <w:pPr>
              <w:pStyle w:val="5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评审点具体描述</w:t>
            </w:r>
          </w:p>
        </w:tc>
      </w:tr>
      <w:tr w14:paraId="26C7B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261" w:type="pct"/>
            <w:vAlign w:val="center"/>
          </w:tcPr>
          <w:p w14:paraId="38259994">
            <w:pPr>
              <w:pStyle w:val="54"/>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p>
        </w:tc>
        <w:tc>
          <w:tcPr>
            <w:tcW w:w="548" w:type="pct"/>
            <w:vAlign w:val="center"/>
          </w:tcPr>
          <w:p w14:paraId="27AD2E49">
            <w:pPr>
              <w:pStyle w:val="54"/>
              <w:keepNext w:val="0"/>
              <w:keepLines w:val="0"/>
              <w:pageBreakBefore w:val="0"/>
              <w:widowControl w:val="0"/>
              <w:kinsoku/>
              <w:wordWrap/>
              <w:overflowPunct/>
              <w:topLinePunct w:val="0"/>
              <w:autoSpaceDE/>
              <w:autoSpaceDN/>
              <w:bidi w:val="0"/>
              <w:adjustRightInd/>
              <w:snapToGrid/>
              <w:spacing w:line="360" w:lineRule="auto"/>
              <w:ind w:left="38" w:leftChars="18" w:right="102"/>
              <w:jc w:val="center"/>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异常低价审查</w:t>
            </w:r>
          </w:p>
        </w:tc>
        <w:tc>
          <w:tcPr>
            <w:tcW w:w="3103" w:type="pct"/>
            <w:vAlign w:val="center"/>
          </w:tcPr>
          <w:p w14:paraId="0BAAA8A3">
            <w:pPr>
              <w:pStyle w:val="54"/>
              <w:keepNext w:val="0"/>
              <w:keepLines w:val="0"/>
              <w:pageBreakBefore w:val="0"/>
              <w:widowControl w:val="0"/>
              <w:kinsoku/>
              <w:wordWrap/>
              <w:overflowPunct/>
              <w:topLinePunct w:val="0"/>
              <w:autoSpaceDE/>
              <w:autoSpaceDN/>
              <w:bidi w:val="0"/>
              <w:adjustRightInd/>
              <w:snapToGrid/>
              <w:spacing w:line="360" w:lineRule="auto"/>
              <w:ind w:left="38" w:leftChars="18" w:right="102"/>
              <w:jc w:val="both"/>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投标（响应）报价低于全部通过符合性审查供应商投标（响应）报价平均值×50%的，即投标（响应）报价&lt;全部通过符合性审查供应商投标（响应）报价平均值×50%。</w:t>
            </w:r>
          </w:p>
          <w:p w14:paraId="077F65C6">
            <w:pPr>
              <w:pStyle w:val="54"/>
              <w:keepNext w:val="0"/>
              <w:keepLines w:val="0"/>
              <w:pageBreakBefore w:val="0"/>
              <w:widowControl w:val="0"/>
              <w:kinsoku/>
              <w:wordWrap/>
              <w:overflowPunct/>
              <w:topLinePunct w:val="0"/>
              <w:autoSpaceDE/>
              <w:autoSpaceDN/>
              <w:bidi w:val="0"/>
              <w:adjustRightInd/>
              <w:snapToGrid/>
              <w:spacing w:line="360" w:lineRule="auto"/>
              <w:ind w:left="38" w:leftChars="18" w:right="102"/>
              <w:jc w:val="both"/>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投标（响应）报价低于通过符合性审查且报价次低供应商投标（响应）报价×50%的，即投标（响应）报价&lt;通过符合性审查且报价次低供应商投标（响应）报价×50%。</w:t>
            </w:r>
          </w:p>
          <w:p w14:paraId="7101274C">
            <w:pPr>
              <w:pStyle w:val="54"/>
              <w:keepNext w:val="0"/>
              <w:keepLines w:val="0"/>
              <w:pageBreakBefore w:val="0"/>
              <w:widowControl w:val="0"/>
              <w:kinsoku/>
              <w:wordWrap/>
              <w:overflowPunct/>
              <w:topLinePunct w:val="0"/>
              <w:autoSpaceDE/>
              <w:autoSpaceDN/>
              <w:bidi w:val="0"/>
              <w:adjustRightInd/>
              <w:snapToGrid/>
              <w:spacing w:line="360" w:lineRule="auto"/>
              <w:ind w:left="38" w:leftChars="18" w:right="102"/>
              <w:jc w:val="both"/>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eastAsia="zh-CN"/>
              </w:rPr>
              <w:t>投标（响应）报价低于采购项目最高限价45%的，即投标（响应）报价&lt;采购项目最高限价×45%。</w:t>
            </w:r>
          </w:p>
          <w:p w14:paraId="61285B57">
            <w:pPr>
              <w:pStyle w:val="54"/>
              <w:keepNext w:val="0"/>
              <w:keepLines w:val="0"/>
              <w:pageBreakBefore w:val="0"/>
              <w:widowControl w:val="0"/>
              <w:kinsoku/>
              <w:wordWrap/>
              <w:overflowPunct/>
              <w:topLinePunct w:val="0"/>
              <w:autoSpaceDE/>
              <w:autoSpaceDN/>
              <w:bidi w:val="0"/>
              <w:adjustRightInd/>
              <w:snapToGrid/>
              <w:spacing w:line="360" w:lineRule="auto"/>
              <w:ind w:left="38" w:leftChars="18" w:right="102"/>
              <w:jc w:val="both"/>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lang w:eastAsia="zh-CN"/>
              </w:rPr>
              <w:t>评审委员会基于专业判断，认为供应商报价过低，有可能影响产品质量或者不能诚信履约的其他情形。</w:t>
            </w:r>
          </w:p>
        </w:tc>
        <w:tc>
          <w:tcPr>
            <w:tcW w:w="1085" w:type="pct"/>
            <w:vAlign w:val="center"/>
          </w:tcPr>
          <w:p w14:paraId="3C0B7107">
            <w:pPr>
              <w:pStyle w:val="54"/>
              <w:keepNext w:val="0"/>
              <w:keepLines w:val="0"/>
              <w:pageBreakBefore w:val="0"/>
              <w:widowControl w:val="0"/>
              <w:kinsoku/>
              <w:wordWrap/>
              <w:overflowPunct/>
              <w:topLinePunct w:val="0"/>
              <w:autoSpaceDE/>
              <w:autoSpaceDN/>
              <w:bidi w:val="0"/>
              <w:adjustRightInd/>
              <w:snapToGrid/>
              <w:spacing w:line="360" w:lineRule="auto"/>
              <w:ind w:left="38" w:leftChars="18" w:right="102"/>
              <w:jc w:val="both"/>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响应）报价出现异常低价的，供应商需在评审现场合理时间内对投标（响应）价格作出解释，提供项目具体成本测算等与报价合理性相关的书面说明及必要的证明材料，包括但不限于原材料成本、人工成本、制造费用等。</w:t>
            </w:r>
          </w:p>
        </w:tc>
      </w:tr>
      <w:tr w14:paraId="609CEE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5000" w:type="pct"/>
            <w:gridSpan w:val="4"/>
            <w:vAlign w:val="center"/>
          </w:tcPr>
          <w:p w14:paraId="5449D8B0">
            <w:pPr>
              <w:pStyle w:val="54"/>
              <w:keepNext w:val="0"/>
              <w:keepLines w:val="0"/>
              <w:pageBreakBefore w:val="0"/>
              <w:widowControl w:val="0"/>
              <w:kinsoku/>
              <w:wordWrap/>
              <w:overflowPunct/>
              <w:topLinePunct w:val="0"/>
              <w:autoSpaceDE/>
              <w:autoSpaceDN/>
              <w:bidi w:val="0"/>
              <w:adjustRightInd/>
              <w:snapToGrid/>
              <w:spacing w:line="360" w:lineRule="auto"/>
              <w:ind w:left="38" w:leftChars="18" w:right="102"/>
              <w:jc w:val="center"/>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b/>
                <w:bCs/>
                <w:color w:val="auto"/>
                <w:szCs w:val="21"/>
                <w:highlight w:val="none"/>
                <w:lang w:eastAsia="zh-CN"/>
              </w:rPr>
              <w:t>结论</w:t>
            </w:r>
          </w:p>
        </w:tc>
      </w:tr>
      <w:tr w14:paraId="0938D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5000" w:type="pct"/>
            <w:gridSpan w:val="4"/>
            <w:vAlign w:val="center"/>
          </w:tcPr>
          <w:p w14:paraId="4FC5BF71">
            <w:pPr>
              <w:keepNext w:val="0"/>
              <w:keepLines w:val="0"/>
              <w:pageBreakBefore w:val="0"/>
              <w:widowControl w:val="0"/>
              <w:kinsoku/>
              <w:wordWrap/>
              <w:overflowPunct/>
              <w:topLinePunct w:val="0"/>
              <w:autoSpaceDE/>
              <w:autoSpaceDN/>
              <w:bidi w:val="0"/>
              <w:adjustRightInd/>
              <w:snapToGrid/>
              <w:spacing w:line="360" w:lineRule="auto"/>
              <w:ind w:left="38" w:leftChars="18" w:right="38" w:rightChars="18"/>
              <w:textAlignment w:val="auto"/>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填表说明：</w:t>
            </w:r>
          </w:p>
          <w:p w14:paraId="53515528">
            <w:pPr>
              <w:keepNext w:val="0"/>
              <w:keepLines w:val="0"/>
              <w:pageBreakBefore w:val="0"/>
              <w:widowControl w:val="0"/>
              <w:kinsoku/>
              <w:wordWrap/>
              <w:overflowPunct/>
              <w:topLinePunct w:val="0"/>
              <w:autoSpaceDE/>
              <w:autoSpaceDN/>
              <w:bidi w:val="0"/>
              <w:adjustRightInd/>
              <w:snapToGrid/>
              <w:spacing w:line="360" w:lineRule="auto"/>
              <w:ind w:left="38" w:leftChars="18" w:right="38" w:rightChars="18"/>
              <w:textAlignment w:val="auto"/>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1.“通过”打“√”，“未通过”打“×”；</w:t>
            </w:r>
          </w:p>
          <w:p w14:paraId="54E68469">
            <w:pPr>
              <w:keepNext w:val="0"/>
              <w:keepLines w:val="0"/>
              <w:pageBreakBefore w:val="0"/>
              <w:widowControl w:val="0"/>
              <w:kinsoku/>
              <w:wordWrap/>
              <w:overflowPunct/>
              <w:topLinePunct w:val="0"/>
              <w:autoSpaceDE/>
              <w:autoSpaceDN/>
              <w:bidi w:val="0"/>
              <w:adjustRightInd/>
              <w:snapToGrid/>
              <w:spacing w:line="360" w:lineRule="auto"/>
              <w:ind w:left="38" w:leftChars="18" w:right="38" w:rightChars="18"/>
              <w:textAlignment w:val="auto"/>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2.在结论栏中填写“通过”或“未通过”；</w:t>
            </w:r>
          </w:p>
          <w:p w14:paraId="1C83CA51">
            <w:pPr>
              <w:pStyle w:val="54"/>
              <w:keepNext w:val="0"/>
              <w:keepLines w:val="0"/>
              <w:pageBreakBefore w:val="0"/>
              <w:widowControl w:val="0"/>
              <w:kinsoku/>
              <w:wordWrap/>
              <w:overflowPunct/>
              <w:topLinePunct w:val="0"/>
              <w:autoSpaceDE/>
              <w:autoSpaceDN/>
              <w:bidi w:val="0"/>
              <w:adjustRightInd/>
              <w:snapToGrid/>
              <w:spacing w:line="360" w:lineRule="auto"/>
              <w:ind w:left="38" w:leftChars="18" w:right="102"/>
              <w:jc w:val="both"/>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bCs/>
                <w:color w:val="auto"/>
                <w:szCs w:val="21"/>
                <w:highlight w:val="none"/>
                <w:lang w:eastAsia="zh-CN"/>
              </w:rPr>
              <w:t>3.投标人有一个“未通过”，审查结论视为“未通过”。</w:t>
            </w:r>
          </w:p>
        </w:tc>
      </w:tr>
    </w:tbl>
    <w:p w14:paraId="3D4C6700">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p w14:paraId="57B9C52F">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如项目（包组）采用下浮率报价，上述投标（响应）报价应为（1-下浮率报价）。</w:t>
      </w:r>
    </w:p>
    <w:p w14:paraId="497EFCED">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p>
    <w:p w14:paraId="1DC3C9D2">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2.投标文件澄清</w:t>
      </w:r>
    </w:p>
    <w:p w14:paraId="5D080DA3">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 对于投标文件中含义不明确、同类问题表述不一致或者有明显文字和计算错误的内容，评标委员会可在评审过程中发起澄清，要求投标人针对价格或内容做出必要的澄清、说明或补正。代理机构可根据开标环节记录的授权代表人联系方式发送短信提醒或电话告知，投标人需保持电话畅通。</w:t>
      </w:r>
    </w:p>
    <w:p w14:paraId="07D0C7FA">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投标人需在规定时间内完成澄清（响应），并加盖单位公章，或法定代表人签字或盖章，或法定代表人授权委托人签字或盖章。</w:t>
      </w:r>
    </w:p>
    <w:p w14:paraId="7A6FAA58">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若因投标人联系方式错误未接收短信、未接听电话或超时未进行澄清（响应）造成的不利后果由供应商自行承担。投标人的澄清、说明或者补正不得超出投标文件的范围或者改变投标文件的实质性内容。</w:t>
      </w:r>
    </w:p>
    <w:p w14:paraId="762E5415">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 评标委员会不接受投标人主动提出的澄清、说明或补正。</w:t>
      </w:r>
    </w:p>
    <w:p w14:paraId="29D36317">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 评标委员会对投标人提交的澄清、说明或补正有疑问的，可以要求投标人进一步澄清、说明或补正。</w:t>
      </w:r>
    </w:p>
    <w:p w14:paraId="629C2B78">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p>
    <w:p w14:paraId="4F137381">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3.详细评审</w:t>
      </w:r>
    </w:p>
    <w:p w14:paraId="73363294">
      <w:pPr>
        <w:keepNext w:val="0"/>
        <w:keepLines w:val="0"/>
        <w:pageBreakBefore w:val="0"/>
        <w:kinsoku/>
        <w:overflowPunct/>
        <w:topLinePunct w:val="0"/>
        <w:autoSpaceDE/>
        <w:autoSpaceDN/>
        <w:bidi w:val="0"/>
        <w:spacing w:line="360" w:lineRule="auto"/>
        <w:ind w:firstLine="422" w:firstLineChars="200"/>
        <w:outlineLvl w:val="3"/>
        <w:rPr>
          <w:rFonts w:hint="eastAsia" w:ascii="宋体" w:hAnsi="宋体" w:eastAsia="宋体" w:cs="宋体"/>
          <w:b/>
          <w:bCs/>
          <w:color w:val="auto"/>
          <w:szCs w:val="21"/>
          <w:highlight w:val="none"/>
          <w:lang w:eastAsia="zh-CN"/>
        </w:rPr>
      </w:pPr>
      <w:bookmarkStart w:id="159" w:name="_Toc6322232"/>
      <w:bookmarkStart w:id="160" w:name="_Toc67046848"/>
      <w:r>
        <w:rPr>
          <w:rFonts w:hint="eastAsia" w:ascii="宋体" w:hAnsi="宋体" w:eastAsia="宋体" w:cs="宋体"/>
          <w:b/>
          <w:bCs/>
          <w:color w:val="auto"/>
          <w:szCs w:val="21"/>
          <w:highlight w:val="none"/>
          <w:lang w:eastAsia="zh-CN"/>
        </w:rPr>
        <w:t>表一：商务评分细则表（</w:t>
      </w:r>
      <w:r>
        <w:rPr>
          <w:rFonts w:hint="eastAsia" w:ascii="宋体" w:hAnsi="宋体" w:eastAsia="宋体" w:cs="宋体"/>
          <w:b/>
          <w:bCs/>
          <w:color w:val="auto"/>
          <w:szCs w:val="21"/>
          <w:highlight w:val="none"/>
          <w:lang w:val="en-US" w:eastAsia="zh-CN"/>
        </w:rPr>
        <w:t>22</w:t>
      </w:r>
      <w:r>
        <w:rPr>
          <w:rFonts w:hint="eastAsia" w:ascii="宋体" w:hAnsi="宋体" w:eastAsia="宋体" w:cs="宋体"/>
          <w:b/>
          <w:bCs/>
          <w:color w:val="auto"/>
          <w:szCs w:val="21"/>
          <w:highlight w:val="none"/>
          <w:lang w:eastAsia="zh-CN"/>
        </w:rPr>
        <w:t>分）</w:t>
      </w:r>
      <w:bookmarkEnd w:id="159"/>
      <w:bookmarkEnd w:id="160"/>
      <w:r>
        <w:rPr>
          <w:rFonts w:hint="eastAsia" w:ascii="宋体" w:hAnsi="宋体" w:eastAsia="宋体" w:cs="宋体"/>
          <w:b/>
          <w:bCs/>
          <w:color w:val="auto"/>
          <w:szCs w:val="21"/>
          <w:highlight w:val="none"/>
          <w:lang w:eastAsia="zh-CN"/>
        </w:rPr>
        <w:t xml:space="preserve"> </w:t>
      </w:r>
    </w:p>
    <w:tbl>
      <w:tblPr>
        <w:tblStyle w:val="34"/>
        <w:tblW w:w="505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2"/>
        <w:gridCol w:w="1124"/>
        <w:gridCol w:w="7099"/>
        <w:gridCol w:w="875"/>
      </w:tblGrid>
      <w:tr w14:paraId="62813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433" w:type="pct"/>
            <w:shd w:val="clear" w:color="auto" w:fill="F1F1F1" w:themeFill="background1" w:themeFillShade="F2"/>
            <w:vAlign w:val="center"/>
          </w:tcPr>
          <w:p w14:paraId="4D8D6730">
            <w:pPr>
              <w:pStyle w:val="54"/>
              <w:keepNext w:val="0"/>
              <w:keepLines w:val="0"/>
              <w:pageBreakBefore w:val="0"/>
              <w:kinsoku/>
              <w:overflowPunct/>
              <w:topLinePunct w:val="0"/>
              <w:autoSpaceDE/>
              <w:autoSpaceDN/>
              <w:bidi w:val="0"/>
              <w:spacing w:line="360" w:lineRule="auto"/>
              <w:jc w:val="center"/>
              <w:rPr>
                <w:rFonts w:hint="eastAsia" w:ascii="宋体" w:hAnsi="宋体" w:eastAsia="宋体" w:cs="宋体"/>
                <w:b/>
                <w:color w:val="auto"/>
                <w:szCs w:val="21"/>
                <w:highlight w:val="none"/>
              </w:rPr>
            </w:pPr>
            <w:bookmarkStart w:id="161" w:name="_Hlk43300484"/>
            <w:r>
              <w:rPr>
                <w:rFonts w:hint="eastAsia" w:ascii="宋体" w:hAnsi="宋体" w:eastAsia="宋体" w:cs="宋体"/>
                <w:b/>
                <w:color w:val="auto"/>
                <w:szCs w:val="21"/>
                <w:highlight w:val="none"/>
              </w:rPr>
              <w:t>序号</w:t>
            </w:r>
          </w:p>
        </w:tc>
        <w:tc>
          <w:tcPr>
            <w:tcW w:w="564" w:type="pct"/>
            <w:shd w:val="clear" w:color="auto" w:fill="F1F1F1" w:themeFill="background1" w:themeFillShade="F2"/>
            <w:vAlign w:val="center"/>
          </w:tcPr>
          <w:p w14:paraId="0F912ED2">
            <w:pPr>
              <w:pStyle w:val="54"/>
              <w:keepNext w:val="0"/>
              <w:keepLines w:val="0"/>
              <w:pageBreakBefore w:val="0"/>
              <w:kinsoku/>
              <w:overflowPunct/>
              <w:topLinePunct w:val="0"/>
              <w:autoSpaceDE/>
              <w:autoSpaceDN/>
              <w:bidi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评审因素</w:t>
            </w:r>
          </w:p>
        </w:tc>
        <w:tc>
          <w:tcPr>
            <w:tcW w:w="3563" w:type="pct"/>
            <w:shd w:val="clear" w:color="auto" w:fill="F1F1F1" w:themeFill="background1" w:themeFillShade="F2"/>
            <w:vAlign w:val="center"/>
          </w:tcPr>
          <w:p w14:paraId="6C0FEA5F">
            <w:pPr>
              <w:pStyle w:val="54"/>
              <w:keepNext w:val="0"/>
              <w:keepLines w:val="0"/>
              <w:pageBreakBefore w:val="0"/>
              <w:kinsoku/>
              <w:overflowPunct/>
              <w:topLinePunct w:val="0"/>
              <w:autoSpaceDE/>
              <w:autoSpaceDN/>
              <w:bidi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评审标准</w:t>
            </w:r>
          </w:p>
        </w:tc>
        <w:tc>
          <w:tcPr>
            <w:tcW w:w="439" w:type="pct"/>
            <w:shd w:val="clear" w:color="auto" w:fill="F1F1F1" w:themeFill="background1" w:themeFillShade="F2"/>
            <w:vAlign w:val="center"/>
          </w:tcPr>
          <w:p w14:paraId="21328DE8">
            <w:pPr>
              <w:pStyle w:val="54"/>
              <w:keepNext w:val="0"/>
              <w:keepLines w:val="0"/>
              <w:pageBreakBefore w:val="0"/>
              <w:kinsoku/>
              <w:overflowPunct/>
              <w:topLinePunct w:val="0"/>
              <w:autoSpaceDE/>
              <w:autoSpaceDN/>
              <w:bidi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分值（分）</w:t>
            </w:r>
          </w:p>
        </w:tc>
      </w:tr>
      <w:tr w14:paraId="61B6C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433" w:type="pct"/>
            <w:vAlign w:val="center"/>
          </w:tcPr>
          <w:p w14:paraId="4BC15ADA">
            <w:pPr>
              <w:pStyle w:val="66"/>
              <w:keepNext w:val="0"/>
              <w:keepLines w:val="0"/>
              <w:pageBreakBefore w:val="0"/>
              <w:numPr>
                <w:ilvl w:val="0"/>
                <w:numId w:val="10"/>
              </w:numPr>
              <w:kinsoku/>
              <w:overflowPunct/>
              <w:topLinePunct w:val="0"/>
              <w:autoSpaceDE/>
              <w:autoSpaceDN/>
              <w:bidi w:val="0"/>
              <w:spacing w:line="360" w:lineRule="auto"/>
              <w:ind w:firstLineChars="0"/>
              <w:jc w:val="center"/>
              <w:rPr>
                <w:rFonts w:hint="eastAsia" w:ascii="宋体" w:hAnsi="宋体" w:eastAsia="宋体" w:cs="宋体"/>
                <w:color w:val="auto"/>
                <w:szCs w:val="21"/>
                <w:highlight w:val="none"/>
              </w:rPr>
            </w:pPr>
          </w:p>
        </w:tc>
        <w:tc>
          <w:tcPr>
            <w:tcW w:w="564" w:type="pct"/>
            <w:shd w:val="clear" w:color="auto" w:fill="auto"/>
            <w:vAlign w:val="center"/>
          </w:tcPr>
          <w:p w14:paraId="5F81E1B4">
            <w:pPr>
              <w:keepNext w:val="0"/>
              <w:keepLines w:val="0"/>
              <w:pageBreakBefore w:val="0"/>
              <w:kinsoku/>
              <w:overflowPunct/>
              <w:topLinePunct w:val="0"/>
              <w:autoSpaceDE/>
              <w:autoSpaceDN/>
              <w:bidi w:val="0"/>
              <w:spacing w:line="360" w:lineRule="auto"/>
              <w:jc w:val="center"/>
              <w:rPr>
                <w:rFonts w:hint="eastAsia" w:ascii="宋体" w:hAnsi="宋体" w:eastAsia="宋体" w:cs="宋体"/>
                <w:color w:val="auto"/>
                <w:sz w:val="21"/>
                <w:szCs w:val="21"/>
                <w:highlight w:val="none"/>
                <w:lang w:val="en-US" w:eastAsia="en-US" w:bidi="ar-SA"/>
              </w:rPr>
            </w:pPr>
            <w:r>
              <w:rPr>
                <w:rFonts w:hint="eastAsia" w:ascii="宋体" w:hAnsi="宋体" w:eastAsia="宋体" w:cs="宋体"/>
                <w:color w:val="auto"/>
                <w:sz w:val="21"/>
                <w:szCs w:val="21"/>
                <w:highlight w:val="none"/>
                <w:lang w:eastAsia="zh-CN"/>
              </w:rPr>
              <w:t>类似项目</w:t>
            </w:r>
            <w:r>
              <w:rPr>
                <w:rFonts w:hint="eastAsia" w:ascii="宋体" w:hAnsi="宋体" w:eastAsia="宋体" w:cs="宋体"/>
                <w:color w:val="auto"/>
                <w:sz w:val="21"/>
                <w:szCs w:val="21"/>
                <w:highlight w:val="none"/>
              </w:rPr>
              <w:t>业绩</w:t>
            </w:r>
          </w:p>
        </w:tc>
        <w:tc>
          <w:tcPr>
            <w:tcW w:w="3563" w:type="pct"/>
            <w:shd w:val="clear" w:color="auto" w:fill="auto"/>
            <w:vAlign w:val="center"/>
          </w:tcPr>
          <w:p w14:paraId="40894C0A">
            <w:pPr>
              <w:pStyle w:val="79"/>
              <w:keepNext w:val="0"/>
              <w:keepLines w:val="0"/>
              <w:pageBreakBefore w:val="0"/>
              <w:widowControl w:val="0"/>
              <w:kinsoku/>
              <w:overflowPunct/>
              <w:topLinePunct w:val="0"/>
              <w:autoSpaceDE/>
              <w:autoSpaceDN/>
              <w:bidi w:val="0"/>
              <w:adjustRightInd w:val="0"/>
              <w:spacing w:line="360" w:lineRule="auto"/>
              <w:ind w:firstLine="0" w:firstLineChars="0"/>
              <w:jc w:val="both"/>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投标人</w:t>
            </w:r>
            <w:r>
              <w:rPr>
                <w:rFonts w:hint="eastAsia" w:ascii="宋体" w:hAnsi="宋体" w:eastAsia="宋体" w:cs="宋体"/>
                <w:bCs/>
                <w:color w:val="auto"/>
                <w:sz w:val="21"/>
                <w:szCs w:val="21"/>
                <w:highlight w:val="none"/>
                <w:lang w:eastAsia="zh-CN"/>
              </w:rPr>
              <w:t>自202</w:t>
            </w:r>
            <w:r>
              <w:rPr>
                <w:rFonts w:hint="eastAsia" w:ascii="宋体" w:hAnsi="宋体" w:eastAsia="宋体" w:cs="宋体"/>
                <w:bCs/>
                <w:color w:val="auto"/>
                <w:sz w:val="21"/>
                <w:szCs w:val="21"/>
                <w:highlight w:val="none"/>
                <w:lang w:val="en-US" w:eastAsia="zh-CN"/>
              </w:rPr>
              <w:t>3</w:t>
            </w:r>
            <w:r>
              <w:rPr>
                <w:rFonts w:hint="eastAsia" w:ascii="宋体" w:hAnsi="宋体" w:eastAsia="宋体" w:cs="宋体"/>
                <w:bCs/>
                <w:color w:val="auto"/>
                <w:sz w:val="21"/>
                <w:szCs w:val="21"/>
                <w:highlight w:val="none"/>
                <w:lang w:eastAsia="zh-CN"/>
              </w:rPr>
              <w:t>年01月01日</w:t>
            </w:r>
            <w:r>
              <w:rPr>
                <w:rFonts w:hint="eastAsia" w:ascii="宋体" w:hAnsi="宋体" w:eastAsia="宋体" w:cs="宋体"/>
                <w:bCs/>
                <w:color w:val="auto"/>
                <w:sz w:val="21"/>
                <w:szCs w:val="21"/>
                <w:highlight w:val="none"/>
                <w:lang w:val="en-US" w:eastAsia="zh-CN"/>
              </w:rPr>
              <w:t>以来</w:t>
            </w:r>
            <w:r>
              <w:rPr>
                <w:rFonts w:hint="eastAsia" w:ascii="宋体" w:hAnsi="宋体" w:eastAsia="宋体" w:cs="宋体"/>
                <w:color w:val="auto"/>
                <w:sz w:val="21"/>
                <w:szCs w:val="21"/>
                <w:highlight w:val="none"/>
              </w:rPr>
              <w:t>具有</w:t>
            </w:r>
            <w:r>
              <w:rPr>
                <w:rFonts w:hint="eastAsia" w:ascii="宋体" w:hAnsi="宋体" w:eastAsia="宋体" w:cs="宋体"/>
                <w:color w:val="auto"/>
                <w:sz w:val="21"/>
                <w:szCs w:val="21"/>
                <w:highlight w:val="none"/>
                <w:lang w:val="en-US" w:eastAsia="zh-CN"/>
              </w:rPr>
              <w:t>类似</w:t>
            </w:r>
            <w:r>
              <w:rPr>
                <w:rFonts w:hint="eastAsia" w:ascii="宋体" w:hAnsi="宋体" w:eastAsia="宋体" w:cs="宋体"/>
                <w:b/>
                <w:bCs/>
                <w:i w:val="0"/>
                <w:iCs w:val="0"/>
                <w:color w:val="auto"/>
                <w:kern w:val="0"/>
                <w:sz w:val="21"/>
                <w:szCs w:val="21"/>
                <w:highlight w:val="none"/>
                <w:u w:val="none"/>
                <w:lang w:val="en-US" w:eastAsia="zh-CN" w:bidi="ar"/>
              </w:rPr>
              <w:t>船艇中修或发动机主机维修</w:t>
            </w:r>
            <w:r>
              <w:rPr>
                <w:rFonts w:hint="eastAsia" w:ascii="宋体" w:hAnsi="宋体" w:eastAsia="宋体" w:cs="宋体"/>
                <w:color w:val="auto"/>
                <w:sz w:val="21"/>
                <w:szCs w:val="21"/>
                <w:highlight w:val="none"/>
                <w:lang w:val="en-US" w:eastAsia="zh-CN"/>
              </w:rPr>
              <w:t>的</w:t>
            </w:r>
            <w:r>
              <w:rPr>
                <w:rFonts w:hint="eastAsia" w:ascii="宋体" w:hAnsi="宋体" w:eastAsia="宋体" w:cs="宋体"/>
                <w:bCs/>
                <w:color w:val="auto"/>
                <w:sz w:val="21"/>
                <w:szCs w:val="21"/>
                <w:highlight w:val="none"/>
                <w:lang w:eastAsia="zh-CN"/>
              </w:rPr>
              <w:t>项目</w:t>
            </w:r>
            <w:r>
              <w:rPr>
                <w:rFonts w:hint="eastAsia" w:ascii="宋体" w:hAnsi="宋体" w:eastAsia="宋体" w:cs="宋体"/>
                <w:color w:val="auto"/>
                <w:sz w:val="21"/>
                <w:szCs w:val="21"/>
                <w:highlight w:val="none"/>
              </w:rPr>
              <w:t>业绩</w:t>
            </w:r>
            <w:r>
              <w:rPr>
                <w:rFonts w:hint="eastAsia" w:ascii="宋体" w:hAnsi="宋体" w:eastAsia="宋体" w:cs="宋体"/>
                <w:bCs/>
                <w:color w:val="auto"/>
                <w:sz w:val="21"/>
                <w:szCs w:val="21"/>
                <w:highlight w:val="none"/>
                <w:lang w:eastAsia="zh-CN"/>
              </w:rPr>
              <w:t>，每提供1个业绩</w:t>
            </w:r>
            <w:r>
              <w:rPr>
                <w:rFonts w:hint="eastAsia" w:ascii="宋体" w:hAnsi="宋体" w:eastAsia="宋体" w:cs="宋体"/>
                <w:b w:val="0"/>
                <w:bCs/>
                <w:color w:val="auto"/>
                <w:sz w:val="21"/>
                <w:szCs w:val="21"/>
                <w:highlight w:val="none"/>
                <w:lang w:eastAsia="zh-CN"/>
              </w:rPr>
              <w:t>得</w:t>
            </w:r>
            <w:r>
              <w:rPr>
                <w:rFonts w:hint="eastAsia" w:eastAsia="宋体" w:cs="宋体"/>
                <w:b w:val="0"/>
                <w:bCs/>
                <w:color w:val="auto"/>
                <w:sz w:val="21"/>
                <w:szCs w:val="21"/>
                <w:highlight w:val="none"/>
                <w:lang w:val="en-US" w:eastAsia="zh-CN"/>
              </w:rPr>
              <w:t>3</w:t>
            </w:r>
            <w:r>
              <w:rPr>
                <w:rFonts w:hint="eastAsia" w:ascii="宋体" w:hAnsi="宋体" w:eastAsia="宋体" w:cs="宋体"/>
                <w:b w:val="0"/>
                <w:bCs/>
                <w:color w:val="auto"/>
                <w:sz w:val="21"/>
                <w:szCs w:val="21"/>
                <w:highlight w:val="none"/>
                <w:lang w:eastAsia="zh-CN"/>
              </w:rPr>
              <w:t>分，本项最多计算</w:t>
            </w:r>
            <w:r>
              <w:rPr>
                <w:rFonts w:hint="eastAsia" w:eastAsia="宋体" w:cs="宋体"/>
                <w:b w:val="0"/>
                <w:bCs/>
                <w:color w:val="auto"/>
                <w:sz w:val="21"/>
                <w:szCs w:val="21"/>
                <w:highlight w:val="none"/>
                <w:lang w:val="en-US" w:eastAsia="zh-CN"/>
              </w:rPr>
              <w:t>3</w:t>
            </w:r>
            <w:r>
              <w:rPr>
                <w:rFonts w:hint="eastAsia" w:ascii="宋体" w:hAnsi="宋体" w:eastAsia="宋体" w:cs="宋体"/>
                <w:b w:val="0"/>
                <w:bCs/>
                <w:color w:val="auto"/>
                <w:sz w:val="21"/>
                <w:szCs w:val="21"/>
                <w:highlight w:val="none"/>
                <w:lang w:eastAsia="zh-CN"/>
              </w:rPr>
              <w:t>个单项业绩，满分</w:t>
            </w:r>
            <w:r>
              <w:rPr>
                <w:rFonts w:hint="eastAsia" w:eastAsia="宋体" w:cs="宋体"/>
                <w:b w:val="0"/>
                <w:bCs/>
                <w:color w:val="auto"/>
                <w:sz w:val="21"/>
                <w:szCs w:val="21"/>
                <w:highlight w:val="none"/>
                <w:lang w:val="en-US" w:eastAsia="zh-CN"/>
              </w:rPr>
              <w:t>9</w:t>
            </w:r>
            <w:r>
              <w:rPr>
                <w:rFonts w:hint="eastAsia" w:ascii="宋体" w:hAnsi="宋体" w:eastAsia="宋体" w:cs="宋体"/>
                <w:b w:val="0"/>
                <w:bCs/>
                <w:color w:val="auto"/>
                <w:sz w:val="21"/>
                <w:szCs w:val="21"/>
                <w:highlight w:val="none"/>
                <w:lang w:eastAsia="zh-CN"/>
              </w:rPr>
              <w:t>分。</w:t>
            </w:r>
          </w:p>
          <w:p w14:paraId="29D3B545">
            <w:pPr>
              <w:keepNext w:val="0"/>
              <w:keepLines w:val="0"/>
              <w:pageBreakBefore w:val="0"/>
              <w:widowControl w:val="0"/>
              <w:kinsoku/>
              <w:overflowPunct/>
              <w:topLinePunct w:val="0"/>
              <w:autoSpaceDE/>
              <w:autoSpaceDN/>
              <w:bidi w:val="0"/>
              <w:adjustRightInd w:val="0"/>
              <w:spacing w:line="360" w:lineRule="auto"/>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color w:val="auto"/>
                <w:szCs w:val="21"/>
                <w:highlight w:val="none"/>
                <w:lang w:eastAsia="zh-CN"/>
              </w:rPr>
              <w:t>注：（</w:t>
            </w:r>
            <w:r>
              <w:rPr>
                <w:rFonts w:hint="eastAsia" w:ascii="宋体" w:hAnsi="宋体" w:eastAsia="宋体" w:cs="宋体"/>
                <w:b/>
                <w:color w:val="auto"/>
                <w:szCs w:val="21"/>
                <w:highlight w:val="none"/>
                <w:lang w:val="en-US" w:eastAsia="zh-CN"/>
              </w:rPr>
              <w:t>1</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lang w:val="en-US" w:eastAsia="zh-CN"/>
              </w:rPr>
              <w:t>投标</w:t>
            </w:r>
            <w:r>
              <w:rPr>
                <w:rFonts w:hint="eastAsia" w:ascii="宋体" w:hAnsi="宋体" w:eastAsia="宋体" w:cs="宋体"/>
                <w:b/>
                <w:color w:val="auto"/>
                <w:szCs w:val="21"/>
                <w:highlight w:val="none"/>
                <w:lang w:eastAsia="zh-CN"/>
              </w:rPr>
              <w:t>文件中须提供合同关键页复印件（包括但不限于合同名称页、合同主要内容页、合同签订日期页、合同双方签字盖章页），并加盖投标人公章，否则不得分。</w:t>
            </w:r>
            <w:r>
              <w:rPr>
                <w:rFonts w:hint="eastAsia" w:ascii="宋体" w:hAnsi="宋体" w:eastAsia="宋体" w:cs="宋体"/>
                <w:b/>
                <w:color w:val="auto"/>
                <w:szCs w:val="21"/>
                <w:highlight w:val="none"/>
                <w:lang w:val="en-US" w:eastAsia="zh-CN"/>
              </w:rPr>
              <w:t>（2）</w:t>
            </w:r>
            <w:r>
              <w:rPr>
                <w:rFonts w:hint="eastAsia" w:ascii="宋体" w:hAnsi="宋体" w:eastAsia="宋体" w:cs="宋体"/>
                <w:b/>
                <w:color w:val="auto"/>
                <w:szCs w:val="21"/>
                <w:highlight w:val="none"/>
                <w:lang w:eastAsia="zh-CN"/>
              </w:rPr>
              <w:t>合同体现签订日期的，以合同签订日期为准；合同未体现签订日期的，但是合同履行期限能明显判断在202</w:t>
            </w:r>
            <w:r>
              <w:rPr>
                <w:rFonts w:hint="eastAsia" w:ascii="宋体" w:hAnsi="宋体" w:eastAsia="宋体" w:cs="宋体"/>
                <w:b/>
                <w:color w:val="auto"/>
                <w:szCs w:val="21"/>
                <w:highlight w:val="none"/>
                <w:lang w:val="en-US" w:eastAsia="zh-CN"/>
              </w:rPr>
              <w:t>3</w:t>
            </w:r>
            <w:r>
              <w:rPr>
                <w:rFonts w:hint="eastAsia" w:ascii="宋体" w:hAnsi="宋体" w:eastAsia="宋体" w:cs="宋体"/>
                <w:b/>
                <w:color w:val="auto"/>
                <w:szCs w:val="21"/>
                <w:highlight w:val="none"/>
                <w:lang w:eastAsia="zh-CN"/>
              </w:rPr>
              <w:t>年</w:t>
            </w:r>
            <w:r>
              <w:rPr>
                <w:rFonts w:hint="eastAsia" w:ascii="宋体" w:hAnsi="宋体" w:eastAsia="宋体" w:cs="宋体"/>
                <w:b/>
                <w:color w:val="auto"/>
                <w:szCs w:val="21"/>
                <w:highlight w:val="none"/>
                <w:lang w:val="en-US" w:eastAsia="zh-CN"/>
              </w:rPr>
              <w:t>0</w:t>
            </w:r>
            <w:r>
              <w:rPr>
                <w:rFonts w:hint="eastAsia" w:ascii="宋体" w:hAnsi="宋体" w:eastAsia="宋体" w:cs="宋体"/>
                <w:b/>
                <w:color w:val="auto"/>
                <w:szCs w:val="21"/>
                <w:highlight w:val="none"/>
                <w:lang w:eastAsia="zh-CN"/>
              </w:rPr>
              <w:t>1月</w:t>
            </w:r>
            <w:r>
              <w:rPr>
                <w:rFonts w:hint="eastAsia" w:ascii="宋体" w:hAnsi="宋体" w:eastAsia="宋体" w:cs="宋体"/>
                <w:b/>
                <w:color w:val="auto"/>
                <w:szCs w:val="21"/>
                <w:highlight w:val="none"/>
                <w:lang w:val="en-US" w:eastAsia="zh-CN"/>
              </w:rPr>
              <w:t>0</w:t>
            </w:r>
            <w:r>
              <w:rPr>
                <w:rFonts w:hint="eastAsia" w:ascii="宋体" w:hAnsi="宋体" w:eastAsia="宋体" w:cs="宋体"/>
                <w:b/>
                <w:color w:val="auto"/>
                <w:szCs w:val="21"/>
                <w:highlight w:val="none"/>
                <w:lang w:eastAsia="zh-CN"/>
              </w:rPr>
              <w:t>1日或之后开始实施的，该合同应予以认可。</w:t>
            </w:r>
            <w:r>
              <w:rPr>
                <w:rFonts w:hint="eastAsia" w:ascii="宋体" w:hAnsi="宋体" w:eastAsia="宋体" w:cs="宋体"/>
                <w:b/>
                <w:color w:val="auto"/>
                <w:szCs w:val="21"/>
                <w:highlight w:val="none"/>
                <w:lang w:val="en-US" w:eastAsia="zh-CN"/>
              </w:rPr>
              <w:t>（3）</w:t>
            </w:r>
            <w:r>
              <w:rPr>
                <w:rFonts w:hint="eastAsia" w:ascii="宋体" w:hAnsi="宋体" w:eastAsia="宋体" w:cs="宋体"/>
                <w:b/>
                <w:color w:val="auto"/>
                <w:szCs w:val="21"/>
                <w:highlight w:val="none"/>
                <w:lang w:eastAsia="zh-CN"/>
              </w:rPr>
              <w:t>若合同无法体现具体内容的，可增加客户方提供的证明材料作为佐证材料，否则不得分。</w:t>
            </w:r>
          </w:p>
        </w:tc>
        <w:tc>
          <w:tcPr>
            <w:tcW w:w="439" w:type="pct"/>
            <w:shd w:val="clear" w:color="auto" w:fill="auto"/>
            <w:vAlign w:val="center"/>
          </w:tcPr>
          <w:p w14:paraId="3346BAE9">
            <w:pPr>
              <w:keepNext w:val="0"/>
              <w:keepLines w:val="0"/>
              <w:pageBreakBefore w:val="0"/>
              <w:widowControl w:val="0"/>
              <w:kinsoku/>
              <w:overflowPunct/>
              <w:topLinePunct w:val="0"/>
              <w:bidi w:val="0"/>
              <w:spacing w:line="360" w:lineRule="auto"/>
              <w:jc w:val="center"/>
              <w:rPr>
                <w:rFonts w:hint="eastAsia" w:ascii="宋体" w:hAnsi="宋体" w:eastAsia="宋体" w:cs="宋体"/>
                <w:color w:val="auto"/>
                <w:kern w:val="2"/>
                <w:sz w:val="21"/>
                <w:szCs w:val="21"/>
                <w:highlight w:val="none"/>
                <w:lang w:val="en-US" w:eastAsia="zh-CN" w:bidi="ar-SA"/>
              </w:rPr>
            </w:pPr>
            <w:r>
              <w:rPr>
                <w:rFonts w:hint="eastAsia" w:cs="宋体"/>
                <w:b w:val="0"/>
                <w:bCs w:val="0"/>
                <w:color w:val="auto"/>
                <w:szCs w:val="21"/>
                <w:highlight w:val="none"/>
                <w:lang w:val="en-US" w:eastAsia="zh-CN"/>
              </w:rPr>
              <w:t>9</w:t>
            </w:r>
          </w:p>
        </w:tc>
      </w:tr>
      <w:tr w14:paraId="6BE43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433" w:type="pct"/>
            <w:vAlign w:val="center"/>
          </w:tcPr>
          <w:p w14:paraId="7BBE16BD">
            <w:pPr>
              <w:pStyle w:val="66"/>
              <w:keepNext w:val="0"/>
              <w:keepLines w:val="0"/>
              <w:pageBreakBefore w:val="0"/>
              <w:numPr>
                <w:ilvl w:val="0"/>
                <w:numId w:val="10"/>
              </w:numPr>
              <w:kinsoku/>
              <w:overflowPunct/>
              <w:topLinePunct w:val="0"/>
              <w:autoSpaceDE/>
              <w:autoSpaceDN/>
              <w:bidi w:val="0"/>
              <w:spacing w:line="360" w:lineRule="auto"/>
              <w:ind w:firstLineChars="0"/>
              <w:jc w:val="center"/>
              <w:rPr>
                <w:rFonts w:hint="eastAsia" w:ascii="宋体" w:hAnsi="宋体" w:eastAsia="宋体" w:cs="宋体"/>
                <w:color w:val="auto"/>
                <w:szCs w:val="21"/>
                <w:highlight w:val="none"/>
              </w:rPr>
            </w:pPr>
          </w:p>
        </w:tc>
        <w:tc>
          <w:tcPr>
            <w:tcW w:w="564" w:type="pct"/>
            <w:shd w:val="clear" w:color="auto" w:fill="auto"/>
            <w:vAlign w:val="center"/>
          </w:tcPr>
          <w:p w14:paraId="5AB677B4">
            <w:pPr>
              <w:keepNext w:val="0"/>
              <w:keepLines w:val="0"/>
              <w:pageBreakBefore w:val="0"/>
              <w:widowControl w:val="0"/>
              <w:tabs>
                <w:tab w:val="left" w:pos="778"/>
              </w:tabs>
              <w:kinsoku/>
              <w:overflowPunct/>
              <w:topLinePunct w:val="0"/>
              <w:autoSpaceDE/>
              <w:autoSpaceDN/>
              <w:bidi w:val="0"/>
              <w:adjustRightInd w:val="0"/>
              <w:spacing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体系</w:t>
            </w:r>
            <w:r>
              <w:rPr>
                <w:rFonts w:hint="eastAsia" w:ascii="宋体" w:hAnsi="宋体" w:eastAsia="宋体" w:cs="宋体"/>
                <w:color w:val="auto"/>
                <w:szCs w:val="21"/>
                <w:highlight w:val="none"/>
              </w:rPr>
              <w:t>认证</w:t>
            </w:r>
            <w:r>
              <w:rPr>
                <w:rFonts w:hint="eastAsia" w:ascii="宋体" w:hAnsi="宋体" w:eastAsia="宋体" w:cs="宋体"/>
                <w:color w:val="auto"/>
                <w:szCs w:val="21"/>
                <w:highlight w:val="none"/>
                <w:lang w:eastAsia="zh-CN"/>
              </w:rPr>
              <w:t>情况</w:t>
            </w:r>
          </w:p>
        </w:tc>
        <w:tc>
          <w:tcPr>
            <w:tcW w:w="3563" w:type="pct"/>
            <w:shd w:val="clear" w:color="auto" w:fill="auto"/>
            <w:vAlign w:val="center"/>
          </w:tcPr>
          <w:p w14:paraId="4F362E30">
            <w:pPr>
              <w:keepNext w:val="0"/>
              <w:keepLines w:val="0"/>
              <w:pageBreakBefore w:val="0"/>
              <w:widowControl w:val="0"/>
              <w:kinsoku/>
              <w:overflowPunct/>
              <w:topLinePunct w:val="0"/>
              <w:autoSpaceDE/>
              <w:autoSpaceDN/>
              <w:bidi w:val="0"/>
              <w:adjustRightInd w:val="0"/>
              <w:spacing w:line="360" w:lineRule="auto"/>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投标人</w:t>
            </w:r>
            <w:r>
              <w:rPr>
                <w:rFonts w:hint="eastAsia" w:ascii="宋体" w:hAnsi="宋体" w:eastAsia="宋体" w:cs="宋体"/>
                <w:color w:val="auto"/>
                <w:szCs w:val="21"/>
                <w:highlight w:val="none"/>
                <w:lang w:val="en-US" w:eastAsia="zh-CN"/>
              </w:rPr>
              <w:t>具有有效期内</w:t>
            </w:r>
            <w:r>
              <w:rPr>
                <w:rFonts w:hint="eastAsia" w:ascii="宋体" w:hAnsi="宋体" w:eastAsia="宋体" w:cs="宋体"/>
                <w:color w:val="auto"/>
                <w:szCs w:val="21"/>
                <w:highlight w:val="none"/>
                <w:lang w:eastAsia="zh-CN"/>
              </w:rPr>
              <w:t>的</w:t>
            </w:r>
            <w:r>
              <w:rPr>
                <w:rFonts w:hint="eastAsia" w:ascii="宋体" w:hAnsi="宋体" w:eastAsia="宋体" w:cs="宋体"/>
                <w:color w:val="auto"/>
                <w:szCs w:val="21"/>
                <w:highlight w:val="none"/>
                <w:lang w:val="en-US" w:eastAsia="zh-CN"/>
              </w:rPr>
              <w:t>以下证书，认证范围包含“船舶维修或建造”类相关内容</w:t>
            </w:r>
            <w:r>
              <w:rPr>
                <w:rFonts w:hint="eastAsia" w:ascii="宋体" w:hAnsi="宋体" w:eastAsia="宋体" w:cs="宋体"/>
                <w:color w:val="auto"/>
                <w:szCs w:val="21"/>
                <w:highlight w:val="none"/>
                <w:lang w:eastAsia="zh-CN"/>
              </w:rPr>
              <w:t>：</w:t>
            </w:r>
          </w:p>
          <w:p w14:paraId="7934BE73">
            <w:pPr>
              <w:keepNext w:val="0"/>
              <w:keepLines w:val="0"/>
              <w:pageBreakBefore w:val="0"/>
              <w:widowControl w:val="0"/>
              <w:kinsoku/>
              <w:overflowPunct/>
              <w:topLinePunct w:val="0"/>
              <w:autoSpaceDE/>
              <w:autoSpaceDN/>
              <w:bidi w:val="0"/>
              <w:adjustRightInd w:val="0"/>
              <w:spacing w:line="360" w:lineRule="auto"/>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1、具有有效的质量管理体系认证证书，</w:t>
            </w:r>
            <w:r>
              <w:rPr>
                <w:rFonts w:hint="eastAsia" w:ascii="宋体" w:hAnsi="宋体" w:eastAsia="宋体" w:cs="宋体"/>
                <w:b w:val="0"/>
                <w:bCs w:val="0"/>
                <w:color w:val="auto"/>
                <w:szCs w:val="21"/>
                <w:highlight w:val="none"/>
                <w:lang w:eastAsia="zh-CN"/>
              </w:rPr>
              <w:t>得</w:t>
            </w:r>
            <w:r>
              <w:rPr>
                <w:rFonts w:hint="eastAsia" w:ascii="宋体" w:hAnsi="宋体" w:eastAsia="宋体" w:cs="宋体"/>
                <w:b w:val="0"/>
                <w:bCs w:val="0"/>
                <w:color w:val="auto"/>
                <w:szCs w:val="21"/>
                <w:highlight w:val="none"/>
                <w:lang w:val="en-US" w:eastAsia="zh-CN"/>
              </w:rPr>
              <w:t>2</w:t>
            </w:r>
            <w:r>
              <w:rPr>
                <w:rFonts w:hint="eastAsia" w:ascii="宋体" w:hAnsi="宋体" w:eastAsia="宋体" w:cs="宋体"/>
                <w:b w:val="0"/>
                <w:bCs w:val="0"/>
                <w:color w:val="auto"/>
                <w:szCs w:val="21"/>
                <w:highlight w:val="none"/>
                <w:lang w:eastAsia="zh-CN"/>
              </w:rPr>
              <w:t>分</w:t>
            </w:r>
            <w:r>
              <w:rPr>
                <w:rFonts w:hint="eastAsia" w:ascii="宋体" w:hAnsi="宋体" w:eastAsia="宋体" w:cs="宋体"/>
                <w:color w:val="auto"/>
                <w:szCs w:val="21"/>
                <w:highlight w:val="none"/>
                <w:lang w:eastAsia="zh-CN"/>
              </w:rPr>
              <w:t>；</w:t>
            </w:r>
          </w:p>
          <w:p w14:paraId="3A89B202">
            <w:pPr>
              <w:keepNext w:val="0"/>
              <w:keepLines w:val="0"/>
              <w:pageBreakBefore w:val="0"/>
              <w:widowControl w:val="0"/>
              <w:kinsoku/>
              <w:overflowPunct/>
              <w:topLinePunct w:val="0"/>
              <w:autoSpaceDE/>
              <w:autoSpaceDN/>
              <w:bidi w:val="0"/>
              <w:adjustRightInd w:val="0"/>
              <w:spacing w:line="360" w:lineRule="auto"/>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2、具有有效的环境管理体系认证，</w:t>
            </w:r>
            <w:r>
              <w:rPr>
                <w:rFonts w:hint="eastAsia" w:ascii="宋体" w:hAnsi="宋体" w:eastAsia="宋体" w:cs="宋体"/>
                <w:b w:val="0"/>
                <w:bCs w:val="0"/>
                <w:color w:val="auto"/>
                <w:szCs w:val="21"/>
                <w:highlight w:val="none"/>
                <w:lang w:eastAsia="zh-CN"/>
              </w:rPr>
              <w:t>得</w:t>
            </w:r>
            <w:r>
              <w:rPr>
                <w:rFonts w:hint="eastAsia" w:ascii="宋体" w:hAnsi="宋体" w:eastAsia="宋体" w:cs="宋体"/>
                <w:b w:val="0"/>
                <w:bCs w:val="0"/>
                <w:color w:val="auto"/>
                <w:szCs w:val="21"/>
                <w:highlight w:val="none"/>
                <w:lang w:val="en-US" w:eastAsia="zh-CN"/>
              </w:rPr>
              <w:t>2</w:t>
            </w:r>
            <w:r>
              <w:rPr>
                <w:rFonts w:hint="eastAsia" w:ascii="宋体" w:hAnsi="宋体" w:eastAsia="宋体" w:cs="宋体"/>
                <w:b w:val="0"/>
                <w:bCs w:val="0"/>
                <w:color w:val="auto"/>
                <w:szCs w:val="21"/>
                <w:highlight w:val="none"/>
                <w:lang w:eastAsia="zh-CN"/>
              </w:rPr>
              <w:t>分</w:t>
            </w:r>
            <w:r>
              <w:rPr>
                <w:rFonts w:hint="eastAsia" w:ascii="宋体" w:hAnsi="宋体" w:eastAsia="宋体" w:cs="宋体"/>
                <w:color w:val="auto"/>
                <w:szCs w:val="21"/>
                <w:highlight w:val="none"/>
                <w:lang w:eastAsia="zh-CN"/>
              </w:rPr>
              <w:t>；</w:t>
            </w:r>
          </w:p>
          <w:p w14:paraId="481192A7">
            <w:pPr>
              <w:pStyle w:val="2"/>
              <w:keepNext w:val="0"/>
              <w:keepLines w:val="0"/>
              <w:pageBreakBefore w:val="0"/>
              <w:widowControl w:val="0"/>
              <w:kinsoku/>
              <w:overflowPunct/>
              <w:topLinePunct w:val="0"/>
              <w:autoSpaceDE/>
              <w:autoSpaceDN/>
              <w:bidi w:val="0"/>
              <w:adjustRightInd w:val="0"/>
              <w:spacing w:line="360" w:lineRule="auto"/>
              <w:jc w:val="both"/>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3、具有有效的职业健康安全体系认证证书，</w:t>
            </w:r>
            <w:r>
              <w:rPr>
                <w:rFonts w:hint="eastAsia" w:ascii="宋体" w:hAnsi="宋体" w:eastAsia="宋体" w:cs="宋体"/>
                <w:b w:val="0"/>
                <w:bCs w:val="0"/>
                <w:color w:val="auto"/>
                <w:szCs w:val="21"/>
                <w:highlight w:val="none"/>
                <w:lang w:eastAsia="zh-CN"/>
              </w:rPr>
              <w:t>得</w:t>
            </w:r>
            <w:r>
              <w:rPr>
                <w:rFonts w:hint="eastAsia" w:ascii="宋体" w:hAnsi="宋体" w:eastAsia="宋体" w:cs="宋体"/>
                <w:b w:val="0"/>
                <w:bCs w:val="0"/>
                <w:color w:val="auto"/>
                <w:szCs w:val="21"/>
                <w:highlight w:val="none"/>
                <w:lang w:val="en-US" w:eastAsia="zh-CN"/>
              </w:rPr>
              <w:t>2</w:t>
            </w:r>
            <w:r>
              <w:rPr>
                <w:rFonts w:hint="eastAsia" w:ascii="宋体" w:hAnsi="宋体" w:eastAsia="宋体" w:cs="宋体"/>
                <w:b w:val="0"/>
                <w:bCs w:val="0"/>
                <w:color w:val="auto"/>
                <w:szCs w:val="21"/>
                <w:highlight w:val="none"/>
                <w:lang w:eastAsia="zh-CN"/>
              </w:rPr>
              <w:t>分</w:t>
            </w:r>
            <w:r>
              <w:rPr>
                <w:rFonts w:hint="eastAsia" w:ascii="宋体" w:hAnsi="宋体" w:eastAsia="宋体" w:cs="宋体"/>
                <w:color w:val="auto"/>
                <w:szCs w:val="21"/>
                <w:highlight w:val="none"/>
                <w:lang w:eastAsia="zh-CN"/>
              </w:rPr>
              <w:t>。</w:t>
            </w:r>
          </w:p>
          <w:p w14:paraId="07FFBADD">
            <w:pPr>
              <w:pStyle w:val="2"/>
              <w:keepNext w:val="0"/>
              <w:keepLines w:val="0"/>
              <w:pageBreakBefore w:val="0"/>
              <w:widowControl w:val="0"/>
              <w:kinsoku/>
              <w:overflowPunct/>
              <w:topLinePunct w:val="0"/>
              <w:autoSpaceDE/>
              <w:autoSpaceDN/>
              <w:bidi w:val="0"/>
              <w:adjustRightInd w:val="0"/>
              <w:spacing w:line="360" w:lineRule="auto"/>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color w:val="auto"/>
                <w:szCs w:val="21"/>
                <w:highlight w:val="none"/>
              </w:rPr>
              <w:t>注：</w:t>
            </w:r>
            <w:r>
              <w:rPr>
                <w:rFonts w:hint="eastAsia" w:ascii="宋体" w:hAnsi="宋体" w:eastAsia="宋体" w:cs="宋体"/>
                <w:b/>
                <w:color w:val="auto"/>
                <w:szCs w:val="21"/>
                <w:highlight w:val="none"/>
                <w:lang w:val="en-US" w:eastAsia="zh-CN"/>
              </w:rPr>
              <w:t>投标文件须</w:t>
            </w:r>
            <w:r>
              <w:rPr>
                <w:rFonts w:hint="eastAsia" w:ascii="宋体" w:hAnsi="宋体" w:eastAsia="宋体" w:cs="宋体"/>
                <w:b/>
                <w:color w:val="auto"/>
                <w:szCs w:val="21"/>
                <w:highlight w:val="none"/>
              </w:rPr>
              <w:t>提供上述证书复印件</w:t>
            </w:r>
            <w:r>
              <w:rPr>
                <w:rFonts w:hint="eastAsia" w:ascii="宋体" w:hAnsi="宋体" w:eastAsia="宋体" w:cs="宋体"/>
                <w:b/>
                <w:color w:val="auto"/>
                <w:szCs w:val="21"/>
                <w:highlight w:val="none"/>
                <w:lang w:eastAsia="zh-CN"/>
              </w:rPr>
              <w:t>，否则不得分</w:t>
            </w:r>
            <w:r>
              <w:rPr>
                <w:rFonts w:hint="eastAsia" w:ascii="宋体" w:hAnsi="宋体" w:eastAsia="宋体" w:cs="宋体"/>
                <w:b/>
                <w:color w:val="auto"/>
                <w:szCs w:val="21"/>
                <w:highlight w:val="none"/>
              </w:rPr>
              <w:t>。</w:t>
            </w:r>
            <w:r>
              <w:rPr>
                <w:rFonts w:hint="eastAsia" w:ascii="宋体" w:hAnsi="宋体" w:eastAsia="宋体" w:cs="宋体"/>
                <w:b/>
                <w:color w:val="auto"/>
                <w:szCs w:val="21"/>
                <w:highlight w:val="none"/>
                <w:lang w:val="en-US" w:eastAsia="zh-CN"/>
              </w:rPr>
              <w:t>采购人保留查询权利，一经发现投标人证书造假，将严格按法律法规处理。</w:t>
            </w:r>
          </w:p>
        </w:tc>
        <w:tc>
          <w:tcPr>
            <w:tcW w:w="439" w:type="pct"/>
            <w:shd w:val="clear" w:color="auto" w:fill="auto"/>
            <w:vAlign w:val="center"/>
          </w:tcPr>
          <w:p w14:paraId="63341EB1">
            <w:pPr>
              <w:keepNext w:val="0"/>
              <w:keepLines w:val="0"/>
              <w:pageBreakBefore w:val="0"/>
              <w:widowControl w:val="0"/>
              <w:kinsoku/>
              <w:overflowPunct/>
              <w:topLinePunct w:val="0"/>
              <w:bidi w:val="0"/>
              <w:spacing w:line="360" w:lineRule="auto"/>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b w:val="0"/>
                <w:bCs w:val="0"/>
                <w:color w:val="auto"/>
                <w:szCs w:val="21"/>
                <w:highlight w:val="none"/>
                <w:lang w:val="en-US" w:eastAsia="zh-CN"/>
              </w:rPr>
              <w:t>6</w:t>
            </w:r>
          </w:p>
        </w:tc>
      </w:tr>
      <w:tr w14:paraId="613B1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433" w:type="pct"/>
            <w:vAlign w:val="center"/>
          </w:tcPr>
          <w:p w14:paraId="57C79F42">
            <w:pPr>
              <w:pStyle w:val="66"/>
              <w:keepNext w:val="0"/>
              <w:keepLines w:val="0"/>
              <w:pageBreakBefore w:val="0"/>
              <w:numPr>
                <w:ilvl w:val="0"/>
                <w:numId w:val="10"/>
              </w:numPr>
              <w:kinsoku/>
              <w:overflowPunct/>
              <w:topLinePunct w:val="0"/>
              <w:autoSpaceDE/>
              <w:autoSpaceDN/>
              <w:bidi w:val="0"/>
              <w:spacing w:line="360" w:lineRule="auto"/>
              <w:ind w:firstLineChars="0"/>
              <w:jc w:val="center"/>
              <w:rPr>
                <w:rFonts w:hint="eastAsia" w:ascii="宋体" w:hAnsi="宋体" w:eastAsia="宋体" w:cs="宋体"/>
                <w:color w:val="auto"/>
                <w:szCs w:val="21"/>
                <w:highlight w:val="none"/>
              </w:rPr>
            </w:pPr>
          </w:p>
        </w:tc>
        <w:tc>
          <w:tcPr>
            <w:tcW w:w="564" w:type="pct"/>
            <w:shd w:val="clear" w:color="auto" w:fill="auto"/>
            <w:vAlign w:val="center"/>
          </w:tcPr>
          <w:p w14:paraId="2E8797FD">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售后服务承诺</w:t>
            </w:r>
          </w:p>
        </w:tc>
        <w:tc>
          <w:tcPr>
            <w:tcW w:w="3563" w:type="pct"/>
            <w:shd w:val="clear" w:color="auto" w:fill="auto"/>
            <w:vAlign w:val="center"/>
          </w:tcPr>
          <w:p w14:paraId="7DA25D86">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根据投标人提供的主机中修售后服务响应时效承诺进行评分：</w:t>
            </w:r>
          </w:p>
          <w:p w14:paraId="1A8C6D6F">
            <w:pPr>
              <w:pStyle w:val="22"/>
              <w:keepNext w:val="0"/>
              <w:keepLines w:val="0"/>
              <w:pageBreakBefore w:val="0"/>
              <w:kinsoku/>
              <w:overflowPunct/>
              <w:topLinePunct w:val="0"/>
              <w:bidi w:val="0"/>
              <w:spacing w:line="360" w:lineRule="auto"/>
              <w:jc w:val="both"/>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1、承诺抵达售后服务地点时间≤4小时的，得4分；</w:t>
            </w:r>
          </w:p>
          <w:p w14:paraId="6671DD65">
            <w:pPr>
              <w:pStyle w:val="22"/>
              <w:keepNext w:val="0"/>
              <w:keepLines w:val="0"/>
              <w:pageBreakBefore w:val="0"/>
              <w:kinsoku/>
              <w:overflowPunct/>
              <w:topLinePunct w:val="0"/>
              <w:bidi w:val="0"/>
              <w:spacing w:line="360" w:lineRule="auto"/>
              <w:jc w:val="both"/>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2、4小时＜承诺抵达售后服务地点时间≤8小时的，得3分；</w:t>
            </w:r>
          </w:p>
          <w:p w14:paraId="158D2D71">
            <w:pPr>
              <w:pStyle w:val="22"/>
              <w:keepNext w:val="0"/>
              <w:keepLines w:val="0"/>
              <w:pageBreakBefore w:val="0"/>
              <w:kinsoku/>
              <w:overflowPunct/>
              <w:topLinePunct w:val="0"/>
              <w:bidi w:val="0"/>
              <w:spacing w:line="360" w:lineRule="auto"/>
              <w:jc w:val="both"/>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3、8小时＜承诺抵达售后服务地点时间≤12小时的，得2分；</w:t>
            </w:r>
          </w:p>
          <w:p w14:paraId="2C85F35B">
            <w:pPr>
              <w:pStyle w:val="22"/>
              <w:keepNext w:val="0"/>
              <w:keepLines w:val="0"/>
              <w:pageBreakBefore w:val="0"/>
              <w:kinsoku/>
              <w:overflowPunct/>
              <w:topLinePunct w:val="0"/>
              <w:bidi w:val="0"/>
              <w:spacing w:line="360" w:lineRule="auto"/>
              <w:jc w:val="both"/>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4、12小时＜承诺抵达售后服务地点时间≤24小时的，得1分；</w:t>
            </w:r>
          </w:p>
          <w:p w14:paraId="762EC6CA">
            <w:pPr>
              <w:pStyle w:val="22"/>
              <w:keepNext w:val="0"/>
              <w:keepLines w:val="0"/>
              <w:pageBreakBefore w:val="0"/>
              <w:kinsoku/>
              <w:overflowPunct/>
              <w:topLinePunct w:val="0"/>
              <w:bidi w:val="0"/>
              <w:spacing w:line="360" w:lineRule="auto"/>
              <w:jc w:val="both"/>
              <w:rPr>
                <w:rFonts w:hint="eastAsia" w:ascii="宋体" w:hAnsi="宋体" w:eastAsia="宋体" w:cs="宋体"/>
                <w:color w:val="auto"/>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5、其他情况或未提供承诺，得0分</w:t>
            </w:r>
            <w:r>
              <w:rPr>
                <w:rFonts w:hint="eastAsia" w:ascii="宋体" w:hAnsi="宋体" w:eastAsia="宋体" w:cs="宋体"/>
                <w:color w:val="auto"/>
                <w:highlight w:val="none"/>
                <w:lang w:val="en-US" w:eastAsia="zh-CN"/>
              </w:rPr>
              <w:t>。</w:t>
            </w:r>
          </w:p>
          <w:p w14:paraId="7BC6C73E">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both"/>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售后服务地点为：珠海市香洲区桂山岛边检专用码头，若船在外执行任务或实际停靠点变化，由采购人通知详细维保地点。</w:t>
            </w:r>
          </w:p>
          <w:p w14:paraId="5BF85225">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both"/>
              <w:textAlignment w:val="center"/>
              <w:rPr>
                <w:rFonts w:hint="eastAsia" w:ascii="宋体" w:hAnsi="宋体" w:eastAsia="宋体" w:cs="宋体"/>
                <w:color w:val="auto"/>
                <w:sz w:val="21"/>
                <w:szCs w:val="22"/>
                <w:highlight w:val="none"/>
                <w:lang w:val="en-US" w:eastAsia="zh-CN" w:bidi="ar-SA"/>
              </w:rPr>
            </w:pPr>
            <w:r>
              <w:rPr>
                <w:rFonts w:hint="eastAsia" w:ascii="宋体" w:hAnsi="宋体" w:eastAsia="宋体" w:cs="宋体"/>
                <w:b/>
                <w:bCs/>
                <w:i w:val="0"/>
                <w:iCs w:val="0"/>
                <w:color w:val="auto"/>
                <w:kern w:val="0"/>
                <w:sz w:val="21"/>
                <w:szCs w:val="21"/>
                <w:highlight w:val="none"/>
                <w:u w:val="none"/>
                <w:lang w:val="en-US" w:eastAsia="zh-CN" w:bidi="ar"/>
              </w:rPr>
              <w:t>注：提供承诺函，格式自拟。</w:t>
            </w:r>
          </w:p>
        </w:tc>
        <w:tc>
          <w:tcPr>
            <w:tcW w:w="439" w:type="pct"/>
            <w:shd w:val="clear" w:color="auto" w:fill="auto"/>
            <w:vAlign w:val="center"/>
          </w:tcPr>
          <w:p w14:paraId="204E1D03">
            <w:pPr>
              <w:keepNext w:val="0"/>
              <w:keepLines w:val="0"/>
              <w:pageBreakBefore w:val="0"/>
              <w:kinsoku/>
              <w:overflowPunct/>
              <w:topLinePunct w:val="0"/>
              <w:autoSpaceDE/>
              <w:autoSpaceDN/>
              <w:bidi w:val="0"/>
              <w:spacing w:line="360" w:lineRule="auto"/>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Cs w:val="21"/>
                <w:highlight w:val="none"/>
                <w:lang w:val="en-US" w:eastAsia="zh-CN"/>
              </w:rPr>
              <w:t>4</w:t>
            </w:r>
          </w:p>
        </w:tc>
      </w:tr>
      <w:tr w14:paraId="6E290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433" w:type="pct"/>
            <w:vAlign w:val="center"/>
          </w:tcPr>
          <w:p w14:paraId="7A929221">
            <w:pPr>
              <w:pStyle w:val="66"/>
              <w:keepNext w:val="0"/>
              <w:keepLines w:val="0"/>
              <w:pageBreakBefore w:val="0"/>
              <w:numPr>
                <w:ilvl w:val="0"/>
                <w:numId w:val="10"/>
              </w:numPr>
              <w:kinsoku/>
              <w:overflowPunct/>
              <w:topLinePunct w:val="0"/>
              <w:autoSpaceDE/>
              <w:autoSpaceDN/>
              <w:bidi w:val="0"/>
              <w:spacing w:line="360" w:lineRule="auto"/>
              <w:ind w:firstLineChars="0"/>
              <w:jc w:val="center"/>
              <w:rPr>
                <w:rFonts w:hint="eastAsia" w:ascii="宋体" w:hAnsi="宋体" w:eastAsia="宋体" w:cs="宋体"/>
                <w:color w:val="auto"/>
                <w:szCs w:val="21"/>
                <w:highlight w:val="none"/>
              </w:rPr>
            </w:pPr>
            <w:bookmarkStart w:id="162" w:name="_Toc67046847"/>
            <w:bookmarkStart w:id="163" w:name="_Toc6322231"/>
          </w:p>
        </w:tc>
        <w:tc>
          <w:tcPr>
            <w:tcW w:w="1124" w:type="dxa"/>
            <w:shd w:val="clear" w:color="auto" w:fill="auto"/>
            <w:vAlign w:val="center"/>
          </w:tcPr>
          <w:p w14:paraId="03DF6169">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维修场地</w:t>
            </w:r>
          </w:p>
        </w:tc>
        <w:tc>
          <w:tcPr>
            <w:tcW w:w="7099" w:type="dxa"/>
            <w:shd w:val="clear" w:color="auto" w:fill="auto"/>
            <w:vAlign w:val="center"/>
          </w:tcPr>
          <w:p w14:paraId="49B69D55">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both"/>
              <w:textAlignment w:val="auto"/>
              <w:rPr>
                <w:rFonts w:hint="eastAsia"/>
                <w:b w:val="0"/>
                <w:bCs w:val="0"/>
                <w:color w:val="auto"/>
                <w:highlight w:val="none"/>
                <w:lang w:eastAsia="zh-CN"/>
              </w:rPr>
            </w:pPr>
            <w:r>
              <w:rPr>
                <w:b w:val="0"/>
                <w:bCs w:val="0"/>
                <w:color w:val="auto"/>
                <w:highlight w:val="none"/>
              </w:rPr>
              <w:t>投标人拟</w:t>
            </w:r>
            <w:r>
              <w:rPr>
                <w:rFonts w:hint="eastAsia"/>
                <w:b w:val="0"/>
                <w:bCs w:val="0"/>
                <w:color w:val="auto"/>
                <w:highlight w:val="none"/>
                <w:lang w:val="en-US" w:eastAsia="zh-CN"/>
              </w:rPr>
              <w:t>为本</w:t>
            </w:r>
            <w:r>
              <w:rPr>
                <w:b w:val="0"/>
                <w:bCs w:val="0"/>
                <w:color w:val="auto"/>
                <w:highlight w:val="none"/>
              </w:rPr>
              <w:t>项目提供修理场所（厂房），得</w:t>
            </w:r>
            <w:r>
              <w:rPr>
                <w:rFonts w:hint="eastAsia"/>
                <w:b w:val="0"/>
                <w:bCs w:val="0"/>
                <w:color w:val="auto"/>
                <w:highlight w:val="none"/>
                <w:lang w:val="en-US" w:eastAsia="zh-CN"/>
              </w:rPr>
              <w:t>1</w:t>
            </w:r>
            <w:r>
              <w:rPr>
                <w:b w:val="0"/>
                <w:bCs w:val="0"/>
                <w:color w:val="auto"/>
                <w:highlight w:val="none"/>
              </w:rPr>
              <w:t>分</w:t>
            </w:r>
            <w:r>
              <w:rPr>
                <w:rFonts w:hint="eastAsia"/>
                <w:b w:val="0"/>
                <w:bCs w:val="0"/>
                <w:color w:val="auto"/>
                <w:highlight w:val="none"/>
                <w:lang w:eastAsia="zh-CN"/>
              </w:rPr>
              <w:t>。</w:t>
            </w:r>
          </w:p>
          <w:p w14:paraId="0FF082B0">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b/>
                <w:bCs/>
                <w:i w:val="0"/>
                <w:iCs w:val="0"/>
                <w:color w:val="auto"/>
                <w:kern w:val="0"/>
                <w:sz w:val="21"/>
                <w:szCs w:val="21"/>
                <w:highlight w:val="none"/>
                <w:u w:val="none"/>
                <w:lang w:val="en-US" w:eastAsia="zh-CN" w:bidi="ar"/>
              </w:rPr>
            </w:pPr>
            <w:r>
              <w:rPr>
                <w:rFonts w:hint="eastAsia"/>
                <w:b/>
                <w:bCs/>
                <w:color w:val="auto"/>
                <w:highlight w:val="none"/>
                <w:lang w:val="en-US" w:eastAsia="zh-CN"/>
              </w:rPr>
              <w:t>注：</w:t>
            </w:r>
            <w:r>
              <w:rPr>
                <w:b/>
                <w:bCs/>
                <w:color w:val="auto"/>
                <w:highlight w:val="none"/>
              </w:rPr>
              <w:t>投标文件</w:t>
            </w:r>
            <w:r>
              <w:rPr>
                <w:rFonts w:hint="eastAsia"/>
                <w:b/>
                <w:bCs/>
                <w:color w:val="auto"/>
                <w:highlight w:val="none"/>
                <w:lang w:val="en-US" w:eastAsia="zh-CN"/>
              </w:rPr>
              <w:t>须提供</w:t>
            </w:r>
            <w:r>
              <w:rPr>
                <w:rFonts w:hint="eastAsia" w:ascii="宋体" w:hAnsi="宋体" w:eastAsia="宋体" w:cs="宋体"/>
                <w:b/>
                <w:bCs/>
                <w:i w:val="0"/>
                <w:iCs w:val="0"/>
                <w:color w:val="auto"/>
                <w:kern w:val="0"/>
                <w:sz w:val="21"/>
                <w:szCs w:val="21"/>
                <w:highlight w:val="none"/>
                <w:u w:val="none"/>
                <w:lang w:val="en-US" w:eastAsia="zh-CN" w:bidi="ar"/>
              </w:rPr>
              <w:t>场地的自有产权证明或租赁证明，以及场地概况文字说明及</w:t>
            </w:r>
            <w:r>
              <w:rPr>
                <w:rFonts w:hint="eastAsia"/>
                <w:b/>
                <w:bCs/>
                <w:color w:val="auto"/>
                <w:highlight w:val="none"/>
                <w:lang w:val="en-US" w:eastAsia="zh-CN"/>
              </w:rPr>
              <w:t>包含</w:t>
            </w:r>
            <w:r>
              <w:rPr>
                <w:b/>
                <w:bCs/>
                <w:color w:val="auto"/>
                <w:highlight w:val="none"/>
              </w:rPr>
              <w:t>场所布局、设施、修理工位</w:t>
            </w:r>
            <w:r>
              <w:rPr>
                <w:rFonts w:hint="eastAsia"/>
                <w:b/>
                <w:bCs/>
                <w:color w:val="auto"/>
                <w:highlight w:val="none"/>
                <w:lang w:val="en-US" w:eastAsia="zh-CN"/>
              </w:rPr>
              <w:t>的照片</w:t>
            </w:r>
            <w:r>
              <w:rPr>
                <w:rFonts w:hint="eastAsia"/>
                <w:b/>
                <w:bCs/>
                <w:color w:val="auto"/>
                <w:highlight w:val="none"/>
                <w:lang w:eastAsia="zh-CN"/>
              </w:rPr>
              <w:t>，</w:t>
            </w:r>
            <w:r>
              <w:rPr>
                <w:b/>
                <w:bCs/>
                <w:color w:val="auto"/>
                <w:highlight w:val="none"/>
              </w:rPr>
              <w:t>加盖投标人公章</w:t>
            </w:r>
            <w:r>
              <w:rPr>
                <w:rFonts w:hint="eastAsia"/>
                <w:b/>
                <w:bCs/>
                <w:color w:val="auto"/>
                <w:highlight w:val="none"/>
                <w:lang w:eastAsia="zh-CN"/>
              </w:rPr>
              <w:t>。</w:t>
            </w:r>
          </w:p>
          <w:p w14:paraId="38CAC37A">
            <w:pPr>
              <w:rPr>
                <w:color w:val="auto"/>
                <w:highlight w:val="none"/>
              </w:rPr>
            </w:pPr>
          </w:p>
          <w:p w14:paraId="01799564">
            <w:pPr>
              <w:rPr>
                <w:color w:val="auto"/>
                <w:highlight w:val="none"/>
              </w:rPr>
            </w:pPr>
          </w:p>
        </w:tc>
        <w:tc>
          <w:tcPr>
            <w:tcW w:w="875" w:type="dxa"/>
            <w:shd w:val="clear" w:color="auto" w:fill="auto"/>
            <w:vAlign w:val="center"/>
          </w:tcPr>
          <w:p w14:paraId="33DF691D">
            <w:pPr>
              <w:autoSpaceDE/>
              <w:autoSpaceDN/>
              <w:jc w:val="center"/>
              <w:rPr>
                <w:rFonts w:hint="default" w:ascii="宋体" w:hAnsi="宋体" w:eastAsia="宋体" w:cs="宋体"/>
                <w:color w:val="auto"/>
                <w:szCs w:val="21"/>
                <w:highlight w:val="none"/>
                <w:lang w:val="en-US" w:eastAsia="zh-CN"/>
              </w:rPr>
            </w:pPr>
            <w:r>
              <w:rPr>
                <w:rFonts w:hint="eastAsia" w:cs="宋体"/>
                <w:b w:val="0"/>
                <w:bCs w:val="0"/>
                <w:color w:val="auto"/>
                <w:szCs w:val="21"/>
                <w:highlight w:val="none"/>
                <w:lang w:val="en-US" w:eastAsia="zh-CN"/>
              </w:rPr>
              <w:t>1</w:t>
            </w:r>
          </w:p>
        </w:tc>
      </w:tr>
      <w:tr w14:paraId="5CE87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433" w:type="pct"/>
            <w:vAlign w:val="center"/>
          </w:tcPr>
          <w:p w14:paraId="1346B4CF">
            <w:pPr>
              <w:pStyle w:val="66"/>
              <w:keepNext w:val="0"/>
              <w:keepLines w:val="0"/>
              <w:pageBreakBefore w:val="0"/>
              <w:numPr>
                <w:ilvl w:val="0"/>
                <w:numId w:val="10"/>
              </w:numPr>
              <w:kinsoku/>
              <w:overflowPunct/>
              <w:topLinePunct w:val="0"/>
              <w:autoSpaceDE/>
              <w:autoSpaceDN/>
              <w:bidi w:val="0"/>
              <w:spacing w:line="360" w:lineRule="auto"/>
              <w:ind w:firstLineChars="0"/>
              <w:jc w:val="center"/>
              <w:rPr>
                <w:rFonts w:hint="eastAsia" w:ascii="宋体" w:hAnsi="宋体" w:eastAsia="宋体" w:cs="宋体"/>
                <w:color w:val="auto"/>
                <w:szCs w:val="21"/>
                <w:highlight w:val="none"/>
              </w:rPr>
            </w:pPr>
          </w:p>
        </w:tc>
        <w:tc>
          <w:tcPr>
            <w:tcW w:w="1124" w:type="dxa"/>
            <w:shd w:val="clear" w:color="auto" w:fill="auto"/>
            <w:vAlign w:val="center"/>
          </w:tcPr>
          <w:p w14:paraId="54F62251">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cs="宋体"/>
                <w:i w:val="0"/>
                <w:iCs w:val="0"/>
                <w:color w:val="auto"/>
                <w:kern w:val="0"/>
                <w:sz w:val="21"/>
                <w:szCs w:val="21"/>
                <w:highlight w:val="none"/>
                <w:u w:val="none"/>
                <w:lang w:val="en-US" w:eastAsia="zh-CN" w:bidi="ar"/>
              </w:rPr>
              <w:t>船坞码头</w:t>
            </w:r>
          </w:p>
        </w:tc>
        <w:tc>
          <w:tcPr>
            <w:tcW w:w="7099" w:type="dxa"/>
            <w:shd w:val="clear" w:color="auto" w:fill="auto"/>
            <w:vAlign w:val="center"/>
          </w:tcPr>
          <w:p w14:paraId="2AC463CF">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both"/>
              <w:textAlignment w:val="auto"/>
              <w:rPr>
                <w:rFonts w:hint="eastAsia"/>
                <w:b w:val="0"/>
                <w:bCs w:val="0"/>
                <w:color w:val="auto"/>
                <w:highlight w:val="none"/>
                <w:lang w:eastAsia="zh-CN"/>
              </w:rPr>
            </w:pPr>
            <w:r>
              <w:rPr>
                <w:b w:val="0"/>
                <w:bCs w:val="0"/>
                <w:color w:val="auto"/>
                <w:highlight w:val="none"/>
              </w:rPr>
              <w:t>具备检修排水量不少于</w:t>
            </w:r>
            <w:r>
              <w:rPr>
                <w:rFonts w:hint="eastAsia"/>
                <w:b w:val="0"/>
                <w:bCs w:val="0"/>
                <w:color w:val="auto"/>
                <w:highlight w:val="none"/>
                <w:lang w:val="en-US" w:eastAsia="zh-CN"/>
              </w:rPr>
              <w:t>16</w:t>
            </w:r>
            <w:r>
              <w:rPr>
                <w:b w:val="0"/>
                <w:bCs w:val="0"/>
                <w:color w:val="auto"/>
                <w:highlight w:val="none"/>
              </w:rPr>
              <w:t>0吨级船舶的</w:t>
            </w:r>
            <w:r>
              <w:rPr>
                <w:rFonts w:hint="eastAsia"/>
                <w:b w:val="0"/>
                <w:bCs w:val="0"/>
                <w:color w:val="auto"/>
                <w:highlight w:val="none"/>
                <w:lang w:eastAsia="zh-CN"/>
              </w:rPr>
              <w:t>下水滑道、干船坞、浮船坞、升船平台</w:t>
            </w:r>
            <w:r>
              <w:rPr>
                <w:b w:val="0"/>
                <w:bCs w:val="0"/>
                <w:color w:val="auto"/>
                <w:highlight w:val="none"/>
              </w:rPr>
              <w:t>和码头，且码头水深大于2米，得</w:t>
            </w:r>
            <w:r>
              <w:rPr>
                <w:rFonts w:hint="eastAsia"/>
                <w:b w:val="0"/>
                <w:bCs w:val="0"/>
                <w:color w:val="auto"/>
                <w:highlight w:val="none"/>
                <w:lang w:val="en-US" w:eastAsia="zh-CN"/>
              </w:rPr>
              <w:t>2</w:t>
            </w:r>
            <w:r>
              <w:rPr>
                <w:b w:val="0"/>
                <w:bCs w:val="0"/>
                <w:color w:val="auto"/>
                <w:highlight w:val="none"/>
              </w:rPr>
              <w:t>分</w:t>
            </w:r>
            <w:r>
              <w:rPr>
                <w:rFonts w:hint="eastAsia"/>
                <w:b w:val="0"/>
                <w:bCs w:val="0"/>
                <w:color w:val="auto"/>
                <w:highlight w:val="none"/>
                <w:lang w:eastAsia="zh-CN"/>
              </w:rPr>
              <w:t>。</w:t>
            </w:r>
          </w:p>
          <w:p w14:paraId="6EBA6937">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both"/>
              <w:textAlignment w:val="auto"/>
              <w:rPr>
                <w:rFonts w:hint="eastAsia"/>
                <w:b w:val="0"/>
                <w:bCs w:val="0"/>
                <w:color w:val="auto"/>
                <w:highlight w:val="none"/>
                <w:lang w:val="en-US" w:eastAsia="zh-CN"/>
              </w:rPr>
            </w:pPr>
            <w:r>
              <w:rPr>
                <w:rFonts w:hint="eastAsia"/>
                <w:b/>
                <w:bCs/>
                <w:color w:val="auto"/>
                <w:highlight w:val="none"/>
                <w:lang w:val="en-US" w:eastAsia="zh-CN"/>
              </w:rPr>
              <w:t>注：</w:t>
            </w:r>
            <w:r>
              <w:rPr>
                <w:b/>
                <w:bCs/>
                <w:color w:val="auto"/>
                <w:highlight w:val="none"/>
              </w:rPr>
              <w:t>投标文件</w:t>
            </w:r>
            <w:r>
              <w:rPr>
                <w:rFonts w:hint="eastAsia"/>
                <w:b/>
                <w:bCs/>
                <w:color w:val="auto"/>
                <w:highlight w:val="none"/>
                <w:lang w:val="en-US" w:eastAsia="zh-CN"/>
              </w:rPr>
              <w:t>须提供包含使用途径、</w:t>
            </w:r>
            <w:r>
              <w:rPr>
                <w:rFonts w:hint="eastAsia" w:ascii="宋体" w:hAnsi="宋体" w:eastAsia="宋体" w:cs="宋体"/>
                <w:b/>
                <w:bCs/>
                <w:i w:val="0"/>
                <w:iCs w:val="0"/>
                <w:color w:val="auto"/>
                <w:kern w:val="0"/>
                <w:sz w:val="21"/>
                <w:szCs w:val="21"/>
                <w:highlight w:val="none"/>
                <w:u w:val="none"/>
                <w:lang w:val="en-US" w:eastAsia="zh-CN" w:bidi="ar"/>
              </w:rPr>
              <w:t>排水量和水深的自有产权证明或租赁证明，以及</w:t>
            </w:r>
            <w:r>
              <w:rPr>
                <w:rFonts w:hint="eastAsia" w:eastAsia="宋体"/>
                <w:b/>
                <w:bCs/>
                <w:color w:val="auto"/>
                <w:highlight w:val="none"/>
                <w:lang w:val="en-US" w:eastAsia="zh-CN"/>
              </w:rPr>
              <w:t>实地</w:t>
            </w:r>
            <w:r>
              <w:rPr>
                <w:rFonts w:hint="eastAsia"/>
                <w:b/>
                <w:bCs/>
                <w:color w:val="auto"/>
                <w:highlight w:val="none"/>
                <w:lang w:val="en-US" w:eastAsia="zh-CN"/>
              </w:rPr>
              <w:t>照片</w:t>
            </w:r>
            <w:r>
              <w:rPr>
                <w:rFonts w:hint="eastAsia"/>
                <w:b/>
                <w:bCs/>
                <w:color w:val="auto"/>
                <w:highlight w:val="none"/>
                <w:lang w:eastAsia="zh-CN"/>
              </w:rPr>
              <w:t>，</w:t>
            </w:r>
            <w:r>
              <w:rPr>
                <w:b/>
                <w:bCs/>
                <w:color w:val="auto"/>
                <w:highlight w:val="none"/>
              </w:rPr>
              <w:t>加盖投标人公章</w:t>
            </w:r>
            <w:r>
              <w:rPr>
                <w:rFonts w:hint="eastAsia"/>
                <w:b/>
                <w:bCs/>
                <w:color w:val="auto"/>
                <w:highlight w:val="none"/>
                <w:lang w:eastAsia="zh-CN"/>
              </w:rPr>
              <w:t>。</w:t>
            </w:r>
          </w:p>
        </w:tc>
        <w:tc>
          <w:tcPr>
            <w:tcW w:w="875" w:type="dxa"/>
            <w:shd w:val="clear" w:color="auto" w:fill="auto"/>
            <w:vAlign w:val="center"/>
          </w:tcPr>
          <w:p w14:paraId="72D8E051">
            <w:pPr>
              <w:autoSpaceDE/>
              <w:autoSpaceDN/>
              <w:jc w:val="center"/>
              <w:rPr>
                <w:rFonts w:hint="default" w:cs="宋体"/>
                <w:b w:val="0"/>
                <w:bCs w:val="0"/>
                <w:color w:val="auto"/>
                <w:szCs w:val="21"/>
                <w:highlight w:val="none"/>
                <w:lang w:val="en-US" w:eastAsia="zh-CN"/>
              </w:rPr>
            </w:pPr>
            <w:r>
              <w:rPr>
                <w:rFonts w:hint="eastAsia" w:cs="宋体"/>
                <w:b w:val="0"/>
                <w:bCs w:val="0"/>
                <w:color w:val="auto"/>
                <w:szCs w:val="21"/>
                <w:highlight w:val="none"/>
                <w:lang w:val="en-US" w:eastAsia="zh-CN"/>
              </w:rPr>
              <w:t>2</w:t>
            </w:r>
          </w:p>
        </w:tc>
      </w:tr>
      <w:bookmarkEnd w:id="161"/>
    </w:tbl>
    <w:p w14:paraId="36DAC161">
      <w:pPr>
        <w:keepNext w:val="0"/>
        <w:keepLines w:val="0"/>
        <w:pageBreakBefore w:val="0"/>
        <w:kinsoku/>
        <w:overflowPunct/>
        <w:topLinePunct w:val="0"/>
        <w:autoSpaceDE/>
        <w:autoSpaceDN/>
        <w:bidi w:val="0"/>
        <w:spacing w:line="360" w:lineRule="auto"/>
        <w:rPr>
          <w:rFonts w:hint="eastAsia" w:ascii="宋体" w:hAnsi="宋体" w:eastAsia="宋体" w:cs="宋体"/>
          <w:color w:val="auto"/>
          <w:highlight w:val="none"/>
        </w:rPr>
      </w:pPr>
    </w:p>
    <w:p w14:paraId="65890950">
      <w:pPr>
        <w:keepNext w:val="0"/>
        <w:keepLines w:val="0"/>
        <w:pageBreakBefore w:val="0"/>
        <w:kinsoku/>
        <w:overflowPunct/>
        <w:topLinePunct w:val="0"/>
        <w:autoSpaceDE/>
        <w:autoSpaceDN/>
        <w:bidi w:val="0"/>
        <w:spacing w:line="360" w:lineRule="auto"/>
        <w:ind w:firstLine="422" w:firstLineChars="200"/>
        <w:outlineLvl w:val="3"/>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表二：技术评分细则表（</w:t>
      </w:r>
      <w:r>
        <w:rPr>
          <w:rFonts w:hint="eastAsia" w:ascii="宋体" w:hAnsi="宋体" w:eastAsia="宋体" w:cs="宋体"/>
          <w:b/>
          <w:bCs/>
          <w:color w:val="auto"/>
          <w:szCs w:val="21"/>
          <w:highlight w:val="none"/>
          <w:lang w:val="en-US" w:eastAsia="zh-CN"/>
        </w:rPr>
        <w:t>58</w:t>
      </w:r>
      <w:r>
        <w:rPr>
          <w:rFonts w:hint="eastAsia" w:ascii="宋体" w:hAnsi="宋体" w:eastAsia="宋体" w:cs="宋体"/>
          <w:b/>
          <w:bCs/>
          <w:color w:val="auto"/>
          <w:szCs w:val="21"/>
          <w:highlight w:val="none"/>
          <w:lang w:eastAsia="zh-CN"/>
        </w:rPr>
        <w:t>分）</w:t>
      </w:r>
      <w:bookmarkEnd w:id="162"/>
      <w:bookmarkEnd w:id="163"/>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
        <w:gridCol w:w="1299"/>
        <w:gridCol w:w="6743"/>
        <w:gridCol w:w="873"/>
      </w:tblGrid>
      <w:tr w14:paraId="57FE0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821" w:type="dxa"/>
            <w:shd w:val="clear" w:color="auto" w:fill="F1F1F1"/>
            <w:noWrap w:val="0"/>
            <w:vAlign w:val="center"/>
          </w:tcPr>
          <w:p w14:paraId="0E105256">
            <w:pPr>
              <w:pStyle w:val="54"/>
              <w:keepNext w:val="0"/>
              <w:keepLines w:val="0"/>
              <w:pageBreakBefore w:val="0"/>
              <w:kinsoku/>
              <w:overflowPunct/>
              <w:topLinePunct w:val="0"/>
              <w:autoSpaceDE/>
              <w:autoSpaceDN/>
              <w:bidi w:val="0"/>
              <w:spacing w:line="360" w:lineRule="auto"/>
              <w:jc w:val="center"/>
              <w:rPr>
                <w:rFonts w:hint="eastAsia" w:ascii="宋体" w:hAnsi="宋体" w:eastAsia="宋体" w:cs="宋体"/>
                <w:b/>
                <w:color w:val="auto"/>
                <w:szCs w:val="21"/>
                <w:highlight w:val="none"/>
              </w:rPr>
            </w:pPr>
            <w:bookmarkStart w:id="164" w:name="_Hlk89442205"/>
            <w:r>
              <w:rPr>
                <w:rFonts w:hint="eastAsia" w:ascii="宋体" w:hAnsi="宋体" w:eastAsia="宋体" w:cs="宋体"/>
                <w:b/>
                <w:color w:val="auto"/>
                <w:szCs w:val="21"/>
                <w:highlight w:val="none"/>
              </w:rPr>
              <w:t>序号</w:t>
            </w:r>
          </w:p>
        </w:tc>
        <w:tc>
          <w:tcPr>
            <w:tcW w:w="1299" w:type="dxa"/>
            <w:shd w:val="clear" w:color="auto" w:fill="F1F1F1"/>
            <w:noWrap w:val="0"/>
            <w:vAlign w:val="center"/>
          </w:tcPr>
          <w:p w14:paraId="4A8B4856">
            <w:pPr>
              <w:pStyle w:val="54"/>
              <w:keepNext w:val="0"/>
              <w:keepLines w:val="0"/>
              <w:pageBreakBefore w:val="0"/>
              <w:kinsoku/>
              <w:overflowPunct/>
              <w:topLinePunct w:val="0"/>
              <w:autoSpaceDE/>
              <w:autoSpaceDN/>
              <w:bidi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评审因素</w:t>
            </w:r>
          </w:p>
        </w:tc>
        <w:tc>
          <w:tcPr>
            <w:tcW w:w="6743" w:type="dxa"/>
            <w:shd w:val="clear" w:color="auto" w:fill="F1F1F1"/>
            <w:noWrap w:val="0"/>
            <w:vAlign w:val="center"/>
          </w:tcPr>
          <w:p w14:paraId="202A076B">
            <w:pPr>
              <w:pStyle w:val="54"/>
              <w:keepNext w:val="0"/>
              <w:keepLines w:val="0"/>
              <w:pageBreakBefore w:val="0"/>
              <w:kinsoku/>
              <w:overflowPunct/>
              <w:topLinePunct w:val="0"/>
              <w:autoSpaceDE/>
              <w:autoSpaceDN/>
              <w:bidi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评审标准</w:t>
            </w:r>
          </w:p>
        </w:tc>
        <w:tc>
          <w:tcPr>
            <w:tcW w:w="873" w:type="dxa"/>
            <w:shd w:val="clear" w:color="auto" w:fill="F1F1F1"/>
            <w:noWrap w:val="0"/>
            <w:vAlign w:val="center"/>
          </w:tcPr>
          <w:p w14:paraId="19D5D6BA">
            <w:pPr>
              <w:pStyle w:val="54"/>
              <w:keepNext w:val="0"/>
              <w:keepLines w:val="0"/>
              <w:pageBreakBefore w:val="0"/>
              <w:kinsoku/>
              <w:overflowPunct/>
              <w:topLinePunct w:val="0"/>
              <w:autoSpaceDE/>
              <w:autoSpaceDN/>
              <w:bidi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分值（分）</w:t>
            </w:r>
          </w:p>
        </w:tc>
      </w:tr>
      <w:tr w14:paraId="6E32A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821" w:type="dxa"/>
            <w:noWrap w:val="0"/>
            <w:vAlign w:val="center"/>
          </w:tcPr>
          <w:p w14:paraId="1166307E">
            <w:pPr>
              <w:pStyle w:val="73"/>
              <w:keepNext w:val="0"/>
              <w:keepLines w:val="0"/>
              <w:pageBreakBefore w:val="0"/>
              <w:widowControl w:val="0"/>
              <w:numPr>
                <w:ilvl w:val="0"/>
                <w:numId w:val="11"/>
              </w:numPr>
              <w:kinsoku/>
              <w:overflowPunct/>
              <w:topLinePunct w:val="0"/>
              <w:bidi w:val="0"/>
              <w:spacing w:line="360" w:lineRule="auto"/>
              <w:ind w:firstLineChars="0"/>
              <w:jc w:val="center"/>
              <w:rPr>
                <w:rFonts w:hint="eastAsia" w:ascii="宋体" w:hAnsi="宋体" w:eastAsia="宋体" w:cs="宋体"/>
                <w:color w:val="auto"/>
                <w:sz w:val="21"/>
                <w:szCs w:val="21"/>
                <w:highlight w:val="none"/>
              </w:rPr>
            </w:pPr>
          </w:p>
        </w:tc>
        <w:tc>
          <w:tcPr>
            <w:tcW w:w="1299" w:type="dxa"/>
            <w:noWrap w:val="0"/>
            <w:vAlign w:val="center"/>
          </w:tcPr>
          <w:p w14:paraId="1AB2B0A2">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color w:val="auto"/>
                <w:highlight w:val="none"/>
                <w:lang w:val="en-US" w:eastAsia="zh-CN"/>
              </w:rPr>
              <w:t>中修</w:t>
            </w:r>
            <w:r>
              <w:rPr>
                <w:rFonts w:hint="eastAsia" w:ascii="宋体" w:hAnsi="宋体" w:eastAsia="宋体" w:cs="宋体"/>
                <w:color w:val="auto"/>
                <w:highlight w:val="none"/>
              </w:rPr>
              <w:t>服务方案</w:t>
            </w:r>
          </w:p>
        </w:tc>
        <w:tc>
          <w:tcPr>
            <w:tcW w:w="6743" w:type="dxa"/>
            <w:noWrap w:val="0"/>
            <w:vAlign w:val="center"/>
          </w:tcPr>
          <w:p w14:paraId="4F96C0AB">
            <w:pPr>
              <w:pStyle w:val="78"/>
              <w:keepNext w:val="0"/>
              <w:keepLines w:val="0"/>
              <w:pageBreakBefore w:val="0"/>
              <w:kinsoku/>
              <w:overflowPunct/>
              <w:topLinePunct w:val="0"/>
              <w:bidi w:val="0"/>
              <w:spacing w:line="360" w:lineRule="auto"/>
              <w:ind w:left="0" w:leftChars="0" w:right="0" w:righ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投标人应结合采购需求及项目实际实施，提供中修服务方案，包括但不限于</w:t>
            </w:r>
            <w:r>
              <w:rPr>
                <w:rFonts w:hint="eastAsia" w:ascii="宋体" w:hAnsi="宋体" w:eastAsia="宋体" w:cs="宋体"/>
                <w:color w:val="auto"/>
                <w:sz w:val="21"/>
                <w:szCs w:val="21"/>
                <w:highlight w:val="none"/>
                <w:lang w:eastAsia="zh-CN"/>
              </w:rPr>
              <w:t>：</w:t>
            </w:r>
          </w:p>
          <w:p w14:paraId="0D38A5D3">
            <w:pPr>
              <w:pStyle w:val="78"/>
              <w:keepNext w:val="0"/>
              <w:keepLines w:val="0"/>
              <w:pageBreakBefore w:val="0"/>
              <w:kinsoku/>
              <w:overflowPunct/>
              <w:topLinePunct w:val="0"/>
              <w:bidi w:val="0"/>
              <w:spacing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①项目整体实施方案</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含重难点分析及应对措施</w:t>
            </w:r>
            <w:r>
              <w:rPr>
                <w:rFonts w:hint="eastAsia" w:ascii="宋体" w:hAnsi="宋体" w:eastAsia="宋体" w:cs="宋体"/>
                <w:color w:val="auto"/>
                <w:sz w:val="21"/>
                <w:szCs w:val="21"/>
                <w:highlight w:val="none"/>
                <w:lang w:eastAsia="zh-CN"/>
              </w:rPr>
              <w:t>）；</w:t>
            </w:r>
          </w:p>
          <w:p w14:paraId="1A9DBB19">
            <w:pPr>
              <w:pStyle w:val="78"/>
              <w:keepNext w:val="0"/>
              <w:keepLines w:val="0"/>
              <w:pageBreakBefore w:val="0"/>
              <w:kinsoku/>
              <w:overflowPunct/>
              <w:topLinePunct w:val="0"/>
              <w:bidi w:val="0"/>
              <w:spacing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②</w:t>
            </w:r>
            <w:r>
              <w:rPr>
                <w:rFonts w:hint="eastAsia" w:ascii="宋体" w:hAnsi="宋体" w:eastAsia="宋体" w:cs="宋体"/>
                <w:color w:val="auto"/>
                <w:sz w:val="21"/>
                <w:szCs w:val="21"/>
                <w:highlight w:val="none"/>
                <w:lang w:val="en-US" w:eastAsia="zh-CN"/>
              </w:rPr>
              <w:t>中修</w:t>
            </w:r>
            <w:r>
              <w:rPr>
                <w:rFonts w:hint="eastAsia" w:ascii="宋体" w:hAnsi="宋体" w:eastAsia="宋体" w:cs="宋体"/>
                <w:color w:val="auto"/>
                <w:sz w:val="21"/>
                <w:szCs w:val="21"/>
                <w:highlight w:val="none"/>
              </w:rPr>
              <w:t>服务方案</w:t>
            </w:r>
            <w:r>
              <w:rPr>
                <w:rFonts w:hint="eastAsia" w:ascii="宋体" w:hAnsi="宋体" w:eastAsia="宋体" w:cs="宋体"/>
                <w:color w:val="auto"/>
                <w:sz w:val="21"/>
                <w:szCs w:val="21"/>
                <w:highlight w:val="none"/>
                <w:lang w:val="en-US" w:eastAsia="zh-CN"/>
              </w:rPr>
              <w:t>及技术支持（含维修保养计划、简单故障排除培训方案及次数等）</w:t>
            </w:r>
            <w:r>
              <w:rPr>
                <w:rFonts w:hint="eastAsia" w:ascii="宋体" w:hAnsi="宋体" w:eastAsia="宋体" w:cs="宋体"/>
                <w:color w:val="auto"/>
                <w:sz w:val="21"/>
                <w:szCs w:val="21"/>
                <w:highlight w:val="none"/>
                <w:lang w:eastAsia="zh-CN"/>
              </w:rPr>
              <w:t>；</w:t>
            </w:r>
          </w:p>
          <w:p w14:paraId="38F6C93A">
            <w:pPr>
              <w:pStyle w:val="78"/>
              <w:keepNext w:val="0"/>
              <w:keepLines w:val="0"/>
              <w:pageBreakBefore w:val="0"/>
              <w:kinsoku/>
              <w:overflowPunct/>
              <w:topLinePunct w:val="0"/>
              <w:bidi w:val="0"/>
              <w:spacing w:line="360" w:lineRule="auto"/>
              <w:ind w:left="0" w:leftChars="0" w:right="0" w:right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③</w:t>
            </w:r>
            <w:r>
              <w:rPr>
                <w:rFonts w:hint="eastAsia" w:ascii="宋体" w:hAnsi="宋体" w:eastAsia="宋体" w:cs="宋体"/>
                <w:color w:val="auto"/>
                <w:sz w:val="21"/>
                <w:szCs w:val="21"/>
                <w:highlight w:val="none"/>
                <w:lang w:val="en-US" w:eastAsia="zh-CN"/>
              </w:rPr>
              <w:t>维修</w:t>
            </w:r>
            <w:r>
              <w:rPr>
                <w:rFonts w:hint="eastAsia" w:ascii="宋体" w:hAnsi="宋体" w:eastAsia="宋体" w:cs="宋体"/>
                <w:i w:val="0"/>
                <w:iCs w:val="0"/>
                <w:color w:val="auto"/>
                <w:kern w:val="0"/>
                <w:sz w:val="21"/>
                <w:szCs w:val="21"/>
                <w:highlight w:val="none"/>
                <w:u w:val="none"/>
                <w:lang w:val="en-US" w:eastAsia="zh-CN" w:bidi="ar"/>
              </w:rPr>
              <w:t>运作流程（</w:t>
            </w:r>
            <w:r>
              <w:rPr>
                <w:rFonts w:hint="eastAsia" w:ascii="宋体" w:hAnsi="宋体" w:eastAsia="宋体" w:cs="宋体"/>
                <w:color w:val="auto"/>
                <w:sz w:val="21"/>
                <w:szCs w:val="21"/>
                <w:highlight w:val="none"/>
              </w:rPr>
              <w:t>含</w:t>
            </w:r>
            <w:r>
              <w:rPr>
                <w:rFonts w:hint="eastAsia" w:ascii="宋体" w:hAnsi="宋体" w:eastAsia="宋体" w:cs="宋体"/>
                <w:i w:val="0"/>
                <w:iCs w:val="0"/>
                <w:color w:val="auto"/>
                <w:kern w:val="0"/>
                <w:sz w:val="21"/>
                <w:szCs w:val="21"/>
                <w:highlight w:val="none"/>
                <w:u w:val="none"/>
                <w:lang w:val="en-US" w:eastAsia="zh-CN" w:bidi="ar"/>
              </w:rPr>
              <w:t>进厂对接、登记备案、维修日志搭建及更新等）</w:t>
            </w:r>
            <w:r>
              <w:rPr>
                <w:rFonts w:hint="eastAsia" w:ascii="宋体" w:hAnsi="宋体" w:eastAsia="宋体" w:cs="宋体"/>
                <w:color w:val="auto"/>
                <w:sz w:val="21"/>
                <w:szCs w:val="21"/>
                <w:highlight w:val="none"/>
                <w:lang w:val="en-US" w:eastAsia="zh-CN"/>
              </w:rPr>
              <w:t>；</w:t>
            </w:r>
          </w:p>
          <w:p w14:paraId="62157702">
            <w:pPr>
              <w:pStyle w:val="78"/>
              <w:keepNext w:val="0"/>
              <w:keepLines w:val="0"/>
              <w:pageBreakBefore w:val="0"/>
              <w:kinsoku/>
              <w:overflowPunct/>
              <w:topLinePunct w:val="0"/>
              <w:bidi w:val="0"/>
              <w:spacing w:line="360" w:lineRule="auto"/>
              <w:ind w:left="0" w:leftChars="0" w:right="0" w:right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④潜在质量风险（如季节安全隐患、零配件价格波动影响等，以及针对风险的系统性改进策略等）。</w:t>
            </w:r>
          </w:p>
          <w:p w14:paraId="209A5BE4">
            <w:pPr>
              <w:pStyle w:val="78"/>
              <w:keepNext w:val="0"/>
              <w:keepLines w:val="0"/>
              <w:pageBreakBefore w:val="0"/>
              <w:kinsoku/>
              <w:overflowPunct/>
              <w:topLinePunct w:val="0"/>
              <w:bidi w:val="0"/>
              <w:spacing w:line="360" w:lineRule="auto"/>
              <w:ind w:left="0" w:leftChars="0"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以上内容完整齐全、符合采购需求并利于项目实际实施的得</w:t>
            </w:r>
            <w:r>
              <w:rPr>
                <w:rFonts w:hint="eastAsia" w:ascii="宋体" w:hAnsi="宋体" w:eastAsia="宋体" w:cs="宋体"/>
                <w:color w:val="auto"/>
                <w:sz w:val="21"/>
                <w:szCs w:val="21"/>
                <w:highlight w:val="none"/>
                <w:lang w:val="en-US" w:eastAsia="zh-CN"/>
              </w:rPr>
              <w:t>16</w:t>
            </w:r>
            <w:r>
              <w:rPr>
                <w:rFonts w:hint="eastAsia" w:ascii="宋体" w:hAnsi="宋体" w:eastAsia="宋体" w:cs="宋体"/>
                <w:color w:val="auto"/>
                <w:sz w:val="21"/>
                <w:szCs w:val="21"/>
                <w:highlight w:val="none"/>
              </w:rPr>
              <w:t>分，每有一项内容未提供扣</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分；每项内容若存在重大</w:t>
            </w:r>
            <w:r>
              <w:rPr>
                <w:rFonts w:hint="eastAsia" w:ascii="宋体" w:hAnsi="宋体" w:eastAsia="宋体" w:cs="宋体"/>
                <w:color w:val="auto"/>
                <w:sz w:val="21"/>
                <w:szCs w:val="21"/>
                <w:highlight w:val="none"/>
                <w:lang w:eastAsia="zh-CN"/>
              </w:rPr>
              <w:t>缺陷</w:t>
            </w:r>
            <w:r>
              <w:rPr>
                <w:rFonts w:hint="eastAsia" w:ascii="宋体" w:hAnsi="宋体" w:eastAsia="宋体" w:cs="宋体"/>
                <w:color w:val="auto"/>
                <w:sz w:val="21"/>
                <w:szCs w:val="21"/>
                <w:highlight w:val="none"/>
              </w:rPr>
              <w:t>扣</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分，若存在细微</w:t>
            </w:r>
            <w:r>
              <w:rPr>
                <w:rFonts w:hint="eastAsia" w:ascii="宋体" w:hAnsi="宋体" w:eastAsia="宋体" w:cs="宋体"/>
                <w:color w:val="auto"/>
                <w:sz w:val="21"/>
                <w:szCs w:val="21"/>
                <w:highlight w:val="none"/>
                <w:lang w:eastAsia="zh-CN"/>
              </w:rPr>
              <w:t>缺陷</w:t>
            </w:r>
            <w:r>
              <w:rPr>
                <w:rFonts w:hint="eastAsia" w:ascii="宋体" w:hAnsi="宋体" w:eastAsia="宋体" w:cs="宋体"/>
                <w:color w:val="auto"/>
                <w:sz w:val="21"/>
                <w:szCs w:val="21"/>
                <w:highlight w:val="none"/>
              </w:rPr>
              <w:t>则扣</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分，扣完为止。未提供方案或方案照搬本项目需求内容（包括仅更改部分文字或数据）无任何扩展的，不得分。</w:t>
            </w:r>
          </w:p>
          <w:p w14:paraId="5E84EB15">
            <w:pPr>
              <w:pStyle w:val="78"/>
              <w:keepNext w:val="0"/>
              <w:keepLines w:val="0"/>
              <w:pageBreakBefore w:val="0"/>
              <w:kinsoku/>
              <w:overflowPunct/>
              <w:topLinePunct w:val="0"/>
              <w:bidi w:val="0"/>
              <w:spacing w:line="360" w:lineRule="auto"/>
              <w:ind w:left="0" w:leftChars="0" w:right="0" w:rightChars="0"/>
              <w:jc w:val="both"/>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注：存在重大缺陷是指：内容与项目无关、内容表述错误、内容前后表述矛盾、项目名称错误或项目地点错误或与采购需求描述不匹配、套用其他方案或涉及的规范及标准错误或凭空编造或逻辑漏洞、未结合项目实际需求表述、具有不利于本项目实施的内容或以及不可能实现的夸大情形等任意一种情形。</w:t>
            </w:r>
          </w:p>
          <w:p w14:paraId="3EDA601E">
            <w:pPr>
              <w:pStyle w:val="78"/>
              <w:keepNext w:val="0"/>
              <w:keepLines w:val="0"/>
              <w:pageBreakBefore w:val="0"/>
              <w:kinsoku/>
              <w:overflowPunct/>
              <w:topLinePunct w:val="0"/>
              <w:bidi w:val="0"/>
              <w:spacing w:line="360" w:lineRule="auto"/>
              <w:jc w:val="both"/>
              <w:rPr>
                <w:rFonts w:hint="eastAsia" w:ascii="宋体" w:hAnsi="宋体" w:eastAsia="宋体" w:cs="宋体"/>
                <w:color w:val="auto"/>
                <w:sz w:val="21"/>
                <w:szCs w:val="21"/>
                <w:highlight w:val="none"/>
                <w:lang w:val="en-US" w:eastAsia="en-US"/>
              </w:rPr>
            </w:pPr>
            <w:r>
              <w:rPr>
                <w:rFonts w:hint="eastAsia" w:ascii="宋体" w:hAnsi="宋体" w:eastAsia="宋体" w:cs="宋体"/>
                <w:b/>
                <w:bCs/>
                <w:color w:val="auto"/>
                <w:sz w:val="21"/>
                <w:szCs w:val="21"/>
                <w:highlight w:val="none"/>
                <w:lang w:eastAsia="zh-CN"/>
              </w:rPr>
              <w:t>存在细微缺陷是指：内容存在用词不准确但不影响理解、有轻微瑕疵但不妨碍阅读、与项目实际需求存在细微出入但未影响核心执行等非关键性要求、且不会对项目造成重大影响的情形。】</w:t>
            </w:r>
          </w:p>
        </w:tc>
        <w:tc>
          <w:tcPr>
            <w:tcW w:w="873" w:type="dxa"/>
            <w:noWrap w:val="0"/>
            <w:vAlign w:val="center"/>
          </w:tcPr>
          <w:p w14:paraId="26B85D03">
            <w:pPr>
              <w:keepNext w:val="0"/>
              <w:keepLines w:val="0"/>
              <w:pageBreakBefore w:val="0"/>
              <w:kinsoku/>
              <w:overflowPunct/>
              <w:topLinePunct w:val="0"/>
              <w:autoSpaceDE/>
              <w:autoSpaceDN/>
              <w:bidi w:val="0"/>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16</w:t>
            </w:r>
          </w:p>
        </w:tc>
      </w:tr>
      <w:tr w14:paraId="1C2AC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821" w:type="dxa"/>
            <w:noWrap w:val="0"/>
            <w:vAlign w:val="center"/>
          </w:tcPr>
          <w:p w14:paraId="016EB2B8">
            <w:pPr>
              <w:pStyle w:val="73"/>
              <w:keepNext w:val="0"/>
              <w:keepLines w:val="0"/>
              <w:pageBreakBefore w:val="0"/>
              <w:widowControl w:val="0"/>
              <w:numPr>
                <w:ilvl w:val="0"/>
                <w:numId w:val="11"/>
              </w:numPr>
              <w:kinsoku/>
              <w:overflowPunct/>
              <w:topLinePunct w:val="0"/>
              <w:bidi w:val="0"/>
              <w:spacing w:line="360" w:lineRule="auto"/>
              <w:ind w:firstLineChars="0"/>
              <w:jc w:val="center"/>
              <w:rPr>
                <w:rFonts w:hint="eastAsia" w:ascii="宋体" w:hAnsi="宋体" w:eastAsia="宋体" w:cs="宋体"/>
                <w:color w:val="auto"/>
                <w:sz w:val="21"/>
                <w:szCs w:val="21"/>
                <w:highlight w:val="none"/>
              </w:rPr>
            </w:pPr>
          </w:p>
        </w:tc>
        <w:tc>
          <w:tcPr>
            <w:tcW w:w="1299" w:type="dxa"/>
            <w:noWrap w:val="0"/>
            <w:vAlign w:val="center"/>
          </w:tcPr>
          <w:p w14:paraId="7460643A">
            <w:pPr>
              <w:pStyle w:val="78"/>
              <w:keepNext w:val="0"/>
              <w:keepLines w:val="0"/>
              <w:pageBreakBefore w:val="0"/>
              <w:kinsoku/>
              <w:overflowPunct/>
              <w:topLinePunct w:val="0"/>
              <w:bidi w:val="0"/>
              <w:spacing w:line="360" w:lineRule="auto"/>
              <w:jc w:val="center"/>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质量保证方案</w:t>
            </w:r>
          </w:p>
        </w:tc>
        <w:tc>
          <w:tcPr>
            <w:tcW w:w="6743" w:type="dxa"/>
            <w:shd w:val="clear" w:color="auto" w:fill="auto"/>
            <w:noWrap w:val="0"/>
            <w:vAlign w:val="center"/>
          </w:tcPr>
          <w:p w14:paraId="4D4ED9B5">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rPr>
              <w:t>投标人应结合采购需求及项目实际实施，提供</w:t>
            </w:r>
            <w:r>
              <w:rPr>
                <w:rFonts w:hint="eastAsia" w:ascii="宋体" w:hAnsi="宋体" w:eastAsia="宋体" w:cs="宋体"/>
                <w:color w:val="auto"/>
                <w:kern w:val="2"/>
                <w:sz w:val="21"/>
                <w:szCs w:val="24"/>
                <w:highlight w:val="none"/>
                <w:lang w:val="en-US" w:eastAsia="zh-CN" w:bidi="ar-SA"/>
              </w:rPr>
              <w:t>质量保证方案</w:t>
            </w:r>
            <w:r>
              <w:rPr>
                <w:rFonts w:hint="eastAsia" w:ascii="宋体" w:hAnsi="宋体" w:eastAsia="宋体" w:cs="宋体"/>
                <w:color w:val="auto"/>
                <w:sz w:val="21"/>
                <w:szCs w:val="21"/>
                <w:highlight w:val="none"/>
              </w:rPr>
              <w:t>，包括但不限于</w:t>
            </w:r>
            <w:r>
              <w:rPr>
                <w:rFonts w:hint="eastAsia" w:ascii="宋体" w:hAnsi="宋体" w:eastAsia="宋体" w:cs="宋体"/>
                <w:i w:val="0"/>
                <w:iCs w:val="0"/>
                <w:color w:val="auto"/>
                <w:kern w:val="0"/>
                <w:sz w:val="21"/>
                <w:szCs w:val="21"/>
                <w:highlight w:val="none"/>
                <w:u w:val="none"/>
                <w:lang w:val="en-US" w:eastAsia="zh-CN" w:bidi="ar"/>
              </w:rPr>
              <w:t>：</w:t>
            </w:r>
          </w:p>
          <w:p w14:paraId="6C426411">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①中修质量保障方案（含维修质量承诺、质量问题返工方案）；</w:t>
            </w:r>
          </w:p>
          <w:p w14:paraId="3883511B">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②中修配件保障方案（含配件运输、供应及原装保障措施）；</w:t>
            </w:r>
          </w:p>
          <w:p w14:paraId="670C3B33">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③技术人员保障（含维修保养技术人员的从业经验、人数充足保障，服务团队管理制度等）。</w:t>
            </w:r>
          </w:p>
          <w:p w14:paraId="62E215AA">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0"/>
              <w:jc w:val="both"/>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以上内容完整齐全、符合采购需求并利于项目实际实施的得</w:t>
            </w: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分，每有一项内容未提供扣</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分；每项内容若存在重大</w:t>
            </w:r>
            <w:r>
              <w:rPr>
                <w:rFonts w:hint="eastAsia" w:ascii="宋体" w:hAnsi="宋体" w:eastAsia="宋体" w:cs="宋体"/>
                <w:color w:val="auto"/>
                <w:sz w:val="21"/>
                <w:szCs w:val="21"/>
                <w:highlight w:val="none"/>
                <w:lang w:eastAsia="zh-CN"/>
              </w:rPr>
              <w:t>缺陷</w:t>
            </w:r>
            <w:r>
              <w:rPr>
                <w:rFonts w:hint="eastAsia" w:ascii="宋体" w:hAnsi="宋体" w:eastAsia="宋体" w:cs="宋体"/>
                <w:color w:val="auto"/>
                <w:sz w:val="21"/>
                <w:szCs w:val="21"/>
                <w:highlight w:val="none"/>
              </w:rPr>
              <w:t>扣</w:t>
            </w:r>
            <w:r>
              <w:rPr>
                <w:rFonts w:hint="eastAsia" w:ascii="宋体" w:hAnsi="宋体" w:eastAsia="宋体" w:cs="宋体"/>
                <w:color w:val="auto"/>
                <w:sz w:val="21"/>
                <w:szCs w:val="21"/>
                <w:highlight w:val="none"/>
                <w:lang w:val="en-US" w:eastAsia="zh-CN"/>
              </w:rPr>
              <w:t>2.5</w:t>
            </w:r>
            <w:r>
              <w:rPr>
                <w:rFonts w:hint="eastAsia" w:ascii="宋体" w:hAnsi="宋体" w:eastAsia="宋体" w:cs="宋体"/>
                <w:color w:val="auto"/>
                <w:sz w:val="21"/>
                <w:szCs w:val="21"/>
                <w:highlight w:val="none"/>
              </w:rPr>
              <w:t>分，若存在细微</w:t>
            </w:r>
            <w:r>
              <w:rPr>
                <w:rFonts w:hint="eastAsia" w:ascii="宋体" w:hAnsi="宋体" w:eastAsia="宋体" w:cs="宋体"/>
                <w:color w:val="auto"/>
                <w:sz w:val="21"/>
                <w:szCs w:val="21"/>
                <w:highlight w:val="none"/>
                <w:lang w:eastAsia="zh-CN"/>
              </w:rPr>
              <w:t>缺陷</w:t>
            </w:r>
            <w:r>
              <w:rPr>
                <w:rFonts w:hint="eastAsia" w:ascii="宋体" w:hAnsi="宋体" w:eastAsia="宋体" w:cs="宋体"/>
                <w:color w:val="auto"/>
                <w:sz w:val="21"/>
                <w:szCs w:val="21"/>
                <w:highlight w:val="none"/>
              </w:rPr>
              <w:t>则扣</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分，扣完为止。未提供方案或方案照搬本项目需求内容（包括仅更改部分文字或数据）无任何扩展的，不得分。</w:t>
            </w:r>
          </w:p>
          <w:p w14:paraId="4CA9022F">
            <w:pPr>
              <w:pStyle w:val="78"/>
              <w:keepNext w:val="0"/>
              <w:keepLines w:val="0"/>
              <w:pageBreakBefore w:val="0"/>
              <w:kinsoku/>
              <w:overflowPunct/>
              <w:topLinePunct w:val="0"/>
              <w:bidi w:val="0"/>
              <w:spacing w:line="360" w:lineRule="auto"/>
              <w:ind w:left="0" w:leftChars="0" w:right="0" w:rightChars="0"/>
              <w:jc w:val="both"/>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注：存在重大缺陷是指：内容与项目无关、内容表述错误、内容前后表述矛盾、项目名称错误或项目地点错误或与采购需求描述不匹配、套用其他方案或涉及的规范及标准错误或凭空编造或逻辑漏洞、未结合项目实际需求表述、具有不利于本项目实施的内容或以及不可能实现的夸大情形等任意一种情形。</w:t>
            </w:r>
          </w:p>
          <w:p w14:paraId="12E8C38D">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bCs/>
                <w:color w:val="auto"/>
                <w:sz w:val="21"/>
                <w:szCs w:val="21"/>
                <w:highlight w:val="none"/>
                <w:lang w:eastAsia="zh-CN"/>
              </w:rPr>
              <w:t>存在细微缺陷是指：内容存在用词不准确但不影响理解、有轻微瑕疵但不妨碍阅读、与项目实际需求存在细微出入但未影响核心执行等非关键性要求、且不会对项目造成重大影响的情形。】</w:t>
            </w:r>
          </w:p>
        </w:tc>
        <w:tc>
          <w:tcPr>
            <w:tcW w:w="873" w:type="dxa"/>
            <w:noWrap w:val="0"/>
            <w:vAlign w:val="center"/>
          </w:tcPr>
          <w:p w14:paraId="36447E4E">
            <w:pPr>
              <w:keepNext w:val="0"/>
              <w:keepLines w:val="0"/>
              <w:pageBreakBefore w:val="0"/>
              <w:kinsoku/>
              <w:overflowPunct/>
              <w:topLinePunct w:val="0"/>
              <w:bidi w:val="0"/>
              <w:spacing w:line="360" w:lineRule="auto"/>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Cs w:val="21"/>
                <w:highlight w:val="none"/>
                <w:lang w:val="en-US" w:eastAsia="zh-CN"/>
              </w:rPr>
              <w:t>12</w:t>
            </w:r>
          </w:p>
        </w:tc>
      </w:tr>
      <w:tr w14:paraId="53491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821" w:type="dxa"/>
            <w:noWrap w:val="0"/>
            <w:vAlign w:val="center"/>
          </w:tcPr>
          <w:p w14:paraId="4F7163D7">
            <w:pPr>
              <w:pStyle w:val="73"/>
              <w:keepNext w:val="0"/>
              <w:keepLines w:val="0"/>
              <w:pageBreakBefore w:val="0"/>
              <w:widowControl w:val="0"/>
              <w:numPr>
                <w:ilvl w:val="0"/>
                <w:numId w:val="11"/>
              </w:numPr>
              <w:kinsoku/>
              <w:overflowPunct/>
              <w:topLinePunct w:val="0"/>
              <w:bidi w:val="0"/>
              <w:spacing w:line="360" w:lineRule="auto"/>
              <w:ind w:firstLineChars="0"/>
              <w:jc w:val="center"/>
              <w:rPr>
                <w:rFonts w:hint="eastAsia" w:ascii="宋体" w:hAnsi="宋体" w:eastAsia="宋体" w:cs="宋体"/>
                <w:color w:val="auto"/>
                <w:sz w:val="21"/>
                <w:szCs w:val="21"/>
                <w:highlight w:val="none"/>
              </w:rPr>
            </w:pPr>
          </w:p>
        </w:tc>
        <w:tc>
          <w:tcPr>
            <w:tcW w:w="1299" w:type="dxa"/>
            <w:noWrap w:val="0"/>
            <w:vAlign w:val="center"/>
          </w:tcPr>
          <w:p w14:paraId="26E4B37F">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center"/>
              <w:textAlignment w:val="center"/>
              <w:rPr>
                <w:rFonts w:hint="eastAsia" w:ascii="宋体" w:hAnsi="宋体" w:eastAsia="宋体" w:cs="宋体"/>
                <w:i w:val="0"/>
                <w:iCs w:val="0"/>
                <w:color w:val="auto"/>
                <w:sz w:val="21"/>
                <w:szCs w:val="21"/>
                <w:highlight w:val="none"/>
                <w:u w:val="none"/>
                <w:lang w:val="en-US" w:eastAsia="en-US" w:bidi="ar-SA"/>
              </w:rPr>
            </w:pPr>
            <w:r>
              <w:rPr>
                <w:rFonts w:hint="eastAsia" w:ascii="宋体" w:hAnsi="宋体" w:eastAsia="宋体" w:cs="宋体"/>
                <w:i w:val="0"/>
                <w:iCs w:val="0"/>
                <w:color w:val="auto"/>
                <w:kern w:val="0"/>
                <w:sz w:val="21"/>
                <w:szCs w:val="21"/>
                <w:highlight w:val="none"/>
                <w:u w:val="none"/>
                <w:lang w:val="en-US" w:eastAsia="zh-CN" w:bidi="ar"/>
              </w:rPr>
              <w:t>对风险事件预防措施及应急处理保障方案</w:t>
            </w:r>
          </w:p>
        </w:tc>
        <w:tc>
          <w:tcPr>
            <w:tcW w:w="6743" w:type="dxa"/>
            <w:noWrap w:val="0"/>
            <w:vAlign w:val="center"/>
          </w:tcPr>
          <w:p w14:paraId="7BC91BA3">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rPr>
              <w:t>投标人应结合采购需求及项目实际实施，提供</w:t>
            </w:r>
            <w:r>
              <w:rPr>
                <w:rFonts w:hint="eastAsia" w:ascii="宋体" w:hAnsi="宋体" w:eastAsia="宋体" w:cs="宋体"/>
                <w:i w:val="0"/>
                <w:iCs w:val="0"/>
                <w:color w:val="auto"/>
                <w:kern w:val="0"/>
                <w:sz w:val="21"/>
                <w:szCs w:val="21"/>
                <w:highlight w:val="none"/>
                <w:u w:val="none"/>
                <w:lang w:val="en-US" w:eastAsia="zh-CN" w:bidi="ar"/>
              </w:rPr>
              <w:t>对风险事件预防措施及应急处理保障方案</w:t>
            </w:r>
            <w:r>
              <w:rPr>
                <w:rFonts w:hint="eastAsia" w:ascii="宋体" w:hAnsi="宋体" w:eastAsia="宋体" w:cs="宋体"/>
                <w:color w:val="auto"/>
                <w:sz w:val="21"/>
                <w:szCs w:val="21"/>
                <w:highlight w:val="none"/>
              </w:rPr>
              <w:t>，包括但不限于</w:t>
            </w:r>
            <w:r>
              <w:rPr>
                <w:rFonts w:hint="eastAsia" w:ascii="宋体" w:hAnsi="宋体" w:eastAsia="宋体" w:cs="宋体"/>
                <w:i w:val="0"/>
                <w:iCs w:val="0"/>
                <w:color w:val="auto"/>
                <w:kern w:val="0"/>
                <w:sz w:val="21"/>
                <w:szCs w:val="21"/>
                <w:highlight w:val="none"/>
                <w:u w:val="none"/>
                <w:lang w:val="en-US" w:eastAsia="zh-CN" w:bidi="ar"/>
              </w:rPr>
              <w:t>：</w:t>
            </w:r>
          </w:p>
          <w:p w14:paraId="3C0ABDAE">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①对维修作业期间可能出现的人身财产安全风险事件进行罗列；</w:t>
            </w:r>
          </w:p>
          <w:p w14:paraId="39434517">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②对遇到台风、海啸、火灾等灾害时可能发生的突发、常见风险事件进行罗列；</w:t>
            </w:r>
          </w:p>
          <w:p w14:paraId="516B25EE">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③针对不同情况提供有效的预防措施及应急处理保障方案。</w:t>
            </w:r>
          </w:p>
          <w:p w14:paraId="018E785F">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0"/>
              <w:jc w:val="both"/>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以上内容完整齐全、符合采购需求并利于项目实际实施的得</w:t>
            </w: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分，每有一项内容未提供扣</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分；每项内容若存在重大</w:t>
            </w:r>
            <w:r>
              <w:rPr>
                <w:rFonts w:hint="eastAsia" w:ascii="宋体" w:hAnsi="宋体" w:eastAsia="宋体" w:cs="宋体"/>
                <w:color w:val="auto"/>
                <w:sz w:val="21"/>
                <w:szCs w:val="21"/>
                <w:highlight w:val="none"/>
                <w:lang w:eastAsia="zh-CN"/>
              </w:rPr>
              <w:t>缺陷</w:t>
            </w:r>
            <w:r>
              <w:rPr>
                <w:rFonts w:hint="eastAsia" w:ascii="宋体" w:hAnsi="宋体" w:eastAsia="宋体" w:cs="宋体"/>
                <w:color w:val="auto"/>
                <w:sz w:val="21"/>
                <w:szCs w:val="21"/>
                <w:highlight w:val="none"/>
              </w:rPr>
              <w:t>扣</w:t>
            </w:r>
            <w:r>
              <w:rPr>
                <w:rFonts w:hint="eastAsia" w:ascii="宋体" w:hAnsi="宋体" w:eastAsia="宋体" w:cs="宋体"/>
                <w:color w:val="auto"/>
                <w:sz w:val="21"/>
                <w:szCs w:val="21"/>
                <w:highlight w:val="none"/>
                <w:lang w:val="en-US" w:eastAsia="zh-CN"/>
              </w:rPr>
              <w:t>2.5</w:t>
            </w:r>
            <w:r>
              <w:rPr>
                <w:rFonts w:hint="eastAsia" w:ascii="宋体" w:hAnsi="宋体" w:eastAsia="宋体" w:cs="宋体"/>
                <w:color w:val="auto"/>
                <w:sz w:val="21"/>
                <w:szCs w:val="21"/>
                <w:highlight w:val="none"/>
              </w:rPr>
              <w:t>分，若存在细微</w:t>
            </w:r>
            <w:r>
              <w:rPr>
                <w:rFonts w:hint="eastAsia" w:ascii="宋体" w:hAnsi="宋体" w:eastAsia="宋体" w:cs="宋体"/>
                <w:color w:val="auto"/>
                <w:sz w:val="21"/>
                <w:szCs w:val="21"/>
                <w:highlight w:val="none"/>
                <w:lang w:eastAsia="zh-CN"/>
              </w:rPr>
              <w:t>缺陷</w:t>
            </w:r>
            <w:r>
              <w:rPr>
                <w:rFonts w:hint="eastAsia" w:ascii="宋体" w:hAnsi="宋体" w:eastAsia="宋体" w:cs="宋体"/>
                <w:color w:val="auto"/>
                <w:sz w:val="21"/>
                <w:szCs w:val="21"/>
                <w:highlight w:val="none"/>
              </w:rPr>
              <w:t>则扣</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分，扣完为止。未提供方案或方案照搬本项目需求内容（包括仅更改部分文字或数据）无任何扩展的，不得分。</w:t>
            </w:r>
          </w:p>
          <w:p w14:paraId="16266979">
            <w:pPr>
              <w:pStyle w:val="78"/>
              <w:keepNext w:val="0"/>
              <w:keepLines w:val="0"/>
              <w:pageBreakBefore w:val="0"/>
              <w:kinsoku/>
              <w:overflowPunct/>
              <w:topLinePunct w:val="0"/>
              <w:bidi w:val="0"/>
              <w:spacing w:line="360" w:lineRule="auto"/>
              <w:ind w:left="0" w:leftChars="0" w:right="0" w:rightChars="0"/>
              <w:jc w:val="both"/>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注：存在重大缺陷是指：内容与项目无关、内容表述错误、内容前后表述矛盾、项目名称错误或项目地点错误或与采购需求描述不匹配、套用其他方案或涉及的规范及标准错误或凭空编造或逻辑漏洞、未结合项目实际需求表述、具有不利于本项目实施的内容或以及不可能实现的夸大情形等任意一种情形。</w:t>
            </w:r>
          </w:p>
          <w:p w14:paraId="5987430D">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both"/>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eastAsia="zh-CN"/>
              </w:rPr>
              <w:t>存在细微缺陷是指：内容存在用词不准确但不影响理解、有轻微瑕疵但不妨碍阅读、与项目实际需求存在细微出入但未影响核心执行等非关键性要求、且不会对项目造成重大影响的情形。】</w:t>
            </w:r>
          </w:p>
        </w:tc>
        <w:tc>
          <w:tcPr>
            <w:tcW w:w="873" w:type="dxa"/>
            <w:noWrap w:val="0"/>
            <w:vAlign w:val="center"/>
          </w:tcPr>
          <w:p w14:paraId="538572A5">
            <w:pPr>
              <w:keepNext w:val="0"/>
              <w:keepLines w:val="0"/>
              <w:pageBreakBefore w:val="0"/>
              <w:kinsoku/>
              <w:overflowPunct/>
              <w:topLinePunct w:val="0"/>
              <w:autoSpaceDE/>
              <w:autoSpaceDN/>
              <w:bidi w:val="0"/>
              <w:spacing w:line="360" w:lineRule="auto"/>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Cs w:val="21"/>
                <w:highlight w:val="none"/>
                <w:lang w:val="en-US" w:eastAsia="zh-CN"/>
              </w:rPr>
              <w:t>12</w:t>
            </w:r>
          </w:p>
        </w:tc>
      </w:tr>
      <w:tr w14:paraId="43D86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821" w:type="dxa"/>
            <w:noWrap w:val="0"/>
            <w:vAlign w:val="center"/>
          </w:tcPr>
          <w:p w14:paraId="38AB3D27">
            <w:pPr>
              <w:pStyle w:val="73"/>
              <w:keepNext w:val="0"/>
              <w:keepLines w:val="0"/>
              <w:pageBreakBefore w:val="0"/>
              <w:widowControl w:val="0"/>
              <w:numPr>
                <w:ilvl w:val="0"/>
                <w:numId w:val="11"/>
              </w:numPr>
              <w:kinsoku/>
              <w:overflowPunct/>
              <w:topLinePunct w:val="0"/>
              <w:bidi w:val="0"/>
              <w:spacing w:line="360" w:lineRule="auto"/>
              <w:ind w:firstLineChars="0"/>
              <w:jc w:val="center"/>
              <w:rPr>
                <w:rFonts w:hint="eastAsia" w:ascii="宋体" w:hAnsi="宋体" w:eastAsia="宋体" w:cs="宋体"/>
                <w:color w:val="auto"/>
                <w:sz w:val="21"/>
                <w:szCs w:val="21"/>
                <w:highlight w:val="none"/>
              </w:rPr>
            </w:pPr>
          </w:p>
        </w:tc>
        <w:tc>
          <w:tcPr>
            <w:tcW w:w="1299" w:type="dxa"/>
            <w:noWrap w:val="0"/>
            <w:vAlign w:val="center"/>
          </w:tcPr>
          <w:p w14:paraId="0086D59D">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技术负责人</w:t>
            </w:r>
          </w:p>
        </w:tc>
        <w:tc>
          <w:tcPr>
            <w:tcW w:w="6743" w:type="dxa"/>
            <w:noWrap w:val="0"/>
            <w:vAlign w:val="center"/>
          </w:tcPr>
          <w:p w14:paraId="57D763F8">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根据投标人拟投入本项目的技术负责人（只计1人）情况进行评分：</w:t>
            </w:r>
          </w:p>
          <w:p w14:paraId="6CD53061">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1、具有船舶类相关专业高级</w:t>
            </w:r>
            <w:r>
              <w:rPr>
                <w:rFonts w:hint="eastAsia" w:cs="宋体"/>
                <w:b w:val="0"/>
                <w:bCs w:val="0"/>
                <w:color w:val="auto"/>
                <w:szCs w:val="21"/>
                <w:highlight w:val="none"/>
                <w:lang w:val="en-US" w:eastAsia="zh-CN"/>
              </w:rPr>
              <w:t>及以上</w:t>
            </w:r>
            <w:r>
              <w:rPr>
                <w:rFonts w:hint="eastAsia" w:ascii="宋体" w:hAnsi="宋体" w:eastAsia="宋体" w:cs="宋体"/>
                <w:b w:val="0"/>
                <w:bCs w:val="0"/>
                <w:color w:val="auto"/>
                <w:szCs w:val="21"/>
                <w:highlight w:val="none"/>
                <w:lang w:val="en-US" w:eastAsia="zh-CN"/>
              </w:rPr>
              <w:t>工程师职称的得3分，具有中级工程师职称的得2分，具有初级工程师职称的得1分；提供证书复印件，以及开标前六个月任意一个月投标人为其购买社保的证明材料；本项最高得3分；</w:t>
            </w:r>
          </w:p>
          <w:p w14:paraId="7E80814B">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b w:val="0"/>
                <w:bCs w:val="0"/>
                <w:color w:val="auto"/>
                <w:szCs w:val="21"/>
                <w:highlight w:val="none"/>
                <w:lang w:val="en-US" w:eastAsia="zh-CN"/>
              </w:rPr>
              <w:t>2、具有MTU主机、MAN主机船舶维修经验；提供作为技术负责人的项目合同关键页，须体现</w:t>
            </w:r>
            <w:r>
              <w:rPr>
                <w:rFonts w:hint="eastAsia" w:ascii="宋体" w:hAnsi="宋体" w:eastAsia="宋体" w:cs="宋体"/>
                <w:b/>
                <w:bCs/>
                <w:color w:val="auto"/>
                <w:szCs w:val="21"/>
                <w:highlight w:val="none"/>
                <w:lang w:val="en-US" w:eastAsia="zh-CN"/>
              </w:rPr>
              <w:t>船艇主机型号</w:t>
            </w:r>
            <w:r>
              <w:rPr>
                <w:rFonts w:hint="eastAsia" w:ascii="宋体" w:hAnsi="宋体" w:eastAsia="宋体" w:cs="宋体"/>
                <w:b w:val="0"/>
                <w:bCs w:val="0"/>
                <w:color w:val="auto"/>
                <w:szCs w:val="21"/>
                <w:highlight w:val="none"/>
                <w:lang w:val="en-US" w:eastAsia="zh-CN"/>
              </w:rPr>
              <w:t>以及该技术负责人参与维修的信息；如不能体现，可增加该项目对应的验收单据或甲方盖章的证明函；得3分。</w:t>
            </w:r>
          </w:p>
        </w:tc>
        <w:tc>
          <w:tcPr>
            <w:tcW w:w="873" w:type="dxa"/>
            <w:noWrap w:val="0"/>
            <w:vAlign w:val="center"/>
          </w:tcPr>
          <w:p w14:paraId="41782D04">
            <w:pPr>
              <w:keepNext w:val="0"/>
              <w:keepLines w:val="0"/>
              <w:pageBreakBefore w:val="0"/>
              <w:kinsoku/>
              <w:overflowPunct/>
              <w:topLinePunct w:val="0"/>
              <w:autoSpaceDE/>
              <w:autoSpaceDN/>
              <w:bidi w:val="0"/>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b w:val="0"/>
                <w:bCs w:val="0"/>
                <w:color w:val="auto"/>
                <w:szCs w:val="21"/>
                <w:highlight w:val="none"/>
                <w:lang w:val="en-US" w:eastAsia="zh-CN"/>
              </w:rPr>
              <w:t>6</w:t>
            </w:r>
          </w:p>
        </w:tc>
      </w:tr>
      <w:tr w14:paraId="526DA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821" w:type="dxa"/>
            <w:noWrap w:val="0"/>
            <w:vAlign w:val="center"/>
          </w:tcPr>
          <w:p w14:paraId="1AA9E76B">
            <w:pPr>
              <w:pStyle w:val="73"/>
              <w:keepNext w:val="0"/>
              <w:keepLines w:val="0"/>
              <w:pageBreakBefore w:val="0"/>
              <w:widowControl w:val="0"/>
              <w:numPr>
                <w:ilvl w:val="0"/>
                <w:numId w:val="11"/>
              </w:numPr>
              <w:kinsoku/>
              <w:overflowPunct/>
              <w:topLinePunct w:val="0"/>
              <w:bidi w:val="0"/>
              <w:spacing w:line="360" w:lineRule="auto"/>
              <w:ind w:firstLineChars="0"/>
              <w:jc w:val="center"/>
              <w:rPr>
                <w:rFonts w:hint="eastAsia" w:ascii="宋体" w:hAnsi="宋体" w:eastAsia="宋体" w:cs="宋体"/>
                <w:color w:val="auto"/>
                <w:sz w:val="21"/>
                <w:szCs w:val="21"/>
                <w:highlight w:val="none"/>
              </w:rPr>
            </w:pPr>
          </w:p>
        </w:tc>
        <w:tc>
          <w:tcPr>
            <w:tcW w:w="1299" w:type="dxa"/>
            <w:noWrap w:val="0"/>
            <w:vAlign w:val="center"/>
          </w:tcPr>
          <w:p w14:paraId="7BC2B6FE">
            <w:pPr>
              <w:pStyle w:val="78"/>
              <w:keepNext w:val="0"/>
              <w:keepLines w:val="0"/>
              <w:pageBreakBefore w:val="0"/>
              <w:widowControl w:val="0"/>
              <w:kinsoku/>
              <w:overflowPunct/>
              <w:topLinePunct w:val="0"/>
              <w:bidi w:val="0"/>
              <w:spacing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拟投入本项目团队人员</w:t>
            </w:r>
          </w:p>
        </w:tc>
        <w:tc>
          <w:tcPr>
            <w:tcW w:w="6743" w:type="dxa"/>
            <w:noWrap w:val="0"/>
            <w:vAlign w:val="center"/>
          </w:tcPr>
          <w:p w14:paraId="1834D243">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根据投标人拟派本项目团队成员（技术负责人除外）资质进行评分：</w:t>
            </w:r>
          </w:p>
          <w:p w14:paraId="40314C56">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具有2年（含）以上船舶维修经验，每提供一人得2分，最高得6分；</w:t>
            </w:r>
          </w:p>
          <w:p w14:paraId="0F93EBF2">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both"/>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i w:val="0"/>
                <w:iCs w:val="0"/>
                <w:color w:val="auto"/>
                <w:kern w:val="0"/>
                <w:sz w:val="21"/>
                <w:szCs w:val="21"/>
                <w:highlight w:val="none"/>
                <w:u w:val="none"/>
                <w:lang w:val="en-US" w:eastAsia="zh-CN" w:bidi="ar"/>
              </w:rPr>
              <w:t>注：投标文件中须提供（1）上述人员名单；（2）工作经验证明材料，证明材料可提供：包含岗位描述和时限的劳动合同或聘书；或覆盖时限的船舶维修项目合同；须体现人员名单及船舶维修经验年限，不体现不计分；（3）开标前六个月任意一个月投标人为其购买社保的证明材料。以上材料加盖投标人公章，未提供或者提供的资料不符合要求的不得分。</w:t>
            </w:r>
          </w:p>
        </w:tc>
        <w:tc>
          <w:tcPr>
            <w:tcW w:w="873" w:type="dxa"/>
            <w:noWrap w:val="0"/>
            <w:vAlign w:val="center"/>
          </w:tcPr>
          <w:p w14:paraId="5623E853">
            <w:pPr>
              <w:keepNext w:val="0"/>
              <w:keepLines w:val="0"/>
              <w:pageBreakBefore w:val="0"/>
              <w:widowControl w:val="0"/>
              <w:kinsoku/>
              <w:overflowPunct/>
              <w:topLinePunct w:val="0"/>
              <w:bidi w:val="0"/>
              <w:spacing w:line="360" w:lineRule="auto"/>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Cs w:val="21"/>
                <w:highlight w:val="none"/>
                <w:lang w:val="en-US" w:eastAsia="zh-CN"/>
              </w:rPr>
              <w:t>6</w:t>
            </w:r>
          </w:p>
        </w:tc>
      </w:tr>
      <w:tr w14:paraId="4F68E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21" w:type="dxa"/>
            <w:noWrap w:val="0"/>
            <w:vAlign w:val="center"/>
          </w:tcPr>
          <w:p w14:paraId="7F0F33DE">
            <w:pPr>
              <w:pStyle w:val="73"/>
              <w:keepNext w:val="0"/>
              <w:keepLines w:val="0"/>
              <w:pageBreakBefore w:val="0"/>
              <w:widowControl w:val="0"/>
              <w:numPr>
                <w:ilvl w:val="0"/>
                <w:numId w:val="11"/>
              </w:numPr>
              <w:kinsoku/>
              <w:overflowPunct/>
              <w:topLinePunct w:val="0"/>
              <w:bidi w:val="0"/>
              <w:spacing w:line="360" w:lineRule="auto"/>
              <w:ind w:left="0" w:firstLine="0" w:firstLineChars="0"/>
              <w:jc w:val="center"/>
              <w:rPr>
                <w:rFonts w:hint="eastAsia" w:ascii="宋体" w:hAnsi="宋体" w:eastAsia="宋体" w:cs="宋体"/>
                <w:color w:val="auto"/>
                <w:sz w:val="21"/>
                <w:szCs w:val="21"/>
                <w:highlight w:val="none"/>
                <w:lang w:val="en-US" w:eastAsia="zh-CN"/>
              </w:rPr>
            </w:pPr>
          </w:p>
        </w:tc>
        <w:tc>
          <w:tcPr>
            <w:tcW w:w="1299" w:type="dxa"/>
            <w:noWrap w:val="0"/>
            <w:vAlign w:val="center"/>
          </w:tcPr>
          <w:p w14:paraId="5E3126B1">
            <w:pPr>
              <w:pStyle w:val="78"/>
              <w:keepNext w:val="0"/>
              <w:keepLines w:val="0"/>
              <w:pageBreakBefore w:val="0"/>
              <w:widowControl w:val="0"/>
              <w:kinsoku/>
              <w:overflowPunct/>
              <w:topLinePunct w:val="0"/>
              <w:bidi w:val="0"/>
              <w:spacing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中修零配件质保期</w:t>
            </w:r>
          </w:p>
        </w:tc>
        <w:tc>
          <w:tcPr>
            <w:tcW w:w="6743" w:type="dxa"/>
            <w:noWrap w:val="0"/>
            <w:vAlign w:val="top"/>
          </w:tcPr>
          <w:p w14:paraId="6033ACF5">
            <w:pPr>
              <w:pStyle w:val="2"/>
              <w:keepNext w:val="0"/>
              <w:keepLines w:val="0"/>
              <w:pageBreakBefore w:val="0"/>
              <w:kinsoku/>
              <w:overflowPunct/>
              <w:topLinePunct w:val="0"/>
              <w:bidi w:val="0"/>
              <w:spacing w:line="360" w:lineRule="auto"/>
              <w:jc w:val="both"/>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中修完毕，固定部件保修期为六个月，运动部件保修期为三个月，在此基础上，进行以下评分：</w:t>
            </w:r>
          </w:p>
          <w:p w14:paraId="502D1B90">
            <w:pPr>
              <w:pStyle w:val="2"/>
              <w:keepNext w:val="0"/>
              <w:keepLines w:val="0"/>
              <w:pageBreakBefore w:val="0"/>
              <w:kinsoku/>
              <w:overflowPunct/>
              <w:topLinePunct w:val="0"/>
              <w:bidi w:val="0"/>
              <w:spacing w:line="360" w:lineRule="auto"/>
              <w:jc w:val="both"/>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1、固定部件保修期每增加1个月加0.5分，最多计算6个月，本小项满分3分：</w:t>
            </w:r>
          </w:p>
          <w:p w14:paraId="0285C722">
            <w:pPr>
              <w:pStyle w:val="2"/>
              <w:keepNext w:val="0"/>
              <w:keepLines w:val="0"/>
              <w:pageBreakBefore w:val="0"/>
              <w:kinsoku/>
              <w:overflowPunct/>
              <w:topLinePunct w:val="0"/>
              <w:bidi w:val="0"/>
              <w:spacing w:line="360" w:lineRule="auto"/>
              <w:jc w:val="both"/>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2、活动部件保修期每增加1个月加1分，最多计算3个月，本小项满分3分：</w:t>
            </w:r>
          </w:p>
          <w:p w14:paraId="1E535AFF">
            <w:pPr>
              <w:pStyle w:val="2"/>
              <w:keepNext w:val="0"/>
              <w:keepLines w:val="0"/>
              <w:pageBreakBefore w:val="0"/>
              <w:kinsoku/>
              <w:overflowPunct/>
              <w:topLinePunct w:val="0"/>
              <w:bidi w:val="0"/>
              <w:spacing w:line="360" w:lineRule="auto"/>
              <w:jc w:val="both"/>
              <w:rPr>
                <w:rFonts w:hint="eastAsia" w:ascii="宋体" w:hAnsi="宋体" w:eastAsia="宋体" w:cs="宋体"/>
                <w:color w:val="auto"/>
                <w:szCs w:val="21"/>
                <w:highlight w:val="none"/>
                <w:lang w:val="en-US" w:eastAsia="zh-CN"/>
              </w:rPr>
            </w:pPr>
            <w:r>
              <w:rPr>
                <w:rFonts w:hint="eastAsia" w:ascii="宋体" w:hAnsi="宋体" w:eastAsia="宋体" w:cs="宋体"/>
                <w:b/>
                <w:bCs/>
                <w:color w:val="auto"/>
                <w:kern w:val="2"/>
                <w:sz w:val="21"/>
                <w:szCs w:val="21"/>
                <w:highlight w:val="none"/>
                <w:lang w:val="en-US" w:eastAsia="zh-CN" w:bidi="ar-SA"/>
              </w:rPr>
              <w:t>注：提供承诺函，加盖投标人公章；格式自拟。</w:t>
            </w:r>
          </w:p>
        </w:tc>
        <w:tc>
          <w:tcPr>
            <w:tcW w:w="873" w:type="dxa"/>
            <w:noWrap w:val="0"/>
            <w:vAlign w:val="center"/>
          </w:tcPr>
          <w:p w14:paraId="277950EC">
            <w:pPr>
              <w:keepNext w:val="0"/>
              <w:keepLines w:val="0"/>
              <w:pageBreakBefore w:val="0"/>
              <w:widowControl w:val="0"/>
              <w:kinsoku/>
              <w:overflowPunct/>
              <w:topLinePunct w:val="0"/>
              <w:bidi w:val="0"/>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w:t>
            </w:r>
          </w:p>
        </w:tc>
      </w:tr>
      <w:bookmarkEnd w:id="164"/>
    </w:tbl>
    <w:p w14:paraId="40BE1BE8">
      <w:pPr>
        <w:pStyle w:val="2"/>
        <w:keepNext w:val="0"/>
        <w:keepLines w:val="0"/>
        <w:pageBreakBefore w:val="0"/>
        <w:kinsoku/>
        <w:overflowPunct/>
        <w:topLinePunct w:val="0"/>
        <w:autoSpaceDE/>
        <w:autoSpaceDN/>
        <w:bidi w:val="0"/>
        <w:spacing w:line="360" w:lineRule="auto"/>
        <w:ind w:left="440"/>
        <w:rPr>
          <w:rFonts w:hint="eastAsia" w:ascii="宋体" w:hAnsi="宋体" w:eastAsia="宋体" w:cs="宋体"/>
          <w:color w:val="auto"/>
          <w:szCs w:val="21"/>
          <w:highlight w:val="none"/>
        </w:rPr>
      </w:pPr>
    </w:p>
    <w:p w14:paraId="51ED51B0">
      <w:pPr>
        <w:keepNext w:val="0"/>
        <w:keepLines w:val="0"/>
        <w:pageBreakBefore w:val="0"/>
        <w:kinsoku/>
        <w:overflowPunct/>
        <w:topLinePunct w:val="0"/>
        <w:autoSpaceDE/>
        <w:autoSpaceDN/>
        <w:bidi w:val="0"/>
        <w:spacing w:line="360" w:lineRule="auto"/>
        <w:ind w:firstLine="422" w:firstLineChars="200"/>
        <w:outlineLvl w:val="3"/>
        <w:rPr>
          <w:rFonts w:hint="eastAsia" w:ascii="宋体" w:hAnsi="宋体" w:eastAsia="宋体" w:cs="宋体"/>
          <w:b/>
          <w:bCs/>
          <w:color w:val="auto"/>
          <w:szCs w:val="21"/>
          <w:highlight w:val="none"/>
          <w:lang w:eastAsia="zh-CN"/>
        </w:rPr>
      </w:pPr>
      <w:bookmarkStart w:id="165" w:name="_Toc67046849"/>
      <w:r>
        <w:rPr>
          <w:rFonts w:hint="eastAsia" w:ascii="宋体" w:hAnsi="宋体" w:eastAsia="宋体" w:cs="宋体"/>
          <w:b/>
          <w:bCs/>
          <w:color w:val="auto"/>
          <w:szCs w:val="21"/>
          <w:highlight w:val="none"/>
          <w:lang w:eastAsia="zh-CN"/>
        </w:rPr>
        <w:t>表三：价格评分细则表（</w:t>
      </w:r>
      <w:r>
        <w:rPr>
          <w:rFonts w:hint="eastAsia" w:ascii="宋体" w:hAnsi="宋体" w:eastAsia="宋体" w:cs="宋体"/>
          <w:b/>
          <w:bCs/>
          <w:color w:val="auto"/>
          <w:szCs w:val="21"/>
          <w:highlight w:val="none"/>
          <w:lang w:val="en-US" w:eastAsia="zh-CN"/>
        </w:rPr>
        <w:t>20</w:t>
      </w:r>
      <w:r>
        <w:rPr>
          <w:rFonts w:hint="eastAsia" w:ascii="宋体" w:hAnsi="宋体" w:eastAsia="宋体" w:cs="宋体"/>
          <w:b/>
          <w:bCs/>
          <w:color w:val="auto"/>
          <w:szCs w:val="21"/>
          <w:highlight w:val="none"/>
          <w:lang w:eastAsia="zh-CN"/>
        </w:rPr>
        <w:t>分）</w:t>
      </w:r>
      <w:bookmarkEnd w:id="165"/>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1139"/>
        <w:gridCol w:w="7020"/>
        <w:gridCol w:w="859"/>
      </w:tblGrid>
      <w:tr w14:paraId="26100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424" w:type="pct"/>
            <w:shd w:val="clear" w:color="auto" w:fill="F1F1F1" w:themeFill="background1" w:themeFillShade="F2"/>
            <w:vAlign w:val="center"/>
          </w:tcPr>
          <w:p w14:paraId="0248C488">
            <w:pPr>
              <w:pStyle w:val="54"/>
              <w:keepNext w:val="0"/>
              <w:keepLines w:val="0"/>
              <w:pageBreakBefore w:val="0"/>
              <w:kinsoku/>
              <w:overflowPunct/>
              <w:topLinePunct w:val="0"/>
              <w:autoSpaceDE/>
              <w:autoSpaceDN/>
              <w:bidi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序号</w:t>
            </w:r>
          </w:p>
        </w:tc>
        <w:tc>
          <w:tcPr>
            <w:tcW w:w="578" w:type="pct"/>
            <w:shd w:val="clear" w:color="auto" w:fill="F1F1F1" w:themeFill="background1" w:themeFillShade="F2"/>
            <w:vAlign w:val="center"/>
          </w:tcPr>
          <w:p w14:paraId="036368DF">
            <w:pPr>
              <w:pStyle w:val="54"/>
              <w:keepNext w:val="0"/>
              <w:keepLines w:val="0"/>
              <w:pageBreakBefore w:val="0"/>
              <w:kinsoku/>
              <w:overflowPunct/>
              <w:topLinePunct w:val="0"/>
              <w:autoSpaceDE/>
              <w:autoSpaceDN/>
              <w:bidi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评审因素</w:t>
            </w:r>
          </w:p>
        </w:tc>
        <w:tc>
          <w:tcPr>
            <w:tcW w:w="3562" w:type="pct"/>
            <w:shd w:val="clear" w:color="auto" w:fill="F1F1F1" w:themeFill="background1" w:themeFillShade="F2"/>
            <w:vAlign w:val="center"/>
          </w:tcPr>
          <w:p w14:paraId="3DC3C90C">
            <w:pPr>
              <w:pStyle w:val="54"/>
              <w:keepNext w:val="0"/>
              <w:keepLines w:val="0"/>
              <w:pageBreakBefore w:val="0"/>
              <w:kinsoku/>
              <w:overflowPunct/>
              <w:topLinePunct w:val="0"/>
              <w:autoSpaceDE/>
              <w:autoSpaceDN/>
              <w:bidi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评审标准</w:t>
            </w:r>
          </w:p>
        </w:tc>
        <w:tc>
          <w:tcPr>
            <w:tcW w:w="436" w:type="pct"/>
            <w:shd w:val="clear" w:color="auto" w:fill="F1F1F1" w:themeFill="background1" w:themeFillShade="F2"/>
            <w:vAlign w:val="center"/>
          </w:tcPr>
          <w:p w14:paraId="3A6D5E50">
            <w:pPr>
              <w:pStyle w:val="54"/>
              <w:keepNext w:val="0"/>
              <w:keepLines w:val="0"/>
              <w:pageBreakBefore w:val="0"/>
              <w:kinsoku/>
              <w:overflowPunct/>
              <w:topLinePunct w:val="0"/>
              <w:autoSpaceDE/>
              <w:autoSpaceDN/>
              <w:bidi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分值（分）</w:t>
            </w:r>
          </w:p>
        </w:tc>
      </w:tr>
      <w:tr w14:paraId="0F3F2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424" w:type="pct"/>
            <w:tcBorders>
              <w:bottom w:val="single" w:color="auto" w:sz="4" w:space="0"/>
            </w:tcBorders>
            <w:vAlign w:val="center"/>
          </w:tcPr>
          <w:p w14:paraId="3E26C959">
            <w:pPr>
              <w:keepNext w:val="0"/>
              <w:keepLines w:val="0"/>
              <w:pageBreakBefore w:val="0"/>
              <w:kinsoku/>
              <w:overflowPunct/>
              <w:topLinePunct w:val="0"/>
              <w:autoSpaceDE/>
              <w:autoSpaceDN/>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578" w:type="pct"/>
            <w:tcBorders>
              <w:bottom w:val="single" w:color="auto" w:sz="4" w:space="0"/>
            </w:tcBorders>
            <w:vAlign w:val="center"/>
          </w:tcPr>
          <w:p w14:paraId="7157B48A">
            <w:pPr>
              <w:keepNext w:val="0"/>
              <w:keepLines w:val="0"/>
              <w:pageBreakBefore w:val="0"/>
              <w:kinsoku/>
              <w:overflowPunct/>
              <w:topLinePunct w:val="0"/>
              <w:autoSpaceDE/>
              <w:autoSpaceDN/>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价格</w:t>
            </w:r>
          </w:p>
        </w:tc>
        <w:tc>
          <w:tcPr>
            <w:tcW w:w="3562" w:type="pct"/>
            <w:tcBorders>
              <w:bottom w:val="single" w:color="auto" w:sz="4" w:space="0"/>
            </w:tcBorders>
            <w:vAlign w:val="center"/>
          </w:tcPr>
          <w:p w14:paraId="2B5AB9F0">
            <w:pPr>
              <w:pStyle w:val="33"/>
              <w:keepNext w:val="0"/>
              <w:keepLines w:val="0"/>
              <w:pageBreakBefore w:val="0"/>
              <w:kinsoku/>
              <w:overflowPunct/>
              <w:topLinePunct w:val="0"/>
              <w:autoSpaceDE/>
              <w:autoSpaceDN/>
              <w:bidi w:val="0"/>
              <w:spacing w:after="0" w:line="360" w:lineRule="auto"/>
              <w:ind w:left="0" w:leftChars="0" w:firstLine="0" w:firstLine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c>
          <w:tcPr>
            <w:tcW w:w="436" w:type="pct"/>
            <w:tcBorders>
              <w:bottom w:val="single" w:color="auto" w:sz="4" w:space="0"/>
            </w:tcBorders>
            <w:vAlign w:val="center"/>
          </w:tcPr>
          <w:p w14:paraId="464AA54E">
            <w:pPr>
              <w:keepNext w:val="0"/>
              <w:keepLines w:val="0"/>
              <w:pageBreakBefore w:val="0"/>
              <w:kinsoku/>
              <w:overflowPunct/>
              <w:topLinePunct w:val="0"/>
              <w:autoSpaceDE/>
              <w:autoSpaceDN/>
              <w:bidi w:val="0"/>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20</w:t>
            </w:r>
          </w:p>
        </w:tc>
      </w:tr>
    </w:tbl>
    <w:p w14:paraId="60047BF0">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p>
    <w:p w14:paraId="0F67EAB6">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4.汇总、排序</w:t>
      </w:r>
    </w:p>
    <w:p w14:paraId="1E8E6BC7">
      <w:pPr>
        <w:pStyle w:val="2"/>
        <w:keepNext w:val="0"/>
        <w:keepLines w:val="0"/>
        <w:pageBreakBefore w:val="0"/>
        <w:kinsoku/>
        <w:overflowPunct/>
        <w:topLinePunct w:val="0"/>
        <w:autoSpaceDE/>
        <w:autoSpaceDN/>
        <w:bidi w:val="0"/>
        <w:spacing w:line="360" w:lineRule="auto"/>
        <w:ind w:left="106" w:right="149" w:firstLine="384"/>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采用综合评分法的，评标结果按评审后总得分由高到低顺序排列。总得分相同的按投标报价由低到高顺序排列。得分且投标报价相同的，由评委会采取随机抽取的方式确定。排名第一的投标供应商为第一中标候选人，排名第二的投标供应商为第二中标候选人，以此类推。</w:t>
      </w:r>
      <w:bookmarkStart w:id="166" w:name="_Hlk172384586"/>
      <w:r>
        <w:rPr>
          <w:rFonts w:hint="eastAsia" w:ascii="宋体" w:hAnsi="宋体" w:eastAsia="宋体" w:cs="宋体"/>
          <w:color w:val="auto"/>
          <w:szCs w:val="21"/>
          <w:highlight w:val="none"/>
          <w:lang w:val="en-US" w:eastAsia="zh-CN"/>
        </w:rPr>
        <w:t>各项</w:t>
      </w:r>
      <w:r>
        <w:rPr>
          <w:rFonts w:hint="eastAsia" w:ascii="宋体" w:hAnsi="宋体" w:eastAsia="宋体" w:cs="宋体"/>
          <w:color w:val="auto"/>
          <w:szCs w:val="21"/>
          <w:highlight w:val="none"/>
          <w:lang w:eastAsia="zh-CN"/>
        </w:rPr>
        <w:t>评分分值计算保留小数点后两位，第三位四舍五入。提供相同品牌产品（非单一产品采购，以核心产品为准。多个核心产品的，有一种产品品牌相同，即视为提供相同品牌产品）且通过资格审查、符合性审查的不同投标人参加同一合同项下投标的，按一家投标人计算，评审后得分最高的同品牌投标人获得中标人推荐资格；评审得分相同的，由采购人或者采购人委托评标委员会采取随机抽取的方法确定一个投标人获得中标人推荐资格，其他同品牌投标人不作为中标候选人。</w:t>
      </w:r>
      <w:bookmarkEnd w:id="166"/>
    </w:p>
    <w:p w14:paraId="1EB69886">
      <w:pPr>
        <w:pStyle w:val="2"/>
        <w:keepNext w:val="0"/>
        <w:keepLines w:val="0"/>
        <w:pageBreakBefore w:val="0"/>
        <w:kinsoku/>
        <w:overflowPunct/>
        <w:topLinePunct w:val="0"/>
        <w:autoSpaceDE/>
        <w:autoSpaceDN/>
        <w:bidi w:val="0"/>
        <w:spacing w:line="360" w:lineRule="auto"/>
        <w:ind w:left="106" w:right="149" w:firstLine="384"/>
        <w:jc w:val="both"/>
        <w:rPr>
          <w:rFonts w:hint="eastAsia" w:ascii="宋体" w:hAnsi="宋体" w:eastAsia="宋体" w:cs="宋体"/>
          <w:color w:val="auto"/>
          <w:szCs w:val="21"/>
          <w:highlight w:val="none"/>
          <w:lang w:eastAsia="zh-CN"/>
        </w:rPr>
      </w:pPr>
      <w:bookmarkStart w:id="167" w:name="_Hlk172366850"/>
      <w:r>
        <w:rPr>
          <w:rFonts w:hint="eastAsia" w:ascii="宋体" w:hAnsi="宋体" w:eastAsia="宋体" w:cs="宋体"/>
          <w:color w:val="auto"/>
          <w:szCs w:val="21"/>
          <w:highlight w:val="none"/>
          <w:lang w:eastAsia="zh-CN"/>
        </w:rPr>
        <w:t>采用最低评标价法的，评标结果按评审后的报价由低到高顺序排列。报价相同的，由评委会采取随机抽取的方式确定。排名第一的投标供应商为第一中标候选人，排名第二的投标供应商为第二中标候选人，以此类推。</w:t>
      </w:r>
      <w:bookmarkEnd w:id="167"/>
      <w:bookmarkStart w:id="168" w:name="_Hlk172384293"/>
      <w:bookmarkStart w:id="169" w:name="_Hlk172384591"/>
      <w:r>
        <w:rPr>
          <w:rFonts w:hint="eastAsia" w:ascii="宋体" w:hAnsi="宋体" w:eastAsia="宋体" w:cs="宋体"/>
          <w:color w:val="auto"/>
          <w:szCs w:val="21"/>
          <w:highlight w:val="none"/>
          <w:lang w:eastAsia="zh-CN"/>
        </w:rPr>
        <w:t>提供相同品牌产品（非单一产品采购，以核心产品为准。多个核心产品的，有一种产品品牌相同，即视为提供相同品牌产品）的不同投标人参加同一合同项下投标的，以其中通过资格审查、符合性审查且报价最低的同品牌投标人参加评标；报价相同的，由采购人或者采购人委托评标委员会采取随机抽取的方法确定一个参加评标的投标人，其他投标无效</w:t>
      </w:r>
      <w:bookmarkEnd w:id="168"/>
      <w:r>
        <w:rPr>
          <w:rFonts w:hint="eastAsia" w:ascii="宋体" w:hAnsi="宋体" w:eastAsia="宋体" w:cs="宋体"/>
          <w:color w:val="auto"/>
          <w:szCs w:val="21"/>
          <w:highlight w:val="none"/>
          <w:lang w:eastAsia="zh-CN"/>
        </w:rPr>
        <w:t>。</w:t>
      </w:r>
      <w:bookmarkEnd w:id="169"/>
    </w:p>
    <w:p w14:paraId="60F9F00D">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bookmarkStart w:id="170" w:name="_Hlk172366868"/>
      <w:r>
        <w:rPr>
          <w:rFonts w:hint="eastAsia" w:ascii="宋体" w:hAnsi="宋体" w:eastAsia="宋体" w:cs="宋体"/>
          <w:b/>
          <w:bCs/>
          <w:color w:val="auto"/>
          <w:sz w:val="21"/>
          <w:szCs w:val="21"/>
          <w:highlight w:val="none"/>
        </w:rPr>
        <w:t>5.编写评标报告</w:t>
      </w:r>
    </w:p>
    <w:p w14:paraId="285BAA72">
      <w:pPr>
        <w:pStyle w:val="2"/>
        <w:keepNext w:val="0"/>
        <w:keepLines w:val="0"/>
        <w:pageBreakBefore w:val="0"/>
        <w:kinsoku/>
        <w:overflowPunct/>
        <w:topLinePunct w:val="0"/>
        <w:autoSpaceDE/>
        <w:autoSpaceDN/>
        <w:bidi w:val="0"/>
        <w:spacing w:line="360" w:lineRule="auto"/>
        <w:ind w:left="106" w:right="149" w:firstLine="384"/>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5.1评标委员会根据全体评标成员签字的原始评标记录和评标结果编写评标报告。</w:t>
      </w:r>
    </w:p>
    <w:p w14:paraId="31D450F2">
      <w:pPr>
        <w:pStyle w:val="2"/>
        <w:keepNext w:val="0"/>
        <w:keepLines w:val="0"/>
        <w:pageBreakBefore w:val="0"/>
        <w:kinsoku/>
        <w:overflowPunct/>
        <w:topLinePunct w:val="0"/>
        <w:autoSpaceDE/>
        <w:autoSpaceDN/>
        <w:bidi w:val="0"/>
        <w:spacing w:line="360" w:lineRule="auto"/>
        <w:ind w:left="106" w:right="149" w:firstLine="384"/>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5.2评标委员会成员对需要共同认定的事项存在争议的，应当按照少数服从多数的原则作出结论。持不同意见的评标委员会成员应当在评标报告上签署不同意见及理由，否则视为同意评标报告。</w:t>
      </w:r>
    </w:p>
    <w:bookmarkEnd w:id="170"/>
    <w:p w14:paraId="0D9F4139">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6.中标价的确定</w:t>
      </w:r>
    </w:p>
    <w:p w14:paraId="794E3FC6">
      <w:pPr>
        <w:pStyle w:val="2"/>
        <w:keepNext w:val="0"/>
        <w:keepLines w:val="0"/>
        <w:pageBreakBefore w:val="0"/>
        <w:kinsoku/>
        <w:overflowPunct/>
        <w:topLinePunct w:val="0"/>
        <w:autoSpaceDE/>
        <w:autoSpaceDN/>
        <w:bidi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除了按第四章第一点第</w:t>
      </w:r>
      <w:r>
        <w:rPr>
          <w:rFonts w:hint="eastAsia" w:ascii="宋体" w:hAnsi="宋体" w:eastAsia="宋体" w:cs="宋体"/>
          <w:color w:val="auto"/>
          <w:w w:val="110"/>
          <w:szCs w:val="21"/>
          <w:highlight w:val="none"/>
          <w:lang w:eastAsia="zh-CN"/>
        </w:rPr>
        <w:t>8</w:t>
      </w:r>
      <w:r>
        <w:rPr>
          <w:rFonts w:hint="eastAsia" w:ascii="宋体" w:hAnsi="宋体" w:eastAsia="宋体" w:cs="宋体"/>
          <w:color w:val="auto"/>
          <w:szCs w:val="21"/>
          <w:highlight w:val="none"/>
          <w:lang w:eastAsia="zh-CN"/>
        </w:rPr>
        <w:t>条修正并经投标人确认的投标报价作为中标价外，中标价以开标时公开唱标价为准。</w:t>
      </w:r>
    </w:p>
    <w:p w14:paraId="66080020">
      <w:pPr>
        <w:pStyle w:val="27"/>
        <w:keepNext w:val="0"/>
        <w:keepLines w:val="0"/>
        <w:pageBreakBefore w:val="0"/>
        <w:kinsoku/>
        <w:overflowPunct/>
        <w:topLinePunct w:val="0"/>
        <w:autoSpaceDE/>
        <w:autoSpaceDN/>
        <w:bidi w:val="0"/>
        <w:spacing w:line="360" w:lineRule="auto"/>
        <w:ind w:firstLine="0" w:firstLineChars="0"/>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7.其他无效投标的情形</w:t>
      </w:r>
    </w:p>
    <w:p w14:paraId="6F172286">
      <w:pPr>
        <w:pStyle w:val="2"/>
        <w:keepNext w:val="0"/>
        <w:keepLines w:val="0"/>
        <w:pageBreakBefore w:val="0"/>
        <w:kinsoku/>
        <w:overflowPunct/>
        <w:topLinePunct w:val="0"/>
        <w:autoSpaceDE/>
        <w:autoSpaceDN/>
        <w:bidi w:val="0"/>
        <w:spacing w:line="360" w:lineRule="auto"/>
        <w:ind w:right="-35" w:firstLine="408" w:firstLineChars="200"/>
        <w:rPr>
          <w:rFonts w:hint="eastAsia" w:ascii="宋体" w:hAnsi="宋体" w:eastAsia="宋体" w:cs="宋体"/>
          <w:color w:val="auto"/>
          <w:szCs w:val="21"/>
          <w:highlight w:val="none"/>
          <w:lang w:eastAsia="zh-CN"/>
        </w:rPr>
      </w:pPr>
      <w:r>
        <w:rPr>
          <w:rFonts w:hint="eastAsia" w:ascii="宋体" w:hAnsi="宋体" w:eastAsia="宋体" w:cs="宋体"/>
          <w:color w:val="auto"/>
          <w:spacing w:val="-3"/>
          <w:szCs w:val="21"/>
          <w:highlight w:val="none"/>
          <w:lang w:eastAsia="zh-CN"/>
        </w:rPr>
        <w:t>7.1</w:t>
      </w:r>
      <w:r>
        <w:rPr>
          <w:rFonts w:hint="eastAsia" w:ascii="宋体" w:hAnsi="宋体" w:eastAsia="宋体" w:cs="宋体"/>
          <w:color w:val="auto"/>
          <w:spacing w:val="-2"/>
          <w:szCs w:val="21"/>
          <w:highlight w:val="none"/>
          <w:lang w:eastAsia="zh-CN"/>
        </w:rPr>
        <w:t>评标期间，投标人没有按评标委员会的要求提交法定代表人或其委托代理人签字的澄清、说明、补正或改变了投标文件的实质性内容的。</w:t>
      </w:r>
    </w:p>
    <w:p w14:paraId="4D497AAF">
      <w:pPr>
        <w:pStyle w:val="2"/>
        <w:keepNext w:val="0"/>
        <w:keepLines w:val="0"/>
        <w:pageBreakBefore w:val="0"/>
        <w:kinsoku/>
        <w:overflowPunct/>
        <w:topLinePunct w:val="0"/>
        <w:autoSpaceDE/>
        <w:autoSpaceDN/>
        <w:bidi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7.2投标文件提供虚假材料的。</w:t>
      </w:r>
    </w:p>
    <w:p w14:paraId="4F502D99">
      <w:pPr>
        <w:pStyle w:val="2"/>
        <w:keepNext w:val="0"/>
        <w:keepLines w:val="0"/>
        <w:pageBreakBefore w:val="0"/>
        <w:kinsoku/>
        <w:overflowPunct/>
        <w:topLinePunct w:val="0"/>
        <w:autoSpaceDE/>
        <w:autoSpaceDN/>
        <w:bidi w:val="0"/>
        <w:spacing w:line="360" w:lineRule="auto"/>
        <w:ind w:right="-31" w:rightChars="-15"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7.3投标人以他人名义投标、串通投标、以行贿手段谋取中标或者以其他弄虚作假方式投标的。</w:t>
      </w:r>
    </w:p>
    <w:p w14:paraId="4AAD330D">
      <w:pPr>
        <w:pStyle w:val="2"/>
        <w:keepNext w:val="0"/>
        <w:keepLines w:val="0"/>
        <w:pageBreakBefore w:val="0"/>
        <w:kinsoku/>
        <w:overflowPunct/>
        <w:topLinePunct w:val="0"/>
        <w:autoSpaceDE/>
        <w:autoSpaceDN/>
        <w:bidi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7.4投标人对采购人、采购代理机构、评标委员会及其工作人员施加影响，有碍招标公平、公正的。</w:t>
      </w:r>
    </w:p>
    <w:p w14:paraId="120375E9">
      <w:pPr>
        <w:pStyle w:val="2"/>
        <w:keepNext w:val="0"/>
        <w:keepLines w:val="0"/>
        <w:pageBreakBefore w:val="0"/>
        <w:kinsoku/>
        <w:overflowPunct/>
        <w:topLinePunct w:val="0"/>
        <w:autoSpaceDE/>
        <w:autoSpaceDN/>
        <w:bidi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7.5投标文件含有采购人不能接受的附加条件的。</w:t>
      </w:r>
    </w:p>
    <w:p w14:paraId="491FC5EE">
      <w:pPr>
        <w:pStyle w:val="2"/>
        <w:keepNext w:val="0"/>
        <w:keepLines w:val="0"/>
        <w:pageBreakBefore w:val="0"/>
        <w:kinsoku/>
        <w:overflowPunct/>
        <w:topLinePunct w:val="0"/>
        <w:autoSpaceDE/>
        <w:autoSpaceDN/>
        <w:bidi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7.6法律、法规和招标文件规定的其他无效情形。</w:t>
      </w:r>
    </w:p>
    <w:p w14:paraId="65A6A25A">
      <w:pPr>
        <w:keepNext w:val="0"/>
        <w:keepLines w:val="0"/>
        <w:pageBreakBefore w:val="0"/>
        <w:widowControl/>
        <w:kinsoku/>
        <w:overflowPunct/>
        <w:topLinePunct w:val="0"/>
        <w:autoSpaceDE/>
        <w:autoSpaceDN/>
        <w:bidi w:val="0"/>
        <w:spacing w:line="360" w:lineRule="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br w:type="page"/>
      </w:r>
    </w:p>
    <w:p w14:paraId="1B5148FC">
      <w:pPr>
        <w:keepNext w:val="0"/>
        <w:keepLines w:val="0"/>
        <w:pageBreakBefore w:val="0"/>
        <w:kinsoku/>
        <w:overflowPunct/>
        <w:topLinePunct w:val="0"/>
        <w:autoSpaceDE/>
        <w:autoSpaceDN/>
        <w:bidi w:val="0"/>
        <w:spacing w:line="360" w:lineRule="auto"/>
        <w:jc w:val="center"/>
        <w:outlineLvl w:val="0"/>
        <w:rPr>
          <w:rFonts w:hint="eastAsia" w:ascii="宋体" w:hAnsi="宋体" w:eastAsia="宋体" w:cs="宋体"/>
          <w:b/>
          <w:bCs/>
          <w:color w:val="auto"/>
          <w:sz w:val="24"/>
          <w:szCs w:val="24"/>
          <w:highlight w:val="none"/>
          <w:lang w:eastAsia="zh-CN"/>
        </w:rPr>
      </w:pPr>
      <w:bookmarkStart w:id="171" w:name="_Toc31120"/>
      <w:bookmarkStart w:id="172" w:name="_Toc103461392"/>
      <w:bookmarkStart w:id="173" w:name="_Toc104131905"/>
      <w:bookmarkStart w:id="174" w:name="_Toc103462381"/>
      <w:bookmarkStart w:id="175" w:name="_Toc103461621"/>
      <w:bookmarkStart w:id="176" w:name="_Toc103462407"/>
      <w:r>
        <w:rPr>
          <w:rFonts w:hint="eastAsia" w:ascii="宋体" w:hAnsi="宋体" w:eastAsia="宋体" w:cs="宋体"/>
          <w:b/>
          <w:bCs/>
          <w:color w:val="auto"/>
          <w:sz w:val="24"/>
          <w:szCs w:val="24"/>
          <w:highlight w:val="none"/>
          <w:lang w:eastAsia="zh-CN"/>
        </w:rPr>
        <w:t>第五章 合同文本</w:t>
      </w:r>
      <w:bookmarkEnd w:id="171"/>
      <w:bookmarkEnd w:id="172"/>
      <w:bookmarkEnd w:id="173"/>
      <w:bookmarkEnd w:id="174"/>
      <w:bookmarkEnd w:id="175"/>
      <w:bookmarkEnd w:id="176"/>
    </w:p>
    <w:p w14:paraId="3103BAB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sz w:val="44"/>
          <w:szCs w:val="44"/>
          <w:highlight w:val="none"/>
        </w:rPr>
      </w:pPr>
      <w:bookmarkStart w:id="177" w:name="_Hlk172367023"/>
    </w:p>
    <w:p w14:paraId="4F9A164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b w:val="0"/>
          <w:bCs/>
          <w:color w:val="auto"/>
          <w:sz w:val="44"/>
          <w:szCs w:val="44"/>
          <w:highlight w:val="none"/>
        </w:rPr>
      </w:pPr>
    </w:p>
    <w:p w14:paraId="258335E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sz w:val="44"/>
          <w:szCs w:val="44"/>
          <w:highlight w:val="none"/>
        </w:rPr>
      </w:pPr>
    </w:p>
    <w:p w14:paraId="6F4FDB4D">
      <w:pPr>
        <w:pStyle w:val="22"/>
        <w:keepNext w:val="0"/>
        <w:keepLines w:val="0"/>
        <w:pageBreakBefore w:val="0"/>
        <w:kinsoku/>
        <w:overflowPunct/>
        <w:topLinePunct w:val="0"/>
        <w:bidi w:val="0"/>
        <w:spacing w:line="360" w:lineRule="auto"/>
        <w:rPr>
          <w:rFonts w:hint="eastAsia" w:ascii="仿宋" w:hAnsi="仿宋" w:eastAsia="仿宋" w:cs="仿宋"/>
          <w:color w:val="auto"/>
          <w:highlight w:val="none"/>
        </w:rPr>
      </w:pPr>
    </w:p>
    <w:p w14:paraId="2DBB1C47">
      <w:pPr>
        <w:keepNext w:val="0"/>
        <w:keepLines w:val="0"/>
        <w:pageBreakBefore w:val="0"/>
        <w:kinsoku/>
        <w:overflowPunct/>
        <w:topLinePunct w:val="0"/>
        <w:bidi w:val="0"/>
        <w:spacing w:line="360" w:lineRule="auto"/>
        <w:rPr>
          <w:rFonts w:hint="eastAsia" w:ascii="仿宋" w:hAnsi="仿宋" w:eastAsia="仿宋" w:cs="仿宋"/>
          <w:color w:val="auto"/>
          <w:highlight w:val="none"/>
        </w:rPr>
      </w:pPr>
    </w:p>
    <w:p w14:paraId="07E99DA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sz w:val="44"/>
          <w:szCs w:val="44"/>
          <w:highlight w:val="none"/>
        </w:rPr>
      </w:pPr>
    </w:p>
    <w:p w14:paraId="32D25AD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sz w:val="44"/>
          <w:szCs w:val="44"/>
          <w:highlight w:val="none"/>
          <w:lang w:val="en-US" w:eastAsia="zh-CN"/>
        </w:rPr>
      </w:pPr>
      <w:r>
        <w:rPr>
          <w:rFonts w:hint="eastAsia" w:ascii="仿宋" w:hAnsi="仿宋" w:eastAsia="仿宋" w:cs="仿宋"/>
          <w:b w:val="0"/>
          <w:bCs/>
          <w:color w:val="auto"/>
          <w:sz w:val="44"/>
          <w:szCs w:val="44"/>
          <w:highlight w:val="none"/>
          <w:lang w:val="en-US" w:eastAsia="zh-CN"/>
        </w:rPr>
        <w:t>中华人民共和国万山出入境边防检查站</w:t>
      </w:r>
    </w:p>
    <w:p w14:paraId="69DE501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sz w:val="44"/>
          <w:szCs w:val="44"/>
          <w:highlight w:val="none"/>
          <w:lang w:eastAsia="zh-CN"/>
        </w:rPr>
      </w:pPr>
      <w:r>
        <w:rPr>
          <w:rFonts w:hint="eastAsia" w:ascii="仿宋" w:hAnsi="仿宋" w:eastAsia="仿宋" w:cs="仿宋"/>
          <w:b w:val="0"/>
          <w:bCs/>
          <w:color w:val="auto"/>
          <w:sz w:val="44"/>
          <w:szCs w:val="44"/>
          <w:highlight w:val="none"/>
          <w:lang w:val="en-US" w:eastAsia="zh-CN"/>
        </w:rPr>
        <w:t>2026年船艇中修项目</w:t>
      </w:r>
      <w:r>
        <w:rPr>
          <w:rFonts w:hint="eastAsia" w:ascii="仿宋" w:hAnsi="仿宋" w:eastAsia="仿宋" w:cs="仿宋"/>
          <w:b w:val="0"/>
          <w:bCs/>
          <w:color w:val="auto"/>
          <w:sz w:val="44"/>
          <w:szCs w:val="44"/>
          <w:highlight w:val="none"/>
          <w:lang w:eastAsia="zh-CN"/>
        </w:rPr>
        <w:t>合同</w:t>
      </w:r>
    </w:p>
    <w:p w14:paraId="6869EAD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sz w:val="44"/>
          <w:szCs w:val="44"/>
          <w:highlight w:val="none"/>
          <w:lang w:eastAsia="zh-CN"/>
        </w:rPr>
      </w:pPr>
    </w:p>
    <w:p w14:paraId="5E03CA2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2"/>
          <w:sz w:val="28"/>
          <w:szCs w:val="28"/>
          <w:highlight w:val="none"/>
          <w:u w:val="single"/>
        </w:rPr>
      </w:pPr>
    </w:p>
    <w:p w14:paraId="74F3D27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2"/>
          <w:sz w:val="28"/>
          <w:szCs w:val="28"/>
          <w:highlight w:val="none"/>
        </w:rPr>
      </w:pPr>
    </w:p>
    <w:p w14:paraId="55D88EA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auto"/>
          <w:kern w:val="2"/>
          <w:sz w:val="28"/>
          <w:szCs w:val="28"/>
          <w:highlight w:val="none"/>
        </w:rPr>
      </w:pPr>
    </w:p>
    <w:p w14:paraId="685ADDF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auto"/>
          <w:kern w:val="2"/>
          <w:sz w:val="28"/>
          <w:szCs w:val="28"/>
          <w:highlight w:val="none"/>
        </w:rPr>
      </w:pPr>
    </w:p>
    <w:p w14:paraId="013EC00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仿宋" w:hAnsi="仿宋" w:eastAsia="仿宋" w:cs="仿宋"/>
          <w:color w:val="auto"/>
          <w:kern w:val="2"/>
          <w:sz w:val="28"/>
          <w:szCs w:val="28"/>
          <w:highlight w:val="none"/>
        </w:rPr>
      </w:pPr>
    </w:p>
    <w:p w14:paraId="034F9D7D">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仿宋" w:hAnsi="仿宋" w:eastAsia="仿宋" w:cs="仿宋"/>
          <w:color w:val="auto"/>
          <w:kern w:val="2"/>
          <w:sz w:val="28"/>
          <w:szCs w:val="28"/>
          <w:highlight w:val="none"/>
        </w:rPr>
      </w:pPr>
    </w:p>
    <w:p w14:paraId="15FEAEE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仿宋" w:hAnsi="仿宋" w:eastAsia="仿宋" w:cs="仿宋"/>
          <w:color w:val="auto"/>
          <w:kern w:val="2"/>
          <w:sz w:val="28"/>
          <w:szCs w:val="28"/>
          <w:highlight w:val="none"/>
          <w:lang w:val="en-US" w:eastAsia="zh-Hans"/>
        </w:rPr>
      </w:pPr>
    </w:p>
    <w:p w14:paraId="646C0093">
      <w:pPr>
        <w:keepNext w:val="0"/>
        <w:keepLines w:val="0"/>
        <w:pageBreakBefore w:val="0"/>
        <w:widowControl w:val="0"/>
        <w:kinsoku/>
        <w:wordWrap/>
        <w:overflowPunct/>
        <w:topLinePunct w:val="0"/>
        <w:autoSpaceDE/>
        <w:autoSpaceDN/>
        <w:bidi w:val="0"/>
        <w:adjustRightInd/>
        <w:snapToGrid/>
        <w:spacing w:line="360" w:lineRule="auto"/>
        <w:ind w:left="840" w:leftChars="400" w:firstLine="560" w:firstLineChars="200"/>
        <w:textAlignment w:val="auto"/>
        <w:outlineLvl w:val="9"/>
        <w:rPr>
          <w:rFonts w:hint="eastAsia" w:ascii="仿宋" w:hAnsi="仿宋" w:eastAsia="仿宋" w:cs="仿宋"/>
          <w:color w:val="auto"/>
          <w:kern w:val="2"/>
          <w:sz w:val="28"/>
          <w:szCs w:val="28"/>
          <w:highlight w:val="none"/>
          <w:lang w:val="en-US" w:eastAsia="zh-Hans"/>
        </w:rPr>
      </w:pPr>
      <w:r>
        <w:rPr>
          <w:rFonts w:hint="eastAsia" w:ascii="仿宋" w:hAnsi="仿宋" w:eastAsia="仿宋" w:cs="仿宋"/>
          <w:color w:val="auto"/>
          <w:kern w:val="2"/>
          <w:sz w:val="28"/>
          <w:szCs w:val="28"/>
          <w:highlight w:val="none"/>
          <w:lang w:val="en-US" w:eastAsia="zh-Hans"/>
        </w:rPr>
        <w:t>项目名称：</w:t>
      </w:r>
      <w:r>
        <w:rPr>
          <w:rFonts w:hint="eastAsia" w:ascii="仿宋" w:hAnsi="仿宋" w:eastAsia="仿宋" w:cs="仿宋"/>
          <w:color w:val="auto"/>
          <w:kern w:val="2"/>
          <w:sz w:val="28"/>
          <w:szCs w:val="28"/>
          <w:highlight w:val="none"/>
          <w:lang w:val="en-US" w:eastAsia="zh-CN"/>
        </w:rPr>
        <w:t>中华人民共和国万山出入境边防检查站2026年船艇中修项目</w:t>
      </w:r>
    </w:p>
    <w:p w14:paraId="71FB2AFF">
      <w:pPr>
        <w:keepNext w:val="0"/>
        <w:keepLines w:val="0"/>
        <w:pageBreakBefore w:val="0"/>
        <w:widowControl w:val="0"/>
        <w:kinsoku/>
        <w:wordWrap/>
        <w:overflowPunct/>
        <w:topLinePunct w:val="0"/>
        <w:autoSpaceDE/>
        <w:autoSpaceDN/>
        <w:bidi w:val="0"/>
        <w:adjustRightInd/>
        <w:snapToGrid/>
        <w:spacing w:line="360" w:lineRule="auto"/>
        <w:ind w:left="840" w:leftChars="400" w:firstLine="560" w:firstLineChars="200"/>
        <w:textAlignment w:val="auto"/>
        <w:outlineLvl w:val="9"/>
        <w:rPr>
          <w:rFonts w:hint="eastAsia" w:ascii="仿宋" w:hAnsi="仿宋" w:eastAsia="仿宋" w:cs="仿宋"/>
          <w:color w:val="auto"/>
          <w:kern w:val="2"/>
          <w:sz w:val="28"/>
          <w:szCs w:val="28"/>
          <w:highlight w:val="none"/>
          <w:lang w:val="en-US" w:eastAsia="zh-CN"/>
        </w:rPr>
      </w:pPr>
      <w:r>
        <w:rPr>
          <w:rFonts w:hint="eastAsia" w:ascii="仿宋" w:hAnsi="仿宋" w:eastAsia="仿宋" w:cs="仿宋"/>
          <w:color w:val="auto"/>
          <w:kern w:val="2"/>
          <w:sz w:val="28"/>
          <w:szCs w:val="28"/>
          <w:highlight w:val="none"/>
          <w:lang w:val="en-US" w:eastAsia="zh-Hans"/>
        </w:rPr>
        <w:t>合同编号：</w:t>
      </w:r>
    </w:p>
    <w:p w14:paraId="34949833">
      <w:pPr>
        <w:keepNext w:val="0"/>
        <w:keepLines w:val="0"/>
        <w:pageBreakBefore w:val="0"/>
        <w:widowControl w:val="0"/>
        <w:kinsoku/>
        <w:wordWrap/>
        <w:overflowPunct/>
        <w:topLinePunct w:val="0"/>
        <w:autoSpaceDE/>
        <w:autoSpaceDN/>
        <w:bidi w:val="0"/>
        <w:adjustRightInd/>
        <w:snapToGrid/>
        <w:spacing w:line="360" w:lineRule="auto"/>
        <w:ind w:left="840" w:leftChars="400" w:firstLine="560" w:firstLineChars="200"/>
        <w:textAlignment w:val="auto"/>
        <w:outlineLvl w:val="9"/>
        <w:rPr>
          <w:rFonts w:hint="eastAsia" w:ascii="仿宋" w:hAnsi="仿宋" w:eastAsia="仿宋" w:cs="仿宋"/>
          <w:color w:val="auto"/>
          <w:kern w:val="2"/>
          <w:sz w:val="28"/>
          <w:szCs w:val="28"/>
          <w:highlight w:val="none"/>
          <w:lang w:val="en-US" w:eastAsia="zh-CN"/>
        </w:rPr>
      </w:pPr>
      <w:r>
        <w:rPr>
          <w:rFonts w:hint="eastAsia" w:ascii="仿宋" w:hAnsi="仿宋" w:eastAsia="仿宋" w:cs="仿宋"/>
          <w:color w:val="auto"/>
          <w:kern w:val="2"/>
          <w:sz w:val="28"/>
          <w:szCs w:val="28"/>
          <w:highlight w:val="none"/>
          <w:lang w:val="en-US" w:eastAsia="zh-Hans"/>
        </w:rPr>
        <w:t>签订日期：</w:t>
      </w:r>
      <w:r>
        <w:rPr>
          <w:rFonts w:hint="eastAsia" w:ascii="仿宋" w:hAnsi="仿宋" w:eastAsia="仿宋" w:cs="仿宋"/>
          <w:color w:val="auto"/>
          <w:kern w:val="2"/>
          <w:sz w:val="28"/>
          <w:szCs w:val="28"/>
          <w:highlight w:val="none"/>
          <w:lang w:val="en-US" w:eastAsia="zh-CN"/>
        </w:rPr>
        <w:t>2026年    月    日</w:t>
      </w:r>
    </w:p>
    <w:p w14:paraId="0903066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仿宋" w:hAnsi="仿宋" w:eastAsia="仿宋" w:cs="仿宋"/>
          <w:color w:val="auto"/>
          <w:kern w:val="2"/>
          <w:sz w:val="28"/>
          <w:szCs w:val="28"/>
          <w:highlight w:val="none"/>
          <w:lang w:val="en-US" w:eastAsia="zh-CN"/>
        </w:rPr>
        <w:sectPr>
          <w:pgSz w:w="11906" w:h="16838"/>
          <w:pgMar w:top="1134" w:right="1134" w:bottom="1134" w:left="1134" w:header="426" w:footer="751" w:gutter="0"/>
          <w:pgNumType w:fmt="decimal"/>
          <w:cols w:space="720" w:num="1"/>
          <w:rtlGutter w:val="0"/>
          <w:docGrid w:type="lines" w:linePitch="312" w:charSpace="0"/>
        </w:sectPr>
      </w:pPr>
    </w:p>
    <w:p w14:paraId="163B612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仿宋" w:hAnsi="仿宋" w:eastAsia="仿宋" w:cs="仿宋"/>
          <w:b/>
          <w:bCs/>
          <w:color w:val="auto"/>
          <w:kern w:val="2"/>
          <w:sz w:val="24"/>
          <w:szCs w:val="24"/>
          <w:highlight w:val="none"/>
          <w:lang w:val="en-US" w:eastAsia="zh-CN"/>
        </w:rPr>
      </w:pPr>
      <w:r>
        <w:rPr>
          <w:rFonts w:hint="eastAsia" w:ascii="仿宋" w:hAnsi="仿宋" w:eastAsia="仿宋" w:cs="仿宋"/>
          <w:b/>
          <w:bCs/>
          <w:color w:val="auto"/>
          <w:kern w:val="2"/>
          <w:sz w:val="24"/>
          <w:szCs w:val="24"/>
          <w:highlight w:val="none"/>
        </w:rPr>
        <w:t>甲方（</w:t>
      </w:r>
      <w:r>
        <w:rPr>
          <w:rFonts w:hint="eastAsia" w:ascii="仿宋" w:hAnsi="仿宋" w:eastAsia="仿宋" w:cs="仿宋"/>
          <w:b/>
          <w:bCs/>
          <w:color w:val="auto"/>
          <w:kern w:val="2"/>
          <w:sz w:val="24"/>
          <w:szCs w:val="24"/>
          <w:highlight w:val="none"/>
          <w:lang w:val="en-US" w:eastAsia="zh-CN"/>
        </w:rPr>
        <w:t>甲方</w:t>
      </w:r>
      <w:r>
        <w:rPr>
          <w:rFonts w:hint="eastAsia" w:ascii="仿宋" w:hAnsi="仿宋" w:eastAsia="仿宋" w:cs="仿宋"/>
          <w:b/>
          <w:bCs/>
          <w:color w:val="auto"/>
          <w:kern w:val="2"/>
          <w:sz w:val="24"/>
          <w:szCs w:val="24"/>
          <w:highlight w:val="none"/>
        </w:rPr>
        <w:t>）：中华人民共和国</w:t>
      </w:r>
      <w:r>
        <w:rPr>
          <w:rFonts w:hint="eastAsia" w:ascii="仿宋" w:hAnsi="仿宋" w:eastAsia="仿宋" w:cs="仿宋"/>
          <w:b/>
          <w:bCs/>
          <w:color w:val="auto"/>
          <w:kern w:val="2"/>
          <w:sz w:val="24"/>
          <w:szCs w:val="24"/>
          <w:highlight w:val="none"/>
          <w:lang w:val="en-US" w:eastAsia="zh-CN"/>
        </w:rPr>
        <w:t>万山</w:t>
      </w:r>
      <w:r>
        <w:rPr>
          <w:rFonts w:hint="eastAsia" w:ascii="仿宋" w:hAnsi="仿宋" w:eastAsia="仿宋" w:cs="仿宋"/>
          <w:b/>
          <w:bCs/>
          <w:color w:val="auto"/>
          <w:kern w:val="2"/>
          <w:sz w:val="24"/>
          <w:szCs w:val="24"/>
          <w:highlight w:val="none"/>
        </w:rPr>
        <w:t>出入境边防检查站</w:t>
      </w:r>
    </w:p>
    <w:p w14:paraId="5DABFB9D">
      <w:pPr>
        <w:pStyle w:val="2"/>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仿宋" w:hAnsi="仿宋" w:eastAsia="仿宋" w:cs="仿宋"/>
          <w:b/>
          <w:bCs/>
          <w:color w:val="auto"/>
          <w:kern w:val="2"/>
          <w:sz w:val="24"/>
          <w:szCs w:val="24"/>
          <w:highlight w:val="none"/>
          <w:lang w:val="en-US" w:eastAsia="zh-CN"/>
        </w:rPr>
      </w:pPr>
      <w:r>
        <w:rPr>
          <w:rFonts w:hint="eastAsia" w:ascii="仿宋" w:hAnsi="仿宋" w:eastAsia="仿宋" w:cs="仿宋"/>
          <w:b/>
          <w:bCs/>
          <w:color w:val="auto"/>
          <w:kern w:val="2"/>
          <w:sz w:val="24"/>
          <w:szCs w:val="24"/>
          <w:highlight w:val="none"/>
          <w:lang w:val="en-US" w:eastAsia="zh-Hans" w:bidi="ar-SA"/>
        </w:rPr>
        <w:t>法定代表人</w:t>
      </w:r>
      <w:r>
        <w:rPr>
          <w:rFonts w:hint="eastAsia" w:ascii="仿宋" w:hAnsi="仿宋" w:eastAsia="仿宋" w:cs="仿宋"/>
          <w:b/>
          <w:bCs/>
          <w:color w:val="auto"/>
          <w:kern w:val="2"/>
          <w:sz w:val="24"/>
          <w:szCs w:val="24"/>
          <w:highlight w:val="none"/>
          <w:lang w:eastAsia="zh-Hans" w:bidi="ar-SA"/>
        </w:rPr>
        <w:t>/</w:t>
      </w:r>
      <w:r>
        <w:rPr>
          <w:rFonts w:hint="eastAsia" w:ascii="仿宋" w:hAnsi="仿宋" w:eastAsia="仿宋" w:cs="仿宋"/>
          <w:b/>
          <w:bCs/>
          <w:color w:val="auto"/>
          <w:kern w:val="2"/>
          <w:sz w:val="24"/>
          <w:szCs w:val="24"/>
          <w:highlight w:val="none"/>
          <w:lang w:val="en-US" w:eastAsia="zh-Hans"/>
        </w:rPr>
        <w:t>负责人</w:t>
      </w:r>
      <w:r>
        <w:rPr>
          <w:rFonts w:hint="eastAsia" w:ascii="仿宋" w:hAnsi="仿宋" w:eastAsia="仿宋" w:cs="仿宋"/>
          <w:b/>
          <w:bCs/>
          <w:color w:val="auto"/>
          <w:kern w:val="2"/>
          <w:sz w:val="24"/>
          <w:szCs w:val="24"/>
          <w:highlight w:val="none"/>
        </w:rPr>
        <w:t>：</w:t>
      </w:r>
      <w:r>
        <w:rPr>
          <w:rFonts w:hint="eastAsia" w:ascii="仿宋" w:hAnsi="仿宋" w:eastAsia="仿宋" w:cs="仿宋"/>
          <w:b/>
          <w:bCs/>
          <w:color w:val="auto"/>
          <w:kern w:val="2"/>
          <w:sz w:val="24"/>
          <w:szCs w:val="24"/>
          <w:highlight w:val="none"/>
          <w:lang w:val="en-US" w:eastAsia="zh-CN"/>
        </w:rPr>
        <w:t>钟剑</w:t>
      </w:r>
    </w:p>
    <w:p w14:paraId="4019B3BB">
      <w:pPr>
        <w:pStyle w:val="2"/>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仿宋" w:hAnsi="仿宋" w:eastAsia="仿宋" w:cs="仿宋"/>
          <w:b/>
          <w:bCs/>
          <w:color w:val="auto"/>
          <w:kern w:val="2"/>
          <w:sz w:val="24"/>
          <w:szCs w:val="24"/>
          <w:highlight w:val="none"/>
          <w:lang w:val="en-US" w:eastAsia="zh-CN"/>
        </w:rPr>
      </w:pPr>
      <w:r>
        <w:rPr>
          <w:rFonts w:hint="eastAsia" w:ascii="仿宋" w:hAnsi="仿宋" w:eastAsia="仿宋" w:cs="仿宋"/>
          <w:b/>
          <w:bCs/>
          <w:color w:val="auto"/>
          <w:kern w:val="2"/>
          <w:sz w:val="24"/>
          <w:szCs w:val="24"/>
          <w:highlight w:val="none"/>
          <w:lang w:val="en-US" w:eastAsia="zh-Hans"/>
        </w:rPr>
        <w:t>联系人</w:t>
      </w:r>
      <w:r>
        <w:rPr>
          <w:rFonts w:hint="eastAsia" w:ascii="仿宋" w:hAnsi="仿宋" w:eastAsia="仿宋" w:cs="仿宋"/>
          <w:b/>
          <w:bCs/>
          <w:color w:val="auto"/>
          <w:kern w:val="2"/>
          <w:sz w:val="24"/>
          <w:szCs w:val="24"/>
          <w:highlight w:val="none"/>
          <w:lang w:val="en-US" w:eastAsia="zh-CN"/>
        </w:rPr>
        <w:t>（项目管理人）</w:t>
      </w:r>
      <w:r>
        <w:rPr>
          <w:rFonts w:hint="eastAsia" w:ascii="仿宋" w:hAnsi="仿宋" w:eastAsia="仿宋" w:cs="仿宋"/>
          <w:b/>
          <w:bCs/>
          <w:color w:val="auto"/>
          <w:kern w:val="2"/>
          <w:sz w:val="24"/>
          <w:szCs w:val="24"/>
          <w:highlight w:val="none"/>
          <w:lang w:val="en-US" w:eastAsia="zh-Hans"/>
        </w:rPr>
        <w:t>：</w:t>
      </w:r>
      <w:r>
        <w:rPr>
          <w:rFonts w:hint="eastAsia" w:ascii="仿宋" w:hAnsi="仿宋" w:eastAsia="仿宋" w:cs="仿宋"/>
          <w:b/>
          <w:bCs/>
          <w:color w:val="auto"/>
          <w:kern w:val="2"/>
          <w:sz w:val="24"/>
          <w:szCs w:val="24"/>
          <w:highlight w:val="none"/>
          <w:lang w:val="en-US" w:eastAsia="zh-CN"/>
        </w:rPr>
        <w:t xml:space="preserve">陈建霖    </w:t>
      </w:r>
      <w:r>
        <w:rPr>
          <w:rFonts w:hint="eastAsia" w:ascii="仿宋" w:hAnsi="仿宋" w:eastAsia="仿宋" w:cs="仿宋"/>
          <w:b/>
          <w:bCs/>
          <w:color w:val="auto"/>
          <w:kern w:val="2"/>
          <w:sz w:val="24"/>
          <w:szCs w:val="24"/>
          <w:highlight w:val="none"/>
          <w:lang w:eastAsia="zh-Hans"/>
        </w:rPr>
        <w:t xml:space="preserve">     </w:t>
      </w:r>
      <w:r>
        <w:rPr>
          <w:rFonts w:hint="eastAsia" w:ascii="仿宋" w:hAnsi="仿宋" w:eastAsia="仿宋" w:cs="仿宋"/>
          <w:b/>
          <w:bCs/>
          <w:color w:val="auto"/>
          <w:kern w:val="2"/>
          <w:sz w:val="24"/>
          <w:szCs w:val="24"/>
          <w:highlight w:val="none"/>
          <w:lang w:val="en-US" w:eastAsia="zh-Hans"/>
        </w:rPr>
        <w:t>电话：</w:t>
      </w:r>
    </w:p>
    <w:p w14:paraId="36C83E40">
      <w:pPr>
        <w:pStyle w:val="2"/>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仿宋" w:hAnsi="仿宋" w:eastAsia="仿宋" w:cs="仿宋"/>
          <w:b/>
          <w:bCs/>
          <w:color w:val="auto"/>
          <w:kern w:val="2"/>
          <w:sz w:val="24"/>
          <w:szCs w:val="24"/>
          <w:highlight w:val="none"/>
          <w:lang w:val="en-US" w:eastAsia="zh-CN"/>
        </w:rPr>
      </w:pPr>
      <w:r>
        <w:rPr>
          <w:rFonts w:hint="eastAsia" w:ascii="仿宋" w:hAnsi="仿宋" w:eastAsia="仿宋" w:cs="仿宋"/>
          <w:b/>
          <w:bCs/>
          <w:color w:val="auto"/>
          <w:kern w:val="2"/>
          <w:sz w:val="24"/>
          <w:szCs w:val="24"/>
          <w:highlight w:val="none"/>
          <w:lang w:val="en-US" w:eastAsia="zh-Hans"/>
        </w:rPr>
        <w:t>地址：珠海市香洲区</w:t>
      </w:r>
      <w:r>
        <w:rPr>
          <w:rFonts w:hint="eastAsia" w:ascii="仿宋" w:hAnsi="仿宋" w:eastAsia="仿宋" w:cs="仿宋"/>
          <w:b/>
          <w:bCs/>
          <w:color w:val="auto"/>
          <w:kern w:val="2"/>
          <w:sz w:val="24"/>
          <w:szCs w:val="24"/>
          <w:highlight w:val="none"/>
          <w:lang w:val="en-US" w:eastAsia="zh-CN"/>
        </w:rPr>
        <w:t>桂山岛昌兴路8号中国边检</w:t>
      </w:r>
    </w:p>
    <w:p w14:paraId="554C57AD">
      <w:pPr>
        <w:pStyle w:val="2"/>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仿宋" w:hAnsi="仿宋" w:eastAsia="仿宋" w:cs="仿宋"/>
          <w:color w:val="auto"/>
          <w:sz w:val="24"/>
          <w:szCs w:val="24"/>
          <w:highlight w:val="none"/>
          <w:lang w:val="en-US" w:eastAsia="zh-Hans"/>
        </w:rPr>
      </w:pPr>
    </w:p>
    <w:p w14:paraId="6321CEC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仿宋" w:hAnsi="仿宋" w:eastAsia="仿宋" w:cs="仿宋"/>
          <w:b/>
          <w:bCs/>
          <w:color w:val="auto"/>
          <w:kern w:val="2"/>
          <w:sz w:val="24"/>
          <w:szCs w:val="24"/>
          <w:highlight w:val="none"/>
          <w:u w:val="single"/>
          <w:lang w:val="en-US" w:eastAsia="zh-CN"/>
        </w:rPr>
      </w:pPr>
      <w:r>
        <w:rPr>
          <w:rFonts w:hint="eastAsia" w:ascii="仿宋" w:hAnsi="仿宋" w:eastAsia="仿宋" w:cs="仿宋"/>
          <w:b/>
          <w:bCs/>
          <w:color w:val="auto"/>
          <w:kern w:val="2"/>
          <w:sz w:val="24"/>
          <w:szCs w:val="24"/>
          <w:highlight w:val="none"/>
        </w:rPr>
        <w:t>乙方（</w:t>
      </w:r>
      <w:r>
        <w:rPr>
          <w:rFonts w:hint="eastAsia" w:ascii="仿宋" w:hAnsi="仿宋" w:eastAsia="仿宋" w:cs="仿宋"/>
          <w:b/>
          <w:bCs/>
          <w:color w:val="auto"/>
          <w:kern w:val="2"/>
          <w:sz w:val="24"/>
          <w:szCs w:val="24"/>
          <w:highlight w:val="none"/>
          <w:lang w:val="en-US" w:eastAsia="zh-CN"/>
        </w:rPr>
        <w:t>中标人</w:t>
      </w:r>
      <w:r>
        <w:rPr>
          <w:rFonts w:hint="eastAsia" w:ascii="仿宋" w:hAnsi="仿宋" w:eastAsia="仿宋" w:cs="仿宋"/>
          <w:b/>
          <w:bCs/>
          <w:color w:val="auto"/>
          <w:kern w:val="2"/>
          <w:sz w:val="24"/>
          <w:szCs w:val="24"/>
          <w:highlight w:val="none"/>
        </w:rPr>
        <w:t>）：</w:t>
      </w:r>
    </w:p>
    <w:p w14:paraId="4701E098">
      <w:pPr>
        <w:pStyle w:val="2"/>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Hans" w:bidi="ar-SA"/>
        </w:rPr>
        <w:t>法定代表人</w:t>
      </w:r>
      <w:r>
        <w:rPr>
          <w:rFonts w:hint="eastAsia" w:ascii="仿宋" w:hAnsi="仿宋" w:eastAsia="仿宋" w:cs="仿宋"/>
          <w:b/>
          <w:bCs/>
          <w:color w:val="auto"/>
          <w:kern w:val="2"/>
          <w:sz w:val="24"/>
          <w:szCs w:val="24"/>
          <w:highlight w:val="none"/>
          <w:lang w:eastAsia="zh-Hans" w:bidi="ar-SA"/>
        </w:rPr>
        <w:t>/</w:t>
      </w:r>
      <w:r>
        <w:rPr>
          <w:rFonts w:hint="eastAsia" w:ascii="仿宋" w:hAnsi="仿宋" w:eastAsia="仿宋" w:cs="仿宋"/>
          <w:b/>
          <w:bCs/>
          <w:color w:val="auto"/>
          <w:kern w:val="2"/>
          <w:sz w:val="24"/>
          <w:szCs w:val="24"/>
          <w:highlight w:val="none"/>
          <w:lang w:val="en-US" w:eastAsia="zh-Hans"/>
        </w:rPr>
        <w:t>负责人</w:t>
      </w:r>
      <w:r>
        <w:rPr>
          <w:rFonts w:hint="eastAsia" w:ascii="仿宋" w:hAnsi="仿宋" w:eastAsia="仿宋" w:cs="仿宋"/>
          <w:b/>
          <w:bCs/>
          <w:color w:val="auto"/>
          <w:kern w:val="2"/>
          <w:sz w:val="24"/>
          <w:szCs w:val="24"/>
          <w:highlight w:val="none"/>
          <w:lang w:val="en-US" w:eastAsia="zh-Hans" w:bidi="ar-SA"/>
        </w:rPr>
        <w:t>：</w:t>
      </w:r>
    </w:p>
    <w:p w14:paraId="22317862">
      <w:pPr>
        <w:pStyle w:val="2"/>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Hans" w:bidi="ar-SA"/>
        </w:rPr>
        <w:t>联系人：</w:t>
      </w:r>
      <w:r>
        <w:rPr>
          <w:rFonts w:hint="eastAsia" w:ascii="仿宋" w:hAnsi="仿宋" w:eastAsia="仿宋" w:cs="仿宋"/>
          <w:b/>
          <w:bCs/>
          <w:color w:val="auto"/>
          <w:kern w:val="2"/>
          <w:sz w:val="24"/>
          <w:szCs w:val="24"/>
          <w:highlight w:val="none"/>
          <w:lang w:val="en-US" w:eastAsia="zh-CN" w:bidi="ar-SA"/>
        </w:rPr>
        <w:t xml:space="preserve">  </w:t>
      </w:r>
      <w:r>
        <w:rPr>
          <w:rFonts w:hint="eastAsia" w:ascii="仿宋" w:hAnsi="仿宋" w:eastAsia="仿宋" w:cs="仿宋"/>
          <w:b/>
          <w:bCs/>
          <w:color w:val="auto"/>
          <w:kern w:val="2"/>
          <w:sz w:val="24"/>
          <w:szCs w:val="24"/>
          <w:highlight w:val="none"/>
          <w:lang w:eastAsia="zh-Hans" w:bidi="ar-SA"/>
        </w:rPr>
        <w:t xml:space="preserve">            </w:t>
      </w:r>
      <w:r>
        <w:rPr>
          <w:rFonts w:hint="eastAsia" w:ascii="仿宋" w:hAnsi="仿宋" w:eastAsia="仿宋" w:cs="仿宋"/>
          <w:b/>
          <w:bCs/>
          <w:color w:val="auto"/>
          <w:kern w:val="2"/>
          <w:sz w:val="24"/>
          <w:szCs w:val="24"/>
          <w:highlight w:val="none"/>
          <w:lang w:val="en-US" w:eastAsia="zh-Hans"/>
        </w:rPr>
        <w:t>电话：</w:t>
      </w:r>
    </w:p>
    <w:p w14:paraId="43F43CF3">
      <w:pPr>
        <w:pStyle w:val="2"/>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仿宋" w:hAnsi="仿宋" w:eastAsia="仿宋" w:cs="仿宋"/>
          <w:b/>
          <w:bCs/>
          <w:color w:val="auto"/>
          <w:kern w:val="2"/>
          <w:sz w:val="24"/>
          <w:szCs w:val="24"/>
          <w:highlight w:val="none"/>
          <w:lang w:val="en-US" w:eastAsia="zh-Hans" w:bidi="ar-SA"/>
        </w:rPr>
      </w:pPr>
      <w:r>
        <w:rPr>
          <w:rFonts w:hint="eastAsia" w:ascii="仿宋" w:hAnsi="仿宋" w:eastAsia="仿宋" w:cs="仿宋"/>
          <w:b/>
          <w:bCs/>
          <w:color w:val="auto"/>
          <w:kern w:val="2"/>
          <w:sz w:val="24"/>
          <w:szCs w:val="24"/>
          <w:highlight w:val="none"/>
          <w:lang w:val="en-US" w:eastAsia="zh-Hans" w:bidi="ar-SA"/>
        </w:rPr>
        <w:t>地址：</w:t>
      </w:r>
    </w:p>
    <w:p w14:paraId="523BDBFD">
      <w:pPr>
        <w:pStyle w:val="22"/>
        <w:keepNext w:val="0"/>
        <w:keepLines w:val="0"/>
        <w:pageBreakBefore w:val="0"/>
        <w:widowControl w:val="0"/>
        <w:kinsoku/>
        <w:wordWrap/>
        <w:overflowPunct/>
        <w:topLinePunct w:val="0"/>
        <w:autoSpaceDE/>
        <w:autoSpaceDN/>
        <w:bidi w:val="0"/>
        <w:adjustRightInd/>
        <w:snapToGrid/>
        <w:spacing w:line="360" w:lineRule="auto"/>
        <w:ind w:left="0" w:leftChars="0" w:right="0" w:rightChars="0"/>
        <w:textAlignment w:val="auto"/>
        <w:outlineLvl w:val="9"/>
        <w:rPr>
          <w:rFonts w:hint="eastAsia" w:ascii="仿宋" w:hAnsi="仿宋" w:eastAsia="仿宋" w:cs="仿宋"/>
          <w:color w:val="auto"/>
          <w:highlight w:val="none"/>
          <w:lang w:val="en-US" w:eastAsia="zh-CN"/>
        </w:rPr>
      </w:pPr>
    </w:p>
    <w:p w14:paraId="1588802F">
      <w:pPr>
        <w:pStyle w:val="11"/>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经履行政府采购程序，上列甲方确定乙方为</w:t>
      </w:r>
      <w:r>
        <w:rPr>
          <w:rFonts w:hint="eastAsia" w:ascii="仿宋" w:hAnsi="仿宋" w:eastAsia="仿宋" w:cs="仿宋"/>
          <w:color w:val="auto"/>
          <w:sz w:val="21"/>
          <w:szCs w:val="21"/>
          <w:highlight w:val="none"/>
          <w:u w:val="single"/>
          <w:lang w:eastAsia="zh-CN"/>
        </w:rPr>
        <w:t xml:space="preserve"> 中华人民共和国万山出入境边防检查站2026年船艇中修项目 </w:t>
      </w:r>
      <w:r>
        <w:rPr>
          <w:rFonts w:hint="eastAsia" w:ascii="仿宋" w:hAnsi="仿宋" w:eastAsia="仿宋" w:cs="仿宋"/>
          <w:color w:val="auto"/>
          <w:sz w:val="21"/>
          <w:szCs w:val="21"/>
          <w:highlight w:val="none"/>
          <w:lang w:val="en-US" w:eastAsia="zh-CN"/>
        </w:rPr>
        <w:t>的中标人。为明确双方权利义务，现就本项目</w:t>
      </w:r>
      <w:r>
        <w:rPr>
          <w:rFonts w:hint="eastAsia" w:ascii="仿宋" w:hAnsi="仿宋" w:eastAsia="仿宋" w:cs="仿宋"/>
          <w:color w:val="auto"/>
          <w:sz w:val="21"/>
          <w:szCs w:val="21"/>
          <w:highlight w:val="none"/>
          <w:lang w:val="en-US" w:eastAsia="zh-Hans"/>
        </w:rPr>
        <w:t>乙方提供相关服务</w:t>
      </w:r>
      <w:r>
        <w:rPr>
          <w:rFonts w:hint="eastAsia" w:ascii="仿宋" w:hAnsi="仿宋" w:eastAsia="仿宋" w:cs="仿宋"/>
          <w:color w:val="auto"/>
          <w:sz w:val="21"/>
          <w:szCs w:val="21"/>
          <w:highlight w:val="none"/>
          <w:lang w:val="en-US" w:eastAsia="zh-CN"/>
        </w:rPr>
        <w:t>等事宜，特依据本项目采购文件、投标文件、成交通知书等有关约定和《中华人民共和国</w:t>
      </w:r>
      <w:r>
        <w:rPr>
          <w:rFonts w:hint="eastAsia" w:ascii="仿宋" w:hAnsi="仿宋" w:eastAsia="仿宋" w:cs="仿宋"/>
          <w:color w:val="auto"/>
          <w:sz w:val="21"/>
          <w:szCs w:val="21"/>
          <w:highlight w:val="none"/>
          <w:lang w:val="en-US" w:eastAsia="zh-Hans"/>
        </w:rPr>
        <w:t>民法典</w:t>
      </w:r>
      <w:r>
        <w:rPr>
          <w:rFonts w:hint="eastAsia" w:ascii="仿宋" w:hAnsi="仿宋" w:eastAsia="仿宋" w:cs="仿宋"/>
          <w:color w:val="auto"/>
          <w:sz w:val="21"/>
          <w:szCs w:val="21"/>
          <w:highlight w:val="none"/>
          <w:lang w:val="en-US" w:eastAsia="zh-CN"/>
        </w:rPr>
        <w:t>》《中华人民共和国政府采购法》等相关法律、法规的规定，经双方协商一致签订本合同，以资共同遵照执行。</w:t>
      </w:r>
    </w:p>
    <w:p w14:paraId="5158FE1F">
      <w:pPr>
        <w:pStyle w:val="11"/>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p>
    <w:p w14:paraId="1425347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1"/>
        <w:rPr>
          <w:rFonts w:hint="eastAsia" w:ascii="仿宋" w:hAnsi="仿宋" w:eastAsia="仿宋" w:cs="仿宋"/>
          <w:b/>
          <w:bCs/>
          <w:color w:val="auto"/>
          <w:sz w:val="21"/>
          <w:szCs w:val="21"/>
          <w:highlight w:val="none"/>
          <w:lang w:val="en-US" w:eastAsia="zh-Hans"/>
        </w:rPr>
      </w:pPr>
      <w:bookmarkStart w:id="178" w:name="_Toc14118"/>
      <w:bookmarkStart w:id="179" w:name="_Toc15119"/>
      <w:bookmarkStart w:id="180" w:name="_Toc29551"/>
      <w:bookmarkStart w:id="181" w:name="_Toc6829"/>
      <w:bookmarkStart w:id="182" w:name="_Toc1558"/>
      <w:r>
        <w:rPr>
          <w:rFonts w:hint="eastAsia" w:ascii="仿宋" w:hAnsi="仿宋" w:eastAsia="仿宋" w:cs="仿宋"/>
          <w:b/>
          <w:bCs/>
          <w:color w:val="auto"/>
          <w:sz w:val="21"/>
          <w:szCs w:val="21"/>
          <w:highlight w:val="none"/>
          <w:lang w:val="en-US" w:eastAsia="zh-Hans"/>
        </w:rPr>
        <w:t>一、服务项目概况</w:t>
      </w:r>
      <w:bookmarkEnd w:id="178"/>
      <w:bookmarkEnd w:id="179"/>
      <w:bookmarkEnd w:id="180"/>
      <w:bookmarkEnd w:id="181"/>
      <w:bookmarkEnd w:id="182"/>
    </w:p>
    <w:p w14:paraId="247E8906">
      <w:pPr>
        <w:pStyle w:val="2"/>
        <w:keepNext w:val="0"/>
        <w:keepLines w:val="0"/>
        <w:pageBreakBefore w:val="0"/>
        <w:widowControl w:val="0"/>
        <w:kinsoku/>
        <w:wordWrap/>
        <w:overflowPunct/>
        <w:topLinePunct w:val="0"/>
        <w:autoSpaceDE/>
        <w:autoSpaceDN/>
        <w:bidi w:val="0"/>
        <w:adjustRightInd/>
        <w:snapToGrid/>
        <w:spacing w:line="360" w:lineRule="auto"/>
        <w:ind w:firstLine="560"/>
        <w:textAlignment w:val="auto"/>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本项目主要为达到中修年限的中国移民管理44268、44367进行中修，对船艇进行较全面的检查检修，保证船艇结构和主要机电设备的安全运转。</w:t>
      </w:r>
    </w:p>
    <w:p w14:paraId="00651C9A">
      <w:pPr>
        <w:pStyle w:val="2"/>
        <w:keepNext w:val="0"/>
        <w:keepLines w:val="0"/>
        <w:pageBreakBefore w:val="0"/>
        <w:widowControl w:val="0"/>
        <w:kinsoku/>
        <w:wordWrap/>
        <w:overflowPunct/>
        <w:topLinePunct w:val="0"/>
        <w:autoSpaceDE/>
        <w:autoSpaceDN/>
        <w:bidi w:val="0"/>
        <w:adjustRightInd/>
        <w:snapToGrid/>
        <w:spacing w:line="360" w:lineRule="auto"/>
        <w:ind w:firstLine="560"/>
        <w:textAlignment w:val="auto"/>
        <w:outlineLvl w:val="9"/>
        <w:rPr>
          <w:rFonts w:hint="eastAsia" w:ascii="仿宋" w:hAnsi="仿宋" w:eastAsia="仿宋" w:cs="仿宋"/>
          <w:color w:val="auto"/>
          <w:kern w:val="2"/>
          <w:sz w:val="21"/>
          <w:szCs w:val="21"/>
          <w:highlight w:val="none"/>
          <w:lang w:val="en-US" w:eastAsia="zh-CN" w:bidi="ar-SA"/>
        </w:rPr>
      </w:pPr>
    </w:p>
    <w:p w14:paraId="7C279F7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1"/>
        <w:rPr>
          <w:rFonts w:hint="eastAsia" w:ascii="仿宋" w:hAnsi="仿宋" w:eastAsia="仿宋" w:cs="仿宋"/>
          <w:b/>
          <w:bCs/>
          <w:color w:val="auto"/>
          <w:sz w:val="21"/>
          <w:szCs w:val="21"/>
          <w:highlight w:val="none"/>
          <w:lang w:val="en-US" w:eastAsia="zh-CN"/>
        </w:rPr>
      </w:pPr>
      <w:bookmarkStart w:id="183" w:name="_Toc25156"/>
      <w:bookmarkStart w:id="184" w:name="_Toc23862"/>
      <w:bookmarkStart w:id="185" w:name="_Toc18216"/>
      <w:bookmarkStart w:id="186" w:name="_Toc7443"/>
      <w:bookmarkStart w:id="187" w:name="_Toc2815"/>
      <w:r>
        <w:rPr>
          <w:rFonts w:hint="eastAsia" w:ascii="仿宋" w:hAnsi="仿宋" w:eastAsia="仿宋" w:cs="仿宋"/>
          <w:b/>
          <w:bCs/>
          <w:color w:val="auto"/>
          <w:sz w:val="21"/>
          <w:szCs w:val="21"/>
          <w:highlight w:val="none"/>
          <w:lang w:val="en-US" w:eastAsia="zh-Hans"/>
        </w:rPr>
        <w:t>二、服务</w:t>
      </w:r>
      <w:bookmarkEnd w:id="183"/>
      <w:r>
        <w:rPr>
          <w:rFonts w:hint="eastAsia" w:ascii="仿宋" w:hAnsi="仿宋" w:eastAsia="仿宋" w:cs="仿宋"/>
          <w:b/>
          <w:bCs/>
          <w:color w:val="auto"/>
          <w:sz w:val="21"/>
          <w:szCs w:val="21"/>
          <w:highlight w:val="none"/>
          <w:lang w:val="en-US" w:eastAsia="zh-CN"/>
        </w:rPr>
        <w:t>标准</w:t>
      </w:r>
      <w:bookmarkEnd w:id="184"/>
      <w:bookmarkEnd w:id="185"/>
      <w:bookmarkEnd w:id="186"/>
      <w:bookmarkEnd w:id="187"/>
    </w:p>
    <w:p w14:paraId="042778F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符合中华人民共和国海事局《沿海小型船舶检验技术规则（2024）》、《内河小型船舶技术规则（2024）》、《国内航行海船法定检验技术规则（2020）》、《中国修船质量标准》（GB/T 34001-2016）现行版本及其修正或补充说明以及国内相关的船舶维修标准等现行版本及其修正或补充说明，船艇装备、器材维修标准执行各装备、器材说明书中规定的技术标准。</w:t>
      </w:r>
    </w:p>
    <w:p w14:paraId="574E236C">
      <w:pPr>
        <w:pStyle w:val="22"/>
        <w:keepNext w:val="0"/>
        <w:keepLines w:val="0"/>
        <w:pageBreakBefore w:val="0"/>
        <w:kinsoku/>
        <w:overflowPunct/>
        <w:topLinePunct w:val="0"/>
        <w:bidi w:val="0"/>
        <w:spacing w:line="360" w:lineRule="auto"/>
        <w:rPr>
          <w:rFonts w:hint="eastAsia" w:ascii="仿宋" w:hAnsi="仿宋" w:eastAsia="仿宋" w:cs="仿宋"/>
          <w:color w:val="auto"/>
          <w:sz w:val="21"/>
          <w:szCs w:val="21"/>
          <w:highlight w:val="none"/>
          <w:lang w:val="en-US" w:eastAsia="zh-CN"/>
        </w:rPr>
      </w:pPr>
    </w:p>
    <w:p w14:paraId="626032E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1"/>
        <w:rPr>
          <w:rFonts w:hint="eastAsia" w:ascii="仿宋" w:hAnsi="仿宋" w:eastAsia="仿宋" w:cs="仿宋"/>
          <w:b/>
          <w:bCs/>
          <w:color w:val="auto"/>
          <w:sz w:val="21"/>
          <w:szCs w:val="21"/>
          <w:highlight w:val="none"/>
          <w:lang w:val="en-US" w:eastAsia="zh-Hans"/>
        </w:rPr>
      </w:pPr>
      <w:bookmarkStart w:id="188" w:name="_Toc4214"/>
      <w:bookmarkStart w:id="189" w:name="_Toc9280"/>
      <w:bookmarkStart w:id="190" w:name="_Toc8600"/>
      <w:bookmarkStart w:id="191" w:name="_Toc15371"/>
      <w:bookmarkStart w:id="192" w:name="_Toc27168"/>
      <w:r>
        <w:rPr>
          <w:rFonts w:hint="eastAsia" w:ascii="仿宋" w:hAnsi="仿宋" w:eastAsia="仿宋" w:cs="仿宋"/>
          <w:b/>
          <w:bCs/>
          <w:color w:val="auto"/>
          <w:sz w:val="21"/>
          <w:szCs w:val="21"/>
          <w:highlight w:val="none"/>
          <w:lang w:val="en-US" w:eastAsia="zh-Hans"/>
        </w:rPr>
        <w:t>三、合同金额</w:t>
      </w:r>
      <w:bookmarkEnd w:id="188"/>
      <w:bookmarkEnd w:id="189"/>
      <w:bookmarkEnd w:id="190"/>
      <w:bookmarkEnd w:id="191"/>
      <w:bookmarkEnd w:id="192"/>
    </w:p>
    <w:p w14:paraId="143078A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Hans"/>
        </w:rPr>
        <w:t>（一）</w:t>
      </w:r>
      <w:r>
        <w:rPr>
          <w:rFonts w:hint="eastAsia" w:ascii="仿宋" w:hAnsi="仿宋" w:eastAsia="仿宋" w:cs="仿宋"/>
          <w:color w:val="auto"/>
          <w:sz w:val="21"/>
          <w:szCs w:val="21"/>
          <w:highlight w:val="none"/>
          <w:lang w:val="en-US" w:eastAsia="zh-CN"/>
        </w:rPr>
        <w:t>合同</w:t>
      </w:r>
      <w:r>
        <w:rPr>
          <w:rFonts w:hint="eastAsia" w:ascii="仿宋" w:hAnsi="仿宋" w:eastAsia="仿宋" w:cs="仿宋"/>
          <w:color w:val="auto"/>
          <w:sz w:val="21"/>
          <w:szCs w:val="21"/>
          <w:highlight w:val="none"/>
          <w:lang w:val="en-US" w:eastAsia="zh-Hans"/>
        </w:rPr>
        <w:t>总</w:t>
      </w:r>
      <w:r>
        <w:rPr>
          <w:rFonts w:hint="eastAsia" w:ascii="仿宋" w:hAnsi="仿宋" w:eastAsia="仿宋" w:cs="仿宋"/>
          <w:color w:val="auto"/>
          <w:sz w:val="21"/>
          <w:szCs w:val="21"/>
          <w:highlight w:val="none"/>
          <w:lang w:val="en-US" w:eastAsia="zh-CN"/>
        </w:rPr>
        <w:t>价</w:t>
      </w:r>
      <w:r>
        <w:rPr>
          <w:rFonts w:hint="eastAsia" w:ascii="仿宋" w:hAnsi="仿宋" w:eastAsia="仿宋" w:cs="仿宋"/>
          <w:color w:val="auto"/>
          <w:sz w:val="21"/>
          <w:szCs w:val="21"/>
          <w:highlight w:val="none"/>
          <w:lang w:val="en-US" w:eastAsia="zh-Hans"/>
        </w:rPr>
        <w:t>：</w:t>
      </w:r>
      <w:r>
        <w:rPr>
          <w:rFonts w:hint="eastAsia" w:ascii="仿宋" w:hAnsi="仿宋" w:eastAsia="仿宋" w:cs="仿宋"/>
          <w:color w:val="auto"/>
          <w:sz w:val="21"/>
          <w:szCs w:val="21"/>
          <w:highlight w:val="none"/>
          <w:lang w:val="en-US" w:eastAsia="zh-CN"/>
        </w:rPr>
        <w:t>（小写</w:t>
      </w:r>
      <w:r>
        <w:rPr>
          <w:rFonts w:hint="eastAsia" w:ascii="仿宋" w:hAnsi="仿宋" w:eastAsia="仿宋" w:cs="仿宋"/>
          <w:color w:val="auto"/>
          <w:sz w:val="21"/>
          <w:szCs w:val="21"/>
          <w:highlight w:val="none"/>
          <w:lang w:val="en-US" w:eastAsia="zh-Hans"/>
        </w:rPr>
        <w:t>）¥</w:t>
      </w:r>
      <w:r>
        <w:rPr>
          <w:rFonts w:hint="eastAsia" w:ascii="仿宋" w:hAnsi="仿宋" w:eastAsia="仿宋" w:cs="仿宋"/>
          <w:color w:val="auto"/>
          <w:sz w:val="21"/>
          <w:szCs w:val="21"/>
          <w:highlight w:val="none"/>
          <w:u w:val="single"/>
          <w:lang w:val="en-US" w:eastAsia="zh-CN"/>
        </w:rPr>
        <w:t xml:space="preserve">       </w:t>
      </w:r>
      <w:r>
        <w:rPr>
          <w:rFonts w:hint="eastAsia" w:ascii="仿宋" w:hAnsi="仿宋" w:eastAsia="仿宋" w:cs="仿宋"/>
          <w:color w:val="auto"/>
          <w:sz w:val="21"/>
          <w:szCs w:val="21"/>
          <w:highlight w:val="none"/>
          <w:lang w:val="en-US" w:eastAsia="zh-CN"/>
        </w:rPr>
        <w:t>元</w:t>
      </w:r>
      <w:r>
        <w:rPr>
          <w:rFonts w:hint="eastAsia" w:ascii="仿宋" w:hAnsi="仿宋" w:eastAsia="仿宋" w:cs="仿宋"/>
          <w:color w:val="auto"/>
          <w:sz w:val="21"/>
          <w:szCs w:val="21"/>
          <w:highlight w:val="none"/>
          <w:lang w:val="en-US" w:eastAsia="zh-Hans"/>
        </w:rPr>
        <w:t>，（</w:t>
      </w:r>
      <w:r>
        <w:rPr>
          <w:rFonts w:hint="eastAsia" w:ascii="仿宋" w:hAnsi="仿宋" w:eastAsia="仿宋" w:cs="仿宋"/>
          <w:color w:val="auto"/>
          <w:sz w:val="21"/>
          <w:szCs w:val="21"/>
          <w:highlight w:val="none"/>
          <w:lang w:val="en-US" w:eastAsia="zh-CN"/>
        </w:rPr>
        <w:t>大写</w:t>
      </w:r>
      <w:r>
        <w:rPr>
          <w:rFonts w:hint="eastAsia" w:ascii="仿宋" w:hAnsi="仿宋" w:eastAsia="仿宋" w:cs="仿宋"/>
          <w:color w:val="auto"/>
          <w:sz w:val="21"/>
          <w:szCs w:val="21"/>
          <w:highlight w:val="none"/>
          <w:lang w:val="en-US" w:eastAsia="zh-Hans"/>
        </w:rPr>
        <w:t>）</w:t>
      </w:r>
      <w:r>
        <w:rPr>
          <w:rFonts w:hint="eastAsia" w:ascii="仿宋" w:hAnsi="仿宋" w:eastAsia="仿宋" w:cs="仿宋"/>
          <w:color w:val="auto"/>
          <w:sz w:val="21"/>
          <w:szCs w:val="21"/>
          <w:highlight w:val="none"/>
          <w:lang w:val="en-US" w:eastAsia="zh-CN"/>
        </w:rPr>
        <w:t>人民币</w:t>
      </w:r>
      <w:r>
        <w:rPr>
          <w:rFonts w:hint="eastAsia" w:ascii="仿宋" w:hAnsi="仿宋" w:eastAsia="仿宋" w:cs="仿宋"/>
          <w:color w:val="auto"/>
          <w:sz w:val="21"/>
          <w:szCs w:val="21"/>
          <w:highlight w:val="none"/>
          <w:u w:val="single"/>
          <w:lang w:val="en-US" w:eastAsia="zh-CN"/>
        </w:rPr>
        <w:t xml:space="preserve">        </w:t>
      </w:r>
      <w:r>
        <w:rPr>
          <w:rFonts w:hint="eastAsia" w:ascii="仿宋" w:hAnsi="仿宋" w:eastAsia="仿宋" w:cs="仿宋"/>
          <w:color w:val="auto"/>
          <w:sz w:val="21"/>
          <w:szCs w:val="21"/>
          <w:highlight w:val="none"/>
          <w:lang w:val="en-US" w:eastAsia="zh-CN"/>
        </w:rPr>
        <w:t>元，其中税率</w:t>
      </w:r>
      <w:r>
        <w:rPr>
          <w:rFonts w:hint="eastAsia" w:ascii="仿宋" w:hAnsi="仿宋" w:eastAsia="仿宋" w:cs="仿宋"/>
          <w:color w:val="auto"/>
          <w:sz w:val="21"/>
          <w:szCs w:val="21"/>
          <w:highlight w:val="none"/>
          <w:u w:val="single"/>
          <w:lang w:val="en-US" w:eastAsia="zh-CN"/>
        </w:rPr>
        <w:t xml:space="preserve">      </w:t>
      </w:r>
      <w:r>
        <w:rPr>
          <w:rFonts w:hint="eastAsia" w:ascii="仿宋" w:hAnsi="仿宋" w:eastAsia="仿宋" w:cs="仿宋"/>
          <w:color w:val="auto"/>
          <w:sz w:val="21"/>
          <w:szCs w:val="21"/>
          <w:highlight w:val="none"/>
          <w:u w:val="none"/>
          <w:lang w:val="en-US" w:eastAsia="zh-CN"/>
        </w:rPr>
        <w:t>%</w:t>
      </w:r>
      <w:r>
        <w:rPr>
          <w:rFonts w:hint="eastAsia" w:ascii="仿宋" w:hAnsi="仿宋" w:eastAsia="仿宋" w:cs="仿宋"/>
          <w:color w:val="auto"/>
          <w:sz w:val="21"/>
          <w:szCs w:val="21"/>
          <w:highlight w:val="none"/>
          <w:lang w:val="en-US" w:eastAsia="zh-CN"/>
        </w:rPr>
        <w:t>。</w:t>
      </w:r>
    </w:p>
    <w:p w14:paraId="10406ED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Hans"/>
        </w:rPr>
        <w:t>（二）</w:t>
      </w:r>
      <w:r>
        <w:rPr>
          <w:rFonts w:hint="eastAsia" w:ascii="仿宋" w:hAnsi="仿宋" w:eastAsia="仿宋" w:cs="仿宋"/>
          <w:color w:val="auto"/>
          <w:sz w:val="21"/>
          <w:szCs w:val="21"/>
          <w:highlight w:val="none"/>
          <w:lang w:val="en-US" w:eastAsia="zh-CN"/>
        </w:rPr>
        <w:t>本合同采取</w:t>
      </w:r>
      <w:r>
        <w:rPr>
          <w:rFonts w:hint="eastAsia" w:ascii="仿宋" w:hAnsi="仿宋" w:eastAsia="仿宋" w:cs="仿宋"/>
          <w:color w:val="auto"/>
          <w:sz w:val="21"/>
          <w:szCs w:val="21"/>
          <w:highlight w:val="none"/>
          <w:u w:val="single"/>
          <w:lang w:val="en-US" w:eastAsia="zh-CN"/>
        </w:rPr>
        <w:t>固定总</w:t>
      </w:r>
      <w:r>
        <w:rPr>
          <w:rFonts w:hint="eastAsia" w:ascii="仿宋" w:hAnsi="仿宋" w:eastAsia="仿宋" w:cs="仿宋"/>
          <w:color w:val="auto"/>
          <w:sz w:val="21"/>
          <w:szCs w:val="21"/>
          <w:highlight w:val="none"/>
          <w:u w:val="single"/>
          <w:lang w:val="en-US" w:eastAsia="zh-Hans"/>
        </w:rPr>
        <w:t>价计算</w:t>
      </w:r>
      <w:r>
        <w:rPr>
          <w:rFonts w:hint="eastAsia" w:ascii="仿宋" w:hAnsi="仿宋" w:eastAsia="仿宋" w:cs="仿宋"/>
          <w:color w:val="auto"/>
          <w:sz w:val="21"/>
          <w:szCs w:val="21"/>
          <w:highlight w:val="none"/>
          <w:lang w:val="en-US" w:eastAsia="zh-CN"/>
        </w:rPr>
        <w:t>，</w:t>
      </w:r>
      <w:r>
        <w:rPr>
          <w:rFonts w:hint="eastAsia" w:ascii="仿宋" w:hAnsi="仿宋" w:eastAsia="仿宋" w:cs="仿宋"/>
          <w:b/>
          <w:bCs/>
          <w:color w:val="auto"/>
          <w:sz w:val="21"/>
          <w:szCs w:val="21"/>
          <w:highlight w:val="none"/>
          <w:lang w:val="en-US" w:eastAsia="zh-CN"/>
        </w:rPr>
        <w:t>包含但不限于：</w:t>
      </w:r>
      <w:r>
        <w:rPr>
          <w:rFonts w:hint="eastAsia" w:ascii="仿宋" w:hAnsi="仿宋" w:eastAsia="仿宋" w:cs="仿宋"/>
          <w:b/>
          <w:bCs/>
          <w:color w:val="auto"/>
          <w:sz w:val="21"/>
          <w:szCs w:val="21"/>
          <w:highlight w:val="none"/>
          <w:lang w:val="en-US" w:eastAsia="zh-Hans"/>
        </w:rPr>
        <w:t>人工费、乙方提供服务过程中所使用的</w:t>
      </w:r>
      <w:r>
        <w:rPr>
          <w:rFonts w:hint="eastAsia" w:ascii="仿宋" w:hAnsi="仿宋" w:eastAsia="仿宋" w:cs="仿宋"/>
          <w:b/>
          <w:bCs/>
          <w:color w:val="auto"/>
          <w:sz w:val="21"/>
          <w:szCs w:val="21"/>
          <w:highlight w:val="none"/>
          <w:lang w:val="en-US" w:eastAsia="zh-CN"/>
        </w:rPr>
        <w:t>所有设备、材料、配件、辅材的费用、专用工具购置费、商检费、包装运输费、装卸费、各类保险费、安装费、调试费、零配件费、备品备件费与专用工具费、清关费（如有）、知识产权费（如有）、</w:t>
      </w:r>
      <w:r>
        <w:rPr>
          <w:rFonts w:hint="eastAsia" w:ascii="仿宋" w:hAnsi="仿宋" w:eastAsia="仿宋" w:cs="仿宋"/>
          <w:b/>
          <w:bCs/>
          <w:color w:val="auto"/>
          <w:sz w:val="21"/>
          <w:szCs w:val="21"/>
          <w:highlight w:val="none"/>
          <w:lang w:val="en-US" w:eastAsia="zh-Hans"/>
        </w:rPr>
        <w:t>采</w:t>
      </w:r>
      <w:r>
        <w:rPr>
          <w:rFonts w:hint="eastAsia" w:ascii="仿宋" w:hAnsi="仿宋" w:eastAsia="仿宋" w:cs="仿宋"/>
          <w:b/>
          <w:bCs/>
          <w:color w:val="auto"/>
          <w:kern w:val="2"/>
          <w:sz w:val="21"/>
          <w:szCs w:val="21"/>
          <w:highlight w:val="none"/>
          <w:lang w:val="en-US" w:eastAsia="zh-CN" w:bidi="ar-SA"/>
        </w:rPr>
        <w:t>取补救</w:t>
      </w:r>
      <w:r>
        <w:rPr>
          <w:rFonts w:hint="eastAsia" w:ascii="仿宋" w:hAnsi="仿宋" w:eastAsia="仿宋" w:cs="仿宋"/>
          <w:b/>
          <w:bCs/>
          <w:color w:val="auto"/>
          <w:kern w:val="2"/>
          <w:sz w:val="21"/>
          <w:szCs w:val="21"/>
          <w:highlight w:val="none"/>
          <w:lang w:val="en-US" w:eastAsia="zh-Hans" w:bidi="ar-SA"/>
        </w:rPr>
        <w:t>和</w:t>
      </w:r>
      <w:r>
        <w:rPr>
          <w:rFonts w:hint="eastAsia" w:ascii="仿宋" w:hAnsi="仿宋" w:eastAsia="仿宋" w:cs="仿宋"/>
          <w:b/>
          <w:bCs/>
          <w:color w:val="auto"/>
          <w:kern w:val="2"/>
          <w:sz w:val="21"/>
          <w:szCs w:val="21"/>
          <w:highlight w:val="none"/>
          <w:lang w:val="en-US" w:eastAsia="zh-CN" w:bidi="ar-SA"/>
        </w:rPr>
        <w:t>整改措施</w:t>
      </w:r>
      <w:r>
        <w:rPr>
          <w:rFonts w:hint="eastAsia" w:ascii="仿宋" w:hAnsi="仿宋" w:eastAsia="仿宋" w:cs="仿宋"/>
          <w:b/>
          <w:bCs/>
          <w:color w:val="auto"/>
          <w:sz w:val="21"/>
          <w:szCs w:val="21"/>
          <w:highlight w:val="none"/>
          <w:lang w:val="en-US" w:eastAsia="zh-Hans"/>
        </w:rPr>
        <w:t>服务</w:t>
      </w:r>
      <w:r>
        <w:rPr>
          <w:rFonts w:hint="eastAsia" w:ascii="仿宋" w:hAnsi="仿宋" w:eastAsia="仿宋" w:cs="仿宋"/>
          <w:b/>
          <w:bCs/>
          <w:color w:val="auto"/>
          <w:sz w:val="21"/>
          <w:szCs w:val="21"/>
          <w:highlight w:val="none"/>
          <w:lang w:val="en-US" w:eastAsia="zh-CN"/>
        </w:rPr>
        <w:t>的差额费用、检测验收、利润、税费、全额含税发票、质量保证期内的售后维护服务费，项目安装现场总包或各现场单位的配合协调费等，包括乙方履行合同义务承担合同责任和风险的全部对价。</w:t>
      </w:r>
      <w:r>
        <w:rPr>
          <w:rFonts w:hint="eastAsia" w:ascii="仿宋" w:hAnsi="仿宋" w:eastAsia="仿宋" w:cs="仿宋"/>
          <w:color w:val="auto"/>
          <w:sz w:val="21"/>
          <w:szCs w:val="21"/>
          <w:highlight w:val="none"/>
          <w:lang w:val="en-US" w:eastAsia="zh-CN"/>
        </w:rPr>
        <w:t>乙方作为投标人在投标时漏报或缺报或不报或少报，甲方作为甲方均视为该漏报或不报或少报的费用均已包括在已报的价格中且</w:t>
      </w:r>
      <w:r>
        <w:rPr>
          <w:rFonts w:hint="eastAsia" w:ascii="仿宋" w:hAnsi="仿宋" w:eastAsia="仿宋" w:cs="仿宋"/>
          <w:b/>
          <w:bCs/>
          <w:color w:val="auto"/>
          <w:sz w:val="21"/>
          <w:szCs w:val="21"/>
          <w:highlight w:val="none"/>
          <w:lang w:val="en-US" w:eastAsia="zh-CN"/>
        </w:rPr>
        <w:t>不另行支付</w:t>
      </w:r>
      <w:r>
        <w:rPr>
          <w:rFonts w:hint="eastAsia" w:ascii="仿宋" w:hAnsi="仿宋" w:eastAsia="仿宋" w:cs="仿宋"/>
          <w:color w:val="auto"/>
          <w:sz w:val="21"/>
          <w:szCs w:val="21"/>
          <w:highlight w:val="none"/>
          <w:lang w:val="en-US" w:eastAsia="zh-CN"/>
        </w:rPr>
        <w:t>，乙方报价以及本合同价格以实现图纸要求、合同目的、采购文件的全部要求为准，常用清单仅供参考，常用清单以外项委托第三方预算审核公司进行审核后，以预算审核价为参考价格。</w:t>
      </w:r>
    </w:p>
    <w:p w14:paraId="1CCDAE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2" w:firstLineChars="200"/>
        <w:textAlignment w:val="auto"/>
        <w:outlineLvl w:val="9"/>
        <w:rPr>
          <w:rFonts w:hint="eastAsia" w:ascii="仿宋" w:hAnsi="仿宋" w:eastAsia="仿宋" w:cs="仿宋"/>
          <w:b/>
          <w:color w:val="auto"/>
          <w:kern w:val="2"/>
          <w:sz w:val="21"/>
          <w:szCs w:val="21"/>
          <w:highlight w:val="none"/>
          <w:lang w:val="en-US" w:eastAsia="zh-Hans"/>
        </w:rPr>
      </w:pPr>
    </w:p>
    <w:p w14:paraId="555897C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2" w:firstLineChars="200"/>
        <w:textAlignment w:val="auto"/>
        <w:outlineLvl w:val="1"/>
        <w:rPr>
          <w:rFonts w:hint="eastAsia" w:ascii="仿宋" w:hAnsi="仿宋" w:eastAsia="仿宋" w:cs="仿宋"/>
          <w:b/>
          <w:color w:val="auto"/>
          <w:kern w:val="2"/>
          <w:sz w:val="21"/>
          <w:szCs w:val="21"/>
          <w:highlight w:val="none"/>
        </w:rPr>
      </w:pPr>
      <w:bookmarkStart w:id="193" w:name="_Toc4115"/>
      <w:bookmarkStart w:id="194" w:name="_Toc20112"/>
      <w:bookmarkStart w:id="195" w:name="_Toc13784"/>
      <w:bookmarkStart w:id="196" w:name="_Toc17097"/>
      <w:bookmarkStart w:id="197" w:name="_Toc28180"/>
      <w:r>
        <w:rPr>
          <w:rFonts w:hint="eastAsia" w:ascii="仿宋" w:hAnsi="仿宋" w:eastAsia="仿宋" w:cs="仿宋"/>
          <w:b/>
          <w:color w:val="auto"/>
          <w:kern w:val="2"/>
          <w:sz w:val="21"/>
          <w:szCs w:val="21"/>
          <w:highlight w:val="none"/>
          <w:lang w:val="en-US" w:eastAsia="zh-Hans"/>
        </w:rPr>
        <w:t>四、</w:t>
      </w:r>
      <w:r>
        <w:rPr>
          <w:rFonts w:hint="eastAsia" w:ascii="仿宋" w:hAnsi="仿宋" w:eastAsia="仿宋" w:cs="仿宋"/>
          <w:b/>
          <w:bCs/>
          <w:color w:val="auto"/>
          <w:kern w:val="0"/>
          <w:sz w:val="21"/>
          <w:szCs w:val="21"/>
          <w:highlight w:val="none"/>
          <w:lang w:eastAsia="zh-Hans"/>
        </w:rPr>
        <w:t>履约</w:t>
      </w:r>
      <w:r>
        <w:rPr>
          <w:rFonts w:hint="eastAsia" w:ascii="仿宋" w:hAnsi="仿宋" w:eastAsia="仿宋" w:cs="仿宋"/>
          <w:b/>
          <w:color w:val="auto"/>
          <w:kern w:val="2"/>
          <w:sz w:val="21"/>
          <w:szCs w:val="21"/>
          <w:highlight w:val="none"/>
        </w:rPr>
        <w:t>保证金</w:t>
      </w:r>
      <w:bookmarkEnd w:id="193"/>
      <w:bookmarkEnd w:id="194"/>
      <w:bookmarkEnd w:id="195"/>
      <w:bookmarkEnd w:id="196"/>
      <w:bookmarkEnd w:id="197"/>
    </w:p>
    <w:p w14:paraId="682710A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仿宋" w:hAnsi="仿宋" w:eastAsia="仿宋" w:cs="仿宋"/>
          <w:bCs/>
          <w:color w:val="auto"/>
          <w:kern w:val="2"/>
          <w:sz w:val="21"/>
          <w:szCs w:val="21"/>
          <w:highlight w:val="none"/>
          <w:lang w:val="en-US" w:eastAsia="zh-CN"/>
        </w:rPr>
      </w:pPr>
      <w:r>
        <w:rPr>
          <w:rFonts w:hint="eastAsia" w:ascii="仿宋" w:hAnsi="仿宋" w:eastAsia="仿宋" w:cs="仿宋"/>
          <w:bCs/>
          <w:color w:val="auto"/>
          <w:kern w:val="2"/>
          <w:sz w:val="21"/>
          <w:szCs w:val="21"/>
          <w:highlight w:val="none"/>
          <w:lang w:eastAsia="zh-CN"/>
        </w:rPr>
        <w:t>（</w:t>
      </w:r>
      <w:r>
        <w:rPr>
          <w:rFonts w:hint="eastAsia" w:ascii="仿宋" w:hAnsi="仿宋" w:eastAsia="仿宋" w:cs="仿宋"/>
          <w:bCs/>
          <w:color w:val="auto"/>
          <w:kern w:val="2"/>
          <w:sz w:val="21"/>
          <w:szCs w:val="21"/>
          <w:highlight w:val="none"/>
          <w:lang w:val="en-US" w:eastAsia="zh-CN"/>
        </w:rPr>
        <w:t>一</w:t>
      </w:r>
      <w:r>
        <w:rPr>
          <w:rFonts w:hint="eastAsia" w:ascii="仿宋" w:hAnsi="仿宋" w:eastAsia="仿宋" w:cs="仿宋"/>
          <w:bCs/>
          <w:color w:val="auto"/>
          <w:kern w:val="2"/>
          <w:sz w:val="21"/>
          <w:szCs w:val="21"/>
          <w:highlight w:val="none"/>
          <w:lang w:eastAsia="zh-CN"/>
        </w:rPr>
        <w:t>）履约保证金金额：按中标金额的 5 %收取。</w:t>
      </w:r>
      <w:r>
        <w:rPr>
          <w:rFonts w:hint="eastAsia" w:ascii="仿宋" w:hAnsi="仿宋" w:eastAsia="仿宋" w:cs="仿宋"/>
          <w:bCs/>
          <w:color w:val="auto"/>
          <w:kern w:val="2"/>
          <w:sz w:val="21"/>
          <w:szCs w:val="21"/>
          <w:highlight w:val="none"/>
          <w:lang w:val="en-US" w:eastAsia="zh-CN"/>
        </w:rPr>
        <w:t>即：</w:t>
      </w:r>
      <w:r>
        <w:rPr>
          <w:rFonts w:hint="eastAsia" w:ascii="仿宋" w:hAnsi="仿宋" w:eastAsia="仿宋" w:cs="仿宋"/>
          <w:bCs/>
          <w:color w:val="auto"/>
          <w:kern w:val="2"/>
          <w:sz w:val="21"/>
          <w:szCs w:val="21"/>
          <w:highlight w:val="none"/>
          <w:u w:val="single"/>
          <w:lang w:val="en-US" w:eastAsia="zh-CN"/>
        </w:rPr>
        <w:t xml:space="preserve">         元</w:t>
      </w:r>
      <w:r>
        <w:rPr>
          <w:rFonts w:hint="eastAsia" w:ascii="仿宋" w:hAnsi="仿宋" w:eastAsia="仿宋" w:cs="仿宋"/>
          <w:bCs/>
          <w:color w:val="auto"/>
          <w:kern w:val="2"/>
          <w:sz w:val="21"/>
          <w:szCs w:val="21"/>
          <w:highlight w:val="none"/>
          <w:u w:val="single"/>
          <w:lang w:eastAsia="zh-CN"/>
        </w:rPr>
        <w:t xml:space="preserve"> </w:t>
      </w:r>
      <w:r>
        <w:rPr>
          <w:rFonts w:hint="eastAsia" w:ascii="仿宋" w:hAnsi="仿宋" w:eastAsia="仿宋" w:cs="仿宋"/>
          <w:bCs/>
          <w:color w:val="auto"/>
          <w:kern w:val="2"/>
          <w:sz w:val="21"/>
          <w:szCs w:val="21"/>
          <w:highlight w:val="none"/>
          <w:lang w:val="en-US" w:eastAsia="zh-CN"/>
        </w:rPr>
        <w:t>（小写</w:t>
      </w:r>
      <w:r>
        <w:rPr>
          <w:rFonts w:hint="eastAsia" w:ascii="仿宋" w:hAnsi="仿宋" w:eastAsia="仿宋" w:cs="仿宋"/>
          <w:bCs/>
          <w:color w:val="auto"/>
          <w:kern w:val="2"/>
          <w:sz w:val="21"/>
          <w:szCs w:val="21"/>
          <w:highlight w:val="none"/>
          <w:lang w:val="en-US" w:eastAsia="zh-Hans"/>
        </w:rPr>
        <w:t>：</w:t>
      </w:r>
      <w:r>
        <w:rPr>
          <w:rFonts w:hint="eastAsia" w:ascii="仿宋" w:hAnsi="仿宋" w:eastAsia="仿宋" w:cs="仿宋"/>
          <w:bCs/>
          <w:color w:val="auto"/>
          <w:kern w:val="2"/>
          <w:sz w:val="21"/>
          <w:szCs w:val="21"/>
          <w:highlight w:val="none"/>
          <w:u w:val="single"/>
          <w:lang w:val="en-US" w:eastAsia="zh-CN"/>
        </w:rPr>
        <w:t xml:space="preserve">          </w:t>
      </w:r>
      <w:r>
        <w:rPr>
          <w:rFonts w:hint="eastAsia" w:ascii="仿宋" w:hAnsi="仿宋" w:eastAsia="仿宋" w:cs="仿宋"/>
          <w:bCs/>
          <w:color w:val="auto"/>
          <w:kern w:val="2"/>
          <w:sz w:val="21"/>
          <w:szCs w:val="21"/>
          <w:highlight w:val="none"/>
          <w:u w:val="single"/>
          <w:lang w:eastAsia="zh-Hans"/>
        </w:rPr>
        <w:t xml:space="preserve"> </w:t>
      </w:r>
      <w:r>
        <w:rPr>
          <w:rFonts w:hint="eastAsia" w:ascii="仿宋" w:hAnsi="仿宋" w:eastAsia="仿宋" w:cs="仿宋"/>
          <w:bCs/>
          <w:color w:val="auto"/>
          <w:kern w:val="2"/>
          <w:sz w:val="21"/>
          <w:szCs w:val="21"/>
          <w:highlight w:val="none"/>
          <w:lang w:val="en-US" w:eastAsia="zh-CN"/>
        </w:rPr>
        <w:t>元）；</w:t>
      </w:r>
    </w:p>
    <w:p w14:paraId="14DDBB3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仿宋" w:hAnsi="仿宋" w:eastAsia="仿宋" w:cs="仿宋"/>
          <w:bCs/>
          <w:color w:val="auto"/>
          <w:kern w:val="2"/>
          <w:sz w:val="21"/>
          <w:szCs w:val="21"/>
          <w:highlight w:val="none"/>
          <w:lang w:val="en-US" w:eastAsia="zh-CN"/>
        </w:rPr>
      </w:pPr>
      <w:r>
        <w:rPr>
          <w:rFonts w:hint="eastAsia" w:ascii="仿宋" w:hAnsi="仿宋" w:eastAsia="仿宋" w:cs="仿宋"/>
          <w:bCs/>
          <w:color w:val="auto"/>
          <w:kern w:val="2"/>
          <w:sz w:val="21"/>
          <w:szCs w:val="21"/>
          <w:highlight w:val="none"/>
          <w:lang w:val="en-US" w:eastAsia="zh-CN"/>
        </w:rPr>
        <w:t>（二）履约保证金提交时间：中标公告发布后10个工作日内，乙方向甲方提供合同总金额5%的履约保证金。</w:t>
      </w:r>
    </w:p>
    <w:p w14:paraId="118AE3B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ascii="仿宋" w:hAnsi="仿宋" w:eastAsia="仿宋" w:cs="仿宋"/>
          <w:bCs/>
          <w:color w:val="auto"/>
          <w:kern w:val="2"/>
          <w:sz w:val="21"/>
          <w:szCs w:val="21"/>
          <w:highlight w:val="none"/>
          <w:lang w:val="en-US" w:eastAsia="zh-CN"/>
        </w:rPr>
      </w:pPr>
      <w:r>
        <w:rPr>
          <w:rFonts w:hint="eastAsia" w:ascii="仿宋" w:hAnsi="仿宋" w:eastAsia="仿宋" w:cs="仿宋"/>
          <w:bCs/>
          <w:color w:val="auto"/>
          <w:kern w:val="2"/>
          <w:sz w:val="21"/>
          <w:szCs w:val="21"/>
          <w:highlight w:val="none"/>
          <w:lang w:val="en-US" w:eastAsia="zh-CN"/>
        </w:rPr>
        <w:t>（三）履约保证金递交方式：对公转账、支票、汇票、本票或者金融机构、担保机构出具的保函等非现金方式。</w:t>
      </w:r>
    </w:p>
    <w:p w14:paraId="312B373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ascii="仿宋" w:hAnsi="仿宋" w:eastAsia="仿宋" w:cs="仿宋"/>
          <w:bCs/>
          <w:color w:val="auto"/>
          <w:kern w:val="2"/>
          <w:sz w:val="21"/>
          <w:szCs w:val="21"/>
          <w:highlight w:val="none"/>
          <w:lang w:val="en-US" w:eastAsia="zh-CN"/>
        </w:rPr>
      </w:pPr>
      <w:r>
        <w:rPr>
          <w:rFonts w:hint="eastAsia" w:ascii="仿宋" w:hAnsi="仿宋" w:eastAsia="仿宋" w:cs="仿宋"/>
          <w:bCs/>
          <w:color w:val="auto"/>
          <w:kern w:val="2"/>
          <w:sz w:val="21"/>
          <w:szCs w:val="21"/>
          <w:highlight w:val="none"/>
          <w:lang w:val="en-US" w:eastAsia="zh-CN"/>
        </w:rPr>
        <w:t>（四）履约保证金退还方式、时间及条件：乙方完整履行合同义务、项目验收合格、向甲方提交履约保证金退还申请后 10个工作日内，甲方无息退还履约保证金。若乙方未按合同完成全部项目，则甲方全额没收履约保证金，且乙方违约给甲方造成损失超过履约保证金的，应依法赔偿超过部分的损失；</w:t>
      </w:r>
    </w:p>
    <w:p w14:paraId="08E2E8E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ascii="仿宋" w:hAnsi="仿宋" w:eastAsia="仿宋" w:cs="仿宋"/>
          <w:bCs/>
          <w:color w:val="auto"/>
          <w:kern w:val="2"/>
          <w:sz w:val="21"/>
          <w:szCs w:val="21"/>
          <w:highlight w:val="none"/>
          <w:lang w:val="en-US" w:eastAsia="zh-CN"/>
        </w:rPr>
      </w:pPr>
      <w:r>
        <w:rPr>
          <w:rFonts w:hint="eastAsia" w:ascii="仿宋" w:hAnsi="仿宋" w:eastAsia="仿宋" w:cs="仿宋"/>
          <w:bCs/>
          <w:color w:val="auto"/>
          <w:kern w:val="2"/>
          <w:sz w:val="21"/>
          <w:szCs w:val="21"/>
          <w:highlight w:val="none"/>
          <w:lang w:val="en-US" w:eastAsia="zh-CN"/>
        </w:rPr>
        <w:t>（五）履约保证金不足额缴纳的（包含保函额度不足的），或者不按规定提交方式提交的，或者保函有效期低于合同履行期限（即合同中规定的当事人履行自己的义务，如交付标的物、价款或者报酬，履行劳务、完成工作的时间界限）的，不予签订合同。</w:t>
      </w:r>
    </w:p>
    <w:p w14:paraId="041ED7F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仿宋" w:hAnsi="仿宋" w:eastAsia="仿宋" w:cs="仿宋"/>
          <w:bCs/>
          <w:color w:val="auto"/>
          <w:kern w:val="2"/>
          <w:sz w:val="21"/>
          <w:szCs w:val="21"/>
          <w:highlight w:val="none"/>
          <w:lang w:val="en-US" w:eastAsia="zh-CN"/>
        </w:rPr>
      </w:pPr>
      <w:r>
        <w:rPr>
          <w:rFonts w:hint="eastAsia" w:ascii="仿宋" w:hAnsi="仿宋" w:eastAsia="仿宋" w:cs="仿宋"/>
          <w:bCs/>
          <w:color w:val="auto"/>
          <w:kern w:val="2"/>
          <w:sz w:val="21"/>
          <w:szCs w:val="21"/>
          <w:highlight w:val="none"/>
          <w:lang w:val="en-US" w:eastAsia="zh-CN"/>
        </w:rPr>
        <w:t>备注：</w:t>
      </w:r>
    </w:p>
    <w:p w14:paraId="42779A5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仿宋" w:hAnsi="仿宋" w:eastAsia="仿宋" w:cs="仿宋"/>
          <w:bCs/>
          <w:color w:val="auto"/>
          <w:kern w:val="2"/>
          <w:sz w:val="21"/>
          <w:szCs w:val="21"/>
          <w:highlight w:val="none"/>
          <w:lang w:val="en-US" w:eastAsia="zh-CN"/>
        </w:rPr>
      </w:pPr>
      <w:r>
        <w:rPr>
          <w:rFonts w:hint="eastAsia" w:ascii="仿宋" w:hAnsi="仿宋" w:eastAsia="仿宋" w:cs="仿宋"/>
          <w:bCs/>
          <w:color w:val="auto"/>
          <w:kern w:val="2"/>
          <w:sz w:val="21"/>
          <w:szCs w:val="21"/>
          <w:highlight w:val="none"/>
          <w:lang w:val="en-US" w:eastAsia="zh-CN"/>
        </w:rPr>
        <w:t>①甲方有权在乙方违约时，从履约保证金中没收相应的违约金。</w:t>
      </w:r>
    </w:p>
    <w:p w14:paraId="0B38E9F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仿宋" w:hAnsi="仿宋" w:eastAsia="仿宋" w:cs="仿宋"/>
          <w:bCs/>
          <w:color w:val="auto"/>
          <w:kern w:val="2"/>
          <w:sz w:val="21"/>
          <w:szCs w:val="21"/>
          <w:highlight w:val="none"/>
          <w:lang w:val="en-US" w:eastAsia="zh-CN"/>
        </w:rPr>
      </w:pPr>
      <w:r>
        <w:rPr>
          <w:rFonts w:hint="eastAsia" w:ascii="仿宋" w:hAnsi="仿宋" w:eastAsia="仿宋" w:cs="仿宋"/>
          <w:bCs/>
          <w:color w:val="auto"/>
          <w:kern w:val="2"/>
          <w:sz w:val="21"/>
          <w:szCs w:val="21"/>
          <w:highlight w:val="none"/>
          <w:lang w:val="en-US" w:eastAsia="zh-CN"/>
        </w:rPr>
        <w:t>②履约保证金不足额缴纳的（包含保函额度不足的），或者不按规定提交方式提交的，或者保函有效期低于合同履行期限（即合同中规定的当事人履行自己的义务，如交付标的物、价款或者报酬，履行劳务、完成工作的时间界限）的，不予签订合同。</w:t>
      </w:r>
    </w:p>
    <w:p w14:paraId="3C8F210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仿宋" w:hAnsi="仿宋" w:eastAsia="仿宋" w:cs="仿宋"/>
          <w:bCs/>
          <w:color w:val="auto"/>
          <w:kern w:val="2"/>
          <w:sz w:val="21"/>
          <w:szCs w:val="21"/>
          <w:highlight w:val="none"/>
          <w:u w:val="none"/>
          <w:lang w:val="en-US" w:eastAsia="zh-CN"/>
        </w:rPr>
      </w:pPr>
      <w:r>
        <w:rPr>
          <w:rFonts w:hint="eastAsia" w:ascii="仿宋" w:hAnsi="仿宋" w:eastAsia="仿宋" w:cs="仿宋"/>
          <w:bCs/>
          <w:color w:val="auto"/>
          <w:kern w:val="2"/>
          <w:sz w:val="21"/>
          <w:szCs w:val="21"/>
          <w:highlight w:val="none"/>
          <w:lang w:val="en-US" w:eastAsia="zh-CN"/>
        </w:rPr>
        <w:t>③甲方逾期退还履约保证金的，将依法承担法律责任，并赔偿乙方损失。</w:t>
      </w:r>
    </w:p>
    <w:p w14:paraId="039E74C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2" w:firstLineChars="200"/>
        <w:jc w:val="left"/>
        <w:textAlignment w:val="auto"/>
        <w:outlineLvl w:val="9"/>
        <w:rPr>
          <w:rFonts w:hint="eastAsia" w:ascii="仿宋" w:hAnsi="仿宋" w:eastAsia="仿宋" w:cs="仿宋"/>
          <w:b/>
          <w:bCs/>
          <w:color w:val="auto"/>
          <w:sz w:val="21"/>
          <w:szCs w:val="21"/>
          <w:highlight w:val="none"/>
          <w:lang w:val="en-US" w:eastAsia="zh-Hans"/>
        </w:rPr>
      </w:pPr>
    </w:p>
    <w:p w14:paraId="5C86AD7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1"/>
        <w:rPr>
          <w:rFonts w:hint="eastAsia" w:ascii="仿宋" w:hAnsi="仿宋" w:eastAsia="仿宋" w:cs="仿宋"/>
          <w:color w:val="auto"/>
          <w:sz w:val="21"/>
          <w:szCs w:val="21"/>
          <w:highlight w:val="none"/>
          <w:lang w:val="en-US" w:eastAsia="zh-CN"/>
        </w:rPr>
      </w:pPr>
      <w:bookmarkStart w:id="198" w:name="_Toc22435"/>
      <w:bookmarkStart w:id="199" w:name="_Toc8039"/>
      <w:bookmarkStart w:id="200" w:name="_Toc16194"/>
      <w:bookmarkStart w:id="201" w:name="_Toc15369"/>
      <w:bookmarkStart w:id="202" w:name="_Toc3916"/>
      <w:r>
        <w:rPr>
          <w:rFonts w:hint="eastAsia" w:ascii="仿宋" w:hAnsi="仿宋" w:eastAsia="仿宋" w:cs="仿宋"/>
          <w:b/>
          <w:bCs/>
          <w:color w:val="auto"/>
          <w:sz w:val="21"/>
          <w:szCs w:val="21"/>
          <w:highlight w:val="none"/>
          <w:lang w:val="en-US" w:eastAsia="zh-Hans"/>
        </w:rPr>
        <w:t>五、服务期</w:t>
      </w:r>
      <w:r>
        <w:rPr>
          <w:rFonts w:hint="eastAsia" w:ascii="仿宋" w:hAnsi="仿宋" w:eastAsia="仿宋" w:cs="仿宋"/>
          <w:b/>
          <w:bCs/>
          <w:color w:val="auto"/>
          <w:sz w:val="21"/>
          <w:szCs w:val="21"/>
          <w:highlight w:val="none"/>
          <w:lang w:val="en-US" w:eastAsia="zh-CN"/>
        </w:rPr>
        <w:t>间、方式和地点</w:t>
      </w:r>
      <w:bookmarkEnd w:id="198"/>
      <w:bookmarkEnd w:id="199"/>
      <w:bookmarkEnd w:id="200"/>
      <w:bookmarkEnd w:id="201"/>
      <w:bookmarkEnd w:id="202"/>
    </w:p>
    <w:p w14:paraId="751C0C7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Hans"/>
        </w:rPr>
        <w:t>（一）服务期间</w:t>
      </w:r>
      <w:r>
        <w:rPr>
          <w:rFonts w:hint="eastAsia" w:ascii="仿宋" w:hAnsi="仿宋" w:eastAsia="仿宋" w:cs="仿宋"/>
          <w:color w:val="auto"/>
          <w:sz w:val="21"/>
          <w:szCs w:val="21"/>
          <w:highlight w:val="none"/>
          <w:lang w:val="en-US" w:eastAsia="zh-CN"/>
        </w:rPr>
        <w:t>：根据甲方勤务安排并协商乙方安排船艇进厂维修，自单艘船艇交付之日起40日完成中修内容，提交厂家检验报告并通过验收。</w:t>
      </w:r>
    </w:p>
    <w:p w14:paraId="67F8C4E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Hans"/>
        </w:rPr>
        <w:t>（二）服务</w:t>
      </w:r>
      <w:r>
        <w:rPr>
          <w:rFonts w:hint="eastAsia" w:ascii="仿宋" w:hAnsi="仿宋" w:eastAsia="仿宋" w:cs="仿宋"/>
          <w:color w:val="auto"/>
          <w:sz w:val="21"/>
          <w:szCs w:val="21"/>
          <w:highlight w:val="none"/>
          <w:lang w:val="en-US" w:eastAsia="zh-CN"/>
        </w:rPr>
        <w:t xml:space="preserve">方式：根据船艇实际情况及清单进行中修保养。 </w:t>
      </w:r>
    </w:p>
    <w:p w14:paraId="2ABB0CE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Hans"/>
        </w:rPr>
        <w:t>（三）服务</w:t>
      </w:r>
      <w:r>
        <w:rPr>
          <w:rFonts w:hint="eastAsia" w:ascii="仿宋" w:hAnsi="仿宋" w:eastAsia="仿宋" w:cs="仿宋"/>
          <w:color w:val="auto"/>
          <w:sz w:val="21"/>
          <w:szCs w:val="21"/>
          <w:highlight w:val="none"/>
          <w:lang w:val="en-US" w:eastAsia="zh-CN"/>
        </w:rPr>
        <w:t>地点：</w:t>
      </w:r>
      <w:r>
        <w:rPr>
          <w:rFonts w:hint="eastAsia" w:ascii="仿宋" w:hAnsi="仿宋" w:eastAsia="仿宋" w:cs="仿宋"/>
          <w:color w:val="auto"/>
          <w:szCs w:val="21"/>
          <w:highlight w:val="none"/>
          <w:lang w:val="en-US" w:eastAsia="zh-CN"/>
        </w:rPr>
        <w:t>万山边检站桂山岛边检专用码头</w:t>
      </w:r>
      <w:r>
        <w:rPr>
          <w:rFonts w:hint="eastAsia" w:ascii="仿宋" w:hAnsi="仿宋" w:eastAsia="仿宋" w:cs="仿宋"/>
          <w:color w:val="auto"/>
          <w:sz w:val="21"/>
          <w:szCs w:val="21"/>
          <w:highlight w:val="none"/>
          <w:lang w:val="en-US" w:eastAsia="zh-CN"/>
        </w:rPr>
        <w:t>或乙方所属船艇维修建造车间。</w:t>
      </w:r>
    </w:p>
    <w:p w14:paraId="6663089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2" w:firstLineChars="200"/>
        <w:jc w:val="left"/>
        <w:textAlignment w:val="auto"/>
        <w:outlineLvl w:val="9"/>
        <w:rPr>
          <w:rFonts w:hint="eastAsia" w:ascii="仿宋" w:hAnsi="仿宋" w:eastAsia="仿宋" w:cs="仿宋"/>
          <w:b/>
          <w:bCs/>
          <w:color w:val="auto"/>
          <w:sz w:val="21"/>
          <w:szCs w:val="21"/>
          <w:highlight w:val="none"/>
          <w:lang w:val="en-US" w:eastAsia="zh-Hans"/>
        </w:rPr>
      </w:pPr>
    </w:p>
    <w:p w14:paraId="77EF11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1"/>
        <w:rPr>
          <w:rFonts w:hint="eastAsia" w:ascii="仿宋" w:hAnsi="仿宋" w:eastAsia="仿宋" w:cs="仿宋"/>
          <w:b/>
          <w:bCs/>
          <w:color w:val="auto"/>
          <w:sz w:val="21"/>
          <w:szCs w:val="21"/>
          <w:highlight w:val="none"/>
          <w:lang w:val="en-US" w:eastAsia="zh-Hans"/>
        </w:rPr>
      </w:pPr>
      <w:bookmarkStart w:id="203" w:name="_Toc16577"/>
      <w:bookmarkStart w:id="204" w:name="_Toc25732"/>
      <w:bookmarkStart w:id="205" w:name="_Toc591"/>
      <w:bookmarkStart w:id="206" w:name="_Toc2660"/>
      <w:bookmarkStart w:id="207" w:name="_Toc3521"/>
      <w:r>
        <w:rPr>
          <w:rFonts w:hint="eastAsia" w:ascii="仿宋" w:hAnsi="仿宋" w:eastAsia="仿宋" w:cs="仿宋"/>
          <w:b/>
          <w:bCs/>
          <w:color w:val="auto"/>
          <w:sz w:val="21"/>
          <w:szCs w:val="21"/>
          <w:highlight w:val="none"/>
          <w:lang w:val="en-US" w:eastAsia="zh-Hans"/>
        </w:rPr>
        <w:t>六</w:t>
      </w:r>
      <w:r>
        <w:rPr>
          <w:rFonts w:hint="eastAsia" w:ascii="仿宋" w:hAnsi="仿宋" w:eastAsia="仿宋" w:cs="仿宋"/>
          <w:b/>
          <w:bCs/>
          <w:color w:val="auto"/>
          <w:sz w:val="21"/>
          <w:szCs w:val="21"/>
          <w:highlight w:val="none"/>
          <w:lang w:val="en-US" w:eastAsia="zh-CN"/>
        </w:rPr>
        <w:t>、</w:t>
      </w:r>
      <w:r>
        <w:rPr>
          <w:rFonts w:hint="eastAsia" w:ascii="仿宋" w:hAnsi="仿宋" w:eastAsia="仿宋" w:cs="仿宋"/>
          <w:b/>
          <w:bCs/>
          <w:color w:val="auto"/>
          <w:sz w:val="21"/>
          <w:szCs w:val="21"/>
          <w:highlight w:val="none"/>
          <w:lang w:val="en-US" w:eastAsia="zh-Hans"/>
        </w:rPr>
        <w:t>服务质量保障措施</w:t>
      </w:r>
      <w:bookmarkEnd w:id="203"/>
      <w:bookmarkEnd w:id="204"/>
      <w:bookmarkEnd w:id="205"/>
      <w:bookmarkEnd w:id="206"/>
      <w:bookmarkEnd w:id="207"/>
    </w:p>
    <w:p w14:paraId="63772BB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（一）乙方提供各项服务的质量标准应依据下述条款确定</w:t>
      </w:r>
      <w:r>
        <w:rPr>
          <w:rFonts w:hint="eastAsia" w:ascii="仿宋" w:hAnsi="仿宋" w:eastAsia="仿宋" w:cs="仿宋"/>
          <w:color w:val="auto"/>
          <w:sz w:val="21"/>
          <w:szCs w:val="21"/>
          <w:highlight w:val="none"/>
          <w:lang w:val="en-US" w:eastAsia="zh-Hans"/>
        </w:rPr>
        <w:t>：</w:t>
      </w:r>
    </w:p>
    <w:p w14:paraId="00CE58A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1.国家质量控制标准；</w:t>
      </w:r>
    </w:p>
    <w:p w14:paraId="5A2A441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2.没有国家标准的，应适用行业质量标准;</w:t>
      </w:r>
    </w:p>
    <w:p w14:paraId="4E24DE5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3.没有国家或行业质量标准的应适用省级质量标准;</w:t>
      </w:r>
    </w:p>
    <w:p w14:paraId="2C8332F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4.没有国家、省级、行业质量标准的，甲乙双方应按照需求文件及采购文件的标准</w:t>
      </w:r>
      <w:r>
        <w:rPr>
          <w:rFonts w:hint="eastAsia" w:ascii="仿宋" w:hAnsi="仿宋" w:eastAsia="仿宋" w:cs="仿宋"/>
          <w:color w:val="auto"/>
          <w:sz w:val="21"/>
          <w:szCs w:val="21"/>
          <w:highlight w:val="none"/>
          <w:lang w:val="en-US" w:eastAsia="zh-Hans"/>
        </w:rPr>
        <w:t>及满足甲方需求实现合同目的原则</w:t>
      </w:r>
      <w:r>
        <w:rPr>
          <w:rFonts w:hint="eastAsia" w:ascii="仿宋" w:hAnsi="仿宋" w:eastAsia="仿宋" w:cs="仿宋"/>
          <w:color w:val="auto"/>
          <w:sz w:val="21"/>
          <w:szCs w:val="21"/>
          <w:highlight w:val="none"/>
          <w:lang w:val="en-US" w:eastAsia="zh-CN"/>
        </w:rPr>
        <w:t>确定服务质量标准。</w:t>
      </w:r>
    </w:p>
    <w:p w14:paraId="467CA7B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5.本合同另有约定的，从其约定。</w:t>
      </w:r>
    </w:p>
    <w:p w14:paraId="22BFA88A">
      <w:pPr>
        <w:pStyle w:val="2"/>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二）乙方应在向甲方提供各项服务前向甲方提供适用于相关服务的质量服务标准的相关文件，甲方在接到乙方提供的服务质量标准后应就该项标准的适用性及完备程度予以审核。该质量标准经甲乙双方协商签字确认后应作为未来本</w:t>
      </w:r>
      <w:r>
        <w:rPr>
          <w:rFonts w:hint="eastAsia" w:ascii="仿宋" w:hAnsi="仿宋" w:eastAsia="仿宋" w:cs="仿宋"/>
          <w:color w:val="auto"/>
          <w:sz w:val="21"/>
          <w:szCs w:val="21"/>
          <w:highlight w:val="none"/>
          <w:lang w:eastAsia="zh-CN"/>
        </w:rPr>
        <w:t>合同</w:t>
      </w:r>
      <w:r>
        <w:rPr>
          <w:rFonts w:hint="eastAsia" w:ascii="仿宋" w:hAnsi="仿宋" w:eastAsia="仿宋" w:cs="仿宋"/>
          <w:color w:val="auto"/>
          <w:sz w:val="21"/>
          <w:szCs w:val="21"/>
          <w:highlight w:val="none"/>
          <w:lang w:val="en-US" w:eastAsia="zh-CN"/>
        </w:rPr>
        <w:t>项下相关服务结果验收的依据。</w:t>
      </w:r>
    </w:p>
    <w:p w14:paraId="3B6F9392">
      <w:pPr>
        <w:pStyle w:val="2"/>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w:t>
      </w:r>
      <w:r>
        <w:rPr>
          <w:rFonts w:hint="eastAsia" w:ascii="仿宋" w:hAnsi="仿宋" w:eastAsia="仿宋" w:cs="仿宋"/>
          <w:color w:val="auto"/>
          <w:sz w:val="21"/>
          <w:szCs w:val="21"/>
          <w:highlight w:val="none"/>
          <w:lang w:val="en-US" w:eastAsia="zh-Hans"/>
        </w:rPr>
        <w:t>三</w:t>
      </w:r>
      <w:r>
        <w:rPr>
          <w:rFonts w:hint="eastAsia" w:ascii="仿宋" w:hAnsi="仿宋" w:eastAsia="仿宋" w:cs="仿宋"/>
          <w:color w:val="auto"/>
          <w:sz w:val="21"/>
          <w:szCs w:val="21"/>
          <w:highlight w:val="none"/>
          <w:lang w:val="en-US" w:eastAsia="zh-CN"/>
        </w:rPr>
        <w:t>）甲方有权在乙方提供服务的过程中，在不影响乙方正常运营的前提下，对乙方的服务工作及服务质量及相关质量保障措施予以检查。具体检查督促措施包括但不限于：对服务对象的回访、现场检查、样品抽查、要求乙方汇报质量跟踪和检查结果、聘请第三方专业机构对服务结果予以评估等。甲乙双方应在依据项目情况确定服务结构检查节点，在服务检查节点及服务结果最终交付日前，乙方应书面通知甲方对服务节点或最终结果验收的时间、地点、方式。甲方应及时组织相关部门，按照本</w:t>
      </w:r>
      <w:r>
        <w:rPr>
          <w:rFonts w:hint="eastAsia" w:ascii="仿宋" w:hAnsi="仿宋" w:eastAsia="仿宋" w:cs="仿宋"/>
          <w:color w:val="auto"/>
          <w:sz w:val="21"/>
          <w:szCs w:val="21"/>
          <w:highlight w:val="none"/>
          <w:lang w:eastAsia="zh-CN"/>
        </w:rPr>
        <w:t>合同</w:t>
      </w:r>
      <w:r>
        <w:rPr>
          <w:rFonts w:hint="eastAsia" w:ascii="仿宋" w:hAnsi="仿宋" w:eastAsia="仿宋" w:cs="仿宋"/>
          <w:color w:val="auto"/>
          <w:sz w:val="21"/>
          <w:szCs w:val="21"/>
          <w:highlight w:val="none"/>
          <w:lang w:val="en-US" w:eastAsia="zh-CN"/>
        </w:rPr>
        <w:t>规定的质量标准，对乙方的交付进行验收。如因甲方原因导致验收时间推迟的，乙方履行本</w:t>
      </w:r>
      <w:r>
        <w:rPr>
          <w:rFonts w:hint="eastAsia" w:ascii="仿宋" w:hAnsi="仿宋" w:eastAsia="仿宋" w:cs="仿宋"/>
          <w:color w:val="auto"/>
          <w:sz w:val="21"/>
          <w:szCs w:val="21"/>
          <w:highlight w:val="none"/>
          <w:lang w:eastAsia="zh-CN"/>
        </w:rPr>
        <w:t>合同</w:t>
      </w:r>
      <w:r>
        <w:rPr>
          <w:rFonts w:hint="eastAsia" w:ascii="仿宋" w:hAnsi="仿宋" w:eastAsia="仿宋" w:cs="仿宋"/>
          <w:color w:val="auto"/>
          <w:sz w:val="21"/>
          <w:szCs w:val="21"/>
          <w:highlight w:val="none"/>
          <w:lang w:val="en-US" w:eastAsia="zh-CN"/>
        </w:rPr>
        <w:t>义务期限应予顺延。</w:t>
      </w:r>
    </w:p>
    <w:p w14:paraId="594B2ABC">
      <w:pPr>
        <w:pStyle w:val="2"/>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w:t>
      </w:r>
      <w:r>
        <w:rPr>
          <w:rFonts w:hint="eastAsia" w:ascii="仿宋" w:hAnsi="仿宋" w:eastAsia="仿宋" w:cs="仿宋"/>
          <w:color w:val="auto"/>
          <w:sz w:val="21"/>
          <w:szCs w:val="21"/>
          <w:highlight w:val="none"/>
          <w:lang w:val="en-US" w:eastAsia="zh-Hans"/>
        </w:rPr>
        <w:t>四</w:t>
      </w:r>
      <w:r>
        <w:rPr>
          <w:rFonts w:hint="eastAsia" w:ascii="仿宋" w:hAnsi="仿宋" w:eastAsia="仿宋" w:cs="仿宋"/>
          <w:color w:val="auto"/>
          <w:sz w:val="21"/>
          <w:szCs w:val="21"/>
          <w:highlight w:val="none"/>
          <w:lang w:val="en-US" w:eastAsia="zh-CN"/>
        </w:rPr>
        <w:t>）甲方对各个服务节点检查的结果</w:t>
      </w:r>
      <w:r>
        <w:rPr>
          <w:rFonts w:hint="eastAsia" w:ascii="仿宋" w:hAnsi="仿宋" w:eastAsia="仿宋" w:cs="仿宋"/>
          <w:color w:val="auto"/>
          <w:sz w:val="21"/>
          <w:szCs w:val="21"/>
          <w:highlight w:val="none"/>
          <w:lang w:val="en-US" w:eastAsia="zh-Hans"/>
        </w:rPr>
        <w:t>如以</w:t>
      </w:r>
      <w:r>
        <w:rPr>
          <w:rFonts w:hint="eastAsia" w:ascii="仿宋" w:hAnsi="仿宋" w:eastAsia="仿宋" w:cs="仿宋"/>
          <w:color w:val="auto"/>
          <w:sz w:val="21"/>
          <w:szCs w:val="21"/>
          <w:highlight w:val="none"/>
          <w:lang w:val="en-US" w:eastAsia="zh-CN"/>
        </w:rPr>
        <w:t>书面形式通知乙方。乙方如果对甲方的检查结果有异议，应向甲方提出书面说明。甲方有权依据服务节点检查结果通知乙方停止履行本</w:t>
      </w:r>
      <w:r>
        <w:rPr>
          <w:rFonts w:hint="eastAsia" w:ascii="仿宋" w:hAnsi="仿宋" w:eastAsia="仿宋" w:cs="仿宋"/>
          <w:color w:val="auto"/>
          <w:sz w:val="21"/>
          <w:szCs w:val="21"/>
          <w:highlight w:val="none"/>
          <w:lang w:eastAsia="zh-CN"/>
        </w:rPr>
        <w:t>合同</w:t>
      </w:r>
      <w:r>
        <w:rPr>
          <w:rFonts w:hint="eastAsia" w:ascii="仿宋" w:hAnsi="仿宋" w:eastAsia="仿宋" w:cs="仿宋"/>
          <w:color w:val="auto"/>
          <w:sz w:val="21"/>
          <w:szCs w:val="21"/>
          <w:highlight w:val="none"/>
          <w:lang w:val="en-US" w:eastAsia="zh-CN"/>
        </w:rPr>
        <w:t>规定的其他服务。如果甲方没有通知乙方停止履行</w:t>
      </w:r>
      <w:r>
        <w:rPr>
          <w:rFonts w:hint="eastAsia" w:ascii="仿宋" w:hAnsi="仿宋" w:eastAsia="仿宋" w:cs="仿宋"/>
          <w:color w:val="auto"/>
          <w:sz w:val="21"/>
          <w:szCs w:val="21"/>
          <w:highlight w:val="none"/>
          <w:lang w:eastAsia="zh-CN"/>
        </w:rPr>
        <w:t>合同</w:t>
      </w:r>
      <w:r>
        <w:rPr>
          <w:rFonts w:hint="eastAsia" w:ascii="仿宋" w:hAnsi="仿宋" w:eastAsia="仿宋" w:cs="仿宋"/>
          <w:color w:val="auto"/>
          <w:sz w:val="21"/>
          <w:szCs w:val="21"/>
          <w:highlight w:val="none"/>
          <w:lang w:val="en-US" w:eastAsia="zh-CN"/>
        </w:rPr>
        <w:t>义务，乙方应继续向甲方提供所规定的其他服务，甲方也应按照本</w:t>
      </w:r>
      <w:r>
        <w:rPr>
          <w:rFonts w:hint="eastAsia" w:ascii="仿宋" w:hAnsi="仿宋" w:eastAsia="仿宋" w:cs="仿宋"/>
          <w:color w:val="auto"/>
          <w:sz w:val="21"/>
          <w:szCs w:val="21"/>
          <w:highlight w:val="none"/>
          <w:lang w:eastAsia="zh-CN"/>
        </w:rPr>
        <w:t>合同</w:t>
      </w:r>
      <w:r>
        <w:rPr>
          <w:rFonts w:hint="eastAsia" w:ascii="仿宋" w:hAnsi="仿宋" w:eastAsia="仿宋" w:cs="仿宋"/>
          <w:color w:val="auto"/>
          <w:sz w:val="21"/>
          <w:szCs w:val="21"/>
          <w:highlight w:val="none"/>
          <w:lang w:val="en-US" w:eastAsia="zh-CN"/>
        </w:rPr>
        <w:t>规定履行相应义务。双方有关独立节点检查结果的争议由双方协商解决，协商不成的可以按照本</w:t>
      </w:r>
      <w:r>
        <w:rPr>
          <w:rFonts w:hint="eastAsia" w:ascii="仿宋" w:hAnsi="仿宋" w:eastAsia="仿宋" w:cs="仿宋"/>
          <w:color w:val="auto"/>
          <w:sz w:val="21"/>
          <w:szCs w:val="21"/>
          <w:highlight w:val="none"/>
          <w:lang w:eastAsia="zh-CN"/>
        </w:rPr>
        <w:t>合同</w:t>
      </w:r>
      <w:r>
        <w:rPr>
          <w:rFonts w:hint="eastAsia" w:ascii="仿宋" w:hAnsi="仿宋" w:eastAsia="仿宋" w:cs="仿宋"/>
          <w:color w:val="auto"/>
          <w:sz w:val="21"/>
          <w:szCs w:val="21"/>
          <w:highlight w:val="none"/>
          <w:lang w:val="en-US" w:eastAsia="zh-CN"/>
        </w:rPr>
        <w:t>规定的争议解决方式解决。</w:t>
      </w:r>
    </w:p>
    <w:p w14:paraId="3FB59467">
      <w:pPr>
        <w:pStyle w:val="2"/>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w:t>
      </w:r>
      <w:r>
        <w:rPr>
          <w:rFonts w:hint="eastAsia" w:ascii="仿宋" w:hAnsi="仿宋" w:eastAsia="仿宋" w:cs="仿宋"/>
          <w:color w:val="auto"/>
          <w:sz w:val="21"/>
          <w:szCs w:val="21"/>
          <w:highlight w:val="none"/>
          <w:lang w:val="en-US" w:eastAsia="zh-Hans"/>
        </w:rPr>
        <w:t>五</w:t>
      </w:r>
      <w:r>
        <w:rPr>
          <w:rFonts w:hint="eastAsia" w:ascii="仿宋" w:hAnsi="仿宋" w:eastAsia="仿宋" w:cs="仿宋"/>
          <w:color w:val="auto"/>
          <w:sz w:val="21"/>
          <w:szCs w:val="21"/>
          <w:highlight w:val="none"/>
          <w:lang w:val="en-US" w:eastAsia="zh-CN"/>
        </w:rPr>
        <w:t>）如果甲方因一个或多个检查结果书面通知乙方停止提供本</w:t>
      </w:r>
      <w:r>
        <w:rPr>
          <w:rFonts w:hint="eastAsia" w:ascii="仿宋" w:hAnsi="仿宋" w:eastAsia="仿宋" w:cs="仿宋"/>
          <w:color w:val="auto"/>
          <w:sz w:val="21"/>
          <w:szCs w:val="21"/>
          <w:highlight w:val="none"/>
          <w:lang w:eastAsia="zh-CN"/>
        </w:rPr>
        <w:t>合同</w:t>
      </w:r>
      <w:r>
        <w:rPr>
          <w:rFonts w:hint="eastAsia" w:ascii="仿宋" w:hAnsi="仿宋" w:eastAsia="仿宋" w:cs="仿宋"/>
          <w:color w:val="auto"/>
          <w:sz w:val="21"/>
          <w:szCs w:val="21"/>
          <w:highlight w:val="none"/>
          <w:lang w:val="en-US" w:eastAsia="zh-CN"/>
        </w:rPr>
        <w:t>规定的相关服务，甲乙双方应按照本</w:t>
      </w:r>
      <w:r>
        <w:rPr>
          <w:rFonts w:hint="eastAsia" w:ascii="仿宋" w:hAnsi="仿宋" w:eastAsia="仿宋" w:cs="仿宋"/>
          <w:color w:val="auto"/>
          <w:sz w:val="21"/>
          <w:szCs w:val="21"/>
          <w:highlight w:val="none"/>
          <w:lang w:eastAsia="zh-CN"/>
        </w:rPr>
        <w:t>合同</w:t>
      </w:r>
      <w:r>
        <w:rPr>
          <w:rFonts w:hint="eastAsia" w:ascii="仿宋" w:hAnsi="仿宋" w:eastAsia="仿宋" w:cs="仿宋"/>
          <w:color w:val="auto"/>
          <w:sz w:val="21"/>
          <w:szCs w:val="21"/>
          <w:highlight w:val="none"/>
          <w:lang w:val="en-US" w:eastAsia="zh-CN"/>
        </w:rPr>
        <w:t>规定的争议解决方式及</w:t>
      </w:r>
      <w:r>
        <w:rPr>
          <w:rFonts w:hint="eastAsia" w:ascii="仿宋" w:hAnsi="仿宋" w:eastAsia="仿宋" w:cs="仿宋"/>
          <w:color w:val="auto"/>
          <w:sz w:val="21"/>
          <w:szCs w:val="21"/>
          <w:highlight w:val="none"/>
          <w:lang w:eastAsia="zh-CN"/>
        </w:rPr>
        <w:t>合同</w:t>
      </w:r>
      <w:r>
        <w:rPr>
          <w:rFonts w:hint="eastAsia" w:ascii="仿宋" w:hAnsi="仿宋" w:eastAsia="仿宋" w:cs="仿宋"/>
          <w:color w:val="auto"/>
          <w:sz w:val="21"/>
          <w:szCs w:val="21"/>
          <w:highlight w:val="none"/>
          <w:lang w:val="en-US" w:eastAsia="zh-CN"/>
        </w:rPr>
        <w:t>解除程序处理</w:t>
      </w:r>
      <w:r>
        <w:rPr>
          <w:rFonts w:hint="eastAsia" w:ascii="仿宋" w:hAnsi="仿宋" w:eastAsia="仿宋" w:cs="仿宋"/>
          <w:color w:val="auto"/>
          <w:sz w:val="21"/>
          <w:szCs w:val="21"/>
          <w:highlight w:val="none"/>
          <w:lang w:eastAsia="zh-CN"/>
        </w:rPr>
        <w:t>合同</w:t>
      </w:r>
      <w:r>
        <w:rPr>
          <w:rFonts w:hint="eastAsia" w:ascii="仿宋" w:hAnsi="仿宋" w:eastAsia="仿宋" w:cs="仿宋"/>
          <w:color w:val="auto"/>
          <w:sz w:val="21"/>
          <w:szCs w:val="21"/>
          <w:highlight w:val="none"/>
          <w:lang w:val="en-US" w:eastAsia="zh-CN"/>
        </w:rPr>
        <w:t>解除事宜。</w:t>
      </w:r>
    </w:p>
    <w:p w14:paraId="222E747D">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Hans" w:bidi="ar-SA"/>
        </w:rPr>
        <w:t>（六）</w:t>
      </w:r>
      <w:r>
        <w:rPr>
          <w:rFonts w:hint="eastAsia" w:ascii="仿宋" w:hAnsi="仿宋" w:eastAsia="仿宋" w:cs="仿宋"/>
          <w:color w:val="auto"/>
          <w:kern w:val="2"/>
          <w:sz w:val="21"/>
          <w:szCs w:val="21"/>
          <w:highlight w:val="none"/>
          <w:lang w:val="en-US" w:eastAsia="zh-CN" w:bidi="ar-SA"/>
        </w:rPr>
        <w:t>乙方所</w:t>
      </w:r>
      <w:r>
        <w:rPr>
          <w:rFonts w:hint="eastAsia" w:ascii="仿宋" w:hAnsi="仿宋" w:eastAsia="仿宋" w:cs="仿宋"/>
          <w:color w:val="auto"/>
          <w:kern w:val="2"/>
          <w:sz w:val="21"/>
          <w:szCs w:val="21"/>
          <w:highlight w:val="none"/>
          <w:lang w:val="en-US" w:eastAsia="zh-Hans" w:bidi="ar-SA"/>
        </w:rPr>
        <w:t>提供服务</w:t>
      </w:r>
      <w:r>
        <w:rPr>
          <w:rFonts w:hint="eastAsia" w:ascii="仿宋" w:hAnsi="仿宋" w:eastAsia="仿宋" w:cs="仿宋"/>
          <w:color w:val="auto"/>
          <w:kern w:val="2"/>
          <w:sz w:val="21"/>
          <w:szCs w:val="21"/>
          <w:highlight w:val="none"/>
          <w:lang w:val="en-US" w:eastAsia="zh-CN" w:bidi="ar-SA"/>
        </w:rPr>
        <w:t>不符合合同约定的，由乙方负责</w:t>
      </w:r>
      <w:r>
        <w:rPr>
          <w:rFonts w:hint="eastAsia" w:ascii="仿宋" w:hAnsi="仿宋" w:eastAsia="仿宋" w:cs="仿宋"/>
          <w:color w:val="auto"/>
          <w:kern w:val="2"/>
          <w:sz w:val="21"/>
          <w:szCs w:val="21"/>
          <w:highlight w:val="none"/>
          <w:lang w:val="en-US" w:eastAsia="zh-Hans" w:bidi="ar-SA"/>
        </w:rPr>
        <w:t>立即无条件调整、修改、重做等补救措施，直至符合约定标准</w:t>
      </w:r>
      <w:r>
        <w:rPr>
          <w:rFonts w:hint="eastAsia" w:ascii="仿宋" w:hAnsi="仿宋" w:eastAsia="仿宋" w:cs="仿宋"/>
          <w:color w:val="auto"/>
          <w:kern w:val="2"/>
          <w:sz w:val="21"/>
          <w:szCs w:val="21"/>
          <w:highlight w:val="none"/>
          <w:lang w:val="en-US" w:eastAsia="zh-CN" w:bidi="ar-SA"/>
        </w:rPr>
        <w:t>，并承担</w:t>
      </w:r>
      <w:r>
        <w:rPr>
          <w:rFonts w:hint="eastAsia" w:ascii="仿宋" w:hAnsi="仿宋" w:eastAsia="仿宋" w:cs="仿宋"/>
          <w:color w:val="auto"/>
          <w:kern w:val="2"/>
          <w:sz w:val="21"/>
          <w:szCs w:val="21"/>
          <w:highlight w:val="none"/>
          <w:lang w:val="en-US" w:eastAsia="zh-Hans" w:bidi="ar-SA"/>
        </w:rPr>
        <w:t>由此</w:t>
      </w:r>
      <w:r>
        <w:rPr>
          <w:rFonts w:hint="eastAsia" w:ascii="仿宋" w:hAnsi="仿宋" w:eastAsia="仿宋" w:cs="仿宋"/>
          <w:color w:val="auto"/>
          <w:kern w:val="2"/>
          <w:sz w:val="21"/>
          <w:szCs w:val="21"/>
          <w:highlight w:val="none"/>
          <w:lang w:val="en-US" w:eastAsia="zh-CN" w:bidi="ar-SA"/>
        </w:rPr>
        <w:t>而支付的实际费用</w:t>
      </w:r>
      <w:r>
        <w:rPr>
          <w:rFonts w:hint="eastAsia" w:ascii="仿宋" w:hAnsi="仿宋" w:eastAsia="仿宋" w:cs="仿宋"/>
          <w:color w:val="auto"/>
          <w:kern w:val="2"/>
          <w:sz w:val="21"/>
          <w:szCs w:val="21"/>
          <w:highlight w:val="none"/>
          <w:lang w:val="en-US" w:eastAsia="zh-Hans" w:bidi="ar-SA"/>
        </w:rPr>
        <w:t>，服务</w:t>
      </w:r>
      <w:r>
        <w:rPr>
          <w:rFonts w:hint="eastAsia" w:ascii="仿宋" w:hAnsi="仿宋" w:eastAsia="仿宋" w:cs="仿宋"/>
          <w:color w:val="auto"/>
          <w:kern w:val="2"/>
          <w:sz w:val="21"/>
          <w:szCs w:val="21"/>
          <w:highlight w:val="none"/>
          <w:lang w:val="en-US" w:eastAsia="zh-CN" w:bidi="ar-SA"/>
        </w:rPr>
        <w:t>期不予顺延。</w:t>
      </w:r>
    </w:p>
    <w:p w14:paraId="5695D642">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Hans" w:bidi="ar-SA"/>
        </w:rPr>
        <w:t>（七）</w:t>
      </w:r>
      <w:r>
        <w:rPr>
          <w:rFonts w:hint="eastAsia" w:ascii="仿宋" w:hAnsi="仿宋" w:eastAsia="仿宋" w:cs="仿宋"/>
          <w:color w:val="auto"/>
          <w:kern w:val="2"/>
          <w:sz w:val="21"/>
          <w:szCs w:val="21"/>
          <w:highlight w:val="none"/>
          <w:lang w:val="en-US" w:eastAsia="zh-CN" w:bidi="ar-SA"/>
        </w:rPr>
        <w:t>若乙方经甲方通知后仍未</w:t>
      </w:r>
      <w:r>
        <w:rPr>
          <w:rFonts w:hint="eastAsia" w:ascii="仿宋" w:hAnsi="仿宋" w:eastAsia="仿宋" w:cs="仿宋"/>
          <w:color w:val="auto"/>
          <w:kern w:val="2"/>
          <w:sz w:val="21"/>
          <w:szCs w:val="21"/>
          <w:highlight w:val="none"/>
          <w:lang w:val="en-US" w:eastAsia="zh-Hans" w:bidi="ar-SA"/>
        </w:rPr>
        <w:t>在</w:t>
      </w:r>
      <w:r>
        <w:rPr>
          <w:rFonts w:hint="eastAsia" w:ascii="仿宋" w:hAnsi="仿宋" w:eastAsia="仿宋" w:cs="仿宋"/>
          <w:color w:val="auto"/>
          <w:kern w:val="2"/>
          <w:sz w:val="21"/>
          <w:szCs w:val="21"/>
          <w:highlight w:val="none"/>
          <w:lang w:val="en-US" w:eastAsia="zh-CN" w:bidi="ar-SA"/>
        </w:rPr>
        <w:t>24</w:t>
      </w:r>
      <w:r>
        <w:rPr>
          <w:rFonts w:hint="eastAsia" w:ascii="仿宋" w:hAnsi="仿宋" w:eastAsia="仿宋" w:cs="仿宋"/>
          <w:color w:val="auto"/>
          <w:kern w:val="2"/>
          <w:sz w:val="21"/>
          <w:szCs w:val="21"/>
          <w:highlight w:val="none"/>
          <w:lang w:val="en-US" w:eastAsia="zh-Hans" w:bidi="ar-SA"/>
        </w:rPr>
        <w:t>小时</w:t>
      </w:r>
      <w:r>
        <w:rPr>
          <w:rFonts w:hint="eastAsia" w:ascii="仿宋" w:hAnsi="仿宋" w:eastAsia="仿宋" w:cs="仿宋"/>
          <w:color w:val="auto"/>
          <w:kern w:val="2"/>
          <w:sz w:val="21"/>
          <w:szCs w:val="21"/>
          <w:highlight w:val="none"/>
          <w:lang w:val="en-US" w:eastAsia="zh-CN" w:bidi="ar-SA"/>
        </w:rPr>
        <w:t>内</w:t>
      </w:r>
      <w:r>
        <w:rPr>
          <w:rFonts w:hint="eastAsia" w:ascii="仿宋" w:hAnsi="仿宋" w:eastAsia="仿宋" w:cs="仿宋"/>
          <w:color w:val="auto"/>
          <w:kern w:val="2"/>
          <w:sz w:val="21"/>
          <w:szCs w:val="21"/>
          <w:highlight w:val="none"/>
          <w:lang w:val="en-US" w:eastAsia="zh-Hans" w:bidi="ar-SA"/>
        </w:rPr>
        <w:t>响应</w:t>
      </w:r>
      <w:r>
        <w:rPr>
          <w:rFonts w:hint="eastAsia" w:ascii="仿宋" w:hAnsi="仿宋" w:eastAsia="仿宋" w:cs="仿宋"/>
          <w:color w:val="auto"/>
          <w:kern w:val="2"/>
          <w:sz w:val="21"/>
          <w:szCs w:val="21"/>
          <w:highlight w:val="none"/>
          <w:lang w:val="en-US" w:eastAsia="zh-CN" w:bidi="ar-SA"/>
        </w:rPr>
        <w:t>或其补救工作不能满足甲方或相关主管部门要求的，甲方有权委托第三方负责相关工作，无需再通知乙方，费用及风险由乙方承担，甲方还有权要求乙方按违约部分价款的</w:t>
      </w:r>
      <w:r>
        <w:rPr>
          <w:rFonts w:hint="eastAsia" w:ascii="仿宋" w:hAnsi="仿宋" w:eastAsia="仿宋" w:cs="仿宋"/>
          <w:color w:val="auto"/>
          <w:kern w:val="2"/>
          <w:sz w:val="21"/>
          <w:szCs w:val="21"/>
          <w:highlight w:val="none"/>
          <w:u w:val="single"/>
          <w:lang w:val="en-US" w:eastAsia="zh-CN" w:bidi="ar-SA"/>
        </w:rPr>
        <w:t xml:space="preserve"> 10 </w:t>
      </w:r>
      <w:r>
        <w:rPr>
          <w:rFonts w:hint="eastAsia" w:ascii="仿宋" w:hAnsi="仿宋" w:eastAsia="仿宋" w:cs="仿宋"/>
          <w:color w:val="auto"/>
          <w:kern w:val="2"/>
          <w:sz w:val="21"/>
          <w:szCs w:val="21"/>
          <w:highlight w:val="none"/>
          <w:u w:val="none"/>
          <w:lang w:val="en-US" w:eastAsia="zh-CN" w:bidi="ar-SA"/>
        </w:rPr>
        <w:t>%向</w:t>
      </w:r>
      <w:r>
        <w:rPr>
          <w:rFonts w:hint="eastAsia" w:ascii="仿宋" w:hAnsi="仿宋" w:eastAsia="仿宋" w:cs="仿宋"/>
          <w:color w:val="auto"/>
          <w:kern w:val="2"/>
          <w:sz w:val="21"/>
          <w:szCs w:val="21"/>
          <w:highlight w:val="none"/>
          <w:lang w:val="en-US" w:eastAsia="zh-CN" w:bidi="ar-SA"/>
        </w:rPr>
        <w:t>甲方支付违约金</w:t>
      </w:r>
      <w:r>
        <w:rPr>
          <w:rFonts w:hint="eastAsia" w:ascii="仿宋" w:hAnsi="仿宋" w:eastAsia="仿宋" w:cs="仿宋"/>
          <w:color w:val="auto"/>
          <w:kern w:val="2"/>
          <w:sz w:val="21"/>
          <w:szCs w:val="21"/>
          <w:highlight w:val="none"/>
          <w:u w:val="none"/>
          <w:lang w:val="en-US" w:eastAsia="zh-CN" w:bidi="ar-SA"/>
        </w:rPr>
        <w:t>（不超过5000元）</w:t>
      </w:r>
      <w:r>
        <w:rPr>
          <w:rFonts w:hint="eastAsia" w:ascii="仿宋" w:hAnsi="仿宋" w:eastAsia="仿宋" w:cs="仿宋"/>
          <w:color w:val="auto"/>
          <w:kern w:val="2"/>
          <w:sz w:val="21"/>
          <w:szCs w:val="21"/>
          <w:highlight w:val="none"/>
          <w:lang w:val="en-US" w:eastAsia="zh-CN" w:bidi="ar-SA"/>
        </w:rPr>
        <w:t>，如乙方所支付的违约金不足弥补甲方实际损失的，乙方还应</w:t>
      </w:r>
      <w:r>
        <w:rPr>
          <w:rFonts w:hint="eastAsia" w:ascii="仿宋" w:hAnsi="仿宋" w:eastAsia="仿宋" w:cs="仿宋"/>
          <w:color w:val="auto"/>
          <w:kern w:val="2"/>
          <w:sz w:val="21"/>
          <w:szCs w:val="21"/>
          <w:highlight w:val="none"/>
          <w:lang w:val="en-US" w:eastAsia="zh-Hans" w:bidi="ar-SA"/>
        </w:rPr>
        <w:t>另行</w:t>
      </w:r>
      <w:r>
        <w:rPr>
          <w:rFonts w:hint="eastAsia" w:ascii="仿宋" w:hAnsi="仿宋" w:eastAsia="仿宋" w:cs="仿宋"/>
          <w:color w:val="auto"/>
          <w:kern w:val="2"/>
          <w:sz w:val="21"/>
          <w:szCs w:val="21"/>
          <w:highlight w:val="none"/>
          <w:lang w:val="en-US" w:eastAsia="zh-CN" w:bidi="ar-SA"/>
        </w:rPr>
        <w:t>赔偿。</w:t>
      </w:r>
    </w:p>
    <w:p w14:paraId="2D9ACE64">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Hans" w:bidi="ar-SA"/>
        </w:rPr>
        <w:t>（八）</w:t>
      </w:r>
      <w:r>
        <w:rPr>
          <w:rFonts w:hint="eastAsia" w:ascii="仿宋" w:hAnsi="仿宋" w:eastAsia="仿宋" w:cs="仿宋"/>
          <w:color w:val="auto"/>
          <w:kern w:val="2"/>
          <w:sz w:val="21"/>
          <w:szCs w:val="21"/>
          <w:highlight w:val="none"/>
          <w:lang w:val="en-US" w:eastAsia="zh-CN" w:bidi="ar-SA"/>
        </w:rPr>
        <w:t>乙方未履行补救义务或采取补救、整改措施累计达</w:t>
      </w:r>
      <w:r>
        <w:rPr>
          <w:rFonts w:hint="eastAsia" w:ascii="仿宋" w:hAnsi="仿宋" w:eastAsia="仿宋" w:cs="仿宋"/>
          <w:color w:val="auto"/>
          <w:kern w:val="2"/>
          <w:sz w:val="21"/>
          <w:szCs w:val="21"/>
          <w:highlight w:val="none"/>
          <w:lang w:val="en-US" w:eastAsia="zh-Hans" w:bidi="ar-SA"/>
        </w:rPr>
        <w:t>三</w:t>
      </w:r>
      <w:r>
        <w:rPr>
          <w:rFonts w:hint="eastAsia" w:ascii="仿宋" w:hAnsi="仿宋" w:eastAsia="仿宋" w:cs="仿宋"/>
          <w:color w:val="auto"/>
          <w:kern w:val="2"/>
          <w:sz w:val="21"/>
          <w:szCs w:val="21"/>
          <w:highlight w:val="none"/>
          <w:lang w:val="en-US" w:eastAsia="zh-CN" w:bidi="ar-SA"/>
        </w:rPr>
        <w:t>次，</w:t>
      </w:r>
      <w:r>
        <w:rPr>
          <w:rFonts w:hint="eastAsia" w:ascii="仿宋" w:hAnsi="仿宋" w:eastAsia="仿宋" w:cs="仿宋"/>
          <w:color w:val="auto"/>
          <w:kern w:val="2"/>
          <w:sz w:val="21"/>
          <w:szCs w:val="21"/>
          <w:highlight w:val="none"/>
          <w:lang w:val="en-US" w:eastAsia="zh-Hans" w:bidi="ar-SA"/>
        </w:rPr>
        <w:t>服务</w:t>
      </w:r>
      <w:r>
        <w:rPr>
          <w:rFonts w:hint="eastAsia" w:ascii="仿宋" w:hAnsi="仿宋" w:eastAsia="仿宋" w:cs="仿宋"/>
          <w:color w:val="auto"/>
          <w:kern w:val="2"/>
          <w:sz w:val="21"/>
          <w:szCs w:val="21"/>
          <w:highlight w:val="none"/>
          <w:lang w:val="en-US" w:eastAsia="zh-CN" w:bidi="ar-SA"/>
        </w:rPr>
        <w:t>仍达不到合同约定标准或无法通过甲方或政府相关部门验收的，或者乙方在任一</w:t>
      </w:r>
      <w:r>
        <w:rPr>
          <w:rFonts w:hint="eastAsia" w:ascii="仿宋" w:hAnsi="仿宋" w:eastAsia="仿宋" w:cs="仿宋"/>
          <w:color w:val="auto"/>
          <w:kern w:val="2"/>
          <w:sz w:val="21"/>
          <w:szCs w:val="21"/>
          <w:highlight w:val="none"/>
          <w:lang w:val="en-US" w:eastAsia="zh-Hans" w:bidi="ar-SA"/>
        </w:rPr>
        <w:t>服务交付期</w:t>
      </w:r>
      <w:r>
        <w:rPr>
          <w:rFonts w:hint="eastAsia" w:ascii="仿宋" w:hAnsi="仿宋" w:eastAsia="仿宋" w:cs="仿宋"/>
          <w:color w:val="auto"/>
          <w:kern w:val="2"/>
          <w:sz w:val="21"/>
          <w:szCs w:val="21"/>
          <w:highlight w:val="none"/>
          <w:lang w:val="en-US" w:eastAsia="zh-CN" w:bidi="ar-SA"/>
        </w:rPr>
        <w:t>上延迟超过</w:t>
      </w:r>
      <w:r>
        <w:rPr>
          <w:rFonts w:hint="eastAsia" w:ascii="仿宋" w:hAnsi="仿宋" w:eastAsia="仿宋" w:cs="仿宋"/>
          <w:color w:val="auto"/>
          <w:kern w:val="2"/>
          <w:sz w:val="21"/>
          <w:szCs w:val="21"/>
          <w:highlight w:val="none"/>
          <w:u w:val="single"/>
          <w:lang w:val="en-US" w:eastAsia="zh-CN" w:bidi="ar-SA"/>
        </w:rPr>
        <w:t xml:space="preserve"> 3 </w:t>
      </w:r>
      <w:r>
        <w:rPr>
          <w:rFonts w:hint="eastAsia" w:ascii="仿宋" w:hAnsi="仿宋" w:eastAsia="仿宋" w:cs="仿宋"/>
          <w:color w:val="auto"/>
          <w:kern w:val="2"/>
          <w:sz w:val="21"/>
          <w:szCs w:val="21"/>
          <w:highlight w:val="none"/>
          <w:lang w:val="en-US" w:eastAsia="zh-CN" w:bidi="ar-SA"/>
        </w:rPr>
        <w:t>日，或者</w:t>
      </w:r>
      <w:r>
        <w:rPr>
          <w:rFonts w:hint="eastAsia" w:ascii="仿宋" w:hAnsi="仿宋" w:eastAsia="仿宋" w:cs="仿宋"/>
          <w:color w:val="auto"/>
          <w:kern w:val="2"/>
          <w:sz w:val="21"/>
          <w:szCs w:val="21"/>
          <w:highlight w:val="none"/>
          <w:lang w:val="en-US" w:eastAsia="zh-Hans" w:bidi="ar-SA"/>
        </w:rPr>
        <w:t>服务期</w:t>
      </w:r>
      <w:r>
        <w:rPr>
          <w:rFonts w:hint="eastAsia" w:ascii="仿宋" w:hAnsi="仿宋" w:eastAsia="仿宋" w:cs="仿宋"/>
          <w:color w:val="auto"/>
          <w:kern w:val="2"/>
          <w:sz w:val="21"/>
          <w:szCs w:val="21"/>
          <w:highlight w:val="none"/>
          <w:lang w:val="en-US" w:eastAsia="zh-CN" w:bidi="ar-SA"/>
        </w:rPr>
        <w:t>累计延迟超过</w:t>
      </w:r>
      <w:r>
        <w:rPr>
          <w:rFonts w:hint="eastAsia" w:ascii="仿宋" w:hAnsi="仿宋" w:eastAsia="仿宋" w:cs="仿宋"/>
          <w:color w:val="auto"/>
          <w:kern w:val="2"/>
          <w:sz w:val="21"/>
          <w:szCs w:val="21"/>
          <w:highlight w:val="none"/>
          <w:u w:val="single"/>
          <w:lang w:val="en-US" w:eastAsia="zh-CN" w:bidi="ar-SA"/>
        </w:rPr>
        <w:t xml:space="preserve"> 10 </w:t>
      </w:r>
      <w:r>
        <w:rPr>
          <w:rFonts w:hint="eastAsia" w:ascii="仿宋" w:hAnsi="仿宋" w:eastAsia="仿宋" w:cs="仿宋"/>
          <w:color w:val="auto"/>
          <w:kern w:val="2"/>
          <w:sz w:val="21"/>
          <w:szCs w:val="21"/>
          <w:highlight w:val="none"/>
          <w:lang w:val="en-US" w:eastAsia="zh-CN" w:bidi="ar-SA"/>
        </w:rPr>
        <w:t>日，甲方均有权解除合同，届时乙方除应承担</w:t>
      </w:r>
      <w:r>
        <w:rPr>
          <w:rFonts w:hint="eastAsia" w:ascii="仿宋" w:hAnsi="仿宋" w:eastAsia="仿宋" w:cs="仿宋"/>
          <w:color w:val="auto"/>
          <w:kern w:val="2"/>
          <w:sz w:val="21"/>
          <w:szCs w:val="21"/>
          <w:highlight w:val="none"/>
          <w:lang w:val="en-US" w:eastAsia="zh-Hans" w:bidi="ar-SA"/>
        </w:rPr>
        <w:t>交付服务</w:t>
      </w:r>
      <w:r>
        <w:rPr>
          <w:rFonts w:hint="eastAsia" w:ascii="仿宋" w:hAnsi="仿宋" w:eastAsia="仿宋" w:cs="仿宋"/>
          <w:color w:val="auto"/>
          <w:kern w:val="2"/>
          <w:sz w:val="21"/>
          <w:szCs w:val="21"/>
          <w:highlight w:val="none"/>
          <w:lang w:val="en-US" w:eastAsia="zh-CN" w:bidi="ar-SA"/>
        </w:rPr>
        <w:t>延误的违约责任外，还应按照合同总价的</w:t>
      </w:r>
      <w:r>
        <w:rPr>
          <w:rFonts w:hint="eastAsia" w:ascii="仿宋" w:hAnsi="仿宋" w:eastAsia="仿宋" w:cs="仿宋"/>
          <w:color w:val="auto"/>
          <w:kern w:val="2"/>
          <w:sz w:val="21"/>
          <w:szCs w:val="21"/>
          <w:highlight w:val="none"/>
          <w:u w:val="single"/>
          <w:lang w:val="en-US" w:eastAsia="zh-CN" w:bidi="ar-SA"/>
        </w:rPr>
        <w:t xml:space="preserve"> 10 </w:t>
      </w:r>
      <w:r>
        <w:rPr>
          <w:rFonts w:hint="eastAsia" w:ascii="仿宋" w:hAnsi="仿宋" w:eastAsia="仿宋" w:cs="仿宋"/>
          <w:color w:val="auto"/>
          <w:kern w:val="2"/>
          <w:sz w:val="21"/>
          <w:szCs w:val="21"/>
          <w:highlight w:val="none"/>
          <w:u w:val="none"/>
          <w:lang w:val="en-US" w:eastAsia="zh-CN" w:bidi="ar-SA"/>
        </w:rPr>
        <w:t>%</w:t>
      </w:r>
      <w:r>
        <w:rPr>
          <w:rFonts w:hint="eastAsia" w:ascii="仿宋" w:hAnsi="仿宋" w:eastAsia="仿宋" w:cs="仿宋"/>
          <w:color w:val="auto"/>
          <w:kern w:val="2"/>
          <w:sz w:val="21"/>
          <w:szCs w:val="21"/>
          <w:highlight w:val="none"/>
          <w:lang w:val="en-US" w:eastAsia="zh-CN" w:bidi="ar-SA"/>
        </w:rPr>
        <w:t>向甲方支付由于乙方违约导致合同解除违约金。</w:t>
      </w:r>
    </w:p>
    <w:p w14:paraId="72F57278">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九）船舶自离开甲方码头至修理厂至甲方码头（或甲方指定地点至修理厂至甲方码头）的一切安全事故问题由乙方负责。维修保养过程中，乙方除维修需要外，不能以任何理由动用所维修的船舶，未经甲方同意不得将船舶开出试航或他用，应当接受甲方代表的监督，采用甲方代表提出的合理建议。</w:t>
      </w:r>
    </w:p>
    <w:p w14:paraId="02BA7441">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Hans" w:bidi="ar-SA"/>
        </w:rPr>
        <w:t>（</w:t>
      </w:r>
      <w:r>
        <w:rPr>
          <w:rFonts w:hint="eastAsia" w:ascii="仿宋" w:hAnsi="仿宋" w:eastAsia="仿宋" w:cs="仿宋"/>
          <w:color w:val="auto"/>
          <w:kern w:val="2"/>
          <w:sz w:val="21"/>
          <w:szCs w:val="21"/>
          <w:highlight w:val="none"/>
          <w:lang w:val="en-US" w:eastAsia="zh-CN" w:bidi="ar-SA"/>
        </w:rPr>
        <w:t>十</w:t>
      </w:r>
      <w:r>
        <w:rPr>
          <w:rFonts w:hint="eastAsia" w:ascii="仿宋" w:hAnsi="仿宋" w:eastAsia="仿宋" w:cs="仿宋"/>
          <w:color w:val="auto"/>
          <w:kern w:val="2"/>
          <w:sz w:val="21"/>
          <w:szCs w:val="21"/>
          <w:highlight w:val="none"/>
          <w:lang w:val="en-US" w:eastAsia="zh-Hans" w:bidi="ar-SA"/>
        </w:rPr>
        <w:t>）</w:t>
      </w:r>
      <w:r>
        <w:rPr>
          <w:rFonts w:hint="eastAsia" w:ascii="仿宋" w:hAnsi="仿宋" w:eastAsia="仿宋" w:cs="仿宋"/>
          <w:color w:val="auto"/>
          <w:kern w:val="2"/>
          <w:sz w:val="21"/>
          <w:szCs w:val="21"/>
          <w:highlight w:val="none"/>
          <w:lang w:val="en-US" w:eastAsia="zh-CN" w:bidi="ar-SA"/>
        </w:rPr>
        <w:t>在维修过程中，乙方应当遵守甲方和国家有关环保、安全、防火、防污染的规定，乙方违反上述规定，造成甲方损失的（包括但不限于政府相关部门的罚款及处理安全事故和治理污染而发生的全部费用），乙方应当予以赔偿。</w:t>
      </w:r>
    </w:p>
    <w:p w14:paraId="2836A935">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Hans" w:bidi="ar-SA"/>
        </w:rPr>
        <w:t>（</w:t>
      </w:r>
      <w:r>
        <w:rPr>
          <w:rFonts w:hint="eastAsia" w:ascii="仿宋" w:hAnsi="仿宋" w:eastAsia="仿宋" w:cs="仿宋"/>
          <w:color w:val="auto"/>
          <w:kern w:val="2"/>
          <w:sz w:val="21"/>
          <w:szCs w:val="21"/>
          <w:highlight w:val="none"/>
          <w:lang w:val="en-US" w:eastAsia="zh-CN" w:bidi="ar-SA"/>
        </w:rPr>
        <w:t>十一</w:t>
      </w:r>
      <w:r>
        <w:rPr>
          <w:rFonts w:hint="eastAsia" w:ascii="仿宋" w:hAnsi="仿宋" w:eastAsia="仿宋" w:cs="仿宋"/>
          <w:color w:val="auto"/>
          <w:kern w:val="2"/>
          <w:sz w:val="21"/>
          <w:szCs w:val="21"/>
          <w:highlight w:val="none"/>
          <w:lang w:val="en-US" w:eastAsia="zh-Hans" w:bidi="ar-SA"/>
        </w:rPr>
        <w:t>）</w:t>
      </w:r>
      <w:r>
        <w:rPr>
          <w:rFonts w:hint="eastAsia" w:ascii="仿宋" w:hAnsi="仿宋" w:eastAsia="仿宋" w:cs="仿宋"/>
          <w:color w:val="auto"/>
          <w:kern w:val="2"/>
          <w:sz w:val="21"/>
          <w:szCs w:val="21"/>
          <w:highlight w:val="none"/>
          <w:lang w:val="en-US" w:eastAsia="zh-CN" w:bidi="ar-SA"/>
        </w:rPr>
        <w:t>在乙方工厂进行维修保养工作，乙方应当为甲方代表和其他工作人员提供办公、检查的便利条件。</w:t>
      </w:r>
    </w:p>
    <w:p w14:paraId="625DE1F8">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Hans" w:bidi="ar-SA"/>
        </w:rPr>
        <w:t>（</w:t>
      </w:r>
      <w:r>
        <w:rPr>
          <w:rFonts w:hint="eastAsia" w:ascii="仿宋" w:hAnsi="仿宋" w:eastAsia="仿宋" w:cs="仿宋"/>
          <w:color w:val="auto"/>
          <w:kern w:val="2"/>
          <w:sz w:val="21"/>
          <w:szCs w:val="21"/>
          <w:highlight w:val="none"/>
          <w:lang w:val="en-US" w:eastAsia="zh-CN" w:bidi="ar-SA"/>
        </w:rPr>
        <w:t>十二</w:t>
      </w:r>
      <w:r>
        <w:rPr>
          <w:rFonts w:hint="eastAsia" w:ascii="仿宋" w:hAnsi="仿宋" w:eastAsia="仿宋" w:cs="仿宋"/>
          <w:color w:val="auto"/>
          <w:kern w:val="2"/>
          <w:sz w:val="21"/>
          <w:szCs w:val="21"/>
          <w:highlight w:val="none"/>
          <w:lang w:val="en-US" w:eastAsia="zh-Hans" w:bidi="ar-SA"/>
        </w:rPr>
        <w:t>）</w:t>
      </w:r>
      <w:r>
        <w:rPr>
          <w:rFonts w:hint="eastAsia" w:ascii="仿宋" w:hAnsi="仿宋" w:eastAsia="仿宋" w:cs="仿宋"/>
          <w:color w:val="auto"/>
          <w:kern w:val="2"/>
          <w:sz w:val="21"/>
          <w:szCs w:val="21"/>
          <w:highlight w:val="none"/>
          <w:lang w:val="en-US" w:eastAsia="zh-CN" w:bidi="ar-SA"/>
        </w:rPr>
        <w:t>合同期内，乙方为甲方免费提供台风等恶劣天气船艇停泊便利。</w:t>
      </w:r>
    </w:p>
    <w:p w14:paraId="2EA1B0C9">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Hans" w:bidi="ar-SA"/>
        </w:rPr>
        <w:t>（</w:t>
      </w:r>
      <w:r>
        <w:rPr>
          <w:rFonts w:hint="eastAsia" w:ascii="仿宋" w:hAnsi="仿宋" w:eastAsia="仿宋" w:cs="仿宋"/>
          <w:color w:val="auto"/>
          <w:kern w:val="2"/>
          <w:sz w:val="21"/>
          <w:szCs w:val="21"/>
          <w:highlight w:val="none"/>
          <w:lang w:val="en-US" w:eastAsia="zh-CN" w:bidi="ar-SA"/>
        </w:rPr>
        <w:t>十三</w:t>
      </w:r>
      <w:r>
        <w:rPr>
          <w:rFonts w:hint="eastAsia" w:ascii="仿宋" w:hAnsi="仿宋" w:eastAsia="仿宋" w:cs="仿宋"/>
          <w:color w:val="auto"/>
          <w:kern w:val="2"/>
          <w:sz w:val="21"/>
          <w:szCs w:val="21"/>
          <w:highlight w:val="none"/>
          <w:lang w:val="en-US" w:eastAsia="zh-Hans" w:bidi="ar-SA"/>
        </w:rPr>
        <w:t>）</w:t>
      </w:r>
      <w:r>
        <w:rPr>
          <w:rFonts w:hint="eastAsia" w:ascii="仿宋" w:hAnsi="仿宋" w:eastAsia="仿宋" w:cs="仿宋"/>
          <w:color w:val="auto"/>
          <w:kern w:val="2"/>
          <w:sz w:val="21"/>
          <w:szCs w:val="21"/>
          <w:highlight w:val="none"/>
          <w:lang w:val="en-US" w:eastAsia="zh-CN" w:bidi="ar-SA"/>
        </w:rPr>
        <w:t>乙方在维修保养工作期间应对工程量清单中每一步骤留存相关影像资料，最后汇总形成结算报告，同时应当妥善保存更换下来的旧零配件，在工程完工时交给甲方检查、确认、处理，未留存相关影像资料视作未完成，结算中进行核减。</w:t>
      </w:r>
    </w:p>
    <w:p w14:paraId="03516669">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Hans" w:bidi="ar-SA"/>
        </w:rPr>
        <w:t>（</w:t>
      </w:r>
      <w:r>
        <w:rPr>
          <w:rFonts w:hint="eastAsia" w:ascii="仿宋" w:hAnsi="仿宋" w:eastAsia="仿宋" w:cs="仿宋"/>
          <w:color w:val="auto"/>
          <w:kern w:val="2"/>
          <w:sz w:val="21"/>
          <w:szCs w:val="21"/>
          <w:highlight w:val="none"/>
          <w:lang w:val="en-US" w:eastAsia="zh-CN" w:bidi="ar-SA"/>
        </w:rPr>
        <w:t>十四</w:t>
      </w:r>
      <w:r>
        <w:rPr>
          <w:rFonts w:hint="eastAsia" w:ascii="仿宋" w:hAnsi="仿宋" w:eastAsia="仿宋" w:cs="仿宋"/>
          <w:color w:val="auto"/>
          <w:kern w:val="2"/>
          <w:sz w:val="21"/>
          <w:szCs w:val="21"/>
          <w:highlight w:val="none"/>
          <w:lang w:val="en-US" w:eastAsia="zh-Hans" w:bidi="ar-SA"/>
        </w:rPr>
        <w:t>）</w:t>
      </w:r>
      <w:r>
        <w:rPr>
          <w:rFonts w:hint="eastAsia" w:ascii="仿宋" w:hAnsi="仿宋" w:eastAsia="仿宋" w:cs="仿宋"/>
          <w:color w:val="auto"/>
          <w:kern w:val="2"/>
          <w:sz w:val="21"/>
          <w:szCs w:val="21"/>
          <w:highlight w:val="none"/>
          <w:lang w:val="en-US" w:eastAsia="zh-CN" w:bidi="ar-SA"/>
        </w:rPr>
        <w:t>维修项目、配件等材料更换必须事先征得甲方同意方可进行维修换件。在维修过程中新增加或变更维修项目、配件材料的，也应事先征得甲方同意，双方就加项延长时间及维修费用等问题进行商定。更换下来的旧件要退还，并在维修单上认真填写维修的具体部位、消耗材料部件、计价情况等详细信息。</w:t>
      </w:r>
    </w:p>
    <w:p w14:paraId="0CFA4F57">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仿宋" w:hAnsi="仿宋" w:eastAsia="仿宋" w:cs="仿宋"/>
          <w:color w:val="auto"/>
          <w:kern w:val="2"/>
          <w:sz w:val="21"/>
          <w:szCs w:val="21"/>
          <w:highlight w:val="none"/>
          <w:lang w:val="en-US" w:eastAsia="zh-Hans" w:bidi="ar-SA"/>
        </w:rPr>
      </w:pPr>
    </w:p>
    <w:p w14:paraId="67A0A53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1"/>
        <w:rPr>
          <w:rFonts w:hint="eastAsia" w:ascii="仿宋" w:hAnsi="仿宋" w:eastAsia="仿宋" w:cs="仿宋"/>
          <w:b/>
          <w:bCs/>
          <w:color w:val="auto"/>
          <w:sz w:val="21"/>
          <w:szCs w:val="21"/>
          <w:highlight w:val="none"/>
          <w:lang w:val="en-US" w:eastAsia="zh-CN"/>
        </w:rPr>
      </w:pPr>
      <w:bookmarkStart w:id="208" w:name="_Toc31062"/>
      <w:bookmarkStart w:id="209" w:name="_Toc4289"/>
      <w:bookmarkStart w:id="210" w:name="_Toc12638"/>
      <w:bookmarkStart w:id="211" w:name="_Toc6270"/>
      <w:bookmarkStart w:id="212" w:name="_Toc29083"/>
      <w:r>
        <w:rPr>
          <w:rFonts w:hint="eastAsia" w:ascii="仿宋" w:hAnsi="仿宋" w:eastAsia="仿宋" w:cs="仿宋"/>
          <w:b/>
          <w:bCs/>
          <w:color w:val="auto"/>
          <w:sz w:val="21"/>
          <w:szCs w:val="21"/>
          <w:highlight w:val="none"/>
          <w:lang w:val="en-US" w:eastAsia="zh-Hans"/>
        </w:rPr>
        <w:t>七</w:t>
      </w:r>
      <w:r>
        <w:rPr>
          <w:rFonts w:hint="eastAsia" w:ascii="仿宋" w:hAnsi="仿宋" w:eastAsia="仿宋" w:cs="仿宋"/>
          <w:b/>
          <w:bCs/>
          <w:color w:val="auto"/>
          <w:sz w:val="21"/>
          <w:szCs w:val="21"/>
          <w:highlight w:val="none"/>
          <w:lang w:val="en-US" w:eastAsia="zh-CN"/>
        </w:rPr>
        <w:t>、质量保证期</w:t>
      </w:r>
      <w:bookmarkEnd w:id="208"/>
      <w:bookmarkEnd w:id="209"/>
      <w:bookmarkEnd w:id="210"/>
    </w:p>
    <w:p w14:paraId="47F6D812">
      <w:pPr>
        <w:pStyle w:val="2"/>
        <w:keepNext w:val="0"/>
        <w:keepLines w:val="0"/>
        <w:pageBreakBefore w:val="0"/>
        <w:kinsoku/>
        <w:overflowPunct/>
        <w:topLinePunct w:val="0"/>
        <w:bidi w:val="0"/>
        <w:spacing w:line="360" w:lineRule="auto"/>
        <w:ind w:firstLine="420" w:firstLineChars="200"/>
        <w:outlineLvl w:val="9"/>
        <w:rPr>
          <w:rFonts w:hint="eastAsia" w:ascii="仿宋" w:hAnsi="仿宋" w:eastAsia="仿宋" w:cs="仿宋"/>
          <w:b w:val="0"/>
          <w:bCs w:val="0"/>
          <w:color w:val="auto"/>
          <w:kern w:val="2"/>
          <w:sz w:val="21"/>
          <w:szCs w:val="21"/>
          <w:highlight w:val="none"/>
          <w:lang w:val="en-US" w:eastAsia="zh-CN"/>
        </w:rPr>
      </w:pPr>
      <w:r>
        <w:rPr>
          <w:rFonts w:hint="eastAsia" w:ascii="仿宋" w:hAnsi="仿宋" w:eastAsia="仿宋" w:cs="仿宋"/>
          <w:b w:val="0"/>
          <w:bCs w:val="0"/>
          <w:color w:val="auto"/>
          <w:kern w:val="2"/>
          <w:sz w:val="21"/>
          <w:szCs w:val="21"/>
          <w:highlight w:val="none"/>
          <w:lang w:val="en-US" w:eastAsia="zh-CN"/>
        </w:rPr>
        <w:t>1.本项目质量保证期要求不低于行业标准。船艇完成维修保养后，需进行安装调试，设备参数和工况须达到船检标准合格以上，须提供主机厂家检验合格报告，须保证能够验收通过船舶检验部门的检验，须满足甲方执法执勤用船需要。</w:t>
      </w:r>
    </w:p>
    <w:p w14:paraId="56825BAF">
      <w:pPr>
        <w:pStyle w:val="2"/>
        <w:keepNext w:val="0"/>
        <w:keepLines w:val="0"/>
        <w:pageBreakBefore w:val="0"/>
        <w:kinsoku/>
        <w:overflowPunct/>
        <w:topLinePunct w:val="0"/>
        <w:bidi w:val="0"/>
        <w:spacing w:line="360" w:lineRule="auto"/>
        <w:ind w:firstLine="420" w:firstLineChars="200"/>
        <w:outlineLvl w:val="9"/>
        <w:rPr>
          <w:rFonts w:hint="eastAsia" w:ascii="仿宋" w:hAnsi="仿宋" w:eastAsia="仿宋" w:cs="仿宋"/>
          <w:b w:val="0"/>
          <w:bCs w:val="0"/>
          <w:color w:val="auto"/>
          <w:kern w:val="2"/>
          <w:sz w:val="21"/>
          <w:szCs w:val="21"/>
          <w:highlight w:val="none"/>
          <w:lang w:val="en-US" w:eastAsia="zh-CN"/>
        </w:rPr>
      </w:pPr>
      <w:r>
        <w:rPr>
          <w:rFonts w:hint="eastAsia" w:ascii="仿宋" w:hAnsi="仿宋" w:eastAsia="仿宋" w:cs="仿宋"/>
          <w:b w:val="0"/>
          <w:bCs w:val="0"/>
          <w:color w:val="auto"/>
          <w:kern w:val="2"/>
          <w:sz w:val="21"/>
          <w:szCs w:val="21"/>
          <w:highlight w:val="none"/>
          <w:lang w:val="en-US" w:eastAsia="zh-CN"/>
        </w:rPr>
        <w:t>2.质保期为：从货物供货、安装、调试正常且验收合格后开始计算，单次修理完工验收后，经乙方修复的固定部件质保期为</w:t>
      </w:r>
      <w:r>
        <w:rPr>
          <w:rFonts w:hint="eastAsia" w:ascii="仿宋" w:hAnsi="仿宋" w:eastAsia="仿宋" w:cs="仿宋"/>
          <w:b w:val="0"/>
          <w:bCs w:val="0"/>
          <w:color w:val="auto"/>
          <w:kern w:val="2"/>
          <w:sz w:val="21"/>
          <w:szCs w:val="21"/>
          <w:highlight w:val="none"/>
          <w:u w:val="single"/>
          <w:lang w:val="en-US" w:eastAsia="zh-CN"/>
        </w:rPr>
        <w:t xml:space="preserve">    </w:t>
      </w:r>
      <w:r>
        <w:rPr>
          <w:rFonts w:hint="eastAsia" w:ascii="仿宋" w:hAnsi="仿宋" w:eastAsia="仿宋" w:cs="仿宋"/>
          <w:b w:val="0"/>
          <w:bCs w:val="0"/>
          <w:color w:val="auto"/>
          <w:kern w:val="2"/>
          <w:sz w:val="21"/>
          <w:szCs w:val="21"/>
          <w:highlight w:val="none"/>
          <w:lang w:val="en-US" w:eastAsia="zh-CN"/>
        </w:rPr>
        <w:t>个月，运动部件质保期为</w:t>
      </w:r>
      <w:r>
        <w:rPr>
          <w:rFonts w:hint="eastAsia" w:ascii="仿宋" w:hAnsi="仿宋" w:eastAsia="仿宋" w:cs="仿宋"/>
          <w:b w:val="0"/>
          <w:bCs w:val="0"/>
          <w:color w:val="auto"/>
          <w:kern w:val="2"/>
          <w:sz w:val="21"/>
          <w:szCs w:val="21"/>
          <w:highlight w:val="none"/>
          <w:u w:val="single"/>
          <w:lang w:val="en-US" w:eastAsia="zh-CN"/>
        </w:rPr>
        <w:t xml:space="preserve">    </w:t>
      </w:r>
      <w:r>
        <w:rPr>
          <w:rFonts w:hint="eastAsia" w:ascii="仿宋" w:hAnsi="仿宋" w:eastAsia="仿宋" w:cs="仿宋"/>
          <w:b w:val="0"/>
          <w:bCs w:val="0"/>
          <w:color w:val="auto"/>
          <w:kern w:val="2"/>
          <w:sz w:val="21"/>
          <w:szCs w:val="21"/>
          <w:highlight w:val="none"/>
          <w:lang w:val="en-US" w:eastAsia="zh-CN"/>
        </w:rPr>
        <w:t>个月，质保期内，由于维修质量问题造成的船艇异常损坏、事故或直接经济损失等，由乙方负责维修或经济赔偿。在保修期内，因乙方修理质量问题而引起的故障或缺陷，乙方应及时予以返工修复。</w:t>
      </w:r>
    </w:p>
    <w:p w14:paraId="74BF8764">
      <w:pPr>
        <w:pStyle w:val="2"/>
        <w:keepNext w:val="0"/>
        <w:keepLines w:val="0"/>
        <w:pageBreakBefore w:val="0"/>
        <w:kinsoku/>
        <w:overflowPunct/>
        <w:topLinePunct w:val="0"/>
        <w:bidi w:val="0"/>
        <w:spacing w:line="360" w:lineRule="auto"/>
        <w:ind w:firstLine="420" w:firstLineChars="200"/>
        <w:outlineLvl w:val="9"/>
        <w:rPr>
          <w:rFonts w:hint="eastAsia" w:ascii="仿宋" w:hAnsi="仿宋" w:eastAsia="仿宋" w:cs="仿宋"/>
          <w:b w:val="0"/>
          <w:bCs w:val="0"/>
          <w:color w:val="auto"/>
          <w:kern w:val="2"/>
          <w:sz w:val="21"/>
          <w:szCs w:val="21"/>
          <w:highlight w:val="none"/>
          <w:lang w:val="en-US" w:eastAsia="zh-CN"/>
        </w:rPr>
      </w:pPr>
      <w:r>
        <w:rPr>
          <w:rFonts w:hint="eastAsia" w:ascii="仿宋" w:hAnsi="仿宋" w:eastAsia="仿宋" w:cs="仿宋"/>
          <w:b w:val="0"/>
          <w:bCs w:val="0"/>
          <w:color w:val="auto"/>
          <w:kern w:val="2"/>
          <w:sz w:val="21"/>
          <w:szCs w:val="21"/>
          <w:highlight w:val="none"/>
          <w:lang w:val="en-US" w:eastAsia="zh-CN"/>
        </w:rPr>
        <w:t>3.如在质保期内再次出现相似故障，经甲方与乙方双方共同进行认定，确为乙方责任的由乙方承担维修费用，如因甲方使用不当造成的由甲方承担维修费用。如双方认定意见不统一，甲方有权委托第三方有资质机构进行检测认定，检测费用由过错方承担。</w:t>
      </w:r>
    </w:p>
    <w:p w14:paraId="53142D8B">
      <w:pPr>
        <w:pStyle w:val="2"/>
        <w:keepNext w:val="0"/>
        <w:keepLines w:val="0"/>
        <w:pageBreakBefore w:val="0"/>
        <w:kinsoku/>
        <w:overflowPunct/>
        <w:topLinePunct w:val="0"/>
        <w:bidi w:val="0"/>
        <w:spacing w:line="360" w:lineRule="auto"/>
        <w:ind w:firstLine="420" w:firstLineChars="200"/>
        <w:outlineLvl w:val="9"/>
        <w:rPr>
          <w:rFonts w:hint="eastAsia" w:ascii="仿宋" w:hAnsi="仿宋" w:eastAsia="仿宋" w:cs="仿宋"/>
          <w:b w:val="0"/>
          <w:bCs w:val="0"/>
          <w:color w:val="auto"/>
          <w:kern w:val="2"/>
          <w:sz w:val="21"/>
          <w:szCs w:val="21"/>
          <w:highlight w:val="none"/>
          <w:lang w:val="en-US" w:eastAsia="zh-CN"/>
        </w:rPr>
      </w:pPr>
      <w:r>
        <w:rPr>
          <w:rFonts w:hint="eastAsia" w:ascii="仿宋" w:hAnsi="仿宋" w:eastAsia="仿宋" w:cs="仿宋"/>
          <w:b w:val="0"/>
          <w:bCs w:val="0"/>
          <w:color w:val="auto"/>
          <w:kern w:val="2"/>
          <w:sz w:val="21"/>
          <w:szCs w:val="21"/>
          <w:highlight w:val="none"/>
          <w:lang w:val="en-US" w:eastAsia="zh-CN"/>
        </w:rPr>
        <w:t>4.经过保修的项目，其质保期从保修恢复之日起重新计算。</w:t>
      </w:r>
    </w:p>
    <w:p w14:paraId="5B669869">
      <w:pPr>
        <w:pStyle w:val="2"/>
        <w:keepNext w:val="0"/>
        <w:keepLines w:val="0"/>
        <w:pageBreakBefore w:val="0"/>
        <w:kinsoku/>
        <w:overflowPunct/>
        <w:topLinePunct w:val="0"/>
        <w:bidi w:val="0"/>
        <w:spacing w:line="360" w:lineRule="auto"/>
        <w:ind w:firstLine="420" w:firstLineChars="200"/>
        <w:outlineLvl w:val="9"/>
        <w:rPr>
          <w:rFonts w:hint="eastAsia" w:ascii="仿宋" w:hAnsi="仿宋" w:eastAsia="仿宋" w:cs="仿宋"/>
          <w:b w:val="0"/>
          <w:bCs w:val="0"/>
          <w:color w:val="auto"/>
          <w:kern w:val="2"/>
          <w:sz w:val="21"/>
          <w:szCs w:val="21"/>
          <w:highlight w:val="none"/>
          <w:lang w:val="en-US" w:eastAsia="zh-CN"/>
        </w:rPr>
      </w:pPr>
    </w:p>
    <w:p w14:paraId="52AE042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1"/>
        <w:rPr>
          <w:rFonts w:hint="eastAsia" w:ascii="仿宋" w:hAnsi="仿宋" w:eastAsia="仿宋" w:cs="仿宋"/>
          <w:b/>
          <w:bCs/>
          <w:color w:val="auto"/>
          <w:sz w:val="21"/>
          <w:szCs w:val="21"/>
          <w:highlight w:val="none"/>
          <w:lang w:val="en-US" w:eastAsia="zh-CN"/>
        </w:rPr>
      </w:pPr>
      <w:bookmarkStart w:id="213" w:name="_Toc5822"/>
      <w:bookmarkStart w:id="214" w:name="_Toc12523"/>
      <w:bookmarkStart w:id="215" w:name="_Toc28731"/>
      <w:r>
        <w:rPr>
          <w:rFonts w:hint="eastAsia" w:ascii="仿宋" w:hAnsi="仿宋" w:eastAsia="仿宋" w:cs="仿宋"/>
          <w:b/>
          <w:bCs/>
          <w:color w:val="auto"/>
          <w:sz w:val="21"/>
          <w:szCs w:val="21"/>
          <w:highlight w:val="none"/>
          <w:lang w:val="en-US" w:eastAsia="zh-CN"/>
        </w:rPr>
        <w:t>八、验收</w:t>
      </w:r>
      <w:bookmarkEnd w:id="211"/>
      <w:bookmarkEnd w:id="212"/>
      <w:bookmarkEnd w:id="213"/>
      <w:bookmarkEnd w:id="214"/>
      <w:bookmarkEnd w:id="215"/>
    </w:p>
    <w:p w14:paraId="7D8F6E28">
      <w:pPr>
        <w:pStyle w:val="3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360" w:lineRule="auto"/>
        <w:ind w:left="0" w:leftChars="0" w:right="0" w:rightChars="0" w:firstLine="420" w:firstLineChars="200"/>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kern w:val="2"/>
          <w:sz w:val="21"/>
          <w:szCs w:val="21"/>
          <w:highlight w:val="none"/>
          <w:lang w:val="en-US" w:eastAsia="zh-CN" w:bidi="ar-SA"/>
        </w:rPr>
        <w:t>1.</w:t>
      </w:r>
      <w:r>
        <w:rPr>
          <w:rFonts w:hint="eastAsia" w:ascii="仿宋" w:hAnsi="仿宋" w:eastAsia="仿宋" w:cs="仿宋"/>
          <w:color w:val="auto"/>
          <w:szCs w:val="21"/>
          <w:highlight w:val="none"/>
          <w:lang w:eastAsia="zh-CN"/>
        </w:rPr>
        <w:t>验收主体：由甲方负责组织开展验收工作，必要时可邀请第三方专业检测机构或行业专家协同参与验收，出具专业意见。</w:t>
      </w:r>
    </w:p>
    <w:p w14:paraId="073B031F">
      <w:pPr>
        <w:pStyle w:val="3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360" w:lineRule="auto"/>
        <w:ind w:left="0" w:leftChars="0" w:right="0" w:rightChars="0" w:firstLine="420" w:firstLineChars="200"/>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验收方式：</w:t>
      </w:r>
      <w:r>
        <w:rPr>
          <w:rFonts w:hint="eastAsia" w:ascii="仿宋" w:hAnsi="仿宋" w:eastAsia="仿宋" w:cs="仿宋"/>
          <w:color w:val="auto"/>
          <w:szCs w:val="21"/>
          <w:highlight w:val="none"/>
          <w:lang w:val="en-US" w:eastAsia="zh-CN"/>
        </w:rPr>
        <w:t>甲方组织相关人员根据维修清单对乙方提供的服务进行验收</w:t>
      </w:r>
      <w:r>
        <w:rPr>
          <w:rFonts w:hint="eastAsia" w:ascii="仿宋" w:hAnsi="仿宋" w:eastAsia="仿宋" w:cs="仿宋"/>
          <w:color w:val="auto"/>
          <w:szCs w:val="21"/>
          <w:highlight w:val="none"/>
          <w:lang w:eastAsia="zh-CN"/>
        </w:rPr>
        <w:t>。</w:t>
      </w:r>
    </w:p>
    <w:p w14:paraId="02F18144">
      <w:pPr>
        <w:pStyle w:val="3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360" w:lineRule="auto"/>
        <w:ind w:left="0" w:leftChars="0" w:right="0" w:rightChars="0" w:firstLine="420" w:firstLineChars="200"/>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lang w:eastAsia="zh-CN"/>
        </w:rPr>
        <w:t>验收时间：乙方应在单艘船艇中修项目完工且自检合格后5个工作日内，向甲方提交维修保养项目验收申请报告和维修工程竣工资料（含厂家检验报告）。甲方接到验收申请报告和完整的竣工资料后5个工作日</w:t>
      </w:r>
      <w:r>
        <w:rPr>
          <w:rFonts w:hint="eastAsia" w:ascii="仿宋" w:hAnsi="仿宋" w:eastAsia="仿宋" w:cs="仿宋"/>
          <w:color w:val="auto"/>
          <w:szCs w:val="21"/>
          <w:highlight w:val="none"/>
          <w:lang w:val="en-US" w:eastAsia="zh-CN"/>
        </w:rPr>
        <w:t>内</w:t>
      </w:r>
      <w:r>
        <w:rPr>
          <w:rFonts w:hint="eastAsia" w:ascii="仿宋" w:hAnsi="仿宋" w:eastAsia="仿宋" w:cs="仿宋"/>
          <w:color w:val="auto"/>
          <w:szCs w:val="21"/>
          <w:highlight w:val="none"/>
          <w:lang w:eastAsia="zh-CN"/>
        </w:rPr>
        <w:t>组织验收；如维修工程或竣工资料不符合要求的，乙方应按甲方的要求，对维修工程进行整改或对竣工资料予以补充，并重新申请验收，由此产生的费用由乙方承担，维修工期不予顺延。</w:t>
      </w:r>
    </w:p>
    <w:p w14:paraId="0C8199D1">
      <w:pPr>
        <w:pStyle w:val="3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360" w:lineRule="auto"/>
        <w:ind w:left="0" w:leftChars="0" w:right="0" w:rightChars="0" w:firstLine="420" w:firstLineChars="200"/>
        <w:textAlignment w:val="auto"/>
        <w:rPr>
          <w:rFonts w:hint="eastAsia" w:ascii="仿宋" w:hAnsi="仿宋" w:eastAsia="仿宋" w:cs="仿宋"/>
          <w:color w:val="auto"/>
          <w:sz w:val="21"/>
          <w:szCs w:val="21"/>
          <w:highlight w:val="none"/>
          <w:lang w:eastAsia="zh-CN"/>
        </w:rPr>
      </w:pP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验收程序：</w:t>
      </w:r>
      <w:r>
        <w:rPr>
          <w:rFonts w:hint="eastAsia" w:ascii="仿宋" w:hAnsi="仿宋" w:eastAsia="仿宋" w:cs="仿宋"/>
          <w:color w:val="auto"/>
          <w:szCs w:val="21"/>
          <w:highlight w:val="none"/>
          <w:lang w:val="en-US" w:eastAsia="zh-CN"/>
        </w:rPr>
        <w:t>①</w:t>
      </w:r>
      <w:r>
        <w:rPr>
          <w:rFonts w:hint="eastAsia" w:ascii="仿宋" w:hAnsi="仿宋" w:eastAsia="仿宋" w:cs="仿宋"/>
          <w:color w:val="auto"/>
          <w:szCs w:val="21"/>
          <w:highlight w:val="none"/>
          <w:lang w:eastAsia="zh-CN"/>
        </w:rPr>
        <w:t>甲方主管部门批准乙方提交的竣工验收申请报告和竣工资料后，甲方应确定验收时间并通知验收小组有关人员；</w:t>
      </w:r>
      <w:r>
        <w:rPr>
          <w:rFonts w:hint="eastAsia" w:ascii="仿宋" w:hAnsi="仿宋" w:eastAsia="仿宋" w:cs="仿宋"/>
          <w:color w:val="auto"/>
          <w:szCs w:val="21"/>
          <w:highlight w:val="none"/>
          <w:lang w:val="en-US" w:eastAsia="zh-CN"/>
        </w:rPr>
        <w:t>②</w:t>
      </w:r>
      <w:r>
        <w:rPr>
          <w:rFonts w:hint="eastAsia" w:ascii="仿宋" w:hAnsi="仿宋" w:eastAsia="仿宋" w:cs="仿宋"/>
          <w:color w:val="auto"/>
          <w:szCs w:val="21"/>
          <w:highlight w:val="none"/>
          <w:lang w:eastAsia="zh-CN"/>
        </w:rPr>
        <w:t>甲方主管部门组织有关单位按合同约定维修保养项目内容，对维修保养项目各个环节进行检验，听取有关单位的检验意见，对维修保养项目遗留或存在的问题提出书面处理意见；</w:t>
      </w:r>
      <w:r>
        <w:rPr>
          <w:rFonts w:hint="eastAsia" w:ascii="仿宋" w:hAnsi="仿宋" w:eastAsia="仿宋" w:cs="仿宋"/>
          <w:color w:val="auto"/>
          <w:szCs w:val="21"/>
          <w:highlight w:val="none"/>
          <w:lang w:val="en-US" w:eastAsia="zh-CN"/>
        </w:rPr>
        <w:t>③</w:t>
      </w:r>
      <w:r>
        <w:rPr>
          <w:rFonts w:hint="eastAsia" w:ascii="仿宋" w:hAnsi="仿宋" w:eastAsia="仿宋" w:cs="仿宋"/>
          <w:color w:val="auto"/>
          <w:szCs w:val="21"/>
          <w:highlight w:val="none"/>
          <w:lang w:eastAsia="zh-CN"/>
        </w:rPr>
        <w:t>经维修保养项目质量达到合格标准的（包括试航），甲方与乙方双方办理书面交接手续。</w:t>
      </w:r>
      <w:r>
        <w:rPr>
          <w:rFonts w:hint="eastAsia" w:ascii="仿宋" w:hAnsi="仿宋" w:eastAsia="仿宋" w:cs="仿宋"/>
          <w:color w:val="auto"/>
          <w:szCs w:val="21"/>
          <w:highlight w:val="none"/>
          <w:lang w:val="en-US" w:eastAsia="zh-CN"/>
        </w:rPr>
        <w:t>④</w:t>
      </w:r>
      <w:r>
        <w:rPr>
          <w:rFonts w:hint="eastAsia" w:ascii="仿宋" w:hAnsi="仿宋" w:eastAsia="仿宋" w:cs="仿宋"/>
          <w:color w:val="auto"/>
          <w:szCs w:val="21"/>
          <w:highlight w:val="none"/>
          <w:lang w:eastAsia="zh-CN"/>
        </w:rPr>
        <w:t>项目完工验收合格后，乙方应将所有完工资料移交甲方。</w:t>
      </w:r>
    </w:p>
    <w:p w14:paraId="6BED4AAD">
      <w:pPr>
        <w:pStyle w:val="3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360" w:lineRule="auto"/>
        <w:ind w:left="0" w:leftChars="0" w:right="0" w:rightChars="0" w:firstLine="420" w:firstLineChars="200"/>
        <w:textAlignment w:val="auto"/>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val="en-US" w:eastAsia="zh-CN"/>
        </w:rPr>
        <w:t>5.</w:t>
      </w:r>
      <w:r>
        <w:rPr>
          <w:rFonts w:hint="eastAsia" w:ascii="仿宋" w:hAnsi="仿宋" w:eastAsia="仿宋" w:cs="仿宋"/>
          <w:color w:val="auto"/>
          <w:sz w:val="21"/>
          <w:szCs w:val="21"/>
          <w:highlight w:val="none"/>
          <w:lang w:eastAsia="zh-CN"/>
        </w:rPr>
        <w:t>验收内容：甲方对乙方提供的服务进行验收，对中修中所留存影像资料及更换下来的旧零配件进行检查、确认、处理。要求跟艇试航，记录主机工作状态及船艇性能状态，填写航行试验报告单。产品质量应达到设计要求，安装调试各项指标和技术要求应符合验收标准要求。经试航后，各项设备运行指标正常，须通过主机厂家验收并出具检验报告。在维修保养工作期间应对工程量清单中每一步骤留存相关影像资料，最后汇总形成结算报告，未留存相关影像资料视作未完成，结算中进行核减。</w:t>
      </w:r>
    </w:p>
    <w:p w14:paraId="30E7EE3A">
      <w:pPr>
        <w:pStyle w:val="3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360" w:lineRule="auto"/>
        <w:ind w:left="0" w:leftChars="0" w:right="0" w:rightChars="0" w:firstLine="420" w:firstLineChars="200"/>
        <w:textAlignment w:val="auto"/>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val="en-US" w:eastAsia="zh-CN"/>
        </w:rPr>
        <w:t>6.</w:t>
      </w:r>
      <w:r>
        <w:rPr>
          <w:rFonts w:hint="eastAsia" w:ascii="仿宋" w:hAnsi="仿宋" w:eastAsia="仿宋" w:cs="仿宋"/>
          <w:color w:val="auto"/>
          <w:sz w:val="21"/>
          <w:szCs w:val="21"/>
          <w:highlight w:val="none"/>
          <w:lang w:eastAsia="zh-CN"/>
        </w:rPr>
        <w:t>验收标准：①乙方提供的货物或服务质量符合我国最新颁布的与之相关的技术规范与标准，同时满足国家强制标准、行业规范标准、采购文件明确要求、投标（响应）文件承诺及合同全部约定；设备按照制造厂商生产的产品验收标准和中华人民共和国有关标准以及招标文件规定的技术要求进行验收。②乙方需无实质性偏离、无质量瑕疵，达到约定的服务成效。</w:t>
      </w:r>
      <w:r>
        <w:rPr>
          <w:rFonts w:hint="eastAsia" w:ascii="仿宋" w:hAnsi="仿宋" w:eastAsia="仿宋" w:cs="仿宋"/>
          <w:color w:val="auto"/>
          <w:sz w:val="21"/>
          <w:szCs w:val="21"/>
          <w:highlight w:val="none"/>
          <w:lang w:val="en-US" w:eastAsia="zh-CN"/>
        </w:rPr>
        <w:t>验收时</w:t>
      </w:r>
      <w:r>
        <w:rPr>
          <w:rFonts w:hint="eastAsia" w:ascii="仿宋" w:hAnsi="仿宋" w:eastAsia="仿宋" w:cs="仿宋"/>
          <w:color w:val="auto"/>
          <w:sz w:val="21"/>
          <w:szCs w:val="21"/>
          <w:highlight w:val="none"/>
          <w:lang w:eastAsia="zh-CN"/>
        </w:rPr>
        <w:t>提供完整的服务执行记录、成果文件及相关佐证材料，确保服务过程可追溯、可核查，服务成果符合合同约定要求。</w:t>
      </w:r>
    </w:p>
    <w:p w14:paraId="585A441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lang w:val="en-US" w:eastAsia="zh-CN"/>
        </w:rPr>
        <w:t>7.</w:t>
      </w:r>
      <w:r>
        <w:rPr>
          <w:rFonts w:hint="eastAsia" w:ascii="仿宋" w:hAnsi="仿宋" w:eastAsia="仿宋" w:cs="仿宋"/>
          <w:color w:val="auto"/>
          <w:sz w:val="21"/>
          <w:szCs w:val="21"/>
          <w:highlight w:val="none"/>
          <w:lang w:eastAsia="zh-CN"/>
        </w:rPr>
        <w:t>整改与费用：首次验收不合格，乙方须按甲方要求限期整改、返工，补充完善服务内容；重新验收产生的所有费用（检测费、评估费、人工费等）均由过错方承担，逾期未整改或整改后仍不合格视为严重违约。</w:t>
      </w:r>
    </w:p>
    <w:p w14:paraId="5A217807">
      <w:pPr>
        <w:pStyle w:val="22"/>
        <w:keepNext w:val="0"/>
        <w:keepLines w:val="0"/>
        <w:pageBreakBefore w:val="0"/>
        <w:kinsoku/>
        <w:overflowPunct/>
        <w:topLinePunct w:val="0"/>
        <w:bidi w:val="0"/>
        <w:spacing w:line="360" w:lineRule="auto"/>
        <w:rPr>
          <w:rFonts w:hint="eastAsia" w:ascii="仿宋" w:hAnsi="仿宋" w:eastAsia="仿宋" w:cs="仿宋"/>
          <w:color w:val="auto"/>
          <w:sz w:val="21"/>
          <w:szCs w:val="21"/>
          <w:highlight w:val="none"/>
          <w:lang w:val="en-US" w:eastAsia="zh-Hans"/>
        </w:rPr>
      </w:pPr>
    </w:p>
    <w:p w14:paraId="6CAEDB5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1"/>
        <w:rPr>
          <w:rFonts w:hint="eastAsia" w:ascii="仿宋" w:hAnsi="仿宋" w:eastAsia="仿宋" w:cs="仿宋"/>
          <w:b/>
          <w:bCs/>
          <w:color w:val="auto"/>
          <w:sz w:val="21"/>
          <w:szCs w:val="21"/>
          <w:highlight w:val="none"/>
          <w:lang w:val="en-US" w:eastAsia="zh-CN"/>
        </w:rPr>
      </w:pPr>
      <w:bookmarkStart w:id="216" w:name="_Toc29449"/>
      <w:bookmarkStart w:id="217" w:name="_Toc15870"/>
      <w:bookmarkStart w:id="218" w:name="_Toc26209"/>
      <w:bookmarkStart w:id="219" w:name="_Toc19874"/>
      <w:bookmarkStart w:id="220" w:name="_Toc15499"/>
      <w:r>
        <w:rPr>
          <w:rFonts w:hint="eastAsia" w:ascii="仿宋" w:hAnsi="仿宋" w:eastAsia="仿宋" w:cs="仿宋"/>
          <w:b/>
          <w:bCs/>
          <w:color w:val="auto"/>
          <w:sz w:val="21"/>
          <w:szCs w:val="21"/>
          <w:highlight w:val="none"/>
          <w:lang w:val="en-US" w:eastAsia="zh-CN"/>
        </w:rPr>
        <w:t>九、付款方式及期限</w:t>
      </w:r>
      <w:bookmarkEnd w:id="216"/>
      <w:bookmarkEnd w:id="217"/>
      <w:bookmarkEnd w:id="218"/>
      <w:bookmarkEnd w:id="219"/>
      <w:bookmarkEnd w:id="220"/>
    </w:p>
    <w:p w14:paraId="186245E1">
      <w:pPr>
        <w:pStyle w:val="2"/>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（一）乙方往来款账号信息</w:t>
      </w:r>
    </w:p>
    <w:p w14:paraId="78709F4A">
      <w:pPr>
        <w:pStyle w:val="2"/>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 xml:space="preserve">开户名： </w:t>
      </w:r>
    </w:p>
    <w:p w14:paraId="2F6F917B">
      <w:pPr>
        <w:pStyle w:val="2"/>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 xml:space="preserve">账号：  </w:t>
      </w:r>
    </w:p>
    <w:p w14:paraId="1DF1507C">
      <w:pPr>
        <w:pStyle w:val="2"/>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 xml:space="preserve">开户银行： </w:t>
      </w:r>
    </w:p>
    <w:p w14:paraId="3407F09C">
      <w:pPr>
        <w:pStyle w:val="2"/>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（二）付款方式</w:t>
      </w:r>
    </w:p>
    <w:p w14:paraId="2664C2C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（1）预付款：首艘船艇进场上排后，</w:t>
      </w:r>
      <w:r>
        <w:rPr>
          <w:rFonts w:hint="eastAsia" w:ascii="仿宋" w:hAnsi="仿宋" w:eastAsia="仿宋" w:cs="仿宋"/>
          <w:color w:val="auto"/>
          <w:sz w:val="21"/>
          <w:szCs w:val="21"/>
          <w:highlight w:val="none"/>
          <w:lang w:val="en-US" w:eastAsia="zh-CN"/>
        </w:rPr>
        <w:t>乙方</w:t>
      </w:r>
      <w:r>
        <w:rPr>
          <w:rFonts w:hint="eastAsia" w:ascii="仿宋" w:hAnsi="仿宋" w:eastAsia="仿宋" w:cs="仿宋"/>
          <w:color w:val="auto"/>
          <w:sz w:val="21"/>
          <w:szCs w:val="21"/>
          <w:highlight w:val="none"/>
          <w:lang w:val="en-US" w:eastAsia="zh-Hans"/>
        </w:rPr>
        <w:t>开具符合采购人要求的发票，</w:t>
      </w:r>
      <w:r>
        <w:rPr>
          <w:rFonts w:hint="eastAsia" w:ascii="仿宋" w:hAnsi="仿宋" w:eastAsia="仿宋" w:cs="仿宋"/>
          <w:color w:val="auto"/>
          <w:sz w:val="21"/>
          <w:szCs w:val="21"/>
          <w:highlight w:val="none"/>
          <w:lang w:val="en-US" w:eastAsia="zh-CN"/>
        </w:rPr>
        <w:t>甲方</w:t>
      </w:r>
      <w:r>
        <w:rPr>
          <w:rFonts w:hint="eastAsia" w:ascii="仿宋" w:hAnsi="仿宋" w:eastAsia="仿宋" w:cs="仿宋"/>
          <w:color w:val="auto"/>
          <w:sz w:val="21"/>
          <w:szCs w:val="21"/>
          <w:highlight w:val="none"/>
          <w:lang w:val="en-US" w:eastAsia="zh-Hans"/>
        </w:rPr>
        <w:t>于收到发票后10个工作日内向</w:t>
      </w:r>
      <w:r>
        <w:rPr>
          <w:rFonts w:hint="eastAsia" w:ascii="仿宋" w:hAnsi="仿宋" w:eastAsia="仿宋" w:cs="仿宋"/>
          <w:color w:val="auto"/>
          <w:sz w:val="21"/>
          <w:szCs w:val="21"/>
          <w:highlight w:val="none"/>
          <w:lang w:val="en-US" w:eastAsia="zh-CN"/>
        </w:rPr>
        <w:t>乙方</w:t>
      </w:r>
      <w:r>
        <w:rPr>
          <w:rFonts w:hint="eastAsia" w:ascii="仿宋" w:hAnsi="仿宋" w:eastAsia="仿宋" w:cs="仿宋"/>
          <w:color w:val="auto"/>
          <w:sz w:val="21"/>
          <w:szCs w:val="21"/>
          <w:highlight w:val="none"/>
          <w:lang w:val="en-US" w:eastAsia="zh-Hans"/>
        </w:rPr>
        <w:t>支付合同款的30%作为预付款。</w:t>
      </w:r>
    </w:p>
    <w:p w14:paraId="5F9FA41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（2）进度款：首艘船艇主机维修完成且自检合格后，</w:t>
      </w:r>
      <w:r>
        <w:rPr>
          <w:rFonts w:hint="eastAsia" w:ascii="仿宋" w:hAnsi="仿宋" w:eastAsia="仿宋" w:cs="仿宋"/>
          <w:color w:val="auto"/>
          <w:sz w:val="21"/>
          <w:szCs w:val="21"/>
          <w:highlight w:val="none"/>
          <w:lang w:val="en-US" w:eastAsia="zh-CN"/>
        </w:rPr>
        <w:t>乙方</w:t>
      </w:r>
      <w:r>
        <w:rPr>
          <w:rFonts w:hint="eastAsia" w:ascii="仿宋" w:hAnsi="仿宋" w:eastAsia="仿宋" w:cs="仿宋"/>
          <w:color w:val="auto"/>
          <w:sz w:val="21"/>
          <w:szCs w:val="21"/>
          <w:highlight w:val="none"/>
          <w:lang w:val="en-US" w:eastAsia="zh-Hans"/>
        </w:rPr>
        <w:t>在5个工作日内向</w:t>
      </w:r>
      <w:r>
        <w:rPr>
          <w:rFonts w:hint="eastAsia" w:ascii="仿宋" w:hAnsi="仿宋" w:eastAsia="仿宋" w:cs="仿宋"/>
          <w:color w:val="auto"/>
          <w:sz w:val="21"/>
          <w:szCs w:val="21"/>
          <w:highlight w:val="none"/>
          <w:lang w:val="en-US" w:eastAsia="zh-CN"/>
        </w:rPr>
        <w:t>甲方</w:t>
      </w:r>
      <w:r>
        <w:rPr>
          <w:rFonts w:hint="eastAsia" w:ascii="仿宋" w:hAnsi="仿宋" w:eastAsia="仿宋" w:cs="仿宋"/>
          <w:color w:val="auto"/>
          <w:sz w:val="21"/>
          <w:szCs w:val="21"/>
          <w:highlight w:val="none"/>
          <w:lang w:val="en-US" w:eastAsia="zh-Hans"/>
        </w:rPr>
        <w:t>递交书面的《竣工验收申请报告》、项目验收相关技术资料、合格证明以及验收所必须具备的其他材料，并协助</w:t>
      </w:r>
      <w:r>
        <w:rPr>
          <w:rFonts w:hint="eastAsia" w:ascii="仿宋" w:hAnsi="仿宋" w:eastAsia="仿宋" w:cs="仿宋"/>
          <w:color w:val="auto"/>
          <w:sz w:val="21"/>
          <w:szCs w:val="21"/>
          <w:highlight w:val="none"/>
          <w:lang w:val="en-US" w:eastAsia="zh-CN"/>
        </w:rPr>
        <w:t>甲方</w:t>
      </w:r>
      <w:r>
        <w:rPr>
          <w:rFonts w:hint="eastAsia" w:ascii="仿宋" w:hAnsi="仿宋" w:eastAsia="仿宋" w:cs="仿宋"/>
          <w:color w:val="auto"/>
          <w:sz w:val="21"/>
          <w:szCs w:val="21"/>
          <w:highlight w:val="none"/>
          <w:lang w:val="en-US" w:eastAsia="zh-Hans"/>
        </w:rPr>
        <w:t>对项目质量进行评定，经</w:t>
      </w:r>
      <w:r>
        <w:rPr>
          <w:rFonts w:hint="eastAsia" w:ascii="仿宋" w:hAnsi="仿宋" w:eastAsia="仿宋" w:cs="仿宋"/>
          <w:color w:val="auto"/>
          <w:sz w:val="21"/>
          <w:szCs w:val="21"/>
          <w:highlight w:val="none"/>
          <w:lang w:val="en-US" w:eastAsia="zh-CN"/>
        </w:rPr>
        <w:t>甲方</w:t>
      </w:r>
      <w:r>
        <w:rPr>
          <w:rFonts w:hint="eastAsia" w:ascii="仿宋" w:hAnsi="仿宋" w:eastAsia="仿宋" w:cs="仿宋"/>
          <w:color w:val="auto"/>
          <w:sz w:val="21"/>
          <w:szCs w:val="21"/>
          <w:highlight w:val="none"/>
          <w:lang w:val="en-US" w:eastAsia="zh-Hans"/>
        </w:rPr>
        <w:t>验收合格后，在书面的验收报告上盖章确认。</w:t>
      </w:r>
      <w:r>
        <w:rPr>
          <w:rFonts w:hint="eastAsia" w:ascii="仿宋" w:hAnsi="仿宋" w:eastAsia="仿宋" w:cs="仿宋"/>
          <w:color w:val="auto"/>
          <w:sz w:val="21"/>
          <w:szCs w:val="21"/>
          <w:highlight w:val="none"/>
          <w:lang w:val="en-US" w:eastAsia="zh-CN"/>
        </w:rPr>
        <w:t>乙方</w:t>
      </w:r>
      <w:r>
        <w:rPr>
          <w:rFonts w:hint="eastAsia" w:ascii="仿宋" w:hAnsi="仿宋" w:eastAsia="仿宋" w:cs="仿宋"/>
          <w:color w:val="auto"/>
          <w:sz w:val="21"/>
          <w:szCs w:val="21"/>
          <w:highlight w:val="none"/>
          <w:lang w:val="en-US" w:eastAsia="zh-Hans"/>
        </w:rPr>
        <w:t>向采购人提交进度付款申请，并开具符合</w:t>
      </w:r>
      <w:r>
        <w:rPr>
          <w:rFonts w:hint="eastAsia" w:ascii="仿宋" w:hAnsi="仿宋" w:eastAsia="仿宋" w:cs="仿宋"/>
          <w:color w:val="auto"/>
          <w:sz w:val="21"/>
          <w:szCs w:val="21"/>
          <w:highlight w:val="none"/>
          <w:lang w:val="en-US" w:eastAsia="zh-CN"/>
        </w:rPr>
        <w:t>甲方</w:t>
      </w:r>
      <w:r>
        <w:rPr>
          <w:rFonts w:hint="eastAsia" w:ascii="仿宋" w:hAnsi="仿宋" w:eastAsia="仿宋" w:cs="仿宋"/>
          <w:color w:val="auto"/>
          <w:sz w:val="21"/>
          <w:szCs w:val="21"/>
          <w:highlight w:val="none"/>
          <w:lang w:val="en-US" w:eastAsia="zh-Hans"/>
        </w:rPr>
        <w:t>要求的发票，</w:t>
      </w:r>
      <w:r>
        <w:rPr>
          <w:rFonts w:hint="eastAsia" w:ascii="仿宋" w:hAnsi="仿宋" w:eastAsia="仿宋" w:cs="仿宋"/>
          <w:color w:val="auto"/>
          <w:sz w:val="21"/>
          <w:szCs w:val="21"/>
          <w:highlight w:val="none"/>
          <w:lang w:val="en-US" w:eastAsia="zh-CN"/>
        </w:rPr>
        <w:t>甲方</w:t>
      </w:r>
      <w:r>
        <w:rPr>
          <w:rFonts w:hint="eastAsia" w:ascii="仿宋" w:hAnsi="仿宋" w:eastAsia="仿宋" w:cs="仿宋"/>
          <w:color w:val="auto"/>
          <w:sz w:val="21"/>
          <w:szCs w:val="21"/>
          <w:highlight w:val="none"/>
          <w:lang w:val="en-US" w:eastAsia="zh-Hans"/>
        </w:rPr>
        <w:t>于收到发票后10个工作日内向</w:t>
      </w:r>
      <w:r>
        <w:rPr>
          <w:rFonts w:hint="eastAsia" w:ascii="仿宋" w:hAnsi="仿宋" w:eastAsia="仿宋" w:cs="仿宋"/>
          <w:color w:val="auto"/>
          <w:sz w:val="21"/>
          <w:szCs w:val="21"/>
          <w:highlight w:val="none"/>
          <w:lang w:val="en-US" w:eastAsia="zh-CN"/>
        </w:rPr>
        <w:t>乙方</w:t>
      </w:r>
      <w:r>
        <w:rPr>
          <w:rFonts w:hint="eastAsia" w:ascii="仿宋" w:hAnsi="仿宋" w:eastAsia="仿宋" w:cs="仿宋"/>
          <w:color w:val="auto"/>
          <w:sz w:val="21"/>
          <w:szCs w:val="21"/>
          <w:highlight w:val="none"/>
          <w:lang w:val="en-US" w:eastAsia="zh-Hans"/>
        </w:rPr>
        <w:t>支付该艘船艇的合同金额。</w:t>
      </w:r>
    </w:p>
    <w:p w14:paraId="178584E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（3）尾款：项目全部完成并经</w:t>
      </w:r>
      <w:r>
        <w:rPr>
          <w:rFonts w:hint="eastAsia" w:ascii="仿宋" w:hAnsi="仿宋" w:eastAsia="仿宋" w:cs="仿宋"/>
          <w:color w:val="auto"/>
          <w:sz w:val="21"/>
          <w:szCs w:val="21"/>
          <w:highlight w:val="none"/>
          <w:lang w:val="en-US" w:eastAsia="zh-CN"/>
        </w:rPr>
        <w:t>甲方</w:t>
      </w:r>
      <w:r>
        <w:rPr>
          <w:rFonts w:hint="eastAsia" w:ascii="仿宋" w:hAnsi="仿宋" w:eastAsia="仿宋" w:cs="仿宋"/>
          <w:color w:val="auto"/>
          <w:sz w:val="21"/>
          <w:szCs w:val="21"/>
          <w:highlight w:val="none"/>
          <w:lang w:val="en-US" w:eastAsia="zh-Hans"/>
        </w:rPr>
        <w:t>验收合格后，</w:t>
      </w:r>
      <w:r>
        <w:rPr>
          <w:rFonts w:hint="eastAsia" w:ascii="仿宋" w:hAnsi="仿宋" w:eastAsia="仿宋" w:cs="仿宋"/>
          <w:color w:val="auto"/>
          <w:sz w:val="21"/>
          <w:szCs w:val="21"/>
          <w:highlight w:val="none"/>
          <w:lang w:val="en-US" w:eastAsia="zh-CN"/>
        </w:rPr>
        <w:t>乙方</w:t>
      </w:r>
      <w:r>
        <w:rPr>
          <w:rFonts w:hint="eastAsia" w:ascii="仿宋" w:hAnsi="仿宋" w:eastAsia="仿宋" w:cs="仿宋"/>
          <w:color w:val="auto"/>
          <w:sz w:val="21"/>
          <w:szCs w:val="21"/>
          <w:highlight w:val="none"/>
          <w:lang w:val="en-US" w:eastAsia="zh-Hans"/>
        </w:rPr>
        <w:t>向</w:t>
      </w:r>
      <w:r>
        <w:rPr>
          <w:rFonts w:hint="eastAsia" w:ascii="仿宋" w:hAnsi="仿宋" w:eastAsia="仿宋" w:cs="仿宋"/>
          <w:color w:val="auto"/>
          <w:sz w:val="21"/>
          <w:szCs w:val="21"/>
          <w:highlight w:val="none"/>
          <w:lang w:val="en-US" w:eastAsia="zh-CN"/>
        </w:rPr>
        <w:t>甲方</w:t>
      </w:r>
      <w:r>
        <w:rPr>
          <w:rFonts w:hint="eastAsia" w:ascii="仿宋" w:hAnsi="仿宋" w:eastAsia="仿宋" w:cs="仿宋"/>
          <w:color w:val="auto"/>
          <w:sz w:val="21"/>
          <w:szCs w:val="21"/>
          <w:highlight w:val="none"/>
          <w:lang w:val="en-US" w:eastAsia="zh-Hans"/>
        </w:rPr>
        <w:t>提交全套结算材料（含发票、付款申请、验收报告、主机检验报告、维修影音资料等），</w:t>
      </w:r>
      <w:r>
        <w:rPr>
          <w:rFonts w:hint="eastAsia" w:ascii="仿宋" w:hAnsi="仿宋" w:eastAsia="仿宋" w:cs="仿宋"/>
          <w:color w:val="auto"/>
          <w:sz w:val="21"/>
          <w:szCs w:val="21"/>
          <w:highlight w:val="none"/>
          <w:lang w:val="en-US" w:eastAsia="zh-CN"/>
        </w:rPr>
        <w:t>甲方</w:t>
      </w:r>
      <w:r>
        <w:rPr>
          <w:rFonts w:hint="eastAsia" w:ascii="仿宋" w:hAnsi="仿宋" w:eastAsia="仿宋" w:cs="仿宋"/>
          <w:color w:val="auto"/>
          <w:sz w:val="21"/>
          <w:szCs w:val="21"/>
          <w:highlight w:val="none"/>
          <w:lang w:val="en-US" w:eastAsia="zh-Hans"/>
        </w:rPr>
        <w:t>在收到材料后10个工作日内向</w:t>
      </w:r>
      <w:r>
        <w:rPr>
          <w:rFonts w:hint="eastAsia" w:ascii="仿宋" w:hAnsi="仿宋" w:eastAsia="仿宋" w:cs="仿宋"/>
          <w:color w:val="auto"/>
          <w:sz w:val="21"/>
          <w:szCs w:val="21"/>
          <w:highlight w:val="none"/>
          <w:lang w:val="en-US" w:eastAsia="zh-CN"/>
        </w:rPr>
        <w:t>乙方</w:t>
      </w:r>
      <w:r>
        <w:rPr>
          <w:rFonts w:hint="eastAsia" w:ascii="仿宋" w:hAnsi="仿宋" w:eastAsia="仿宋" w:cs="仿宋"/>
          <w:color w:val="auto"/>
          <w:sz w:val="21"/>
          <w:szCs w:val="21"/>
          <w:highlight w:val="none"/>
          <w:lang w:val="en-US" w:eastAsia="zh-Hans"/>
        </w:rPr>
        <w:t>支付至合同总金额的100%。如项目存在增减工程量，</w:t>
      </w:r>
      <w:r>
        <w:rPr>
          <w:rFonts w:hint="eastAsia" w:ascii="仿宋" w:hAnsi="仿宋" w:eastAsia="仿宋" w:cs="仿宋"/>
          <w:color w:val="auto"/>
          <w:sz w:val="21"/>
          <w:szCs w:val="21"/>
          <w:highlight w:val="none"/>
          <w:lang w:val="en-US" w:eastAsia="zh-CN"/>
        </w:rPr>
        <w:t>乙方</w:t>
      </w:r>
      <w:r>
        <w:rPr>
          <w:rFonts w:hint="eastAsia" w:ascii="仿宋" w:hAnsi="仿宋" w:eastAsia="仿宋" w:cs="仿宋"/>
          <w:color w:val="auto"/>
          <w:sz w:val="21"/>
          <w:szCs w:val="21"/>
          <w:highlight w:val="none"/>
          <w:lang w:val="en-US" w:eastAsia="zh-Hans"/>
        </w:rPr>
        <w:t>还需提供签证确认资料，</w:t>
      </w:r>
      <w:r>
        <w:rPr>
          <w:rFonts w:hint="eastAsia" w:ascii="仿宋" w:hAnsi="仿宋" w:eastAsia="仿宋" w:cs="仿宋"/>
          <w:color w:val="auto"/>
          <w:sz w:val="21"/>
          <w:szCs w:val="21"/>
          <w:highlight w:val="none"/>
          <w:lang w:val="en-US" w:eastAsia="zh-CN"/>
        </w:rPr>
        <w:t>甲方</w:t>
      </w:r>
      <w:r>
        <w:rPr>
          <w:rFonts w:hint="eastAsia" w:ascii="仿宋" w:hAnsi="仿宋" w:eastAsia="仿宋" w:cs="仿宋"/>
          <w:color w:val="auto"/>
          <w:sz w:val="21"/>
          <w:szCs w:val="21"/>
          <w:highlight w:val="none"/>
          <w:lang w:val="en-US" w:eastAsia="zh-Hans"/>
        </w:rPr>
        <w:t>委托第三方结算审核公司进行结算审核并经双方确认后，支付至合同审定总结算价100%。</w:t>
      </w:r>
    </w:p>
    <w:p w14:paraId="5C663294">
      <w:pPr>
        <w:pStyle w:val="22"/>
        <w:keepNext w:val="0"/>
        <w:keepLines w:val="0"/>
        <w:pageBreakBefore w:val="0"/>
        <w:kinsoku/>
        <w:overflowPunct/>
        <w:topLinePunct w:val="0"/>
        <w:bidi w:val="0"/>
        <w:spacing w:line="360" w:lineRule="auto"/>
        <w:rPr>
          <w:rFonts w:hint="eastAsia" w:ascii="仿宋" w:hAnsi="仿宋" w:eastAsia="仿宋" w:cs="仿宋"/>
          <w:color w:val="auto"/>
          <w:sz w:val="21"/>
          <w:szCs w:val="21"/>
          <w:highlight w:val="none"/>
          <w:lang w:val="en-US" w:eastAsia="zh-Hans"/>
        </w:rPr>
      </w:pPr>
    </w:p>
    <w:p w14:paraId="5AFD82A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1"/>
        <w:rPr>
          <w:rFonts w:hint="eastAsia" w:ascii="仿宋" w:hAnsi="仿宋" w:eastAsia="仿宋" w:cs="仿宋"/>
          <w:b/>
          <w:bCs/>
          <w:color w:val="auto"/>
          <w:sz w:val="21"/>
          <w:szCs w:val="21"/>
          <w:highlight w:val="none"/>
          <w:lang w:val="en-US" w:eastAsia="zh-CN"/>
        </w:rPr>
      </w:pPr>
      <w:bookmarkStart w:id="221" w:name="_Toc11536"/>
      <w:bookmarkStart w:id="222" w:name="_Toc14025"/>
      <w:bookmarkStart w:id="223" w:name="_Toc27345"/>
      <w:bookmarkStart w:id="224" w:name="_Toc12768"/>
      <w:bookmarkStart w:id="225" w:name="_Toc8974"/>
      <w:r>
        <w:rPr>
          <w:rFonts w:hint="eastAsia" w:ascii="仿宋" w:hAnsi="仿宋" w:eastAsia="仿宋" w:cs="仿宋"/>
          <w:b/>
          <w:bCs/>
          <w:color w:val="auto"/>
          <w:sz w:val="21"/>
          <w:szCs w:val="21"/>
          <w:highlight w:val="none"/>
          <w:lang w:val="en-US" w:eastAsia="zh-CN"/>
        </w:rPr>
        <w:t>十、违约责任</w:t>
      </w:r>
      <w:bookmarkEnd w:id="221"/>
      <w:bookmarkEnd w:id="222"/>
      <w:bookmarkEnd w:id="223"/>
      <w:bookmarkEnd w:id="224"/>
      <w:bookmarkEnd w:id="225"/>
    </w:p>
    <w:p w14:paraId="1931998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w:t>
      </w:r>
      <w:r>
        <w:rPr>
          <w:rFonts w:hint="eastAsia" w:ascii="仿宋" w:hAnsi="仿宋" w:eastAsia="仿宋" w:cs="仿宋"/>
          <w:color w:val="auto"/>
          <w:sz w:val="21"/>
          <w:szCs w:val="21"/>
          <w:highlight w:val="none"/>
          <w:lang w:val="en-US" w:eastAsia="zh-Hans"/>
        </w:rPr>
        <w:t>一</w:t>
      </w:r>
      <w:r>
        <w:rPr>
          <w:rFonts w:hint="eastAsia" w:ascii="仿宋" w:hAnsi="仿宋" w:eastAsia="仿宋" w:cs="仿宋"/>
          <w:color w:val="auto"/>
          <w:sz w:val="21"/>
          <w:szCs w:val="21"/>
          <w:highlight w:val="none"/>
          <w:lang w:val="en-US" w:eastAsia="zh-CN"/>
        </w:rPr>
        <w:t>）履约延误与赔偿</w:t>
      </w:r>
    </w:p>
    <w:p w14:paraId="6DC7346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lang w:val="en-US" w:eastAsia="zh-Hans"/>
        </w:rPr>
        <w:t>.</w:t>
      </w:r>
      <w:r>
        <w:rPr>
          <w:rFonts w:hint="eastAsia" w:ascii="仿宋" w:hAnsi="仿宋" w:eastAsia="仿宋" w:cs="仿宋"/>
          <w:color w:val="auto"/>
          <w:sz w:val="21"/>
          <w:szCs w:val="21"/>
          <w:highlight w:val="none"/>
          <w:lang w:val="en-US" w:eastAsia="zh-CN"/>
        </w:rPr>
        <w:t>乙方应按照合同规定的时间、地点提供服务。</w:t>
      </w:r>
    </w:p>
    <w:p w14:paraId="5B85300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eastAsia="zh-Hans"/>
        </w:rPr>
        <w:t>2</w:t>
      </w:r>
      <w:r>
        <w:rPr>
          <w:rFonts w:hint="eastAsia" w:ascii="仿宋" w:hAnsi="仿宋" w:eastAsia="仿宋" w:cs="仿宋"/>
          <w:color w:val="auto"/>
          <w:sz w:val="21"/>
          <w:szCs w:val="21"/>
          <w:highlight w:val="none"/>
          <w:lang w:val="en-US" w:eastAsia="zh-Hans"/>
        </w:rPr>
        <w:t>.</w:t>
      </w:r>
      <w:r>
        <w:rPr>
          <w:rFonts w:hint="eastAsia" w:ascii="仿宋" w:hAnsi="仿宋" w:eastAsia="仿宋" w:cs="仿宋"/>
          <w:color w:val="auto"/>
          <w:sz w:val="21"/>
          <w:szCs w:val="21"/>
          <w:highlight w:val="none"/>
          <w:lang w:val="en-US" w:eastAsia="zh-CN"/>
        </w:rPr>
        <w:t>如任何一方无故解除合同或有其他违约行为，应向对方支付合同金额</w:t>
      </w:r>
      <w:r>
        <w:rPr>
          <w:rFonts w:hint="eastAsia" w:ascii="仿宋" w:hAnsi="仿宋" w:eastAsia="仿宋" w:cs="仿宋"/>
          <w:color w:val="auto"/>
          <w:sz w:val="21"/>
          <w:szCs w:val="21"/>
          <w:highlight w:val="none"/>
          <w:u w:val="single"/>
          <w:lang w:val="en-US" w:eastAsia="zh-CN"/>
        </w:rPr>
        <w:t xml:space="preserve"> 10 </w:t>
      </w:r>
      <w:r>
        <w:rPr>
          <w:rFonts w:hint="eastAsia" w:ascii="仿宋" w:hAnsi="仿宋" w:eastAsia="仿宋" w:cs="仿宋"/>
          <w:color w:val="auto"/>
          <w:sz w:val="21"/>
          <w:szCs w:val="21"/>
          <w:highlight w:val="none"/>
          <w:lang w:val="en-US" w:eastAsia="zh-CN"/>
        </w:rPr>
        <w:t>%的违约金。</w:t>
      </w:r>
    </w:p>
    <w:p w14:paraId="2941BB3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eastAsia="zh-Hans"/>
        </w:rPr>
        <w:t>3</w:t>
      </w:r>
      <w:r>
        <w:rPr>
          <w:rFonts w:hint="eastAsia" w:ascii="仿宋" w:hAnsi="仿宋" w:eastAsia="仿宋" w:cs="仿宋"/>
          <w:color w:val="auto"/>
          <w:sz w:val="21"/>
          <w:szCs w:val="21"/>
          <w:highlight w:val="none"/>
          <w:lang w:val="en-US" w:eastAsia="zh-Hans"/>
        </w:rPr>
        <w:t>.</w:t>
      </w:r>
      <w:r>
        <w:rPr>
          <w:rFonts w:hint="eastAsia" w:ascii="仿宋" w:hAnsi="仿宋" w:eastAsia="仿宋" w:cs="仿宋"/>
          <w:color w:val="auto"/>
          <w:sz w:val="21"/>
          <w:szCs w:val="21"/>
          <w:highlight w:val="none"/>
          <w:lang w:val="en-US" w:eastAsia="zh-CN"/>
        </w:rPr>
        <w:t>在履行合同过程中，如果乙方遇到妨碍提供服务的情况时，应及时以书面形式将拖延的事实，可能拖延的期限和理由通知甲方。甲方在收到乙方通知后，应尽快对情况进行评价，并确定是否同意延期提供服务。乙方未按投标承诺提供服务，应向甲方支付</w:t>
      </w:r>
      <w:r>
        <w:rPr>
          <w:rFonts w:hint="eastAsia" w:ascii="仿宋" w:hAnsi="仿宋" w:eastAsia="仿宋" w:cs="仿宋"/>
          <w:color w:val="auto"/>
          <w:sz w:val="21"/>
          <w:szCs w:val="21"/>
          <w:highlight w:val="none"/>
          <w:lang w:val="en-US" w:eastAsia="zh-Hans"/>
        </w:rPr>
        <w:t>合同总</w:t>
      </w:r>
      <w:r>
        <w:rPr>
          <w:rFonts w:hint="eastAsia" w:ascii="仿宋" w:hAnsi="仿宋" w:eastAsia="仿宋" w:cs="仿宋"/>
          <w:color w:val="auto"/>
          <w:sz w:val="21"/>
          <w:szCs w:val="21"/>
          <w:highlight w:val="none"/>
          <w:lang w:val="en-US" w:eastAsia="zh-CN"/>
        </w:rPr>
        <w:t>金额</w:t>
      </w:r>
      <w:r>
        <w:rPr>
          <w:rFonts w:hint="eastAsia" w:ascii="仿宋" w:hAnsi="仿宋" w:eastAsia="仿宋" w:cs="仿宋"/>
          <w:color w:val="auto"/>
          <w:sz w:val="21"/>
          <w:szCs w:val="21"/>
          <w:highlight w:val="none"/>
          <w:u w:val="single"/>
          <w:lang w:val="en-US" w:eastAsia="zh-CN"/>
        </w:rPr>
        <w:t xml:space="preserve"> 10 </w:t>
      </w:r>
      <w:r>
        <w:rPr>
          <w:rFonts w:hint="eastAsia" w:ascii="仿宋" w:hAnsi="仿宋" w:eastAsia="仿宋" w:cs="仿宋"/>
          <w:color w:val="auto"/>
          <w:sz w:val="21"/>
          <w:szCs w:val="21"/>
          <w:highlight w:val="none"/>
          <w:lang w:val="en-US" w:eastAsia="zh-CN"/>
        </w:rPr>
        <w:t>%的违约金。</w:t>
      </w:r>
    </w:p>
    <w:p w14:paraId="6A2BE43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eastAsia="zh-Hans"/>
        </w:rPr>
        <w:t>4</w:t>
      </w:r>
      <w:r>
        <w:rPr>
          <w:rFonts w:hint="eastAsia" w:ascii="仿宋" w:hAnsi="仿宋" w:eastAsia="仿宋" w:cs="仿宋"/>
          <w:color w:val="auto"/>
          <w:sz w:val="21"/>
          <w:szCs w:val="21"/>
          <w:highlight w:val="none"/>
          <w:lang w:val="en-US" w:eastAsia="zh-Hans"/>
        </w:rPr>
        <w:t>.</w:t>
      </w:r>
      <w:r>
        <w:rPr>
          <w:rFonts w:hint="eastAsia" w:ascii="仿宋" w:hAnsi="仿宋" w:eastAsia="仿宋" w:cs="仿宋"/>
          <w:color w:val="auto"/>
          <w:sz w:val="21"/>
          <w:szCs w:val="21"/>
          <w:highlight w:val="none"/>
          <w:lang w:val="en-US" w:eastAsia="zh-CN"/>
        </w:rPr>
        <w:t>乙方不能按照合同的约定提供服务的，每延期一日，应当向甲方支付</w:t>
      </w:r>
      <w:r>
        <w:rPr>
          <w:rFonts w:hint="eastAsia" w:ascii="仿宋" w:hAnsi="仿宋" w:eastAsia="仿宋" w:cs="仿宋"/>
          <w:color w:val="auto"/>
          <w:sz w:val="21"/>
          <w:szCs w:val="21"/>
          <w:highlight w:val="none"/>
          <w:lang w:val="en-US" w:eastAsia="zh-Hans"/>
        </w:rPr>
        <w:t>本合同总</w:t>
      </w:r>
      <w:r>
        <w:rPr>
          <w:rFonts w:hint="eastAsia" w:ascii="仿宋" w:hAnsi="仿宋" w:eastAsia="仿宋" w:cs="仿宋"/>
          <w:color w:val="auto"/>
          <w:sz w:val="21"/>
          <w:szCs w:val="21"/>
          <w:highlight w:val="none"/>
          <w:lang w:val="en-US" w:eastAsia="zh-CN"/>
        </w:rPr>
        <w:t>金额</w:t>
      </w:r>
      <w:r>
        <w:rPr>
          <w:rFonts w:hint="eastAsia" w:ascii="仿宋" w:hAnsi="仿宋" w:eastAsia="仿宋" w:cs="仿宋"/>
          <w:color w:val="auto"/>
          <w:sz w:val="21"/>
          <w:szCs w:val="21"/>
          <w:highlight w:val="none"/>
          <w:u w:val="single"/>
          <w:lang w:val="en-US" w:eastAsia="zh-CN"/>
        </w:rPr>
        <w:t xml:space="preserve"> 0.2 </w:t>
      </w:r>
      <w:r>
        <w:rPr>
          <w:rFonts w:hint="eastAsia" w:ascii="仿宋" w:hAnsi="仿宋" w:eastAsia="仿宋" w:cs="仿宋"/>
          <w:color w:val="auto"/>
          <w:sz w:val="21"/>
          <w:szCs w:val="21"/>
          <w:highlight w:val="none"/>
          <w:lang w:val="en-US" w:eastAsia="zh-CN"/>
        </w:rPr>
        <w:t>%的违约金，超过</w:t>
      </w:r>
      <w:r>
        <w:rPr>
          <w:rFonts w:hint="eastAsia" w:ascii="仿宋" w:hAnsi="仿宋" w:eastAsia="仿宋" w:cs="仿宋"/>
          <w:color w:val="auto"/>
          <w:sz w:val="21"/>
          <w:szCs w:val="21"/>
          <w:highlight w:val="none"/>
          <w:u w:val="single"/>
          <w:lang w:val="en-US" w:eastAsia="zh-CN"/>
        </w:rPr>
        <w:t xml:space="preserve"> 25 </w:t>
      </w:r>
      <w:r>
        <w:rPr>
          <w:rFonts w:hint="eastAsia" w:ascii="仿宋" w:hAnsi="仿宋" w:eastAsia="仿宋" w:cs="仿宋"/>
          <w:color w:val="auto"/>
          <w:sz w:val="21"/>
          <w:szCs w:val="21"/>
          <w:highlight w:val="none"/>
          <w:lang w:val="en-US" w:eastAsia="zh-CN"/>
        </w:rPr>
        <w:t>日的，甲方有权解除合同</w:t>
      </w:r>
      <w:r>
        <w:rPr>
          <w:rFonts w:hint="eastAsia" w:ascii="仿宋" w:hAnsi="仿宋" w:eastAsia="仿宋" w:cs="仿宋"/>
          <w:color w:val="auto"/>
          <w:sz w:val="21"/>
          <w:szCs w:val="21"/>
          <w:highlight w:val="none"/>
          <w:lang w:val="en-US" w:eastAsia="zh-Hans"/>
        </w:rPr>
        <w:t>，乙方</w:t>
      </w:r>
      <w:r>
        <w:rPr>
          <w:rFonts w:hint="eastAsia" w:ascii="仿宋" w:hAnsi="仿宋" w:eastAsia="仿宋" w:cs="仿宋"/>
          <w:color w:val="auto"/>
          <w:sz w:val="21"/>
          <w:szCs w:val="21"/>
          <w:highlight w:val="none"/>
          <w:lang w:val="en-US" w:eastAsia="zh-CN"/>
        </w:rPr>
        <w:t>并按合同总金额的</w:t>
      </w:r>
      <w:r>
        <w:rPr>
          <w:rFonts w:hint="eastAsia" w:ascii="仿宋" w:hAnsi="仿宋" w:eastAsia="仿宋" w:cs="仿宋"/>
          <w:color w:val="auto"/>
          <w:sz w:val="21"/>
          <w:szCs w:val="21"/>
          <w:highlight w:val="none"/>
          <w:u w:val="single"/>
          <w:lang w:eastAsia="zh-CN"/>
        </w:rPr>
        <w:t xml:space="preserve"> </w:t>
      </w:r>
      <w:r>
        <w:rPr>
          <w:rFonts w:hint="eastAsia" w:ascii="仿宋" w:hAnsi="仿宋" w:eastAsia="仿宋" w:cs="仿宋"/>
          <w:color w:val="auto"/>
          <w:sz w:val="21"/>
          <w:szCs w:val="21"/>
          <w:highlight w:val="none"/>
          <w:u w:val="single"/>
          <w:lang w:val="en-US" w:eastAsia="zh-CN"/>
        </w:rPr>
        <w:t>5</w:t>
      </w:r>
      <w:r>
        <w:rPr>
          <w:rFonts w:hint="eastAsia" w:ascii="仿宋" w:hAnsi="仿宋" w:eastAsia="仿宋" w:cs="仿宋"/>
          <w:color w:val="auto"/>
          <w:sz w:val="21"/>
          <w:szCs w:val="21"/>
          <w:highlight w:val="none"/>
          <w:u w:val="single"/>
          <w:lang w:eastAsia="zh-CN"/>
        </w:rPr>
        <w:t xml:space="preserve"> </w:t>
      </w:r>
      <w:r>
        <w:rPr>
          <w:rFonts w:hint="eastAsia" w:ascii="仿宋" w:hAnsi="仿宋" w:eastAsia="仿宋" w:cs="仿宋"/>
          <w:color w:val="auto"/>
          <w:sz w:val="21"/>
          <w:szCs w:val="21"/>
          <w:highlight w:val="none"/>
          <w:lang w:val="en-US" w:eastAsia="zh-CN"/>
        </w:rPr>
        <w:t>%向甲方承担违约责任</w:t>
      </w:r>
      <w:r>
        <w:rPr>
          <w:rFonts w:hint="eastAsia" w:ascii="仿宋" w:hAnsi="仿宋" w:eastAsia="仿宋" w:cs="仿宋"/>
          <w:color w:val="auto"/>
          <w:sz w:val="21"/>
          <w:szCs w:val="21"/>
          <w:highlight w:val="none"/>
          <w:lang w:val="en-US" w:eastAsia="zh-Hans"/>
        </w:rPr>
        <w:t>，不足以弥补实际损失的应另行赔偿。</w:t>
      </w:r>
    </w:p>
    <w:p w14:paraId="43BBE15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5.甲方不能按照合同的约定按时付款的，每逾期一日，应按逾期付款金额的</w:t>
      </w:r>
      <w:r>
        <w:rPr>
          <w:rFonts w:hint="eastAsia" w:ascii="仿宋" w:hAnsi="仿宋" w:eastAsia="仿宋" w:cs="仿宋"/>
          <w:color w:val="auto"/>
          <w:sz w:val="21"/>
          <w:szCs w:val="21"/>
          <w:highlight w:val="none"/>
          <w:u w:val="single"/>
          <w:lang w:val="en-US" w:eastAsia="zh-CN"/>
        </w:rPr>
        <w:t xml:space="preserve"> 0.2 </w:t>
      </w:r>
      <w:r>
        <w:rPr>
          <w:rFonts w:hint="eastAsia" w:ascii="仿宋" w:hAnsi="仿宋" w:eastAsia="仿宋" w:cs="仿宋"/>
          <w:color w:val="auto"/>
          <w:sz w:val="21"/>
          <w:szCs w:val="21"/>
          <w:highlight w:val="none"/>
          <w:u w:val="none"/>
          <w:lang w:val="en-US" w:eastAsia="zh-CN"/>
        </w:rPr>
        <w:t>%</w:t>
      </w:r>
      <w:r>
        <w:rPr>
          <w:rFonts w:hint="eastAsia" w:ascii="仿宋" w:hAnsi="仿宋" w:eastAsia="仿宋" w:cs="仿宋"/>
          <w:color w:val="auto"/>
          <w:sz w:val="21"/>
          <w:szCs w:val="21"/>
          <w:highlight w:val="none"/>
          <w:lang w:val="en-US" w:eastAsia="zh-CN"/>
        </w:rPr>
        <w:t>向乙方支付违约金，但该违约金累计不超过逾期付款金额的</w:t>
      </w:r>
      <w:r>
        <w:rPr>
          <w:rFonts w:hint="eastAsia" w:ascii="仿宋" w:hAnsi="仿宋" w:eastAsia="仿宋" w:cs="仿宋"/>
          <w:color w:val="auto"/>
          <w:sz w:val="21"/>
          <w:szCs w:val="21"/>
          <w:highlight w:val="none"/>
          <w:u w:val="single"/>
          <w:lang w:val="en-US" w:eastAsia="zh-CN"/>
        </w:rPr>
        <w:t xml:space="preserve"> 5 </w:t>
      </w:r>
      <w:r>
        <w:rPr>
          <w:rFonts w:hint="eastAsia" w:ascii="仿宋" w:hAnsi="仿宋" w:eastAsia="仿宋" w:cs="仿宋"/>
          <w:color w:val="auto"/>
          <w:sz w:val="21"/>
          <w:szCs w:val="21"/>
          <w:highlight w:val="none"/>
          <w:lang w:val="en-US" w:eastAsia="zh-CN"/>
        </w:rPr>
        <w:t>%，逾期超过</w:t>
      </w:r>
      <w:r>
        <w:rPr>
          <w:rFonts w:hint="eastAsia" w:ascii="仿宋" w:hAnsi="仿宋" w:eastAsia="仿宋" w:cs="仿宋"/>
          <w:color w:val="auto"/>
          <w:sz w:val="21"/>
          <w:szCs w:val="21"/>
          <w:highlight w:val="none"/>
          <w:u w:val="single"/>
          <w:lang w:val="en-US" w:eastAsia="zh-CN"/>
        </w:rPr>
        <w:t xml:space="preserve"> 25 </w:t>
      </w:r>
      <w:r>
        <w:rPr>
          <w:rFonts w:hint="eastAsia" w:ascii="仿宋" w:hAnsi="仿宋" w:eastAsia="仿宋" w:cs="仿宋"/>
          <w:color w:val="auto"/>
          <w:sz w:val="21"/>
          <w:szCs w:val="21"/>
          <w:highlight w:val="none"/>
          <w:lang w:val="en-US" w:eastAsia="zh-CN"/>
        </w:rPr>
        <w:t>日，乙方有权解除合同。</w:t>
      </w:r>
    </w:p>
    <w:p w14:paraId="548F1485">
      <w:pPr>
        <w:pStyle w:val="2"/>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Hans" w:bidi="ar-SA"/>
        </w:rPr>
        <w:t>（二）</w:t>
      </w:r>
      <w:r>
        <w:rPr>
          <w:rFonts w:hint="eastAsia" w:ascii="仿宋" w:hAnsi="仿宋" w:eastAsia="仿宋" w:cs="仿宋"/>
          <w:color w:val="auto"/>
          <w:kern w:val="2"/>
          <w:sz w:val="21"/>
          <w:szCs w:val="21"/>
          <w:highlight w:val="none"/>
          <w:lang w:val="en-US" w:eastAsia="zh-CN" w:bidi="ar-SA"/>
        </w:rPr>
        <w:t>任何一方违反本</w:t>
      </w:r>
      <w:r>
        <w:rPr>
          <w:rFonts w:hint="eastAsia" w:ascii="仿宋" w:hAnsi="仿宋" w:eastAsia="仿宋" w:cs="仿宋"/>
          <w:color w:val="auto"/>
          <w:kern w:val="2"/>
          <w:sz w:val="21"/>
          <w:szCs w:val="21"/>
          <w:highlight w:val="none"/>
          <w:lang w:val="en-US" w:eastAsia="zh-Hans" w:bidi="ar-SA"/>
        </w:rPr>
        <w:t>合同</w:t>
      </w:r>
      <w:r>
        <w:rPr>
          <w:rFonts w:hint="eastAsia" w:ascii="仿宋" w:hAnsi="仿宋" w:eastAsia="仿宋" w:cs="仿宋"/>
          <w:color w:val="auto"/>
          <w:kern w:val="2"/>
          <w:sz w:val="21"/>
          <w:szCs w:val="21"/>
          <w:highlight w:val="none"/>
          <w:lang w:val="en-US" w:eastAsia="zh-CN" w:bidi="ar-SA"/>
        </w:rPr>
        <w:t>，除须承担违约责任外，还须向相对方赔偿由此造成的一切损失，包括但不限于资金占用费、利息、诉讼/仲裁费、律师费、维权交通食宿费、保全费、评估费、鉴定费及其他维权费用等。</w:t>
      </w:r>
    </w:p>
    <w:p w14:paraId="07567C00">
      <w:pPr>
        <w:keepNext w:val="0"/>
        <w:keepLines w:val="0"/>
        <w:pageBreakBefore w:val="0"/>
        <w:widowControl w:val="0"/>
        <w:kinsoku/>
        <w:wordWrap/>
        <w:overflowPunct/>
        <w:topLinePunct w:val="0"/>
        <w:autoSpaceDE/>
        <w:autoSpaceDN/>
        <w:bidi w:val="0"/>
        <w:adjustRightInd/>
        <w:snapToGrid/>
        <w:spacing w:line="360" w:lineRule="auto"/>
        <w:ind w:right="0" w:rightChars="0"/>
        <w:jc w:val="left"/>
        <w:textAlignment w:val="auto"/>
        <w:outlineLvl w:val="9"/>
        <w:rPr>
          <w:rFonts w:hint="eastAsia" w:ascii="仿宋" w:hAnsi="仿宋" w:eastAsia="仿宋" w:cs="仿宋"/>
          <w:b/>
          <w:bCs/>
          <w:color w:val="auto"/>
          <w:sz w:val="21"/>
          <w:szCs w:val="21"/>
          <w:highlight w:val="none"/>
          <w:lang w:val="en-US" w:eastAsia="zh-Hans"/>
        </w:rPr>
      </w:pPr>
    </w:p>
    <w:p w14:paraId="016B872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1"/>
        <w:rPr>
          <w:rFonts w:hint="eastAsia" w:ascii="仿宋" w:hAnsi="仿宋" w:eastAsia="仿宋" w:cs="仿宋"/>
          <w:b/>
          <w:bCs/>
          <w:color w:val="auto"/>
          <w:sz w:val="21"/>
          <w:szCs w:val="21"/>
          <w:highlight w:val="none"/>
          <w:lang w:val="en-US" w:eastAsia="zh-CN"/>
        </w:rPr>
      </w:pPr>
      <w:bookmarkStart w:id="226" w:name="_Toc27663"/>
      <w:bookmarkStart w:id="227" w:name="_Toc24672"/>
      <w:bookmarkStart w:id="228" w:name="_Toc26018"/>
      <w:bookmarkStart w:id="229" w:name="_Toc13084"/>
      <w:bookmarkStart w:id="230" w:name="_Toc22901"/>
      <w:r>
        <w:rPr>
          <w:rFonts w:hint="eastAsia" w:ascii="仿宋" w:hAnsi="仿宋" w:eastAsia="仿宋" w:cs="仿宋"/>
          <w:b/>
          <w:bCs/>
          <w:color w:val="auto"/>
          <w:sz w:val="21"/>
          <w:szCs w:val="21"/>
          <w:highlight w:val="none"/>
          <w:lang w:val="en-US" w:eastAsia="zh-Hans"/>
        </w:rPr>
        <w:t>十</w:t>
      </w:r>
      <w:r>
        <w:rPr>
          <w:rFonts w:hint="eastAsia" w:ascii="仿宋" w:hAnsi="仿宋" w:eastAsia="仿宋" w:cs="仿宋"/>
          <w:b/>
          <w:bCs/>
          <w:color w:val="auto"/>
          <w:sz w:val="21"/>
          <w:szCs w:val="21"/>
          <w:highlight w:val="none"/>
          <w:lang w:val="en-US" w:eastAsia="zh-CN"/>
        </w:rPr>
        <w:t>一、不可抗力</w:t>
      </w:r>
      <w:r>
        <w:rPr>
          <w:rFonts w:hint="eastAsia" w:ascii="仿宋" w:hAnsi="仿宋" w:eastAsia="仿宋" w:cs="仿宋"/>
          <w:b/>
          <w:bCs/>
          <w:color w:val="auto"/>
          <w:sz w:val="21"/>
          <w:szCs w:val="21"/>
          <w:highlight w:val="none"/>
          <w:lang w:val="en-US" w:eastAsia="zh-Hans"/>
        </w:rPr>
        <w:t>及其他</w:t>
      </w:r>
      <w:bookmarkEnd w:id="226"/>
      <w:bookmarkEnd w:id="227"/>
      <w:bookmarkEnd w:id="228"/>
      <w:bookmarkEnd w:id="229"/>
      <w:bookmarkEnd w:id="230"/>
    </w:p>
    <w:p w14:paraId="0DEB101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（一）不可抗力事件是指本合同生效后，发生不能预见并且对其发生和后果不能防止和避免的事件，如战争、疫情、地震、水灾、火灾等，致使直接影响本合同的履行或不能按约定的条件履行。</w:t>
      </w:r>
    </w:p>
    <w:p w14:paraId="2D53A6E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（二）发生不可抗力的一方应在</w:t>
      </w:r>
      <w:r>
        <w:rPr>
          <w:rFonts w:hint="eastAsia" w:ascii="仿宋" w:hAnsi="仿宋" w:eastAsia="仿宋" w:cs="仿宋"/>
          <w:color w:val="auto"/>
          <w:sz w:val="21"/>
          <w:szCs w:val="21"/>
          <w:highlight w:val="none"/>
          <w:u w:val="single"/>
          <w:lang w:val="en-US" w:eastAsia="zh-CN"/>
        </w:rPr>
        <w:t xml:space="preserve"> 3 </w:t>
      </w:r>
      <w:r>
        <w:rPr>
          <w:rFonts w:hint="eastAsia" w:ascii="仿宋" w:hAnsi="仿宋" w:eastAsia="仿宋" w:cs="仿宋"/>
          <w:color w:val="auto"/>
          <w:sz w:val="21"/>
          <w:szCs w:val="21"/>
          <w:highlight w:val="none"/>
          <w:u w:val="single"/>
          <w:lang w:eastAsia="zh-CN"/>
        </w:rPr>
        <w:t xml:space="preserve"> </w:t>
      </w:r>
      <w:r>
        <w:rPr>
          <w:rFonts w:hint="eastAsia" w:ascii="仿宋" w:hAnsi="仿宋" w:eastAsia="仿宋" w:cs="仿宋"/>
          <w:color w:val="auto"/>
          <w:sz w:val="21"/>
          <w:szCs w:val="21"/>
          <w:highlight w:val="none"/>
          <w:lang w:val="en-US" w:eastAsia="zh-CN"/>
        </w:rPr>
        <w:t>日内以电话、传真或电子邮件等方式通知对方，并于事件结束后</w:t>
      </w:r>
      <w:r>
        <w:rPr>
          <w:rFonts w:hint="eastAsia" w:ascii="仿宋" w:hAnsi="仿宋" w:eastAsia="仿宋" w:cs="仿宋"/>
          <w:color w:val="auto"/>
          <w:sz w:val="21"/>
          <w:szCs w:val="21"/>
          <w:highlight w:val="none"/>
          <w:u w:val="single"/>
          <w:lang w:val="en-US" w:eastAsia="zh-CN"/>
        </w:rPr>
        <w:t xml:space="preserve"> 3</w:t>
      </w:r>
      <w:r>
        <w:rPr>
          <w:rFonts w:hint="eastAsia" w:ascii="仿宋" w:hAnsi="仿宋" w:eastAsia="仿宋" w:cs="仿宋"/>
          <w:color w:val="auto"/>
          <w:sz w:val="21"/>
          <w:szCs w:val="21"/>
          <w:highlight w:val="none"/>
          <w:u w:val="single"/>
          <w:lang w:eastAsia="zh-CN"/>
        </w:rPr>
        <w:t xml:space="preserve"> </w:t>
      </w:r>
      <w:r>
        <w:rPr>
          <w:rFonts w:hint="eastAsia" w:ascii="仿宋" w:hAnsi="仿宋" w:eastAsia="仿宋" w:cs="仿宋"/>
          <w:color w:val="auto"/>
          <w:sz w:val="21"/>
          <w:szCs w:val="21"/>
          <w:highlight w:val="none"/>
          <w:u w:val="single"/>
          <w:lang w:val="en-US" w:eastAsia="zh-CN"/>
        </w:rPr>
        <w:t xml:space="preserve"> </w:t>
      </w:r>
      <w:r>
        <w:rPr>
          <w:rFonts w:hint="eastAsia" w:ascii="仿宋" w:hAnsi="仿宋" w:eastAsia="仿宋" w:cs="仿宋"/>
          <w:color w:val="auto"/>
          <w:sz w:val="21"/>
          <w:szCs w:val="21"/>
          <w:highlight w:val="none"/>
          <w:lang w:val="en-US" w:eastAsia="zh-CN"/>
        </w:rPr>
        <w:t>日内将有关证明文件用特快专递或专人送达对方确认。</w:t>
      </w:r>
    </w:p>
    <w:p w14:paraId="25A64F8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（三）双方中任一方由于受不可抗力事件的影响而不能完成任务时，完成任务的期限应予以延长，延长的期限应相当于事件所影响的时间。</w:t>
      </w:r>
    </w:p>
    <w:p w14:paraId="4D1B794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（四）一旦不可抗力事故的影响持续</w:t>
      </w:r>
      <w:r>
        <w:rPr>
          <w:rFonts w:hint="eastAsia" w:ascii="仿宋" w:hAnsi="仿宋" w:eastAsia="仿宋" w:cs="仿宋"/>
          <w:color w:val="auto"/>
          <w:sz w:val="21"/>
          <w:szCs w:val="21"/>
          <w:highlight w:val="none"/>
          <w:u w:val="single"/>
          <w:lang w:val="en-US" w:eastAsia="zh-CN"/>
        </w:rPr>
        <w:t xml:space="preserve"> 15 </w:t>
      </w:r>
      <w:r>
        <w:rPr>
          <w:rFonts w:hint="eastAsia" w:ascii="仿宋" w:hAnsi="仿宋" w:eastAsia="仿宋" w:cs="仿宋"/>
          <w:color w:val="auto"/>
          <w:sz w:val="21"/>
          <w:szCs w:val="21"/>
          <w:highlight w:val="none"/>
          <w:lang w:val="en-US" w:eastAsia="zh-CN"/>
        </w:rPr>
        <w:t>日以上，双方应通过友好协商决定是否解除合同，或者部分免除履行合同的义务或延期履行合同。</w:t>
      </w:r>
    </w:p>
    <w:p w14:paraId="7ADF4EC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Hans"/>
        </w:rPr>
        <w:t>（五）</w:t>
      </w:r>
      <w:r>
        <w:rPr>
          <w:rFonts w:hint="eastAsia" w:ascii="仿宋" w:hAnsi="仿宋" w:eastAsia="仿宋" w:cs="仿宋"/>
          <w:color w:val="auto"/>
          <w:sz w:val="21"/>
          <w:szCs w:val="21"/>
          <w:highlight w:val="none"/>
          <w:lang w:val="en-US" w:eastAsia="zh-CN"/>
        </w:rPr>
        <w:t>由于合同继续履行将损害国家利益和社会公共利益的，合同各方可变更、中止或者终止合同，有过错一方应当承担赔偿责任。</w:t>
      </w:r>
    </w:p>
    <w:p w14:paraId="647AB38E">
      <w:pPr>
        <w:pStyle w:val="2"/>
        <w:keepNext w:val="0"/>
        <w:keepLines w:val="0"/>
        <w:pageBreakBefore w:val="0"/>
        <w:kinsoku/>
        <w:overflowPunct/>
        <w:topLinePunct w:val="0"/>
        <w:bidi w:val="0"/>
        <w:spacing w:line="360" w:lineRule="auto"/>
        <w:rPr>
          <w:rFonts w:hint="eastAsia" w:ascii="仿宋" w:hAnsi="仿宋" w:eastAsia="仿宋" w:cs="仿宋"/>
          <w:color w:val="auto"/>
          <w:sz w:val="21"/>
          <w:szCs w:val="21"/>
          <w:highlight w:val="none"/>
          <w:lang w:val="en-US" w:eastAsia="zh-CN"/>
        </w:rPr>
      </w:pPr>
    </w:p>
    <w:p w14:paraId="6033C02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1"/>
        <w:rPr>
          <w:rFonts w:hint="eastAsia" w:ascii="仿宋" w:hAnsi="仿宋" w:eastAsia="仿宋" w:cs="仿宋"/>
          <w:b/>
          <w:bCs/>
          <w:color w:val="auto"/>
          <w:sz w:val="21"/>
          <w:szCs w:val="21"/>
          <w:highlight w:val="none"/>
          <w:lang w:val="en-US" w:eastAsia="zh-CN"/>
        </w:rPr>
      </w:pPr>
      <w:bookmarkStart w:id="231" w:name="_Toc24198"/>
      <w:bookmarkStart w:id="232" w:name="_Toc2927"/>
      <w:bookmarkStart w:id="233" w:name="_Toc13078"/>
      <w:bookmarkStart w:id="234" w:name="_Toc2982"/>
      <w:bookmarkStart w:id="235" w:name="_Toc5962"/>
      <w:r>
        <w:rPr>
          <w:rFonts w:hint="eastAsia" w:ascii="仿宋" w:hAnsi="仿宋" w:eastAsia="仿宋" w:cs="仿宋"/>
          <w:b/>
          <w:bCs/>
          <w:color w:val="auto"/>
          <w:sz w:val="21"/>
          <w:szCs w:val="21"/>
          <w:highlight w:val="none"/>
          <w:lang w:val="en-US" w:eastAsia="zh-CN"/>
        </w:rPr>
        <w:t>十二、争议解决</w:t>
      </w:r>
      <w:bookmarkEnd w:id="231"/>
      <w:bookmarkEnd w:id="232"/>
      <w:bookmarkEnd w:id="233"/>
      <w:bookmarkEnd w:id="234"/>
      <w:bookmarkEnd w:id="235"/>
    </w:p>
    <w:p w14:paraId="272231B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在执行合同中发生的或与本合同有关的争端，双方应</w:t>
      </w:r>
      <w:r>
        <w:rPr>
          <w:rFonts w:hint="eastAsia" w:ascii="仿宋" w:hAnsi="仿宋" w:eastAsia="仿宋" w:cs="仿宋"/>
          <w:color w:val="auto"/>
          <w:sz w:val="21"/>
          <w:szCs w:val="21"/>
          <w:highlight w:val="none"/>
          <w:lang w:val="en-US" w:eastAsia="zh-Hans"/>
        </w:rPr>
        <w:t>优先</w:t>
      </w:r>
      <w:r>
        <w:rPr>
          <w:rFonts w:hint="eastAsia" w:ascii="仿宋" w:hAnsi="仿宋" w:eastAsia="仿宋" w:cs="仿宋"/>
          <w:color w:val="auto"/>
          <w:sz w:val="21"/>
          <w:szCs w:val="21"/>
          <w:highlight w:val="none"/>
          <w:lang w:val="en-US" w:eastAsia="zh-CN"/>
        </w:rPr>
        <w:t>通过</w:t>
      </w:r>
      <w:r>
        <w:rPr>
          <w:rFonts w:hint="eastAsia" w:ascii="仿宋" w:hAnsi="仿宋" w:eastAsia="仿宋" w:cs="仿宋"/>
          <w:color w:val="auto"/>
          <w:sz w:val="21"/>
          <w:szCs w:val="21"/>
          <w:highlight w:val="none"/>
          <w:lang w:val="en-US" w:eastAsia="zh-Hans"/>
        </w:rPr>
        <w:t>友好</w:t>
      </w:r>
      <w:r>
        <w:rPr>
          <w:rFonts w:hint="eastAsia" w:ascii="仿宋" w:hAnsi="仿宋" w:eastAsia="仿宋" w:cs="仿宋"/>
          <w:color w:val="auto"/>
          <w:sz w:val="21"/>
          <w:szCs w:val="21"/>
          <w:highlight w:val="none"/>
          <w:lang w:val="en-US" w:eastAsia="zh-CN"/>
        </w:rPr>
        <w:t>协商解决</w:t>
      </w:r>
      <w:r>
        <w:rPr>
          <w:rFonts w:hint="eastAsia" w:ascii="仿宋" w:hAnsi="仿宋" w:eastAsia="仿宋" w:cs="仿宋"/>
          <w:color w:val="auto"/>
          <w:sz w:val="21"/>
          <w:szCs w:val="21"/>
          <w:highlight w:val="none"/>
          <w:lang w:val="en-US" w:eastAsia="zh-Hans"/>
        </w:rPr>
        <w:t>，</w:t>
      </w:r>
      <w:r>
        <w:rPr>
          <w:rFonts w:hint="eastAsia" w:ascii="仿宋" w:hAnsi="仿宋" w:eastAsia="仿宋" w:cs="仿宋"/>
          <w:color w:val="auto"/>
          <w:sz w:val="21"/>
          <w:szCs w:val="21"/>
          <w:highlight w:val="none"/>
          <w:lang w:val="en-US" w:eastAsia="zh-CN"/>
        </w:rPr>
        <w:t>双方协商</w:t>
      </w:r>
      <w:r>
        <w:rPr>
          <w:rFonts w:hint="eastAsia" w:ascii="仿宋" w:hAnsi="仿宋" w:eastAsia="仿宋" w:cs="仿宋"/>
          <w:color w:val="auto"/>
          <w:sz w:val="21"/>
          <w:szCs w:val="21"/>
          <w:highlight w:val="none"/>
          <w:lang w:val="en-US" w:eastAsia="zh-Hans"/>
        </w:rPr>
        <w:t>未能</w:t>
      </w:r>
      <w:r>
        <w:rPr>
          <w:rFonts w:hint="eastAsia" w:ascii="仿宋" w:hAnsi="仿宋" w:eastAsia="仿宋" w:cs="仿宋"/>
          <w:color w:val="auto"/>
          <w:sz w:val="21"/>
          <w:szCs w:val="21"/>
          <w:highlight w:val="none"/>
          <w:lang w:val="en-US" w:eastAsia="zh-CN"/>
        </w:rPr>
        <w:t>达成一致时，采取以下第</w:t>
      </w:r>
      <w:r>
        <w:rPr>
          <w:rFonts w:hint="eastAsia" w:ascii="仿宋" w:hAnsi="仿宋" w:eastAsia="仿宋" w:cs="仿宋"/>
          <w:color w:val="auto"/>
          <w:sz w:val="21"/>
          <w:szCs w:val="21"/>
          <w:highlight w:val="none"/>
          <w:u w:val="single"/>
          <w:lang w:eastAsia="zh-CN"/>
        </w:rPr>
        <w:t xml:space="preserve">  </w:t>
      </w:r>
      <w:r>
        <w:rPr>
          <w:rFonts w:hint="eastAsia" w:ascii="仿宋" w:hAnsi="仿宋" w:eastAsia="仿宋" w:cs="仿宋"/>
          <w:color w:val="auto"/>
          <w:sz w:val="21"/>
          <w:szCs w:val="21"/>
          <w:highlight w:val="none"/>
          <w:u w:val="single"/>
          <w:lang w:val="en-US" w:eastAsia="zh-CN"/>
        </w:rPr>
        <w:t>1</w:t>
      </w:r>
      <w:r>
        <w:rPr>
          <w:rFonts w:hint="eastAsia" w:ascii="仿宋" w:hAnsi="仿宋" w:eastAsia="仿宋" w:cs="仿宋"/>
          <w:color w:val="auto"/>
          <w:sz w:val="21"/>
          <w:szCs w:val="21"/>
          <w:highlight w:val="none"/>
          <w:u w:val="single"/>
          <w:lang w:eastAsia="zh-CN"/>
        </w:rPr>
        <w:t xml:space="preserve">  </w:t>
      </w:r>
      <w:r>
        <w:rPr>
          <w:rFonts w:hint="eastAsia" w:ascii="仿宋" w:hAnsi="仿宋" w:eastAsia="仿宋" w:cs="仿宋"/>
          <w:color w:val="auto"/>
          <w:sz w:val="21"/>
          <w:szCs w:val="21"/>
          <w:highlight w:val="none"/>
          <w:lang w:val="en-US" w:eastAsia="zh-CN"/>
        </w:rPr>
        <w:t>种方式解决：</w:t>
      </w:r>
    </w:p>
    <w:p w14:paraId="5A551C5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lang w:val="en-US" w:eastAsia="zh-Hans"/>
        </w:rPr>
        <w:t>.</w:t>
      </w:r>
      <w:r>
        <w:rPr>
          <w:rFonts w:hint="eastAsia" w:ascii="仿宋" w:hAnsi="仿宋" w:eastAsia="仿宋" w:cs="仿宋"/>
          <w:color w:val="auto"/>
          <w:sz w:val="21"/>
          <w:szCs w:val="21"/>
          <w:highlight w:val="none"/>
          <w:lang w:val="en-US" w:eastAsia="zh-CN"/>
        </w:rPr>
        <w:t>向</w:t>
      </w:r>
      <w:r>
        <w:rPr>
          <w:rFonts w:hint="eastAsia" w:ascii="仿宋" w:hAnsi="仿宋" w:eastAsia="仿宋" w:cs="仿宋"/>
          <w:color w:val="auto"/>
          <w:sz w:val="21"/>
          <w:szCs w:val="21"/>
          <w:highlight w:val="none"/>
          <w:lang w:val="en-US" w:eastAsia="zh-Hans"/>
        </w:rPr>
        <w:t>甲方属地</w:t>
      </w:r>
      <w:r>
        <w:rPr>
          <w:rFonts w:hint="eastAsia" w:ascii="仿宋" w:hAnsi="仿宋" w:eastAsia="仿宋" w:cs="仿宋"/>
          <w:color w:val="auto"/>
          <w:sz w:val="21"/>
          <w:szCs w:val="21"/>
          <w:highlight w:val="none"/>
          <w:lang w:val="en-US" w:eastAsia="zh-CN"/>
        </w:rPr>
        <w:t>有管辖权的海事法院</w:t>
      </w:r>
      <w:r>
        <w:rPr>
          <w:rFonts w:hint="eastAsia" w:ascii="仿宋" w:hAnsi="仿宋" w:eastAsia="仿宋" w:cs="仿宋"/>
          <w:color w:val="auto"/>
          <w:sz w:val="21"/>
          <w:szCs w:val="21"/>
          <w:highlight w:val="none"/>
          <w:lang w:val="en-US" w:eastAsia="zh-Hans"/>
        </w:rPr>
        <w:t>提起诉讼</w:t>
      </w:r>
      <w:r>
        <w:rPr>
          <w:rFonts w:hint="eastAsia" w:ascii="仿宋" w:hAnsi="仿宋" w:eastAsia="仿宋" w:cs="仿宋"/>
          <w:color w:val="auto"/>
          <w:sz w:val="21"/>
          <w:szCs w:val="21"/>
          <w:highlight w:val="none"/>
          <w:lang w:val="en-US" w:eastAsia="zh-CN"/>
        </w:rPr>
        <w:t>；</w:t>
      </w:r>
    </w:p>
    <w:p w14:paraId="3F45991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CN"/>
        </w:rPr>
        <w:t>2</w:t>
      </w:r>
      <w:r>
        <w:rPr>
          <w:rFonts w:hint="eastAsia" w:ascii="仿宋" w:hAnsi="仿宋" w:eastAsia="仿宋" w:cs="仿宋"/>
          <w:color w:val="auto"/>
          <w:sz w:val="21"/>
          <w:szCs w:val="21"/>
          <w:highlight w:val="none"/>
          <w:lang w:val="en-US" w:eastAsia="zh-Hans"/>
        </w:rPr>
        <w:t>.</w:t>
      </w:r>
      <w:r>
        <w:rPr>
          <w:rFonts w:hint="eastAsia" w:ascii="仿宋" w:hAnsi="仿宋" w:eastAsia="仿宋" w:cs="仿宋"/>
          <w:color w:val="auto"/>
          <w:sz w:val="21"/>
          <w:szCs w:val="21"/>
          <w:highlight w:val="none"/>
          <w:lang w:val="en-US" w:eastAsia="zh-CN"/>
        </w:rPr>
        <w:t>向甲方所属地珠海国际仲裁院申请仲裁</w:t>
      </w:r>
      <w:r>
        <w:rPr>
          <w:rFonts w:hint="eastAsia" w:ascii="仿宋" w:hAnsi="仿宋" w:eastAsia="仿宋" w:cs="仿宋"/>
          <w:color w:val="auto"/>
          <w:sz w:val="21"/>
          <w:szCs w:val="21"/>
          <w:highlight w:val="none"/>
          <w:lang w:val="en-US" w:eastAsia="zh-Hans"/>
        </w:rPr>
        <w:t>，按照申请仲裁时该仲裁委实行的仲裁规则进行仲裁。</w:t>
      </w:r>
    </w:p>
    <w:p w14:paraId="263932B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2" w:firstLineChars="200"/>
        <w:jc w:val="left"/>
        <w:textAlignment w:val="auto"/>
        <w:outlineLvl w:val="9"/>
        <w:rPr>
          <w:rFonts w:hint="eastAsia" w:ascii="仿宋" w:hAnsi="仿宋" w:eastAsia="仿宋" w:cs="仿宋"/>
          <w:b/>
          <w:bCs/>
          <w:color w:val="auto"/>
          <w:sz w:val="21"/>
          <w:szCs w:val="21"/>
          <w:highlight w:val="none"/>
          <w:lang w:val="en-US" w:eastAsia="zh-CN"/>
        </w:rPr>
      </w:pPr>
    </w:p>
    <w:p w14:paraId="26976AF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1"/>
        <w:rPr>
          <w:rFonts w:hint="eastAsia" w:ascii="仿宋" w:hAnsi="仿宋" w:eastAsia="仿宋" w:cs="仿宋"/>
          <w:b/>
          <w:bCs/>
          <w:color w:val="auto"/>
          <w:sz w:val="21"/>
          <w:szCs w:val="21"/>
          <w:highlight w:val="none"/>
          <w:lang w:val="en-US" w:eastAsia="zh-CN"/>
        </w:rPr>
      </w:pPr>
      <w:bookmarkStart w:id="236" w:name="_Toc6351"/>
      <w:bookmarkStart w:id="237" w:name="_Toc27158"/>
      <w:bookmarkStart w:id="238" w:name="_Toc28905"/>
      <w:bookmarkStart w:id="239" w:name="_Toc9093"/>
      <w:bookmarkStart w:id="240" w:name="_Toc19490"/>
      <w:r>
        <w:rPr>
          <w:rFonts w:hint="eastAsia" w:ascii="仿宋" w:hAnsi="仿宋" w:eastAsia="仿宋" w:cs="仿宋"/>
          <w:b/>
          <w:bCs/>
          <w:color w:val="auto"/>
          <w:sz w:val="21"/>
          <w:szCs w:val="21"/>
          <w:highlight w:val="none"/>
          <w:lang w:val="en-US" w:eastAsia="zh-CN"/>
        </w:rPr>
        <w:t>十三、知识产权</w:t>
      </w:r>
      <w:r>
        <w:rPr>
          <w:rFonts w:hint="eastAsia" w:ascii="仿宋" w:hAnsi="仿宋" w:eastAsia="仿宋" w:cs="仿宋"/>
          <w:b/>
          <w:bCs/>
          <w:color w:val="auto"/>
          <w:sz w:val="21"/>
          <w:szCs w:val="21"/>
          <w:highlight w:val="none"/>
          <w:lang w:val="en-US" w:eastAsia="zh-Hans"/>
        </w:rPr>
        <w:t>及保密</w:t>
      </w:r>
      <w:bookmarkEnd w:id="236"/>
      <w:bookmarkEnd w:id="237"/>
      <w:bookmarkEnd w:id="238"/>
      <w:bookmarkEnd w:id="239"/>
      <w:bookmarkEnd w:id="240"/>
    </w:p>
    <w:p w14:paraId="485B01A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Hans"/>
        </w:rPr>
        <w:t>（一）</w:t>
      </w:r>
      <w:r>
        <w:rPr>
          <w:rFonts w:hint="eastAsia" w:ascii="仿宋" w:hAnsi="仿宋" w:eastAsia="仿宋" w:cs="仿宋"/>
          <w:color w:val="auto"/>
          <w:sz w:val="21"/>
          <w:szCs w:val="21"/>
          <w:highlight w:val="none"/>
          <w:lang w:val="en-US" w:eastAsia="zh-CN"/>
        </w:rPr>
        <w:t>乙方同意并保证尊重任何其他第三方的知识产权及其他合法权益，承诺对其所提供的产品、服务均拥有完全的合法的权利，不会侵犯其他第三方的知识产权及其他合法权益，若因本合同所提供的产品、服务或因履行本合同导致侵犯其他第三方的知识产权及其他合法权益，所引起的全部责任由乙方承担，如因此而造成甲方损失的，亦由乙方负责赔偿。</w:t>
      </w:r>
    </w:p>
    <w:p w14:paraId="799D4E7C">
      <w:pPr>
        <w:pStyle w:val="2"/>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Hans" w:bidi="ar-SA"/>
        </w:rPr>
        <w:t>（二）</w:t>
      </w:r>
      <w:r>
        <w:rPr>
          <w:rFonts w:hint="eastAsia" w:ascii="仿宋" w:hAnsi="仿宋" w:eastAsia="仿宋" w:cs="仿宋"/>
          <w:color w:val="auto"/>
          <w:kern w:val="2"/>
          <w:sz w:val="21"/>
          <w:szCs w:val="21"/>
          <w:highlight w:val="none"/>
          <w:lang w:val="en-US" w:eastAsia="zh-CN" w:bidi="ar-SA"/>
        </w:rPr>
        <w:t>乙方应对其在签订及履行本合同过程中所知悉的属于甲方或与甲方有关的商业秘密和信息保密（无论该商业秘密和信息是否被采取保密措施），未经甲方书面同意，乙方不得将前述商业秘密和信息进行复制、摘抄、传达、告知、泄露、公布、发布、出版、传授、转让或者以其他任何方式使任何第三方）接触、知悉，或为自己或他人所使用、利用。</w:t>
      </w:r>
    </w:p>
    <w:p w14:paraId="61CFAFA4">
      <w:pPr>
        <w:pStyle w:val="2"/>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kern w:val="2"/>
          <w:sz w:val="21"/>
          <w:szCs w:val="21"/>
          <w:highlight w:val="none"/>
          <w:lang w:val="en-US" w:eastAsia="zh-Hans" w:bidi="ar-SA"/>
        </w:rPr>
        <w:t>（三）</w:t>
      </w:r>
      <w:r>
        <w:rPr>
          <w:rFonts w:hint="eastAsia" w:ascii="仿宋" w:hAnsi="仿宋" w:eastAsia="仿宋" w:cs="仿宋"/>
          <w:color w:val="auto"/>
          <w:kern w:val="2"/>
          <w:sz w:val="21"/>
          <w:szCs w:val="21"/>
          <w:highlight w:val="none"/>
          <w:lang w:val="en-US" w:eastAsia="zh-CN" w:bidi="ar-SA"/>
        </w:rPr>
        <w:t>乙方的上述保密义务长期有效，除非上述商业秘密和技术信息已经进入公知领域。</w:t>
      </w:r>
    </w:p>
    <w:p w14:paraId="17BA78A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2" w:firstLineChars="200"/>
        <w:jc w:val="left"/>
        <w:textAlignment w:val="auto"/>
        <w:outlineLvl w:val="9"/>
        <w:rPr>
          <w:rFonts w:hint="eastAsia" w:ascii="仿宋" w:hAnsi="仿宋" w:eastAsia="仿宋" w:cs="仿宋"/>
          <w:b/>
          <w:bCs/>
          <w:color w:val="auto"/>
          <w:sz w:val="21"/>
          <w:szCs w:val="21"/>
          <w:highlight w:val="none"/>
          <w:lang w:val="en-US" w:eastAsia="zh-CN"/>
        </w:rPr>
      </w:pPr>
    </w:p>
    <w:p w14:paraId="0E8D6AD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1"/>
        <w:rPr>
          <w:rFonts w:hint="eastAsia" w:ascii="仿宋" w:hAnsi="仿宋" w:eastAsia="仿宋" w:cs="仿宋"/>
          <w:b/>
          <w:bCs/>
          <w:color w:val="auto"/>
          <w:sz w:val="21"/>
          <w:szCs w:val="21"/>
          <w:highlight w:val="none"/>
          <w:lang w:val="en-US" w:eastAsia="zh-CN"/>
        </w:rPr>
      </w:pPr>
      <w:bookmarkStart w:id="241" w:name="_Toc25898"/>
      <w:bookmarkStart w:id="242" w:name="_Toc32407"/>
      <w:bookmarkStart w:id="243" w:name="_Toc28247"/>
      <w:bookmarkStart w:id="244" w:name="_Toc21624"/>
      <w:bookmarkStart w:id="245" w:name="_Toc16167"/>
      <w:r>
        <w:rPr>
          <w:rFonts w:hint="eastAsia" w:ascii="仿宋" w:hAnsi="仿宋" w:eastAsia="仿宋" w:cs="仿宋"/>
          <w:b/>
          <w:bCs/>
          <w:color w:val="auto"/>
          <w:sz w:val="21"/>
          <w:szCs w:val="21"/>
          <w:highlight w:val="none"/>
          <w:lang w:val="en-US" w:eastAsia="zh-CN"/>
        </w:rPr>
        <w:t>十四、其他约定事项</w:t>
      </w:r>
      <w:bookmarkEnd w:id="241"/>
      <w:bookmarkEnd w:id="242"/>
      <w:bookmarkEnd w:id="243"/>
      <w:bookmarkEnd w:id="244"/>
      <w:bookmarkEnd w:id="245"/>
    </w:p>
    <w:p w14:paraId="5E6E1B6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Hans"/>
        </w:rPr>
        <w:t>（一）</w:t>
      </w:r>
      <w:r>
        <w:rPr>
          <w:rFonts w:hint="eastAsia" w:ascii="仿宋" w:hAnsi="仿宋" w:eastAsia="仿宋" w:cs="仿宋"/>
          <w:color w:val="auto"/>
          <w:sz w:val="21"/>
          <w:szCs w:val="21"/>
          <w:highlight w:val="none"/>
          <w:lang w:val="en-US" w:eastAsia="zh-CN"/>
        </w:rPr>
        <w:t>本项目</w:t>
      </w:r>
      <w:r>
        <w:rPr>
          <w:rFonts w:hint="eastAsia" w:ascii="仿宋" w:hAnsi="仿宋" w:eastAsia="仿宋" w:cs="仿宋"/>
          <w:color w:val="auto"/>
          <w:sz w:val="21"/>
          <w:szCs w:val="21"/>
          <w:highlight w:val="none"/>
          <w:lang w:val="en-US" w:eastAsia="zh-Hans"/>
        </w:rPr>
        <w:t>补充合同</w:t>
      </w:r>
      <w:r>
        <w:rPr>
          <w:rFonts w:hint="eastAsia" w:ascii="仿宋" w:hAnsi="仿宋" w:eastAsia="仿宋" w:cs="仿宋"/>
          <w:color w:val="auto"/>
          <w:sz w:val="21"/>
          <w:szCs w:val="21"/>
          <w:highlight w:val="none"/>
          <w:lang w:val="en-US" w:eastAsia="zh-CN"/>
        </w:rPr>
        <w:t>、成交通知书、投标文件及其澄清文件等相关文件、采购文件及其修改澄清等相关文件是</w:t>
      </w:r>
      <w:r>
        <w:rPr>
          <w:rFonts w:hint="eastAsia" w:ascii="仿宋" w:hAnsi="仿宋" w:eastAsia="仿宋" w:cs="仿宋"/>
          <w:color w:val="auto"/>
          <w:sz w:val="21"/>
          <w:szCs w:val="21"/>
          <w:highlight w:val="none"/>
          <w:lang w:val="en-US" w:eastAsia="zh-Hans"/>
        </w:rPr>
        <w:t>本合同</w:t>
      </w:r>
      <w:r>
        <w:rPr>
          <w:rFonts w:hint="eastAsia" w:ascii="仿宋" w:hAnsi="仿宋" w:eastAsia="仿宋" w:cs="仿宋"/>
          <w:color w:val="auto"/>
          <w:sz w:val="21"/>
          <w:szCs w:val="21"/>
          <w:highlight w:val="none"/>
          <w:lang w:val="en-US" w:eastAsia="zh-CN"/>
        </w:rPr>
        <w:t>不可分割的组成部分。</w:t>
      </w:r>
    </w:p>
    <w:p w14:paraId="3767883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（二）本合同相关的任何争议按照下列顺序适用解释：</w:t>
      </w:r>
    </w:p>
    <w:p w14:paraId="49367A4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eastAsia="zh-Hans"/>
        </w:rPr>
        <w:t>1.</w:t>
      </w:r>
      <w:r>
        <w:rPr>
          <w:rFonts w:hint="eastAsia" w:ascii="仿宋" w:hAnsi="仿宋" w:eastAsia="仿宋" w:cs="仿宋"/>
          <w:color w:val="auto"/>
          <w:sz w:val="21"/>
          <w:szCs w:val="21"/>
          <w:highlight w:val="none"/>
          <w:lang w:val="en-US" w:eastAsia="zh-Hans"/>
        </w:rPr>
        <w:t>补充合同</w:t>
      </w:r>
      <w:r>
        <w:rPr>
          <w:rFonts w:hint="eastAsia" w:ascii="仿宋" w:hAnsi="仿宋" w:eastAsia="仿宋" w:cs="仿宋"/>
          <w:color w:val="auto"/>
          <w:sz w:val="21"/>
          <w:szCs w:val="21"/>
          <w:highlight w:val="none"/>
          <w:lang w:val="en-US" w:eastAsia="zh-CN"/>
        </w:rPr>
        <w:t>和本合同</w:t>
      </w:r>
      <w:r>
        <w:rPr>
          <w:rFonts w:hint="eastAsia" w:ascii="仿宋" w:hAnsi="仿宋" w:eastAsia="仿宋" w:cs="仿宋"/>
          <w:color w:val="auto"/>
          <w:sz w:val="21"/>
          <w:szCs w:val="21"/>
          <w:highlight w:val="none"/>
          <w:lang w:val="en-US" w:eastAsia="zh-Hans"/>
        </w:rPr>
        <w:t>；</w:t>
      </w:r>
    </w:p>
    <w:p w14:paraId="1369223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eastAsia="zh-Hans"/>
        </w:rPr>
        <w:t>2.</w:t>
      </w:r>
      <w:r>
        <w:rPr>
          <w:rFonts w:hint="eastAsia" w:ascii="仿宋" w:hAnsi="仿宋" w:eastAsia="仿宋" w:cs="仿宋"/>
          <w:color w:val="auto"/>
          <w:sz w:val="21"/>
          <w:szCs w:val="21"/>
          <w:highlight w:val="none"/>
          <w:lang w:eastAsia="zh-CN"/>
        </w:rPr>
        <w:t>成交通知书、</w:t>
      </w:r>
      <w:r>
        <w:rPr>
          <w:rFonts w:hint="eastAsia" w:ascii="仿宋" w:hAnsi="仿宋" w:eastAsia="仿宋" w:cs="仿宋"/>
          <w:color w:val="auto"/>
          <w:sz w:val="21"/>
          <w:szCs w:val="21"/>
          <w:highlight w:val="none"/>
          <w:lang w:val="en-US" w:eastAsia="zh-Hans"/>
        </w:rPr>
        <w:t>投标文件及澄清文件</w:t>
      </w:r>
      <w:r>
        <w:rPr>
          <w:rFonts w:hint="eastAsia" w:ascii="仿宋" w:hAnsi="仿宋" w:eastAsia="仿宋" w:cs="仿宋"/>
          <w:color w:val="auto"/>
          <w:sz w:val="21"/>
          <w:szCs w:val="21"/>
          <w:highlight w:val="none"/>
          <w:lang w:val="en-US" w:eastAsia="zh-CN"/>
        </w:rPr>
        <w:t>、采购文件及其修改澄清等相关文件</w:t>
      </w:r>
      <w:r>
        <w:rPr>
          <w:rFonts w:hint="eastAsia" w:ascii="仿宋" w:hAnsi="仿宋" w:eastAsia="仿宋" w:cs="仿宋"/>
          <w:color w:val="auto"/>
          <w:sz w:val="21"/>
          <w:szCs w:val="21"/>
          <w:highlight w:val="none"/>
          <w:lang w:val="en-US" w:eastAsia="zh-Hans"/>
        </w:rPr>
        <w:t>；</w:t>
      </w:r>
    </w:p>
    <w:p w14:paraId="5F2923E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eastAsia="zh-Hans"/>
        </w:rPr>
        <w:t>3.</w:t>
      </w:r>
      <w:r>
        <w:rPr>
          <w:rFonts w:hint="eastAsia" w:ascii="仿宋" w:hAnsi="仿宋" w:eastAsia="仿宋" w:cs="仿宋"/>
          <w:color w:val="auto"/>
          <w:sz w:val="21"/>
          <w:szCs w:val="21"/>
          <w:highlight w:val="none"/>
          <w:lang w:val="en-US" w:eastAsia="zh-Hans"/>
        </w:rPr>
        <w:t>其他文件。</w:t>
      </w:r>
    </w:p>
    <w:p w14:paraId="0633341A">
      <w:pPr>
        <w:pStyle w:val="2"/>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Hans" w:bidi="ar-SA"/>
        </w:rPr>
        <w:t>（三）</w:t>
      </w:r>
      <w:r>
        <w:rPr>
          <w:rFonts w:hint="eastAsia" w:ascii="仿宋" w:hAnsi="仿宋" w:eastAsia="仿宋" w:cs="仿宋"/>
          <w:color w:val="auto"/>
          <w:kern w:val="2"/>
          <w:sz w:val="21"/>
          <w:szCs w:val="21"/>
          <w:highlight w:val="none"/>
          <w:lang w:val="en-US" w:eastAsia="zh-CN" w:bidi="ar-SA"/>
        </w:rPr>
        <w:t>如一方地址、电话、</w:t>
      </w:r>
      <w:r>
        <w:rPr>
          <w:rFonts w:hint="eastAsia" w:ascii="仿宋" w:hAnsi="仿宋" w:eastAsia="仿宋" w:cs="仿宋"/>
          <w:color w:val="auto"/>
          <w:kern w:val="2"/>
          <w:sz w:val="21"/>
          <w:szCs w:val="21"/>
          <w:highlight w:val="none"/>
          <w:lang w:val="en-US" w:eastAsia="zh-Hans" w:bidi="ar-SA"/>
        </w:rPr>
        <w:t>联系人、收付款账号</w:t>
      </w:r>
      <w:r>
        <w:rPr>
          <w:rFonts w:hint="eastAsia" w:ascii="仿宋" w:hAnsi="仿宋" w:eastAsia="仿宋" w:cs="仿宋"/>
          <w:color w:val="auto"/>
          <w:kern w:val="2"/>
          <w:sz w:val="21"/>
          <w:szCs w:val="21"/>
          <w:highlight w:val="none"/>
          <w:lang w:val="en-US" w:eastAsia="zh-CN" w:bidi="ar-SA"/>
        </w:rPr>
        <w:t>有变更，应在变更之日起三日内书面通知对方，否则，应承担相应责任。</w:t>
      </w:r>
    </w:p>
    <w:p w14:paraId="3F630BF2">
      <w:pPr>
        <w:pStyle w:val="2"/>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Hans" w:bidi="ar-SA"/>
        </w:rPr>
        <w:t>（四）</w:t>
      </w:r>
      <w:r>
        <w:rPr>
          <w:rFonts w:hint="eastAsia" w:ascii="仿宋" w:hAnsi="仿宋" w:eastAsia="仿宋" w:cs="仿宋"/>
          <w:color w:val="auto"/>
          <w:kern w:val="2"/>
          <w:sz w:val="21"/>
          <w:szCs w:val="21"/>
          <w:highlight w:val="none"/>
          <w:lang w:val="en-US" w:eastAsia="zh-CN" w:bidi="ar-SA"/>
        </w:rPr>
        <w:t>甲乙双方一致确认本合同不存在格式条款，因此不适用法律关于格式条款的规定。</w:t>
      </w:r>
    </w:p>
    <w:p w14:paraId="14B0B97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CN"/>
        </w:rPr>
      </w:pPr>
      <w:bookmarkStart w:id="246" w:name="bookmark19"/>
      <w:bookmarkStart w:id="247" w:name="bookmark20"/>
      <w:bookmarkStart w:id="248" w:name="bookmark18"/>
      <w:r>
        <w:rPr>
          <w:rFonts w:hint="eastAsia" w:ascii="仿宋" w:hAnsi="仿宋" w:eastAsia="仿宋" w:cs="仿宋"/>
          <w:color w:val="auto"/>
          <w:sz w:val="21"/>
          <w:szCs w:val="21"/>
          <w:highlight w:val="none"/>
          <w:lang w:val="en-US" w:eastAsia="zh-Hans"/>
        </w:rPr>
        <w:t>（五）</w:t>
      </w:r>
      <w:r>
        <w:rPr>
          <w:rFonts w:hint="eastAsia" w:ascii="仿宋" w:hAnsi="仿宋" w:eastAsia="仿宋" w:cs="仿宋"/>
          <w:color w:val="auto"/>
          <w:sz w:val="21"/>
          <w:szCs w:val="21"/>
          <w:highlight w:val="none"/>
          <w:lang w:val="en-US" w:eastAsia="zh-CN"/>
        </w:rPr>
        <w:t>本</w:t>
      </w:r>
      <w:r>
        <w:rPr>
          <w:rFonts w:hint="eastAsia" w:ascii="仿宋" w:hAnsi="仿宋" w:eastAsia="仿宋" w:cs="仿宋"/>
          <w:color w:val="auto"/>
          <w:sz w:val="21"/>
          <w:szCs w:val="21"/>
          <w:highlight w:val="none"/>
          <w:lang w:eastAsia="zh-CN"/>
        </w:rPr>
        <w:t>合同</w:t>
      </w:r>
      <w:r>
        <w:rPr>
          <w:rFonts w:hint="eastAsia" w:ascii="仿宋" w:hAnsi="仿宋" w:eastAsia="仿宋" w:cs="仿宋"/>
          <w:color w:val="auto"/>
          <w:sz w:val="21"/>
          <w:szCs w:val="21"/>
          <w:highlight w:val="none"/>
          <w:lang w:val="en-US" w:eastAsia="zh-CN"/>
        </w:rPr>
        <w:t>一式四份，双方各执两份，</w:t>
      </w:r>
      <w:r>
        <w:rPr>
          <w:rFonts w:hint="eastAsia" w:ascii="仿宋" w:hAnsi="仿宋" w:eastAsia="仿宋" w:cs="仿宋"/>
          <w:color w:val="auto"/>
          <w:sz w:val="21"/>
          <w:szCs w:val="21"/>
          <w:highlight w:val="none"/>
          <w:lang w:val="en-US" w:eastAsia="zh-Hans"/>
        </w:rPr>
        <w:t>均</w:t>
      </w:r>
      <w:r>
        <w:rPr>
          <w:rFonts w:hint="eastAsia" w:ascii="仿宋" w:hAnsi="仿宋" w:eastAsia="仿宋" w:cs="仿宋"/>
          <w:color w:val="auto"/>
          <w:sz w:val="21"/>
          <w:szCs w:val="21"/>
          <w:highlight w:val="none"/>
          <w:lang w:val="en-US" w:eastAsia="zh-CN"/>
        </w:rPr>
        <w:t>具有同等法律效力。</w:t>
      </w:r>
    </w:p>
    <w:p w14:paraId="3BF40C7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val="en-US" w:eastAsia="zh-Hans"/>
        </w:rPr>
        <w:t>（六）</w:t>
      </w:r>
      <w:r>
        <w:rPr>
          <w:rFonts w:hint="eastAsia" w:ascii="仿宋" w:hAnsi="仿宋" w:eastAsia="仿宋" w:cs="仿宋"/>
          <w:color w:val="auto"/>
          <w:sz w:val="21"/>
          <w:szCs w:val="21"/>
          <w:highlight w:val="none"/>
          <w:lang w:val="en-US" w:eastAsia="zh-CN"/>
        </w:rPr>
        <w:t>本</w:t>
      </w:r>
      <w:r>
        <w:rPr>
          <w:rFonts w:hint="eastAsia" w:ascii="仿宋" w:hAnsi="仿宋" w:eastAsia="仿宋" w:cs="仿宋"/>
          <w:color w:val="auto"/>
          <w:sz w:val="21"/>
          <w:szCs w:val="21"/>
          <w:highlight w:val="none"/>
          <w:lang w:eastAsia="zh-CN"/>
        </w:rPr>
        <w:t>合同</w:t>
      </w:r>
      <w:r>
        <w:rPr>
          <w:rFonts w:hint="eastAsia" w:ascii="仿宋" w:hAnsi="仿宋" w:eastAsia="仿宋" w:cs="仿宋"/>
          <w:color w:val="auto"/>
          <w:sz w:val="21"/>
          <w:szCs w:val="21"/>
          <w:highlight w:val="none"/>
          <w:lang w:val="en-US" w:eastAsia="zh-CN"/>
        </w:rPr>
        <w:t>自双方签字并加盖公章</w:t>
      </w:r>
      <w:r>
        <w:rPr>
          <w:rFonts w:hint="eastAsia" w:ascii="仿宋" w:hAnsi="仿宋" w:eastAsia="仿宋" w:cs="仿宋"/>
          <w:color w:val="auto"/>
          <w:sz w:val="21"/>
          <w:szCs w:val="21"/>
          <w:highlight w:val="none"/>
          <w:lang w:val="en-US" w:eastAsia="zh-Hans"/>
        </w:rPr>
        <w:t>后</w:t>
      </w:r>
      <w:r>
        <w:rPr>
          <w:rFonts w:hint="eastAsia" w:ascii="仿宋" w:hAnsi="仿宋" w:eastAsia="仿宋" w:cs="仿宋"/>
          <w:color w:val="auto"/>
          <w:sz w:val="21"/>
          <w:szCs w:val="21"/>
          <w:highlight w:val="none"/>
          <w:lang w:val="en-US" w:eastAsia="zh-CN"/>
        </w:rPr>
        <w:t>，</w:t>
      </w:r>
      <w:r>
        <w:rPr>
          <w:rFonts w:hint="eastAsia" w:ascii="仿宋" w:hAnsi="仿宋" w:eastAsia="仿宋" w:cs="仿宋"/>
          <w:color w:val="auto"/>
          <w:sz w:val="21"/>
          <w:szCs w:val="21"/>
          <w:highlight w:val="none"/>
          <w:lang w:eastAsia="zh-CN"/>
        </w:rPr>
        <w:t>自乙方足额交纳履约保证金之日起生效。</w:t>
      </w:r>
    </w:p>
    <w:p w14:paraId="32274026">
      <w:pPr>
        <w:pStyle w:val="2"/>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仿宋" w:hAnsi="仿宋" w:eastAsia="仿宋" w:cs="仿宋"/>
          <w:color w:val="auto"/>
          <w:sz w:val="21"/>
          <w:szCs w:val="21"/>
          <w:highlight w:val="none"/>
          <w:lang w:eastAsia="zh-Hans"/>
        </w:rPr>
      </w:pPr>
      <w:r>
        <w:rPr>
          <w:rFonts w:hint="eastAsia" w:ascii="仿宋" w:hAnsi="仿宋" w:eastAsia="仿宋" w:cs="仿宋"/>
          <w:color w:val="auto"/>
          <w:sz w:val="21"/>
          <w:szCs w:val="21"/>
          <w:highlight w:val="none"/>
          <w:lang w:eastAsia="zh-Hans"/>
        </w:rPr>
        <w:t>（</w:t>
      </w:r>
      <w:r>
        <w:rPr>
          <w:rFonts w:hint="eastAsia" w:ascii="仿宋" w:hAnsi="仿宋" w:eastAsia="仿宋" w:cs="仿宋"/>
          <w:color w:val="auto"/>
          <w:sz w:val="21"/>
          <w:szCs w:val="21"/>
          <w:highlight w:val="none"/>
          <w:lang w:val="en-US" w:eastAsia="zh-Hans"/>
        </w:rPr>
        <w:t>以下无正文</w:t>
      </w:r>
      <w:r>
        <w:rPr>
          <w:rFonts w:hint="eastAsia" w:ascii="仿宋" w:hAnsi="仿宋" w:eastAsia="仿宋" w:cs="仿宋"/>
          <w:color w:val="auto"/>
          <w:sz w:val="21"/>
          <w:szCs w:val="21"/>
          <w:highlight w:val="none"/>
          <w:lang w:eastAsia="zh-Hans"/>
        </w:rPr>
        <w:t>）</w:t>
      </w:r>
    </w:p>
    <w:p w14:paraId="7E802389">
      <w:pPr>
        <w:pStyle w:val="3"/>
        <w:keepNext w:val="0"/>
        <w:keepLines w:val="0"/>
        <w:pageBreakBefore w:val="0"/>
        <w:kinsoku/>
        <w:overflowPunct/>
        <w:topLinePunct w:val="0"/>
        <w:bidi w:val="0"/>
        <w:spacing w:before="0" w:after="0" w:line="360" w:lineRule="auto"/>
        <w:outlineLvl w:val="9"/>
        <w:rPr>
          <w:rFonts w:hint="eastAsia" w:ascii="仿宋" w:hAnsi="仿宋" w:eastAsia="仿宋" w:cs="仿宋"/>
          <w:color w:val="auto"/>
          <w:sz w:val="21"/>
          <w:szCs w:val="21"/>
          <w:highlight w:val="none"/>
          <w:lang w:eastAsia="zh-Hans"/>
        </w:rPr>
      </w:pPr>
    </w:p>
    <w:p w14:paraId="6E983DE3">
      <w:pPr>
        <w:keepNext w:val="0"/>
        <w:keepLines w:val="0"/>
        <w:pageBreakBefore w:val="0"/>
        <w:kinsoku/>
        <w:overflowPunct/>
        <w:topLinePunct w:val="0"/>
        <w:bidi w:val="0"/>
        <w:spacing w:line="360" w:lineRule="auto"/>
        <w:rPr>
          <w:rFonts w:hint="eastAsia" w:ascii="仿宋" w:hAnsi="仿宋" w:eastAsia="仿宋" w:cs="仿宋"/>
          <w:color w:val="auto"/>
          <w:highlight w:val="none"/>
          <w:lang w:eastAsia="zh-Hans"/>
        </w:rPr>
      </w:pPr>
    </w:p>
    <w:p w14:paraId="7CE4D534">
      <w:pPr>
        <w:pStyle w:val="2"/>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60" w:firstLineChars="200"/>
        <w:textAlignment w:val="auto"/>
        <w:outlineLvl w:val="9"/>
        <w:rPr>
          <w:rFonts w:hint="eastAsia" w:ascii="仿宋" w:hAnsi="仿宋" w:eastAsia="仿宋" w:cs="仿宋"/>
          <w:color w:val="auto"/>
          <w:sz w:val="28"/>
          <w:szCs w:val="28"/>
          <w:highlight w:val="none"/>
          <w:lang w:eastAsia="zh-Hans"/>
        </w:rPr>
      </w:pPr>
    </w:p>
    <w:bookmarkEnd w:id="246"/>
    <w:bookmarkEnd w:id="247"/>
    <w:bookmarkEnd w:id="248"/>
    <w:tbl>
      <w:tblPr>
        <w:tblStyle w:val="35"/>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27"/>
        <w:gridCol w:w="4927"/>
      </w:tblGrid>
      <w:tr w14:paraId="3B137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0" w:type="pct"/>
            <w:noWrap w:val="0"/>
            <w:vAlign w:val="top"/>
          </w:tcPr>
          <w:p w14:paraId="299F5B8D">
            <w:pPr>
              <w:pStyle w:val="29"/>
              <w:keepNext w:val="0"/>
              <w:keepLines w:val="0"/>
              <w:pageBreakBefore w:val="0"/>
              <w:widowControl w:val="0"/>
              <w:kinsoku/>
              <w:overflowPunct/>
              <w:topLinePunct w:val="0"/>
              <w:bidi w:val="0"/>
              <w:spacing w:before="0" w:beforeAutospacing="0" w:after="0" w:afterAutospacing="0" w:line="360" w:lineRule="auto"/>
              <w:ind w:firstLine="422"/>
              <w:jc w:val="both"/>
              <w:rPr>
                <w:rFonts w:hint="eastAsia" w:ascii="仿宋" w:hAnsi="仿宋" w:eastAsia="仿宋" w:cs="仿宋"/>
                <w:color w:val="auto"/>
                <w:sz w:val="21"/>
                <w:szCs w:val="21"/>
                <w:highlight w:val="none"/>
              </w:rPr>
            </w:pPr>
            <w:r>
              <w:rPr>
                <w:rFonts w:hint="eastAsia" w:ascii="仿宋" w:hAnsi="仿宋" w:eastAsia="仿宋" w:cs="仿宋"/>
                <w:b/>
                <w:bCs/>
                <w:color w:val="auto"/>
                <w:sz w:val="21"/>
                <w:szCs w:val="21"/>
                <w:highlight w:val="none"/>
              </w:rPr>
              <w:t>甲方（盖章）：  </w:t>
            </w:r>
          </w:p>
        </w:tc>
        <w:tc>
          <w:tcPr>
            <w:tcW w:w="2500" w:type="pct"/>
            <w:noWrap w:val="0"/>
            <w:vAlign w:val="top"/>
          </w:tcPr>
          <w:p w14:paraId="0541AA04">
            <w:pPr>
              <w:pStyle w:val="29"/>
              <w:keepNext w:val="0"/>
              <w:keepLines w:val="0"/>
              <w:pageBreakBefore w:val="0"/>
              <w:widowControl w:val="0"/>
              <w:kinsoku/>
              <w:overflowPunct/>
              <w:topLinePunct w:val="0"/>
              <w:bidi w:val="0"/>
              <w:spacing w:before="0" w:beforeAutospacing="0" w:after="0" w:afterAutospacing="0" w:line="360" w:lineRule="auto"/>
              <w:ind w:firstLine="422"/>
              <w:jc w:val="both"/>
              <w:rPr>
                <w:rFonts w:hint="eastAsia" w:ascii="仿宋" w:hAnsi="仿宋" w:eastAsia="仿宋" w:cs="仿宋"/>
                <w:color w:val="auto"/>
                <w:sz w:val="21"/>
                <w:szCs w:val="21"/>
                <w:highlight w:val="none"/>
                <w:lang w:eastAsia="zh-CN"/>
              </w:rPr>
            </w:pPr>
            <w:r>
              <w:rPr>
                <w:rFonts w:hint="eastAsia" w:ascii="仿宋" w:hAnsi="仿宋" w:eastAsia="仿宋" w:cs="仿宋"/>
                <w:b/>
                <w:bCs/>
                <w:color w:val="auto"/>
                <w:sz w:val="21"/>
                <w:szCs w:val="21"/>
                <w:highlight w:val="none"/>
              </w:rPr>
              <w:t>乙方（盖章）：</w:t>
            </w:r>
          </w:p>
        </w:tc>
      </w:tr>
      <w:tr w14:paraId="7233B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0" w:type="pct"/>
            <w:noWrap w:val="0"/>
            <w:vAlign w:val="top"/>
          </w:tcPr>
          <w:p w14:paraId="03EB0ED5">
            <w:pPr>
              <w:pStyle w:val="29"/>
              <w:keepNext w:val="0"/>
              <w:keepLines w:val="0"/>
              <w:pageBreakBefore w:val="0"/>
              <w:widowControl w:val="0"/>
              <w:kinsoku/>
              <w:overflowPunct/>
              <w:topLinePunct w:val="0"/>
              <w:bidi w:val="0"/>
              <w:spacing w:before="0" w:beforeAutospacing="0" w:after="0" w:afterAutospacing="0" w:line="360" w:lineRule="auto"/>
              <w:ind w:firstLine="422"/>
              <w:jc w:val="both"/>
              <w:rPr>
                <w:rFonts w:hint="eastAsia" w:ascii="仿宋" w:hAnsi="仿宋" w:eastAsia="仿宋" w:cs="仿宋"/>
                <w:color w:val="auto"/>
                <w:sz w:val="21"/>
                <w:szCs w:val="21"/>
                <w:highlight w:val="none"/>
              </w:rPr>
            </w:pPr>
            <w:r>
              <w:rPr>
                <w:rFonts w:hint="eastAsia" w:ascii="仿宋" w:hAnsi="仿宋" w:eastAsia="仿宋" w:cs="仿宋"/>
                <w:b/>
                <w:bCs/>
                <w:color w:val="auto"/>
                <w:sz w:val="21"/>
                <w:szCs w:val="21"/>
                <w:highlight w:val="none"/>
              </w:rPr>
              <w:t>代表：</w:t>
            </w:r>
          </w:p>
        </w:tc>
        <w:tc>
          <w:tcPr>
            <w:tcW w:w="2500" w:type="pct"/>
            <w:noWrap w:val="0"/>
            <w:vAlign w:val="top"/>
          </w:tcPr>
          <w:p w14:paraId="2BDD0058">
            <w:pPr>
              <w:pStyle w:val="29"/>
              <w:keepNext w:val="0"/>
              <w:keepLines w:val="0"/>
              <w:pageBreakBefore w:val="0"/>
              <w:widowControl w:val="0"/>
              <w:kinsoku/>
              <w:overflowPunct/>
              <w:topLinePunct w:val="0"/>
              <w:bidi w:val="0"/>
              <w:spacing w:before="0" w:beforeAutospacing="0" w:after="0" w:afterAutospacing="0" w:line="360" w:lineRule="auto"/>
              <w:ind w:firstLine="422"/>
              <w:jc w:val="both"/>
              <w:rPr>
                <w:rFonts w:hint="eastAsia" w:ascii="仿宋" w:hAnsi="仿宋" w:eastAsia="仿宋" w:cs="仿宋"/>
                <w:color w:val="auto"/>
                <w:sz w:val="21"/>
                <w:szCs w:val="21"/>
                <w:highlight w:val="none"/>
              </w:rPr>
            </w:pPr>
            <w:r>
              <w:rPr>
                <w:rFonts w:hint="eastAsia" w:ascii="仿宋" w:hAnsi="仿宋" w:eastAsia="仿宋" w:cs="仿宋"/>
                <w:b/>
                <w:bCs/>
                <w:color w:val="auto"/>
                <w:sz w:val="21"/>
                <w:szCs w:val="21"/>
                <w:highlight w:val="none"/>
              </w:rPr>
              <w:t>代表：</w:t>
            </w:r>
          </w:p>
        </w:tc>
      </w:tr>
      <w:tr w14:paraId="465CA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0" w:type="pct"/>
            <w:noWrap w:val="0"/>
            <w:vAlign w:val="top"/>
          </w:tcPr>
          <w:p w14:paraId="30F1127B">
            <w:pPr>
              <w:pStyle w:val="29"/>
              <w:keepNext w:val="0"/>
              <w:keepLines w:val="0"/>
              <w:pageBreakBefore w:val="0"/>
              <w:widowControl w:val="0"/>
              <w:shd w:val="clear" w:color="auto" w:fill="FFFFFF"/>
              <w:kinsoku/>
              <w:overflowPunct/>
              <w:topLinePunct w:val="0"/>
              <w:bidi w:val="0"/>
              <w:spacing w:before="0" w:beforeAutospacing="0" w:after="0" w:afterAutospacing="0" w:line="360" w:lineRule="auto"/>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签订</w:t>
            </w:r>
            <w:r>
              <w:rPr>
                <w:rFonts w:hint="eastAsia" w:ascii="仿宋" w:hAnsi="仿宋" w:eastAsia="仿宋" w:cs="仿宋"/>
                <w:color w:val="auto"/>
                <w:sz w:val="21"/>
                <w:szCs w:val="21"/>
                <w:highlight w:val="none"/>
              </w:rPr>
              <w:t>地点：</w:t>
            </w:r>
          </w:p>
        </w:tc>
        <w:tc>
          <w:tcPr>
            <w:tcW w:w="2500" w:type="pct"/>
            <w:noWrap w:val="0"/>
            <w:vAlign w:val="top"/>
          </w:tcPr>
          <w:p w14:paraId="02599B56">
            <w:pPr>
              <w:pStyle w:val="29"/>
              <w:keepNext w:val="0"/>
              <w:keepLines w:val="0"/>
              <w:pageBreakBefore w:val="0"/>
              <w:widowControl w:val="0"/>
              <w:kinsoku/>
              <w:overflowPunct/>
              <w:topLinePunct w:val="0"/>
              <w:bidi w:val="0"/>
              <w:spacing w:before="0" w:beforeAutospacing="0" w:after="0" w:afterAutospacing="0" w:line="360" w:lineRule="auto"/>
              <w:jc w:val="both"/>
              <w:rPr>
                <w:rFonts w:hint="eastAsia" w:ascii="仿宋" w:hAnsi="仿宋" w:eastAsia="仿宋" w:cs="仿宋"/>
                <w:color w:val="auto"/>
                <w:sz w:val="21"/>
                <w:szCs w:val="21"/>
                <w:highlight w:val="none"/>
              </w:rPr>
            </w:pPr>
          </w:p>
        </w:tc>
      </w:tr>
      <w:tr w14:paraId="78667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0" w:type="pct"/>
            <w:noWrap w:val="0"/>
            <w:vAlign w:val="top"/>
          </w:tcPr>
          <w:p w14:paraId="54336788">
            <w:pPr>
              <w:pStyle w:val="29"/>
              <w:keepNext w:val="0"/>
              <w:keepLines w:val="0"/>
              <w:pageBreakBefore w:val="0"/>
              <w:widowControl w:val="0"/>
              <w:kinsoku/>
              <w:overflowPunct/>
              <w:topLinePunct w:val="0"/>
              <w:bidi w:val="0"/>
              <w:spacing w:before="0" w:beforeAutospacing="0" w:after="0" w:afterAutospacing="0" w:line="360" w:lineRule="auto"/>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签订</w:t>
            </w:r>
            <w:r>
              <w:rPr>
                <w:rFonts w:hint="eastAsia" w:ascii="仿宋" w:hAnsi="仿宋" w:eastAsia="仿宋" w:cs="仿宋"/>
                <w:color w:val="auto"/>
                <w:sz w:val="21"/>
                <w:szCs w:val="21"/>
                <w:highlight w:val="none"/>
              </w:rPr>
              <w:t>日期：　　　年　　月　　日</w:t>
            </w:r>
          </w:p>
        </w:tc>
        <w:tc>
          <w:tcPr>
            <w:tcW w:w="2500" w:type="pct"/>
            <w:noWrap w:val="0"/>
            <w:vAlign w:val="top"/>
          </w:tcPr>
          <w:p w14:paraId="530ED117">
            <w:pPr>
              <w:pStyle w:val="29"/>
              <w:keepNext w:val="0"/>
              <w:keepLines w:val="0"/>
              <w:pageBreakBefore w:val="0"/>
              <w:widowControl w:val="0"/>
              <w:kinsoku/>
              <w:overflowPunct/>
              <w:topLinePunct w:val="0"/>
              <w:bidi w:val="0"/>
              <w:spacing w:before="0" w:beforeAutospacing="0" w:after="0" w:afterAutospacing="0" w:line="360" w:lineRule="auto"/>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签订</w:t>
            </w:r>
            <w:r>
              <w:rPr>
                <w:rFonts w:hint="eastAsia" w:ascii="仿宋" w:hAnsi="仿宋" w:eastAsia="仿宋" w:cs="仿宋"/>
                <w:color w:val="auto"/>
                <w:sz w:val="21"/>
                <w:szCs w:val="21"/>
                <w:highlight w:val="none"/>
              </w:rPr>
              <w:t>日期：　　　年　　月　　日</w:t>
            </w:r>
          </w:p>
        </w:tc>
      </w:tr>
      <w:tr w14:paraId="25C6E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0" w:type="pct"/>
            <w:noWrap w:val="0"/>
            <w:vAlign w:val="top"/>
          </w:tcPr>
          <w:p w14:paraId="423E8545">
            <w:pPr>
              <w:pStyle w:val="29"/>
              <w:keepNext w:val="0"/>
              <w:keepLines w:val="0"/>
              <w:pageBreakBefore w:val="0"/>
              <w:widowControl w:val="0"/>
              <w:kinsoku/>
              <w:overflowPunct/>
              <w:topLinePunct w:val="0"/>
              <w:bidi w:val="0"/>
              <w:spacing w:before="0" w:beforeAutospacing="0" w:after="0" w:afterAutospacing="0" w:line="360" w:lineRule="auto"/>
              <w:jc w:val="both"/>
              <w:rPr>
                <w:rFonts w:hint="eastAsia" w:ascii="仿宋" w:hAnsi="仿宋" w:eastAsia="仿宋" w:cs="仿宋"/>
                <w:color w:val="auto"/>
                <w:sz w:val="21"/>
                <w:szCs w:val="21"/>
                <w:highlight w:val="none"/>
              </w:rPr>
            </w:pPr>
          </w:p>
        </w:tc>
        <w:tc>
          <w:tcPr>
            <w:tcW w:w="2500" w:type="pct"/>
            <w:noWrap w:val="0"/>
            <w:vAlign w:val="top"/>
          </w:tcPr>
          <w:p w14:paraId="37EB6FC1">
            <w:pPr>
              <w:pStyle w:val="29"/>
              <w:keepNext w:val="0"/>
              <w:keepLines w:val="0"/>
              <w:pageBreakBefore w:val="0"/>
              <w:widowControl w:val="0"/>
              <w:shd w:val="clear" w:color="auto" w:fill="FFFFFF"/>
              <w:kinsoku/>
              <w:overflowPunct/>
              <w:topLinePunct w:val="0"/>
              <w:bidi w:val="0"/>
              <w:spacing w:before="0" w:beforeAutospacing="0" w:after="0" w:afterAutospacing="0" w:line="360" w:lineRule="auto"/>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开户名称：</w:t>
            </w:r>
          </w:p>
        </w:tc>
      </w:tr>
      <w:tr w14:paraId="0A033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0" w:type="pct"/>
            <w:noWrap w:val="0"/>
            <w:vAlign w:val="top"/>
          </w:tcPr>
          <w:p w14:paraId="7884EE39">
            <w:pPr>
              <w:pStyle w:val="29"/>
              <w:keepNext w:val="0"/>
              <w:keepLines w:val="0"/>
              <w:pageBreakBefore w:val="0"/>
              <w:widowControl w:val="0"/>
              <w:kinsoku/>
              <w:overflowPunct/>
              <w:topLinePunct w:val="0"/>
              <w:bidi w:val="0"/>
              <w:spacing w:before="0" w:beforeAutospacing="0" w:after="0" w:afterAutospacing="0" w:line="360" w:lineRule="auto"/>
              <w:jc w:val="both"/>
              <w:rPr>
                <w:rFonts w:hint="eastAsia" w:ascii="仿宋" w:hAnsi="仿宋" w:eastAsia="仿宋" w:cs="仿宋"/>
                <w:color w:val="auto"/>
                <w:sz w:val="21"/>
                <w:szCs w:val="21"/>
                <w:highlight w:val="none"/>
              </w:rPr>
            </w:pPr>
          </w:p>
        </w:tc>
        <w:tc>
          <w:tcPr>
            <w:tcW w:w="2500" w:type="pct"/>
            <w:noWrap w:val="0"/>
            <w:vAlign w:val="top"/>
          </w:tcPr>
          <w:p w14:paraId="51ACB2BA">
            <w:pPr>
              <w:pStyle w:val="29"/>
              <w:keepNext w:val="0"/>
              <w:keepLines w:val="0"/>
              <w:pageBreakBefore w:val="0"/>
              <w:widowControl w:val="0"/>
              <w:shd w:val="clear" w:color="auto" w:fill="FFFFFF"/>
              <w:kinsoku/>
              <w:overflowPunct/>
              <w:topLinePunct w:val="0"/>
              <w:bidi w:val="0"/>
              <w:spacing w:before="0" w:beforeAutospacing="0" w:after="0" w:afterAutospacing="0" w:line="360" w:lineRule="auto"/>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银行账号</w:t>
            </w:r>
            <w:r>
              <w:rPr>
                <w:rFonts w:hint="eastAsia" w:ascii="仿宋" w:hAnsi="仿宋" w:eastAsia="仿宋" w:cs="仿宋"/>
                <w:color w:val="auto"/>
                <w:sz w:val="21"/>
                <w:szCs w:val="21"/>
                <w:highlight w:val="none"/>
              </w:rPr>
              <w:t>：</w:t>
            </w:r>
          </w:p>
        </w:tc>
      </w:tr>
      <w:tr w14:paraId="345F3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0" w:type="pct"/>
            <w:noWrap w:val="0"/>
            <w:vAlign w:val="top"/>
          </w:tcPr>
          <w:p w14:paraId="78D84B75">
            <w:pPr>
              <w:pStyle w:val="29"/>
              <w:keepNext w:val="0"/>
              <w:keepLines w:val="0"/>
              <w:pageBreakBefore w:val="0"/>
              <w:widowControl w:val="0"/>
              <w:kinsoku/>
              <w:overflowPunct/>
              <w:topLinePunct w:val="0"/>
              <w:bidi w:val="0"/>
              <w:spacing w:before="0" w:beforeAutospacing="0" w:after="0" w:afterAutospacing="0" w:line="360" w:lineRule="auto"/>
              <w:jc w:val="both"/>
              <w:rPr>
                <w:rFonts w:hint="eastAsia" w:ascii="仿宋" w:hAnsi="仿宋" w:eastAsia="仿宋" w:cs="仿宋"/>
                <w:color w:val="auto"/>
                <w:sz w:val="21"/>
                <w:szCs w:val="21"/>
                <w:highlight w:val="none"/>
              </w:rPr>
            </w:pPr>
          </w:p>
        </w:tc>
        <w:tc>
          <w:tcPr>
            <w:tcW w:w="2500" w:type="pct"/>
            <w:noWrap w:val="0"/>
            <w:vAlign w:val="top"/>
          </w:tcPr>
          <w:p w14:paraId="2849A222">
            <w:pPr>
              <w:pStyle w:val="29"/>
              <w:keepNext w:val="0"/>
              <w:keepLines w:val="0"/>
              <w:pageBreakBefore w:val="0"/>
              <w:widowControl w:val="0"/>
              <w:shd w:val="clear" w:color="auto" w:fill="FFFFFF"/>
              <w:kinsoku/>
              <w:overflowPunct/>
              <w:topLinePunct w:val="0"/>
              <w:bidi w:val="0"/>
              <w:spacing w:before="0" w:beforeAutospacing="0" w:after="0" w:afterAutospacing="0" w:line="360" w:lineRule="auto"/>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开 户 行：  </w:t>
            </w:r>
          </w:p>
        </w:tc>
      </w:tr>
    </w:tbl>
    <w:p w14:paraId="798C9349">
      <w:pPr>
        <w:keepNext w:val="0"/>
        <w:keepLines w:val="0"/>
        <w:pageBreakBefore w:val="0"/>
        <w:kinsoku/>
        <w:overflowPunct/>
        <w:topLinePunct w:val="0"/>
        <w:autoSpaceDE/>
        <w:autoSpaceDN/>
        <w:bidi w:val="0"/>
        <w:spacing w:line="360" w:lineRule="auto"/>
        <w:rPr>
          <w:rFonts w:hint="eastAsia" w:ascii="宋体" w:hAnsi="宋体" w:eastAsia="宋体" w:cs="宋体"/>
          <w:color w:val="auto"/>
          <w:szCs w:val="21"/>
          <w:highlight w:val="none"/>
        </w:rPr>
      </w:pPr>
    </w:p>
    <w:p w14:paraId="7505A189">
      <w:pPr>
        <w:pStyle w:val="27"/>
        <w:keepNext w:val="0"/>
        <w:keepLines w:val="0"/>
        <w:pageBreakBefore w:val="0"/>
        <w:kinsoku/>
        <w:overflowPunct/>
        <w:topLinePunct w:val="0"/>
        <w:autoSpaceDE/>
        <w:autoSpaceDN/>
        <w:bidi w:val="0"/>
        <w:spacing w:line="360" w:lineRule="auto"/>
        <w:ind w:firstLine="0" w:firstLineChars="0"/>
        <w:rPr>
          <w:rFonts w:hint="eastAsia" w:ascii="宋体" w:hAnsi="宋体" w:eastAsia="宋体" w:cs="宋体"/>
          <w:color w:val="auto"/>
          <w:sz w:val="21"/>
          <w:szCs w:val="21"/>
          <w:highlight w:val="none"/>
        </w:rPr>
      </w:pPr>
    </w:p>
    <w:p w14:paraId="2D9B2625">
      <w:pPr>
        <w:pStyle w:val="27"/>
        <w:keepNext w:val="0"/>
        <w:keepLines w:val="0"/>
        <w:pageBreakBefore w:val="0"/>
        <w:kinsoku/>
        <w:overflowPunct/>
        <w:topLinePunct w:val="0"/>
        <w:autoSpaceDE/>
        <w:autoSpaceDN/>
        <w:bidi w:val="0"/>
        <w:spacing w:line="360" w:lineRule="auto"/>
        <w:ind w:firstLine="0" w:firstLineChars="0"/>
        <w:rPr>
          <w:rFonts w:hint="eastAsia" w:ascii="宋体" w:hAnsi="宋体" w:eastAsia="宋体" w:cs="宋体"/>
          <w:color w:val="auto"/>
          <w:sz w:val="21"/>
          <w:szCs w:val="21"/>
          <w:highlight w:val="none"/>
        </w:rPr>
      </w:pPr>
    </w:p>
    <w:bookmarkEnd w:id="177"/>
    <w:p w14:paraId="62E2DCBC">
      <w:pPr>
        <w:pStyle w:val="27"/>
        <w:keepNext w:val="0"/>
        <w:keepLines w:val="0"/>
        <w:pageBreakBefore w:val="0"/>
        <w:kinsoku/>
        <w:overflowPunct/>
        <w:topLinePunct w:val="0"/>
        <w:autoSpaceDE/>
        <w:autoSpaceDN/>
        <w:bidi w:val="0"/>
        <w:spacing w:line="360" w:lineRule="auto"/>
        <w:ind w:firstLine="0" w:firstLineChars="0"/>
        <w:rPr>
          <w:rFonts w:hint="eastAsia" w:ascii="宋体" w:hAnsi="宋体" w:eastAsia="宋体" w:cs="宋体"/>
          <w:color w:val="auto"/>
          <w:sz w:val="21"/>
          <w:szCs w:val="21"/>
          <w:highlight w:val="none"/>
        </w:rPr>
      </w:pPr>
    </w:p>
    <w:p w14:paraId="13E8406F">
      <w:pPr>
        <w:keepNext w:val="0"/>
        <w:keepLines w:val="0"/>
        <w:pageBreakBefore w:val="0"/>
        <w:widowControl/>
        <w:kinsoku/>
        <w:overflowPunct/>
        <w:topLinePunct w:val="0"/>
        <w:autoSpaceDE/>
        <w:autoSpaceDN/>
        <w:bidi w:val="0"/>
        <w:spacing w:line="360" w:lineRule="auto"/>
        <w:rPr>
          <w:rFonts w:hint="eastAsia" w:ascii="宋体" w:hAnsi="宋体" w:eastAsia="宋体" w:cs="宋体"/>
          <w:b/>
          <w:bCs/>
          <w:color w:val="auto"/>
          <w:sz w:val="24"/>
          <w:szCs w:val="24"/>
          <w:highlight w:val="none"/>
          <w:lang w:eastAsia="zh-CN"/>
        </w:rPr>
      </w:pPr>
      <w:bookmarkStart w:id="249" w:name="_Toc103462382"/>
      <w:bookmarkStart w:id="250" w:name="_Toc104131906"/>
      <w:bookmarkStart w:id="251" w:name="_Toc103461393"/>
      <w:bookmarkStart w:id="252" w:name="_Toc103461622"/>
      <w:bookmarkStart w:id="253" w:name="_Toc103462408"/>
      <w:r>
        <w:rPr>
          <w:rFonts w:hint="eastAsia" w:ascii="宋体" w:hAnsi="宋体" w:eastAsia="宋体" w:cs="宋体"/>
          <w:b/>
          <w:bCs/>
          <w:color w:val="auto"/>
          <w:sz w:val="24"/>
          <w:szCs w:val="24"/>
          <w:highlight w:val="none"/>
          <w:lang w:eastAsia="zh-CN"/>
        </w:rPr>
        <w:br w:type="page"/>
      </w:r>
    </w:p>
    <w:p w14:paraId="5EDC99CE">
      <w:pPr>
        <w:keepNext w:val="0"/>
        <w:keepLines w:val="0"/>
        <w:pageBreakBefore w:val="0"/>
        <w:kinsoku/>
        <w:overflowPunct/>
        <w:topLinePunct w:val="0"/>
        <w:autoSpaceDE/>
        <w:autoSpaceDN/>
        <w:bidi w:val="0"/>
        <w:spacing w:line="360" w:lineRule="auto"/>
        <w:jc w:val="center"/>
        <w:outlineLvl w:val="0"/>
        <w:rPr>
          <w:rFonts w:hint="eastAsia" w:ascii="宋体" w:hAnsi="宋体" w:eastAsia="宋体" w:cs="宋体"/>
          <w:b/>
          <w:bCs/>
          <w:color w:val="auto"/>
          <w:sz w:val="24"/>
          <w:szCs w:val="24"/>
          <w:highlight w:val="none"/>
          <w:lang w:eastAsia="zh-CN"/>
        </w:rPr>
      </w:pPr>
      <w:bookmarkStart w:id="254" w:name="_Toc3045"/>
      <w:r>
        <w:rPr>
          <w:rFonts w:hint="eastAsia" w:ascii="宋体" w:hAnsi="宋体" w:eastAsia="宋体" w:cs="宋体"/>
          <w:b/>
          <w:bCs/>
          <w:color w:val="auto"/>
          <w:sz w:val="24"/>
          <w:szCs w:val="24"/>
          <w:highlight w:val="none"/>
          <w:lang w:eastAsia="zh-CN"/>
        </w:rPr>
        <w:t>第六章 投标文件格式与要求</w:t>
      </w:r>
      <w:bookmarkEnd w:id="249"/>
      <w:bookmarkEnd w:id="250"/>
      <w:bookmarkEnd w:id="251"/>
      <w:bookmarkEnd w:id="252"/>
      <w:bookmarkEnd w:id="253"/>
      <w:bookmarkEnd w:id="254"/>
    </w:p>
    <w:p w14:paraId="3DD23A2C">
      <w:pPr>
        <w:pStyle w:val="27"/>
        <w:keepNext w:val="0"/>
        <w:keepLines w:val="0"/>
        <w:pageBreakBefore w:val="0"/>
        <w:kinsoku/>
        <w:overflowPunct/>
        <w:topLinePunct w:val="0"/>
        <w:autoSpaceDE/>
        <w:autoSpaceDN/>
        <w:bidi w:val="0"/>
        <w:spacing w:line="360" w:lineRule="auto"/>
        <w:ind w:firstLine="420"/>
        <w:rPr>
          <w:rFonts w:hint="eastAsia" w:ascii="宋体" w:hAnsi="宋体" w:eastAsia="宋体" w:cs="宋体"/>
          <w:color w:val="auto"/>
          <w:sz w:val="21"/>
          <w:szCs w:val="21"/>
          <w:highlight w:val="none"/>
        </w:rPr>
      </w:pPr>
    </w:p>
    <w:p w14:paraId="48A671ED">
      <w:pPr>
        <w:pStyle w:val="27"/>
        <w:keepNext w:val="0"/>
        <w:keepLines w:val="0"/>
        <w:pageBreakBefore w:val="0"/>
        <w:kinsoku/>
        <w:wordWrap w:val="0"/>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投标人应提交证明其有资格参加投标和中标后有能力履行合同的相关文件，并作为其投标文件的一部分，所有文件必须真实可靠、不得伪造，否则将按相关规定予以处罚。</w:t>
      </w:r>
    </w:p>
    <w:p w14:paraId="3B54D7B9">
      <w:pPr>
        <w:pStyle w:val="27"/>
        <w:keepNext w:val="0"/>
        <w:keepLines w:val="0"/>
        <w:pageBreakBefore w:val="0"/>
        <w:kinsoku/>
        <w:wordWrap w:val="0"/>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1.法人或者其他组织的营业执照等证明文件，自然人的身份证明：</w:t>
      </w:r>
    </w:p>
    <w:p w14:paraId="491243CE">
      <w:pPr>
        <w:pStyle w:val="27"/>
        <w:keepNext w:val="0"/>
        <w:keepLines w:val="0"/>
        <w:pageBreakBefore w:val="0"/>
        <w:kinsoku/>
        <w:wordWrap w:val="0"/>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人包括企业法人、机关法人、事业单位法人和社会团体法人；其他组织主要包括合伙企业、非企业专业服务机构、农村承包经营户；自然人是指《中华人民共和国民法典》（以下简称《民法典》）规定的具有完全民事行为能力、能够承担民事责任和义务的公民。如投标人是企业（包括合伙企业），要提供在工商部门注册的有效“企业法人营业执照”或“营业执照”；如投标人是事业单位，要提供有效的“事业单位法人证书”；投标人是非企业专业服务机构，要提供有效的“执业许可证”“登记证书”等证明文件，如律师事务所，会计师事务所要提供执业许可证等证明文件；如投标人是个体工商户，要提供有效的“个体工商户营业执照”；如投标人是自然人，要提供有效的自然人身份证明。</w:t>
      </w:r>
    </w:p>
    <w:p w14:paraId="0A305490">
      <w:pPr>
        <w:pStyle w:val="27"/>
        <w:keepNext w:val="0"/>
        <w:keepLines w:val="0"/>
        <w:pageBreakBefore w:val="0"/>
        <w:kinsoku/>
        <w:wordWrap w:val="0"/>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这里所指“其他组织”不包括法人的分支机构，由于法人分支机构不能独立承担民事责任，不能以分支机构的身份参加政府采购，只能以法人身份参加。“但由于银行、保险、石油石化、电力、电信等行业具有其特殊性，如果能够提供其法人给予的相应授权证明材料，可以参加政府采购活动”。</w:t>
      </w:r>
    </w:p>
    <w:p w14:paraId="71F32497">
      <w:pPr>
        <w:pStyle w:val="27"/>
        <w:keepNext w:val="0"/>
        <w:keepLines w:val="0"/>
        <w:pageBreakBefore w:val="0"/>
        <w:kinsoku/>
        <w:wordWrap w:val="0"/>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2.财务状况报告，依法缴纳税收和社会保障资金的相关材料。（详见资格性审查表要求）</w:t>
      </w:r>
    </w:p>
    <w:p w14:paraId="41C29FD9">
      <w:pPr>
        <w:pStyle w:val="27"/>
        <w:keepNext w:val="0"/>
        <w:keepLines w:val="0"/>
        <w:pageBreakBefore w:val="0"/>
        <w:kinsoku/>
        <w:wordWrap w:val="0"/>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3.具有履行合同所必需的设备和专业技术能力的声明。</w:t>
      </w:r>
    </w:p>
    <w:p w14:paraId="15C87896">
      <w:pPr>
        <w:pStyle w:val="27"/>
        <w:keepNext w:val="0"/>
        <w:keepLines w:val="0"/>
        <w:pageBreakBefore w:val="0"/>
        <w:kinsoku/>
        <w:wordWrap w:val="0"/>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4.投标人参加政府采购前三年内在经营活动中没有重大违法记录书面声明函。</w:t>
      </w:r>
    </w:p>
    <w:p w14:paraId="7BCE9C1C">
      <w:pPr>
        <w:pStyle w:val="27"/>
        <w:keepNext w:val="0"/>
        <w:keepLines w:val="0"/>
        <w:pageBreakBefore w:val="0"/>
        <w:kinsoku/>
        <w:wordWrap w:val="0"/>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5.信用记录查询</w:t>
      </w:r>
    </w:p>
    <w:p w14:paraId="6223406D">
      <w:pPr>
        <w:pStyle w:val="27"/>
        <w:keepNext w:val="0"/>
        <w:keepLines w:val="0"/>
        <w:pageBreakBefore w:val="0"/>
        <w:kinsoku/>
        <w:wordWrap w:val="0"/>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（1）查询渠道：通过“信用中国”网站(www.creditchina.gov.cn)和“中国政府采购网”（www.ccgp.gov.cn）进行查询，具体以招标公告要求为准；</w:t>
      </w:r>
    </w:p>
    <w:p w14:paraId="2E3D8CAC">
      <w:pPr>
        <w:pStyle w:val="27"/>
        <w:keepNext w:val="0"/>
        <w:keepLines w:val="0"/>
        <w:pageBreakBefore w:val="0"/>
        <w:kinsoku/>
        <w:wordWrap w:val="0"/>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（2）查询截止时点：提交投标文件截止日当天；</w:t>
      </w:r>
    </w:p>
    <w:p w14:paraId="64E1F463">
      <w:pPr>
        <w:pStyle w:val="27"/>
        <w:keepNext w:val="0"/>
        <w:keepLines w:val="0"/>
        <w:pageBreakBefore w:val="0"/>
        <w:kinsoku/>
        <w:wordWrap w:val="0"/>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（3）查询记录：对列入失信被执行人、重大税收违法案件当事人名单、政府采购严重违法失信行为记录名单、信用报告进行查询；</w:t>
      </w:r>
    </w:p>
    <w:p w14:paraId="5BE7F99E">
      <w:pPr>
        <w:pStyle w:val="27"/>
        <w:keepNext w:val="0"/>
        <w:keepLines w:val="0"/>
        <w:pageBreakBefore w:val="0"/>
        <w:kinsoku/>
        <w:wordWrap w:val="0"/>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或采购代理机构应当按照查询渠道、查询时间节点、查询记录内容进行查询，并存档。对信用记录查询结果中显示投标人被列入失信被执行人、重大税收违法案件当事人名单、政府采购严重违法失信行为记录名单的投标人作无效投标处理。</w:t>
      </w:r>
    </w:p>
    <w:p w14:paraId="1283449B">
      <w:pPr>
        <w:pStyle w:val="27"/>
        <w:keepNext w:val="0"/>
        <w:keepLines w:val="0"/>
        <w:pageBreakBefore w:val="0"/>
        <w:kinsoku/>
        <w:wordWrap w:val="0"/>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在本招标文件规定的查询时间之外，网站信息发生的任何变更均不作为资格审查依据。</w:t>
      </w:r>
    </w:p>
    <w:p w14:paraId="53AD347D">
      <w:pPr>
        <w:pStyle w:val="27"/>
        <w:keepNext w:val="0"/>
        <w:keepLines w:val="0"/>
        <w:pageBreakBefore w:val="0"/>
        <w:kinsoku/>
        <w:wordWrap w:val="0"/>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6.按照招标文件要求，投标人应当提交的资格、资信证明文件。</w:t>
      </w:r>
    </w:p>
    <w:p w14:paraId="732BB951">
      <w:pPr>
        <w:keepNext w:val="0"/>
        <w:keepLines w:val="0"/>
        <w:pageBreakBefore w:val="0"/>
        <w:widowControl/>
        <w:kinsoku/>
        <w:wordWrap w:val="0"/>
        <w:overflowPunct/>
        <w:topLinePunct w:val="0"/>
        <w:autoSpaceDE/>
        <w:autoSpaceDN/>
        <w:bidi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br w:type="page"/>
      </w:r>
    </w:p>
    <w:p w14:paraId="04DE8728">
      <w:pPr>
        <w:pStyle w:val="27"/>
        <w:keepNext w:val="0"/>
        <w:keepLines w:val="0"/>
        <w:pageBreakBefore w:val="0"/>
        <w:kinsoku/>
        <w:wordWrap w:val="0"/>
        <w:overflowPunct/>
        <w:topLinePunct w:val="0"/>
        <w:autoSpaceDE/>
        <w:autoSpaceDN/>
        <w:bidi w:val="0"/>
        <w:spacing w:line="360" w:lineRule="auto"/>
        <w:ind w:firstLine="562"/>
        <w:jc w:val="center"/>
        <w:outlineLvl w:val="1"/>
        <w:rPr>
          <w:rFonts w:hint="eastAsia" w:ascii="宋体" w:hAnsi="宋体" w:eastAsia="宋体" w:cs="宋体"/>
          <w:b/>
          <w:bCs/>
          <w:color w:val="auto"/>
          <w:sz w:val="28"/>
          <w:szCs w:val="28"/>
          <w:highlight w:val="none"/>
        </w:rPr>
      </w:pPr>
      <w:bookmarkStart w:id="255" w:name="_Toc103461394"/>
      <w:bookmarkStart w:id="256" w:name="_Toc103462409"/>
      <w:bookmarkStart w:id="257" w:name="_Toc103461623"/>
      <w:bookmarkStart w:id="258" w:name="_Toc103462383"/>
      <w:bookmarkStart w:id="259" w:name="_Toc104131907"/>
      <w:bookmarkStart w:id="260" w:name="_Toc10027"/>
      <w:r>
        <w:rPr>
          <w:rFonts w:hint="eastAsia" w:ascii="宋体" w:hAnsi="宋体" w:eastAsia="宋体" w:cs="宋体"/>
          <w:b/>
          <w:bCs/>
          <w:color w:val="auto"/>
          <w:sz w:val="28"/>
          <w:szCs w:val="28"/>
          <w:highlight w:val="none"/>
        </w:rPr>
        <w:t>投标文件封面</w:t>
      </w:r>
      <w:bookmarkEnd w:id="255"/>
      <w:bookmarkEnd w:id="256"/>
      <w:bookmarkEnd w:id="257"/>
      <w:bookmarkEnd w:id="258"/>
      <w:r>
        <w:rPr>
          <w:rFonts w:hint="eastAsia" w:ascii="宋体" w:hAnsi="宋体" w:eastAsia="宋体" w:cs="宋体"/>
          <w:b/>
          <w:bCs/>
          <w:color w:val="auto"/>
          <w:sz w:val="28"/>
          <w:szCs w:val="28"/>
          <w:highlight w:val="none"/>
        </w:rPr>
        <w:t>（参考）</w:t>
      </w:r>
      <w:bookmarkEnd w:id="259"/>
      <w:bookmarkEnd w:id="260"/>
    </w:p>
    <w:p w14:paraId="5457DA36">
      <w:pPr>
        <w:pStyle w:val="27"/>
        <w:keepNext w:val="0"/>
        <w:keepLines w:val="0"/>
        <w:pageBreakBefore w:val="0"/>
        <w:kinsoku/>
        <w:wordWrap w:val="0"/>
        <w:overflowPunct/>
        <w:topLinePunct w:val="0"/>
        <w:autoSpaceDE/>
        <w:autoSpaceDN/>
        <w:bidi w:val="0"/>
        <w:spacing w:line="360" w:lineRule="auto"/>
        <w:ind w:firstLine="0" w:firstLineChars="0"/>
        <w:rPr>
          <w:rFonts w:hint="eastAsia" w:ascii="宋体" w:hAnsi="宋体" w:eastAsia="宋体" w:cs="宋体"/>
          <w:color w:val="auto"/>
          <w:sz w:val="28"/>
          <w:szCs w:val="28"/>
          <w:highlight w:val="none"/>
        </w:rPr>
      </w:pPr>
      <w:r>
        <w:rPr>
          <w:rFonts w:hint="eastAsia" w:ascii="宋体" w:hAnsi="宋体" w:eastAsia="宋体" w:cs="宋体"/>
          <w:color w:val="auto"/>
          <w:highlight w:val="none"/>
        </w:rPr>
        <mc:AlternateContent>
          <mc:Choice Requires="wps">
            <w:drawing>
              <wp:inline distT="0" distB="0" distL="0" distR="0">
                <wp:extent cx="6181725" cy="7668260"/>
                <wp:effectExtent l="0" t="0" r="28575" b="27940"/>
                <wp:docPr id="1" name="文本框 2"/>
                <wp:cNvGraphicFramePr/>
                <a:graphic xmlns:a="http://schemas.openxmlformats.org/drawingml/2006/main">
                  <a:graphicData uri="http://schemas.microsoft.com/office/word/2010/wordprocessingShape">
                    <wps:wsp>
                      <wps:cNvSpPr txBox="1"/>
                      <wps:spPr>
                        <a:xfrm>
                          <a:off x="0" y="0"/>
                          <a:ext cx="6181725" cy="766888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BC307DF">
                            <w:pPr>
                              <w:pStyle w:val="2"/>
                              <w:rPr>
                                <w:rFonts w:hint="eastAsia"/>
                              </w:rPr>
                            </w:pPr>
                          </w:p>
                          <w:p w14:paraId="527CD506">
                            <w:pPr>
                              <w:pStyle w:val="2"/>
                              <w:ind w:firstLine="643"/>
                              <w:jc w:val="right"/>
                              <w:rPr>
                                <w:rFonts w:hint="eastAsia"/>
                                <w:b/>
                                <w:bCs/>
                                <w:sz w:val="44"/>
                                <w:szCs w:val="44"/>
                                <w:lang w:eastAsia="zh-CN"/>
                              </w:rPr>
                            </w:pPr>
                            <w:r>
                              <w:rPr>
                                <w:rFonts w:hint="eastAsia"/>
                                <w:b/>
                                <w:bCs/>
                                <w:sz w:val="44"/>
                                <w:szCs w:val="44"/>
                                <w:lang w:eastAsia="zh-CN"/>
                              </w:rPr>
                              <w:t>正本/副本</w:t>
                            </w:r>
                          </w:p>
                          <w:p w14:paraId="731D640C">
                            <w:pPr>
                              <w:pStyle w:val="2"/>
                              <w:rPr>
                                <w:rFonts w:hint="eastAsia"/>
                                <w:lang w:eastAsia="zh-CN"/>
                              </w:rPr>
                            </w:pPr>
                          </w:p>
                          <w:p w14:paraId="4E77E3D4">
                            <w:pPr>
                              <w:pStyle w:val="2"/>
                              <w:rPr>
                                <w:rFonts w:hint="eastAsia"/>
                                <w:sz w:val="40"/>
                                <w:szCs w:val="36"/>
                                <w:lang w:eastAsia="zh-CN"/>
                              </w:rPr>
                            </w:pPr>
                          </w:p>
                          <w:p w14:paraId="2AEE96CF">
                            <w:pPr>
                              <w:pStyle w:val="2"/>
                              <w:jc w:val="center"/>
                              <w:rPr>
                                <w:rFonts w:hint="eastAsia"/>
                                <w:b/>
                                <w:bCs/>
                                <w:sz w:val="84"/>
                                <w:szCs w:val="84"/>
                                <w:lang w:eastAsia="zh-CN"/>
                              </w:rPr>
                            </w:pPr>
                            <w:r>
                              <w:rPr>
                                <w:rFonts w:hint="eastAsia"/>
                                <w:b/>
                                <w:bCs/>
                                <w:sz w:val="84"/>
                                <w:szCs w:val="84"/>
                                <w:lang w:eastAsia="zh-CN"/>
                              </w:rPr>
                              <w:t>投标文件</w:t>
                            </w:r>
                          </w:p>
                          <w:p w14:paraId="303E25E0">
                            <w:pPr>
                              <w:pStyle w:val="2"/>
                              <w:ind w:firstLine="640"/>
                              <w:rPr>
                                <w:rFonts w:hint="eastAsia"/>
                                <w:sz w:val="56"/>
                                <w:szCs w:val="52"/>
                                <w:lang w:eastAsia="zh-CN"/>
                              </w:rPr>
                            </w:pPr>
                          </w:p>
                          <w:p w14:paraId="4430A145">
                            <w:pPr>
                              <w:pStyle w:val="2"/>
                              <w:ind w:firstLine="640" w:firstLineChars="200"/>
                              <w:rPr>
                                <w:rFonts w:hint="eastAsia"/>
                                <w:sz w:val="32"/>
                                <w:szCs w:val="32"/>
                                <w:lang w:eastAsia="zh-CN"/>
                              </w:rPr>
                            </w:pPr>
                            <w:r>
                              <w:rPr>
                                <w:rFonts w:hint="eastAsia"/>
                                <w:sz w:val="32"/>
                                <w:szCs w:val="32"/>
                                <w:lang w:eastAsia="zh-CN"/>
                              </w:rPr>
                              <w:t>项目编号：</w:t>
                            </w:r>
                          </w:p>
                          <w:p w14:paraId="4055DAA6">
                            <w:pPr>
                              <w:pStyle w:val="2"/>
                              <w:ind w:firstLine="640" w:firstLineChars="200"/>
                              <w:rPr>
                                <w:rFonts w:hint="eastAsia"/>
                                <w:sz w:val="32"/>
                                <w:szCs w:val="32"/>
                                <w:lang w:eastAsia="zh-CN"/>
                              </w:rPr>
                            </w:pPr>
                            <w:r>
                              <w:rPr>
                                <w:rFonts w:hint="eastAsia"/>
                                <w:sz w:val="32"/>
                                <w:szCs w:val="32"/>
                                <w:lang w:eastAsia="zh-CN"/>
                              </w:rPr>
                              <w:t>项目名称：</w:t>
                            </w:r>
                          </w:p>
                          <w:p w14:paraId="4B4209C1">
                            <w:pPr>
                              <w:pStyle w:val="2"/>
                              <w:ind w:firstLine="640" w:firstLineChars="200"/>
                              <w:rPr>
                                <w:rFonts w:hint="eastAsia"/>
                                <w:color w:val="FF0000"/>
                                <w:sz w:val="32"/>
                                <w:szCs w:val="32"/>
                                <w:lang w:eastAsia="zh-CN"/>
                              </w:rPr>
                            </w:pPr>
                          </w:p>
                          <w:p w14:paraId="09C3C6B2">
                            <w:pPr>
                              <w:pStyle w:val="2"/>
                              <w:ind w:firstLine="640" w:firstLineChars="200"/>
                              <w:rPr>
                                <w:rFonts w:hint="eastAsia"/>
                                <w:sz w:val="32"/>
                                <w:szCs w:val="32"/>
                                <w:lang w:eastAsia="zh-CN"/>
                              </w:rPr>
                            </w:pPr>
                          </w:p>
                          <w:p w14:paraId="267829C0">
                            <w:pPr>
                              <w:pStyle w:val="2"/>
                              <w:ind w:firstLine="640" w:firstLineChars="200"/>
                              <w:rPr>
                                <w:rFonts w:hint="eastAsia"/>
                                <w:sz w:val="32"/>
                                <w:szCs w:val="32"/>
                                <w:lang w:eastAsia="zh-CN"/>
                              </w:rPr>
                            </w:pPr>
                            <w:r>
                              <w:rPr>
                                <w:rFonts w:hint="eastAsia"/>
                                <w:sz w:val="32"/>
                                <w:szCs w:val="32"/>
                                <w:lang w:eastAsia="zh-CN"/>
                              </w:rPr>
                              <w:t>投标人名称：</w:t>
                            </w:r>
                          </w:p>
                          <w:p w14:paraId="0FFAF1CF">
                            <w:pPr>
                              <w:pStyle w:val="2"/>
                              <w:ind w:firstLine="640" w:firstLineChars="200"/>
                              <w:rPr>
                                <w:rFonts w:hint="eastAsia"/>
                                <w:sz w:val="32"/>
                                <w:szCs w:val="32"/>
                                <w:lang w:eastAsia="zh-CN"/>
                              </w:rPr>
                            </w:pPr>
                            <w:r>
                              <w:rPr>
                                <w:rFonts w:hint="eastAsia"/>
                                <w:sz w:val="32"/>
                                <w:szCs w:val="32"/>
                                <w:lang w:eastAsia="zh-CN"/>
                              </w:rPr>
                              <w:t>投标人地址：</w:t>
                            </w:r>
                          </w:p>
                          <w:p w14:paraId="7E9CEAFD">
                            <w:pPr>
                              <w:pStyle w:val="2"/>
                              <w:ind w:firstLine="640" w:firstLineChars="200"/>
                              <w:rPr>
                                <w:rFonts w:hint="eastAsia"/>
                                <w:sz w:val="32"/>
                                <w:szCs w:val="32"/>
                                <w:lang w:eastAsia="zh-CN"/>
                              </w:rPr>
                            </w:pPr>
                            <w:r>
                              <w:rPr>
                                <w:rFonts w:hint="eastAsia"/>
                                <w:sz w:val="32"/>
                                <w:szCs w:val="32"/>
                                <w:lang w:eastAsia="zh-CN"/>
                              </w:rPr>
                              <w:t>投标人法定代表人或其授权代表：</w:t>
                            </w:r>
                          </w:p>
                          <w:p w14:paraId="4F31FA10">
                            <w:pPr>
                              <w:pStyle w:val="2"/>
                              <w:ind w:firstLine="640" w:firstLineChars="200"/>
                              <w:rPr>
                                <w:rFonts w:hint="eastAsia"/>
                                <w:sz w:val="32"/>
                                <w:szCs w:val="32"/>
                                <w:lang w:eastAsia="zh-CN"/>
                              </w:rPr>
                            </w:pPr>
                            <w:r>
                              <w:rPr>
                                <w:rFonts w:hint="eastAsia"/>
                                <w:sz w:val="32"/>
                                <w:szCs w:val="32"/>
                                <w:lang w:eastAsia="zh-CN"/>
                              </w:rPr>
                              <w:t>联系电话：</w:t>
                            </w:r>
                          </w:p>
                          <w:p w14:paraId="27513C52">
                            <w:pPr>
                              <w:pStyle w:val="2"/>
                              <w:rPr>
                                <w:rFonts w:hint="eastAsia"/>
                                <w:sz w:val="32"/>
                                <w:szCs w:val="32"/>
                                <w:lang w:eastAsia="zh-CN"/>
                              </w:rPr>
                            </w:pPr>
                          </w:p>
                          <w:p w14:paraId="7751ECF6">
                            <w:pPr>
                              <w:pStyle w:val="2"/>
                              <w:jc w:val="center"/>
                              <w:rPr>
                                <w:rFonts w:hint="eastAsia"/>
                                <w:sz w:val="32"/>
                                <w:szCs w:val="32"/>
                                <w:lang w:eastAsia="zh-CN"/>
                              </w:rPr>
                            </w:pPr>
                            <w:r>
                              <w:rPr>
                                <w:rFonts w:hint="eastAsia"/>
                                <w:sz w:val="32"/>
                                <w:szCs w:val="32"/>
                                <w:lang w:eastAsia="zh-CN"/>
                              </w:rPr>
                              <w:t>---本项目开标前不准启封---</w:t>
                            </w:r>
                          </w:p>
                          <w:p w14:paraId="726FC276">
                            <w:pPr>
                              <w:pStyle w:val="2"/>
                              <w:jc w:val="center"/>
                              <w:rPr>
                                <w:rFonts w:hint="eastAsia"/>
                                <w:sz w:val="32"/>
                                <w:szCs w:val="32"/>
                                <w:lang w:eastAsia="zh-CN"/>
                              </w:rPr>
                            </w:pPr>
                          </w:p>
                          <w:p w14:paraId="55F863FE">
                            <w:pPr>
                              <w:pStyle w:val="2"/>
                              <w:jc w:val="center"/>
                              <w:rPr>
                                <w:rFonts w:hint="eastAsia"/>
                                <w:sz w:val="32"/>
                                <w:szCs w:val="32"/>
                                <w:u w:val="single"/>
                              </w:rPr>
                            </w:pPr>
                            <w:r>
                              <w:rPr>
                                <w:rFonts w:hint="eastAsia"/>
                                <w:sz w:val="32"/>
                                <w:szCs w:val="32"/>
                              </w:rPr>
                              <w:t>日期：</w:t>
                            </w:r>
                            <w:r>
                              <w:rPr>
                                <w:rFonts w:hint="eastAsia"/>
                                <w:sz w:val="32"/>
                                <w:szCs w:val="32"/>
                                <w:u w:val="single"/>
                              </w:rPr>
                              <w:t xml:space="preserve"> </w:t>
                            </w:r>
                            <w:r>
                              <w:rPr>
                                <w:sz w:val="32"/>
                                <w:szCs w:val="32"/>
                                <w:u w:val="single"/>
                              </w:rPr>
                              <w:t xml:space="preserve">    </w:t>
                            </w:r>
                            <w:r>
                              <w:rPr>
                                <w:rFonts w:hint="eastAsia"/>
                                <w:sz w:val="32"/>
                                <w:szCs w:val="32"/>
                              </w:rPr>
                              <w:t>年</w:t>
                            </w:r>
                            <w:r>
                              <w:rPr>
                                <w:rFonts w:hint="eastAsia"/>
                                <w:sz w:val="32"/>
                                <w:szCs w:val="32"/>
                                <w:u w:val="single"/>
                              </w:rPr>
                              <w:t xml:space="preserve"> </w:t>
                            </w:r>
                            <w:r>
                              <w:rPr>
                                <w:sz w:val="32"/>
                                <w:szCs w:val="32"/>
                                <w:u w:val="single"/>
                              </w:rPr>
                              <w:t xml:space="preserve">   </w:t>
                            </w:r>
                            <w:r>
                              <w:rPr>
                                <w:rFonts w:hint="eastAsia"/>
                                <w:sz w:val="32"/>
                                <w:szCs w:val="32"/>
                              </w:rPr>
                              <w:t>月</w:t>
                            </w:r>
                            <w:r>
                              <w:rPr>
                                <w:rFonts w:hint="eastAsia"/>
                                <w:sz w:val="32"/>
                                <w:szCs w:val="32"/>
                                <w:u w:val="single"/>
                              </w:rPr>
                              <w:t xml:space="preserve"> </w:t>
                            </w:r>
                            <w:r>
                              <w:rPr>
                                <w:sz w:val="32"/>
                                <w:szCs w:val="32"/>
                                <w:u w:val="single"/>
                              </w:rPr>
                              <w:t xml:space="preserve">   </w:t>
                            </w:r>
                            <w:r>
                              <w:rPr>
                                <w:rFonts w:hint="eastAsia"/>
                                <w:sz w:val="32"/>
                                <w:szCs w:val="32"/>
                              </w:rPr>
                              <w:t>日</w:t>
                            </w:r>
                          </w:p>
                          <w:p w14:paraId="7BAD4C45">
                            <w:pPr>
                              <w:rPr>
                                <w:rFonts w:hint="eastAsia"/>
                              </w:rPr>
                            </w:pPr>
                          </w:p>
                        </w:txbxContent>
                      </wps:txbx>
                      <wps:bodyPr wrap="square" upright="1"/>
                    </wps:wsp>
                  </a:graphicData>
                </a:graphic>
              </wp:inline>
            </w:drawing>
          </mc:Choice>
          <mc:Fallback>
            <w:pict>
              <v:shape id="文本框 2" o:spid="_x0000_s1026" o:spt="202" type="#_x0000_t202" style="height:603.8pt;width:486.75pt;" fillcolor="#FFFFFF" filled="t" stroked="t" coordsize="21600,21600" o:gfxdata="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2BxZ7tcAAAAGAQAADwAAAAAA&#10;AAABACAAAAAiAAAAZHJzL2Rvd25yZXYueG1sUEsBAhQAFAAAAAgAh07iQAN3FmYUAgAARQQAAA4A&#10;AAAAAAAAAQAgAAAAJgEAAGRycy9lMm9Eb2MueG1sUEsFBgAAAAAGAAYAWQEAAKwFAAAAAA==&#10;">
                <v:fill on="t" focussize="0,0"/>
                <v:stroke color="#000000" joinstyle="miter"/>
                <v:imagedata o:title=""/>
                <o:lock v:ext="edit" aspectratio="f"/>
                <v:textbox>
                  <w:txbxContent>
                    <w:p w14:paraId="6BC307DF">
                      <w:pPr>
                        <w:pStyle w:val="2"/>
                        <w:rPr>
                          <w:rFonts w:hint="eastAsia"/>
                        </w:rPr>
                      </w:pPr>
                    </w:p>
                    <w:p w14:paraId="527CD506">
                      <w:pPr>
                        <w:pStyle w:val="2"/>
                        <w:ind w:firstLine="643"/>
                        <w:jc w:val="right"/>
                        <w:rPr>
                          <w:rFonts w:hint="eastAsia"/>
                          <w:b/>
                          <w:bCs/>
                          <w:sz w:val="44"/>
                          <w:szCs w:val="44"/>
                          <w:lang w:eastAsia="zh-CN"/>
                        </w:rPr>
                      </w:pPr>
                      <w:r>
                        <w:rPr>
                          <w:rFonts w:hint="eastAsia"/>
                          <w:b/>
                          <w:bCs/>
                          <w:sz w:val="44"/>
                          <w:szCs w:val="44"/>
                          <w:lang w:eastAsia="zh-CN"/>
                        </w:rPr>
                        <w:t>正本/副本</w:t>
                      </w:r>
                    </w:p>
                    <w:p w14:paraId="731D640C">
                      <w:pPr>
                        <w:pStyle w:val="2"/>
                        <w:rPr>
                          <w:rFonts w:hint="eastAsia"/>
                          <w:lang w:eastAsia="zh-CN"/>
                        </w:rPr>
                      </w:pPr>
                    </w:p>
                    <w:p w14:paraId="4E77E3D4">
                      <w:pPr>
                        <w:pStyle w:val="2"/>
                        <w:rPr>
                          <w:rFonts w:hint="eastAsia"/>
                          <w:sz w:val="40"/>
                          <w:szCs w:val="36"/>
                          <w:lang w:eastAsia="zh-CN"/>
                        </w:rPr>
                      </w:pPr>
                    </w:p>
                    <w:p w14:paraId="2AEE96CF">
                      <w:pPr>
                        <w:pStyle w:val="2"/>
                        <w:jc w:val="center"/>
                        <w:rPr>
                          <w:rFonts w:hint="eastAsia"/>
                          <w:b/>
                          <w:bCs/>
                          <w:sz w:val="84"/>
                          <w:szCs w:val="84"/>
                          <w:lang w:eastAsia="zh-CN"/>
                        </w:rPr>
                      </w:pPr>
                      <w:r>
                        <w:rPr>
                          <w:rFonts w:hint="eastAsia"/>
                          <w:b/>
                          <w:bCs/>
                          <w:sz w:val="84"/>
                          <w:szCs w:val="84"/>
                          <w:lang w:eastAsia="zh-CN"/>
                        </w:rPr>
                        <w:t>投标文件</w:t>
                      </w:r>
                    </w:p>
                    <w:p w14:paraId="303E25E0">
                      <w:pPr>
                        <w:pStyle w:val="2"/>
                        <w:ind w:firstLine="640"/>
                        <w:rPr>
                          <w:rFonts w:hint="eastAsia"/>
                          <w:sz w:val="56"/>
                          <w:szCs w:val="52"/>
                          <w:lang w:eastAsia="zh-CN"/>
                        </w:rPr>
                      </w:pPr>
                    </w:p>
                    <w:p w14:paraId="4430A145">
                      <w:pPr>
                        <w:pStyle w:val="2"/>
                        <w:ind w:firstLine="640" w:firstLineChars="200"/>
                        <w:rPr>
                          <w:rFonts w:hint="eastAsia"/>
                          <w:sz w:val="32"/>
                          <w:szCs w:val="32"/>
                          <w:lang w:eastAsia="zh-CN"/>
                        </w:rPr>
                      </w:pPr>
                      <w:r>
                        <w:rPr>
                          <w:rFonts w:hint="eastAsia"/>
                          <w:sz w:val="32"/>
                          <w:szCs w:val="32"/>
                          <w:lang w:eastAsia="zh-CN"/>
                        </w:rPr>
                        <w:t>项目编号：</w:t>
                      </w:r>
                    </w:p>
                    <w:p w14:paraId="4055DAA6">
                      <w:pPr>
                        <w:pStyle w:val="2"/>
                        <w:ind w:firstLine="640" w:firstLineChars="200"/>
                        <w:rPr>
                          <w:rFonts w:hint="eastAsia"/>
                          <w:sz w:val="32"/>
                          <w:szCs w:val="32"/>
                          <w:lang w:eastAsia="zh-CN"/>
                        </w:rPr>
                      </w:pPr>
                      <w:r>
                        <w:rPr>
                          <w:rFonts w:hint="eastAsia"/>
                          <w:sz w:val="32"/>
                          <w:szCs w:val="32"/>
                          <w:lang w:eastAsia="zh-CN"/>
                        </w:rPr>
                        <w:t>项目名称：</w:t>
                      </w:r>
                    </w:p>
                    <w:p w14:paraId="4B4209C1">
                      <w:pPr>
                        <w:pStyle w:val="2"/>
                        <w:ind w:firstLine="640" w:firstLineChars="200"/>
                        <w:rPr>
                          <w:rFonts w:hint="eastAsia"/>
                          <w:color w:val="FF0000"/>
                          <w:sz w:val="32"/>
                          <w:szCs w:val="32"/>
                          <w:lang w:eastAsia="zh-CN"/>
                        </w:rPr>
                      </w:pPr>
                    </w:p>
                    <w:p w14:paraId="09C3C6B2">
                      <w:pPr>
                        <w:pStyle w:val="2"/>
                        <w:ind w:firstLine="640" w:firstLineChars="200"/>
                        <w:rPr>
                          <w:rFonts w:hint="eastAsia"/>
                          <w:sz w:val="32"/>
                          <w:szCs w:val="32"/>
                          <w:lang w:eastAsia="zh-CN"/>
                        </w:rPr>
                      </w:pPr>
                    </w:p>
                    <w:p w14:paraId="267829C0">
                      <w:pPr>
                        <w:pStyle w:val="2"/>
                        <w:ind w:firstLine="640" w:firstLineChars="200"/>
                        <w:rPr>
                          <w:rFonts w:hint="eastAsia"/>
                          <w:sz w:val="32"/>
                          <w:szCs w:val="32"/>
                          <w:lang w:eastAsia="zh-CN"/>
                        </w:rPr>
                      </w:pPr>
                      <w:r>
                        <w:rPr>
                          <w:rFonts w:hint="eastAsia"/>
                          <w:sz w:val="32"/>
                          <w:szCs w:val="32"/>
                          <w:lang w:eastAsia="zh-CN"/>
                        </w:rPr>
                        <w:t>投标人名称：</w:t>
                      </w:r>
                    </w:p>
                    <w:p w14:paraId="0FFAF1CF">
                      <w:pPr>
                        <w:pStyle w:val="2"/>
                        <w:ind w:firstLine="640" w:firstLineChars="200"/>
                        <w:rPr>
                          <w:rFonts w:hint="eastAsia"/>
                          <w:sz w:val="32"/>
                          <w:szCs w:val="32"/>
                          <w:lang w:eastAsia="zh-CN"/>
                        </w:rPr>
                      </w:pPr>
                      <w:r>
                        <w:rPr>
                          <w:rFonts w:hint="eastAsia"/>
                          <w:sz w:val="32"/>
                          <w:szCs w:val="32"/>
                          <w:lang w:eastAsia="zh-CN"/>
                        </w:rPr>
                        <w:t>投标人地址：</w:t>
                      </w:r>
                    </w:p>
                    <w:p w14:paraId="7E9CEAFD">
                      <w:pPr>
                        <w:pStyle w:val="2"/>
                        <w:ind w:firstLine="640" w:firstLineChars="200"/>
                        <w:rPr>
                          <w:rFonts w:hint="eastAsia"/>
                          <w:sz w:val="32"/>
                          <w:szCs w:val="32"/>
                          <w:lang w:eastAsia="zh-CN"/>
                        </w:rPr>
                      </w:pPr>
                      <w:r>
                        <w:rPr>
                          <w:rFonts w:hint="eastAsia"/>
                          <w:sz w:val="32"/>
                          <w:szCs w:val="32"/>
                          <w:lang w:eastAsia="zh-CN"/>
                        </w:rPr>
                        <w:t>投标人法定代表人或其授权代表：</w:t>
                      </w:r>
                    </w:p>
                    <w:p w14:paraId="4F31FA10">
                      <w:pPr>
                        <w:pStyle w:val="2"/>
                        <w:ind w:firstLine="640" w:firstLineChars="200"/>
                        <w:rPr>
                          <w:rFonts w:hint="eastAsia"/>
                          <w:sz w:val="32"/>
                          <w:szCs w:val="32"/>
                          <w:lang w:eastAsia="zh-CN"/>
                        </w:rPr>
                      </w:pPr>
                      <w:r>
                        <w:rPr>
                          <w:rFonts w:hint="eastAsia"/>
                          <w:sz w:val="32"/>
                          <w:szCs w:val="32"/>
                          <w:lang w:eastAsia="zh-CN"/>
                        </w:rPr>
                        <w:t>联系电话：</w:t>
                      </w:r>
                    </w:p>
                    <w:p w14:paraId="27513C52">
                      <w:pPr>
                        <w:pStyle w:val="2"/>
                        <w:rPr>
                          <w:rFonts w:hint="eastAsia"/>
                          <w:sz w:val="32"/>
                          <w:szCs w:val="32"/>
                          <w:lang w:eastAsia="zh-CN"/>
                        </w:rPr>
                      </w:pPr>
                    </w:p>
                    <w:p w14:paraId="7751ECF6">
                      <w:pPr>
                        <w:pStyle w:val="2"/>
                        <w:jc w:val="center"/>
                        <w:rPr>
                          <w:rFonts w:hint="eastAsia"/>
                          <w:sz w:val="32"/>
                          <w:szCs w:val="32"/>
                          <w:lang w:eastAsia="zh-CN"/>
                        </w:rPr>
                      </w:pPr>
                      <w:r>
                        <w:rPr>
                          <w:rFonts w:hint="eastAsia"/>
                          <w:sz w:val="32"/>
                          <w:szCs w:val="32"/>
                          <w:lang w:eastAsia="zh-CN"/>
                        </w:rPr>
                        <w:t>---本项目开标前不准启封---</w:t>
                      </w:r>
                    </w:p>
                    <w:p w14:paraId="726FC276">
                      <w:pPr>
                        <w:pStyle w:val="2"/>
                        <w:jc w:val="center"/>
                        <w:rPr>
                          <w:rFonts w:hint="eastAsia"/>
                          <w:sz w:val="32"/>
                          <w:szCs w:val="32"/>
                          <w:lang w:eastAsia="zh-CN"/>
                        </w:rPr>
                      </w:pPr>
                    </w:p>
                    <w:p w14:paraId="55F863FE">
                      <w:pPr>
                        <w:pStyle w:val="2"/>
                        <w:jc w:val="center"/>
                        <w:rPr>
                          <w:rFonts w:hint="eastAsia"/>
                          <w:sz w:val="32"/>
                          <w:szCs w:val="32"/>
                          <w:u w:val="single"/>
                        </w:rPr>
                      </w:pPr>
                      <w:r>
                        <w:rPr>
                          <w:rFonts w:hint="eastAsia"/>
                          <w:sz w:val="32"/>
                          <w:szCs w:val="32"/>
                        </w:rPr>
                        <w:t>日期：</w:t>
                      </w:r>
                      <w:r>
                        <w:rPr>
                          <w:rFonts w:hint="eastAsia"/>
                          <w:sz w:val="32"/>
                          <w:szCs w:val="32"/>
                          <w:u w:val="single"/>
                        </w:rPr>
                        <w:t xml:space="preserve"> </w:t>
                      </w:r>
                      <w:r>
                        <w:rPr>
                          <w:sz w:val="32"/>
                          <w:szCs w:val="32"/>
                          <w:u w:val="single"/>
                        </w:rPr>
                        <w:t xml:space="preserve">    </w:t>
                      </w:r>
                      <w:r>
                        <w:rPr>
                          <w:rFonts w:hint="eastAsia"/>
                          <w:sz w:val="32"/>
                          <w:szCs w:val="32"/>
                        </w:rPr>
                        <w:t>年</w:t>
                      </w:r>
                      <w:r>
                        <w:rPr>
                          <w:rFonts w:hint="eastAsia"/>
                          <w:sz w:val="32"/>
                          <w:szCs w:val="32"/>
                          <w:u w:val="single"/>
                        </w:rPr>
                        <w:t xml:space="preserve"> </w:t>
                      </w:r>
                      <w:r>
                        <w:rPr>
                          <w:sz w:val="32"/>
                          <w:szCs w:val="32"/>
                          <w:u w:val="single"/>
                        </w:rPr>
                        <w:t xml:space="preserve">   </w:t>
                      </w:r>
                      <w:r>
                        <w:rPr>
                          <w:rFonts w:hint="eastAsia"/>
                          <w:sz w:val="32"/>
                          <w:szCs w:val="32"/>
                        </w:rPr>
                        <w:t>月</w:t>
                      </w:r>
                      <w:r>
                        <w:rPr>
                          <w:rFonts w:hint="eastAsia"/>
                          <w:sz w:val="32"/>
                          <w:szCs w:val="32"/>
                          <w:u w:val="single"/>
                        </w:rPr>
                        <w:t xml:space="preserve"> </w:t>
                      </w:r>
                      <w:r>
                        <w:rPr>
                          <w:sz w:val="32"/>
                          <w:szCs w:val="32"/>
                          <w:u w:val="single"/>
                        </w:rPr>
                        <w:t xml:space="preserve">   </w:t>
                      </w:r>
                      <w:r>
                        <w:rPr>
                          <w:rFonts w:hint="eastAsia"/>
                          <w:sz w:val="32"/>
                          <w:szCs w:val="32"/>
                        </w:rPr>
                        <w:t>日</w:t>
                      </w:r>
                    </w:p>
                    <w:p w14:paraId="7BAD4C45">
                      <w:pPr>
                        <w:rPr>
                          <w:rFonts w:hint="eastAsia"/>
                        </w:rPr>
                      </w:pPr>
                    </w:p>
                  </w:txbxContent>
                </v:textbox>
                <w10:wrap type="none"/>
                <w10:anchorlock/>
              </v:shape>
            </w:pict>
          </mc:Fallback>
        </mc:AlternateContent>
      </w:r>
    </w:p>
    <w:p w14:paraId="4413AA96">
      <w:pPr>
        <w:pStyle w:val="27"/>
        <w:keepNext w:val="0"/>
        <w:keepLines w:val="0"/>
        <w:pageBreakBefore w:val="0"/>
        <w:kinsoku/>
        <w:wordWrap w:val="0"/>
        <w:overflowPunct/>
        <w:topLinePunct w:val="0"/>
        <w:autoSpaceDE/>
        <w:autoSpaceDN/>
        <w:bidi w:val="0"/>
        <w:spacing w:line="360" w:lineRule="auto"/>
        <w:ind w:firstLine="0" w:firstLineChars="0"/>
        <w:rPr>
          <w:rFonts w:hint="eastAsia" w:ascii="宋体" w:hAnsi="宋体" w:eastAsia="宋体" w:cs="宋体"/>
          <w:b/>
          <w:bCs/>
          <w:color w:val="auto"/>
          <w:sz w:val="21"/>
          <w:szCs w:val="21"/>
          <w:highlight w:val="none"/>
        </w:rPr>
      </w:pPr>
      <w:r>
        <w:rPr>
          <w:rFonts w:hint="eastAsia" w:ascii="宋体" w:hAnsi="宋体" w:eastAsia="宋体" w:cs="宋体"/>
          <w:b/>
          <w:bCs/>
          <w:color w:val="auto"/>
          <w:highlight w:val="none"/>
        </w:rPr>
        <w:t>说明：请供应商自行编制投标文件目录。</w:t>
      </w:r>
      <w:r>
        <w:rPr>
          <w:rFonts w:hint="eastAsia" w:ascii="宋体" w:hAnsi="宋体" w:eastAsia="宋体" w:cs="宋体"/>
          <w:b/>
          <w:bCs/>
          <w:color w:val="auto"/>
          <w:sz w:val="21"/>
          <w:szCs w:val="21"/>
          <w:highlight w:val="none"/>
        </w:rPr>
        <w:br w:type="page"/>
      </w:r>
    </w:p>
    <w:p w14:paraId="195F6BFA">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pPr>
      <w:bookmarkStart w:id="261" w:name="_Toc6437"/>
      <w:bookmarkStart w:id="262" w:name="_Toc104131908"/>
      <w:r>
        <w:rPr>
          <w:rFonts w:hint="eastAsia" w:ascii="宋体" w:hAnsi="宋体" w:eastAsia="宋体" w:cs="宋体"/>
          <w:b/>
          <w:bCs/>
          <w:color w:val="auto"/>
          <w:highlight w:val="none"/>
        </w:rPr>
        <w:t>投标函</w:t>
      </w:r>
      <w:bookmarkEnd w:id="261"/>
      <w:bookmarkEnd w:id="262"/>
    </w:p>
    <w:p w14:paraId="77519980">
      <w:pPr>
        <w:pStyle w:val="27"/>
        <w:keepNext w:val="0"/>
        <w:keepLines w:val="0"/>
        <w:pageBreakBefore w:val="0"/>
        <w:kinsoku/>
        <w:wordWrap w:val="0"/>
        <w:overflowPunct/>
        <w:topLinePunct w:val="0"/>
        <w:autoSpaceDE/>
        <w:autoSpaceDN/>
        <w:bidi w:val="0"/>
        <w:spacing w:line="360" w:lineRule="auto"/>
        <w:ind w:firstLine="0" w:firstLineChars="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投标函</w:t>
      </w:r>
    </w:p>
    <w:p w14:paraId="71DFCC04">
      <w:pPr>
        <w:pStyle w:val="27"/>
        <w:keepNext w:val="0"/>
        <w:keepLines w:val="0"/>
        <w:pageBreakBefore w:val="0"/>
        <w:kinsoku/>
        <w:wordWrap w:val="0"/>
        <w:overflowPunct/>
        <w:topLinePunct w:val="0"/>
        <w:autoSpaceDE/>
        <w:autoSpaceDN/>
        <w:bidi w:val="0"/>
        <w:spacing w:line="360" w:lineRule="auto"/>
        <w:ind w:firstLine="0" w:firstLineChars="0"/>
        <w:rPr>
          <w:rFonts w:hint="eastAsia" w:ascii="宋体" w:hAnsi="宋体" w:eastAsia="宋体" w:cs="宋体"/>
          <w:color w:val="auto"/>
          <w:highlight w:val="none"/>
          <w:u w:val="single"/>
        </w:rPr>
      </w:pPr>
      <w:r>
        <w:rPr>
          <w:rFonts w:hint="eastAsia" w:ascii="宋体" w:hAnsi="宋体" w:eastAsia="宋体" w:cs="宋体"/>
          <w:color w:val="auto"/>
          <w:highlight w:val="none"/>
        </w:rPr>
        <w:t>致：公诚管理咨询有限公司</w:t>
      </w:r>
    </w:p>
    <w:p w14:paraId="3976D646">
      <w:pPr>
        <w:pStyle w:val="27"/>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你方组织的</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u w:val="single"/>
        </w:rPr>
        <w:t xml:space="preserve">        （项目名称）</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rPr>
        <w:t>的招标[项目编号：</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，我方愿参与投标。</w:t>
      </w:r>
    </w:p>
    <w:p w14:paraId="73628721">
      <w:pPr>
        <w:pStyle w:val="27"/>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我方确认收到贵方提供的</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u w:val="single"/>
        </w:rPr>
        <w:t xml:space="preserve">        （项目名称）</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rPr>
        <w:t>的招标文件的全部内容。</w:t>
      </w:r>
    </w:p>
    <w:p w14:paraId="43177C88">
      <w:pPr>
        <w:pStyle w:val="27"/>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(投标人名称)</w:t>
      </w:r>
      <w:r>
        <w:rPr>
          <w:rFonts w:hint="eastAsia" w:ascii="宋体" w:hAnsi="宋体" w:eastAsia="宋体" w:cs="宋体"/>
          <w:color w:val="auto"/>
          <w:highlight w:val="none"/>
        </w:rPr>
        <w:t>作为投标人正式授权</w:t>
      </w:r>
      <w:r>
        <w:rPr>
          <w:rFonts w:hint="eastAsia" w:ascii="宋体" w:hAnsi="宋体" w:eastAsia="宋体" w:cs="宋体"/>
          <w:color w:val="auto"/>
          <w:highlight w:val="none"/>
          <w:u w:val="single"/>
        </w:rPr>
        <w:t xml:space="preserve">    (授权代表全名,职务)</w:t>
      </w:r>
      <w:r>
        <w:rPr>
          <w:rFonts w:hint="eastAsia" w:ascii="宋体" w:hAnsi="宋体" w:eastAsia="宋体" w:cs="宋体"/>
          <w:color w:val="auto"/>
          <w:highlight w:val="none"/>
        </w:rPr>
        <w:t xml:space="preserve">代表我方全权处理有关本投标的一切事宜。   </w:t>
      </w:r>
    </w:p>
    <w:p w14:paraId="702B81AC">
      <w:pPr>
        <w:pStyle w:val="27"/>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我方已完全明白招标文件的所有条款要求，并申明如下：</w:t>
      </w:r>
    </w:p>
    <w:p w14:paraId="26016CEC">
      <w:pPr>
        <w:pStyle w:val="27"/>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（一）按招标文件提供的全部</w:t>
      </w:r>
      <w:r>
        <w:rPr>
          <w:rFonts w:hint="eastAsia" w:ascii="宋体" w:hAnsi="宋体" w:eastAsia="宋体" w:cs="宋体"/>
          <w:color w:val="auto"/>
          <w:highlight w:val="none"/>
          <w:lang w:val="en-US" w:eastAsia="zh-CN"/>
        </w:rPr>
        <w:t>标的</w:t>
      </w:r>
      <w:r>
        <w:rPr>
          <w:rFonts w:hint="eastAsia" w:ascii="宋体" w:hAnsi="宋体" w:eastAsia="宋体" w:cs="宋体"/>
          <w:color w:val="auto"/>
          <w:highlight w:val="none"/>
        </w:rPr>
        <w:t>投标总价详见《开标一览表》。</w:t>
      </w:r>
    </w:p>
    <w:p w14:paraId="1EE159EA">
      <w:pPr>
        <w:pStyle w:val="27"/>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二）本投标文件的有效期为从提交投标（响应）文件的截止之日起90日历天。在此提交的资格证明文件均至投标截止日有效，如有在投标有效期内失效的，我方承诺在中标后补齐一切手续，保证所有资格证明文件直至采购合同终止日有效。</w:t>
      </w:r>
    </w:p>
    <w:p w14:paraId="2F38634D">
      <w:pPr>
        <w:pStyle w:val="27"/>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（三）我方明白并同意，在规定的开标日之后，投标有效期之内</w:t>
      </w:r>
      <w:r>
        <w:rPr>
          <w:rFonts w:hint="eastAsia" w:ascii="宋体" w:hAnsi="宋体" w:eastAsia="宋体" w:cs="宋体"/>
          <w:color w:val="auto"/>
          <w:highlight w:val="none"/>
          <w:lang w:val="en-US" w:eastAsia="zh-CN"/>
        </w:rPr>
        <w:t>撤销</w:t>
      </w:r>
      <w:r>
        <w:rPr>
          <w:rFonts w:hint="eastAsia" w:ascii="宋体" w:hAnsi="宋体" w:eastAsia="宋体" w:cs="宋体"/>
          <w:color w:val="auto"/>
          <w:highlight w:val="none"/>
        </w:rPr>
        <w:t>投标或中标后不按规定与采购人签订合同或不提交履约保证金, 则贵方将不予退还投标保证金。（若不收取投标保证金，则此条不适用）</w:t>
      </w:r>
    </w:p>
    <w:p w14:paraId="034C3980">
      <w:pPr>
        <w:pStyle w:val="27"/>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（四）我方愿意向贵方提供任何与本项报价有关的数据、情况和技术资料。若贵方需要，我方愿意提供我方作出的一切承诺的证明材料。</w:t>
      </w:r>
    </w:p>
    <w:p w14:paraId="35A24043">
      <w:pPr>
        <w:pStyle w:val="27"/>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（五）我方理解贵方不一定接受最低投标价或任何贵方可能收到的投标。</w:t>
      </w:r>
    </w:p>
    <w:p w14:paraId="50F2B478">
      <w:pPr>
        <w:pStyle w:val="27"/>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（六）我方如果中标，将保证履行招标</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文件及其澄清、修改文件（如果有）以及投标（响应）文件中的全部责任和义务，按质、按量、按期完成《合同书》中的全部任务。</w:t>
      </w:r>
    </w:p>
    <w:p w14:paraId="7B0FD190">
      <w:pPr>
        <w:pStyle w:val="27"/>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（七）我方作为法律、财务和运作上独立于采购人、采购代理机构的投标人，在此保证所提交的所有文件和全部说明是真实的和正确的。</w:t>
      </w:r>
    </w:p>
    <w:p w14:paraId="28B85C6E">
      <w:pPr>
        <w:pStyle w:val="27"/>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（八）我方投标报价已包含应向知识产权所有权人支付的所有相关税费，并保证采购人在中国使用我方提供的货物时，如有第三方提出侵犯其知识产权主张的，责任由我方承担。</w:t>
      </w:r>
    </w:p>
    <w:p w14:paraId="1E93D000">
      <w:pPr>
        <w:pStyle w:val="27"/>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（九）我方接受采购人委托向贵方支付代理服务费，项目总报价已包含代理服务费，如果被确定为中标供应商，承诺向贵方足额支付。（若采购人支付代理服务费，则此条不适用）</w:t>
      </w:r>
    </w:p>
    <w:p w14:paraId="057A8229">
      <w:pPr>
        <w:pStyle w:val="27"/>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rPr>
      </w:pPr>
      <w:bookmarkStart w:id="263" w:name="_Hlk103452383"/>
      <w:r>
        <w:rPr>
          <w:rFonts w:hint="eastAsia" w:ascii="宋体" w:hAnsi="宋体" w:eastAsia="宋体" w:cs="宋体"/>
          <w:color w:val="auto"/>
          <w:highlight w:val="none"/>
        </w:rPr>
        <w:t>（十）我方与其他投标人不存在单位负责人为同一人或者存在直接控股、管理关系。</w:t>
      </w:r>
    </w:p>
    <w:bookmarkEnd w:id="263"/>
    <w:p w14:paraId="23A13B02">
      <w:pPr>
        <w:pStyle w:val="27"/>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（十一）投标人未存在《中华人民共和国政府采购法实施条例》第十八条第二款规定的情形：</w:t>
      </w:r>
    </w:p>
    <w:p w14:paraId="6E4CE0DD">
      <w:pPr>
        <w:pStyle w:val="27"/>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（1）对于除整体设计、规范编制或者项目管理、监理、检测等服务以外的采购项目：即未为本项目提供整体设计、规范编制或者项目管理、监理、检测等服务；</w:t>
      </w:r>
    </w:p>
    <w:p w14:paraId="55D1DEC6">
      <w:pPr>
        <w:pStyle w:val="27"/>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（2）对于整体设计、规范编制或者项目管理、监理、检测等服务的项目：即未成为本项目除前期整体设计、规范编制或者项目管理、监理、检测等服务以外的其它采购活动中标商(或成交商)；</w:t>
      </w:r>
    </w:p>
    <w:p w14:paraId="1D9029EC">
      <w:pPr>
        <w:pStyle w:val="27"/>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（3）对于设计施工一体化的项目：即未为本项目提供规范编制或者项目管理、监理、检测等服务。</w:t>
      </w:r>
    </w:p>
    <w:p w14:paraId="5F6830C1">
      <w:pPr>
        <w:pStyle w:val="27"/>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（十二）我方承诺遵守《中华人民共和国</w:t>
      </w:r>
      <w:r>
        <w:rPr>
          <w:rFonts w:hint="eastAsia" w:ascii="宋体" w:hAnsi="宋体" w:eastAsia="宋体" w:cs="宋体"/>
          <w:color w:val="auto"/>
          <w:highlight w:val="none"/>
          <w:lang w:val="en-US" w:eastAsia="zh-CN"/>
        </w:rPr>
        <w:t>民法典</w:t>
      </w:r>
      <w:r>
        <w:rPr>
          <w:rFonts w:hint="eastAsia" w:ascii="宋体" w:hAnsi="宋体" w:eastAsia="宋体" w:cs="宋体"/>
          <w:color w:val="auto"/>
          <w:highlight w:val="none"/>
        </w:rPr>
        <w:t>》有关规定和《中华人民共和国妇女权益保障法》中关于“劳动和社会保障权益”的有关要求。</w:t>
      </w:r>
    </w:p>
    <w:p w14:paraId="014D4736">
      <w:pPr>
        <w:pStyle w:val="27"/>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（十</w:t>
      </w:r>
      <w:r>
        <w:rPr>
          <w:rFonts w:hint="eastAsia" w:ascii="宋体" w:hAnsi="宋体" w:eastAsia="宋体" w:cs="宋体"/>
          <w:color w:val="auto"/>
          <w:highlight w:val="none"/>
          <w:lang w:val="en-US" w:eastAsia="zh-CN"/>
        </w:rPr>
        <w:t>三</w:t>
      </w:r>
      <w:r>
        <w:rPr>
          <w:rFonts w:hint="eastAsia" w:ascii="宋体" w:hAnsi="宋体" w:eastAsia="宋体" w:cs="宋体"/>
          <w:color w:val="auto"/>
          <w:highlight w:val="none"/>
        </w:rPr>
        <w:t>）我方具备《中华人民共和国政府采购法》第二十二条规定的条件，</w:t>
      </w:r>
      <w:r>
        <w:rPr>
          <w:rFonts w:hint="eastAsia" w:ascii="宋体" w:hAnsi="宋体" w:eastAsia="宋体" w:cs="宋体"/>
          <w:color w:val="auto"/>
          <w:highlight w:val="none"/>
          <w:lang w:val="en-US" w:eastAsia="zh-CN"/>
        </w:rPr>
        <w:t>声明</w:t>
      </w:r>
      <w:r>
        <w:rPr>
          <w:rFonts w:hint="eastAsia" w:ascii="宋体" w:hAnsi="宋体" w:eastAsia="宋体" w:cs="宋体"/>
          <w:color w:val="auto"/>
          <w:highlight w:val="none"/>
        </w:rPr>
        <w:t>如下：</w:t>
      </w:r>
    </w:p>
    <w:p w14:paraId="29C1CD14">
      <w:pPr>
        <w:pStyle w:val="27"/>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我方参加本项目政府采购活动前3年内在经营活动中没有以下违法记录，或因违法经营被禁止参加政府采购活动的期限已届满：因违法经营受到刑事处罚或者责令停产停业、吊销许可证或者执照、较大数额罚款等行政处罚。</w:t>
      </w:r>
    </w:p>
    <w:p w14:paraId="231B688B">
      <w:pPr>
        <w:pStyle w:val="27"/>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（2）我方符合法律、行政法规规定的其他条件。</w:t>
      </w:r>
    </w:p>
    <w:p w14:paraId="03C5E7C8">
      <w:pPr>
        <w:pStyle w:val="27"/>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以上内容如有虚假或与事实不符的，评标委员会可将我方做无效投标处理，我方愿意承担相应的法律责任。</w:t>
      </w:r>
    </w:p>
    <w:p w14:paraId="22C71145">
      <w:pPr>
        <w:pStyle w:val="27"/>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十四）如我方中标，将保证投标文件所提供的材料（包括需要年审、继续教育等完成后才能执业的行政许可、人员证书等情形），如果有效期未能覆盖项目（包组）合同履行期的，将提前按规定办理延期手续，确保合同顺利履行。</w:t>
      </w:r>
    </w:p>
    <w:p w14:paraId="01322FD8">
      <w:pPr>
        <w:pStyle w:val="27"/>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（十五）我方对在本函及投标文件中所作的所有承诺承担法律责任。</w:t>
      </w:r>
    </w:p>
    <w:p w14:paraId="05107726">
      <w:pPr>
        <w:pStyle w:val="27"/>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（十六）以上内容如有虚假或与事实不符的，评标委员会可将我方做无效投标处理，我方愿意承担相应的法律责任。</w:t>
      </w:r>
    </w:p>
    <w:p w14:paraId="1F4C1C2C">
      <w:pPr>
        <w:pStyle w:val="27"/>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（十</w:t>
      </w:r>
      <w:r>
        <w:rPr>
          <w:rFonts w:hint="eastAsia" w:ascii="宋体" w:hAnsi="宋体" w:eastAsia="宋体" w:cs="宋体"/>
          <w:color w:val="auto"/>
          <w:highlight w:val="none"/>
          <w:lang w:val="en-US" w:eastAsia="zh-CN"/>
        </w:rPr>
        <w:t>七</w:t>
      </w:r>
      <w:r>
        <w:rPr>
          <w:rFonts w:hint="eastAsia" w:ascii="宋体" w:hAnsi="宋体" w:eastAsia="宋体" w:cs="宋体"/>
          <w:color w:val="auto"/>
          <w:highlight w:val="none"/>
        </w:rPr>
        <w:t>）所有与本招标有关的函件请发往下列地址：</w:t>
      </w:r>
    </w:p>
    <w:p w14:paraId="1EC8D6BE">
      <w:pPr>
        <w:pStyle w:val="27"/>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u w:val="single"/>
        </w:rPr>
      </w:pPr>
      <w:r>
        <w:rPr>
          <w:rFonts w:hint="eastAsia" w:ascii="宋体" w:hAnsi="宋体" w:eastAsia="宋体" w:cs="宋体"/>
          <w:color w:val="auto"/>
          <w:highlight w:val="none"/>
        </w:rPr>
        <w:t>地 址：</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邮政编码：</w:t>
      </w:r>
      <w:r>
        <w:rPr>
          <w:rFonts w:hint="eastAsia" w:ascii="宋体" w:hAnsi="宋体" w:eastAsia="宋体" w:cs="宋体"/>
          <w:color w:val="auto"/>
          <w:highlight w:val="none"/>
          <w:u w:val="single"/>
        </w:rPr>
        <w:t xml:space="preserve">               </w:t>
      </w:r>
    </w:p>
    <w:p w14:paraId="5B517B89">
      <w:pPr>
        <w:pStyle w:val="27"/>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电 话：</w:t>
      </w:r>
      <w:r>
        <w:rPr>
          <w:rFonts w:hint="eastAsia" w:ascii="宋体" w:hAnsi="宋体" w:eastAsia="宋体" w:cs="宋体"/>
          <w:color w:val="auto"/>
          <w:highlight w:val="none"/>
          <w:u w:val="single"/>
        </w:rPr>
        <w:t xml:space="preserve">               </w:t>
      </w:r>
    </w:p>
    <w:p w14:paraId="6A5B22AE">
      <w:pPr>
        <w:pStyle w:val="27"/>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电子邮箱：</w:t>
      </w:r>
      <w:r>
        <w:rPr>
          <w:rFonts w:hint="eastAsia" w:ascii="宋体" w:hAnsi="宋体" w:eastAsia="宋体" w:cs="宋体"/>
          <w:color w:val="auto"/>
          <w:highlight w:val="none"/>
          <w:u w:val="single"/>
        </w:rPr>
        <w:t xml:space="preserve">               </w:t>
      </w:r>
    </w:p>
    <w:p w14:paraId="2DE30E4F">
      <w:pPr>
        <w:pStyle w:val="27"/>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u w:val="single"/>
        </w:rPr>
      </w:pPr>
      <w:r>
        <w:rPr>
          <w:rFonts w:hint="eastAsia" w:ascii="宋体" w:hAnsi="宋体" w:eastAsia="宋体" w:cs="宋体"/>
          <w:color w:val="auto"/>
          <w:highlight w:val="none"/>
        </w:rPr>
        <w:t>代表姓名：</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职 务：</w:t>
      </w:r>
      <w:r>
        <w:rPr>
          <w:rFonts w:hint="eastAsia" w:ascii="宋体" w:hAnsi="宋体" w:eastAsia="宋体" w:cs="宋体"/>
          <w:color w:val="auto"/>
          <w:highlight w:val="none"/>
          <w:u w:val="single"/>
        </w:rPr>
        <w:t xml:space="preserve">               </w:t>
      </w:r>
    </w:p>
    <w:p w14:paraId="7B35DDC6">
      <w:pPr>
        <w:pStyle w:val="27"/>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u w:val="single"/>
        </w:rPr>
      </w:pPr>
    </w:p>
    <w:p w14:paraId="6D518DC4">
      <w:pPr>
        <w:pStyle w:val="27"/>
        <w:keepNext w:val="0"/>
        <w:keepLines w:val="0"/>
        <w:pageBreakBefore w:val="0"/>
        <w:kinsoku/>
        <w:wordWrap w:val="0"/>
        <w:overflowPunct/>
        <w:topLinePunct w:val="0"/>
        <w:autoSpaceDE/>
        <w:autoSpaceDN/>
        <w:bidi w:val="0"/>
        <w:spacing w:line="36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投标人法定代表人或其授权代表（签字或盖章）：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6574FEB6">
      <w:pPr>
        <w:pStyle w:val="27"/>
        <w:keepNext w:val="0"/>
        <w:keepLines w:val="0"/>
        <w:pageBreakBefore w:val="0"/>
        <w:kinsoku/>
        <w:wordWrap w:val="0"/>
        <w:overflowPunct/>
        <w:topLinePunct w:val="0"/>
        <w:autoSpaceDE/>
        <w:autoSpaceDN/>
        <w:bidi w:val="0"/>
        <w:spacing w:line="36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投标人名称（盖章）：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3BC2A227">
      <w:pPr>
        <w:pStyle w:val="27"/>
        <w:keepNext w:val="0"/>
        <w:keepLines w:val="0"/>
        <w:pageBreakBefore w:val="0"/>
        <w:kinsoku/>
        <w:wordWrap w:val="0"/>
        <w:overflowPunct/>
        <w:topLinePunct w:val="0"/>
        <w:autoSpaceDE/>
        <w:autoSpaceDN/>
        <w:bidi w:val="0"/>
        <w:spacing w:line="360" w:lineRule="auto"/>
        <w:ind w:right="101" w:rightChars="48" w:firstLine="4960" w:firstLineChars="2067"/>
        <w:jc w:val="right"/>
        <w:rPr>
          <w:rFonts w:hint="eastAsia" w:ascii="宋体" w:hAnsi="宋体" w:eastAsia="宋体" w:cs="宋体"/>
          <w:color w:val="auto"/>
          <w:sz w:val="21"/>
          <w:szCs w:val="21"/>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14:paraId="428E0DD7">
      <w:pPr>
        <w:keepNext w:val="0"/>
        <w:keepLines w:val="0"/>
        <w:pageBreakBefore w:val="0"/>
        <w:widowControl/>
        <w:kinsoku/>
        <w:wordWrap w:val="0"/>
        <w:overflowPunct/>
        <w:topLinePunct w:val="0"/>
        <w:autoSpaceDE/>
        <w:autoSpaceDN/>
        <w:bidi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br w:type="page"/>
      </w:r>
    </w:p>
    <w:p w14:paraId="7A096EDF">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pPr>
      <w:bookmarkStart w:id="264" w:name="_Toc104131909"/>
      <w:bookmarkStart w:id="265" w:name="_Toc24901"/>
      <w:r>
        <w:rPr>
          <w:rFonts w:hint="eastAsia" w:ascii="宋体" w:hAnsi="宋体" w:eastAsia="宋体" w:cs="宋体"/>
          <w:b/>
          <w:bCs/>
          <w:color w:val="auto"/>
          <w:highlight w:val="none"/>
        </w:rPr>
        <w:t>开标一览表</w:t>
      </w:r>
      <w:bookmarkEnd w:id="264"/>
      <w:bookmarkEnd w:id="265"/>
    </w:p>
    <w:p w14:paraId="0A589844">
      <w:pPr>
        <w:pStyle w:val="27"/>
        <w:keepNext w:val="0"/>
        <w:keepLines w:val="0"/>
        <w:pageBreakBefore w:val="0"/>
        <w:kinsoku/>
        <w:wordWrap w:val="0"/>
        <w:overflowPunct/>
        <w:topLinePunct w:val="0"/>
        <w:autoSpaceDE/>
        <w:autoSpaceDN/>
        <w:bidi w:val="0"/>
        <w:spacing w:line="360" w:lineRule="auto"/>
        <w:ind w:firstLine="0" w:firstLineChars="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开标一览表</w:t>
      </w:r>
    </w:p>
    <w:p w14:paraId="2C2E724A">
      <w:pPr>
        <w:pStyle w:val="27"/>
        <w:keepNext w:val="0"/>
        <w:keepLines w:val="0"/>
        <w:pageBreakBefore w:val="0"/>
        <w:kinsoku/>
        <w:wordWrap w:val="0"/>
        <w:overflowPunct/>
        <w:topLinePunct w:val="0"/>
        <w:autoSpaceDE/>
        <w:autoSpaceDN/>
        <w:bidi w:val="0"/>
        <w:spacing w:line="360" w:lineRule="auto"/>
        <w:jc w:val="both"/>
        <w:rPr>
          <w:rFonts w:hint="eastAsia" w:ascii="宋体" w:hAnsi="宋体" w:eastAsia="宋体" w:cs="宋体"/>
          <w:color w:val="auto"/>
          <w:highlight w:val="none"/>
        </w:rPr>
      </w:pPr>
      <w:r>
        <w:rPr>
          <w:rFonts w:hint="eastAsia" w:ascii="宋体" w:hAnsi="宋体" w:eastAsia="宋体" w:cs="宋体"/>
          <w:color w:val="auto"/>
          <w:highlight w:val="none"/>
        </w:rPr>
        <w:t>项目编号：</w:t>
      </w:r>
    </w:p>
    <w:p w14:paraId="396AE3FA">
      <w:pPr>
        <w:pStyle w:val="27"/>
        <w:keepNext w:val="0"/>
        <w:keepLines w:val="0"/>
        <w:pageBreakBefore w:val="0"/>
        <w:kinsoku/>
        <w:wordWrap w:val="0"/>
        <w:overflowPunct/>
        <w:topLinePunct w:val="0"/>
        <w:autoSpaceDE/>
        <w:autoSpaceDN/>
        <w:bidi w:val="0"/>
        <w:spacing w:line="360" w:lineRule="auto"/>
        <w:jc w:val="both"/>
        <w:rPr>
          <w:rFonts w:hint="eastAsia" w:ascii="宋体" w:hAnsi="宋体" w:eastAsia="宋体" w:cs="宋体"/>
          <w:color w:val="auto"/>
          <w:highlight w:val="none"/>
        </w:rPr>
      </w:pPr>
      <w:r>
        <w:rPr>
          <w:rFonts w:hint="eastAsia" w:ascii="宋体" w:hAnsi="宋体" w:eastAsia="宋体" w:cs="宋体"/>
          <w:color w:val="auto"/>
          <w:highlight w:val="none"/>
        </w:rPr>
        <w:t>项目名称：</w:t>
      </w:r>
    </w:p>
    <w:tbl>
      <w:tblPr>
        <w:tblStyle w:val="34"/>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64"/>
        <w:gridCol w:w="3743"/>
        <w:gridCol w:w="1654"/>
        <w:gridCol w:w="881"/>
      </w:tblGrid>
      <w:tr w14:paraId="60D61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1810" w:type="pct"/>
            <w:vAlign w:val="center"/>
          </w:tcPr>
          <w:p w14:paraId="0CA09E8B">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val="en-US" w:eastAsia="zh-CN"/>
              </w:rPr>
              <w:t>采购内容</w:t>
            </w:r>
          </w:p>
        </w:tc>
        <w:tc>
          <w:tcPr>
            <w:tcW w:w="1901" w:type="pct"/>
            <w:vAlign w:val="center"/>
          </w:tcPr>
          <w:p w14:paraId="6875F82E">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投标报价（</w:t>
            </w:r>
            <w:r>
              <w:rPr>
                <w:rFonts w:hint="eastAsia" w:ascii="宋体" w:hAnsi="宋体" w:eastAsia="宋体" w:cs="宋体"/>
                <w:b/>
                <w:bCs/>
                <w:color w:val="auto"/>
                <w:sz w:val="24"/>
                <w:highlight w:val="none"/>
                <w:lang w:eastAsia="zh-CN"/>
              </w:rPr>
              <w:t>元</w:t>
            </w:r>
            <w:r>
              <w:rPr>
                <w:rFonts w:hint="eastAsia" w:ascii="宋体" w:hAnsi="宋体" w:eastAsia="宋体" w:cs="宋体"/>
                <w:b/>
                <w:bCs/>
                <w:color w:val="auto"/>
                <w:sz w:val="24"/>
                <w:highlight w:val="none"/>
              </w:rPr>
              <w:t>）</w:t>
            </w:r>
          </w:p>
        </w:tc>
        <w:tc>
          <w:tcPr>
            <w:tcW w:w="840" w:type="pct"/>
            <w:vAlign w:val="center"/>
          </w:tcPr>
          <w:p w14:paraId="65E54898">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
                <w:bCs/>
                <w:color w:val="auto"/>
                <w:sz w:val="24"/>
                <w:highlight w:val="none"/>
                <w:lang w:eastAsia="zh-CN"/>
              </w:rPr>
            </w:pPr>
            <w:r>
              <w:rPr>
                <w:rFonts w:hint="eastAsia" w:ascii="宋体" w:hAnsi="宋体" w:eastAsia="宋体" w:cs="宋体"/>
                <w:b/>
                <w:bCs/>
                <w:color w:val="auto"/>
                <w:sz w:val="24"/>
                <w:highlight w:val="none"/>
              </w:rPr>
              <w:t>服务期</w:t>
            </w:r>
          </w:p>
        </w:tc>
        <w:tc>
          <w:tcPr>
            <w:tcW w:w="447" w:type="pct"/>
            <w:vAlign w:val="center"/>
          </w:tcPr>
          <w:p w14:paraId="3A4FA9FF">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备注</w:t>
            </w:r>
          </w:p>
        </w:tc>
      </w:tr>
      <w:tr w14:paraId="5C7B9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4" w:hRule="atLeast"/>
          <w:jc w:val="center"/>
        </w:trPr>
        <w:tc>
          <w:tcPr>
            <w:tcW w:w="1810" w:type="pct"/>
            <w:vAlign w:val="center"/>
          </w:tcPr>
          <w:p w14:paraId="1A428F7E">
            <w:pPr>
              <w:pStyle w:val="33"/>
              <w:keepNext w:val="0"/>
              <w:keepLines w:val="0"/>
              <w:pageBreakBefore w:val="0"/>
              <w:kinsoku/>
              <w:wordWrap w:val="0"/>
              <w:overflowPunct/>
              <w:topLinePunct w:val="0"/>
              <w:autoSpaceDE/>
              <w:autoSpaceDN/>
              <w:bidi w:val="0"/>
              <w:spacing w:after="0" w:line="360" w:lineRule="auto"/>
              <w:ind w:left="31" w:leftChars="15" w:firstLine="19" w:firstLineChars="8"/>
              <w:rPr>
                <w:rFonts w:hint="eastAsia" w:ascii="宋体" w:hAnsi="宋体" w:eastAsia="宋体" w:cs="宋体"/>
                <w:color w:val="auto"/>
                <w:sz w:val="24"/>
                <w:highlight w:val="none"/>
                <w:lang w:eastAsia="zh-CN"/>
              </w:rPr>
            </w:pPr>
            <w:r>
              <w:rPr>
                <w:rFonts w:hint="eastAsia" w:cs="宋体"/>
                <w:color w:val="auto"/>
                <w:sz w:val="24"/>
                <w:highlight w:val="none"/>
                <w:lang w:eastAsia="zh-CN"/>
              </w:rPr>
              <w:t>中华人民共和国万山出入境边防检查站2026年船艇中修项目</w:t>
            </w:r>
          </w:p>
        </w:tc>
        <w:tc>
          <w:tcPr>
            <w:tcW w:w="1901" w:type="pct"/>
            <w:vAlign w:val="center"/>
          </w:tcPr>
          <w:p w14:paraId="5E182D52">
            <w:pPr>
              <w:keepNext w:val="0"/>
              <w:keepLines w:val="0"/>
              <w:pageBreakBefore w:val="0"/>
              <w:widowControl/>
              <w:kinsoku/>
              <w:wordWrap w:val="0"/>
              <w:overflowPunct/>
              <w:topLinePunct w:val="0"/>
              <w:autoSpaceDE/>
              <w:autoSpaceDN/>
              <w:bidi w:val="0"/>
              <w:spacing w:line="360" w:lineRule="auto"/>
              <w:ind w:left="31" w:leftChars="15"/>
              <w:rPr>
                <w:rFonts w:hint="eastAsia" w:ascii="宋体" w:hAnsi="宋体" w:eastAsia="宋体" w:cs="宋体"/>
                <w:color w:val="auto"/>
                <w:kern w:val="28"/>
                <w:sz w:val="24"/>
                <w:highlight w:val="none"/>
                <w:u w:val="single"/>
              </w:rPr>
            </w:pPr>
            <w:r>
              <w:rPr>
                <w:rFonts w:hint="eastAsia" w:ascii="宋体" w:hAnsi="宋体" w:eastAsia="宋体" w:cs="宋体"/>
                <w:color w:val="auto"/>
                <w:kern w:val="28"/>
                <w:sz w:val="24"/>
                <w:highlight w:val="none"/>
              </w:rPr>
              <w:t>小写：¥</w:t>
            </w:r>
            <w:r>
              <w:rPr>
                <w:rFonts w:hint="eastAsia" w:ascii="宋体" w:hAnsi="宋体" w:eastAsia="宋体" w:cs="宋体"/>
                <w:color w:val="auto"/>
                <w:kern w:val="28"/>
                <w:sz w:val="24"/>
                <w:highlight w:val="none"/>
                <w:u w:val="single"/>
              </w:rPr>
              <w:t xml:space="preserve">              </w:t>
            </w:r>
          </w:p>
          <w:p w14:paraId="213A349C">
            <w:pPr>
              <w:pStyle w:val="33"/>
              <w:keepNext w:val="0"/>
              <w:keepLines w:val="0"/>
              <w:pageBreakBefore w:val="0"/>
              <w:kinsoku/>
              <w:wordWrap w:val="0"/>
              <w:overflowPunct/>
              <w:topLinePunct w:val="0"/>
              <w:autoSpaceDE/>
              <w:autoSpaceDN/>
              <w:bidi w:val="0"/>
              <w:spacing w:after="0" w:line="360" w:lineRule="auto"/>
              <w:ind w:left="31" w:leftChars="15" w:firstLine="19" w:firstLineChars="8"/>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大写：</w:t>
            </w:r>
            <w:r>
              <w:rPr>
                <w:rFonts w:hint="eastAsia" w:ascii="宋体" w:hAnsi="宋体" w:eastAsia="宋体" w:cs="宋体"/>
                <w:color w:val="auto"/>
                <w:kern w:val="28"/>
                <w:sz w:val="24"/>
                <w:highlight w:val="none"/>
                <w:lang w:eastAsia="zh-CN"/>
              </w:rPr>
              <w:t>人民币</w:t>
            </w:r>
            <w:r>
              <w:rPr>
                <w:rFonts w:hint="eastAsia" w:ascii="宋体" w:hAnsi="宋体" w:eastAsia="宋体" w:cs="宋体"/>
                <w:color w:val="auto"/>
                <w:kern w:val="28"/>
                <w:sz w:val="24"/>
                <w:highlight w:val="none"/>
                <w:u w:val="single"/>
              </w:rPr>
              <w:t xml:space="preserve">            </w:t>
            </w:r>
          </w:p>
        </w:tc>
        <w:tc>
          <w:tcPr>
            <w:tcW w:w="840" w:type="pct"/>
            <w:vAlign w:val="center"/>
          </w:tcPr>
          <w:p w14:paraId="0965BF23">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按照招标文件要求执行</w:t>
            </w:r>
          </w:p>
        </w:tc>
        <w:tc>
          <w:tcPr>
            <w:tcW w:w="447" w:type="pct"/>
            <w:vAlign w:val="center"/>
          </w:tcPr>
          <w:p w14:paraId="7752F928">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highlight w:val="none"/>
                <w:lang w:eastAsia="zh-CN"/>
              </w:rPr>
            </w:pPr>
          </w:p>
        </w:tc>
      </w:tr>
    </w:tbl>
    <w:p w14:paraId="4C26883D">
      <w:pPr>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注：</w:t>
      </w:r>
    </w:p>
    <w:p w14:paraId="096191CB">
      <w:pPr>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sz w:val="24"/>
          <w:szCs w:val="24"/>
          <w:highlight w:val="none"/>
          <w:lang w:eastAsia="zh-CN"/>
        </w:rPr>
      </w:pPr>
      <w:bookmarkStart w:id="266" w:name="_Hlk67046034"/>
      <w:bookmarkStart w:id="267" w:name="_Hlk111934776"/>
      <w:r>
        <w:rPr>
          <w:rFonts w:hint="eastAsia" w:ascii="宋体" w:hAnsi="宋体" w:eastAsia="宋体" w:cs="宋体"/>
          <w:color w:val="auto"/>
          <w:sz w:val="24"/>
          <w:szCs w:val="24"/>
          <w:highlight w:val="none"/>
          <w:lang w:eastAsia="zh-CN"/>
        </w:rPr>
        <w:t>1.中文大写金额用汉字，如壹、贰、叁、肆、伍、陆、柒、捌、玖、拾、佰、仟、万、亿、元、角、分、零、整（正）等。</w:t>
      </w:r>
    </w:p>
    <w:p w14:paraId="380DC63B">
      <w:pPr>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2.投标报价的小数点后保留两位有效数。</w:t>
      </w:r>
    </w:p>
    <w:bookmarkEnd w:id="266"/>
    <w:p w14:paraId="010BD552">
      <w:pPr>
        <w:keepNext w:val="0"/>
        <w:keepLines w:val="0"/>
        <w:pageBreakBefore w:val="0"/>
        <w:kinsoku/>
        <w:wordWrap w:val="0"/>
        <w:overflowPunct/>
        <w:topLinePunct w:val="0"/>
        <w:autoSpaceDE/>
        <w:autoSpaceDN/>
        <w:bidi w:val="0"/>
        <w:spacing w:line="360" w:lineRule="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3.报价超过最高限价的，将作无效投标处理</w:t>
      </w:r>
      <w:bookmarkEnd w:id="267"/>
      <w:r>
        <w:rPr>
          <w:rFonts w:hint="eastAsia" w:ascii="宋体" w:hAnsi="宋体" w:eastAsia="宋体" w:cs="宋体"/>
          <w:b/>
          <w:bCs/>
          <w:color w:val="auto"/>
          <w:sz w:val="24"/>
          <w:szCs w:val="24"/>
          <w:highlight w:val="none"/>
          <w:lang w:eastAsia="zh-CN"/>
        </w:rPr>
        <w:t>。</w:t>
      </w:r>
    </w:p>
    <w:p w14:paraId="480DE06F">
      <w:pPr>
        <w:keepNext w:val="0"/>
        <w:keepLines w:val="0"/>
        <w:pageBreakBefore w:val="0"/>
        <w:kinsoku/>
        <w:wordWrap w:val="0"/>
        <w:overflowPunct/>
        <w:topLinePunct w:val="0"/>
        <w:autoSpaceDE/>
        <w:autoSpaceDN/>
        <w:bidi w:val="0"/>
        <w:spacing w:line="360" w:lineRule="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4.本报价为含税报价。</w:t>
      </w:r>
    </w:p>
    <w:p w14:paraId="38697C1C">
      <w:pPr>
        <w:pStyle w:val="27"/>
        <w:keepNext w:val="0"/>
        <w:keepLines w:val="0"/>
        <w:pageBreakBefore w:val="0"/>
        <w:kinsoku/>
        <w:wordWrap w:val="0"/>
        <w:overflowPunct/>
        <w:topLinePunct w:val="0"/>
        <w:autoSpaceDE/>
        <w:autoSpaceDN/>
        <w:bidi w:val="0"/>
        <w:spacing w:line="360" w:lineRule="auto"/>
        <w:ind w:firstLine="0" w:firstLineChars="0"/>
        <w:jc w:val="both"/>
        <w:rPr>
          <w:rFonts w:hint="eastAsia" w:ascii="宋体" w:hAnsi="宋体" w:eastAsia="宋体" w:cs="宋体"/>
          <w:color w:val="auto"/>
          <w:sz w:val="21"/>
          <w:szCs w:val="21"/>
          <w:highlight w:val="none"/>
        </w:rPr>
      </w:pPr>
    </w:p>
    <w:p w14:paraId="32E44A67">
      <w:pPr>
        <w:pStyle w:val="27"/>
        <w:keepNext w:val="0"/>
        <w:keepLines w:val="0"/>
        <w:pageBreakBefore w:val="0"/>
        <w:kinsoku/>
        <w:wordWrap w:val="0"/>
        <w:overflowPunct/>
        <w:topLinePunct w:val="0"/>
        <w:autoSpaceDE/>
        <w:autoSpaceDN/>
        <w:bidi w:val="0"/>
        <w:spacing w:line="360" w:lineRule="auto"/>
        <w:ind w:firstLine="0" w:firstLineChars="0"/>
        <w:jc w:val="both"/>
        <w:rPr>
          <w:rFonts w:hint="eastAsia" w:ascii="宋体" w:hAnsi="宋体" w:eastAsia="宋体" w:cs="宋体"/>
          <w:color w:val="auto"/>
          <w:sz w:val="21"/>
          <w:szCs w:val="21"/>
          <w:highlight w:val="none"/>
        </w:rPr>
      </w:pPr>
    </w:p>
    <w:p w14:paraId="6EB6274C">
      <w:pPr>
        <w:pStyle w:val="27"/>
        <w:keepNext w:val="0"/>
        <w:keepLines w:val="0"/>
        <w:pageBreakBefore w:val="0"/>
        <w:kinsoku/>
        <w:wordWrap w:val="0"/>
        <w:overflowPunct/>
        <w:topLinePunct w:val="0"/>
        <w:autoSpaceDE/>
        <w:autoSpaceDN/>
        <w:bidi w:val="0"/>
        <w:spacing w:line="36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投标人法定代表人或其授权代表（签字或盖章）：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69F6956E">
      <w:pPr>
        <w:pStyle w:val="27"/>
        <w:keepNext w:val="0"/>
        <w:keepLines w:val="0"/>
        <w:pageBreakBefore w:val="0"/>
        <w:kinsoku/>
        <w:wordWrap w:val="0"/>
        <w:overflowPunct/>
        <w:topLinePunct w:val="0"/>
        <w:autoSpaceDE/>
        <w:autoSpaceDN/>
        <w:bidi w:val="0"/>
        <w:spacing w:line="36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投标人名称（盖章）：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54039BF8">
      <w:pPr>
        <w:pStyle w:val="27"/>
        <w:keepNext w:val="0"/>
        <w:keepLines w:val="0"/>
        <w:pageBreakBefore w:val="0"/>
        <w:kinsoku/>
        <w:wordWrap w:val="0"/>
        <w:overflowPunct/>
        <w:topLinePunct w:val="0"/>
        <w:autoSpaceDE/>
        <w:autoSpaceDN/>
        <w:bidi w:val="0"/>
        <w:spacing w:line="360" w:lineRule="auto"/>
        <w:ind w:right="101" w:rightChars="48" w:firstLine="4960" w:firstLineChars="2067"/>
        <w:jc w:val="right"/>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14:paraId="242B9531">
      <w:pPr>
        <w:pStyle w:val="27"/>
        <w:keepNext w:val="0"/>
        <w:keepLines w:val="0"/>
        <w:pageBreakBefore w:val="0"/>
        <w:kinsoku/>
        <w:wordWrap w:val="0"/>
        <w:overflowPunct/>
        <w:topLinePunct w:val="0"/>
        <w:autoSpaceDE/>
        <w:autoSpaceDN/>
        <w:bidi w:val="0"/>
        <w:spacing w:line="360" w:lineRule="auto"/>
        <w:ind w:firstLine="0" w:firstLineChars="0"/>
        <w:jc w:val="right"/>
        <w:rPr>
          <w:rFonts w:hint="eastAsia" w:ascii="宋体" w:hAnsi="宋体" w:eastAsia="宋体" w:cs="宋体"/>
          <w:color w:val="auto"/>
          <w:sz w:val="21"/>
          <w:szCs w:val="21"/>
          <w:highlight w:val="none"/>
        </w:rPr>
      </w:pPr>
    </w:p>
    <w:p w14:paraId="64AF7315">
      <w:pPr>
        <w:keepNext w:val="0"/>
        <w:keepLines w:val="0"/>
        <w:pageBreakBefore w:val="0"/>
        <w:widowControl/>
        <w:kinsoku/>
        <w:wordWrap w:val="0"/>
        <w:overflowPunct/>
        <w:topLinePunct w:val="0"/>
        <w:autoSpaceDE/>
        <w:autoSpaceDN/>
        <w:bidi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br w:type="page"/>
      </w:r>
    </w:p>
    <w:p w14:paraId="2E370A3B">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pPr>
      <w:bookmarkStart w:id="268" w:name="_Toc104131911"/>
      <w:bookmarkStart w:id="269" w:name="_Toc12911"/>
      <w:r>
        <w:rPr>
          <w:rFonts w:hint="eastAsia" w:ascii="宋体" w:hAnsi="宋体" w:eastAsia="宋体" w:cs="宋体"/>
          <w:b/>
          <w:bCs/>
          <w:color w:val="auto"/>
          <w:highlight w:val="none"/>
        </w:rPr>
        <w:t>政策适用性说明</w:t>
      </w:r>
      <w:bookmarkEnd w:id="268"/>
      <w:bookmarkEnd w:id="269"/>
    </w:p>
    <w:p w14:paraId="4456BCC9">
      <w:pPr>
        <w:keepNext w:val="0"/>
        <w:keepLines w:val="0"/>
        <w:pageBreakBefore w:val="0"/>
        <w:kinsoku/>
        <w:wordWrap w:val="0"/>
        <w:overflowPunct/>
        <w:topLinePunct w:val="0"/>
        <w:autoSpaceDE/>
        <w:autoSpaceDN/>
        <w:bidi w:val="0"/>
        <w:spacing w:line="360" w:lineRule="auto"/>
        <w:rPr>
          <w:rFonts w:hint="eastAsia" w:ascii="宋体" w:hAnsi="宋体" w:eastAsia="宋体" w:cs="宋体"/>
          <w:i/>
          <w:iCs/>
          <w:color w:val="auto"/>
          <w:szCs w:val="21"/>
          <w:highlight w:val="none"/>
          <w:lang w:eastAsia="zh-CN"/>
        </w:rPr>
      </w:pPr>
      <w:r>
        <w:rPr>
          <w:rFonts w:hint="eastAsia" w:ascii="宋体" w:hAnsi="宋体" w:eastAsia="宋体" w:cs="宋体"/>
          <w:i/>
          <w:iCs/>
          <w:color w:val="auto"/>
          <w:szCs w:val="21"/>
          <w:highlight w:val="none"/>
          <w:lang w:eastAsia="zh-CN"/>
        </w:rPr>
        <w:t>（以下格式文件由供应商根据需要选用，</w:t>
      </w:r>
      <w:r>
        <w:rPr>
          <w:rFonts w:hint="eastAsia" w:ascii="宋体" w:hAnsi="宋体" w:eastAsia="宋体" w:cs="宋体"/>
          <w:i/>
          <w:iCs/>
          <w:color w:val="auto"/>
          <w:szCs w:val="21"/>
          <w:highlight w:val="none"/>
          <w:lang w:val="en-US" w:eastAsia="zh-CN"/>
        </w:rPr>
        <w:t>不涉及可不用提供</w:t>
      </w:r>
      <w:r>
        <w:rPr>
          <w:rFonts w:hint="eastAsia" w:ascii="宋体" w:hAnsi="宋体" w:eastAsia="宋体" w:cs="宋体"/>
          <w:i/>
          <w:iCs/>
          <w:color w:val="auto"/>
          <w:szCs w:val="21"/>
          <w:highlight w:val="none"/>
          <w:lang w:eastAsia="zh-CN"/>
        </w:rPr>
        <w:t>）</w:t>
      </w:r>
    </w:p>
    <w:p w14:paraId="57A49D4F">
      <w:pPr>
        <w:pStyle w:val="27"/>
        <w:keepNext w:val="0"/>
        <w:keepLines w:val="0"/>
        <w:pageBreakBefore w:val="0"/>
        <w:kinsoku/>
        <w:wordWrap w:val="0"/>
        <w:overflowPunct/>
        <w:topLinePunct w:val="0"/>
        <w:autoSpaceDE/>
        <w:autoSpaceDN/>
        <w:bidi w:val="0"/>
        <w:spacing w:line="360" w:lineRule="auto"/>
        <w:ind w:firstLine="0" w:firstLineChars="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政策适用性说明</w:t>
      </w:r>
    </w:p>
    <w:p w14:paraId="1BFB1165">
      <w:pPr>
        <w:pStyle w:val="27"/>
        <w:keepNext w:val="0"/>
        <w:keepLines w:val="0"/>
        <w:pageBreakBefore w:val="0"/>
        <w:kinsoku/>
        <w:wordWrap w:val="0"/>
        <w:overflowPunct/>
        <w:topLinePunct w:val="0"/>
        <w:autoSpaceDE/>
        <w:autoSpaceDN/>
        <w:bidi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highlight w:val="none"/>
        </w:rPr>
        <w:t>按照政府采购有关政策的要求，在本次的技术方案中，采用符合政策的小型或微型企业产品、节能产品、环境标志产品，主要产品与核心技术介绍说明如下：</w:t>
      </w:r>
    </w:p>
    <w:tbl>
      <w:tblPr>
        <w:tblStyle w:val="34"/>
        <w:tblW w:w="9762"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00"/>
        <w:gridCol w:w="2665"/>
        <w:gridCol w:w="1021"/>
        <w:gridCol w:w="1056"/>
        <w:gridCol w:w="656"/>
        <w:gridCol w:w="922"/>
        <w:gridCol w:w="922"/>
        <w:gridCol w:w="2120"/>
      </w:tblGrid>
      <w:tr w14:paraId="3FABC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5" w:hRule="atLeast"/>
        </w:trPr>
        <w:tc>
          <w:tcPr>
            <w:tcW w:w="400" w:type="dxa"/>
            <w:vAlign w:val="center"/>
          </w:tcPr>
          <w:p w14:paraId="0CDDC1D1">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w:t>
            </w:r>
          </w:p>
          <w:p w14:paraId="6FBBA75C">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号</w:t>
            </w:r>
          </w:p>
        </w:tc>
        <w:tc>
          <w:tcPr>
            <w:tcW w:w="2665" w:type="dxa"/>
            <w:vAlign w:val="center"/>
          </w:tcPr>
          <w:p w14:paraId="54ACCBB8">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主要产品/技术名称（规格型号、注册商标）</w:t>
            </w:r>
          </w:p>
        </w:tc>
        <w:tc>
          <w:tcPr>
            <w:tcW w:w="1021" w:type="dxa"/>
            <w:vAlign w:val="center"/>
          </w:tcPr>
          <w:p w14:paraId="0F85CEA8">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制造商(开发商)</w:t>
            </w:r>
          </w:p>
        </w:tc>
        <w:tc>
          <w:tcPr>
            <w:tcW w:w="1056" w:type="dxa"/>
            <w:vAlign w:val="center"/>
          </w:tcPr>
          <w:p w14:paraId="770ADD50">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制造商企</w:t>
            </w:r>
          </w:p>
          <w:p w14:paraId="6D8848BA">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业类型</w:t>
            </w:r>
          </w:p>
        </w:tc>
        <w:tc>
          <w:tcPr>
            <w:tcW w:w="656" w:type="dxa"/>
            <w:vAlign w:val="center"/>
          </w:tcPr>
          <w:p w14:paraId="04677E3B">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节能</w:t>
            </w:r>
          </w:p>
          <w:p w14:paraId="533BDBA6">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产品</w:t>
            </w:r>
          </w:p>
        </w:tc>
        <w:tc>
          <w:tcPr>
            <w:tcW w:w="922" w:type="dxa"/>
            <w:vAlign w:val="center"/>
          </w:tcPr>
          <w:p w14:paraId="08A8B954">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
                <w:bCs/>
                <w:color w:val="auto"/>
                <w:sz w:val="24"/>
                <w:szCs w:val="24"/>
                <w:highlight w:val="none"/>
              </w:rPr>
            </w:pPr>
            <w:bookmarkStart w:id="270" w:name="_Hlk111932282"/>
            <w:r>
              <w:rPr>
                <w:rFonts w:hint="eastAsia" w:ascii="宋体" w:hAnsi="宋体" w:eastAsia="宋体" w:cs="宋体"/>
                <w:b/>
                <w:bCs/>
                <w:color w:val="auto"/>
                <w:sz w:val="24"/>
                <w:szCs w:val="24"/>
                <w:highlight w:val="none"/>
                <w:lang w:eastAsia="zh-CN"/>
              </w:rPr>
              <w:t>环境</w:t>
            </w:r>
            <w:bookmarkEnd w:id="270"/>
            <w:r>
              <w:rPr>
                <w:rFonts w:hint="eastAsia" w:ascii="宋体" w:hAnsi="宋体" w:eastAsia="宋体" w:cs="宋体"/>
                <w:b/>
                <w:bCs/>
                <w:color w:val="auto"/>
                <w:sz w:val="24"/>
                <w:szCs w:val="24"/>
                <w:highlight w:val="none"/>
              </w:rPr>
              <w:t>标志产品</w:t>
            </w:r>
          </w:p>
        </w:tc>
        <w:tc>
          <w:tcPr>
            <w:tcW w:w="922" w:type="dxa"/>
            <w:vAlign w:val="center"/>
          </w:tcPr>
          <w:p w14:paraId="6ABA27E4">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认证证书编号</w:t>
            </w:r>
          </w:p>
        </w:tc>
        <w:tc>
          <w:tcPr>
            <w:tcW w:w="2120" w:type="dxa"/>
            <w:vAlign w:val="center"/>
          </w:tcPr>
          <w:p w14:paraId="0F95723F">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该产品报价在总报价中占比（%）</w:t>
            </w:r>
          </w:p>
        </w:tc>
      </w:tr>
      <w:tr w14:paraId="0F6EA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atLeast"/>
        </w:trPr>
        <w:tc>
          <w:tcPr>
            <w:tcW w:w="400" w:type="dxa"/>
            <w:vAlign w:val="center"/>
          </w:tcPr>
          <w:p w14:paraId="73365F14">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665" w:type="dxa"/>
            <w:vAlign w:val="center"/>
          </w:tcPr>
          <w:p w14:paraId="0A05693D">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1021" w:type="dxa"/>
            <w:vAlign w:val="center"/>
          </w:tcPr>
          <w:p w14:paraId="2D6965C7">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1056" w:type="dxa"/>
            <w:vAlign w:val="center"/>
          </w:tcPr>
          <w:p w14:paraId="55F22946">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656" w:type="dxa"/>
            <w:vAlign w:val="center"/>
          </w:tcPr>
          <w:p w14:paraId="37840C9D">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922" w:type="dxa"/>
            <w:vAlign w:val="center"/>
          </w:tcPr>
          <w:p w14:paraId="05AF2607">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922" w:type="dxa"/>
            <w:vAlign w:val="center"/>
          </w:tcPr>
          <w:p w14:paraId="5FE8E09E">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2120" w:type="dxa"/>
            <w:vAlign w:val="center"/>
          </w:tcPr>
          <w:p w14:paraId="3E15BCD2">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r>
      <w:tr w14:paraId="3C0A1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atLeast"/>
        </w:trPr>
        <w:tc>
          <w:tcPr>
            <w:tcW w:w="400" w:type="dxa"/>
            <w:vAlign w:val="center"/>
          </w:tcPr>
          <w:p w14:paraId="3A796DEE">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665" w:type="dxa"/>
            <w:vAlign w:val="center"/>
          </w:tcPr>
          <w:p w14:paraId="3E360A1A">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1021" w:type="dxa"/>
            <w:vAlign w:val="center"/>
          </w:tcPr>
          <w:p w14:paraId="2E2265DC">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1056" w:type="dxa"/>
            <w:vAlign w:val="center"/>
          </w:tcPr>
          <w:p w14:paraId="23A51494">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656" w:type="dxa"/>
            <w:vAlign w:val="center"/>
          </w:tcPr>
          <w:p w14:paraId="613C6BC4">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922" w:type="dxa"/>
            <w:vAlign w:val="center"/>
          </w:tcPr>
          <w:p w14:paraId="0D2FD6E4">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922" w:type="dxa"/>
            <w:vAlign w:val="center"/>
          </w:tcPr>
          <w:p w14:paraId="160921B1">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2120" w:type="dxa"/>
            <w:vAlign w:val="center"/>
          </w:tcPr>
          <w:p w14:paraId="7F0E286D">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r>
      <w:tr w14:paraId="6C30E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10" w:hRule="atLeast"/>
        </w:trPr>
        <w:tc>
          <w:tcPr>
            <w:tcW w:w="400" w:type="dxa"/>
            <w:vAlign w:val="center"/>
          </w:tcPr>
          <w:p w14:paraId="77E971B7">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2665" w:type="dxa"/>
            <w:vAlign w:val="center"/>
          </w:tcPr>
          <w:p w14:paraId="24BF1CF1">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1021" w:type="dxa"/>
            <w:vAlign w:val="center"/>
          </w:tcPr>
          <w:p w14:paraId="687A53B2">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1056" w:type="dxa"/>
            <w:vAlign w:val="center"/>
          </w:tcPr>
          <w:p w14:paraId="75256E0D">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656" w:type="dxa"/>
            <w:vAlign w:val="center"/>
          </w:tcPr>
          <w:p w14:paraId="6EEBA651">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922" w:type="dxa"/>
            <w:vAlign w:val="center"/>
          </w:tcPr>
          <w:p w14:paraId="62150782">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922" w:type="dxa"/>
            <w:vAlign w:val="center"/>
          </w:tcPr>
          <w:p w14:paraId="6E146536">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2120" w:type="dxa"/>
            <w:vAlign w:val="center"/>
          </w:tcPr>
          <w:p w14:paraId="56BC77B6">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r>
      <w:tr w14:paraId="6698E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atLeast"/>
        </w:trPr>
        <w:tc>
          <w:tcPr>
            <w:tcW w:w="400" w:type="dxa"/>
            <w:vAlign w:val="center"/>
          </w:tcPr>
          <w:p w14:paraId="7CDAC53B">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2665" w:type="dxa"/>
            <w:vAlign w:val="center"/>
          </w:tcPr>
          <w:p w14:paraId="12DC2DE8">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1021" w:type="dxa"/>
            <w:vAlign w:val="center"/>
          </w:tcPr>
          <w:p w14:paraId="4BB95CBB">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1056" w:type="dxa"/>
            <w:vAlign w:val="center"/>
          </w:tcPr>
          <w:p w14:paraId="07EB454D">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656" w:type="dxa"/>
            <w:vAlign w:val="center"/>
          </w:tcPr>
          <w:p w14:paraId="195623DE">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922" w:type="dxa"/>
            <w:vAlign w:val="center"/>
          </w:tcPr>
          <w:p w14:paraId="6F31A017">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922" w:type="dxa"/>
            <w:vAlign w:val="center"/>
          </w:tcPr>
          <w:p w14:paraId="5C8D3636">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2120" w:type="dxa"/>
            <w:vAlign w:val="center"/>
          </w:tcPr>
          <w:p w14:paraId="3D7F5E27">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r>
      <w:tr w14:paraId="2C47A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atLeast"/>
        </w:trPr>
        <w:tc>
          <w:tcPr>
            <w:tcW w:w="400" w:type="dxa"/>
            <w:vAlign w:val="center"/>
          </w:tcPr>
          <w:p w14:paraId="158DB2D0">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2665" w:type="dxa"/>
            <w:vAlign w:val="center"/>
          </w:tcPr>
          <w:p w14:paraId="12FA2F08">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1021" w:type="dxa"/>
            <w:vAlign w:val="center"/>
          </w:tcPr>
          <w:p w14:paraId="447B0252">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1056" w:type="dxa"/>
            <w:vAlign w:val="center"/>
          </w:tcPr>
          <w:p w14:paraId="3DDDFE86">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656" w:type="dxa"/>
            <w:vAlign w:val="center"/>
          </w:tcPr>
          <w:p w14:paraId="0E434F54">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922" w:type="dxa"/>
            <w:vAlign w:val="center"/>
          </w:tcPr>
          <w:p w14:paraId="5502CA38">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922" w:type="dxa"/>
            <w:vAlign w:val="center"/>
          </w:tcPr>
          <w:p w14:paraId="04E5E3C7">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2120" w:type="dxa"/>
            <w:vAlign w:val="center"/>
          </w:tcPr>
          <w:p w14:paraId="78FE43AF">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r>
      <w:tr w14:paraId="52449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atLeast"/>
        </w:trPr>
        <w:tc>
          <w:tcPr>
            <w:tcW w:w="400" w:type="dxa"/>
            <w:vAlign w:val="center"/>
          </w:tcPr>
          <w:p w14:paraId="3ECBF544">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2665" w:type="dxa"/>
            <w:vAlign w:val="center"/>
          </w:tcPr>
          <w:p w14:paraId="201E7721">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1021" w:type="dxa"/>
            <w:vAlign w:val="center"/>
          </w:tcPr>
          <w:p w14:paraId="46B1DA40">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1056" w:type="dxa"/>
            <w:vAlign w:val="center"/>
          </w:tcPr>
          <w:p w14:paraId="5B57F34C">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656" w:type="dxa"/>
            <w:vAlign w:val="center"/>
          </w:tcPr>
          <w:p w14:paraId="370B55ED">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922" w:type="dxa"/>
            <w:vAlign w:val="center"/>
          </w:tcPr>
          <w:p w14:paraId="5138A6B9">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922" w:type="dxa"/>
            <w:vAlign w:val="center"/>
          </w:tcPr>
          <w:p w14:paraId="10BBC9D3">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2120" w:type="dxa"/>
            <w:vAlign w:val="center"/>
          </w:tcPr>
          <w:p w14:paraId="5ACAF62F">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r>
    </w:tbl>
    <w:p w14:paraId="34C4A4CB">
      <w:pPr>
        <w:pStyle w:val="27"/>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注：1.制造商为小型或微型企业时才需要填“制造商企业类型”栏,填写内容为“小型”或“微型”；</w:t>
      </w:r>
    </w:p>
    <w:p w14:paraId="4FBF41FF">
      <w:pPr>
        <w:pStyle w:val="27"/>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2.“节能产品、环境标志产品”须填写认证证书编号，并在对应“节能产品”、“环境标志产品”栏中勾选，同时提供有效期内的证书复印件</w:t>
      </w:r>
      <w:r>
        <w:rPr>
          <w:rFonts w:hint="eastAsia" w:ascii="宋体" w:hAnsi="宋体" w:eastAsia="宋体" w:cs="宋体"/>
          <w:color w:val="auto"/>
          <w:szCs w:val="21"/>
          <w:highlight w:val="none"/>
        </w:rPr>
        <w:t>以及中国政府采购网（http://www.ccgp.gov.cn/jnhb/jnhbqd/）查询截图（网页查询的证书编号必须与认证证书的一致，且状态为有效；如公开网页信息中无法查询，或证书信息与公开网页信息不一致的，可提供认证单位出具的说明文件，否则视为不满足要求）。</w:t>
      </w:r>
    </w:p>
    <w:p w14:paraId="509CF516">
      <w:pPr>
        <w:pStyle w:val="27"/>
        <w:keepNext w:val="0"/>
        <w:keepLines w:val="0"/>
        <w:pageBreakBefore w:val="0"/>
        <w:kinsoku/>
        <w:wordWrap w:val="0"/>
        <w:overflowPunct/>
        <w:topLinePunct w:val="0"/>
        <w:autoSpaceDE/>
        <w:autoSpaceDN/>
        <w:bidi w:val="0"/>
        <w:spacing w:line="360" w:lineRule="auto"/>
        <w:ind w:firstLine="420"/>
        <w:rPr>
          <w:rFonts w:hint="eastAsia" w:ascii="宋体" w:hAnsi="宋体" w:eastAsia="宋体" w:cs="宋体"/>
          <w:color w:val="auto"/>
          <w:sz w:val="21"/>
          <w:szCs w:val="21"/>
          <w:highlight w:val="none"/>
        </w:rPr>
      </w:pPr>
    </w:p>
    <w:p w14:paraId="0FF2B657">
      <w:pPr>
        <w:pStyle w:val="27"/>
        <w:keepNext w:val="0"/>
        <w:keepLines w:val="0"/>
        <w:pageBreakBefore w:val="0"/>
        <w:kinsoku/>
        <w:wordWrap w:val="0"/>
        <w:overflowPunct/>
        <w:topLinePunct w:val="0"/>
        <w:autoSpaceDE/>
        <w:autoSpaceDN/>
        <w:bidi w:val="0"/>
        <w:spacing w:line="36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投标人法定代表人或其授权代表（签字或盖章）：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2F03670B">
      <w:pPr>
        <w:pStyle w:val="27"/>
        <w:keepNext w:val="0"/>
        <w:keepLines w:val="0"/>
        <w:pageBreakBefore w:val="0"/>
        <w:kinsoku/>
        <w:wordWrap w:val="0"/>
        <w:overflowPunct/>
        <w:topLinePunct w:val="0"/>
        <w:autoSpaceDE/>
        <w:autoSpaceDN/>
        <w:bidi w:val="0"/>
        <w:spacing w:line="36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投标人名称（盖章）：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6D77A3D9">
      <w:pPr>
        <w:pStyle w:val="27"/>
        <w:keepNext w:val="0"/>
        <w:keepLines w:val="0"/>
        <w:pageBreakBefore w:val="0"/>
        <w:kinsoku/>
        <w:wordWrap w:val="0"/>
        <w:overflowPunct/>
        <w:topLinePunct w:val="0"/>
        <w:autoSpaceDE/>
        <w:autoSpaceDN/>
        <w:bidi w:val="0"/>
        <w:spacing w:line="360" w:lineRule="auto"/>
        <w:ind w:right="101" w:rightChars="48" w:firstLine="4960" w:firstLineChars="2067"/>
        <w:jc w:val="right"/>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14:paraId="50BBF972">
      <w:pPr>
        <w:keepNext w:val="0"/>
        <w:keepLines w:val="0"/>
        <w:pageBreakBefore w:val="0"/>
        <w:kinsoku/>
        <w:overflowPunct/>
        <w:topLinePunct w:val="0"/>
        <w:bidi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br w:type="page"/>
      </w:r>
    </w:p>
    <w:p w14:paraId="43F5B944">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pPr>
      <w:bookmarkStart w:id="271" w:name="_Toc104131912"/>
      <w:bookmarkStart w:id="272" w:name="_Toc30535"/>
      <w:r>
        <w:rPr>
          <w:rFonts w:hint="eastAsia" w:ascii="宋体" w:hAnsi="宋体" w:eastAsia="宋体" w:cs="宋体"/>
          <w:b/>
          <w:bCs/>
          <w:color w:val="auto"/>
          <w:highlight w:val="none"/>
        </w:rPr>
        <w:t>法定代表人证明书</w:t>
      </w:r>
      <w:bookmarkEnd w:id="271"/>
      <w:bookmarkEnd w:id="272"/>
    </w:p>
    <w:p w14:paraId="73908D6A">
      <w:pPr>
        <w:pStyle w:val="27"/>
        <w:keepNext w:val="0"/>
        <w:keepLines w:val="0"/>
        <w:pageBreakBefore w:val="0"/>
        <w:kinsoku/>
        <w:wordWrap w:val="0"/>
        <w:overflowPunct/>
        <w:topLinePunct w:val="0"/>
        <w:autoSpaceDE/>
        <w:autoSpaceDN/>
        <w:bidi w:val="0"/>
        <w:spacing w:line="360" w:lineRule="auto"/>
        <w:ind w:firstLine="0" w:firstLineChars="0"/>
        <w:rPr>
          <w:rFonts w:hint="eastAsia" w:ascii="宋体" w:hAnsi="宋体" w:eastAsia="宋体" w:cs="宋体"/>
          <w:i/>
          <w:iCs/>
          <w:color w:val="auto"/>
          <w:sz w:val="21"/>
          <w:szCs w:val="21"/>
          <w:highlight w:val="none"/>
        </w:rPr>
      </w:pPr>
      <w:r>
        <w:rPr>
          <w:rFonts w:hint="eastAsia" w:ascii="宋体" w:hAnsi="宋体" w:eastAsia="宋体" w:cs="宋体"/>
          <w:i/>
          <w:iCs/>
          <w:color w:val="auto"/>
          <w:sz w:val="21"/>
          <w:szCs w:val="21"/>
          <w:highlight w:val="none"/>
        </w:rPr>
        <w:t>（投标人可使用下述格式，也可使用广东省工商行政管理局统一印制的法定代表人证明书格式）</w:t>
      </w:r>
    </w:p>
    <w:p w14:paraId="798E41FF">
      <w:pPr>
        <w:pStyle w:val="27"/>
        <w:keepNext w:val="0"/>
        <w:keepLines w:val="0"/>
        <w:pageBreakBefore w:val="0"/>
        <w:kinsoku/>
        <w:wordWrap w:val="0"/>
        <w:overflowPunct/>
        <w:topLinePunct w:val="0"/>
        <w:autoSpaceDE/>
        <w:autoSpaceDN/>
        <w:bidi w:val="0"/>
        <w:spacing w:line="360" w:lineRule="auto"/>
        <w:ind w:firstLine="0" w:firstLineChars="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法定代表人证明书</w:t>
      </w:r>
    </w:p>
    <w:p w14:paraId="33596D00">
      <w:pPr>
        <w:pStyle w:val="2"/>
        <w:keepNext w:val="0"/>
        <w:keepLines w:val="0"/>
        <w:pageBreakBefore w:val="0"/>
        <w:tabs>
          <w:tab w:val="left" w:pos="1500"/>
          <w:tab w:val="left" w:pos="3465"/>
          <w:tab w:val="left" w:pos="3947"/>
          <w:tab w:val="left" w:pos="7064"/>
        </w:tabs>
        <w:kinsoku/>
        <w:wordWrap w:val="0"/>
        <w:overflowPunct/>
        <w:topLinePunct w:val="0"/>
        <w:autoSpaceDE/>
        <w:autoSpaceDN/>
        <w:bidi w:val="0"/>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sz w:val="24"/>
          <w:szCs w:val="24"/>
          <w:highlight w:val="none"/>
          <w:lang w:eastAsia="zh-CN"/>
        </w:rPr>
        <w:t>现任我单位</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sz w:val="24"/>
          <w:szCs w:val="24"/>
          <w:highlight w:val="none"/>
          <w:lang w:eastAsia="zh-CN"/>
        </w:rPr>
        <w:t>职务，为法定代表人，特此证明。</w:t>
      </w:r>
    </w:p>
    <w:p w14:paraId="35247485">
      <w:pPr>
        <w:pStyle w:val="2"/>
        <w:keepNext w:val="0"/>
        <w:keepLines w:val="0"/>
        <w:pageBreakBefore w:val="0"/>
        <w:tabs>
          <w:tab w:val="left" w:pos="1020"/>
          <w:tab w:val="left" w:pos="3223"/>
          <w:tab w:val="left" w:pos="3947"/>
          <w:tab w:val="left" w:pos="7064"/>
        </w:tabs>
        <w:kinsoku/>
        <w:wordWrap w:val="0"/>
        <w:overflowPunct/>
        <w:topLinePunct w:val="0"/>
        <w:autoSpaceDE/>
        <w:autoSpaceDN/>
        <w:bidi w:val="0"/>
        <w:spacing w:line="360" w:lineRule="auto"/>
        <w:ind w:firstLine="480" w:firstLineChars="200"/>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lang w:eastAsia="zh-CN"/>
        </w:rPr>
        <w:t>有效期限：</w:t>
      </w:r>
      <w:r>
        <w:rPr>
          <w:rFonts w:hint="eastAsia" w:ascii="宋体" w:hAnsi="宋体" w:eastAsia="宋体" w:cs="宋体"/>
          <w:color w:val="auto"/>
          <w:sz w:val="24"/>
          <w:szCs w:val="24"/>
          <w:highlight w:val="none"/>
          <w:u w:val="single"/>
          <w:lang w:eastAsia="zh-CN"/>
        </w:rPr>
        <w:t xml:space="preserve"> 与投标有效期一致。 </w:t>
      </w:r>
    </w:p>
    <w:p w14:paraId="4A2EF4ED">
      <w:pPr>
        <w:pStyle w:val="2"/>
        <w:keepNext w:val="0"/>
        <w:keepLines w:val="0"/>
        <w:pageBreakBefore w:val="0"/>
        <w:tabs>
          <w:tab w:val="left" w:pos="1020"/>
          <w:tab w:val="left" w:pos="3223"/>
          <w:tab w:val="left" w:pos="3947"/>
          <w:tab w:val="left" w:pos="8505"/>
        </w:tabs>
        <w:kinsoku/>
        <w:wordWrap w:val="0"/>
        <w:overflowPunct/>
        <w:topLinePunct w:val="0"/>
        <w:autoSpaceDE/>
        <w:autoSpaceDN/>
        <w:bidi w:val="0"/>
        <w:spacing w:line="360" w:lineRule="auto"/>
        <w:ind w:firstLine="480" w:firstLineChars="200"/>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highlight w:val="none"/>
          <w:lang w:eastAsia="zh-CN"/>
        </w:rPr>
        <w:t>法定代表人</w:t>
      </w:r>
      <w:r>
        <w:rPr>
          <w:rFonts w:hint="eastAsia" w:ascii="宋体" w:hAnsi="宋体" w:eastAsia="宋体" w:cs="宋体"/>
          <w:color w:val="auto"/>
          <w:sz w:val="24"/>
          <w:szCs w:val="24"/>
          <w:highlight w:val="none"/>
          <w:lang w:eastAsia="zh-CN"/>
        </w:rPr>
        <w:t>性别：</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sz w:val="24"/>
          <w:szCs w:val="24"/>
          <w:highlight w:val="none"/>
          <w:lang w:eastAsia="zh-CN"/>
        </w:rPr>
        <w:t>年龄：</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身份证号码：</w:t>
      </w:r>
      <w:r>
        <w:rPr>
          <w:rFonts w:hint="eastAsia" w:ascii="宋体" w:hAnsi="宋体" w:eastAsia="宋体" w:cs="宋体"/>
          <w:color w:val="auto"/>
          <w:sz w:val="24"/>
          <w:szCs w:val="24"/>
          <w:highlight w:val="none"/>
          <w:u w:val="single"/>
          <w:lang w:eastAsia="zh-CN"/>
        </w:rPr>
        <w:tab/>
      </w:r>
    </w:p>
    <w:p w14:paraId="27C57BB7">
      <w:pPr>
        <w:pStyle w:val="2"/>
        <w:keepNext w:val="0"/>
        <w:keepLines w:val="0"/>
        <w:pageBreakBefore w:val="0"/>
        <w:tabs>
          <w:tab w:val="left" w:pos="1020"/>
          <w:tab w:val="left" w:pos="3223"/>
          <w:tab w:val="left" w:pos="3947"/>
          <w:tab w:val="left" w:pos="7064"/>
        </w:tabs>
        <w:kinsoku/>
        <w:wordWrap w:val="0"/>
        <w:overflowPunct/>
        <w:topLinePunct w:val="0"/>
        <w:autoSpaceDE/>
        <w:autoSpaceDN/>
        <w:bidi w:val="0"/>
        <w:spacing w:line="360" w:lineRule="auto"/>
        <w:ind w:firstLine="480" w:firstLineChars="200"/>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lang w:eastAsia="zh-CN"/>
        </w:rPr>
        <w:t>统一社会信用代码：</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sz w:val="24"/>
          <w:szCs w:val="24"/>
          <w:highlight w:val="none"/>
          <w:lang w:eastAsia="zh-CN"/>
        </w:rPr>
        <w:t>企业类型：</w:t>
      </w: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sz w:val="24"/>
          <w:szCs w:val="24"/>
          <w:highlight w:val="none"/>
          <w:u w:val="single"/>
          <w:lang w:eastAsia="zh-CN"/>
        </w:rPr>
        <w:t xml:space="preserve">            </w:t>
      </w:r>
    </w:p>
    <w:p w14:paraId="4DC7EABD">
      <w:pPr>
        <w:pStyle w:val="2"/>
        <w:keepNext w:val="0"/>
        <w:keepLines w:val="0"/>
        <w:pageBreakBefore w:val="0"/>
        <w:tabs>
          <w:tab w:val="left" w:pos="1020"/>
          <w:tab w:val="left" w:pos="3223"/>
          <w:tab w:val="left" w:pos="3947"/>
          <w:tab w:val="left" w:pos="7064"/>
        </w:tabs>
        <w:kinsoku/>
        <w:wordWrap w:val="0"/>
        <w:overflowPunct/>
        <w:topLinePunct w:val="0"/>
        <w:autoSpaceDE/>
        <w:autoSpaceDN/>
        <w:bidi w:val="0"/>
        <w:spacing w:line="360" w:lineRule="auto"/>
        <w:ind w:firstLine="480" w:firstLineChars="200"/>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lang w:eastAsia="zh-CN"/>
        </w:rPr>
        <w:t>经营范围：</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sz w:val="24"/>
          <w:szCs w:val="24"/>
          <w:highlight w:val="none"/>
          <w:u w:val="single"/>
          <w:lang w:eastAsia="zh-CN"/>
        </w:rPr>
        <w:tab/>
      </w:r>
    </w:p>
    <w:p w14:paraId="71A96289">
      <w:pPr>
        <w:pStyle w:val="2"/>
        <w:keepNext w:val="0"/>
        <w:keepLines w:val="0"/>
        <w:pageBreakBefore w:val="0"/>
        <w:tabs>
          <w:tab w:val="left" w:pos="1020"/>
          <w:tab w:val="left" w:pos="3223"/>
          <w:tab w:val="left" w:pos="3947"/>
          <w:tab w:val="left" w:pos="7064"/>
        </w:tabs>
        <w:kinsoku/>
        <w:wordWrap w:val="0"/>
        <w:overflowPunct/>
        <w:topLinePunct w:val="0"/>
        <w:autoSpaceDE/>
        <w:autoSpaceDN/>
        <w:bidi w:val="0"/>
        <w:spacing w:line="360" w:lineRule="auto"/>
        <w:ind w:right="-35"/>
        <w:rPr>
          <w:rFonts w:hint="eastAsia" w:ascii="宋体" w:hAnsi="宋体" w:eastAsia="宋体" w:cs="宋体"/>
          <w:color w:val="auto"/>
          <w:sz w:val="24"/>
          <w:szCs w:val="24"/>
          <w:highlight w:val="none"/>
          <w:lang w:eastAsia="zh-CN"/>
        </w:rPr>
      </w:pPr>
    </w:p>
    <w:p w14:paraId="7BFCCD55">
      <w:pPr>
        <w:pStyle w:val="2"/>
        <w:keepNext w:val="0"/>
        <w:keepLines w:val="0"/>
        <w:pageBreakBefore w:val="0"/>
        <w:tabs>
          <w:tab w:val="left" w:pos="10713"/>
        </w:tabs>
        <w:kinsoku/>
        <w:wordWrap w:val="0"/>
        <w:overflowPunct/>
        <w:topLinePunct w:val="0"/>
        <w:autoSpaceDE/>
        <w:autoSpaceDN/>
        <w:bidi w:val="0"/>
        <w:spacing w:line="360" w:lineRule="auto"/>
        <w:jc w:val="righ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投标人名称（盖章）：</w:t>
      </w:r>
      <w:r>
        <w:rPr>
          <w:rFonts w:hint="eastAsia" w:ascii="宋体" w:hAnsi="宋体" w:eastAsia="宋体" w:cs="宋体"/>
          <w:color w:val="auto"/>
          <w:sz w:val="24"/>
          <w:szCs w:val="24"/>
          <w:highlight w:val="none"/>
          <w:u w:val="single"/>
          <w:lang w:eastAsia="zh-CN"/>
        </w:rPr>
        <w:t xml:space="preserve">                   </w:t>
      </w:r>
    </w:p>
    <w:p w14:paraId="28096DB9">
      <w:pPr>
        <w:pStyle w:val="2"/>
        <w:keepNext w:val="0"/>
        <w:keepLines w:val="0"/>
        <w:pageBreakBefore w:val="0"/>
        <w:tabs>
          <w:tab w:val="left" w:pos="10713"/>
        </w:tabs>
        <w:kinsoku/>
        <w:wordWrap w:val="0"/>
        <w:overflowPunct/>
        <w:topLinePunct w:val="0"/>
        <w:autoSpaceDE/>
        <w:autoSpaceDN/>
        <w:bidi w:val="0"/>
        <w:spacing w:line="360" w:lineRule="auto"/>
        <w:jc w:val="right"/>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lang w:eastAsia="zh-CN"/>
        </w:rPr>
        <w:t>地址：</w:t>
      </w:r>
      <w:r>
        <w:rPr>
          <w:rFonts w:hint="eastAsia" w:ascii="宋体" w:hAnsi="宋体" w:eastAsia="宋体" w:cs="宋体"/>
          <w:color w:val="auto"/>
          <w:sz w:val="24"/>
          <w:szCs w:val="24"/>
          <w:highlight w:val="none"/>
          <w:u w:val="single"/>
          <w:lang w:eastAsia="zh-CN"/>
        </w:rPr>
        <w:t xml:space="preserve">                   </w:t>
      </w:r>
    </w:p>
    <w:p w14:paraId="141ADF3E">
      <w:pPr>
        <w:pStyle w:val="2"/>
        <w:keepNext w:val="0"/>
        <w:keepLines w:val="0"/>
        <w:pageBreakBefore w:val="0"/>
        <w:tabs>
          <w:tab w:val="left" w:pos="10713"/>
        </w:tabs>
        <w:kinsoku/>
        <w:wordWrap w:val="0"/>
        <w:overflowPunct/>
        <w:topLinePunct w:val="0"/>
        <w:autoSpaceDE/>
        <w:autoSpaceDN/>
        <w:bidi w:val="0"/>
        <w:spacing w:line="360" w:lineRule="auto"/>
        <w:jc w:val="right"/>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lang w:eastAsia="zh-CN"/>
        </w:rPr>
        <w:t>法定代表人（签字或盖章）：</w:t>
      </w:r>
      <w:r>
        <w:rPr>
          <w:rFonts w:hint="eastAsia" w:ascii="宋体" w:hAnsi="宋体" w:eastAsia="宋体" w:cs="宋体"/>
          <w:color w:val="auto"/>
          <w:sz w:val="24"/>
          <w:szCs w:val="24"/>
          <w:highlight w:val="none"/>
          <w:u w:val="single"/>
          <w:lang w:eastAsia="zh-CN"/>
        </w:rPr>
        <w:t xml:space="preserve">                   </w:t>
      </w:r>
    </w:p>
    <w:p w14:paraId="6DE58EEF">
      <w:pPr>
        <w:pStyle w:val="2"/>
        <w:keepNext w:val="0"/>
        <w:keepLines w:val="0"/>
        <w:pageBreakBefore w:val="0"/>
        <w:kinsoku/>
        <w:wordWrap w:val="0"/>
        <w:overflowPunct/>
        <w:topLinePunct w:val="0"/>
        <w:autoSpaceDE/>
        <w:autoSpaceDN/>
        <w:bidi w:val="0"/>
        <w:spacing w:line="360" w:lineRule="auto"/>
        <w:jc w:val="righ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职务：</w:t>
      </w:r>
      <w:r>
        <w:rPr>
          <w:rFonts w:hint="eastAsia" w:ascii="宋体" w:hAnsi="宋体" w:eastAsia="宋体" w:cs="宋体"/>
          <w:color w:val="auto"/>
          <w:sz w:val="24"/>
          <w:szCs w:val="24"/>
          <w:highlight w:val="none"/>
          <w:u w:val="single"/>
          <w:lang w:eastAsia="zh-CN"/>
        </w:rPr>
        <w:t xml:space="preserve">                   </w:t>
      </w:r>
    </w:p>
    <w:p w14:paraId="4DFC221F">
      <w:pPr>
        <w:pStyle w:val="2"/>
        <w:keepNext w:val="0"/>
        <w:keepLines w:val="0"/>
        <w:pageBreakBefore w:val="0"/>
        <w:kinsoku/>
        <w:wordWrap w:val="0"/>
        <w:overflowPunct/>
        <w:topLinePunct w:val="0"/>
        <w:autoSpaceDE/>
        <w:autoSpaceDN/>
        <w:bidi w:val="0"/>
        <w:spacing w:line="360" w:lineRule="auto"/>
        <w:jc w:val="righ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日期：</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年</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日</w:t>
      </w:r>
    </w:p>
    <w:p w14:paraId="5CC6FC4A">
      <w:pPr>
        <w:pStyle w:val="27"/>
        <w:keepNext w:val="0"/>
        <w:keepLines w:val="0"/>
        <w:pageBreakBefore w:val="0"/>
        <w:kinsoku/>
        <w:wordWrap w:val="0"/>
        <w:overflowPunct/>
        <w:topLinePunct w:val="0"/>
        <w:autoSpaceDE/>
        <w:autoSpaceDN/>
        <w:bidi w:val="0"/>
        <w:spacing w:line="360" w:lineRule="auto"/>
        <w:ind w:firstLine="0" w:firstLineChars="0"/>
        <w:rPr>
          <w:rFonts w:hint="eastAsia" w:ascii="宋体" w:hAnsi="宋体" w:eastAsia="宋体" w:cs="宋体"/>
          <w:color w:val="auto"/>
          <w:sz w:val="21"/>
          <w:szCs w:val="21"/>
          <w:highlight w:val="none"/>
        </w:rPr>
      </w:pPr>
    </w:p>
    <w:p w14:paraId="33C81C10">
      <w:pPr>
        <w:keepNext w:val="0"/>
        <w:keepLines w:val="0"/>
        <w:pageBreakBefore w:val="0"/>
        <w:kinsoku/>
        <w:wordWrap w:val="0"/>
        <w:overflowPunct/>
        <w:topLinePunct w:val="0"/>
        <w:autoSpaceDE/>
        <w:autoSpaceDN/>
        <w:bidi w:val="0"/>
        <w:spacing w:line="360" w:lineRule="auto"/>
        <w:rPr>
          <w:rFonts w:hint="eastAsia" w:ascii="宋体" w:hAnsi="宋体" w:eastAsia="宋体" w:cs="宋体"/>
          <w:b/>
          <w:color w:val="auto"/>
          <w:sz w:val="24"/>
          <w:highlight w:val="none"/>
        </w:rPr>
      </w:pP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14:paraId="3A2EE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8" w:hRule="atLeast"/>
          <w:jc w:val="center"/>
        </w:trPr>
        <w:tc>
          <w:tcPr>
            <w:tcW w:w="5000" w:type="pct"/>
            <w:vAlign w:val="center"/>
          </w:tcPr>
          <w:p w14:paraId="17FF1484">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法定代表人身份证复印件</w:t>
            </w:r>
          </w:p>
          <w:p w14:paraId="1338D875">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
                <w:color w:val="auto"/>
                <w:sz w:val="24"/>
                <w:highlight w:val="none"/>
              </w:rPr>
            </w:pPr>
            <w:r>
              <w:rPr>
                <w:rFonts w:hint="eastAsia" w:ascii="宋体" w:hAnsi="宋体" w:eastAsia="宋体" w:cs="宋体"/>
                <w:color w:val="auto"/>
                <w:sz w:val="24"/>
                <w:highlight w:val="none"/>
              </w:rPr>
              <w:t>（正、反两面）</w:t>
            </w:r>
          </w:p>
        </w:tc>
      </w:tr>
    </w:tbl>
    <w:p w14:paraId="17E66DF0">
      <w:pPr>
        <w:keepNext w:val="0"/>
        <w:keepLines w:val="0"/>
        <w:pageBreakBefore w:val="0"/>
        <w:kinsoku/>
        <w:wordWrap w:val="0"/>
        <w:overflowPunct/>
        <w:topLinePunct w:val="0"/>
        <w:autoSpaceDE/>
        <w:autoSpaceDN/>
        <w:bidi w:val="0"/>
        <w:spacing w:line="360" w:lineRule="auto"/>
        <w:rPr>
          <w:rFonts w:hint="eastAsia" w:ascii="宋体" w:hAnsi="宋体" w:eastAsia="宋体" w:cs="宋体"/>
          <w:b/>
          <w:color w:val="auto"/>
          <w:szCs w:val="21"/>
          <w:highlight w:val="none"/>
        </w:rPr>
      </w:pPr>
    </w:p>
    <w:p w14:paraId="6668E7B2">
      <w:pPr>
        <w:keepNext w:val="0"/>
        <w:keepLines w:val="0"/>
        <w:pageBreakBefore w:val="0"/>
        <w:kinsoku/>
        <w:wordWrap w:val="0"/>
        <w:overflowPunct/>
        <w:topLinePunct w:val="0"/>
        <w:autoSpaceDE/>
        <w:autoSpaceDN/>
        <w:bidi w:val="0"/>
        <w:spacing w:line="360" w:lineRule="auto"/>
        <w:rPr>
          <w:rFonts w:hint="eastAsia" w:ascii="宋体" w:hAnsi="宋体" w:eastAsia="宋体" w:cs="宋体"/>
          <w:b/>
          <w:color w:val="auto"/>
          <w:szCs w:val="21"/>
          <w:highlight w:val="none"/>
          <w:lang w:eastAsia="zh-CN"/>
        </w:rPr>
      </w:pPr>
      <w:r>
        <w:rPr>
          <w:rFonts w:hint="eastAsia" w:ascii="宋体" w:hAnsi="宋体" w:eastAsia="宋体" w:cs="宋体"/>
          <w:b/>
          <w:color w:val="auto"/>
          <w:szCs w:val="21"/>
          <w:highlight w:val="none"/>
          <w:lang w:eastAsia="zh-CN"/>
        </w:rPr>
        <w:t>说明：供应商应须提供法定代表人身份证复印件，否则作无效投标处理。</w:t>
      </w:r>
    </w:p>
    <w:p w14:paraId="386451CA">
      <w:pPr>
        <w:pStyle w:val="27"/>
        <w:keepNext w:val="0"/>
        <w:keepLines w:val="0"/>
        <w:pageBreakBefore w:val="0"/>
        <w:kinsoku/>
        <w:wordWrap w:val="0"/>
        <w:overflowPunct/>
        <w:topLinePunct w:val="0"/>
        <w:autoSpaceDE/>
        <w:autoSpaceDN/>
        <w:bidi w:val="0"/>
        <w:spacing w:line="360" w:lineRule="auto"/>
        <w:ind w:firstLine="0" w:firstLineChars="0"/>
        <w:rPr>
          <w:rFonts w:hint="eastAsia" w:ascii="宋体" w:hAnsi="宋体" w:eastAsia="宋体" w:cs="宋体"/>
          <w:color w:val="auto"/>
          <w:sz w:val="21"/>
          <w:szCs w:val="21"/>
          <w:highlight w:val="none"/>
        </w:rPr>
      </w:pPr>
    </w:p>
    <w:p w14:paraId="22EE459D">
      <w:pPr>
        <w:keepNext w:val="0"/>
        <w:keepLines w:val="0"/>
        <w:pageBreakBefore w:val="0"/>
        <w:widowControl/>
        <w:kinsoku/>
        <w:wordWrap w:val="0"/>
        <w:overflowPunct/>
        <w:topLinePunct w:val="0"/>
        <w:autoSpaceDE/>
        <w:autoSpaceDN/>
        <w:bidi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br w:type="page"/>
      </w:r>
    </w:p>
    <w:p w14:paraId="53DB8CA4">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pPr>
      <w:bookmarkStart w:id="273" w:name="_Toc8427"/>
      <w:bookmarkStart w:id="274" w:name="_Toc104131913"/>
      <w:r>
        <w:rPr>
          <w:rFonts w:hint="eastAsia" w:ascii="宋体" w:hAnsi="宋体" w:eastAsia="宋体" w:cs="宋体"/>
          <w:b/>
          <w:bCs/>
          <w:color w:val="auto"/>
          <w:highlight w:val="none"/>
        </w:rPr>
        <w:t>法定代表人授权书</w:t>
      </w:r>
      <w:bookmarkEnd w:id="273"/>
      <w:bookmarkEnd w:id="274"/>
    </w:p>
    <w:p w14:paraId="49046967">
      <w:pPr>
        <w:pStyle w:val="27"/>
        <w:keepNext w:val="0"/>
        <w:keepLines w:val="0"/>
        <w:pageBreakBefore w:val="0"/>
        <w:kinsoku/>
        <w:wordWrap w:val="0"/>
        <w:overflowPunct/>
        <w:topLinePunct w:val="0"/>
        <w:autoSpaceDE/>
        <w:autoSpaceDN/>
        <w:bidi w:val="0"/>
        <w:spacing w:line="360" w:lineRule="auto"/>
        <w:ind w:firstLine="0" w:firstLineChars="0"/>
        <w:rPr>
          <w:rFonts w:hint="eastAsia" w:ascii="宋体" w:hAnsi="宋体" w:eastAsia="宋体" w:cs="宋体"/>
          <w:i/>
          <w:iCs/>
          <w:color w:val="auto"/>
          <w:sz w:val="21"/>
          <w:szCs w:val="21"/>
          <w:highlight w:val="none"/>
        </w:rPr>
      </w:pPr>
      <w:r>
        <w:rPr>
          <w:rFonts w:hint="eastAsia" w:ascii="宋体" w:hAnsi="宋体" w:eastAsia="宋体" w:cs="宋体"/>
          <w:i/>
          <w:iCs/>
          <w:color w:val="auto"/>
          <w:sz w:val="21"/>
          <w:szCs w:val="21"/>
          <w:highlight w:val="none"/>
        </w:rPr>
        <w:t>（对于银行、保险、电信、邮政、铁路等行业以及获得总公司投标授权的分公司，可以提供投标分支机构负责人授权书）</w:t>
      </w:r>
    </w:p>
    <w:p w14:paraId="1E9D29D9">
      <w:pPr>
        <w:pStyle w:val="27"/>
        <w:keepNext w:val="0"/>
        <w:keepLines w:val="0"/>
        <w:pageBreakBefore w:val="0"/>
        <w:kinsoku/>
        <w:wordWrap w:val="0"/>
        <w:overflowPunct/>
        <w:topLinePunct w:val="0"/>
        <w:autoSpaceDE/>
        <w:autoSpaceDN/>
        <w:bidi w:val="0"/>
        <w:spacing w:line="360" w:lineRule="auto"/>
        <w:ind w:firstLine="0" w:firstLineChars="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法定代表人授权书</w:t>
      </w:r>
    </w:p>
    <w:p w14:paraId="07552079">
      <w:pPr>
        <w:pStyle w:val="2"/>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致：公诚管理咨询有限公司</w:t>
      </w:r>
    </w:p>
    <w:p w14:paraId="5908CABA">
      <w:pPr>
        <w:pStyle w:val="2"/>
        <w:keepNext w:val="0"/>
        <w:keepLines w:val="0"/>
        <w:pageBreakBefore w:val="0"/>
        <w:tabs>
          <w:tab w:val="left" w:pos="2026"/>
          <w:tab w:val="left" w:pos="3100"/>
          <w:tab w:val="left" w:pos="8808"/>
        </w:tabs>
        <w:kinsoku/>
        <w:wordWrap w:val="0"/>
        <w:overflowPunct/>
        <w:topLinePunct w:val="0"/>
        <w:autoSpaceDE/>
        <w:autoSpaceDN/>
        <w:bidi w:val="0"/>
        <w:spacing w:line="360" w:lineRule="auto"/>
        <w:ind w:right="221" w:firstLine="384"/>
        <w:rPr>
          <w:rFonts w:hint="eastAsia" w:ascii="宋体" w:hAnsi="宋体" w:eastAsia="宋体" w:cs="宋体"/>
          <w:color w:val="auto"/>
          <w:sz w:val="24"/>
          <w:szCs w:val="24"/>
          <w:highlight w:val="none"/>
          <w:lang w:eastAsia="zh-CN"/>
        </w:rPr>
      </w:pPr>
      <w:r>
        <w:rPr>
          <w:rFonts w:hint="eastAsia" w:ascii="宋体" w:hAnsi="宋体" w:eastAsia="宋体" w:cs="宋体"/>
          <w:color w:val="auto"/>
          <w:w w:val="105"/>
          <w:sz w:val="24"/>
          <w:szCs w:val="24"/>
          <w:highlight w:val="none"/>
          <w:lang w:eastAsia="zh-CN"/>
        </w:rPr>
        <w:t>本授权书声明：</w:t>
      </w:r>
      <w:r>
        <w:rPr>
          <w:rFonts w:hint="eastAsia" w:ascii="宋体" w:hAnsi="宋体" w:eastAsia="宋体" w:cs="宋体"/>
          <w:color w:val="auto"/>
          <w:w w:val="105"/>
          <w:sz w:val="24"/>
          <w:szCs w:val="24"/>
          <w:highlight w:val="none"/>
          <w:u w:val="single"/>
          <w:lang w:eastAsia="zh-CN"/>
        </w:rPr>
        <w:t xml:space="preserve"> </w:t>
      </w:r>
      <w:r>
        <w:rPr>
          <w:rFonts w:hint="eastAsia" w:ascii="宋体" w:hAnsi="宋体" w:eastAsia="宋体" w:cs="宋体"/>
          <w:color w:val="auto"/>
          <w:w w:val="105"/>
          <w:sz w:val="24"/>
          <w:szCs w:val="24"/>
          <w:highlight w:val="none"/>
          <w:u w:val="single"/>
          <w:lang w:eastAsia="zh-CN"/>
        </w:rPr>
        <w:tab/>
      </w:r>
      <w:r>
        <w:rPr>
          <w:rFonts w:hint="eastAsia" w:ascii="宋体" w:hAnsi="宋体" w:eastAsia="宋体" w:cs="宋体"/>
          <w:color w:val="auto"/>
          <w:sz w:val="24"/>
          <w:szCs w:val="24"/>
          <w:highlight w:val="none"/>
          <w:lang w:eastAsia="zh-CN"/>
        </w:rPr>
        <w:t>是注册于</w:t>
      </w:r>
      <w:r>
        <w:rPr>
          <w:rFonts w:hint="eastAsia" w:ascii="宋体" w:hAnsi="宋体" w:eastAsia="宋体" w:cs="宋体"/>
          <w:color w:val="auto"/>
          <w:spacing w:val="-17"/>
          <w:sz w:val="24"/>
          <w:szCs w:val="24"/>
          <w:highlight w:val="none"/>
          <w:lang w:eastAsia="zh-CN"/>
        </w:rPr>
        <w:t xml:space="preserve"> </w:t>
      </w:r>
      <w:r>
        <w:rPr>
          <w:rFonts w:hint="eastAsia" w:ascii="宋体" w:hAnsi="宋体" w:eastAsia="宋体" w:cs="宋体"/>
          <w:color w:val="auto"/>
          <w:w w:val="110"/>
          <w:sz w:val="24"/>
          <w:szCs w:val="24"/>
          <w:highlight w:val="none"/>
          <w:u w:val="single"/>
          <w:lang w:eastAsia="zh-CN"/>
        </w:rPr>
        <w:t xml:space="preserve">    </w:t>
      </w:r>
      <w:r>
        <w:rPr>
          <w:rFonts w:hint="eastAsia" w:ascii="宋体" w:hAnsi="宋体" w:eastAsia="宋体" w:cs="宋体"/>
          <w:color w:val="auto"/>
          <w:sz w:val="24"/>
          <w:szCs w:val="24"/>
          <w:highlight w:val="none"/>
          <w:u w:val="single"/>
          <w:lang w:eastAsia="zh-CN"/>
        </w:rPr>
        <w:t>（国家或地区）</w:t>
      </w:r>
      <w:r>
        <w:rPr>
          <w:rFonts w:hint="eastAsia" w:ascii="宋体" w:hAnsi="宋体" w:eastAsia="宋体" w:cs="宋体"/>
          <w:color w:val="auto"/>
          <w:sz w:val="24"/>
          <w:szCs w:val="24"/>
          <w:highlight w:val="none"/>
          <w:lang w:eastAsia="zh-CN"/>
        </w:rPr>
        <w:t>的</w:t>
      </w:r>
      <w:r>
        <w:rPr>
          <w:rFonts w:hint="eastAsia" w:ascii="宋体" w:hAnsi="宋体" w:eastAsia="宋体" w:cs="宋体"/>
          <w:color w:val="auto"/>
          <w:w w:val="110"/>
          <w:sz w:val="24"/>
          <w:szCs w:val="24"/>
          <w:highlight w:val="none"/>
          <w:u w:val="single"/>
          <w:lang w:eastAsia="zh-CN"/>
        </w:rPr>
        <w:t xml:space="preserve">    </w:t>
      </w:r>
      <w:r>
        <w:rPr>
          <w:rFonts w:hint="eastAsia" w:ascii="宋体" w:hAnsi="宋体" w:eastAsia="宋体" w:cs="宋体"/>
          <w:color w:val="auto"/>
          <w:sz w:val="24"/>
          <w:szCs w:val="24"/>
          <w:highlight w:val="none"/>
          <w:u w:val="single"/>
          <w:lang w:eastAsia="zh-CN"/>
        </w:rPr>
        <w:t>（投标人名称）</w:t>
      </w:r>
      <w:r>
        <w:rPr>
          <w:rFonts w:hint="eastAsia" w:ascii="宋体" w:hAnsi="宋体" w:eastAsia="宋体" w:cs="宋体"/>
          <w:color w:val="auto"/>
          <w:sz w:val="24"/>
          <w:szCs w:val="24"/>
          <w:highlight w:val="none"/>
          <w:lang w:eastAsia="zh-CN"/>
        </w:rPr>
        <w:t>的法定代表人，现任</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w w:val="110"/>
          <w:sz w:val="24"/>
          <w:szCs w:val="24"/>
          <w:highlight w:val="none"/>
          <w:lang w:eastAsia="zh-CN"/>
        </w:rPr>
        <w:t>职务，有效证件号码：</w:t>
      </w:r>
      <w:r>
        <w:rPr>
          <w:rFonts w:hint="eastAsia" w:ascii="宋体" w:hAnsi="宋体" w:eastAsia="宋体" w:cs="宋体"/>
          <w:color w:val="auto"/>
          <w:w w:val="110"/>
          <w:sz w:val="24"/>
          <w:szCs w:val="24"/>
          <w:highlight w:val="none"/>
          <w:u w:val="single"/>
          <w:lang w:eastAsia="zh-CN"/>
        </w:rPr>
        <w:t xml:space="preserve">        </w:t>
      </w:r>
      <w:r>
        <w:rPr>
          <w:rFonts w:hint="eastAsia" w:ascii="宋体" w:hAnsi="宋体" w:eastAsia="宋体" w:cs="宋体"/>
          <w:color w:val="auto"/>
          <w:sz w:val="24"/>
          <w:szCs w:val="24"/>
          <w:highlight w:val="none"/>
          <w:lang w:eastAsia="zh-CN"/>
        </w:rPr>
        <w:t>。现授权</w:t>
      </w:r>
      <w:r>
        <w:rPr>
          <w:rFonts w:hint="eastAsia" w:ascii="宋体" w:hAnsi="宋体" w:eastAsia="宋体" w:cs="宋体"/>
          <w:color w:val="auto"/>
          <w:w w:val="110"/>
          <w:sz w:val="24"/>
          <w:szCs w:val="24"/>
          <w:highlight w:val="none"/>
          <w:u w:val="single"/>
          <w:lang w:eastAsia="zh-CN"/>
        </w:rPr>
        <w:t xml:space="preserve">    </w:t>
      </w:r>
      <w:r>
        <w:rPr>
          <w:rFonts w:hint="eastAsia" w:ascii="宋体" w:hAnsi="宋体" w:eastAsia="宋体" w:cs="宋体"/>
          <w:color w:val="auto"/>
          <w:sz w:val="24"/>
          <w:szCs w:val="24"/>
          <w:highlight w:val="none"/>
          <w:u w:val="single"/>
          <w:lang w:eastAsia="zh-CN"/>
        </w:rPr>
        <w:t>（姓名、职务）</w:t>
      </w:r>
      <w:r>
        <w:rPr>
          <w:rFonts w:hint="eastAsia" w:ascii="宋体" w:hAnsi="宋体" w:eastAsia="宋体" w:cs="宋体"/>
          <w:color w:val="auto"/>
          <w:spacing w:val="8"/>
          <w:sz w:val="24"/>
          <w:szCs w:val="24"/>
          <w:highlight w:val="none"/>
          <w:lang w:eastAsia="zh-CN"/>
        </w:rPr>
        <w:t xml:space="preserve"> </w:t>
      </w:r>
      <w:r>
        <w:rPr>
          <w:rFonts w:hint="eastAsia" w:ascii="宋体" w:hAnsi="宋体" w:eastAsia="宋体" w:cs="宋体"/>
          <w:color w:val="auto"/>
          <w:sz w:val="24"/>
          <w:szCs w:val="24"/>
          <w:highlight w:val="none"/>
          <w:lang w:eastAsia="zh-CN"/>
        </w:rPr>
        <w:t>作为我公司的全权代理人，就</w:t>
      </w:r>
      <w:r>
        <w:rPr>
          <w:rFonts w:hint="eastAsia" w:ascii="宋体" w:hAnsi="宋体" w:eastAsia="宋体" w:cs="宋体"/>
          <w:color w:val="auto"/>
          <w:w w:val="110"/>
          <w:sz w:val="24"/>
          <w:szCs w:val="24"/>
          <w:highlight w:val="none"/>
          <w:u w:val="single"/>
          <w:lang w:eastAsia="zh-CN"/>
        </w:rPr>
        <w:t xml:space="preserve">    </w:t>
      </w:r>
      <w:r>
        <w:rPr>
          <w:rFonts w:hint="eastAsia" w:ascii="宋体" w:hAnsi="宋体" w:eastAsia="宋体" w:cs="宋体"/>
          <w:color w:val="auto"/>
          <w:sz w:val="24"/>
          <w:szCs w:val="24"/>
          <w:highlight w:val="none"/>
          <w:u w:val="single"/>
          <w:lang w:eastAsia="zh-CN"/>
        </w:rPr>
        <w:t>（项目名称）</w:t>
      </w:r>
      <w:r>
        <w:rPr>
          <w:rFonts w:hint="eastAsia" w:ascii="宋体" w:hAnsi="宋体" w:eastAsia="宋体" w:cs="宋体"/>
          <w:color w:val="auto"/>
          <w:sz w:val="24"/>
          <w:szCs w:val="24"/>
          <w:highlight w:val="none"/>
          <w:lang w:eastAsia="zh-CN"/>
        </w:rPr>
        <w:t>采购[项目编号为</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的投标和合同执行，以我方的名义处理一切与之有关的事宜。</w:t>
      </w:r>
    </w:p>
    <w:p w14:paraId="43278E0C">
      <w:pPr>
        <w:pStyle w:val="2"/>
        <w:keepNext w:val="0"/>
        <w:keepLines w:val="0"/>
        <w:pageBreakBefore w:val="0"/>
        <w:tabs>
          <w:tab w:val="left" w:pos="2026"/>
          <w:tab w:val="left" w:pos="3101"/>
          <w:tab w:val="left" w:pos="8808"/>
        </w:tabs>
        <w:kinsoku/>
        <w:wordWrap w:val="0"/>
        <w:overflowPunct/>
        <w:topLinePunct w:val="0"/>
        <w:autoSpaceDE/>
        <w:autoSpaceDN/>
        <w:bidi w:val="0"/>
        <w:spacing w:line="360" w:lineRule="auto"/>
        <w:ind w:right="221" w:firstLine="384"/>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本授权书于</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sz w:val="24"/>
          <w:szCs w:val="24"/>
          <w:highlight w:val="none"/>
          <w:lang w:eastAsia="zh-CN"/>
        </w:rPr>
        <w:t>年</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日签字生效，特此声明。</w:t>
      </w:r>
    </w:p>
    <w:p w14:paraId="65BC0DC0">
      <w:pPr>
        <w:pStyle w:val="27"/>
        <w:keepNext w:val="0"/>
        <w:keepLines w:val="0"/>
        <w:pageBreakBefore w:val="0"/>
        <w:kinsoku/>
        <w:wordWrap w:val="0"/>
        <w:overflowPunct/>
        <w:topLinePunct w:val="0"/>
        <w:autoSpaceDE/>
        <w:autoSpaceDN/>
        <w:bidi w:val="0"/>
        <w:spacing w:line="360" w:lineRule="auto"/>
        <w:ind w:firstLine="0" w:firstLineChars="0"/>
        <w:rPr>
          <w:rFonts w:hint="eastAsia" w:ascii="宋体" w:hAnsi="宋体" w:eastAsia="宋体" w:cs="宋体"/>
          <w:color w:val="auto"/>
          <w:highlight w:val="none"/>
        </w:rPr>
      </w:pPr>
    </w:p>
    <w:p w14:paraId="03F58E00">
      <w:pPr>
        <w:keepNext w:val="0"/>
        <w:keepLines w:val="0"/>
        <w:pageBreakBefore w:val="0"/>
        <w:kinsoku/>
        <w:wordWrap w:val="0"/>
        <w:overflowPunct/>
        <w:topLinePunct w:val="0"/>
        <w:autoSpaceDE/>
        <w:autoSpaceDN/>
        <w:bidi w:val="0"/>
        <w:spacing w:line="360" w:lineRule="auto"/>
        <w:jc w:val="righ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投标人名称（盖章）：</w:t>
      </w: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sz w:val="24"/>
          <w:szCs w:val="24"/>
          <w:highlight w:val="none"/>
          <w:u w:val="single"/>
          <w:lang w:eastAsia="zh-CN"/>
        </w:rPr>
        <w:t xml:space="preserve">                </w:t>
      </w:r>
    </w:p>
    <w:p w14:paraId="61C5A243">
      <w:pPr>
        <w:keepNext w:val="0"/>
        <w:keepLines w:val="0"/>
        <w:pageBreakBefore w:val="0"/>
        <w:kinsoku/>
        <w:wordWrap w:val="0"/>
        <w:overflowPunct/>
        <w:topLinePunct w:val="0"/>
        <w:autoSpaceDE/>
        <w:autoSpaceDN/>
        <w:bidi w:val="0"/>
        <w:spacing w:line="360" w:lineRule="auto"/>
        <w:jc w:val="righ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地址：</w:t>
      </w: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sz w:val="24"/>
          <w:szCs w:val="24"/>
          <w:highlight w:val="none"/>
          <w:u w:val="single"/>
          <w:lang w:eastAsia="zh-CN"/>
        </w:rPr>
        <w:t xml:space="preserve">                </w:t>
      </w:r>
    </w:p>
    <w:p w14:paraId="77EA4E96">
      <w:pPr>
        <w:keepNext w:val="0"/>
        <w:keepLines w:val="0"/>
        <w:pageBreakBefore w:val="0"/>
        <w:kinsoku/>
        <w:wordWrap w:val="0"/>
        <w:overflowPunct/>
        <w:topLinePunct w:val="0"/>
        <w:autoSpaceDE/>
        <w:autoSpaceDN/>
        <w:bidi w:val="0"/>
        <w:spacing w:line="360" w:lineRule="auto"/>
        <w:jc w:val="righ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法定代表人（签字或盖章）：</w:t>
      </w: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sz w:val="24"/>
          <w:szCs w:val="24"/>
          <w:highlight w:val="none"/>
          <w:u w:val="single"/>
          <w:lang w:eastAsia="zh-CN"/>
        </w:rPr>
        <w:t xml:space="preserve">               </w:t>
      </w:r>
    </w:p>
    <w:p w14:paraId="4223FCF8">
      <w:pPr>
        <w:keepNext w:val="0"/>
        <w:keepLines w:val="0"/>
        <w:pageBreakBefore w:val="0"/>
        <w:kinsoku/>
        <w:wordWrap w:val="0"/>
        <w:overflowPunct/>
        <w:topLinePunct w:val="0"/>
        <w:autoSpaceDE/>
        <w:autoSpaceDN/>
        <w:bidi w:val="0"/>
        <w:spacing w:line="360" w:lineRule="auto"/>
        <w:jc w:val="righ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职务：</w:t>
      </w: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sz w:val="24"/>
          <w:szCs w:val="24"/>
          <w:highlight w:val="none"/>
          <w:u w:val="single"/>
          <w:lang w:eastAsia="zh-CN"/>
        </w:rPr>
        <w:t xml:space="preserve">                </w:t>
      </w:r>
    </w:p>
    <w:p w14:paraId="3D8ABF65">
      <w:pPr>
        <w:keepNext w:val="0"/>
        <w:keepLines w:val="0"/>
        <w:pageBreakBefore w:val="0"/>
        <w:kinsoku/>
        <w:wordWrap w:val="0"/>
        <w:overflowPunct/>
        <w:topLinePunct w:val="0"/>
        <w:autoSpaceDE/>
        <w:autoSpaceDN/>
        <w:bidi w:val="0"/>
        <w:spacing w:line="360" w:lineRule="auto"/>
        <w:jc w:val="righ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被授权人（签字或盖章）：</w:t>
      </w: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sz w:val="24"/>
          <w:szCs w:val="24"/>
          <w:highlight w:val="none"/>
          <w:u w:val="single"/>
          <w:lang w:eastAsia="zh-CN"/>
        </w:rPr>
        <w:t xml:space="preserve">                 </w:t>
      </w:r>
    </w:p>
    <w:p w14:paraId="3D0E870F">
      <w:pPr>
        <w:keepNext w:val="0"/>
        <w:keepLines w:val="0"/>
        <w:pageBreakBefore w:val="0"/>
        <w:kinsoku/>
        <w:wordWrap w:val="0"/>
        <w:overflowPunct/>
        <w:topLinePunct w:val="0"/>
        <w:autoSpaceDE/>
        <w:autoSpaceDN/>
        <w:bidi w:val="0"/>
        <w:spacing w:line="360" w:lineRule="auto"/>
        <w:jc w:val="righ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职务：</w:t>
      </w: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sz w:val="24"/>
          <w:szCs w:val="24"/>
          <w:highlight w:val="none"/>
          <w:u w:val="single"/>
          <w:lang w:eastAsia="zh-CN"/>
        </w:rPr>
        <w:t xml:space="preserve">                </w:t>
      </w:r>
    </w:p>
    <w:p w14:paraId="041718FA">
      <w:pPr>
        <w:keepNext w:val="0"/>
        <w:keepLines w:val="0"/>
        <w:pageBreakBefore w:val="0"/>
        <w:kinsoku/>
        <w:wordWrap w:val="0"/>
        <w:overflowPunct/>
        <w:topLinePunct w:val="0"/>
        <w:autoSpaceDE/>
        <w:autoSpaceDN/>
        <w:bidi w:val="0"/>
        <w:spacing w:line="360" w:lineRule="auto"/>
        <w:jc w:val="righ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日期：</w:t>
      </w:r>
      <w:r>
        <w:rPr>
          <w:rFonts w:hint="eastAsia" w:ascii="宋体" w:hAnsi="宋体" w:eastAsia="宋体" w:cs="宋体"/>
          <w:color w:val="auto"/>
          <w:sz w:val="24"/>
          <w:szCs w:val="24"/>
          <w:highlight w:val="none"/>
          <w:u w:val="single"/>
          <w:lang w:eastAsia="zh-CN"/>
        </w:rPr>
        <w:tab/>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年</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日</w:t>
      </w:r>
    </w:p>
    <w:p w14:paraId="77A245B0">
      <w:pPr>
        <w:keepNext w:val="0"/>
        <w:keepLines w:val="0"/>
        <w:pageBreakBefore w:val="0"/>
        <w:kinsoku/>
        <w:wordWrap w:val="0"/>
        <w:overflowPunct/>
        <w:topLinePunct w:val="0"/>
        <w:autoSpaceDE/>
        <w:autoSpaceDN/>
        <w:bidi w:val="0"/>
        <w:spacing w:line="360" w:lineRule="auto"/>
        <w:rPr>
          <w:rFonts w:hint="eastAsia" w:ascii="宋体" w:hAnsi="宋体" w:eastAsia="宋体" w:cs="宋体"/>
          <w:b/>
          <w:color w:val="auto"/>
          <w:szCs w:val="21"/>
          <w:highlight w:val="none"/>
        </w:rPr>
      </w:pPr>
    </w:p>
    <w:tbl>
      <w:tblPr>
        <w:tblStyle w:val="34"/>
        <w:tblpPr w:leftFromText="180" w:rightFromText="180" w:vertAnchor="text" w:horzAnchor="margin" w:tblpXSpec="center" w:tblpY="4"/>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14:paraId="357EE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3" w:hRule="exact"/>
        </w:trPr>
        <w:tc>
          <w:tcPr>
            <w:tcW w:w="5000" w:type="pct"/>
            <w:vAlign w:val="center"/>
          </w:tcPr>
          <w:p w14:paraId="33AA0539">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被授权人身份证复印件</w:t>
            </w:r>
          </w:p>
          <w:p w14:paraId="191D5656">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highlight w:val="none"/>
                <w:lang w:eastAsia="zh-CN"/>
              </w:rPr>
            </w:pPr>
            <w:r>
              <w:rPr>
                <w:rFonts w:hint="eastAsia" w:ascii="宋体" w:hAnsi="宋体" w:eastAsia="宋体" w:cs="宋体"/>
                <w:color w:val="auto"/>
                <w:sz w:val="24"/>
                <w:highlight w:val="none"/>
                <w:lang w:eastAsia="zh-CN"/>
              </w:rPr>
              <w:t>（正、反两面）</w:t>
            </w:r>
          </w:p>
        </w:tc>
      </w:tr>
    </w:tbl>
    <w:p w14:paraId="5F22F0DD">
      <w:pPr>
        <w:keepNext w:val="0"/>
        <w:keepLines w:val="0"/>
        <w:pageBreakBefore w:val="0"/>
        <w:kinsoku/>
        <w:wordWrap w:val="0"/>
        <w:overflowPunct/>
        <w:topLinePunct w:val="0"/>
        <w:autoSpaceDE/>
        <w:autoSpaceDN/>
        <w:bidi w:val="0"/>
        <w:spacing w:line="360" w:lineRule="auto"/>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说明：</w:t>
      </w:r>
    </w:p>
    <w:p w14:paraId="24908CBD">
      <w:pPr>
        <w:keepNext w:val="0"/>
        <w:keepLines w:val="0"/>
        <w:pageBreakBefore w:val="0"/>
        <w:kinsoku/>
        <w:wordWrap w:val="0"/>
        <w:overflowPunct/>
        <w:topLinePunct w:val="0"/>
        <w:autoSpaceDE/>
        <w:autoSpaceDN/>
        <w:bidi w:val="0"/>
        <w:spacing w:line="360" w:lineRule="auto"/>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1.投标代表为法定代表人，则本表不需提供。</w:t>
      </w:r>
    </w:p>
    <w:p w14:paraId="30ACB181">
      <w:pPr>
        <w:pStyle w:val="27"/>
        <w:keepNext w:val="0"/>
        <w:keepLines w:val="0"/>
        <w:pageBreakBefore w:val="0"/>
        <w:kinsoku/>
        <w:wordWrap w:val="0"/>
        <w:overflowPunct/>
        <w:topLinePunct w:val="0"/>
        <w:autoSpaceDE/>
        <w:autoSpaceDN/>
        <w:bidi w:val="0"/>
        <w:spacing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2.投标代表为法定代表人授权委托人的，须提供被授权人身份证复印件，否则作无效投标处理。</w:t>
      </w:r>
    </w:p>
    <w:p w14:paraId="77AC1E32">
      <w:pPr>
        <w:keepNext w:val="0"/>
        <w:keepLines w:val="0"/>
        <w:pageBreakBefore w:val="0"/>
        <w:widowControl/>
        <w:kinsoku/>
        <w:wordWrap w:val="0"/>
        <w:overflowPunct/>
        <w:topLinePunct w:val="0"/>
        <w:autoSpaceDE/>
        <w:autoSpaceDN/>
        <w:bidi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br w:type="page"/>
      </w:r>
    </w:p>
    <w:p w14:paraId="29CF2FD5">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pPr>
      <w:bookmarkStart w:id="275" w:name="_Toc6121"/>
      <w:bookmarkStart w:id="276" w:name="_Toc104131914"/>
      <w:r>
        <w:rPr>
          <w:rFonts w:hint="eastAsia" w:ascii="宋体" w:hAnsi="宋体" w:eastAsia="宋体" w:cs="宋体"/>
          <w:b/>
          <w:bCs/>
          <w:color w:val="auto"/>
          <w:highlight w:val="none"/>
        </w:rPr>
        <w:t>提供具有独立承担民事责任的能力的证明材料</w:t>
      </w:r>
      <w:bookmarkEnd w:id="275"/>
      <w:bookmarkEnd w:id="276"/>
    </w:p>
    <w:p w14:paraId="161CA6F7">
      <w:pPr>
        <w:pStyle w:val="27"/>
        <w:keepNext w:val="0"/>
        <w:keepLines w:val="0"/>
        <w:pageBreakBefore w:val="0"/>
        <w:kinsoku/>
        <w:wordWrap w:val="0"/>
        <w:overflowPunct/>
        <w:topLinePunct w:val="0"/>
        <w:autoSpaceDE/>
        <w:autoSpaceDN/>
        <w:bidi w:val="0"/>
        <w:spacing w:line="360" w:lineRule="auto"/>
        <w:ind w:firstLine="0" w:firstLineChars="0"/>
        <w:rPr>
          <w:rFonts w:hint="eastAsia" w:ascii="宋体" w:hAnsi="宋体" w:eastAsia="宋体" w:cs="宋体"/>
          <w:i/>
          <w:iCs/>
          <w:color w:val="auto"/>
          <w:sz w:val="21"/>
          <w:szCs w:val="21"/>
          <w:highlight w:val="none"/>
        </w:rPr>
      </w:pPr>
      <w:r>
        <w:rPr>
          <w:rFonts w:hint="eastAsia" w:ascii="宋体" w:hAnsi="宋体" w:eastAsia="宋体" w:cs="宋体"/>
          <w:i/>
          <w:iCs/>
          <w:color w:val="auto"/>
          <w:sz w:val="21"/>
          <w:szCs w:val="21"/>
          <w:highlight w:val="none"/>
        </w:rPr>
        <w:t>（按照采购文件的资格要求提供相关材料）</w:t>
      </w:r>
    </w:p>
    <w:p w14:paraId="6D81B7B8">
      <w:pPr>
        <w:pStyle w:val="27"/>
        <w:keepNext w:val="0"/>
        <w:keepLines w:val="0"/>
        <w:pageBreakBefore w:val="0"/>
        <w:kinsoku/>
        <w:wordWrap w:val="0"/>
        <w:overflowPunct/>
        <w:topLinePunct w:val="0"/>
        <w:autoSpaceDE/>
        <w:autoSpaceDN/>
        <w:bidi w:val="0"/>
        <w:spacing w:line="360" w:lineRule="auto"/>
        <w:ind w:firstLine="0" w:firstLineChars="0"/>
        <w:rPr>
          <w:rFonts w:hint="eastAsia" w:ascii="宋体" w:hAnsi="宋体" w:eastAsia="宋体" w:cs="宋体"/>
          <w:color w:val="auto"/>
          <w:sz w:val="21"/>
          <w:szCs w:val="21"/>
          <w:highlight w:val="none"/>
        </w:rPr>
      </w:pPr>
    </w:p>
    <w:p w14:paraId="1D947981">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pPr>
      <w:bookmarkStart w:id="277" w:name="_Toc103033241"/>
      <w:bookmarkStart w:id="278" w:name="_Toc104160577"/>
      <w:bookmarkStart w:id="279" w:name="_Toc104040708"/>
      <w:bookmarkStart w:id="280" w:name="_Toc478"/>
      <w:r>
        <w:rPr>
          <w:rFonts w:hint="eastAsia" w:ascii="宋体" w:hAnsi="宋体" w:eastAsia="宋体" w:cs="宋体"/>
          <w:b/>
          <w:bCs/>
          <w:color w:val="auto"/>
          <w:highlight w:val="none"/>
        </w:rPr>
        <w:t>提供有依法缴纳税收的良好记录的证明材料</w:t>
      </w:r>
      <w:bookmarkEnd w:id="277"/>
      <w:bookmarkEnd w:id="278"/>
      <w:bookmarkEnd w:id="279"/>
      <w:bookmarkEnd w:id="280"/>
    </w:p>
    <w:p w14:paraId="2575812A">
      <w:pPr>
        <w:keepNext w:val="0"/>
        <w:keepLines w:val="0"/>
        <w:pageBreakBefore w:val="0"/>
        <w:kinsoku/>
        <w:wordWrap w:val="0"/>
        <w:overflowPunct/>
        <w:topLinePunct w:val="0"/>
        <w:autoSpaceDE/>
        <w:autoSpaceDN/>
        <w:bidi w:val="0"/>
        <w:spacing w:line="360" w:lineRule="auto"/>
        <w:rPr>
          <w:rFonts w:hint="eastAsia" w:ascii="宋体" w:hAnsi="宋体" w:eastAsia="宋体" w:cs="宋体"/>
          <w:i/>
          <w:iCs/>
          <w:color w:val="auto"/>
          <w:szCs w:val="21"/>
          <w:highlight w:val="none"/>
          <w:lang w:eastAsia="zh-CN"/>
        </w:rPr>
      </w:pPr>
      <w:r>
        <w:rPr>
          <w:rFonts w:hint="eastAsia" w:ascii="宋体" w:hAnsi="宋体" w:eastAsia="宋体" w:cs="宋体"/>
          <w:i/>
          <w:iCs/>
          <w:color w:val="auto"/>
          <w:szCs w:val="21"/>
          <w:highlight w:val="none"/>
          <w:lang w:eastAsia="zh-CN"/>
        </w:rPr>
        <w:t>（按照采购文件的资格要求提供相关材料）</w:t>
      </w:r>
    </w:p>
    <w:p w14:paraId="07B4BF38">
      <w:pPr>
        <w:pStyle w:val="33"/>
        <w:keepNext w:val="0"/>
        <w:keepLines w:val="0"/>
        <w:pageBreakBefore w:val="0"/>
        <w:kinsoku/>
        <w:wordWrap w:val="0"/>
        <w:overflowPunct/>
        <w:topLinePunct w:val="0"/>
        <w:autoSpaceDE/>
        <w:autoSpaceDN/>
        <w:bidi w:val="0"/>
        <w:spacing w:after="0" w:line="360" w:lineRule="auto"/>
        <w:rPr>
          <w:rFonts w:hint="eastAsia" w:ascii="宋体" w:hAnsi="宋体" w:eastAsia="宋体" w:cs="宋体"/>
          <w:color w:val="auto"/>
          <w:highlight w:val="none"/>
          <w:lang w:eastAsia="zh-CN"/>
        </w:rPr>
      </w:pPr>
    </w:p>
    <w:p w14:paraId="1BDD9266">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pPr>
      <w:bookmarkStart w:id="281" w:name="_Toc5922"/>
      <w:r>
        <w:rPr>
          <w:rFonts w:hint="eastAsia" w:ascii="宋体" w:hAnsi="宋体" w:eastAsia="宋体" w:cs="宋体"/>
          <w:b/>
          <w:bCs/>
          <w:color w:val="auto"/>
          <w:highlight w:val="none"/>
        </w:rPr>
        <w:t>提供有依法缴纳社会保障资金的良好记录的证明材料</w:t>
      </w:r>
      <w:bookmarkEnd w:id="281"/>
    </w:p>
    <w:p w14:paraId="38385861">
      <w:pPr>
        <w:keepNext w:val="0"/>
        <w:keepLines w:val="0"/>
        <w:pageBreakBefore w:val="0"/>
        <w:kinsoku/>
        <w:wordWrap w:val="0"/>
        <w:overflowPunct/>
        <w:topLinePunct w:val="0"/>
        <w:autoSpaceDE/>
        <w:autoSpaceDN/>
        <w:bidi w:val="0"/>
        <w:spacing w:line="360" w:lineRule="auto"/>
        <w:rPr>
          <w:rFonts w:hint="eastAsia" w:ascii="宋体" w:hAnsi="宋体" w:eastAsia="宋体" w:cs="宋体"/>
          <w:i/>
          <w:iCs/>
          <w:color w:val="auto"/>
          <w:szCs w:val="21"/>
          <w:highlight w:val="none"/>
          <w:lang w:eastAsia="zh-CN"/>
        </w:rPr>
      </w:pPr>
      <w:r>
        <w:rPr>
          <w:rFonts w:hint="eastAsia" w:ascii="宋体" w:hAnsi="宋体" w:eastAsia="宋体" w:cs="宋体"/>
          <w:i/>
          <w:iCs/>
          <w:color w:val="auto"/>
          <w:szCs w:val="21"/>
          <w:highlight w:val="none"/>
          <w:lang w:eastAsia="zh-CN"/>
        </w:rPr>
        <w:t>（按照采购文件的资格要求提供相关材料）</w:t>
      </w:r>
    </w:p>
    <w:p w14:paraId="0391C28C">
      <w:pPr>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sz w:val="28"/>
          <w:highlight w:val="none"/>
          <w:lang w:eastAsia="zh-CN"/>
        </w:rPr>
      </w:pPr>
    </w:p>
    <w:p w14:paraId="285C1C6F">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pPr>
      <w:bookmarkStart w:id="282" w:name="_Toc104160578"/>
      <w:bookmarkStart w:id="283" w:name="_Toc24096"/>
      <w:bookmarkStart w:id="284" w:name="_Toc104040709"/>
      <w:bookmarkStart w:id="285" w:name="_Toc103033239"/>
      <w:r>
        <w:rPr>
          <w:rFonts w:hint="eastAsia" w:ascii="宋体" w:hAnsi="宋体" w:eastAsia="宋体" w:cs="宋体"/>
          <w:b/>
          <w:bCs/>
          <w:color w:val="auto"/>
          <w:highlight w:val="none"/>
        </w:rPr>
        <w:t>提供具有良好的商业信誉和健全的财务会计制度的证明材料</w:t>
      </w:r>
      <w:bookmarkEnd w:id="282"/>
      <w:bookmarkEnd w:id="283"/>
      <w:bookmarkEnd w:id="284"/>
      <w:bookmarkEnd w:id="285"/>
    </w:p>
    <w:p w14:paraId="3F1F1EB2">
      <w:pPr>
        <w:keepNext w:val="0"/>
        <w:keepLines w:val="0"/>
        <w:pageBreakBefore w:val="0"/>
        <w:kinsoku/>
        <w:wordWrap w:val="0"/>
        <w:overflowPunct/>
        <w:topLinePunct w:val="0"/>
        <w:autoSpaceDE/>
        <w:autoSpaceDN/>
        <w:bidi w:val="0"/>
        <w:spacing w:line="360" w:lineRule="auto"/>
        <w:rPr>
          <w:rFonts w:hint="eastAsia" w:ascii="宋体" w:hAnsi="宋体" w:eastAsia="宋体" w:cs="宋体"/>
          <w:i/>
          <w:iCs/>
          <w:color w:val="auto"/>
          <w:szCs w:val="21"/>
          <w:highlight w:val="none"/>
          <w:lang w:eastAsia="zh-CN"/>
        </w:rPr>
      </w:pPr>
      <w:r>
        <w:rPr>
          <w:rFonts w:hint="eastAsia" w:ascii="宋体" w:hAnsi="宋体" w:eastAsia="宋体" w:cs="宋体"/>
          <w:i/>
          <w:iCs/>
          <w:color w:val="auto"/>
          <w:szCs w:val="21"/>
          <w:highlight w:val="none"/>
          <w:lang w:eastAsia="zh-CN"/>
        </w:rPr>
        <w:t>（按照采购文件的资格要求提供相关材料）</w:t>
      </w:r>
    </w:p>
    <w:p w14:paraId="7E74DB75">
      <w:pPr>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sz w:val="28"/>
          <w:highlight w:val="none"/>
          <w:lang w:eastAsia="zh-CN"/>
        </w:rPr>
      </w:pPr>
    </w:p>
    <w:p w14:paraId="38CF058F">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pPr>
      <w:bookmarkStart w:id="286" w:name="_Toc104040710"/>
      <w:bookmarkStart w:id="287" w:name="_Toc104160579"/>
      <w:bookmarkStart w:id="288" w:name="_Toc13369"/>
      <w:bookmarkStart w:id="289" w:name="_Toc103033240"/>
      <w:r>
        <w:rPr>
          <w:rFonts w:hint="eastAsia" w:ascii="宋体" w:hAnsi="宋体" w:eastAsia="宋体" w:cs="宋体"/>
          <w:b/>
          <w:bCs/>
          <w:color w:val="auto"/>
          <w:highlight w:val="none"/>
        </w:rPr>
        <w:t>提供具有履行合同所必需的设备和专业技术能力的证明材料</w:t>
      </w:r>
      <w:bookmarkEnd w:id="286"/>
      <w:bookmarkEnd w:id="287"/>
      <w:bookmarkEnd w:id="288"/>
      <w:bookmarkEnd w:id="289"/>
      <w:bookmarkStart w:id="290" w:name="_Hlk112010614"/>
    </w:p>
    <w:p w14:paraId="1142E2E2">
      <w:pPr>
        <w:keepNext w:val="0"/>
        <w:keepLines w:val="0"/>
        <w:pageBreakBefore w:val="0"/>
        <w:kinsoku/>
        <w:wordWrap w:val="0"/>
        <w:overflowPunct/>
        <w:topLinePunct w:val="0"/>
        <w:autoSpaceDE/>
        <w:autoSpaceDN/>
        <w:bidi w:val="0"/>
        <w:spacing w:line="360" w:lineRule="auto"/>
        <w:rPr>
          <w:rFonts w:hint="eastAsia" w:ascii="宋体" w:hAnsi="宋体" w:eastAsia="宋体" w:cs="宋体"/>
          <w:i/>
          <w:iCs/>
          <w:color w:val="auto"/>
          <w:szCs w:val="21"/>
          <w:highlight w:val="none"/>
          <w:lang w:eastAsia="zh-CN"/>
        </w:rPr>
      </w:pPr>
      <w:r>
        <w:rPr>
          <w:rFonts w:hint="eastAsia" w:ascii="宋体" w:hAnsi="宋体" w:eastAsia="宋体" w:cs="宋体"/>
          <w:i/>
          <w:iCs/>
          <w:color w:val="auto"/>
          <w:szCs w:val="21"/>
          <w:highlight w:val="none"/>
          <w:lang w:eastAsia="zh-CN"/>
        </w:rPr>
        <w:t>（按照采购文件的资格要求提供相关材料）</w:t>
      </w:r>
    </w:p>
    <w:p w14:paraId="1A8EE1CE">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
          <w:bCs/>
          <w:color w:val="auto"/>
          <w:sz w:val="28"/>
          <w:highlight w:val="none"/>
          <w:lang w:eastAsia="zh-CN"/>
        </w:rPr>
      </w:pPr>
      <w:r>
        <w:rPr>
          <w:rFonts w:hint="eastAsia" w:ascii="宋体" w:hAnsi="宋体" w:eastAsia="宋体" w:cs="宋体"/>
          <w:b/>
          <w:bCs/>
          <w:color w:val="auto"/>
          <w:sz w:val="28"/>
          <w:highlight w:val="none"/>
          <w:lang w:eastAsia="zh-CN"/>
        </w:rPr>
        <w:t>设备和专业技术能力情况表</w:t>
      </w:r>
    </w:p>
    <w:p w14:paraId="0CC8A84B">
      <w:pPr>
        <w:keepNext w:val="0"/>
        <w:keepLines w:val="0"/>
        <w:pageBreakBefore w:val="0"/>
        <w:kinsoku/>
        <w:wordWrap w:val="0"/>
        <w:overflowPunct/>
        <w:topLinePunct w:val="0"/>
        <w:autoSpaceDE/>
        <w:autoSpaceDN/>
        <w:bidi w:val="0"/>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szCs w:val="32"/>
          <w:highlight w:val="none"/>
          <w:lang w:eastAsia="zh-CN"/>
        </w:rPr>
        <w:t>我单位为本项目实施提供以下设备和专业技术人员：</w:t>
      </w:r>
    </w:p>
    <w:tbl>
      <w:tblPr>
        <w:tblStyle w:val="34"/>
        <w:tblW w:w="5016"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Layout w:type="autofit"/>
        <w:tblCellMar>
          <w:top w:w="0" w:type="dxa"/>
          <w:left w:w="0" w:type="dxa"/>
          <w:bottom w:w="0" w:type="dxa"/>
          <w:right w:w="0" w:type="dxa"/>
        </w:tblCellMar>
      </w:tblPr>
      <w:tblGrid>
        <w:gridCol w:w="1199"/>
        <w:gridCol w:w="5658"/>
        <w:gridCol w:w="1614"/>
        <w:gridCol w:w="1214"/>
      </w:tblGrid>
      <w:tr w14:paraId="23CA8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381" w:hRule="atLeast"/>
        </w:trPr>
        <w:tc>
          <w:tcPr>
            <w:tcW w:w="619" w:type="pct"/>
            <w:shd w:val="clear" w:color="auto" w:fill="FFFFFF"/>
            <w:vAlign w:val="center"/>
          </w:tcPr>
          <w:p w14:paraId="7BE714A0">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序号</w:t>
            </w:r>
          </w:p>
        </w:tc>
        <w:tc>
          <w:tcPr>
            <w:tcW w:w="2920" w:type="pct"/>
            <w:shd w:val="clear" w:color="auto" w:fill="FFFFFF"/>
            <w:vAlign w:val="center"/>
          </w:tcPr>
          <w:p w14:paraId="7923A93E">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lang w:eastAsia="zh-CN"/>
              </w:rPr>
              <w:t>设备名称和专业技术人员</w:t>
            </w:r>
          </w:p>
        </w:tc>
        <w:tc>
          <w:tcPr>
            <w:tcW w:w="833" w:type="pct"/>
            <w:shd w:val="clear" w:color="auto" w:fill="FFFFFF"/>
            <w:vAlign w:val="center"/>
          </w:tcPr>
          <w:p w14:paraId="7C4B50EE">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数量及单位</w:t>
            </w:r>
          </w:p>
        </w:tc>
        <w:tc>
          <w:tcPr>
            <w:tcW w:w="626" w:type="pct"/>
            <w:shd w:val="clear" w:color="auto" w:fill="FFFFFF"/>
            <w:vAlign w:val="center"/>
          </w:tcPr>
          <w:p w14:paraId="3B79A955">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备注</w:t>
            </w:r>
          </w:p>
        </w:tc>
      </w:tr>
      <w:tr w14:paraId="4CE1E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381" w:hRule="atLeast"/>
        </w:trPr>
        <w:tc>
          <w:tcPr>
            <w:tcW w:w="619" w:type="pct"/>
            <w:shd w:val="clear" w:color="auto" w:fill="FFFFFF"/>
            <w:vAlign w:val="center"/>
          </w:tcPr>
          <w:p w14:paraId="33827B58">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2920" w:type="pct"/>
            <w:shd w:val="clear" w:color="auto" w:fill="FFFFFF"/>
            <w:vAlign w:val="center"/>
          </w:tcPr>
          <w:p w14:paraId="08F2F4AE">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注意：须提供</w:t>
            </w:r>
            <w:r>
              <w:rPr>
                <w:rFonts w:hint="eastAsia" w:ascii="宋体" w:hAnsi="宋体" w:eastAsia="宋体" w:cs="宋体"/>
                <w:b/>
                <w:bCs/>
                <w:color w:val="auto"/>
                <w:highlight w:val="none"/>
                <w:lang w:val="en-US" w:eastAsia="zh-CN"/>
              </w:rPr>
              <w:t>设备</w:t>
            </w:r>
            <w:r>
              <w:rPr>
                <w:rFonts w:hint="eastAsia" w:ascii="宋体" w:hAnsi="宋体" w:eastAsia="宋体" w:cs="宋体"/>
                <w:color w:val="auto"/>
                <w:highlight w:val="none"/>
                <w:lang w:val="en-US" w:eastAsia="zh-CN"/>
              </w:rPr>
              <w:t>及</w:t>
            </w:r>
            <w:r>
              <w:rPr>
                <w:rFonts w:hint="eastAsia" w:ascii="宋体" w:hAnsi="宋体" w:eastAsia="宋体" w:cs="宋体"/>
                <w:b/>
                <w:bCs/>
                <w:color w:val="auto"/>
                <w:highlight w:val="none"/>
                <w:lang w:val="en-US" w:eastAsia="zh-CN"/>
              </w:rPr>
              <w:t>人员</w:t>
            </w:r>
            <w:r>
              <w:rPr>
                <w:rFonts w:hint="eastAsia" w:ascii="宋体" w:hAnsi="宋体" w:eastAsia="宋体" w:cs="宋体"/>
                <w:color w:val="auto"/>
                <w:highlight w:val="none"/>
                <w:lang w:val="en-US" w:eastAsia="zh-CN"/>
              </w:rPr>
              <w:t>两种内容！否则视为无效响应</w:t>
            </w:r>
            <w:r>
              <w:rPr>
                <w:rFonts w:hint="eastAsia" w:ascii="宋体" w:hAnsi="宋体" w:eastAsia="宋体" w:cs="宋体"/>
                <w:color w:val="auto"/>
                <w:highlight w:val="none"/>
                <w:lang w:eastAsia="zh-CN"/>
              </w:rPr>
              <w:t>）</w:t>
            </w:r>
          </w:p>
        </w:tc>
        <w:tc>
          <w:tcPr>
            <w:tcW w:w="833" w:type="pct"/>
            <w:shd w:val="clear" w:color="auto" w:fill="FFFFFF"/>
            <w:vAlign w:val="center"/>
          </w:tcPr>
          <w:p w14:paraId="045AA30D">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highlight w:val="none"/>
              </w:rPr>
            </w:pPr>
          </w:p>
        </w:tc>
        <w:tc>
          <w:tcPr>
            <w:tcW w:w="626" w:type="pct"/>
            <w:shd w:val="clear" w:color="auto" w:fill="FFFFFF"/>
            <w:vAlign w:val="center"/>
          </w:tcPr>
          <w:p w14:paraId="3BBA1DA3">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highlight w:val="none"/>
              </w:rPr>
            </w:pPr>
          </w:p>
        </w:tc>
      </w:tr>
      <w:tr w14:paraId="711D4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381" w:hRule="atLeast"/>
        </w:trPr>
        <w:tc>
          <w:tcPr>
            <w:tcW w:w="619" w:type="pct"/>
            <w:shd w:val="clear" w:color="auto" w:fill="FFFFFF"/>
            <w:vAlign w:val="center"/>
          </w:tcPr>
          <w:p w14:paraId="53B5B5D1">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2</w:t>
            </w:r>
          </w:p>
        </w:tc>
        <w:tc>
          <w:tcPr>
            <w:tcW w:w="2920" w:type="pct"/>
            <w:shd w:val="clear" w:color="auto" w:fill="FFFFFF"/>
            <w:vAlign w:val="center"/>
          </w:tcPr>
          <w:p w14:paraId="783961D1">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highlight w:val="none"/>
              </w:rPr>
            </w:pPr>
          </w:p>
        </w:tc>
        <w:tc>
          <w:tcPr>
            <w:tcW w:w="833" w:type="pct"/>
            <w:shd w:val="clear" w:color="auto" w:fill="FFFFFF"/>
            <w:vAlign w:val="center"/>
          </w:tcPr>
          <w:p w14:paraId="1A393150">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highlight w:val="none"/>
              </w:rPr>
            </w:pPr>
          </w:p>
        </w:tc>
        <w:tc>
          <w:tcPr>
            <w:tcW w:w="626" w:type="pct"/>
            <w:shd w:val="clear" w:color="auto" w:fill="FFFFFF"/>
            <w:vAlign w:val="center"/>
          </w:tcPr>
          <w:p w14:paraId="08A321C4">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highlight w:val="none"/>
              </w:rPr>
            </w:pPr>
          </w:p>
        </w:tc>
      </w:tr>
      <w:tr w14:paraId="1AAC7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381" w:hRule="atLeast"/>
        </w:trPr>
        <w:tc>
          <w:tcPr>
            <w:tcW w:w="619" w:type="pct"/>
            <w:shd w:val="clear" w:color="auto" w:fill="FFFFFF"/>
            <w:vAlign w:val="center"/>
          </w:tcPr>
          <w:p w14:paraId="562D17DB">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2920" w:type="pct"/>
            <w:shd w:val="clear" w:color="auto" w:fill="FFFFFF"/>
            <w:vAlign w:val="center"/>
          </w:tcPr>
          <w:p w14:paraId="74EDC9E5">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highlight w:val="none"/>
              </w:rPr>
            </w:pPr>
          </w:p>
        </w:tc>
        <w:tc>
          <w:tcPr>
            <w:tcW w:w="833" w:type="pct"/>
            <w:shd w:val="clear" w:color="auto" w:fill="FFFFFF"/>
            <w:vAlign w:val="center"/>
          </w:tcPr>
          <w:p w14:paraId="024580EE">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highlight w:val="none"/>
              </w:rPr>
            </w:pPr>
          </w:p>
        </w:tc>
        <w:tc>
          <w:tcPr>
            <w:tcW w:w="626" w:type="pct"/>
            <w:shd w:val="clear" w:color="auto" w:fill="FFFFFF"/>
            <w:vAlign w:val="center"/>
          </w:tcPr>
          <w:p w14:paraId="7E7772D3">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highlight w:val="none"/>
              </w:rPr>
            </w:pPr>
          </w:p>
        </w:tc>
      </w:tr>
    </w:tbl>
    <w:p w14:paraId="6E782131">
      <w:pPr>
        <w:pStyle w:val="27"/>
        <w:keepNext w:val="0"/>
        <w:keepLines w:val="0"/>
        <w:pageBreakBefore w:val="0"/>
        <w:kinsoku/>
        <w:wordWrap w:val="0"/>
        <w:overflowPunct/>
        <w:topLinePunct w:val="0"/>
        <w:autoSpaceDE/>
        <w:autoSpaceDN/>
        <w:bidi w:val="0"/>
        <w:spacing w:line="360" w:lineRule="auto"/>
        <w:ind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投标人法定代表人或其授权代表（签字或盖章）：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480EA452">
      <w:pPr>
        <w:pStyle w:val="27"/>
        <w:keepNext w:val="0"/>
        <w:keepLines w:val="0"/>
        <w:pageBreakBefore w:val="0"/>
        <w:kinsoku/>
        <w:wordWrap w:val="0"/>
        <w:overflowPunct/>
        <w:topLinePunct w:val="0"/>
        <w:autoSpaceDE/>
        <w:autoSpaceDN/>
        <w:bidi w:val="0"/>
        <w:spacing w:line="360" w:lineRule="auto"/>
        <w:ind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供应商名称（盖章）：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791FC7E2">
      <w:pPr>
        <w:pStyle w:val="27"/>
        <w:keepNext w:val="0"/>
        <w:keepLines w:val="0"/>
        <w:pageBreakBefore w:val="0"/>
        <w:kinsoku/>
        <w:wordWrap w:val="0"/>
        <w:overflowPunct/>
        <w:topLinePunct w:val="0"/>
        <w:autoSpaceDE/>
        <w:autoSpaceDN/>
        <w:bidi w:val="0"/>
        <w:spacing w:line="360" w:lineRule="auto"/>
        <w:ind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14:paraId="6B0347CA">
      <w:pPr>
        <w:pStyle w:val="27"/>
        <w:keepNext w:val="0"/>
        <w:keepLines w:val="0"/>
        <w:pageBreakBefore w:val="0"/>
        <w:kinsoku/>
        <w:wordWrap w:val="0"/>
        <w:overflowPunct/>
        <w:topLinePunct w:val="0"/>
        <w:autoSpaceDE/>
        <w:autoSpaceDN/>
        <w:bidi w:val="0"/>
        <w:spacing w:line="360" w:lineRule="auto"/>
        <w:ind w:firstLine="0" w:firstLineChars="0"/>
        <w:jc w:val="right"/>
        <w:rPr>
          <w:rFonts w:hint="eastAsia" w:ascii="宋体" w:hAnsi="宋体" w:eastAsia="宋体" w:cs="宋体"/>
          <w:color w:val="auto"/>
          <w:highlight w:val="none"/>
        </w:rPr>
      </w:pPr>
    </w:p>
    <w:bookmarkEnd w:id="290"/>
    <w:p w14:paraId="4735C536">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sectPr>
          <w:footerReference r:id="rId9" w:type="default"/>
          <w:pgSz w:w="11906" w:h="16838"/>
          <w:pgMar w:top="1134" w:right="1134" w:bottom="1134" w:left="1134" w:header="426" w:footer="751" w:gutter="0"/>
          <w:pgNumType w:fmt="decimal"/>
          <w:cols w:space="0" w:num="1"/>
          <w:rtlGutter w:val="0"/>
          <w:docGrid w:type="lines" w:linePitch="312" w:charSpace="0"/>
        </w:sectPr>
      </w:pPr>
      <w:bookmarkStart w:id="291" w:name="_Toc104131916"/>
    </w:p>
    <w:p w14:paraId="46C38C38">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pPr>
      <w:bookmarkStart w:id="292" w:name="_Toc29062"/>
      <w:r>
        <w:rPr>
          <w:rFonts w:hint="eastAsia" w:ascii="宋体" w:hAnsi="宋体" w:eastAsia="宋体" w:cs="宋体"/>
          <w:b/>
          <w:bCs/>
          <w:color w:val="auto"/>
          <w:highlight w:val="none"/>
        </w:rPr>
        <w:t>中小企业声明函</w:t>
      </w:r>
      <w:bookmarkEnd w:id="291"/>
      <w:bookmarkEnd w:id="292"/>
    </w:p>
    <w:p w14:paraId="5E6BC241">
      <w:pPr>
        <w:pStyle w:val="27"/>
        <w:keepNext w:val="0"/>
        <w:keepLines w:val="0"/>
        <w:pageBreakBefore w:val="0"/>
        <w:kinsoku/>
        <w:wordWrap w:val="0"/>
        <w:overflowPunct/>
        <w:topLinePunct w:val="0"/>
        <w:autoSpaceDE/>
        <w:autoSpaceDN/>
        <w:bidi w:val="0"/>
        <w:spacing w:line="360" w:lineRule="auto"/>
        <w:ind w:firstLine="0" w:firstLineChars="0"/>
        <w:rPr>
          <w:rFonts w:hint="eastAsia" w:ascii="宋体" w:hAnsi="宋体" w:eastAsia="宋体" w:cs="宋体"/>
          <w:i/>
          <w:iCs/>
          <w:color w:val="auto"/>
          <w:sz w:val="21"/>
          <w:szCs w:val="21"/>
          <w:highlight w:val="none"/>
        </w:rPr>
      </w:pPr>
      <w:r>
        <w:rPr>
          <w:rFonts w:hint="eastAsia" w:ascii="宋体" w:hAnsi="宋体" w:eastAsia="宋体" w:cs="宋体"/>
          <w:i/>
          <w:iCs/>
          <w:color w:val="auto"/>
          <w:sz w:val="21"/>
          <w:szCs w:val="21"/>
          <w:highlight w:val="none"/>
        </w:rPr>
        <w:t>（以下格式文件由供应商根据需要选用，不涉及可不用提供）</w:t>
      </w:r>
    </w:p>
    <w:p w14:paraId="24380BD0">
      <w:pPr>
        <w:pStyle w:val="27"/>
        <w:keepNext w:val="0"/>
        <w:keepLines w:val="0"/>
        <w:pageBreakBefore w:val="0"/>
        <w:kinsoku/>
        <w:wordWrap w:val="0"/>
        <w:overflowPunct/>
        <w:topLinePunct w:val="0"/>
        <w:autoSpaceDE/>
        <w:autoSpaceDN/>
        <w:bidi w:val="0"/>
        <w:spacing w:line="360" w:lineRule="auto"/>
        <w:ind w:firstLine="0" w:firstLineChars="0"/>
        <w:jc w:val="center"/>
        <w:rPr>
          <w:rFonts w:hint="eastAsia" w:ascii="宋体" w:hAnsi="宋体" w:eastAsia="宋体" w:cs="宋体"/>
          <w:b/>
          <w:bCs/>
          <w:color w:val="auto"/>
          <w:sz w:val="28"/>
          <w:szCs w:val="28"/>
          <w:highlight w:val="none"/>
        </w:rPr>
      </w:pPr>
      <w:bookmarkStart w:id="293" w:name="_Hlk104038041"/>
      <w:r>
        <w:rPr>
          <w:rFonts w:hint="eastAsia" w:ascii="宋体" w:hAnsi="宋体" w:eastAsia="宋体" w:cs="宋体"/>
          <w:b/>
          <w:bCs/>
          <w:color w:val="auto"/>
          <w:sz w:val="28"/>
          <w:szCs w:val="28"/>
          <w:highlight w:val="none"/>
        </w:rPr>
        <w:t>中小企业声明函（工程、服务）</w:t>
      </w:r>
    </w:p>
    <w:p w14:paraId="0C6D93EE">
      <w:pPr>
        <w:keepNext w:val="0"/>
        <w:keepLines w:val="0"/>
        <w:pageBreakBefore w:val="0"/>
        <w:kinsoku/>
        <w:wordWrap w:val="0"/>
        <w:overflowPunct/>
        <w:topLinePunct w:val="0"/>
        <w:autoSpaceDE/>
        <w:autoSpaceDN/>
        <w:bidi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本公司（联合体）郑重声明，根据《政府采购促进中小企业发展管理办法》（财库﹝2020﹞46号）的规定，本公司（联合体）参加[</w:t>
      </w:r>
      <w:r>
        <w:rPr>
          <w:rFonts w:hint="eastAsia" w:ascii="宋体" w:hAnsi="宋体" w:eastAsia="宋体" w:cs="宋体"/>
          <w:color w:val="auto"/>
          <w:szCs w:val="21"/>
          <w:highlight w:val="none"/>
          <w:u w:val="single"/>
          <w:lang w:eastAsia="zh-CN"/>
        </w:rPr>
        <w:t xml:space="preserve">      （单位名称）</w:t>
      </w:r>
      <w:r>
        <w:rPr>
          <w:rFonts w:hint="eastAsia" w:ascii="宋体" w:hAnsi="宋体" w:eastAsia="宋体" w:cs="宋体"/>
          <w:color w:val="auto"/>
          <w:szCs w:val="21"/>
          <w:highlight w:val="none"/>
          <w:lang w:eastAsia="zh-CN"/>
        </w:rPr>
        <w:t>]的[</w:t>
      </w:r>
      <w:r>
        <w:rPr>
          <w:rFonts w:hint="eastAsia" w:ascii="宋体" w:hAnsi="宋体" w:eastAsia="宋体" w:cs="宋体"/>
          <w:color w:val="auto"/>
          <w:szCs w:val="21"/>
          <w:highlight w:val="none"/>
          <w:u w:val="single"/>
          <w:lang w:eastAsia="zh-CN"/>
        </w:rPr>
        <w:t xml:space="preserve">      （项目名称）</w:t>
      </w:r>
      <w:r>
        <w:rPr>
          <w:rFonts w:hint="eastAsia" w:ascii="宋体" w:hAnsi="宋体" w:eastAsia="宋体" w:cs="宋体"/>
          <w:color w:val="auto"/>
          <w:szCs w:val="21"/>
          <w:highlight w:val="none"/>
          <w:lang w:eastAsia="zh-CN"/>
        </w:rPr>
        <w:t>]采购活动，工程的施工单位全部为符合政策要求的中小企业（或者：服务全部由符合政策要求的中小企业承接）。相关企业（含联合体中的中小企业、签订分包意向协议的中小企业）的具体情况如下</w:t>
      </w:r>
    </w:p>
    <w:p w14:paraId="28DF2AD0">
      <w:pPr>
        <w:pStyle w:val="2"/>
        <w:keepNext w:val="0"/>
        <w:keepLines w:val="0"/>
        <w:pageBreakBefore w:val="0"/>
        <w:kinsoku/>
        <w:wordWrap w:val="0"/>
        <w:overflowPunct/>
        <w:topLinePunct w:val="0"/>
        <w:autoSpaceDE/>
        <w:autoSpaceDN/>
        <w:bidi w:val="0"/>
        <w:spacing w:line="360" w:lineRule="auto"/>
        <w:ind w:firstLine="408" w:firstLineChars="200"/>
        <w:rPr>
          <w:rFonts w:hint="eastAsia" w:ascii="宋体" w:hAnsi="宋体" w:eastAsia="宋体" w:cs="宋体"/>
          <w:color w:val="auto"/>
          <w:szCs w:val="21"/>
          <w:highlight w:val="none"/>
          <w:lang w:eastAsia="zh-CN"/>
        </w:rPr>
      </w:pPr>
      <w:r>
        <w:rPr>
          <w:rFonts w:hint="eastAsia" w:ascii="宋体" w:hAnsi="宋体" w:eastAsia="宋体" w:cs="宋体"/>
          <w:color w:val="auto"/>
          <w:spacing w:val="-3"/>
          <w:szCs w:val="21"/>
          <w:highlight w:val="none"/>
          <w:lang w:eastAsia="zh-CN"/>
        </w:rPr>
        <w:t>1</w:t>
      </w:r>
      <w:r>
        <w:rPr>
          <w:rFonts w:hint="eastAsia" w:ascii="宋体" w:hAnsi="宋体" w:eastAsia="宋体" w:cs="宋体"/>
          <w:color w:val="auto"/>
          <w:spacing w:val="-2"/>
          <w:szCs w:val="21"/>
          <w:highlight w:val="none"/>
          <w:lang w:eastAsia="zh-CN"/>
        </w:rPr>
        <w:t>.[</w:t>
      </w:r>
      <w:r>
        <w:rPr>
          <w:rFonts w:hint="eastAsia" w:ascii="宋体" w:hAnsi="宋体" w:eastAsia="宋体" w:cs="宋体"/>
          <w:color w:val="auto"/>
          <w:szCs w:val="21"/>
          <w:highlight w:val="none"/>
          <w:u w:val="single"/>
          <w:lang w:eastAsia="zh-CN"/>
        </w:rPr>
        <w:t xml:space="preserve"> </w:t>
      </w:r>
      <w:r>
        <w:rPr>
          <w:rFonts w:hint="eastAsia" w:cs="宋体"/>
          <w:color w:val="auto"/>
          <w:szCs w:val="21"/>
          <w:highlight w:val="none"/>
          <w:u w:val="single"/>
          <w:lang w:eastAsia="zh-CN"/>
        </w:rPr>
        <w:t>中华人民共和国万山出入境边防检查站2026年船艇中修项目</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lang w:eastAsia="zh-CN"/>
        </w:rPr>
        <w:t>]，属于[</w:t>
      </w:r>
      <w:r>
        <w:rPr>
          <w:rFonts w:hint="eastAsia" w:ascii="宋体" w:hAnsi="宋体" w:eastAsia="宋体" w:cs="宋体"/>
          <w:color w:val="auto"/>
          <w:szCs w:val="21"/>
          <w:highlight w:val="none"/>
          <w:u w:val="single"/>
          <w:lang w:eastAsia="zh-CN"/>
        </w:rPr>
        <w:t xml:space="preserve"> 工业</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lang w:eastAsia="zh-CN"/>
        </w:rPr>
        <w:t>]行业；承建（承接）企业为[</w:t>
      </w:r>
      <w:r>
        <w:rPr>
          <w:rFonts w:hint="eastAsia" w:ascii="宋体" w:hAnsi="宋体" w:eastAsia="宋体" w:cs="宋体"/>
          <w:color w:val="auto"/>
          <w:szCs w:val="21"/>
          <w:highlight w:val="none"/>
          <w:u w:val="single"/>
          <w:lang w:eastAsia="zh-CN"/>
        </w:rPr>
        <w:t xml:space="preserve">      （企业名称）</w:t>
      </w:r>
      <w:r>
        <w:rPr>
          <w:rFonts w:hint="eastAsia" w:ascii="宋体" w:hAnsi="宋体" w:eastAsia="宋体" w:cs="宋体"/>
          <w:color w:val="auto"/>
          <w:szCs w:val="21"/>
          <w:highlight w:val="none"/>
          <w:lang w:eastAsia="zh-CN"/>
        </w:rPr>
        <w:t>]，从业人员[</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]人，营业收入为[</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]万元，资产总额为[</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]万元</w:t>
      </w:r>
      <w:r>
        <w:rPr>
          <w:rFonts w:hint="eastAsia" w:ascii="宋体" w:hAnsi="宋体" w:eastAsia="宋体" w:cs="宋体"/>
          <w:color w:val="auto"/>
          <w:spacing w:val="-3"/>
          <w:position w:val="4"/>
          <w:szCs w:val="21"/>
          <w:highlight w:val="none"/>
          <w:vertAlign w:val="superscript"/>
          <w:lang w:eastAsia="zh-CN"/>
        </w:rPr>
        <w:t>1</w:t>
      </w:r>
      <w:r>
        <w:rPr>
          <w:rFonts w:hint="eastAsia" w:ascii="宋体" w:hAnsi="宋体" w:eastAsia="宋体" w:cs="宋体"/>
          <w:color w:val="auto"/>
          <w:szCs w:val="21"/>
          <w:highlight w:val="none"/>
          <w:lang w:eastAsia="zh-CN"/>
        </w:rPr>
        <w:t>，属于[</w:t>
      </w:r>
      <w:r>
        <w:rPr>
          <w:rFonts w:hint="eastAsia" w:ascii="宋体" w:hAnsi="宋体" w:eastAsia="宋体" w:cs="宋体"/>
          <w:color w:val="auto"/>
          <w:szCs w:val="21"/>
          <w:highlight w:val="none"/>
          <w:u w:val="single"/>
          <w:lang w:eastAsia="zh-CN"/>
        </w:rPr>
        <w:t xml:space="preserve">      （中型企业、</w:t>
      </w:r>
      <w:r>
        <w:rPr>
          <w:rFonts w:hint="eastAsia" w:ascii="宋体" w:hAnsi="宋体" w:eastAsia="宋体" w:cs="宋体"/>
          <w:color w:val="auto"/>
          <w:spacing w:val="-17"/>
          <w:szCs w:val="21"/>
          <w:highlight w:val="none"/>
          <w:u w:val="single"/>
          <w:lang w:eastAsia="zh-CN"/>
        </w:rPr>
        <w:t>小型企业</w:t>
      </w:r>
      <w:r>
        <w:rPr>
          <w:rFonts w:hint="eastAsia" w:ascii="宋体" w:hAnsi="宋体" w:eastAsia="宋体" w:cs="宋体"/>
          <w:color w:val="auto"/>
          <w:szCs w:val="21"/>
          <w:highlight w:val="none"/>
          <w:u w:val="single"/>
          <w:lang w:eastAsia="zh-CN"/>
        </w:rPr>
        <w:t>、微型企业）</w:t>
      </w:r>
      <w:r>
        <w:rPr>
          <w:rFonts w:hint="eastAsia" w:ascii="宋体" w:hAnsi="宋体" w:eastAsia="宋体" w:cs="宋体"/>
          <w:color w:val="auto"/>
          <w:szCs w:val="21"/>
          <w:highlight w:val="none"/>
          <w:lang w:eastAsia="zh-CN"/>
        </w:rPr>
        <w:t>]；</w:t>
      </w:r>
    </w:p>
    <w:p w14:paraId="248F4ABE">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以上企业，不属于大企业的分支机构，不存在控股股东为大企业的情形，也不存在与大企业的负责人为同一人的情形。</w:t>
      </w:r>
    </w:p>
    <w:p w14:paraId="1891D2A4">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本企业对上述声明内容的真实性负责。如有虚假，将依法承担相应责任。</w:t>
      </w:r>
    </w:p>
    <w:p w14:paraId="39EC7887">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p>
    <w:p w14:paraId="739E8689">
      <w:pPr>
        <w:pStyle w:val="27"/>
        <w:keepNext w:val="0"/>
        <w:keepLines w:val="0"/>
        <w:pageBreakBefore w:val="0"/>
        <w:kinsoku/>
        <w:wordWrap w:val="0"/>
        <w:overflowPunct/>
        <w:topLinePunct w:val="0"/>
        <w:autoSpaceDE/>
        <w:autoSpaceDN/>
        <w:bidi w:val="0"/>
        <w:spacing w:line="360" w:lineRule="auto"/>
        <w:ind w:left="5141" w:leftChars="2448" w:firstLine="420"/>
        <w:jc w:val="righ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企业名称（盖章）：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6B9B95A4">
      <w:pPr>
        <w:pStyle w:val="27"/>
        <w:keepNext w:val="0"/>
        <w:keepLines w:val="0"/>
        <w:pageBreakBefore w:val="0"/>
        <w:kinsoku/>
        <w:wordWrap w:val="0"/>
        <w:overflowPunct/>
        <w:topLinePunct w:val="0"/>
        <w:autoSpaceDE/>
        <w:autoSpaceDN/>
        <w:bidi w:val="0"/>
        <w:spacing w:line="360" w:lineRule="auto"/>
        <w:ind w:left="5141" w:leftChars="2448" w:firstLine="420"/>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23BF79B6">
      <w:pPr>
        <w:pStyle w:val="27"/>
        <w:keepNext w:val="0"/>
        <w:keepLines w:val="0"/>
        <w:pageBreakBefore w:val="0"/>
        <w:kinsoku/>
        <w:wordWrap w:val="0"/>
        <w:overflowPunct/>
        <w:topLinePunct w:val="0"/>
        <w:autoSpaceDE/>
        <w:autoSpaceDN/>
        <w:bidi w:val="0"/>
        <w:spacing w:line="360" w:lineRule="auto"/>
        <w:ind w:firstLine="42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说明：</w:t>
      </w:r>
    </w:p>
    <w:p w14:paraId="1631CADA">
      <w:pPr>
        <w:keepNext w:val="0"/>
        <w:keepLines w:val="0"/>
        <w:pageBreakBefore w:val="0"/>
        <w:widowControl/>
        <w:kinsoku/>
        <w:wordWrap w:val="0"/>
        <w:overflowPunct/>
        <w:topLinePunct w:val="0"/>
        <w:autoSpaceDE/>
        <w:autoSpaceDN/>
        <w:bidi w:val="0"/>
        <w:spacing w:line="360" w:lineRule="auto"/>
        <w:ind w:firstLine="420" w:firstLineChars="200"/>
        <w:rPr>
          <w:rFonts w:hint="eastAsia" w:ascii="宋体" w:hAnsi="宋体" w:eastAsia="宋体" w:cs="宋体"/>
          <w:color w:val="auto"/>
          <w:szCs w:val="21"/>
          <w:highlight w:val="none"/>
          <w:lang w:eastAsia="zh-CN"/>
        </w:rPr>
      </w:pPr>
      <w:bookmarkStart w:id="294" w:name="_Hlk103521840"/>
      <w:r>
        <w:rPr>
          <w:rFonts w:hint="eastAsia" w:ascii="宋体" w:hAnsi="宋体" w:eastAsia="宋体" w:cs="宋体"/>
          <w:color w:val="auto"/>
          <w:szCs w:val="21"/>
          <w:highlight w:val="none"/>
          <w:lang w:eastAsia="zh-CN"/>
        </w:rPr>
        <w:t>1.</w:t>
      </w:r>
      <w:r>
        <w:rPr>
          <w:rFonts w:hint="eastAsia" w:ascii="宋体" w:hAnsi="宋体" w:eastAsia="宋体" w:cs="宋体"/>
          <w:color w:val="auto"/>
          <w:szCs w:val="21"/>
          <w:highlight w:val="none"/>
          <w:vertAlign w:val="superscript"/>
          <w:lang w:eastAsia="zh-CN"/>
        </w:rPr>
        <w:t>1</w:t>
      </w:r>
      <w:r>
        <w:rPr>
          <w:rFonts w:hint="eastAsia" w:ascii="宋体" w:hAnsi="宋体" w:eastAsia="宋体" w:cs="宋体"/>
          <w:color w:val="auto"/>
          <w:szCs w:val="21"/>
          <w:highlight w:val="none"/>
          <w:lang w:eastAsia="zh-CN"/>
        </w:rPr>
        <w:t>从业人员、营业收入、资产总额填报上一年度数据，无上一年度数据的新成立企业可不填报。</w:t>
      </w:r>
    </w:p>
    <w:p w14:paraId="43D58F53">
      <w:pPr>
        <w:keepNext w:val="0"/>
        <w:keepLines w:val="0"/>
        <w:pageBreakBefore w:val="0"/>
        <w:widowControl/>
        <w:kinsoku/>
        <w:wordWrap w:val="0"/>
        <w:overflowPunct/>
        <w:topLinePunct w:val="0"/>
        <w:autoSpaceDE/>
        <w:autoSpaceDN/>
        <w:bidi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2.针对属于专门面向中小企业采购的项目，投标人须提供本声明函。</w:t>
      </w:r>
    </w:p>
    <w:p w14:paraId="75A167B8">
      <w:pPr>
        <w:keepNext w:val="0"/>
        <w:keepLines w:val="0"/>
        <w:pageBreakBefore w:val="0"/>
        <w:widowControl/>
        <w:kinsoku/>
        <w:wordWrap w:val="0"/>
        <w:overflowPunct/>
        <w:topLinePunct w:val="0"/>
        <w:autoSpaceDE/>
        <w:autoSpaceDN/>
        <w:bidi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针对不属于专门面向中小企业采购的项目，承建本项目工程为中小企业或者承接本项目服务为中小企业时，可选择提供本声明函，填写相应信息，并明确企业类型，否则评审时不能享受相应的价格扣除；如投标人认为其非中小企业的，则无须提供本声明函。</w:t>
      </w:r>
    </w:p>
    <w:p w14:paraId="275A4CBE">
      <w:pPr>
        <w:keepNext w:val="0"/>
        <w:keepLines w:val="0"/>
        <w:pageBreakBefore w:val="0"/>
        <w:widowControl/>
        <w:kinsoku/>
        <w:wordWrap w:val="0"/>
        <w:overflowPunct/>
        <w:topLinePunct w:val="0"/>
        <w:autoSpaceDE/>
        <w:autoSpaceDN/>
        <w:bidi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供应商应当对其出具的《中小企业声明函》真实性负责，投标人出具的《中小企业声明函》内容不实的，属于虚假承诺，可能面临因提供虚假资料谋取中标（成交）被监管部门追究相关法律责任。请供应商务必依据规定谨慎提供声明，避免不必要的法律风险。</w:t>
      </w:r>
    </w:p>
    <w:bookmarkEnd w:id="294"/>
    <w:p w14:paraId="155CB9D6">
      <w:pPr>
        <w:keepNext w:val="0"/>
        <w:keepLines w:val="0"/>
        <w:pageBreakBefore w:val="0"/>
        <w:widowControl/>
        <w:kinsoku/>
        <w:wordWrap w:val="0"/>
        <w:overflowPunct/>
        <w:topLinePunct w:val="0"/>
        <w:autoSpaceDE/>
        <w:autoSpaceDN/>
        <w:bidi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5.所属行业填写采购文件中明确的本项目所属行业。</w:t>
      </w:r>
    </w:p>
    <w:p w14:paraId="5E0DD160">
      <w:pPr>
        <w:keepNext w:val="0"/>
        <w:keepLines w:val="0"/>
        <w:pageBreakBefore w:val="0"/>
        <w:widowControl/>
        <w:kinsoku/>
        <w:wordWrap w:val="0"/>
        <w:overflowPunct/>
        <w:topLinePunct w:val="0"/>
        <w:autoSpaceDE/>
        <w:autoSpaceDN/>
        <w:bidi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6.供应商根据采购文件中明确的行业所对应的划分标准，判断其是否属于中小企业，如属于中小企业，请根据自身情况</w:t>
      </w:r>
      <w:r>
        <w:rPr>
          <w:rFonts w:hint="eastAsia" w:ascii="宋体" w:hAnsi="宋体" w:eastAsia="宋体" w:cs="宋体"/>
          <w:b/>
          <w:bCs/>
          <w:color w:val="auto"/>
          <w:szCs w:val="21"/>
          <w:highlight w:val="none"/>
          <w:lang w:eastAsia="zh-CN"/>
        </w:rPr>
        <w:t>三选一（中型企业、小型企业、微型企业）填写</w:t>
      </w:r>
      <w:r>
        <w:rPr>
          <w:rFonts w:hint="eastAsia" w:ascii="宋体" w:hAnsi="宋体" w:eastAsia="宋体" w:cs="宋体"/>
          <w:color w:val="auto"/>
          <w:szCs w:val="21"/>
          <w:highlight w:val="none"/>
          <w:lang w:eastAsia="zh-CN"/>
        </w:rPr>
        <w:t xml:space="preserve">。 </w:t>
      </w:r>
    </w:p>
    <w:p w14:paraId="5BCE6663">
      <w:pPr>
        <w:keepNext w:val="0"/>
        <w:keepLines w:val="0"/>
        <w:pageBreakBefore w:val="0"/>
        <w:widowControl/>
        <w:kinsoku/>
        <w:wordWrap w:val="0"/>
        <w:overflowPunct/>
        <w:topLinePunct w:val="0"/>
        <w:autoSpaceDE/>
        <w:autoSpaceDN/>
        <w:bidi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7.为方便广大中小企业识别企业规模类型，可通过</w:t>
      </w:r>
      <w:r>
        <w:rPr>
          <w:rFonts w:hint="eastAsia" w:ascii="宋体" w:hAnsi="宋体" w:eastAsia="宋体" w:cs="宋体"/>
          <w:b/>
          <w:bCs/>
          <w:color w:val="auto"/>
          <w:szCs w:val="21"/>
          <w:highlight w:val="none"/>
          <w:lang w:eastAsia="zh-CN"/>
        </w:rPr>
        <w:t>中小企业规模类型自测小程序（https://baosong.miit.gov.cn/ScaleTest）进行查询</w:t>
      </w:r>
      <w:r>
        <w:rPr>
          <w:rFonts w:hint="eastAsia" w:ascii="宋体" w:hAnsi="宋体" w:eastAsia="宋体" w:cs="宋体"/>
          <w:color w:val="auto"/>
          <w:szCs w:val="21"/>
          <w:highlight w:val="none"/>
          <w:lang w:eastAsia="zh-CN"/>
        </w:rPr>
        <w:t>。</w:t>
      </w:r>
      <w:bookmarkEnd w:id="293"/>
      <w:r>
        <w:rPr>
          <w:rFonts w:hint="eastAsia" w:ascii="宋体" w:hAnsi="宋体" w:eastAsia="宋体" w:cs="宋体"/>
          <w:color w:val="auto"/>
          <w:szCs w:val="21"/>
          <w:highlight w:val="none"/>
          <w:lang w:eastAsia="zh-CN"/>
        </w:rPr>
        <w:br w:type="page"/>
      </w:r>
    </w:p>
    <w:p w14:paraId="0A82211E">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pPr>
      <w:bookmarkStart w:id="295" w:name="_Toc5749"/>
      <w:bookmarkStart w:id="296" w:name="_Toc104131917"/>
      <w:r>
        <w:rPr>
          <w:rFonts w:hint="eastAsia" w:ascii="宋体" w:hAnsi="宋体" w:eastAsia="宋体" w:cs="宋体"/>
          <w:b/>
          <w:bCs/>
          <w:color w:val="auto"/>
          <w:highlight w:val="none"/>
        </w:rPr>
        <w:t>监狱企业</w:t>
      </w:r>
      <w:bookmarkEnd w:id="295"/>
      <w:bookmarkEnd w:id="296"/>
    </w:p>
    <w:p w14:paraId="2285723F">
      <w:pPr>
        <w:pStyle w:val="33"/>
        <w:keepNext w:val="0"/>
        <w:keepLines w:val="0"/>
        <w:pageBreakBefore w:val="0"/>
        <w:kinsoku/>
        <w:wordWrap w:val="0"/>
        <w:overflowPunct/>
        <w:topLinePunct w:val="0"/>
        <w:autoSpaceDE/>
        <w:autoSpaceDN/>
        <w:bidi w:val="0"/>
        <w:spacing w:after="0" w:line="360" w:lineRule="auto"/>
        <w:ind w:left="0" w:leftChars="0" w:firstLine="0" w:firstLineChars="0"/>
        <w:rPr>
          <w:rFonts w:hint="eastAsia" w:ascii="宋体" w:hAnsi="宋体" w:eastAsia="宋体" w:cs="宋体"/>
          <w:i/>
          <w:iCs/>
          <w:color w:val="auto"/>
          <w:szCs w:val="21"/>
          <w:highlight w:val="none"/>
          <w:lang w:eastAsia="zh-CN"/>
        </w:rPr>
      </w:pPr>
      <w:r>
        <w:rPr>
          <w:rFonts w:hint="eastAsia" w:ascii="宋体" w:hAnsi="宋体" w:eastAsia="宋体" w:cs="宋体"/>
          <w:i/>
          <w:iCs/>
          <w:color w:val="auto"/>
          <w:szCs w:val="21"/>
          <w:highlight w:val="none"/>
          <w:lang w:eastAsia="zh-CN"/>
        </w:rPr>
        <w:t>（以下格式文件由供应商根据需要选用，</w:t>
      </w:r>
      <w:r>
        <w:rPr>
          <w:rFonts w:hint="eastAsia" w:ascii="宋体" w:hAnsi="宋体" w:eastAsia="宋体" w:cs="宋体"/>
          <w:i/>
          <w:iCs/>
          <w:color w:val="auto"/>
          <w:szCs w:val="21"/>
          <w:highlight w:val="none"/>
          <w:lang w:val="en-US" w:eastAsia="zh-CN"/>
        </w:rPr>
        <w:t>不涉及可不用提供</w:t>
      </w:r>
      <w:r>
        <w:rPr>
          <w:rFonts w:hint="eastAsia" w:ascii="宋体" w:hAnsi="宋体" w:eastAsia="宋体" w:cs="宋体"/>
          <w:i/>
          <w:iCs/>
          <w:color w:val="auto"/>
          <w:szCs w:val="21"/>
          <w:highlight w:val="none"/>
          <w:lang w:eastAsia="zh-CN"/>
        </w:rPr>
        <w:t>）</w:t>
      </w:r>
    </w:p>
    <w:p w14:paraId="5DAD43D7">
      <w:pPr>
        <w:pStyle w:val="27"/>
        <w:keepNext w:val="0"/>
        <w:keepLines w:val="0"/>
        <w:pageBreakBefore w:val="0"/>
        <w:kinsoku/>
        <w:wordWrap w:val="0"/>
        <w:overflowPunct/>
        <w:topLinePunct w:val="0"/>
        <w:autoSpaceDE/>
        <w:autoSpaceDN/>
        <w:bidi w:val="0"/>
        <w:spacing w:line="360" w:lineRule="auto"/>
        <w:ind w:firstLine="0" w:firstLineChars="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监狱企业</w:t>
      </w:r>
    </w:p>
    <w:p w14:paraId="2E005B1B">
      <w:pPr>
        <w:pStyle w:val="2"/>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p>
    <w:p w14:paraId="11041F93">
      <w:pPr>
        <w:pStyle w:val="2"/>
        <w:keepNext w:val="0"/>
        <w:keepLines w:val="0"/>
        <w:pageBreakBefore w:val="0"/>
        <w:kinsoku/>
        <w:wordWrap w:val="0"/>
        <w:overflowPunct/>
        <w:topLinePunct w:val="0"/>
        <w:autoSpaceDE/>
        <w:autoSpaceDN/>
        <w:bidi w:val="0"/>
        <w:spacing w:line="360" w:lineRule="auto"/>
        <w:ind w:firstLine="440"/>
        <w:rPr>
          <w:rFonts w:hint="eastAsia" w:ascii="宋体" w:hAnsi="宋体" w:eastAsia="宋体" w:cs="宋体"/>
          <w:color w:val="auto"/>
          <w:szCs w:val="21"/>
          <w:highlight w:val="none"/>
          <w:lang w:eastAsia="zh-CN"/>
        </w:rPr>
      </w:pPr>
    </w:p>
    <w:p w14:paraId="626C9446">
      <w:pPr>
        <w:pStyle w:val="2"/>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说明：</w:t>
      </w:r>
    </w:p>
    <w:p w14:paraId="31DE5A33">
      <w:pPr>
        <w:pStyle w:val="2"/>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1.监狱企业参加采购活动时，提供由监狱管理局、戒毒管理局（含新疆生产建设兵团）出具的属于监狱企业的证明文件；</w:t>
      </w:r>
    </w:p>
    <w:p w14:paraId="70B9AC55">
      <w:pPr>
        <w:pStyle w:val="2"/>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w:t>
      </w:r>
      <w:r>
        <w:rPr>
          <w:rFonts w:hint="eastAsia" w:ascii="宋体" w:hAnsi="宋体" w:eastAsia="宋体" w:cs="宋体"/>
          <w:color w:val="auto"/>
          <w:szCs w:val="20"/>
          <w:highlight w:val="none"/>
          <w:lang w:eastAsia="zh-CN"/>
        </w:rPr>
        <w:t>如不涉及则无须提供</w:t>
      </w:r>
      <w:r>
        <w:rPr>
          <w:rFonts w:hint="eastAsia" w:ascii="宋体" w:hAnsi="宋体" w:eastAsia="宋体" w:cs="宋体"/>
          <w:color w:val="auto"/>
          <w:szCs w:val="21"/>
          <w:highlight w:val="none"/>
          <w:lang w:eastAsia="zh-CN"/>
        </w:rPr>
        <w:t>。</w:t>
      </w:r>
    </w:p>
    <w:p w14:paraId="3894499A">
      <w:pPr>
        <w:pStyle w:val="33"/>
        <w:keepNext w:val="0"/>
        <w:keepLines w:val="0"/>
        <w:pageBreakBefore w:val="0"/>
        <w:kinsoku/>
        <w:wordWrap w:val="0"/>
        <w:overflowPunct/>
        <w:topLinePunct w:val="0"/>
        <w:autoSpaceDE/>
        <w:autoSpaceDN/>
        <w:bidi w:val="0"/>
        <w:spacing w:after="0" w:line="360" w:lineRule="auto"/>
        <w:ind w:left="0" w:leftChars="0" w:firstLine="0" w:firstLineChars="0"/>
        <w:rPr>
          <w:rFonts w:hint="eastAsia" w:ascii="宋体" w:hAnsi="宋体" w:eastAsia="宋体" w:cs="宋体"/>
          <w:color w:val="auto"/>
          <w:highlight w:val="none"/>
          <w:lang w:eastAsia="zh-CN"/>
        </w:rPr>
      </w:pPr>
    </w:p>
    <w:p w14:paraId="0EDDB518">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pPr>
      <w:bookmarkStart w:id="297" w:name="_Toc4849"/>
      <w:bookmarkStart w:id="298" w:name="_Toc104131918"/>
      <w:r>
        <w:rPr>
          <w:rFonts w:hint="eastAsia" w:ascii="宋体" w:hAnsi="宋体" w:eastAsia="宋体" w:cs="宋体"/>
          <w:b/>
          <w:bCs/>
          <w:color w:val="auto"/>
          <w:highlight w:val="none"/>
        </w:rPr>
        <w:t>残疾人福利性单位声明函</w:t>
      </w:r>
      <w:bookmarkEnd w:id="297"/>
      <w:bookmarkEnd w:id="298"/>
    </w:p>
    <w:p w14:paraId="365D296E">
      <w:pPr>
        <w:pStyle w:val="33"/>
        <w:keepNext w:val="0"/>
        <w:keepLines w:val="0"/>
        <w:pageBreakBefore w:val="0"/>
        <w:kinsoku/>
        <w:wordWrap w:val="0"/>
        <w:overflowPunct/>
        <w:topLinePunct w:val="0"/>
        <w:autoSpaceDE/>
        <w:autoSpaceDN/>
        <w:bidi w:val="0"/>
        <w:spacing w:after="0" w:line="360" w:lineRule="auto"/>
        <w:ind w:left="0" w:leftChars="0" w:firstLine="0" w:firstLineChars="0"/>
        <w:rPr>
          <w:rFonts w:hint="eastAsia" w:ascii="宋体" w:hAnsi="宋体" w:eastAsia="宋体" w:cs="宋体"/>
          <w:i/>
          <w:iCs/>
          <w:color w:val="auto"/>
          <w:szCs w:val="21"/>
          <w:highlight w:val="none"/>
          <w:lang w:eastAsia="zh-CN"/>
        </w:rPr>
      </w:pPr>
      <w:r>
        <w:rPr>
          <w:rFonts w:hint="eastAsia" w:ascii="宋体" w:hAnsi="宋体" w:eastAsia="宋体" w:cs="宋体"/>
          <w:i/>
          <w:iCs/>
          <w:color w:val="auto"/>
          <w:szCs w:val="21"/>
          <w:highlight w:val="none"/>
          <w:lang w:eastAsia="zh-CN"/>
        </w:rPr>
        <w:t>（以下格式文件由供应商根据需要选用，</w:t>
      </w:r>
      <w:r>
        <w:rPr>
          <w:rFonts w:hint="eastAsia" w:ascii="宋体" w:hAnsi="宋体" w:eastAsia="宋体" w:cs="宋体"/>
          <w:i/>
          <w:iCs/>
          <w:color w:val="auto"/>
          <w:szCs w:val="21"/>
          <w:highlight w:val="none"/>
          <w:lang w:val="en-US" w:eastAsia="zh-CN"/>
        </w:rPr>
        <w:t>不涉及可不用提供</w:t>
      </w:r>
      <w:r>
        <w:rPr>
          <w:rFonts w:hint="eastAsia" w:ascii="宋体" w:hAnsi="宋体" w:eastAsia="宋体" w:cs="宋体"/>
          <w:i/>
          <w:iCs/>
          <w:color w:val="auto"/>
          <w:szCs w:val="21"/>
          <w:highlight w:val="none"/>
          <w:lang w:eastAsia="zh-CN"/>
        </w:rPr>
        <w:t>）</w:t>
      </w:r>
    </w:p>
    <w:p w14:paraId="02CA8983">
      <w:pPr>
        <w:pStyle w:val="27"/>
        <w:keepNext w:val="0"/>
        <w:keepLines w:val="0"/>
        <w:pageBreakBefore w:val="0"/>
        <w:kinsoku/>
        <w:wordWrap w:val="0"/>
        <w:overflowPunct/>
        <w:topLinePunct w:val="0"/>
        <w:autoSpaceDE/>
        <w:autoSpaceDN/>
        <w:bidi w:val="0"/>
        <w:spacing w:line="360" w:lineRule="auto"/>
        <w:ind w:firstLine="0" w:firstLineChars="0"/>
        <w:jc w:val="center"/>
        <w:rPr>
          <w:rFonts w:hint="eastAsia" w:ascii="宋体" w:hAnsi="宋体" w:eastAsia="宋体" w:cs="宋体"/>
          <w:b/>
          <w:bCs/>
          <w:color w:val="auto"/>
          <w:sz w:val="28"/>
          <w:szCs w:val="28"/>
          <w:highlight w:val="none"/>
        </w:rPr>
      </w:pPr>
      <w:bookmarkStart w:id="299" w:name="_Hlk103450626"/>
      <w:r>
        <w:rPr>
          <w:rFonts w:hint="eastAsia" w:ascii="宋体" w:hAnsi="宋体" w:eastAsia="宋体" w:cs="宋体"/>
          <w:b/>
          <w:bCs/>
          <w:color w:val="auto"/>
          <w:sz w:val="28"/>
          <w:szCs w:val="28"/>
          <w:highlight w:val="none"/>
        </w:rPr>
        <w:t>残疾人福利性单位声明函</w:t>
      </w:r>
    </w:p>
    <w:bookmarkEnd w:id="299"/>
    <w:p w14:paraId="415E1FF1">
      <w:pPr>
        <w:pStyle w:val="33"/>
        <w:keepNext w:val="0"/>
        <w:keepLines w:val="0"/>
        <w:pageBreakBefore w:val="0"/>
        <w:kinsoku/>
        <w:wordWrap w:val="0"/>
        <w:overflowPunct/>
        <w:topLinePunct w:val="0"/>
        <w:autoSpaceDE/>
        <w:autoSpaceDN/>
        <w:bidi w:val="0"/>
        <w:spacing w:after="0" w:line="360" w:lineRule="auto"/>
        <w:rPr>
          <w:rFonts w:hint="eastAsia" w:ascii="宋体" w:hAnsi="宋体" w:eastAsia="宋体" w:cs="宋体"/>
          <w:color w:val="auto"/>
          <w:szCs w:val="21"/>
          <w:highlight w:val="none"/>
          <w:lang w:eastAsia="zh-CN"/>
        </w:rPr>
      </w:pPr>
    </w:p>
    <w:p w14:paraId="153F8A87">
      <w:pPr>
        <w:pStyle w:val="33"/>
        <w:keepNext w:val="0"/>
        <w:keepLines w:val="0"/>
        <w:pageBreakBefore w:val="0"/>
        <w:kinsoku/>
        <w:wordWrap w:val="0"/>
        <w:overflowPunct/>
        <w:topLinePunct w:val="0"/>
        <w:autoSpaceDE/>
        <w:autoSpaceDN/>
        <w:bidi w:val="0"/>
        <w:spacing w:after="0" w:line="360" w:lineRule="auto"/>
        <w:ind w:left="0" w:leftChars="0"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本单位郑重声明，根据《财政部 民政部 中国残疾人联合会关于促进残疾人就业政府采购政策的通知》（财库〔2017〕141号）的规定，本单位为符合条件的残疾人福利性单位，且本单位参加 </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单位的</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项目采购活动提供本单位制造的货物（由本单位承担工程/提供服务），或者提供其他残疾人福利性单位制造的货物（不包括使用非残疾人福利性单位注册商标的货物）。</w:t>
      </w:r>
    </w:p>
    <w:p w14:paraId="132D6BD6">
      <w:pPr>
        <w:pStyle w:val="33"/>
        <w:keepNext w:val="0"/>
        <w:keepLines w:val="0"/>
        <w:pageBreakBefore w:val="0"/>
        <w:kinsoku/>
        <w:wordWrap w:val="0"/>
        <w:overflowPunct/>
        <w:topLinePunct w:val="0"/>
        <w:autoSpaceDE/>
        <w:autoSpaceDN/>
        <w:bidi w:val="0"/>
        <w:spacing w:after="0" w:line="360" w:lineRule="auto"/>
        <w:ind w:left="0" w:leftChars="0"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本单位对上述声明的真实性负责。如有虚假，将依法承担相应责任。</w:t>
      </w:r>
    </w:p>
    <w:p w14:paraId="0837E7EB">
      <w:pPr>
        <w:pStyle w:val="33"/>
        <w:keepNext w:val="0"/>
        <w:keepLines w:val="0"/>
        <w:pageBreakBefore w:val="0"/>
        <w:kinsoku/>
        <w:wordWrap w:val="0"/>
        <w:overflowPunct/>
        <w:topLinePunct w:val="0"/>
        <w:autoSpaceDE/>
        <w:autoSpaceDN/>
        <w:bidi w:val="0"/>
        <w:spacing w:after="0" w:line="360" w:lineRule="auto"/>
        <w:ind w:left="0" w:leftChars="0" w:firstLine="480"/>
        <w:rPr>
          <w:rFonts w:hint="eastAsia" w:ascii="宋体" w:hAnsi="宋体" w:eastAsia="宋体" w:cs="宋体"/>
          <w:color w:val="auto"/>
          <w:sz w:val="24"/>
          <w:szCs w:val="24"/>
          <w:highlight w:val="none"/>
          <w:lang w:eastAsia="zh-CN"/>
        </w:rPr>
      </w:pPr>
    </w:p>
    <w:p w14:paraId="48F135E3">
      <w:pPr>
        <w:pStyle w:val="33"/>
        <w:keepNext w:val="0"/>
        <w:keepLines w:val="0"/>
        <w:pageBreakBefore w:val="0"/>
        <w:kinsoku/>
        <w:wordWrap w:val="0"/>
        <w:overflowPunct/>
        <w:topLinePunct w:val="0"/>
        <w:autoSpaceDE/>
        <w:autoSpaceDN/>
        <w:bidi w:val="0"/>
        <w:spacing w:after="0" w:line="360" w:lineRule="auto"/>
        <w:ind w:left="0" w:leftChars="0" w:right="107" w:firstLine="0" w:firstLineChars="0"/>
        <w:jc w:val="righ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单位名称（盖章）：</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eastAsia="zh-CN"/>
        </w:rPr>
        <w:t xml:space="preserve">       </w:t>
      </w:r>
    </w:p>
    <w:p w14:paraId="60C0C814">
      <w:pPr>
        <w:pStyle w:val="33"/>
        <w:keepNext w:val="0"/>
        <w:keepLines w:val="0"/>
        <w:pageBreakBefore w:val="0"/>
        <w:kinsoku/>
        <w:wordWrap w:val="0"/>
        <w:overflowPunct/>
        <w:topLinePunct w:val="0"/>
        <w:autoSpaceDE/>
        <w:autoSpaceDN/>
        <w:bidi w:val="0"/>
        <w:spacing w:after="0" w:line="360" w:lineRule="auto"/>
        <w:ind w:left="5006" w:leftChars="2384" w:right="107" w:firstLine="480"/>
        <w:jc w:val="righ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日期：</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年</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日</w:t>
      </w:r>
    </w:p>
    <w:p w14:paraId="7231BA6F">
      <w:pPr>
        <w:pStyle w:val="33"/>
        <w:keepNext w:val="0"/>
        <w:keepLines w:val="0"/>
        <w:pageBreakBefore w:val="0"/>
        <w:kinsoku/>
        <w:wordWrap w:val="0"/>
        <w:overflowPunct/>
        <w:topLinePunct w:val="0"/>
        <w:autoSpaceDE/>
        <w:autoSpaceDN/>
        <w:bidi w:val="0"/>
        <w:spacing w:after="0" w:line="360" w:lineRule="auto"/>
        <w:ind w:left="0" w:leftChars="0" w:firstLine="0" w:firstLine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说明：</w:t>
      </w:r>
    </w:p>
    <w:p w14:paraId="3C67094B">
      <w:pPr>
        <w:pStyle w:val="33"/>
        <w:keepNext w:val="0"/>
        <w:keepLines w:val="0"/>
        <w:pageBreakBefore w:val="0"/>
        <w:kinsoku/>
        <w:wordWrap w:val="0"/>
        <w:overflowPunct/>
        <w:topLinePunct w:val="0"/>
        <w:autoSpaceDE/>
        <w:autoSpaceDN/>
        <w:bidi w:val="0"/>
        <w:spacing w:after="0" w:line="360" w:lineRule="auto"/>
        <w:ind w:left="0" w:leftChars="0" w:firstLine="0" w:firstLineChars="0"/>
        <w:rPr>
          <w:rFonts w:hint="eastAsia" w:ascii="宋体" w:hAnsi="宋体" w:eastAsia="宋体" w:cs="宋体"/>
          <w:color w:val="auto"/>
          <w:szCs w:val="20"/>
          <w:highlight w:val="none"/>
          <w:lang w:eastAsia="zh-CN"/>
        </w:rPr>
      </w:pPr>
      <w:r>
        <w:rPr>
          <w:rFonts w:hint="eastAsia" w:ascii="宋体" w:hAnsi="宋体" w:eastAsia="宋体" w:cs="宋体"/>
          <w:color w:val="auto"/>
          <w:szCs w:val="20"/>
          <w:highlight w:val="none"/>
          <w:lang w:eastAsia="zh-CN"/>
        </w:rPr>
        <w:t>1.本函未填写或未勾选视作未做声明；</w:t>
      </w:r>
    </w:p>
    <w:p w14:paraId="3D3CA983">
      <w:pPr>
        <w:pStyle w:val="2"/>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0"/>
          <w:highlight w:val="none"/>
          <w:lang w:eastAsia="zh-CN"/>
        </w:rPr>
        <w:t>2.如不涉及则无须提供。</w:t>
      </w:r>
    </w:p>
    <w:p w14:paraId="091D5268">
      <w:pPr>
        <w:keepNext w:val="0"/>
        <w:keepLines w:val="0"/>
        <w:pageBreakBefore w:val="0"/>
        <w:kinsoku/>
        <w:overflowPunct/>
        <w:topLinePunct w:val="0"/>
        <w:bidi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br w:type="page"/>
      </w:r>
    </w:p>
    <w:p w14:paraId="0FFBD4AC">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pPr>
      <w:bookmarkStart w:id="300" w:name="_Toc104131920"/>
      <w:bookmarkStart w:id="301" w:name="_Toc25679"/>
      <w:bookmarkStart w:id="302" w:name="_Toc103253117"/>
      <w:bookmarkStart w:id="303" w:name="_Hlk102941319"/>
      <w:r>
        <w:rPr>
          <w:rFonts w:hint="eastAsia" w:ascii="宋体" w:hAnsi="宋体" w:eastAsia="宋体" w:cs="宋体"/>
          <w:b/>
          <w:bCs/>
          <w:color w:val="auto"/>
          <w:highlight w:val="none"/>
        </w:rPr>
        <w:t>需要采购人提供的附加条件</w:t>
      </w:r>
      <w:bookmarkEnd w:id="300"/>
      <w:bookmarkEnd w:id="301"/>
    </w:p>
    <w:p w14:paraId="14CEDE86">
      <w:pPr>
        <w:pStyle w:val="33"/>
        <w:keepNext w:val="0"/>
        <w:keepLines w:val="0"/>
        <w:pageBreakBefore w:val="0"/>
        <w:kinsoku/>
        <w:wordWrap w:val="0"/>
        <w:overflowPunct/>
        <w:topLinePunct w:val="0"/>
        <w:autoSpaceDE/>
        <w:autoSpaceDN/>
        <w:bidi w:val="0"/>
        <w:spacing w:after="0" w:line="360" w:lineRule="auto"/>
        <w:ind w:left="0" w:leftChars="0" w:firstLine="0" w:firstLineChars="0"/>
        <w:rPr>
          <w:rFonts w:hint="eastAsia" w:ascii="宋体" w:hAnsi="宋体" w:eastAsia="宋体" w:cs="宋体"/>
          <w:i/>
          <w:iCs/>
          <w:color w:val="auto"/>
          <w:szCs w:val="21"/>
          <w:highlight w:val="none"/>
          <w:lang w:eastAsia="zh-CN"/>
        </w:rPr>
      </w:pPr>
      <w:r>
        <w:rPr>
          <w:rFonts w:hint="eastAsia" w:ascii="宋体" w:hAnsi="宋体" w:eastAsia="宋体" w:cs="宋体"/>
          <w:i/>
          <w:iCs/>
          <w:color w:val="auto"/>
          <w:szCs w:val="21"/>
          <w:highlight w:val="none"/>
          <w:lang w:eastAsia="zh-CN"/>
        </w:rPr>
        <w:t>（以下格式文件由供应商根据需要选用，</w:t>
      </w:r>
      <w:r>
        <w:rPr>
          <w:rFonts w:hint="eastAsia" w:ascii="宋体" w:hAnsi="宋体" w:eastAsia="宋体" w:cs="宋体"/>
          <w:i/>
          <w:iCs/>
          <w:color w:val="auto"/>
          <w:szCs w:val="21"/>
          <w:highlight w:val="none"/>
          <w:lang w:val="en-US" w:eastAsia="zh-CN"/>
        </w:rPr>
        <w:t>如“无附加条件”可填写“无”即可；未提供视为“无附加条件”。</w:t>
      </w:r>
      <w:r>
        <w:rPr>
          <w:rFonts w:hint="eastAsia" w:ascii="宋体" w:hAnsi="宋体" w:eastAsia="宋体" w:cs="宋体"/>
          <w:i/>
          <w:iCs/>
          <w:color w:val="auto"/>
          <w:szCs w:val="21"/>
          <w:highlight w:val="none"/>
          <w:lang w:eastAsia="zh-CN"/>
        </w:rPr>
        <w:t>）</w:t>
      </w:r>
    </w:p>
    <w:p w14:paraId="466D7F9B">
      <w:pPr>
        <w:pStyle w:val="27"/>
        <w:keepNext w:val="0"/>
        <w:keepLines w:val="0"/>
        <w:pageBreakBefore w:val="0"/>
        <w:kinsoku/>
        <w:wordWrap w:val="0"/>
        <w:overflowPunct/>
        <w:topLinePunct w:val="0"/>
        <w:autoSpaceDE/>
        <w:autoSpaceDN/>
        <w:bidi w:val="0"/>
        <w:spacing w:line="360" w:lineRule="auto"/>
        <w:ind w:firstLine="0" w:firstLineChars="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需要采购人提供的附加条件</w:t>
      </w:r>
    </w:p>
    <w:tbl>
      <w:tblPr>
        <w:tblStyle w:val="34"/>
        <w:tblW w:w="9762"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533"/>
        <w:gridCol w:w="8229"/>
      </w:tblGrid>
      <w:tr w14:paraId="0968F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533" w:type="dxa"/>
            <w:tcBorders>
              <w:top w:val="single" w:color="000000" w:sz="6" w:space="0"/>
              <w:left w:val="single" w:color="000000" w:sz="6" w:space="0"/>
              <w:bottom w:val="single" w:color="000000" w:sz="6" w:space="0"/>
              <w:right w:val="single" w:color="000000" w:sz="6" w:space="0"/>
            </w:tcBorders>
            <w:shd w:val="clear" w:color="auto" w:fill="F4F4F4"/>
            <w:vAlign w:val="center"/>
          </w:tcPr>
          <w:p w14:paraId="59596260">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8229" w:type="dxa"/>
            <w:tcBorders>
              <w:top w:val="single" w:color="000000" w:sz="6" w:space="0"/>
              <w:left w:val="single" w:color="000000" w:sz="6" w:space="0"/>
              <w:bottom w:val="single" w:color="000000" w:sz="6" w:space="0"/>
              <w:right w:val="single" w:color="000000" w:sz="6" w:space="0"/>
            </w:tcBorders>
            <w:shd w:val="clear" w:color="auto" w:fill="F4F4F4"/>
            <w:vAlign w:val="center"/>
          </w:tcPr>
          <w:p w14:paraId="41270881">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投标人需要采购人提供的附加条件</w:t>
            </w:r>
          </w:p>
        </w:tc>
      </w:tr>
      <w:tr w14:paraId="09F97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533" w:type="dxa"/>
            <w:tcBorders>
              <w:top w:val="single" w:color="000000" w:sz="6" w:space="0"/>
              <w:left w:val="single" w:color="000000" w:sz="6" w:space="0"/>
              <w:bottom w:val="single" w:color="000000" w:sz="6" w:space="0"/>
              <w:right w:val="single" w:color="000000" w:sz="6" w:space="0"/>
            </w:tcBorders>
            <w:vAlign w:val="center"/>
          </w:tcPr>
          <w:p w14:paraId="24E340DC">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8229" w:type="dxa"/>
            <w:tcBorders>
              <w:top w:val="single" w:color="000000" w:sz="6" w:space="0"/>
              <w:left w:val="single" w:color="000000" w:sz="6" w:space="0"/>
              <w:bottom w:val="single" w:color="000000" w:sz="6" w:space="0"/>
              <w:right w:val="single" w:color="000000" w:sz="6" w:space="0"/>
            </w:tcBorders>
            <w:vAlign w:val="center"/>
          </w:tcPr>
          <w:p w14:paraId="7D45D5C0">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r>
      <w:tr w14:paraId="62170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533" w:type="dxa"/>
            <w:tcBorders>
              <w:top w:val="single" w:color="000000" w:sz="6" w:space="0"/>
              <w:left w:val="single" w:color="000000" w:sz="6" w:space="0"/>
              <w:bottom w:val="single" w:color="000000" w:sz="6" w:space="0"/>
              <w:right w:val="single" w:color="000000" w:sz="6" w:space="0"/>
            </w:tcBorders>
            <w:vAlign w:val="center"/>
          </w:tcPr>
          <w:p w14:paraId="373E41E6">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8229" w:type="dxa"/>
            <w:tcBorders>
              <w:top w:val="single" w:color="000000" w:sz="6" w:space="0"/>
              <w:left w:val="single" w:color="000000" w:sz="6" w:space="0"/>
              <w:bottom w:val="single" w:color="000000" w:sz="6" w:space="0"/>
              <w:right w:val="single" w:color="000000" w:sz="6" w:space="0"/>
            </w:tcBorders>
            <w:vAlign w:val="center"/>
          </w:tcPr>
          <w:p w14:paraId="464158BC">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r>
      <w:tr w14:paraId="699E2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533" w:type="dxa"/>
            <w:tcBorders>
              <w:top w:val="single" w:color="000000" w:sz="6" w:space="0"/>
              <w:left w:val="single" w:color="000000" w:sz="6" w:space="0"/>
              <w:bottom w:val="single" w:color="000000" w:sz="6" w:space="0"/>
              <w:right w:val="single" w:color="000000" w:sz="6" w:space="0"/>
            </w:tcBorders>
            <w:vAlign w:val="center"/>
          </w:tcPr>
          <w:p w14:paraId="09794971">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8229" w:type="dxa"/>
            <w:tcBorders>
              <w:top w:val="single" w:color="000000" w:sz="6" w:space="0"/>
              <w:left w:val="single" w:color="000000" w:sz="6" w:space="0"/>
              <w:bottom w:val="single" w:color="000000" w:sz="6" w:space="0"/>
              <w:right w:val="single" w:color="000000" w:sz="6" w:space="0"/>
            </w:tcBorders>
            <w:vAlign w:val="center"/>
          </w:tcPr>
          <w:p w14:paraId="379A7432">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r>
    </w:tbl>
    <w:p w14:paraId="3DA14995">
      <w:pPr>
        <w:pStyle w:val="33"/>
        <w:keepNext w:val="0"/>
        <w:keepLines w:val="0"/>
        <w:pageBreakBefore w:val="0"/>
        <w:kinsoku/>
        <w:wordWrap w:val="0"/>
        <w:overflowPunct/>
        <w:topLinePunct w:val="0"/>
        <w:autoSpaceDE/>
        <w:autoSpaceDN/>
        <w:bidi w:val="0"/>
        <w:spacing w:after="0" w:line="360" w:lineRule="auto"/>
        <w:ind w:left="0" w:leftChars="0" w:firstLine="0" w:firstLine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注：投标人完成本项目需要采购人配合或提供的条件必须在上表列出，否则将视为投标人同意按现有条件完成本项目。如上表所列附加条件含有采购人不能接受的，将被视为投标无效。</w:t>
      </w:r>
    </w:p>
    <w:p w14:paraId="7EE02732">
      <w:pPr>
        <w:pStyle w:val="33"/>
        <w:keepNext w:val="0"/>
        <w:keepLines w:val="0"/>
        <w:pageBreakBefore w:val="0"/>
        <w:kinsoku/>
        <w:wordWrap w:val="0"/>
        <w:overflowPunct/>
        <w:topLinePunct w:val="0"/>
        <w:autoSpaceDE/>
        <w:autoSpaceDN/>
        <w:bidi w:val="0"/>
        <w:spacing w:after="0" w:line="360" w:lineRule="auto"/>
        <w:ind w:left="0" w:leftChars="0" w:firstLine="0" w:firstLineChars="0"/>
        <w:rPr>
          <w:rFonts w:hint="eastAsia" w:ascii="宋体" w:hAnsi="宋体" w:eastAsia="宋体" w:cs="宋体"/>
          <w:color w:val="auto"/>
          <w:szCs w:val="21"/>
          <w:highlight w:val="none"/>
          <w:lang w:eastAsia="zh-CN"/>
        </w:rPr>
      </w:pPr>
    </w:p>
    <w:p w14:paraId="30FD5465">
      <w:pPr>
        <w:pStyle w:val="27"/>
        <w:keepNext w:val="0"/>
        <w:keepLines w:val="0"/>
        <w:pageBreakBefore w:val="0"/>
        <w:kinsoku/>
        <w:wordWrap w:val="0"/>
        <w:overflowPunct/>
        <w:topLinePunct w:val="0"/>
        <w:autoSpaceDE/>
        <w:autoSpaceDN/>
        <w:bidi w:val="0"/>
        <w:spacing w:line="36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投标人法定代表人或其授权代表（签字或盖章）：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0F2B198D">
      <w:pPr>
        <w:pStyle w:val="27"/>
        <w:keepNext w:val="0"/>
        <w:keepLines w:val="0"/>
        <w:pageBreakBefore w:val="0"/>
        <w:kinsoku/>
        <w:wordWrap w:val="0"/>
        <w:overflowPunct/>
        <w:topLinePunct w:val="0"/>
        <w:autoSpaceDE/>
        <w:autoSpaceDN/>
        <w:bidi w:val="0"/>
        <w:spacing w:line="36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投标人名称（盖章）：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54474E09">
      <w:pPr>
        <w:pStyle w:val="27"/>
        <w:keepNext w:val="0"/>
        <w:keepLines w:val="0"/>
        <w:pageBreakBefore w:val="0"/>
        <w:kinsoku/>
        <w:wordWrap w:val="0"/>
        <w:overflowPunct/>
        <w:topLinePunct w:val="0"/>
        <w:autoSpaceDE/>
        <w:autoSpaceDN/>
        <w:bidi w:val="0"/>
        <w:spacing w:line="360" w:lineRule="auto"/>
        <w:ind w:right="101" w:rightChars="48" w:firstLine="4960" w:firstLineChars="2067"/>
        <w:jc w:val="right"/>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14:paraId="17463D35">
      <w:pPr>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lang w:eastAsia="zh-CN"/>
        </w:rPr>
      </w:pPr>
    </w:p>
    <w:p w14:paraId="58DC8ACE">
      <w:pPr>
        <w:keepNext w:val="0"/>
        <w:keepLines w:val="0"/>
        <w:pageBreakBefore w:val="0"/>
        <w:widowControl/>
        <w:kinsoku/>
        <w:wordWrap w:val="0"/>
        <w:overflowPunct/>
        <w:topLinePunct w:val="0"/>
        <w:autoSpaceDE/>
        <w:autoSpaceDN/>
        <w:bidi w:val="0"/>
        <w:spacing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br w:type="page"/>
      </w:r>
    </w:p>
    <w:p w14:paraId="1CCCDB7D">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pPr>
      <w:bookmarkStart w:id="304" w:name="_Toc16819"/>
      <w:bookmarkStart w:id="305" w:name="_Toc104131921"/>
      <w:r>
        <w:rPr>
          <w:rFonts w:hint="eastAsia" w:ascii="宋体" w:hAnsi="宋体" w:eastAsia="宋体" w:cs="宋体"/>
          <w:b/>
          <w:bCs/>
          <w:color w:val="auto"/>
          <w:highlight w:val="none"/>
        </w:rPr>
        <w:t>实质性条款响应表</w:t>
      </w:r>
      <w:bookmarkEnd w:id="302"/>
      <w:bookmarkEnd w:id="304"/>
      <w:bookmarkEnd w:id="305"/>
    </w:p>
    <w:p w14:paraId="132D521B">
      <w:pPr>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lang w:eastAsia="zh-CN"/>
        </w:rPr>
      </w:pPr>
      <w:r>
        <w:rPr>
          <w:rFonts w:hint="eastAsia" w:ascii="宋体" w:hAnsi="宋体" w:eastAsia="宋体" w:cs="宋体"/>
          <w:i/>
          <w:iCs/>
          <w:color w:val="auto"/>
          <w:szCs w:val="21"/>
          <w:highlight w:val="none"/>
          <w:lang w:eastAsia="zh-CN"/>
        </w:rPr>
        <w:t>（以下格式文件由供应商根据需要选用，</w:t>
      </w:r>
      <w:r>
        <w:rPr>
          <w:rFonts w:hint="eastAsia" w:ascii="宋体" w:hAnsi="宋体" w:eastAsia="宋体" w:cs="宋体"/>
          <w:i/>
          <w:iCs/>
          <w:color w:val="auto"/>
          <w:szCs w:val="21"/>
          <w:highlight w:val="none"/>
          <w:lang w:val="en-US" w:eastAsia="zh-CN"/>
        </w:rPr>
        <w:t>不涉及可不用提供</w:t>
      </w:r>
      <w:r>
        <w:rPr>
          <w:rFonts w:hint="eastAsia" w:ascii="宋体" w:hAnsi="宋体" w:eastAsia="宋体" w:cs="宋体"/>
          <w:i/>
          <w:iCs/>
          <w:color w:val="auto"/>
          <w:szCs w:val="21"/>
          <w:highlight w:val="none"/>
          <w:lang w:eastAsia="zh-CN"/>
        </w:rPr>
        <w:t>）</w:t>
      </w:r>
    </w:p>
    <w:p w14:paraId="25460D83">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lang w:eastAsia="zh-CN"/>
        </w:rPr>
        <w:t>实质性条款响应表</w:t>
      </w:r>
    </w:p>
    <w:p w14:paraId="495CB81D">
      <w:pPr>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bCs/>
          <w:color w:val="auto"/>
          <w:sz w:val="24"/>
          <w:szCs w:val="24"/>
          <w:highlight w:val="none"/>
          <w:lang w:eastAsia="zh-CN"/>
        </w:rPr>
        <w:t>项目编号：_______________</w:t>
      </w:r>
    </w:p>
    <w:p w14:paraId="36FAB2C1">
      <w:pPr>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lang w:eastAsia="zh-CN"/>
        </w:rPr>
      </w:pPr>
      <w:r>
        <w:rPr>
          <w:rFonts w:hint="eastAsia" w:ascii="宋体" w:hAnsi="宋体" w:eastAsia="宋体" w:cs="宋体"/>
          <w:bCs/>
          <w:color w:val="auto"/>
          <w:sz w:val="24"/>
          <w:szCs w:val="24"/>
          <w:highlight w:val="none"/>
          <w:lang w:eastAsia="zh-CN"/>
        </w:rPr>
        <w:t>项目名称：</w:t>
      </w:r>
      <w:r>
        <w:rPr>
          <w:rFonts w:hint="eastAsia" w:ascii="宋体" w:hAnsi="宋体" w:eastAsia="宋体" w:cs="宋体"/>
          <w:bCs/>
          <w:color w:val="auto"/>
          <w:sz w:val="24"/>
          <w:szCs w:val="24"/>
          <w:highlight w:val="none"/>
          <w:u w:val="single"/>
          <w:lang w:eastAsia="zh-CN"/>
        </w:rPr>
        <w:t xml:space="preserve">               </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2"/>
        <w:gridCol w:w="4483"/>
        <w:gridCol w:w="2030"/>
        <w:gridCol w:w="1638"/>
        <w:gridCol w:w="881"/>
      </w:tblGrid>
      <w:tr w14:paraId="5975F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7" w:type="pct"/>
            <w:vAlign w:val="center"/>
          </w:tcPr>
          <w:p w14:paraId="415DFDD5">
            <w:pPr>
              <w:pStyle w:val="10"/>
              <w:keepNext w:val="0"/>
              <w:keepLines w:val="0"/>
              <w:pageBreakBefore w:val="0"/>
              <w:kinsoku/>
              <w:wordWrap w:val="0"/>
              <w:overflowPunct/>
              <w:topLinePunct w:val="0"/>
              <w:autoSpaceDE/>
              <w:autoSpaceDN/>
              <w:bidi w:val="0"/>
              <w:spacing w:line="360" w:lineRule="auto"/>
              <w:ind w:firstLine="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2274" w:type="pct"/>
            <w:vAlign w:val="center"/>
          </w:tcPr>
          <w:p w14:paraId="11A594CC">
            <w:pPr>
              <w:pStyle w:val="10"/>
              <w:keepNext w:val="0"/>
              <w:keepLines w:val="0"/>
              <w:pageBreakBefore w:val="0"/>
              <w:kinsoku/>
              <w:wordWrap w:val="0"/>
              <w:overflowPunct/>
              <w:topLinePunct w:val="0"/>
              <w:autoSpaceDE/>
              <w:autoSpaceDN/>
              <w:bidi w:val="0"/>
              <w:spacing w:line="360" w:lineRule="auto"/>
              <w:ind w:firstLine="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采购文件规定的要求</w:t>
            </w:r>
          </w:p>
        </w:tc>
        <w:tc>
          <w:tcPr>
            <w:tcW w:w="1030" w:type="pct"/>
            <w:vAlign w:val="center"/>
          </w:tcPr>
          <w:p w14:paraId="4E765321">
            <w:pPr>
              <w:pStyle w:val="10"/>
              <w:keepNext w:val="0"/>
              <w:keepLines w:val="0"/>
              <w:pageBreakBefore w:val="0"/>
              <w:kinsoku/>
              <w:wordWrap w:val="0"/>
              <w:overflowPunct/>
              <w:topLinePunct w:val="0"/>
              <w:autoSpaceDE/>
              <w:autoSpaceDN/>
              <w:bidi w:val="0"/>
              <w:spacing w:line="360" w:lineRule="auto"/>
              <w:ind w:firstLine="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供应商响应情况</w:t>
            </w:r>
          </w:p>
        </w:tc>
        <w:tc>
          <w:tcPr>
            <w:tcW w:w="831" w:type="pct"/>
            <w:vAlign w:val="center"/>
          </w:tcPr>
          <w:p w14:paraId="478AF0D2">
            <w:pPr>
              <w:pStyle w:val="10"/>
              <w:keepNext w:val="0"/>
              <w:keepLines w:val="0"/>
              <w:pageBreakBefore w:val="0"/>
              <w:kinsoku/>
              <w:wordWrap w:val="0"/>
              <w:overflowPunct/>
              <w:topLinePunct w:val="0"/>
              <w:autoSpaceDE/>
              <w:autoSpaceDN/>
              <w:bidi w:val="0"/>
              <w:spacing w:line="360" w:lineRule="auto"/>
              <w:ind w:firstLine="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偏离情况</w:t>
            </w:r>
          </w:p>
        </w:tc>
        <w:tc>
          <w:tcPr>
            <w:tcW w:w="447" w:type="pct"/>
            <w:vAlign w:val="center"/>
          </w:tcPr>
          <w:p w14:paraId="5DC520D7">
            <w:pPr>
              <w:pStyle w:val="10"/>
              <w:keepNext w:val="0"/>
              <w:keepLines w:val="0"/>
              <w:pageBreakBefore w:val="0"/>
              <w:kinsoku/>
              <w:wordWrap w:val="0"/>
              <w:overflowPunct/>
              <w:topLinePunct w:val="0"/>
              <w:autoSpaceDE/>
              <w:autoSpaceDN/>
              <w:bidi w:val="0"/>
              <w:spacing w:line="360" w:lineRule="auto"/>
              <w:ind w:firstLine="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备注</w:t>
            </w:r>
          </w:p>
        </w:tc>
      </w:tr>
      <w:tr w14:paraId="215E0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7" w:type="pct"/>
            <w:vAlign w:val="center"/>
          </w:tcPr>
          <w:p w14:paraId="24EA3EBC">
            <w:pPr>
              <w:pStyle w:val="66"/>
              <w:keepNext w:val="0"/>
              <w:keepLines w:val="0"/>
              <w:pageBreakBefore w:val="0"/>
              <w:numPr>
                <w:ilvl w:val="0"/>
                <w:numId w:val="13"/>
              </w:numPr>
              <w:kinsoku/>
              <w:wordWrap w:val="0"/>
              <w:overflowPunct/>
              <w:topLinePunct w:val="0"/>
              <w:autoSpaceDE/>
              <w:autoSpaceDN/>
              <w:bidi w:val="0"/>
              <w:spacing w:line="360" w:lineRule="auto"/>
              <w:ind w:firstLineChars="0"/>
              <w:jc w:val="center"/>
              <w:rPr>
                <w:rFonts w:hint="eastAsia" w:ascii="宋体" w:hAnsi="宋体" w:eastAsia="宋体" w:cs="宋体"/>
                <w:bCs/>
                <w:color w:val="auto"/>
                <w:szCs w:val="21"/>
                <w:highlight w:val="none"/>
              </w:rPr>
            </w:pPr>
          </w:p>
        </w:tc>
        <w:tc>
          <w:tcPr>
            <w:tcW w:w="2274" w:type="pct"/>
            <w:vAlign w:val="center"/>
          </w:tcPr>
          <w:p w14:paraId="7735573B">
            <w:pPr>
              <w:pStyle w:val="33"/>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422" w:firstLineChars="200"/>
              <w:jc w:val="both"/>
              <w:textAlignment w:val="auto"/>
              <w:rPr>
                <w:rFonts w:hint="eastAsia" w:ascii="宋体" w:hAnsi="宋体" w:eastAsia="宋体" w:cs="宋体"/>
                <w:bCs/>
                <w:color w:val="auto"/>
                <w:szCs w:val="21"/>
                <w:highlight w:val="none"/>
                <w:lang w:eastAsia="zh-CN"/>
              </w:rPr>
            </w:pPr>
            <w:r>
              <w:rPr>
                <w:rFonts w:hint="eastAsia" w:ascii="宋体" w:hAnsi="宋体" w:eastAsia="宋体" w:cs="宋体"/>
                <w:b/>
                <w:bCs/>
                <w:color w:val="auto"/>
                <w:szCs w:val="21"/>
                <w:highlight w:val="none"/>
                <w:lang w:eastAsia="zh-CN"/>
              </w:rPr>
              <w:t>★</w:t>
            </w:r>
            <w:r>
              <w:rPr>
                <w:rFonts w:hint="eastAsia" w:ascii="宋体" w:hAnsi="宋体" w:eastAsia="宋体" w:cs="宋体"/>
                <w:color w:val="auto"/>
                <w:szCs w:val="21"/>
                <w:highlight w:val="none"/>
                <w:lang w:val="en-US" w:eastAsia="zh-CN"/>
              </w:rPr>
              <w:t>4.本项目预算及最高限价为2,604,914.50元，其中预留150,000.00元给“喷油器总成”，该笔费用为不可竞争费用，按照实际发生额结算；若维修过程中“喷油器总成”需要更换，则按实际更换数量从此部分不可竞争费用中支出；若“喷油器总成”无需维修更换，则该笔费用作为零星维修费用。投标人的报价应包含该笔不可竞争费用，且总金额不得高于采购文件规定的最高限价，否则按投标（响应）无效处理。</w:t>
            </w:r>
          </w:p>
        </w:tc>
        <w:tc>
          <w:tcPr>
            <w:tcW w:w="1030" w:type="pct"/>
            <w:vAlign w:val="center"/>
          </w:tcPr>
          <w:p w14:paraId="743EB4FB">
            <w:pPr>
              <w:pStyle w:val="2"/>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Cs/>
                <w:color w:val="auto"/>
                <w:kern w:val="2"/>
                <w:szCs w:val="21"/>
                <w:highlight w:val="none"/>
                <w:lang w:eastAsia="zh-CN"/>
              </w:rPr>
            </w:pPr>
          </w:p>
        </w:tc>
        <w:tc>
          <w:tcPr>
            <w:tcW w:w="831" w:type="pct"/>
            <w:vAlign w:val="center"/>
          </w:tcPr>
          <w:p w14:paraId="1E74A801">
            <w:pPr>
              <w:pStyle w:val="2"/>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Cs/>
                <w:color w:val="auto"/>
                <w:kern w:val="2"/>
                <w:szCs w:val="21"/>
                <w:highlight w:val="none"/>
                <w:lang w:eastAsia="zh-CN"/>
              </w:rPr>
            </w:pPr>
          </w:p>
        </w:tc>
        <w:tc>
          <w:tcPr>
            <w:tcW w:w="447" w:type="pct"/>
            <w:tcBorders>
              <w:top w:val="single" w:color="auto" w:sz="4" w:space="0"/>
              <w:left w:val="single" w:color="auto" w:sz="4" w:space="0"/>
              <w:bottom w:val="single" w:color="auto" w:sz="4" w:space="0"/>
              <w:right w:val="single" w:color="auto" w:sz="4" w:space="0"/>
            </w:tcBorders>
            <w:vAlign w:val="center"/>
          </w:tcPr>
          <w:p w14:paraId="04A83EE8">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Cs w:val="21"/>
                <w:highlight w:val="none"/>
                <w:lang w:eastAsia="zh-CN"/>
              </w:rPr>
            </w:pPr>
          </w:p>
        </w:tc>
      </w:tr>
    </w:tbl>
    <w:p w14:paraId="23BF308B">
      <w:pPr>
        <w:pStyle w:val="10"/>
        <w:keepNext w:val="0"/>
        <w:keepLines w:val="0"/>
        <w:pageBreakBefore w:val="0"/>
        <w:kinsoku/>
        <w:wordWrap w:val="0"/>
        <w:overflowPunct/>
        <w:topLinePunct w:val="0"/>
        <w:autoSpaceDE/>
        <w:autoSpaceDN/>
        <w:bidi w:val="0"/>
        <w:spacing w:line="360" w:lineRule="auto"/>
        <w:ind w:firstLine="0"/>
        <w:rPr>
          <w:rFonts w:hint="eastAsia" w:ascii="宋体" w:hAnsi="宋体" w:eastAsia="宋体" w:cs="宋体"/>
          <w:b/>
          <w:bCs/>
          <w:color w:val="auto"/>
          <w:sz w:val="21"/>
          <w:szCs w:val="21"/>
          <w:highlight w:val="none"/>
        </w:rPr>
      </w:pPr>
      <w:bookmarkStart w:id="306" w:name="_Hlk172370162"/>
      <w:bookmarkStart w:id="307" w:name="_Hlk69414041"/>
      <w:r>
        <w:rPr>
          <w:rFonts w:hint="eastAsia" w:ascii="宋体" w:hAnsi="宋体" w:eastAsia="宋体" w:cs="宋体"/>
          <w:b/>
          <w:bCs/>
          <w:color w:val="auto"/>
          <w:sz w:val="21"/>
          <w:szCs w:val="21"/>
          <w:highlight w:val="none"/>
        </w:rPr>
        <w:t>说明：</w:t>
      </w:r>
    </w:p>
    <w:p w14:paraId="334F43DD">
      <w:pPr>
        <w:pStyle w:val="10"/>
        <w:keepNext w:val="0"/>
        <w:keepLines w:val="0"/>
        <w:pageBreakBefore w:val="0"/>
        <w:numPr>
          <w:ilvl w:val="3"/>
          <w:numId w:val="14"/>
        </w:numPr>
        <w:kinsoku/>
        <w:wordWrap w:val="0"/>
        <w:overflowPunct/>
        <w:topLinePunct w:val="0"/>
        <w:autoSpaceDE/>
        <w:autoSpaceDN/>
        <w:bidi w:val="0"/>
        <w:spacing w:line="360" w:lineRule="auto"/>
        <w:ind w:left="0"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供应商需对应采购文件第二章采购需求中标注</w:t>
      </w:r>
      <w:r>
        <w:rPr>
          <w:rFonts w:hint="eastAsia" w:ascii="宋体" w:hAnsi="宋体" w:eastAsia="宋体" w:cs="宋体"/>
          <w:b/>
          <w:color w:val="auto"/>
          <w:sz w:val="21"/>
          <w:szCs w:val="21"/>
          <w:highlight w:val="none"/>
        </w:rPr>
        <w:t>“★”号的条款进行逐条响应</w:t>
      </w:r>
      <w:r>
        <w:rPr>
          <w:rFonts w:hint="eastAsia" w:ascii="宋体" w:hAnsi="宋体" w:eastAsia="宋体" w:cs="宋体"/>
          <w:bCs/>
          <w:color w:val="auto"/>
          <w:sz w:val="21"/>
          <w:szCs w:val="21"/>
          <w:highlight w:val="none"/>
        </w:rPr>
        <w:t>，并按要求填写上表。若有任何一条负偏离或不满足或未响应的，将导致其投标文件作无效投标处理。</w:t>
      </w:r>
      <w:r>
        <w:rPr>
          <w:rFonts w:hint="eastAsia" w:ascii="宋体" w:hAnsi="宋体" w:eastAsia="宋体" w:cs="宋体"/>
          <w:b/>
          <w:color w:val="auto"/>
          <w:sz w:val="21"/>
          <w:szCs w:val="21"/>
          <w:highlight w:val="none"/>
        </w:rPr>
        <w:t>若要求提供证明材料的，还须提供相应的证明材料，否则视为负偏离，按无效投标处理。</w:t>
      </w:r>
    </w:p>
    <w:p w14:paraId="26B5FC0B">
      <w:pPr>
        <w:pStyle w:val="10"/>
        <w:keepNext w:val="0"/>
        <w:keepLines w:val="0"/>
        <w:pageBreakBefore w:val="0"/>
        <w:numPr>
          <w:ilvl w:val="3"/>
          <w:numId w:val="14"/>
        </w:numPr>
        <w:kinsoku/>
        <w:wordWrap w:val="0"/>
        <w:overflowPunct/>
        <w:topLinePunct w:val="0"/>
        <w:autoSpaceDE/>
        <w:autoSpaceDN/>
        <w:bidi w:val="0"/>
        <w:spacing w:line="360" w:lineRule="auto"/>
        <w:ind w:left="0"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“采购文件规定的要求”项下填写的内容应与采购文件</w:t>
      </w:r>
      <w:r>
        <w:rPr>
          <w:rFonts w:hint="eastAsia" w:ascii="宋体" w:hAnsi="宋体" w:eastAsia="宋体" w:cs="宋体"/>
          <w:b/>
          <w:color w:val="auto"/>
          <w:sz w:val="21"/>
          <w:szCs w:val="21"/>
          <w:highlight w:val="none"/>
        </w:rPr>
        <w:t>第二章采购需求中标注“★”条款的内容</w:t>
      </w:r>
      <w:r>
        <w:rPr>
          <w:rFonts w:hint="eastAsia" w:ascii="宋体" w:hAnsi="宋体" w:eastAsia="宋体" w:cs="宋体"/>
          <w:bCs/>
          <w:color w:val="auto"/>
          <w:sz w:val="21"/>
          <w:szCs w:val="21"/>
          <w:highlight w:val="none"/>
        </w:rPr>
        <w:t>保持一致。</w:t>
      </w:r>
      <w:r>
        <w:rPr>
          <w:rFonts w:hint="eastAsia" w:ascii="宋体" w:hAnsi="宋体" w:eastAsia="宋体" w:cs="宋体"/>
          <w:b/>
          <w:color w:val="auto"/>
          <w:sz w:val="21"/>
          <w:szCs w:val="21"/>
          <w:highlight w:val="none"/>
        </w:rPr>
        <w:t>供应商若存在“采购文件规定的要求”条款未进行响应时，将视为该条款存在负偏离或不满足，按无效投标处理。</w:t>
      </w:r>
    </w:p>
    <w:p w14:paraId="771A5F5E">
      <w:pPr>
        <w:pStyle w:val="10"/>
        <w:keepNext w:val="0"/>
        <w:keepLines w:val="0"/>
        <w:pageBreakBefore w:val="0"/>
        <w:numPr>
          <w:ilvl w:val="3"/>
          <w:numId w:val="14"/>
        </w:numPr>
        <w:kinsoku/>
        <w:wordWrap w:val="0"/>
        <w:overflowPunct/>
        <w:topLinePunct w:val="0"/>
        <w:autoSpaceDE/>
        <w:autoSpaceDN/>
        <w:bidi w:val="0"/>
        <w:spacing w:line="360" w:lineRule="auto"/>
        <w:ind w:left="0"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“供应商响应情况”项下填写供应商针对“采购文件规定的要求”的响应数值或内容。若供应商响应完全满足“采购文件规定的要求”，也可以填写“完全按照采购文件规定执行”。</w:t>
      </w:r>
    </w:p>
    <w:p w14:paraId="6776FA02">
      <w:pPr>
        <w:pStyle w:val="10"/>
        <w:keepNext w:val="0"/>
        <w:keepLines w:val="0"/>
        <w:pageBreakBefore w:val="0"/>
        <w:numPr>
          <w:ilvl w:val="3"/>
          <w:numId w:val="14"/>
        </w:numPr>
        <w:kinsoku/>
        <w:wordWrap w:val="0"/>
        <w:overflowPunct/>
        <w:topLinePunct w:val="0"/>
        <w:autoSpaceDE/>
        <w:autoSpaceDN/>
        <w:bidi w:val="0"/>
        <w:spacing w:line="360" w:lineRule="auto"/>
        <w:ind w:left="0"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偏离情况”项下应填写“正偏离”或“无偏离”或“负偏离”，供应商须真实体现偏离情况。其中“正偏离”是指优于采购文件规定的要求；“无偏离”是指满足采购文件规定的要求；“负偏离”是指低于采购文件规定的要求。</w:t>
      </w:r>
    </w:p>
    <w:p w14:paraId="693087BC">
      <w:pPr>
        <w:pStyle w:val="10"/>
        <w:keepNext w:val="0"/>
        <w:keepLines w:val="0"/>
        <w:pageBreakBefore w:val="0"/>
        <w:numPr>
          <w:ilvl w:val="3"/>
          <w:numId w:val="14"/>
        </w:numPr>
        <w:kinsoku/>
        <w:wordWrap w:val="0"/>
        <w:overflowPunct/>
        <w:topLinePunct w:val="0"/>
        <w:autoSpaceDE/>
        <w:autoSpaceDN/>
        <w:bidi w:val="0"/>
        <w:spacing w:line="360" w:lineRule="auto"/>
        <w:ind w:left="0"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“备注”项下填写佐证材料的相关页码或具体偏离内容，不涉及则无需填写。</w:t>
      </w:r>
    </w:p>
    <w:p w14:paraId="71388B5A">
      <w:pPr>
        <w:pStyle w:val="10"/>
        <w:keepNext w:val="0"/>
        <w:keepLines w:val="0"/>
        <w:pageBreakBefore w:val="0"/>
        <w:numPr>
          <w:ilvl w:val="3"/>
          <w:numId w:val="14"/>
        </w:numPr>
        <w:kinsoku/>
        <w:wordWrap w:val="0"/>
        <w:overflowPunct/>
        <w:topLinePunct w:val="0"/>
        <w:autoSpaceDE/>
        <w:autoSpaceDN/>
        <w:bidi w:val="0"/>
        <w:spacing w:line="360" w:lineRule="auto"/>
        <w:ind w:left="0"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供应商须谨慎进行响应，不可存在虚假投标（响应）的情形。</w:t>
      </w:r>
    </w:p>
    <w:bookmarkEnd w:id="306"/>
    <w:p w14:paraId="367B2B94">
      <w:pPr>
        <w:pStyle w:val="10"/>
        <w:keepNext w:val="0"/>
        <w:keepLines w:val="0"/>
        <w:pageBreakBefore w:val="0"/>
        <w:kinsoku/>
        <w:wordWrap w:val="0"/>
        <w:overflowPunct/>
        <w:topLinePunct w:val="0"/>
        <w:autoSpaceDE/>
        <w:autoSpaceDN/>
        <w:bidi w:val="0"/>
        <w:spacing w:line="360" w:lineRule="auto"/>
        <w:rPr>
          <w:rFonts w:hint="eastAsia" w:ascii="宋体" w:hAnsi="宋体" w:eastAsia="宋体" w:cs="宋体"/>
          <w:bCs/>
          <w:color w:val="auto"/>
          <w:sz w:val="24"/>
          <w:szCs w:val="24"/>
          <w:highlight w:val="none"/>
        </w:rPr>
      </w:pPr>
    </w:p>
    <w:bookmarkEnd w:id="303"/>
    <w:bookmarkEnd w:id="307"/>
    <w:p w14:paraId="439B1DC7">
      <w:pPr>
        <w:pStyle w:val="27"/>
        <w:keepNext w:val="0"/>
        <w:keepLines w:val="0"/>
        <w:pageBreakBefore w:val="0"/>
        <w:kinsoku/>
        <w:wordWrap w:val="0"/>
        <w:overflowPunct/>
        <w:topLinePunct w:val="0"/>
        <w:autoSpaceDE/>
        <w:autoSpaceDN/>
        <w:bidi w:val="0"/>
        <w:spacing w:line="36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投标人法定代表人或其授权代表（签字或盖章）：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58567464">
      <w:pPr>
        <w:pStyle w:val="27"/>
        <w:keepNext w:val="0"/>
        <w:keepLines w:val="0"/>
        <w:pageBreakBefore w:val="0"/>
        <w:kinsoku/>
        <w:wordWrap w:val="0"/>
        <w:overflowPunct/>
        <w:topLinePunct w:val="0"/>
        <w:autoSpaceDE/>
        <w:autoSpaceDN/>
        <w:bidi w:val="0"/>
        <w:spacing w:line="36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投标人名称（盖章）：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24EC65CC">
      <w:pPr>
        <w:pStyle w:val="27"/>
        <w:keepNext w:val="0"/>
        <w:keepLines w:val="0"/>
        <w:pageBreakBefore w:val="0"/>
        <w:kinsoku/>
        <w:wordWrap w:val="0"/>
        <w:overflowPunct/>
        <w:topLinePunct w:val="0"/>
        <w:autoSpaceDE/>
        <w:autoSpaceDN/>
        <w:bidi w:val="0"/>
        <w:spacing w:line="360" w:lineRule="auto"/>
        <w:ind w:right="101" w:rightChars="48" w:firstLine="4960" w:firstLineChars="2067"/>
        <w:jc w:val="right"/>
        <w:rPr>
          <w:rFonts w:hint="eastAsia" w:ascii="宋体" w:hAnsi="宋体" w:eastAsia="宋体" w:cs="宋体"/>
          <w:color w:val="auto"/>
          <w:sz w:val="18"/>
          <w:szCs w:val="18"/>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14:paraId="53EECC63">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sectPr>
          <w:pgSz w:w="11906" w:h="16838"/>
          <w:pgMar w:top="1134" w:right="1134" w:bottom="1134" w:left="1134" w:header="426" w:footer="751" w:gutter="0"/>
          <w:pgNumType w:fmt="decimal"/>
          <w:cols w:space="0" w:num="1"/>
          <w:rtlGutter w:val="0"/>
          <w:docGrid w:type="lines" w:linePitch="312" w:charSpace="0"/>
        </w:sectPr>
      </w:pPr>
      <w:bookmarkStart w:id="308" w:name="_Toc138883108"/>
      <w:bookmarkStart w:id="309" w:name="_Toc124157561"/>
    </w:p>
    <w:p w14:paraId="12A89998">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pPr>
      <w:bookmarkStart w:id="310" w:name="_Toc1773"/>
      <w:r>
        <w:rPr>
          <w:rFonts w:hint="eastAsia" w:ascii="宋体" w:hAnsi="宋体" w:eastAsia="宋体" w:cs="宋体"/>
          <w:b/>
          <w:bCs/>
          <w:color w:val="auto"/>
          <w:highlight w:val="none"/>
        </w:rPr>
        <w:t>商务条款响应表</w:t>
      </w:r>
      <w:bookmarkEnd w:id="308"/>
      <w:bookmarkEnd w:id="309"/>
      <w:bookmarkEnd w:id="310"/>
    </w:p>
    <w:p w14:paraId="37168AF6">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lang w:eastAsia="zh-CN"/>
        </w:rPr>
        <w:t>商务条款响应表</w:t>
      </w:r>
    </w:p>
    <w:p w14:paraId="6B859150">
      <w:pPr>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bCs/>
          <w:color w:val="auto"/>
          <w:sz w:val="24"/>
          <w:szCs w:val="24"/>
          <w:highlight w:val="none"/>
          <w:lang w:eastAsia="zh-CN"/>
        </w:rPr>
        <w:t>项目编号：_______________</w:t>
      </w:r>
    </w:p>
    <w:p w14:paraId="4EBDA1C9">
      <w:pPr>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highlight w:val="none"/>
          <w:lang w:eastAsia="zh-CN"/>
        </w:rPr>
      </w:pPr>
      <w:r>
        <w:rPr>
          <w:rFonts w:hint="eastAsia" w:ascii="宋体" w:hAnsi="宋体" w:eastAsia="宋体" w:cs="宋体"/>
          <w:bCs/>
          <w:color w:val="auto"/>
          <w:sz w:val="24"/>
          <w:szCs w:val="24"/>
          <w:highlight w:val="none"/>
          <w:lang w:eastAsia="zh-CN"/>
        </w:rPr>
        <w:t>项目名称：</w:t>
      </w:r>
      <w:r>
        <w:rPr>
          <w:rFonts w:hint="eastAsia" w:ascii="宋体" w:hAnsi="宋体" w:eastAsia="宋体" w:cs="宋体"/>
          <w:bCs/>
          <w:color w:val="auto"/>
          <w:sz w:val="24"/>
          <w:szCs w:val="24"/>
          <w:highlight w:val="none"/>
          <w:u w:val="single"/>
          <w:lang w:eastAsia="zh-CN"/>
        </w:rPr>
        <w:t xml:space="preserve">               </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6"/>
        <w:gridCol w:w="3174"/>
        <w:gridCol w:w="3502"/>
        <w:gridCol w:w="1477"/>
        <w:gridCol w:w="875"/>
      </w:tblGrid>
      <w:tr w14:paraId="0A410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 w:type="pct"/>
            <w:vAlign w:val="center"/>
          </w:tcPr>
          <w:p w14:paraId="63C93AC2">
            <w:pPr>
              <w:pStyle w:val="10"/>
              <w:keepNext w:val="0"/>
              <w:keepLines w:val="0"/>
              <w:pageBreakBefore w:val="0"/>
              <w:kinsoku/>
              <w:wordWrap w:val="0"/>
              <w:overflowPunct/>
              <w:topLinePunct w:val="0"/>
              <w:autoSpaceDE/>
              <w:autoSpaceDN/>
              <w:bidi w:val="0"/>
              <w:spacing w:line="360" w:lineRule="auto"/>
              <w:ind w:firstLine="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1610" w:type="pct"/>
            <w:vAlign w:val="center"/>
          </w:tcPr>
          <w:p w14:paraId="511E5B30">
            <w:pPr>
              <w:pStyle w:val="10"/>
              <w:keepNext w:val="0"/>
              <w:keepLines w:val="0"/>
              <w:pageBreakBefore w:val="0"/>
              <w:kinsoku/>
              <w:wordWrap w:val="0"/>
              <w:overflowPunct/>
              <w:topLinePunct w:val="0"/>
              <w:autoSpaceDE/>
              <w:autoSpaceDN/>
              <w:bidi w:val="0"/>
              <w:spacing w:line="360" w:lineRule="auto"/>
              <w:ind w:firstLine="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采购文件规定的要求</w:t>
            </w:r>
          </w:p>
        </w:tc>
        <w:tc>
          <w:tcPr>
            <w:tcW w:w="1776" w:type="pct"/>
            <w:vAlign w:val="center"/>
          </w:tcPr>
          <w:p w14:paraId="76E8926B">
            <w:pPr>
              <w:pStyle w:val="10"/>
              <w:keepNext w:val="0"/>
              <w:keepLines w:val="0"/>
              <w:pageBreakBefore w:val="0"/>
              <w:kinsoku/>
              <w:wordWrap w:val="0"/>
              <w:overflowPunct/>
              <w:topLinePunct w:val="0"/>
              <w:autoSpaceDE/>
              <w:autoSpaceDN/>
              <w:bidi w:val="0"/>
              <w:spacing w:line="360" w:lineRule="auto"/>
              <w:ind w:firstLine="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供应商响应情况</w:t>
            </w:r>
          </w:p>
        </w:tc>
        <w:tc>
          <w:tcPr>
            <w:tcW w:w="749" w:type="pct"/>
            <w:vAlign w:val="center"/>
          </w:tcPr>
          <w:p w14:paraId="752222FD">
            <w:pPr>
              <w:pStyle w:val="10"/>
              <w:keepNext w:val="0"/>
              <w:keepLines w:val="0"/>
              <w:pageBreakBefore w:val="0"/>
              <w:kinsoku/>
              <w:wordWrap w:val="0"/>
              <w:overflowPunct/>
              <w:topLinePunct w:val="0"/>
              <w:autoSpaceDE/>
              <w:autoSpaceDN/>
              <w:bidi w:val="0"/>
              <w:spacing w:line="360" w:lineRule="auto"/>
              <w:ind w:firstLine="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偏离情况</w:t>
            </w:r>
          </w:p>
        </w:tc>
        <w:tc>
          <w:tcPr>
            <w:tcW w:w="444" w:type="pct"/>
            <w:vAlign w:val="center"/>
          </w:tcPr>
          <w:p w14:paraId="29E15343">
            <w:pPr>
              <w:pStyle w:val="10"/>
              <w:keepNext w:val="0"/>
              <w:keepLines w:val="0"/>
              <w:pageBreakBefore w:val="0"/>
              <w:kinsoku/>
              <w:wordWrap w:val="0"/>
              <w:overflowPunct/>
              <w:topLinePunct w:val="0"/>
              <w:autoSpaceDE/>
              <w:autoSpaceDN/>
              <w:bidi w:val="0"/>
              <w:spacing w:line="360" w:lineRule="auto"/>
              <w:ind w:firstLine="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备注</w:t>
            </w:r>
          </w:p>
        </w:tc>
      </w:tr>
      <w:tr w14:paraId="0BBDD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 w:type="pct"/>
            <w:vAlign w:val="center"/>
          </w:tcPr>
          <w:p w14:paraId="16138A76">
            <w:pPr>
              <w:pStyle w:val="66"/>
              <w:keepNext w:val="0"/>
              <w:keepLines w:val="0"/>
              <w:pageBreakBefore w:val="0"/>
              <w:numPr>
                <w:ilvl w:val="0"/>
                <w:numId w:val="15"/>
              </w:numPr>
              <w:kinsoku/>
              <w:wordWrap w:val="0"/>
              <w:overflowPunct/>
              <w:topLinePunct w:val="0"/>
              <w:autoSpaceDE/>
              <w:autoSpaceDN/>
              <w:bidi w:val="0"/>
              <w:spacing w:line="360" w:lineRule="auto"/>
              <w:ind w:firstLineChars="0"/>
              <w:jc w:val="center"/>
              <w:rPr>
                <w:rFonts w:hint="eastAsia" w:ascii="宋体" w:hAnsi="宋体" w:eastAsia="宋体" w:cs="宋体"/>
                <w:bCs/>
                <w:color w:val="auto"/>
                <w:szCs w:val="21"/>
                <w:highlight w:val="none"/>
              </w:rPr>
            </w:pPr>
          </w:p>
        </w:tc>
        <w:tc>
          <w:tcPr>
            <w:tcW w:w="1610" w:type="pct"/>
            <w:vAlign w:val="center"/>
          </w:tcPr>
          <w:p w14:paraId="24CA3391">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Cs/>
                <w:color w:val="auto"/>
                <w:szCs w:val="21"/>
                <w:highlight w:val="none"/>
                <w:lang w:eastAsia="zh-CN"/>
              </w:rPr>
            </w:pPr>
            <w:r>
              <w:rPr>
                <w:rFonts w:hint="eastAsia" w:ascii="宋体" w:hAnsi="宋体" w:eastAsia="宋体" w:cs="宋体"/>
                <w:color w:val="auto"/>
                <w:szCs w:val="21"/>
                <w:highlight w:val="none"/>
                <w:lang w:eastAsia="zh-CN"/>
              </w:rPr>
              <w:t>所有商务条款要求</w:t>
            </w:r>
          </w:p>
        </w:tc>
        <w:tc>
          <w:tcPr>
            <w:tcW w:w="1776" w:type="pct"/>
            <w:vAlign w:val="center"/>
          </w:tcPr>
          <w:p w14:paraId="4D5F2BBF">
            <w:pPr>
              <w:pStyle w:val="2"/>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Cs/>
                <w:color w:val="auto"/>
                <w:kern w:val="2"/>
                <w:szCs w:val="21"/>
                <w:highlight w:val="none"/>
                <w:lang w:eastAsia="zh-CN"/>
              </w:rPr>
            </w:pPr>
            <w:r>
              <w:rPr>
                <w:rFonts w:hint="eastAsia" w:ascii="宋体" w:hAnsi="宋体" w:eastAsia="宋体" w:cs="宋体"/>
                <w:color w:val="auto"/>
                <w:szCs w:val="21"/>
                <w:highlight w:val="none"/>
                <w:lang w:eastAsia="zh-CN"/>
              </w:rPr>
              <w:t>完全按照采购文件规定执行</w:t>
            </w:r>
          </w:p>
        </w:tc>
        <w:tc>
          <w:tcPr>
            <w:tcW w:w="749" w:type="pct"/>
            <w:vAlign w:val="center"/>
          </w:tcPr>
          <w:p w14:paraId="2173BCC7">
            <w:pPr>
              <w:pStyle w:val="2"/>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Cs/>
                <w:color w:val="auto"/>
                <w:kern w:val="2"/>
                <w:szCs w:val="21"/>
                <w:highlight w:val="none"/>
                <w:lang w:eastAsia="zh-CN"/>
              </w:rPr>
            </w:pPr>
          </w:p>
        </w:tc>
        <w:tc>
          <w:tcPr>
            <w:tcW w:w="444" w:type="pct"/>
            <w:tcBorders>
              <w:top w:val="single" w:color="auto" w:sz="4" w:space="0"/>
              <w:left w:val="single" w:color="auto" w:sz="4" w:space="0"/>
              <w:bottom w:val="single" w:color="auto" w:sz="4" w:space="0"/>
              <w:right w:val="single" w:color="auto" w:sz="4" w:space="0"/>
            </w:tcBorders>
            <w:vAlign w:val="center"/>
          </w:tcPr>
          <w:p w14:paraId="2056A8DB">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Cs w:val="21"/>
                <w:highlight w:val="none"/>
                <w:lang w:eastAsia="zh-CN"/>
              </w:rPr>
            </w:pPr>
          </w:p>
        </w:tc>
      </w:tr>
      <w:tr w14:paraId="2E88E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 w:type="pct"/>
            <w:vAlign w:val="center"/>
          </w:tcPr>
          <w:p w14:paraId="1E43FDD4">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w:t>
            </w:r>
          </w:p>
        </w:tc>
        <w:tc>
          <w:tcPr>
            <w:tcW w:w="1610" w:type="pct"/>
            <w:vAlign w:val="center"/>
          </w:tcPr>
          <w:p w14:paraId="18EA7DD3">
            <w:pPr>
              <w:keepNext w:val="0"/>
              <w:keepLines w:val="0"/>
              <w:pageBreakBefore w:val="0"/>
              <w:kinsoku/>
              <w:wordWrap w:val="0"/>
              <w:overflowPunct/>
              <w:topLinePunct w:val="0"/>
              <w:autoSpaceDE/>
              <w:autoSpaceDN/>
              <w:bidi w:val="0"/>
              <w:spacing w:line="360" w:lineRule="auto"/>
              <w:jc w:val="both"/>
              <w:rPr>
                <w:rFonts w:hint="eastAsia" w:ascii="宋体" w:hAnsi="宋体" w:eastAsia="宋体" w:cs="宋体"/>
                <w:bCs/>
                <w:color w:val="auto"/>
                <w:szCs w:val="21"/>
                <w:highlight w:val="none"/>
                <w:lang w:eastAsia="zh-CN"/>
              </w:rPr>
            </w:pPr>
          </w:p>
        </w:tc>
        <w:tc>
          <w:tcPr>
            <w:tcW w:w="1776" w:type="pct"/>
            <w:vAlign w:val="center"/>
          </w:tcPr>
          <w:p w14:paraId="6265284A">
            <w:pPr>
              <w:pStyle w:val="2"/>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Cs/>
                <w:color w:val="auto"/>
                <w:kern w:val="2"/>
                <w:szCs w:val="21"/>
                <w:highlight w:val="none"/>
                <w:lang w:eastAsia="zh-CN"/>
              </w:rPr>
            </w:pPr>
          </w:p>
        </w:tc>
        <w:tc>
          <w:tcPr>
            <w:tcW w:w="749" w:type="pct"/>
            <w:vAlign w:val="center"/>
          </w:tcPr>
          <w:p w14:paraId="1DD9A54E">
            <w:pPr>
              <w:pStyle w:val="2"/>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Cs/>
                <w:color w:val="auto"/>
                <w:kern w:val="2"/>
                <w:szCs w:val="21"/>
                <w:highlight w:val="none"/>
                <w:lang w:eastAsia="zh-CN"/>
              </w:rPr>
            </w:pPr>
          </w:p>
        </w:tc>
        <w:tc>
          <w:tcPr>
            <w:tcW w:w="444" w:type="pct"/>
            <w:tcBorders>
              <w:top w:val="single" w:color="auto" w:sz="4" w:space="0"/>
              <w:left w:val="single" w:color="auto" w:sz="4" w:space="0"/>
              <w:bottom w:val="single" w:color="auto" w:sz="4" w:space="0"/>
              <w:right w:val="single" w:color="auto" w:sz="4" w:space="0"/>
            </w:tcBorders>
            <w:vAlign w:val="center"/>
          </w:tcPr>
          <w:p w14:paraId="39B6F655">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Cs w:val="21"/>
                <w:highlight w:val="none"/>
                <w:lang w:eastAsia="zh-CN"/>
              </w:rPr>
            </w:pPr>
          </w:p>
        </w:tc>
      </w:tr>
    </w:tbl>
    <w:p w14:paraId="2C7976BE">
      <w:pPr>
        <w:pStyle w:val="10"/>
        <w:keepNext w:val="0"/>
        <w:keepLines w:val="0"/>
        <w:pageBreakBefore w:val="0"/>
        <w:kinsoku/>
        <w:wordWrap w:val="0"/>
        <w:overflowPunct/>
        <w:topLinePunct w:val="0"/>
        <w:autoSpaceDE/>
        <w:autoSpaceDN/>
        <w:bidi w:val="0"/>
        <w:spacing w:line="360" w:lineRule="auto"/>
        <w:ind w:firstLine="0"/>
        <w:rPr>
          <w:rFonts w:hint="eastAsia" w:ascii="宋体" w:hAnsi="宋体" w:eastAsia="宋体" w:cs="宋体"/>
          <w:b/>
          <w:bCs/>
          <w:color w:val="auto"/>
          <w:sz w:val="21"/>
          <w:szCs w:val="21"/>
          <w:highlight w:val="none"/>
        </w:rPr>
      </w:pPr>
      <w:bookmarkStart w:id="311" w:name="_Hlk171504605"/>
      <w:r>
        <w:rPr>
          <w:rFonts w:hint="eastAsia" w:ascii="宋体" w:hAnsi="宋体" w:eastAsia="宋体" w:cs="宋体"/>
          <w:b/>
          <w:bCs/>
          <w:color w:val="auto"/>
          <w:sz w:val="21"/>
          <w:szCs w:val="21"/>
          <w:highlight w:val="none"/>
        </w:rPr>
        <w:t>说明：</w:t>
      </w:r>
    </w:p>
    <w:p w14:paraId="46E1ECF6">
      <w:pPr>
        <w:pStyle w:val="66"/>
        <w:keepNext w:val="0"/>
        <w:keepLines w:val="0"/>
        <w:pageBreakBefore w:val="0"/>
        <w:widowControl/>
        <w:numPr>
          <w:ilvl w:val="0"/>
          <w:numId w:val="16"/>
        </w:numPr>
        <w:suppressAutoHyphens/>
        <w:kinsoku/>
        <w:wordWrap w:val="0"/>
        <w:overflowPunct/>
        <w:topLinePunct w:val="0"/>
        <w:autoSpaceDE/>
        <w:autoSpaceDN/>
        <w:bidi w:val="0"/>
        <w:adjustRightInd w:val="0"/>
        <w:snapToGrid w:val="0"/>
        <w:spacing w:line="360" w:lineRule="auto"/>
        <w:ind w:left="0" w:firstLine="42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供应商需对应采购文件</w:t>
      </w:r>
      <w:r>
        <w:rPr>
          <w:rFonts w:hint="eastAsia" w:ascii="宋体" w:hAnsi="宋体" w:eastAsia="宋体" w:cs="宋体"/>
          <w:b/>
          <w:bCs/>
          <w:color w:val="auto"/>
          <w:szCs w:val="21"/>
          <w:highlight w:val="none"/>
          <w:lang w:eastAsia="zh-CN"/>
        </w:rPr>
        <w:t>第二章采购需求“主要商务要求”</w:t>
      </w:r>
      <w:r>
        <w:rPr>
          <w:rFonts w:hint="eastAsia" w:ascii="宋体" w:hAnsi="宋体" w:eastAsia="宋体" w:cs="宋体"/>
          <w:color w:val="auto"/>
          <w:szCs w:val="21"/>
          <w:highlight w:val="none"/>
          <w:lang w:eastAsia="zh-CN"/>
        </w:rPr>
        <w:t>中除</w:t>
      </w:r>
      <w:r>
        <w:rPr>
          <w:rFonts w:hint="eastAsia" w:ascii="宋体" w:hAnsi="宋体" w:eastAsia="宋体" w:cs="宋体"/>
          <w:bCs/>
          <w:color w:val="auto"/>
          <w:szCs w:val="21"/>
          <w:highlight w:val="none"/>
          <w:lang w:eastAsia="zh-CN"/>
        </w:rPr>
        <w:t>“★”号条款外的</w:t>
      </w:r>
      <w:r>
        <w:rPr>
          <w:rFonts w:hint="eastAsia" w:ascii="宋体" w:hAnsi="宋体" w:eastAsia="宋体" w:cs="宋体"/>
          <w:color w:val="auto"/>
          <w:szCs w:val="21"/>
          <w:highlight w:val="none"/>
          <w:lang w:eastAsia="zh-CN"/>
        </w:rPr>
        <w:t>所有条款进行</w:t>
      </w:r>
      <w:r>
        <w:rPr>
          <w:rFonts w:hint="eastAsia" w:ascii="宋体" w:hAnsi="宋体" w:eastAsia="宋体" w:cs="宋体"/>
          <w:b/>
          <w:bCs/>
          <w:color w:val="auto"/>
          <w:szCs w:val="21"/>
          <w:highlight w:val="none"/>
          <w:lang w:eastAsia="zh-CN"/>
        </w:rPr>
        <w:t>逐条响应或整体响应</w:t>
      </w:r>
      <w:r>
        <w:rPr>
          <w:rFonts w:hint="eastAsia" w:ascii="宋体" w:hAnsi="宋体" w:eastAsia="宋体" w:cs="宋体"/>
          <w:color w:val="auto"/>
          <w:szCs w:val="21"/>
          <w:highlight w:val="none"/>
          <w:lang w:eastAsia="zh-CN"/>
        </w:rPr>
        <w:t>，并按要求填写上表。</w:t>
      </w:r>
      <w:r>
        <w:rPr>
          <w:rFonts w:hint="eastAsia" w:ascii="宋体" w:hAnsi="宋体" w:eastAsia="宋体" w:cs="宋体"/>
          <w:b/>
          <w:bCs/>
          <w:color w:val="auto"/>
          <w:szCs w:val="21"/>
          <w:highlight w:val="none"/>
          <w:lang w:eastAsia="zh-CN"/>
        </w:rPr>
        <w:t>若要求提供证明材料的，还须提供相应的证明材料，否则视为负偏离。</w:t>
      </w:r>
    </w:p>
    <w:p w14:paraId="242354E3">
      <w:pPr>
        <w:pStyle w:val="66"/>
        <w:keepNext w:val="0"/>
        <w:keepLines w:val="0"/>
        <w:pageBreakBefore w:val="0"/>
        <w:widowControl/>
        <w:numPr>
          <w:ilvl w:val="0"/>
          <w:numId w:val="16"/>
        </w:numPr>
        <w:suppressAutoHyphens/>
        <w:kinsoku/>
        <w:wordWrap w:val="0"/>
        <w:overflowPunct/>
        <w:topLinePunct w:val="0"/>
        <w:autoSpaceDE/>
        <w:autoSpaceDN/>
        <w:bidi w:val="0"/>
        <w:adjustRightInd w:val="0"/>
        <w:snapToGrid w:val="0"/>
        <w:spacing w:line="360" w:lineRule="auto"/>
        <w:ind w:left="0" w:firstLine="42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“采购文件规定的要求”项下填写的内容应与采购文件</w:t>
      </w:r>
      <w:r>
        <w:rPr>
          <w:rFonts w:hint="eastAsia" w:ascii="宋体" w:hAnsi="宋体" w:eastAsia="宋体" w:cs="宋体"/>
          <w:b/>
          <w:bCs/>
          <w:color w:val="auto"/>
          <w:szCs w:val="21"/>
          <w:highlight w:val="none"/>
          <w:lang w:eastAsia="zh-CN"/>
        </w:rPr>
        <w:t>第二章采购需求“主要商务要求”中的内容</w:t>
      </w:r>
      <w:r>
        <w:rPr>
          <w:rFonts w:hint="eastAsia" w:ascii="宋体" w:hAnsi="宋体" w:eastAsia="宋体" w:cs="宋体"/>
          <w:color w:val="auto"/>
          <w:szCs w:val="21"/>
          <w:highlight w:val="none"/>
          <w:lang w:eastAsia="zh-CN"/>
        </w:rPr>
        <w:t>保持一致。若供应商针对所有条款完全满足要求无偏离时，可以进行整体响应，在“采购文件规定的要求”项下填写“所有商务条款要求”；</w:t>
      </w:r>
      <w:r>
        <w:rPr>
          <w:rFonts w:hint="eastAsia" w:ascii="宋体" w:hAnsi="宋体" w:eastAsia="宋体" w:cs="宋体"/>
          <w:b/>
          <w:bCs/>
          <w:color w:val="auto"/>
          <w:szCs w:val="21"/>
          <w:highlight w:val="none"/>
          <w:lang w:eastAsia="zh-CN"/>
        </w:rPr>
        <w:t>若供应商存在偏离项时，则所有商务条款需要进行逐条响应。</w:t>
      </w:r>
    </w:p>
    <w:p w14:paraId="65B4DD49">
      <w:pPr>
        <w:pStyle w:val="66"/>
        <w:keepNext w:val="0"/>
        <w:keepLines w:val="0"/>
        <w:pageBreakBefore w:val="0"/>
        <w:widowControl/>
        <w:numPr>
          <w:ilvl w:val="0"/>
          <w:numId w:val="16"/>
        </w:numPr>
        <w:suppressAutoHyphens/>
        <w:kinsoku/>
        <w:wordWrap w:val="0"/>
        <w:overflowPunct/>
        <w:topLinePunct w:val="0"/>
        <w:autoSpaceDE/>
        <w:autoSpaceDN/>
        <w:bidi w:val="0"/>
        <w:adjustRightInd w:val="0"/>
        <w:snapToGrid w:val="0"/>
        <w:spacing w:line="360" w:lineRule="auto"/>
        <w:ind w:left="0" w:firstLine="42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“供应商响应情况”</w:t>
      </w:r>
      <w:r>
        <w:rPr>
          <w:rFonts w:hint="eastAsia" w:ascii="宋体" w:hAnsi="宋体" w:eastAsia="宋体" w:cs="宋体"/>
          <w:bCs/>
          <w:color w:val="auto"/>
          <w:szCs w:val="21"/>
          <w:highlight w:val="none"/>
          <w:lang w:eastAsia="zh-CN"/>
        </w:rPr>
        <w:t>项下填写供应商针对“采购文件规定的要求”的响应数值或内容</w:t>
      </w:r>
      <w:r>
        <w:rPr>
          <w:rFonts w:hint="eastAsia" w:ascii="宋体" w:hAnsi="宋体" w:eastAsia="宋体" w:cs="宋体"/>
          <w:color w:val="auto"/>
          <w:szCs w:val="21"/>
          <w:highlight w:val="none"/>
          <w:lang w:eastAsia="zh-CN"/>
        </w:rPr>
        <w:t>；若供应商响应完全满足“采购文件规定的要求”，也可以填写“完全按照采购文件规定执行”。</w:t>
      </w:r>
    </w:p>
    <w:p w14:paraId="28D94D51">
      <w:pPr>
        <w:pStyle w:val="66"/>
        <w:keepNext w:val="0"/>
        <w:keepLines w:val="0"/>
        <w:pageBreakBefore w:val="0"/>
        <w:widowControl/>
        <w:numPr>
          <w:ilvl w:val="0"/>
          <w:numId w:val="16"/>
        </w:numPr>
        <w:suppressAutoHyphens/>
        <w:kinsoku/>
        <w:wordWrap w:val="0"/>
        <w:overflowPunct/>
        <w:topLinePunct w:val="0"/>
        <w:autoSpaceDE/>
        <w:autoSpaceDN/>
        <w:bidi w:val="0"/>
        <w:adjustRightInd w:val="0"/>
        <w:snapToGrid w:val="0"/>
        <w:spacing w:line="360" w:lineRule="auto"/>
        <w:ind w:left="0" w:firstLine="42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bCs/>
          <w:color w:val="auto"/>
          <w:szCs w:val="21"/>
          <w:highlight w:val="none"/>
          <w:lang w:eastAsia="zh-CN"/>
        </w:rPr>
        <w:t>偏离情况”项下应填写“正偏离”或“无偏离”或“负偏离”，供应商须真实体现偏离情况。其中“正偏离”是指优于采购文件规定的要求；“无偏离”是指满足采购文件规定的要求；“负偏离”是指低于采购文件规定的要求</w:t>
      </w:r>
      <w:r>
        <w:rPr>
          <w:rFonts w:hint="eastAsia" w:ascii="宋体" w:hAnsi="宋体" w:eastAsia="宋体" w:cs="宋体"/>
          <w:color w:val="auto"/>
          <w:szCs w:val="21"/>
          <w:highlight w:val="none"/>
          <w:lang w:eastAsia="zh-CN"/>
        </w:rPr>
        <w:t>。</w:t>
      </w:r>
    </w:p>
    <w:p w14:paraId="178AE935">
      <w:pPr>
        <w:pStyle w:val="66"/>
        <w:keepNext w:val="0"/>
        <w:keepLines w:val="0"/>
        <w:pageBreakBefore w:val="0"/>
        <w:widowControl/>
        <w:numPr>
          <w:ilvl w:val="0"/>
          <w:numId w:val="16"/>
        </w:numPr>
        <w:suppressAutoHyphens/>
        <w:kinsoku/>
        <w:wordWrap w:val="0"/>
        <w:overflowPunct/>
        <w:topLinePunct w:val="0"/>
        <w:autoSpaceDE/>
        <w:autoSpaceDN/>
        <w:bidi w:val="0"/>
        <w:adjustRightInd w:val="0"/>
        <w:snapToGrid w:val="0"/>
        <w:spacing w:line="360" w:lineRule="auto"/>
        <w:ind w:left="0" w:firstLine="42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“备注”项下填写佐证材料的相关页码或具体偏离内容，不涉及则无需填写。</w:t>
      </w:r>
    </w:p>
    <w:p w14:paraId="253E95EC">
      <w:pPr>
        <w:pStyle w:val="66"/>
        <w:keepNext w:val="0"/>
        <w:keepLines w:val="0"/>
        <w:pageBreakBefore w:val="0"/>
        <w:widowControl/>
        <w:numPr>
          <w:ilvl w:val="0"/>
          <w:numId w:val="16"/>
        </w:numPr>
        <w:suppressAutoHyphens/>
        <w:kinsoku/>
        <w:wordWrap w:val="0"/>
        <w:overflowPunct/>
        <w:topLinePunct w:val="0"/>
        <w:autoSpaceDE/>
        <w:autoSpaceDN/>
        <w:bidi w:val="0"/>
        <w:adjustRightInd w:val="0"/>
        <w:snapToGrid w:val="0"/>
        <w:spacing w:line="360" w:lineRule="auto"/>
        <w:ind w:left="0" w:firstLine="422"/>
        <w:jc w:val="both"/>
        <w:rPr>
          <w:rFonts w:hint="eastAsia" w:ascii="宋体" w:hAnsi="宋体" w:eastAsia="宋体" w:cs="宋体"/>
          <w:b/>
          <w:color w:val="auto"/>
          <w:szCs w:val="21"/>
          <w:highlight w:val="none"/>
          <w:lang w:eastAsia="zh-CN"/>
        </w:rPr>
      </w:pPr>
      <w:r>
        <w:rPr>
          <w:rFonts w:hint="eastAsia" w:ascii="宋体" w:hAnsi="宋体" w:eastAsia="宋体" w:cs="宋体"/>
          <w:b/>
          <w:color w:val="auto"/>
          <w:szCs w:val="21"/>
          <w:highlight w:val="none"/>
          <w:lang w:eastAsia="zh-CN"/>
        </w:rPr>
        <w:t>供应商若存在“采购文件规定的要求”条款未进行响应时，将视为该条款存在负偏离或不满足。</w:t>
      </w:r>
    </w:p>
    <w:p w14:paraId="6CC4484A">
      <w:pPr>
        <w:pStyle w:val="66"/>
        <w:keepNext w:val="0"/>
        <w:keepLines w:val="0"/>
        <w:pageBreakBefore w:val="0"/>
        <w:widowControl/>
        <w:numPr>
          <w:ilvl w:val="0"/>
          <w:numId w:val="16"/>
        </w:numPr>
        <w:suppressAutoHyphens/>
        <w:kinsoku/>
        <w:wordWrap w:val="0"/>
        <w:overflowPunct/>
        <w:topLinePunct w:val="0"/>
        <w:autoSpaceDE/>
        <w:autoSpaceDN/>
        <w:bidi w:val="0"/>
        <w:adjustRightInd w:val="0"/>
        <w:snapToGrid w:val="0"/>
        <w:spacing w:line="360" w:lineRule="auto"/>
        <w:ind w:left="0" w:firstLine="42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供应商须谨慎进行响应，不可存在虚假投标（响应）的情形。</w:t>
      </w:r>
    </w:p>
    <w:bookmarkEnd w:id="311"/>
    <w:p w14:paraId="1E599219">
      <w:pPr>
        <w:pStyle w:val="10"/>
        <w:keepNext w:val="0"/>
        <w:keepLines w:val="0"/>
        <w:pageBreakBefore w:val="0"/>
        <w:kinsoku/>
        <w:wordWrap w:val="0"/>
        <w:overflowPunct/>
        <w:topLinePunct w:val="0"/>
        <w:autoSpaceDE/>
        <w:autoSpaceDN/>
        <w:bidi w:val="0"/>
        <w:spacing w:line="360" w:lineRule="auto"/>
        <w:rPr>
          <w:rFonts w:hint="eastAsia" w:ascii="宋体" w:hAnsi="宋体" w:eastAsia="宋体" w:cs="宋体"/>
          <w:bCs/>
          <w:color w:val="auto"/>
          <w:sz w:val="24"/>
          <w:szCs w:val="24"/>
          <w:highlight w:val="none"/>
        </w:rPr>
      </w:pPr>
    </w:p>
    <w:p w14:paraId="6CB26242">
      <w:pPr>
        <w:pStyle w:val="27"/>
        <w:keepNext w:val="0"/>
        <w:keepLines w:val="0"/>
        <w:pageBreakBefore w:val="0"/>
        <w:kinsoku/>
        <w:wordWrap w:val="0"/>
        <w:overflowPunct/>
        <w:topLinePunct w:val="0"/>
        <w:autoSpaceDE/>
        <w:autoSpaceDN/>
        <w:bidi w:val="0"/>
        <w:spacing w:line="36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投标人法定代表人或其授权代表（签字或盖章）：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091C42C5">
      <w:pPr>
        <w:pStyle w:val="27"/>
        <w:keepNext w:val="0"/>
        <w:keepLines w:val="0"/>
        <w:pageBreakBefore w:val="0"/>
        <w:kinsoku/>
        <w:wordWrap w:val="0"/>
        <w:overflowPunct/>
        <w:topLinePunct w:val="0"/>
        <w:autoSpaceDE/>
        <w:autoSpaceDN/>
        <w:bidi w:val="0"/>
        <w:spacing w:line="36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投标人名称（盖章）：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61AF02F0">
      <w:pPr>
        <w:pStyle w:val="27"/>
        <w:keepNext w:val="0"/>
        <w:keepLines w:val="0"/>
        <w:pageBreakBefore w:val="0"/>
        <w:kinsoku/>
        <w:wordWrap w:val="0"/>
        <w:overflowPunct/>
        <w:topLinePunct w:val="0"/>
        <w:autoSpaceDE/>
        <w:autoSpaceDN/>
        <w:bidi w:val="0"/>
        <w:spacing w:line="360" w:lineRule="auto"/>
        <w:ind w:right="101" w:rightChars="48" w:firstLine="4960" w:firstLineChars="2067"/>
        <w:jc w:val="right"/>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14:paraId="01CCDF07">
      <w:pPr>
        <w:pStyle w:val="33"/>
        <w:keepNext w:val="0"/>
        <w:keepLines w:val="0"/>
        <w:pageBreakBefore w:val="0"/>
        <w:kinsoku/>
        <w:wordWrap w:val="0"/>
        <w:overflowPunct/>
        <w:topLinePunct w:val="0"/>
        <w:autoSpaceDE/>
        <w:autoSpaceDN/>
        <w:bidi w:val="0"/>
        <w:spacing w:after="0" w:line="360" w:lineRule="auto"/>
        <w:ind w:left="0" w:leftChars="0" w:firstLine="0" w:firstLineChars="0"/>
        <w:rPr>
          <w:rFonts w:hint="eastAsia" w:ascii="宋体" w:hAnsi="宋体" w:eastAsia="宋体" w:cs="宋体"/>
          <w:color w:val="auto"/>
          <w:sz w:val="18"/>
          <w:szCs w:val="18"/>
          <w:highlight w:val="none"/>
          <w:lang w:eastAsia="zh-CN"/>
        </w:rPr>
      </w:pPr>
    </w:p>
    <w:p w14:paraId="1030FD9F">
      <w:pPr>
        <w:keepNext w:val="0"/>
        <w:keepLines w:val="0"/>
        <w:pageBreakBefore w:val="0"/>
        <w:widowControl/>
        <w:kinsoku/>
        <w:wordWrap w:val="0"/>
        <w:overflowPunct/>
        <w:topLinePunct w:val="0"/>
        <w:autoSpaceDE/>
        <w:autoSpaceDN/>
        <w:bidi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br w:type="page"/>
      </w:r>
    </w:p>
    <w:p w14:paraId="3385067A">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pPr>
      <w:bookmarkStart w:id="312" w:name="_Toc131270571"/>
      <w:bookmarkStart w:id="313" w:name="_Toc25256"/>
      <w:r>
        <w:rPr>
          <w:rFonts w:hint="eastAsia" w:ascii="宋体" w:hAnsi="宋体" w:eastAsia="宋体" w:cs="宋体"/>
          <w:b/>
          <w:bCs/>
          <w:color w:val="auto"/>
          <w:highlight w:val="none"/>
        </w:rPr>
        <w:t>技术条款响应</w:t>
      </w:r>
      <w:bookmarkEnd w:id="312"/>
      <w:r>
        <w:rPr>
          <w:rFonts w:hint="eastAsia" w:ascii="宋体" w:hAnsi="宋体" w:eastAsia="宋体" w:cs="宋体"/>
          <w:b/>
          <w:bCs/>
          <w:color w:val="auto"/>
          <w:highlight w:val="none"/>
        </w:rPr>
        <w:t>表</w:t>
      </w:r>
      <w:bookmarkEnd w:id="313"/>
    </w:p>
    <w:p w14:paraId="20ACF826">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highlight w:val="none"/>
          <w:lang w:eastAsia="zh-CN"/>
        </w:rPr>
      </w:pPr>
      <w:r>
        <w:rPr>
          <w:rFonts w:hint="eastAsia" w:ascii="宋体" w:hAnsi="宋体" w:eastAsia="宋体" w:cs="宋体"/>
          <w:b/>
          <w:bCs/>
          <w:color w:val="auto"/>
          <w:sz w:val="28"/>
          <w:szCs w:val="28"/>
          <w:highlight w:val="none"/>
          <w:lang w:eastAsia="zh-CN"/>
        </w:rPr>
        <w:t>技术条款响应表</w:t>
      </w:r>
    </w:p>
    <w:p w14:paraId="1EEAE857">
      <w:pPr>
        <w:keepNext w:val="0"/>
        <w:keepLines w:val="0"/>
        <w:pageBreakBefore w:val="0"/>
        <w:kinsoku/>
        <w:wordWrap w:val="0"/>
        <w:overflowPunct/>
        <w:topLinePunct w:val="0"/>
        <w:autoSpaceDE/>
        <w:autoSpaceDN/>
        <w:bidi w:val="0"/>
        <w:spacing w:line="360" w:lineRule="auto"/>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lang w:eastAsia="zh-CN"/>
        </w:rPr>
        <w:t>项目编号：_________________</w:t>
      </w:r>
    </w:p>
    <w:p w14:paraId="39DEB20C">
      <w:pPr>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sz w:val="24"/>
          <w:highlight w:val="none"/>
          <w:lang w:eastAsia="zh-CN"/>
        </w:rPr>
      </w:pPr>
      <w:r>
        <w:rPr>
          <w:rFonts w:hint="eastAsia" w:ascii="宋体" w:hAnsi="宋体" w:eastAsia="宋体" w:cs="宋体"/>
          <w:bCs/>
          <w:color w:val="auto"/>
          <w:sz w:val="24"/>
          <w:highlight w:val="none"/>
          <w:lang w:eastAsia="zh-CN"/>
        </w:rPr>
        <w:t>项目名称：</w:t>
      </w:r>
      <w:r>
        <w:rPr>
          <w:rFonts w:hint="eastAsia" w:ascii="宋体" w:hAnsi="宋体" w:eastAsia="宋体" w:cs="宋体"/>
          <w:bCs/>
          <w:color w:val="auto"/>
          <w:sz w:val="24"/>
          <w:highlight w:val="none"/>
          <w:u w:val="single"/>
          <w:lang w:eastAsia="zh-CN"/>
        </w:rPr>
        <w:t xml:space="preserve">                 </w:t>
      </w:r>
      <w:r>
        <w:rPr>
          <w:rFonts w:hint="eastAsia" w:ascii="宋体" w:hAnsi="宋体" w:eastAsia="宋体" w:cs="宋体"/>
          <w:bCs/>
          <w:color w:val="auto"/>
          <w:sz w:val="24"/>
          <w:highlight w:val="none"/>
          <w:lang w:eastAsia="zh-CN"/>
        </w:rPr>
        <w:t xml:space="preserve"> </w:t>
      </w: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8"/>
        <w:gridCol w:w="2629"/>
        <w:gridCol w:w="2929"/>
        <w:gridCol w:w="1579"/>
        <w:gridCol w:w="1689"/>
      </w:tblGrid>
      <w:tr w14:paraId="14EA8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22" w:type="pct"/>
            <w:vAlign w:val="center"/>
          </w:tcPr>
          <w:p w14:paraId="7AC59560">
            <w:pPr>
              <w:keepNext w:val="0"/>
              <w:keepLines w:val="0"/>
              <w:pageBreakBefore w:val="0"/>
              <w:kinsoku/>
              <w:wordWrap w:val="0"/>
              <w:overflowPunct/>
              <w:topLinePunct w:val="0"/>
              <w:autoSpaceDE/>
              <w:autoSpaceDN/>
              <w:bidi w:val="0"/>
              <w:adjustRightInd w:val="0"/>
              <w:snapToGrid w:val="0"/>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序号</w:t>
            </w:r>
          </w:p>
        </w:tc>
        <w:tc>
          <w:tcPr>
            <w:tcW w:w="1334" w:type="pct"/>
            <w:vAlign w:val="center"/>
          </w:tcPr>
          <w:p w14:paraId="03696DEB">
            <w:pPr>
              <w:keepNext w:val="0"/>
              <w:keepLines w:val="0"/>
              <w:pageBreakBefore w:val="0"/>
              <w:kinsoku/>
              <w:wordWrap w:val="0"/>
              <w:overflowPunct/>
              <w:topLinePunct w:val="0"/>
              <w:autoSpaceDE/>
              <w:autoSpaceDN/>
              <w:bidi w:val="0"/>
              <w:adjustRightInd w:val="0"/>
              <w:snapToGrid w:val="0"/>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eastAsia="zh-CN"/>
              </w:rPr>
              <w:t>采购</w:t>
            </w:r>
            <w:r>
              <w:rPr>
                <w:rFonts w:hint="eastAsia" w:ascii="宋体" w:hAnsi="宋体" w:eastAsia="宋体" w:cs="宋体"/>
                <w:b/>
                <w:bCs/>
                <w:color w:val="auto"/>
                <w:szCs w:val="21"/>
                <w:highlight w:val="none"/>
              </w:rPr>
              <w:t>文件</w:t>
            </w:r>
            <w:r>
              <w:rPr>
                <w:rFonts w:hint="eastAsia" w:ascii="宋体" w:hAnsi="宋体" w:eastAsia="宋体" w:cs="宋体"/>
                <w:b/>
                <w:bCs/>
                <w:color w:val="auto"/>
                <w:szCs w:val="21"/>
                <w:highlight w:val="none"/>
                <w:lang w:eastAsia="zh-CN"/>
              </w:rPr>
              <w:t>规定的</w:t>
            </w:r>
            <w:r>
              <w:rPr>
                <w:rFonts w:hint="eastAsia" w:ascii="宋体" w:hAnsi="宋体" w:eastAsia="宋体" w:cs="宋体"/>
                <w:b/>
                <w:bCs/>
                <w:color w:val="auto"/>
                <w:szCs w:val="21"/>
                <w:highlight w:val="none"/>
              </w:rPr>
              <w:t>要求</w:t>
            </w:r>
          </w:p>
        </w:tc>
        <w:tc>
          <w:tcPr>
            <w:tcW w:w="1486" w:type="pct"/>
            <w:vAlign w:val="center"/>
          </w:tcPr>
          <w:p w14:paraId="51DD968F">
            <w:pPr>
              <w:keepNext w:val="0"/>
              <w:keepLines w:val="0"/>
              <w:pageBreakBefore w:val="0"/>
              <w:kinsoku/>
              <w:wordWrap w:val="0"/>
              <w:overflowPunct/>
              <w:topLinePunct w:val="0"/>
              <w:autoSpaceDE/>
              <w:autoSpaceDN/>
              <w:bidi w:val="0"/>
              <w:adjustRightInd w:val="0"/>
              <w:snapToGrid w:val="0"/>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eastAsia="zh-CN"/>
              </w:rPr>
              <w:t>供应商</w:t>
            </w:r>
            <w:r>
              <w:rPr>
                <w:rFonts w:hint="eastAsia" w:ascii="宋体" w:hAnsi="宋体" w:eastAsia="宋体" w:cs="宋体"/>
                <w:b/>
                <w:bCs/>
                <w:color w:val="auto"/>
                <w:szCs w:val="21"/>
                <w:highlight w:val="none"/>
              </w:rPr>
              <w:t>响应情况</w:t>
            </w:r>
          </w:p>
        </w:tc>
        <w:tc>
          <w:tcPr>
            <w:tcW w:w="801" w:type="pct"/>
            <w:vAlign w:val="center"/>
          </w:tcPr>
          <w:p w14:paraId="2CD9F4A7">
            <w:pPr>
              <w:keepNext w:val="0"/>
              <w:keepLines w:val="0"/>
              <w:pageBreakBefore w:val="0"/>
              <w:kinsoku/>
              <w:wordWrap w:val="0"/>
              <w:overflowPunct/>
              <w:topLinePunct w:val="0"/>
              <w:autoSpaceDE/>
              <w:autoSpaceDN/>
              <w:bidi w:val="0"/>
              <w:adjustRightInd w:val="0"/>
              <w:snapToGrid w:val="0"/>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偏离情况</w:t>
            </w:r>
          </w:p>
        </w:tc>
        <w:tc>
          <w:tcPr>
            <w:tcW w:w="854" w:type="pct"/>
            <w:vAlign w:val="center"/>
          </w:tcPr>
          <w:p w14:paraId="45926BFD">
            <w:pPr>
              <w:keepNext w:val="0"/>
              <w:keepLines w:val="0"/>
              <w:pageBreakBefore w:val="0"/>
              <w:kinsoku/>
              <w:wordWrap w:val="0"/>
              <w:overflowPunct/>
              <w:topLinePunct w:val="0"/>
              <w:autoSpaceDE/>
              <w:autoSpaceDN/>
              <w:bidi w:val="0"/>
              <w:adjustRightInd w:val="0"/>
              <w:snapToGrid w:val="0"/>
              <w:spacing w:line="360" w:lineRule="auto"/>
              <w:jc w:val="center"/>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备注</w:t>
            </w:r>
          </w:p>
        </w:tc>
      </w:tr>
      <w:tr w14:paraId="350C4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000" w:type="pct"/>
            <w:gridSpan w:val="5"/>
            <w:vAlign w:val="center"/>
          </w:tcPr>
          <w:p w14:paraId="5E51783B">
            <w:pPr>
              <w:keepNext w:val="0"/>
              <w:keepLines w:val="0"/>
              <w:pageBreakBefore w:val="0"/>
              <w:kinsoku/>
              <w:wordWrap w:val="0"/>
              <w:overflowPunct/>
              <w:topLinePunct w:val="0"/>
              <w:autoSpaceDE/>
              <w:autoSpaceDN/>
              <w:bidi w:val="0"/>
              <w:adjustRightInd w:val="0"/>
              <w:snapToGrid w:val="0"/>
              <w:spacing w:line="360" w:lineRule="auto"/>
              <w:jc w:val="center"/>
              <w:rPr>
                <w:rFonts w:hint="eastAsia" w:ascii="宋体" w:hAnsi="宋体" w:eastAsia="宋体" w:cs="宋体"/>
                <w:color w:val="auto"/>
                <w:szCs w:val="21"/>
                <w:highlight w:val="none"/>
                <w:lang w:eastAsia="zh-CN"/>
              </w:rPr>
            </w:pPr>
            <w:r>
              <w:rPr>
                <w:rFonts w:hint="eastAsia" w:ascii="宋体" w:hAnsi="宋体" w:eastAsia="宋体" w:cs="宋体"/>
                <w:b/>
                <w:color w:val="auto"/>
                <w:szCs w:val="21"/>
                <w:highlight w:val="none"/>
                <w:lang w:eastAsia="zh-CN"/>
              </w:rPr>
              <w:t>一般技术条款（未标注“</w:t>
            </w:r>
            <w:r>
              <w:rPr>
                <w:rFonts w:hint="eastAsia" w:ascii="宋体" w:hAnsi="宋体" w:eastAsia="宋体" w:cs="宋体"/>
                <w:b/>
                <w:bCs/>
                <w:color w:val="auto"/>
                <w:szCs w:val="21"/>
                <w:highlight w:val="none"/>
                <w:lang w:eastAsia="zh-CN"/>
              </w:rPr>
              <w:t>★</w:t>
            </w:r>
            <w:r>
              <w:rPr>
                <w:rFonts w:hint="eastAsia" w:ascii="宋体" w:hAnsi="宋体" w:eastAsia="宋体" w:cs="宋体"/>
                <w:b/>
                <w:color w:val="auto"/>
                <w:szCs w:val="21"/>
                <w:highlight w:val="none"/>
                <w:lang w:eastAsia="zh-CN"/>
              </w:rPr>
              <w:t>”和“▲”的条款）</w:t>
            </w:r>
          </w:p>
        </w:tc>
      </w:tr>
      <w:tr w14:paraId="36710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22" w:type="pct"/>
            <w:vAlign w:val="center"/>
          </w:tcPr>
          <w:p w14:paraId="2A75C808">
            <w:pPr>
              <w:pStyle w:val="66"/>
              <w:keepNext w:val="0"/>
              <w:keepLines w:val="0"/>
              <w:pageBreakBefore w:val="0"/>
              <w:numPr>
                <w:ilvl w:val="0"/>
                <w:numId w:val="17"/>
              </w:numPr>
              <w:kinsoku/>
              <w:wordWrap w:val="0"/>
              <w:overflowPunct/>
              <w:topLinePunct w:val="0"/>
              <w:autoSpaceDE/>
              <w:autoSpaceDN/>
              <w:bidi w:val="0"/>
              <w:adjustRightInd w:val="0"/>
              <w:snapToGrid w:val="0"/>
              <w:spacing w:line="360" w:lineRule="auto"/>
              <w:ind w:firstLineChars="0"/>
              <w:jc w:val="center"/>
              <w:rPr>
                <w:rFonts w:hint="eastAsia" w:ascii="宋体" w:hAnsi="宋体" w:eastAsia="宋体" w:cs="宋体"/>
                <w:color w:val="auto"/>
                <w:szCs w:val="21"/>
                <w:highlight w:val="none"/>
                <w:lang w:eastAsia="zh-CN"/>
              </w:rPr>
            </w:pPr>
          </w:p>
        </w:tc>
        <w:tc>
          <w:tcPr>
            <w:tcW w:w="1334" w:type="pct"/>
            <w:vAlign w:val="center"/>
          </w:tcPr>
          <w:p w14:paraId="5EE84E69">
            <w:pPr>
              <w:keepNext w:val="0"/>
              <w:keepLines w:val="0"/>
              <w:pageBreakBefore w:val="0"/>
              <w:kinsoku/>
              <w:wordWrap w:val="0"/>
              <w:overflowPunct/>
              <w:topLinePunct w:val="0"/>
              <w:autoSpaceDE/>
              <w:autoSpaceDN/>
              <w:bidi w:val="0"/>
              <w:adjustRightInd w:val="0"/>
              <w:snapToGrid w:val="0"/>
              <w:spacing w:line="360" w:lineRule="auto"/>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所有一般技术条款要求</w:t>
            </w:r>
          </w:p>
        </w:tc>
        <w:tc>
          <w:tcPr>
            <w:tcW w:w="1486" w:type="pct"/>
            <w:vAlign w:val="center"/>
          </w:tcPr>
          <w:p w14:paraId="380C87BD">
            <w:pPr>
              <w:keepNext w:val="0"/>
              <w:keepLines w:val="0"/>
              <w:pageBreakBefore w:val="0"/>
              <w:kinsoku/>
              <w:wordWrap w:val="0"/>
              <w:overflowPunct/>
              <w:topLinePunct w:val="0"/>
              <w:autoSpaceDE/>
              <w:autoSpaceDN/>
              <w:bidi w:val="0"/>
              <w:adjustRightInd w:val="0"/>
              <w:snapToGrid w:val="0"/>
              <w:spacing w:line="360" w:lineRule="auto"/>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完全按照采购文件规定执行</w:t>
            </w:r>
          </w:p>
        </w:tc>
        <w:tc>
          <w:tcPr>
            <w:tcW w:w="801" w:type="pct"/>
            <w:vAlign w:val="center"/>
          </w:tcPr>
          <w:p w14:paraId="4418D0D0">
            <w:pPr>
              <w:keepNext w:val="0"/>
              <w:keepLines w:val="0"/>
              <w:pageBreakBefore w:val="0"/>
              <w:kinsoku/>
              <w:wordWrap w:val="0"/>
              <w:overflowPunct/>
              <w:topLinePunct w:val="0"/>
              <w:autoSpaceDE/>
              <w:autoSpaceDN/>
              <w:bidi w:val="0"/>
              <w:adjustRightInd w:val="0"/>
              <w:snapToGrid w:val="0"/>
              <w:spacing w:line="360" w:lineRule="auto"/>
              <w:jc w:val="center"/>
              <w:rPr>
                <w:rFonts w:hint="eastAsia" w:ascii="宋体" w:hAnsi="宋体" w:eastAsia="宋体" w:cs="宋体"/>
                <w:color w:val="auto"/>
                <w:szCs w:val="21"/>
                <w:highlight w:val="none"/>
                <w:lang w:eastAsia="zh-CN"/>
              </w:rPr>
            </w:pPr>
          </w:p>
        </w:tc>
        <w:tc>
          <w:tcPr>
            <w:tcW w:w="854" w:type="pct"/>
            <w:vAlign w:val="center"/>
          </w:tcPr>
          <w:p w14:paraId="23AD48D5">
            <w:pPr>
              <w:keepNext w:val="0"/>
              <w:keepLines w:val="0"/>
              <w:pageBreakBefore w:val="0"/>
              <w:kinsoku/>
              <w:wordWrap w:val="0"/>
              <w:overflowPunct/>
              <w:topLinePunct w:val="0"/>
              <w:autoSpaceDE/>
              <w:autoSpaceDN/>
              <w:bidi w:val="0"/>
              <w:adjustRightInd w:val="0"/>
              <w:snapToGrid w:val="0"/>
              <w:spacing w:line="360" w:lineRule="auto"/>
              <w:jc w:val="center"/>
              <w:rPr>
                <w:rFonts w:hint="eastAsia" w:ascii="宋体" w:hAnsi="宋体" w:eastAsia="宋体" w:cs="宋体"/>
                <w:color w:val="auto"/>
                <w:szCs w:val="21"/>
                <w:highlight w:val="none"/>
                <w:lang w:eastAsia="zh-CN"/>
              </w:rPr>
            </w:pPr>
          </w:p>
        </w:tc>
      </w:tr>
      <w:tr w14:paraId="7CDEA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22" w:type="pct"/>
            <w:vAlign w:val="center"/>
          </w:tcPr>
          <w:p w14:paraId="144F1DBA">
            <w:pPr>
              <w:keepNext w:val="0"/>
              <w:keepLines w:val="0"/>
              <w:pageBreakBefore w:val="0"/>
              <w:kinsoku/>
              <w:wordWrap w:val="0"/>
              <w:overflowPunct/>
              <w:topLinePunct w:val="0"/>
              <w:autoSpaceDE/>
              <w:autoSpaceDN/>
              <w:bidi w:val="0"/>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334" w:type="pct"/>
            <w:vAlign w:val="center"/>
          </w:tcPr>
          <w:p w14:paraId="17303CD3">
            <w:pPr>
              <w:keepNext w:val="0"/>
              <w:keepLines w:val="0"/>
              <w:pageBreakBefore w:val="0"/>
              <w:kinsoku/>
              <w:wordWrap w:val="0"/>
              <w:overflowPunct/>
              <w:topLinePunct w:val="0"/>
              <w:autoSpaceDE/>
              <w:autoSpaceDN/>
              <w:bidi w:val="0"/>
              <w:adjustRightInd w:val="0"/>
              <w:snapToGrid w:val="0"/>
              <w:spacing w:line="360" w:lineRule="auto"/>
              <w:jc w:val="center"/>
              <w:rPr>
                <w:rFonts w:hint="eastAsia" w:ascii="宋体" w:hAnsi="宋体" w:eastAsia="宋体" w:cs="宋体"/>
                <w:color w:val="auto"/>
                <w:szCs w:val="21"/>
                <w:highlight w:val="none"/>
              </w:rPr>
            </w:pPr>
          </w:p>
        </w:tc>
        <w:tc>
          <w:tcPr>
            <w:tcW w:w="1486" w:type="pct"/>
            <w:vAlign w:val="center"/>
          </w:tcPr>
          <w:p w14:paraId="1A439197">
            <w:pPr>
              <w:keepNext w:val="0"/>
              <w:keepLines w:val="0"/>
              <w:pageBreakBefore w:val="0"/>
              <w:kinsoku/>
              <w:wordWrap w:val="0"/>
              <w:overflowPunct/>
              <w:topLinePunct w:val="0"/>
              <w:autoSpaceDE/>
              <w:autoSpaceDN/>
              <w:bidi w:val="0"/>
              <w:adjustRightInd w:val="0"/>
              <w:snapToGrid w:val="0"/>
              <w:spacing w:line="360" w:lineRule="auto"/>
              <w:jc w:val="center"/>
              <w:rPr>
                <w:rFonts w:hint="eastAsia" w:ascii="宋体" w:hAnsi="宋体" w:eastAsia="宋体" w:cs="宋体"/>
                <w:color w:val="auto"/>
                <w:szCs w:val="21"/>
                <w:highlight w:val="none"/>
              </w:rPr>
            </w:pPr>
          </w:p>
        </w:tc>
        <w:tc>
          <w:tcPr>
            <w:tcW w:w="801" w:type="pct"/>
            <w:vAlign w:val="center"/>
          </w:tcPr>
          <w:p w14:paraId="1DCA8626">
            <w:pPr>
              <w:keepNext w:val="0"/>
              <w:keepLines w:val="0"/>
              <w:pageBreakBefore w:val="0"/>
              <w:kinsoku/>
              <w:wordWrap w:val="0"/>
              <w:overflowPunct/>
              <w:topLinePunct w:val="0"/>
              <w:autoSpaceDE/>
              <w:autoSpaceDN/>
              <w:bidi w:val="0"/>
              <w:adjustRightInd w:val="0"/>
              <w:snapToGrid w:val="0"/>
              <w:spacing w:line="360" w:lineRule="auto"/>
              <w:jc w:val="center"/>
              <w:rPr>
                <w:rFonts w:hint="eastAsia" w:ascii="宋体" w:hAnsi="宋体" w:eastAsia="宋体" w:cs="宋体"/>
                <w:color w:val="auto"/>
                <w:szCs w:val="21"/>
                <w:highlight w:val="none"/>
              </w:rPr>
            </w:pPr>
          </w:p>
        </w:tc>
        <w:tc>
          <w:tcPr>
            <w:tcW w:w="854" w:type="pct"/>
            <w:vAlign w:val="center"/>
          </w:tcPr>
          <w:p w14:paraId="24B4CD6E">
            <w:pPr>
              <w:keepNext w:val="0"/>
              <w:keepLines w:val="0"/>
              <w:pageBreakBefore w:val="0"/>
              <w:kinsoku/>
              <w:wordWrap w:val="0"/>
              <w:overflowPunct/>
              <w:topLinePunct w:val="0"/>
              <w:autoSpaceDE/>
              <w:autoSpaceDN/>
              <w:bidi w:val="0"/>
              <w:adjustRightInd w:val="0"/>
              <w:snapToGrid w:val="0"/>
              <w:spacing w:line="360" w:lineRule="auto"/>
              <w:jc w:val="center"/>
              <w:rPr>
                <w:rFonts w:hint="eastAsia" w:ascii="宋体" w:hAnsi="宋体" w:eastAsia="宋体" w:cs="宋体"/>
                <w:color w:val="auto"/>
                <w:szCs w:val="21"/>
                <w:highlight w:val="none"/>
              </w:rPr>
            </w:pPr>
          </w:p>
        </w:tc>
      </w:tr>
    </w:tbl>
    <w:p w14:paraId="58BF244B">
      <w:pPr>
        <w:keepNext w:val="0"/>
        <w:keepLines w:val="0"/>
        <w:pageBreakBefore w:val="0"/>
        <w:kinsoku/>
        <w:wordWrap w:val="0"/>
        <w:overflowPunct/>
        <w:topLinePunct w:val="0"/>
        <w:autoSpaceDE/>
        <w:autoSpaceDN/>
        <w:bidi w:val="0"/>
        <w:adjustRightInd w:val="0"/>
        <w:snapToGrid w:val="0"/>
        <w:spacing w:line="360" w:lineRule="auto"/>
        <w:rPr>
          <w:rFonts w:hint="eastAsia" w:ascii="宋体" w:hAnsi="宋体" w:eastAsia="宋体" w:cs="宋体"/>
          <w:b/>
          <w:bCs/>
          <w:color w:val="auto"/>
          <w:szCs w:val="21"/>
          <w:highlight w:val="none"/>
        </w:rPr>
      </w:pPr>
      <w:bookmarkStart w:id="314" w:name="_Hlk171504860"/>
      <w:bookmarkStart w:id="315" w:name="_Hlk164701751"/>
      <w:r>
        <w:rPr>
          <w:rFonts w:hint="eastAsia" w:ascii="宋体" w:hAnsi="宋体" w:eastAsia="宋体" w:cs="宋体"/>
          <w:b/>
          <w:bCs/>
          <w:color w:val="auto"/>
          <w:szCs w:val="21"/>
          <w:highlight w:val="none"/>
        </w:rPr>
        <w:t>说明：</w:t>
      </w:r>
    </w:p>
    <w:p w14:paraId="63209DFF">
      <w:pPr>
        <w:pStyle w:val="66"/>
        <w:keepNext w:val="0"/>
        <w:keepLines w:val="0"/>
        <w:pageBreakBefore w:val="0"/>
        <w:widowControl/>
        <w:numPr>
          <w:ilvl w:val="0"/>
          <w:numId w:val="18"/>
        </w:numPr>
        <w:suppressAutoHyphens/>
        <w:kinsoku/>
        <w:wordWrap w:val="0"/>
        <w:overflowPunct/>
        <w:topLinePunct w:val="0"/>
        <w:autoSpaceDE/>
        <w:autoSpaceDN/>
        <w:bidi w:val="0"/>
        <w:adjustRightInd w:val="0"/>
        <w:snapToGrid w:val="0"/>
        <w:spacing w:line="360" w:lineRule="auto"/>
        <w:ind w:left="0" w:firstLine="42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供应商需对应采购文件</w:t>
      </w:r>
      <w:r>
        <w:rPr>
          <w:rFonts w:hint="eastAsia" w:ascii="宋体" w:hAnsi="宋体" w:eastAsia="宋体" w:cs="宋体"/>
          <w:b/>
          <w:bCs/>
          <w:color w:val="auto"/>
          <w:szCs w:val="21"/>
          <w:highlight w:val="none"/>
          <w:lang w:eastAsia="zh-CN"/>
        </w:rPr>
        <w:t>第二章采购需求“技术标准与要求”</w:t>
      </w:r>
      <w:r>
        <w:rPr>
          <w:rFonts w:hint="eastAsia" w:ascii="宋体" w:hAnsi="宋体" w:eastAsia="宋体" w:cs="宋体"/>
          <w:color w:val="auto"/>
          <w:szCs w:val="21"/>
          <w:highlight w:val="none"/>
          <w:lang w:eastAsia="zh-CN"/>
        </w:rPr>
        <w:t>中除</w:t>
      </w:r>
      <w:r>
        <w:rPr>
          <w:rFonts w:hint="eastAsia" w:ascii="宋体" w:hAnsi="宋体" w:eastAsia="宋体" w:cs="宋体"/>
          <w:bCs/>
          <w:color w:val="auto"/>
          <w:szCs w:val="21"/>
          <w:highlight w:val="none"/>
          <w:lang w:eastAsia="zh-CN"/>
        </w:rPr>
        <w:t>“★”号条款外的</w:t>
      </w:r>
      <w:r>
        <w:rPr>
          <w:rFonts w:hint="eastAsia" w:ascii="宋体" w:hAnsi="宋体" w:eastAsia="宋体" w:cs="宋体"/>
          <w:color w:val="auto"/>
          <w:szCs w:val="21"/>
          <w:highlight w:val="none"/>
          <w:lang w:eastAsia="zh-CN"/>
        </w:rPr>
        <w:t>所有条款进行</w:t>
      </w:r>
      <w:r>
        <w:rPr>
          <w:rFonts w:hint="eastAsia" w:ascii="宋体" w:hAnsi="宋体" w:eastAsia="宋体" w:cs="宋体"/>
          <w:b/>
          <w:bCs/>
          <w:color w:val="auto"/>
          <w:szCs w:val="21"/>
          <w:highlight w:val="none"/>
          <w:lang w:eastAsia="zh-CN"/>
        </w:rPr>
        <w:t>逐条响应或整体响应</w:t>
      </w:r>
      <w:r>
        <w:rPr>
          <w:rFonts w:hint="eastAsia" w:ascii="宋体" w:hAnsi="宋体" w:eastAsia="宋体" w:cs="宋体"/>
          <w:color w:val="auto"/>
          <w:szCs w:val="21"/>
          <w:highlight w:val="none"/>
          <w:lang w:eastAsia="zh-CN"/>
        </w:rPr>
        <w:t>，并按要求填写上表。</w:t>
      </w:r>
      <w:r>
        <w:rPr>
          <w:rFonts w:hint="eastAsia" w:ascii="宋体" w:hAnsi="宋体" w:eastAsia="宋体" w:cs="宋体"/>
          <w:b/>
          <w:bCs/>
          <w:color w:val="auto"/>
          <w:szCs w:val="21"/>
          <w:highlight w:val="none"/>
          <w:lang w:eastAsia="zh-CN"/>
        </w:rPr>
        <w:t>若要求提供证明材料的，还须提供相应的证明材料，否则视为负偏离。</w:t>
      </w:r>
    </w:p>
    <w:p w14:paraId="2AF9409D">
      <w:pPr>
        <w:pStyle w:val="66"/>
        <w:keepNext w:val="0"/>
        <w:keepLines w:val="0"/>
        <w:pageBreakBefore w:val="0"/>
        <w:widowControl/>
        <w:numPr>
          <w:ilvl w:val="0"/>
          <w:numId w:val="18"/>
        </w:numPr>
        <w:suppressAutoHyphens/>
        <w:kinsoku/>
        <w:wordWrap w:val="0"/>
        <w:overflowPunct/>
        <w:topLinePunct w:val="0"/>
        <w:autoSpaceDE/>
        <w:autoSpaceDN/>
        <w:bidi w:val="0"/>
        <w:adjustRightInd w:val="0"/>
        <w:snapToGrid w:val="0"/>
        <w:spacing w:line="360" w:lineRule="auto"/>
        <w:ind w:left="0" w:firstLine="420"/>
        <w:jc w:val="both"/>
        <w:rPr>
          <w:rFonts w:hint="eastAsia" w:ascii="宋体" w:hAnsi="宋体" w:eastAsia="宋体" w:cs="宋体"/>
          <w:b/>
          <w:bCs/>
          <w:color w:val="auto"/>
          <w:szCs w:val="21"/>
          <w:highlight w:val="none"/>
          <w:lang w:eastAsia="zh-CN"/>
        </w:rPr>
      </w:pPr>
      <w:r>
        <w:rPr>
          <w:rFonts w:hint="eastAsia" w:ascii="宋体" w:hAnsi="宋体" w:eastAsia="宋体" w:cs="宋体"/>
          <w:color w:val="auto"/>
          <w:szCs w:val="21"/>
          <w:highlight w:val="none"/>
          <w:lang w:eastAsia="zh-CN"/>
        </w:rPr>
        <w:t>“采购文件规定的要求”项下填写的内容应与采购文件</w:t>
      </w:r>
      <w:r>
        <w:rPr>
          <w:rFonts w:hint="eastAsia" w:ascii="宋体" w:hAnsi="宋体" w:eastAsia="宋体" w:cs="宋体"/>
          <w:b/>
          <w:bCs/>
          <w:color w:val="auto"/>
          <w:szCs w:val="21"/>
          <w:highlight w:val="none"/>
          <w:lang w:eastAsia="zh-CN"/>
        </w:rPr>
        <w:t>第二章采购需求“技术标准与要求”中的内容</w:t>
      </w:r>
      <w:r>
        <w:rPr>
          <w:rFonts w:hint="eastAsia" w:ascii="宋体" w:hAnsi="宋体" w:eastAsia="宋体" w:cs="宋体"/>
          <w:color w:val="auto"/>
          <w:szCs w:val="21"/>
          <w:highlight w:val="none"/>
          <w:lang w:eastAsia="zh-CN"/>
        </w:rPr>
        <w:t>保持一致。若供应商针对所有条款完全满足要求无偏离时，可以进行整体响应，在“采购文件规定的要求”项下填写“所有重要技术条款要求”或“所有一般技术条款要求”；</w:t>
      </w:r>
      <w:r>
        <w:rPr>
          <w:rFonts w:hint="eastAsia" w:ascii="宋体" w:hAnsi="宋体" w:eastAsia="宋体" w:cs="宋体"/>
          <w:b/>
          <w:bCs/>
          <w:color w:val="auto"/>
          <w:szCs w:val="21"/>
          <w:highlight w:val="none"/>
          <w:lang w:eastAsia="zh-CN"/>
        </w:rPr>
        <w:t>若供应商存在偏离项时，则所有重要或一般技术条款需要进行逐条响应。</w:t>
      </w:r>
    </w:p>
    <w:p w14:paraId="2ADDE2E2">
      <w:pPr>
        <w:pStyle w:val="66"/>
        <w:keepNext w:val="0"/>
        <w:keepLines w:val="0"/>
        <w:pageBreakBefore w:val="0"/>
        <w:widowControl/>
        <w:numPr>
          <w:ilvl w:val="0"/>
          <w:numId w:val="18"/>
        </w:numPr>
        <w:suppressAutoHyphens/>
        <w:kinsoku/>
        <w:wordWrap w:val="0"/>
        <w:overflowPunct/>
        <w:topLinePunct w:val="0"/>
        <w:autoSpaceDE/>
        <w:autoSpaceDN/>
        <w:bidi w:val="0"/>
        <w:adjustRightInd w:val="0"/>
        <w:snapToGrid w:val="0"/>
        <w:spacing w:line="360" w:lineRule="auto"/>
        <w:ind w:left="0" w:firstLine="42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“供应商响应情况”</w:t>
      </w:r>
      <w:r>
        <w:rPr>
          <w:rFonts w:hint="eastAsia" w:ascii="宋体" w:hAnsi="宋体" w:eastAsia="宋体" w:cs="宋体"/>
          <w:bCs/>
          <w:color w:val="auto"/>
          <w:szCs w:val="21"/>
          <w:highlight w:val="none"/>
          <w:lang w:eastAsia="zh-CN"/>
        </w:rPr>
        <w:t>项下填写供应商针对“采购文件规定的要求”的响应数值或内容</w:t>
      </w:r>
      <w:r>
        <w:rPr>
          <w:rFonts w:hint="eastAsia" w:ascii="宋体" w:hAnsi="宋体" w:eastAsia="宋体" w:cs="宋体"/>
          <w:color w:val="auto"/>
          <w:szCs w:val="21"/>
          <w:highlight w:val="none"/>
          <w:lang w:eastAsia="zh-CN"/>
        </w:rPr>
        <w:t>；若供应商响应完全满足“采购文件规定的要求”，也可以填写“完全按照采购文件规定执行”。</w:t>
      </w:r>
    </w:p>
    <w:p w14:paraId="04B7831D">
      <w:pPr>
        <w:pStyle w:val="66"/>
        <w:keepNext w:val="0"/>
        <w:keepLines w:val="0"/>
        <w:pageBreakBefore w:val="0"/>
        <w:widowControl/>
        <w:numPr>
          <w:ilvl w:val="0"/>
          <w:numId w:val="18"/>
        </w:numPr>
        <w:suppressAutoHyphens/>
        <w:kinsoku/>
        <w:wordWrap w:val="0"/>
        <w:overflowPunct/>
        <w:topLinePunct w:val="0"/>
        <w:autoSpaceDE/>
        <w:autoSpaceDN/>
        <w:bidi w:val="0"/>
        <w:adjustRightInd w:val="0"/>
        <w:snapToGrid w:val="0"/>
        <w:spacing w:line="360" w:lineRule="auto"/>
        <w:ind w:left="0" w:firstLine="42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bCs/>
          <w:color w:val="auto"/>
          <w:szCs w:val="21"/>
          <w:highlight w:val="none"/>
          <w:lang w:eastAsia="zh-CN"/>
        </w:rPr>
        <w:t>偏离情况”项下应填写“正偏离”或“无偏离”或“负偏离”，供应商须真实体现偏离情况。其中“正偏离”是指优于采购文件规定的要求；“无偏离”是指满足采购文件规定的要求；“负偏离”是指低于采购文件规定的要求</w:t>
      </w:r>
      <w:r>
        <w:rPr>
          <w:rFonts w:hint="eastAsia" w:ascii="宋体" w:hAnsi="宋体" w:eastAsia="宋体" w:cs="宋体"/>
          <w:color w:val="auto"/>
          <w:szCs w:val="21"/>
          <w:highlight w:val="none"/>
          <w:lang w:eastAsia="zh-CN"/>
        </w:rPr>
        <w:t>。</w:t>
      </w:r>
    </w:p>
    <w:p w14:paraId="11B77A9F">
      <w:pPr>
        <w:pStyle w:val="66"/>
        <w:keepNext w:val="0"/>
        <w:keepLines w:val="0"/>
        <w:pageBreakBefore w:val="0"/>
        <w:widowControl/>
        <w:numPr>
          <w:ilvl w:val="0"/>
          <w:numId w:val="18"/>
        </w:numPr>
        <w:suppressAutoHyphens/>
        <w:kinsoku/>
        <w:wordWrap w:val="0"/>
        <w:overflowPunct/>
        <w:topLinePunct w:val="0"/>
        <w:autoSpaceDE/>
        <w:autoSpaceDN/>
        <w:bidi w:val="0"/>
        <w:adjustRightInd w:val="0"/>
        <w:snapToGrid w:val="0"/>
        <w:spacing w:line="360" w:lineRule="auto"/>
        <w:ind w:left="0" w:firstLine="42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“备注”项下填写佐证材料的相关页码或具体偏离内容，不涉及则无需填写。</w:t>
      </w:r>
    </w:p>
    <w:p w14:paraId="25B04178">
      <w:pPr>
        <w:pStyle w:val="66"/>
        <w:keepNext w:val="0"/>
        <w:keepLines w:val="0"/>
        <w:pageBreakBefore w:val="0"/>
        <w:widowControl/>
        <w:numPr>
          <w:ilvl w:val="0"/>
          <w:numId w:val="18"/>
        </w:numPr>
        <w:suppressAutoHyphens/>
        <w:kinsoku/>
        <w:wordWrap w:val="0"/>
        <w:overflowPunct/>
        <w:topLinePunct w:val="0"/>
        <w:autoSpaceDE/>
        <w:autoSpaceDN/>
        <w:bidi w:val="0"/>
        <w:adjustRightInd w:val="0"/>
        <w:snapToGrid w:val="0"/>
        <w:spacing w:line="360" w:lineRule="auto"/>
        <w:ind w:left="0" w:firstLine="422"/>
        <w:jc w:val="both"/>
        <w:rPr>
          <w:rFonts w:hint="eastAsia" w:ascii="宋体" w:hAnsi="宋体" w:eastAsia="宋体" w:cs="宋体"/>
          <w:b/>
          <w:color w:val="auto"/>
          <w:szCs w:val="21"/>
          <w:highlight w:val="none"/>
          <w:lang w:eastAsia="zh-CN"/>
        </w:rPr>
      </w:pPr>
      <w:r>
        <w:rPr>
          <w:rFonts w:hint="eastAsia" w:ascii="宋体" w:hAnsi="宋体" w:eastAsia="宋体" w:cs="宋体"/>
          <w:b/>
          <w:color w:val="auto"/>
          <w:szCs w:val="21"/>
          <w:highlight w:val="none"/>
          <w:lang w:eastAsia="zh-CN"/>
        </w:rPr>
        <w:t>供应商若存在“采购文件规定的要求”条款未进行响应时，将视为该条款存在负偏离或不满足。</w:t>
      </w:r>
    </w:p>
    <w:p w14:paraId="037A063C">
      <w:pPr>
        <w:pStyle w:val="66"/>
        <w:keepNext w:val="0"/>
        <w:keepLines w:val="0"/>
        <w:pageBreakBefore w:val="0"/>
        <w:widowControl/>
        <w:numPr>
          <w:ilvl w:val="0"/>
          <w:numId w:val="18"/>
        </w:numPr>
        <w:suppressAutoHyphens/>
        <w:kinsoku/>
        <w:wordWrap w:val="0"/>
        <w:overflowPunct/>
        <w:topLinePunct w:val="0"/>
        <w:autoSpaceDE/>
        <w:autoSpaceDN/>
        <w:bidi w:val="0"/>
        <w:adjustRightInd w:val="0"/>
        <w:snapToGrid w:val="0"/>
        <w:spacing w:line="360" w:lineRule="auto"/>
        <w:ind w:left="0" w:firstLine="420"/>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供应商须谨慎进行响应，不可存在虚假投标（响应）的情形。</w:t>
      </w:r>
    </w:p>
    <w:bookmarkEnd w:id="314"/>
    <w:p w14:paraId="339C43C7">
      <w:pPr>
        <w:pStyle w:val="66"/>
        <w:keepNext w:val="0"/>
        <w:keepLines w:val="0"/>
        <w:pageBreakBefore w:val="0"/>
        <w:widowControl/>
        <w:suppressAutoHyphens/>
        <w:kinsoku/>
        <w:wordWrap w:val="0"/>
        <w:overflowPunct/>
        <w:topLinePunct w:val="0"/>
        <w:autoSpaceDE/>
        <w:autoSpaceDN/>
        <w:bidi w:val="0"/>
        <w:adjustRightInd w:val="0"/>
        <w:snapToGrid w:val="0"/>
        <w:spacing w:line="360" w:lineRule="auto"/>
        <w:ind w:left="420" w:firstLine="0" w:firstLineChars="0"/>
        <w:jc w:val="both"/>
        <w:rPr>
          <w:rFonts w:hint="eastAsia" w:ascii="宋体" w:hAnsi="宋体" w:eastAsia="宋体" w:cs="宋体"/>
          <w:color w:val="auto"/>
          <w:szCs w:val="21"/>
          <w:highlight w:val="none"/>
          <w:lang w:eastAsia="zh-CN"/>
        </w:rPr>
      </w:pPr>
    </w:p>
    <w:bookmarkEnd w:id="315"/>
    <w:p w14:paraId="150F8E90">
      <w:pPr>
        <w:pStyle w:val="27"/>
        <w:keepNext w:val="0"/>
        <w:keepLines w:val="0"/>
        <w:pageBreakBefore w:val="0"/>
        <w:kinsoku/>
        <w:wordWrap w:val="0"/>
        <w:overflowPunct/>
        <w:topLinePunct w:val="0"/>
        <w:autoSpaceDE/>
        <w:autoSpaceDN/>
        <w:bidi w:val="0"/>
        <w:spacing w:line="36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投标人法定代表人或其授权代表（签字或盖章）：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70F37F5A">
      <w:pPr>
        <w:pStyle w:val="27"/>
        <w:keepNext w:val="0"/>
        <w:keepLines w:val="0"/>
        <w:pageBreakBefore w:val="0"/>
        <w:kinsoku/>
        <w:wordWrap w:val="0"/>
        <w:overflowPunct/>
        <w:topLinePunct w:val="0"/>
        <w:autoSpaceDE/>
        <w:autoSpaceDN/>
        <w:bidi w:val="0"/>
        <w:spacing w:line="36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投标人名称（盖章）：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644F5A10">
      <w:pPr>
        <w:pStyle w:val="27"/>
        <w:keepNext w:val="0"/>
        <w:keepLines w:val="0"/>
        <w:pageBreakBefore w:val="0"/>
        <w:kinsoku/>
        <w:wordWrap w:val="0"/>
        <w:overflowPunct/>
        <w:topLinePunct w:val="0"/>
        <w:autoSpaceDE/>
        <w:autoSpaceDN/>
        <w:bidi w:val="0"/>
        <w:spacing w:line="360" w:lineRule="auto"/>
        <w:ind w:right="101" w:rightChars="48" w:firstLine="4960" w:firstLineChars="2067"/>
        <w:jc w:val="right"/>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14:paraId="11FBE859">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sectPr>
          <w:pgSz w:w="11906" w:h="16838"/>
          <w:pgMar w:top="1134" w:right="1134" w:bottom="1134" w:left="1134" w:header="426" w:footer="751" w:gutter="0"/>
          <w:pgNumType w:fmt="decimal"/>
          <w:cols w:space="0" w:num="1"/>
          <w:rtlGutter w:val="0"/>
          <w:docGrid w:type="lines" w:linePitch="312" w:charSpace="0"/>
        </w:sectPr>
      </w:pPr>
    </w:p>
    <w:p w14:paraId="275B5BC5">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pPr>
      <w:bookmarkStart w:id="316" w:name="_Toc18300"/>
      <w:r>
        <w:rPr>
          <w:rFonts w:hint="eastAsia" w:ascii="宋体" w:hAnsi="宋体" w:eastAsia="宋体" w:cs="宋体"/>
          <w:b/>
          <w:bCs/>
          <w:color w:val="auto"/>
          <w:highlight w:val="none"/>
        </w:rPr>
        <w:t>承诺函</w:t>
      </w:r>
      <w:bookmarkEnd w:id="316"/>
      <w:bookmarkStart w:id="317" w:name="_Hlk111935000"/>
    </w:p>
    <w:p w14:paraId="4E0101EC">
      <w:pPr>
        <w:keepNext w:val="0"/>
        <w:keepLines w:val="0"/>
        <w:pageBreakBefore w:val="0"/>
        <w:kinsoku/>
        <w:wordWrap w:val="0"/>
        <w:overflowPunct/>
        <w:topLinePunct w:val="0"/>
        <w:autoSpaceDE/>
        <w:autoSpaceDN/>
        <w:bidi w:val="0"/>
        <w:spacing w:line="360" w:lineRule="auto"/>
        <w:rPr>
          <w:rFonts w:hint="eastAsia" w:ascii="宋体" w:hAnsi="宋体" w:eastAsia="宋体" w:cs="宋体"/>
          <w:i/>
          <w:iCs/>
          <w:color w:val="auto"/>
          <w:szCs w:val="21"/>
          <w:highlight w:val="none"/>
          <w:lang w:eastAsia="zh-CN"/>
        </w:rPr>
      </w:pPr>
      <w:r>
        <w:rPr>
          <w:rFonts w:hint="eastAsia" w:ascii="宋体" w:hAnsi="宋体" w:eastAsia="宋体" w:cs="宋体"/>
          <w:i/>
          <w:iCs/>
          <w:color w:val="auto"/>
          <w:szCs w:val="21"/>
          <w:highlight w:val="none"/>
          <w:lang w:eastAsia="zh-CN"/>
        </w:rPr>
        <w:t>（对于采购需求或评分标准中写明“提供承诺”的条款，供应商可参照以下格式提供承诺，若要求提供证明材料或者方案的，须按要求提供，否则不予认可；以下格式文件由供应商根据需要选用，</w:t>
      </w:r>
      <w:r>
        <w:rPr>
          <w:rFonts w:hint="eastAsia" w:ascii="宋体" w:hAnsi="宋体" w:eastAsia="宋体" w:cs="宋体"/>
          <w:i/>
          <w:iCs/>
          <w:color w:val="auto"/>
          <w:szCs w:val="21"/>
          <w:highlight w:val="none"/>
          <w:lang w:val="en-US" w:eastAsia="zh-CN"/>
        </w:rPr>
        <w:t>不涉及可不用提供</w:t>
      </w:r>
      <w:r>
        <w:rPr>
          <w:rFonts w:hint="eastAsia" w:ascii="宋体" w:hAnsi="宋体" w:eastAsia="宋体" w:cs="宋体"/>
          <w:i/>
          <w:iCs/>
          <w:color w:val="auto"/>
          <w:szCs w:val="21"/>
          <w:highlight w:val="none"/>
          <w:lang w:eastAsia="zh-CN"/>
        </w:rPr>
        <w:t>。）</w:t>
      </w:r>
    </w:p>
    <w:p w14:paraId="17F5B9A0">
      <w:pPr>
        <w:pStyle w:val="27"/>
        <w:keepNext w:val="0"/>
        <w:keepLines w:val="0"/>
        <w:pageBreakBefore w:val="0"/>
        <w:kinsoku/>
        <w:wordWrap w:val="0"/>
        <w:overflowPunct/>
        <w:topLinePunct w:val="0"/>
        <w:autoSpaceDE/>
        <w:autoSpaceDN/>
        <w:bidi w:val="0"/>
        <w:spacing w:line="360" w:lineRule="auto"/>
        <w:ind w:firstLine="0" w:firstLineChars="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承诺函</w:t>
      </w:r>
    </w:p>
    <w:p w14:paraId="6191F346">
      <w:pPr>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lang w:eastAsia="zh-CN"/>
        </w:rPr>
        <w:t>致：</w:t>
      </w:r>
      <w:r>
        <w:rPr>
          <w:rFonts w:hint="eastAsia" w:ascii="宋体" w:hAnsi="宋体" w:eastAsia="宋体" w:cs="宋体"/>
          <w:color w:val="auto"/>
          <w:sz w:val="24"/>
          <w:szCs w:val="24"/>
          <w:highlight w:val="none"/>
          <w:u w:val="single"/>
          <w:lang w:eastAsia="zh-CN"/>
        </w:rPr>
        <w:t xml:space="preserve">      （采购人名称）</w:t>
      </w:r>
    </w:p>
    <w:p w14:paraId="5D49C80D">
      <w:pPr>
        <w:keepNext w:val="0"/>
        <w:keepLines w:val="0"/>
        <w:pageBreakBefore w:val="0"/>
        <w:kinsoku/>
        <w:wordWrap w:val="0"/>
        <w:overflowPunct/>
        <w:topLinePunct w:val="0"/>
        <w:autoSpaceDE/>
        <w:autoSpaceDN/>
        <w:bidi w:val="0"/>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对于__________________项目（项目编号：__________________），我方郑重承诺如下：</w:t>
      </w:r>
    </w:p>
    <w:p w14:paraId="58EF951E">
      <w:pPr>
        <w:keepNext w:val="0"/>
        <w:keepLines w:val="0"/>
        <w:pageBreakBefore w:val="0"/>
        <w:kinsoku/>
        <w:wordWrap w:val="0"/>
        <w:overflowPunct/>
        <w:topLinePunct w:val="0"/>
        <w:autoSpaceDE/>
        <w:autoSpaceDN/>
        <w:bidi w:val="0"/>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如中标/成交，我方承诺严格落实采购文件以下条款：(建议逐条复制采购文件相关条款原文)</w:t>
      </w:r>
    </w:p>
    <w:p w14:paraId="33A40E5A">
      <w:pPr>
        <w:keepNext w:val="0"/>
        <w:keepLines w:val="0"/>
        <w:pageBreakBefore w:val="0"/>
        <w:kinsoku/>
        <w:wordWrap w:val="0"/>
        <w:overflowPunct/>
        <w:topLinePunct w:val="0"/>
        <w:autoSpaceDE/>
        <w:autoSpaceDN/>
        <w:bidi w:val="0"/>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w:t>
      </w:r>
    </w:p>
    <w:p w14:paraId="39D31E67">
      <w:pPr>
        <w:keepNext w:val="0"/>
        <w:keepLines w:val="0"/>
        <w:pageBreakBefore w:val="0"/>
        <w:kinsoku/>
        <w:wordWrap w:val="0"/>
        <w:overflowPunct/>
        <w:topLinePunct w:val="0"/>
        <w:autoSpaceDE/>
        <w:autoSpaceDN/>
        <w:bidi w:val="0"/>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w:t>
      </w:r>
    </w:p>
    <w:p w14:paraId="3A729E32">
      <w:pPr>
        <w:keepNext w:val="0"/>
        <w:keepLines w:val="0"/>
        <w:pageBreakBefore w:val="0"/>
        <w:kinsoku/>
        <w:wordWrap w:val="0"/>
        <w:overflowPunct/>
        <w:topLinePunct w:val="0"/>
        <w:autoSpaceDE/>
        <w:autoSpaceDN/>
        <w:bidi w:val="0"/>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w:t>
      </w:r>
    </w:p>
    <w:p w14:paraId="41E39445">
      <w:pPr>
        <w:keepNext w:val="0"/>
        <w:keepLines w:val="0"/>
        <w:pageBreakBefore w:val="0"/>
        <w:kinsoku/>
        <w:wordWrap w:val="0"/>
        <w:overflowPunct/>
        <w:topLinePunct w:val="0"/>
        <w:autoSpaceDE/>
        <w:autoSpaceDN/>
        <w:bidi w:val="0"/>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p>
    <w:p w14:paraId="3DDC5999">
      <w:pPr>
        <w:keepNext w:val="0"/>
        <w:keepLines w:val="0"/>
        <w:pageBreakBefore w:val="0"/>
        <w:kinsoku/>
        <w:wordWrap w:val="0"/>
        <w:overflowPunct/>
        <w:topLinePunct w:val="0"/>
        <w:autoSpaceDE/>
        <w:autoSpaceDN/>
        <w:bidi w:val="0"/>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特此承诺。</w:t>
      </w:r>
    </w:p>
    <w:p w14:paraId="728460E7">
      <w:pPr>
        <w:pStyle w:val="27"/>
        <w:keepNext w:val="0"/>
        <w:keepLines w:val="0"/>
        <w:pageBreakBefore w:val="0"/>
        <w:kinsoku/>
        <w:wordWrap w:val="0"/>
        <w:overflowPunct/>
        <w:topLinePunct w:val="0"/>
        <w:autoSpaceDE/>
        <w:autoSpaceDN/>
        <w:bidi w:val="0"/>
        <w:spacing w:line="36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投标人法定代表人或其授权代表（签字或盖章）：</w:t>
      </w:r>
      <w:r>
        <w:rPr>
          <w:rFonts w:hint="eastAsia" w:ascii="宋体" w:hAnsi="宋体" w:eastAsia="宋体" w:cs="宋体"/>
          <w:color w:val="auto"/>
          <w:highlight w:val="none"/>
          <w:u w:val="single"/>
        </w:rPr>
        <w:t xml:space="preserve">                    </w:t>
      </w:r>
    </w:p>
    <w:p w14:paraId="7C89A185">
      <w:pPr>
        <w:pStyle w:val="27"/>
        <w:keepNext w:val="0"/>
        <w:keepLines w:val="0"/>
        <w:pageBreakBefore w:val="0"/>
        <w:kinsoku/>
        <w:wordWrap w:val="0"/>
        <w:overflowPunct/>
        <w:topLinePunct w:val="0"/>
        <w:autoSpaceDE/>
        <w:autoSpaceDN/>
        <w:bidi w:val="0"/>
        <w:spacing w:line="36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投标人名称（盖章）：</w:t>
      </w:r>
      <w:r>
        <w:rPr>
          <w:rFonts w:hint="eastAsia" w:ascii="宋体" w:hAnsi="宋体" w:eastAsia="宋体" w:cs="宋体"/>
          <w:color w:val="auto"/>
          <w:highlight w:val="none"/>
          <w:u w:val="single"/>
        </w:rPr>
        <w:t xml:space="preserve">                    </w:t>
      </w:r>
    </w:p>
    <w:p w14:paraId="14ADAB9B">
      <w:pPr>
        <w:pStyle w:val="27"/>
        <w:keepNext w:val="0"/>
        <w:keepLines w:val="0"/>
        <w:pageBreakBefore w:val="0"/>
        <w:kinsoku/>
        <w:wordWrap w:val="0"/>
        <w:overflowPunct/>
        <w:topLinePunct w:val="0"/>
        <w:autoSpaceDE/>
        <w:autoSpaceDN/>
        <w:bidi w:val="0"/>
        <w:spacing w:line="360" w:lineRule="auto"/>
        <w:ind w:right="101" w:rightChars="48" w:firstLine="4960" w:firstLineChars="2067"/>
        <w:jc w:val="right"/>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bookmarkEnd w:id="317"/>
      <w:r>
        <w:rPr>
          <w:rFonts w:hint="eastAsia" w:ascii="宋体" w:hAnsi="宋体" w:eastAsia="宋体" w:cs="宋体"/>
          <w:color w:val="auto"/>
          <w:highlight w:val="none"/>
        </w:rPr>
        <w:br w:type="page"/>
      </w:r>
    </w:p>
    <w:p w14:paraId="2975F563">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pPr>
      <w:bookmarkStart w:id="318" w:name="_Toc104131924"/>
      <w:bookmarkStart w:id="319" w:name="_Toc18155"/>
      <w:r>
        <w:rPr>
          <w:rFonts w:hint="eastAsia" w:ascii="宋体" w:hAnsi="宋体" w:eastAsia="宋体" w:cs="宋体"/>
          <w:b/>
          <w:bCs/>
          <w:color w:val="auto"/>
          <w:highlight w:val="none"/>
        </w:rPr>
        <w:t>类似项目业绩</w:t>
      </w:r>
      <w:bookmarkEnd w:id="318"/>
      <w:bookmarkEnd w:id="319"/>
    </w:p>
    <w:p w14:paraId="793B0B86">
      <w:pPr>
        <w:pStyle w:val="27"/>
        <w:keepNext w:val="0"/>
        <w:keepLines w:val="0"/>
        <w:pageBreakBefore w:val="0"/>
        <w:kinsoku/>
        <w:wordWrap w:val="0"/>
        <w:overflowPunct/>
        <w:topLinePunct w:val="0"/>
        <w:autoSpaceDE/>
        <w:autoSpaceDN/>
        <w:bidi w:val="0"/>
        <w:spacing w:line="360" w:lineRule="auto"/>
        <w:ind w:firstLine="0" w:firstLineChars="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类似项目业绩</w:t>
      </w:r>
    </w:p>
    <w:tbl>
      <w:tblPr>
        <w:tblStyle w:val="34"/>
        <w:tblW w:w="9762"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44"/>
        <w:gridCol w:w="1078"/>
        <w:gridCol w:w="3032"/>
        <w:gridCol w:w="1521"/>
        <w:gridCol w:w="1954"/>
        <w:gridCol w:w="1533"/>
      </w:tblGrid>
      <w:tr w14:paraId="14E841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644" w:type="dxa"/>
            <w:tcBorders>
              <w:top w:val="single" w:color="000000" w:sz="6" w:space="0"/>
              <w:left w:val="single" w:color="000000" w:sz="6" w:space="0"/>
              <w:bottom w:val="single" w:color="000000" w:sz="6" w:space="0"/>
              <w:right w:val="single" w:color="000000" w:sz="6" w:space="0"/>
            </w:tcBorders>
            <w:shd w:val="clear" w:color="auto" w:fill="F4F4F4"/>
            <w:vAlign w:val="center"/>
          </w:tcPr>
          <w:p w14:paraId="2B1F6F7C">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序号</w:t>
            </w:r>
          </w:p>
        </w:tc>
        <w:tc>
          <w:tcPr>
            <w:tcW w:w="1078" w:type="dxa"/>
            <w:tcBorders>
              <w:top w:val="single" w:color="000000" w:sz="6" w:space="0"/>
              <w:left w:val="single" w:color="000000" w:sz="6" w:space="0"/>
              <w:bottom w:val="single" w:color="000000" w:sz="6" w:space="0"/>
              <w:right w:val="single" w:color="000000" w:sz="6" w:space="0"/>
            </w:tcBorders>
            <w:shd w:val="clear" w:color="auto" w:fill="F4F4F4"/>
            <w:vAlign w:val="center"/>
          </w:tcPr>
          <w:p w14:paraId="13A30A3A">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客户名称</w:t>
            </w:r>
          </w:p>
        </w:tc>
        <w:tc>
          <w:tcPr>
            <w:tcW w:w="3032" w:type="dxa"/>
            <w:tcBorders>
              <w:top w:val="single" w:color="000000" w:sz="6" w:space="0"/>
              <w:left w:val="single" w:color="000000" w:sz="6" w:space="0"/>
              <w:bottom w:val="single" w:color="000000" w:sz="6" w:space="0"/>
              <w:right w:val="single" w:color="000000" w:sz="6" w:space="0"/>
            </w:tcBorders>
            <w:shd w:val="clear" w:color="auto" w:fill="F4F4F4"/>
            <w:vAlign w:val="center"/>
          </w:tcPr>
          <w:p w14:paraId="4962CB5D">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rPr>
              <w:t>合同名称</w:t>
            </w:r>
          </w:p>
        </w:tc>
        <w:tc>
          <w:tcPr>
            <w:tcW w:w="1521" w:type="dxa"/>
            <w:tcBorders>
              <w:top w:val="single" w:color="000000" w:sz="6" w:space="0"/>
              <w:left w:val="single" w:color="000000" w:sz="6" w:space="0"/>
              <w:bottom w:val="single" w:color="000000" w:sz="6" w:space="0"/>
              <w:right w:val="single" w:color="000000" w:sz="6" w:space="0"/>
            </w:tcBorders>
            <w:shd w:val="clear" w:color="auto" w:fill="F4F4F4"/>
            <w:vAlign w:val="center"/>
          </w:tcPr>
          <w:p w14:paraId="02493868">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合同内容</w:t>
            </w:r>
          </w:p>
        </w:tc>
        <w:tc>
          <w:tcPr>
            <w:tcW w:w="1954" w:type="dxa"/>
            <w:tcBorders>
              <w:top w:val="single" w:color="000000" w:sz="6" w:space="0"/>
              <w:left w:val="single" w:color="000000" w:sz="6" w:space="0"/>
              <w:bottom w:val="single" w:color="000000" w:sz="6" w:space="0"/>
              <w:right w:val="single" w:color="000000" w:sz="6" w:space="0"/>
            </w:tcBorders>
            <w:shd w:val="clear" w:color="auto" w:fill="F4F4F4"/>
            <w:vAlign w:val="center"/>
          </w:tcPr>
          <w:p w14:paraId="04D1518E">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合同签订时间</w:t>
            </w:r>
          </w:p>
        </w:tc>
        <w:tc>
          <w:tcPr>
            <w:tcW w:w="1533" w:type="dxa"/>
            <w:tcBorders>
              <w:top w:val="single" w:color="000000" w:sz="6" w:space="0"/>
              <w:left w:val="single" w:color="000000" w:sz="6" w:space="0"/>
              <w:bottom w:val="single" w:color="000000" w:sz="6" w:space="0"/>
              <w:right w:val="single" w:color="000000" w:sz="6" w:space="0"/>
            </w:tcBorders>
            <w:shd w:val="clear" w:color="auto" w:fill="F4F4F4"/>
            <w:vAlign w:val="center"/>
          </w:tcPr>
          <w:p w14:paraId="18DFD3CE">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eastAsia="zh-CN"/>
              </w:rPr>
              <w:t>备注</w:t>
            </w:r>
          </w:p>
        </w:tc>
      </w:tr>
      <w:tr w14:paraId="2DF30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644" w:type="dxa"/>
            <w:tcBorders>
              <w:top w:val="single" w:color="000000" w:sz="6" w:space="0"/>
              <w:left w:val="single" w:color="000000" w:sz="6" w:space="0"/>
              <w:bottom w:val="single" w:color="000000" w:sz="6" w:space="0"/>
              <w:right w:val="single" w:color="000000" w:sz="6" w:space="0"/>
            </w:tcBorders>
            <w:vAlign w:val="center"/>
          </w:tcPr>
          <w:p w14:paraId="353283B5">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078" w:type="dxa"/>
            <w:tcBorders>
              <w:top w:val="single" w:color="000000" w:sz="6" w:space="0"/>
              <w:left w:val="single" w:color="000000" w:sz="6" w:space="0"/>
              <w:bottom w:val="single" w:color="000000" w:sz="6" w:space="0"/>
              <w:right w:val="single" w:color="000000" w:sz="6" w:space="0"/>
            </w:tcBorders>
            <w:vAlign w:val="center"/>
          </w:tcPr>
          <w:p w14:paraId="4229C4B4">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Cs w:val="21"/>
                <w:highlight w:val="none"/>
              </w:rPr>
            </w:pPr>
          </w:p>
        </w:tc>
        <w:tc>
          <w:tcPr>
            <w:tcW w:w="3032" w:type="dxa"/>
            <w:tcBorders>
              <w:top w:val="single" w:color="000000" w:sz="6" w:space="0"/>
              <w:left w:val="single" w:color="000000" w:sz="6" w:space="0"/>
              <w:bottom w:val="single" w:color="000000" w:sz="6" w:space="0"/>
              <w:right w:val="single" w:color="000000" w:sz="6" w:space="0"/>
            </w:tcBorders>
            <w:vAlign w:val="center"/>
          </w:tcPr>
          <w:p w14:paraId="3F3E8A1E">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Cs w:val="21"/>
                <w:highlight w:val="none"/>
              </w:rPr>
            </w:pPr>
          </w:p>
        </w:tc>
        <w:tc>
          <w:tcPr>
            <w:tcW w:w="1521" w:type="dxa"/>
            <w:tcBorders>
              <w:top w:val="single" w:color="000000" w:sz="6" w:space="0"/>
              <w:left w:val="single" w:color="000000" w:sz="6" w:space="0"/>
              <w:bottom w:val="single" w:color="000000" w:sz="6" w:space="0"/>
              <w:right w:val="single" w:color="000000" w:sz="6" w:space="0"/>
            </w:tcBorders>
            <w:vAlign w:val="center"/>
          </w:tcPr>
          <w:p w14:paraId="3B8290EC">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Cs w:val="21"/>
                <w:highlight w:val="none"/>
              </w:rPr>
            </w:pPr>
          </w:p>
        </w:tc>
        <w:tc>
          <w:tcPr>
            <w:tcW w:w="1954" w:type="dxa"/>
            <w:tcBorders>
              <w:top w:val="single" w:color="000000" w:sz="6" w:space="0"/>
              <w:left w:val="single" w:color="000000" w:sz="6" w:space="0"/>
              <w:bottom w:val="single" w:color="000000" w:sz="6" w:space="0"/>
              <w:right w:val="single" w:color="000000" w:sz="6" w:space="0"/>
            </w:tcBorders>
            <w:vAlign w:val="center"/>
          </w:tcPr>
          <w:p w14:paraId="58AD2B07">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Cs w:val="21"/>
                <w:highlight w:val="none"/>
              </w:rPr>
            </w:pPr>
          </w:p>
        </w:tc>
        <w:tc>
          <w:tcPr>
            <w:tcW w:w="1533" w:type="dxa"/>
            <w:tcBorders>
              <w:top w:val="single" w:color="000000" w:sz="6" w:space="0"/>
              <w:left w:val="single" w:color="000000" w:sz="6" w:space="0"/>
              <w:bottom w:val="single" w:color="000000" w:sz="6" w:space="0"/>
              <w:right w:val="single" w:color="000000" w:sz="6" w:space="0"/>
            </w:tcBorders>
            <w:vAlign w:val="center"/>
          </w:tcPr>
          <w:p w14:paraId="5A0DAD2B">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Cs w:val="21"/>
                <w:highlight w:val="none"/>
              </w:rPr>
            </w:pPr>
          </w:p>
        </w:tc>
      </w:tr>
      <w:tr w14:paraId="01CBE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644" w:type="dxa"/>
            <w:tcBorders>
              <w:top w:val="single" w:color="000000" w:sz="6" w:space="0"/>
              <w:left w:val="single" w:color="000000" w:sz="6" w:space="0"/>
              <w:bottom w:val="single" w:color="000000" w:sz="6" w:space="0"/>
              <w:right w:val="single" w:color="000000" w:sz="6" w:space="0"/>
            </w:tcBorders>
            <w:vAlign w:val="center"/>
          </w:tcPr>
          <w:p w14:paraId="4940E4DD">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1078" w:type="dxa"/>
            <w:tcBorders>
              <w:top w:val="single" w:color="000000" w:sz="6" w:space="0"/>
              <w:left w:val="single" w:color="000000" w:sz="6" w:space="0"/>
              <w:bottom w:val="single" w:color="000000" w:sz="6" w:space="0"/>
              <w:right w:val="single" w:color="000000" w:sz="6" w:space="0"/>
            </w:tcBorders>
            <w:vAlign w:val="center"/>
          </w:tcPr>
          <w:p w14:paraId="60EC7F91">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Cs w:val="21"/>
                <w:highlight w:val="none"/>
              </w:rPr>
            </w:pPr>
          </w:p>
        </w:tc>
        <w:tc>
          <w:tcPr>
            <w:tcW w:w="3032" w:type="dxa"/>
            <w:tcBorders>
              <w:top w:val="single" w:color="000000" w:sz="6" w:space="0"/>
              <w:left w:val="single" w:color="000000" w:sz="6" w:space="0"/>
              <w:bottom w:val="single" w:color="000000" w:sz="6" w:space="0"/>
              <w:right w:val="single" w:color="000000" w:sz="6" w:space="0"/>
            </w:tcBorders>
            <w:vAlign w:val="center"/>
          </w:tcPr>
          <w:p w14:paraId="41CBF93C">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Cs w:val="21"/>
                <w:highlight w:val="none"/>
              </w:rPr>
            </w:pPr>
          </w:p>
        </w:tc>
        <w:tc>
          <w:tcPr>
            <w:tcW w:w="1521" w:type="dxa"/>
            <w:tcBorders>
              <w:top w:val="single" w:color="000000" w:sz="6" w:space="0"/>
              <w:left w:val="single" w:color="000000" w:sz="6" w:space="0"/>
              <w:bottom w:val="single" w:color="000000" w:sz="6" w:space="0"/>
              <w:right w:val="single" w:color="000000" w:sz="6" w:space="0"/>
            </w:tcBorders>
            <w:vAlign w:val="center"/>
          </w:tcPr>
          <w:p w14:paraId="6D7CCEA7">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Cs w:val="21"/>
                <w:highlight w:val="none"/>
              </w:rPr>
            </w:pPr>
          </w:p>
        </w:tc>
        <w:tc>
          <w:tcPr>
            <w:tcW w:w="1954" w:type="dxa"/>
            <w:tcBorders>
              <w:top w:val="single" w:color="000000" w:sz="6" w:space="0"/>
              <w:left w:val="single" w:color="000000" w:sz="6" w:space="0"/>
              <w:bottom w:val="single" w:color="000000" w:sz="6" w:space="0"/>
              <w:right w:val="single" w:color="000000" w:sz="6" w:space="0"/>
            </w:tcBorders>
            <w:vAlign w:val="center"/>
          </w:tcPr>
          <w:p w14:paraId="0335029C">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Cs w:val="21"/>
                <w:highlight w:val="none"/>
              </w:rPr>
            </w:pPr>
          </w:p>
        </w:tc>
        <w:tc>
          <w:tcPr>
            <w:tcW w:w="1533" w:type="dxa"/>
            <w:tcBorders>
              <w:top w:val="single" w:color="000000" w:sz="6" w:space="0"/>
              <w:left w:val="single" w:color="000000" w:sz="6" w:space="0"/>
              <w:bottom w:val="single" w:color="000000" w:sz="6" w:space="0"/>
              <w:right w:val="single" w:color="000000" w:sz="6" w:space="0"/>
            </w:tcBorders>
            <w:vAlign w:val="center"/>
          </w:tcPr>
          <w:p w14:paraId="702F4F80">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Cs w:val="21"/>
                <w:highlight w:val="none"/>
              </w:rPr>
            </w:pPr>
          </w:p>
        </w:tc>
      </w:tr>
      <w:tr w14:paraId="47B8A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644" w:type="dxa"/>
            <w:tcBorders>
              <w:top w:val="single" w:color="000000" w:sz="6" w:space="0"/>
              <w:left w:val="single" w:color="000000" w:sz="6" w:space="0"/>
              <w:bottom w:val="single" w:color="000000" w:sz="6" w:space="0"/>
              <w:right w:val="single" w:color="000000" w:sz="6" w:space="0"/>
            </w:tcBorders>
            <w:vAlign w:val="center"/>
          </w:tcPr>
          <w:p w14:paraId="5D8B7AFD">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1078" w:type="dxa"/>
            <w:tcBorders>
              <w:top w:val="single" w:color="000000" w:sz="6" w:space="0"/>
              <w:left w:val="single" w:color="000000" w:sz="6" w:space="0"/>
              <w:bottom w:val="single" w:color="000000" w:sz="6" w:space="0"/>
              <w:right w:val="single" w:color="000000" w:sz="6" w:space="0"/>
            </w:tcBorders>
            <w:vAlign w:val="center"/>
          </w:tcPr>
          <w:p w14:paraId="0A95503B">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Cs w:val="21"/>
                <w:highlight w:val="none"/>
              </w:rPr>
            </w:pPr>
          </w:p>
        </w:tc>
        <w:tc>
          <w:tcPr>
            <w:tcW w:w="3032" w:type="dxa"/>
            <w:tcBorders>
              <w:top w:val="single" w:color="000000" w:sz="6" w:space="0"/>
              <w:left w:val="single" w:color="000000" w:sz="6" w:space="0"/>
              <w:bottom w:val="single" w:color="000000" w:sz="6" w:space="0"/>
              <w:right w:val="single" w:color="000000" w:sz="6" w:space="0"/>
            </w:tcBorders>
            <w:vAlign w:val="center"/>
          </w:tcPr>
          <w:p w14:paraId="2BEA7BC7">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Cs w:val="21"/>
                <w:highlight w:val="none"/>
              </w:rPr>
            </w:pPr>
          </w:p>
        </w:tc>
        <w:tc>
          <w:tcPr>
            <w:tcW w:w="1521" w:type="dxa"/>
            <w:tcBorders>
              <w:top w:val="single" w:color="000000" w:sz="6" w:space="0"/>
              <w:left w:val="single" w:color="000000" w:sz="6" w:space="0"/>
              <w:bottom w:val="single" w:color="000000" w:sz="6" w:space="0"/>
              <w:right w:val="single" w:color="000000" w:sz="6" w:space="0"/>
            </w:tcBorders>
            <w:vAlign w:val="center"/>
          </w:tcPr>
          <w:p w14:paraId="04A35B6A">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Cs w:val="21"/>
                <w:highlight w:val="none"/>
              </w:rPr>
            </w:pPr>
          </w:p>
        </w:tc>
        <w:tc>
          <w:tcPr>
            <w:tcW w:w="1954" w:type="dxa"/>
            <w:tcBorders>
              <w:top w:val="single" w:color="000000" w:sz="6" w:space="0"/>
              <w:left w:val="single" w:color="000000" w:sz="6" w:space="0"/>
              <w:bottom w:val="single" w:color="000000" w:sz="6" w:space="0"/>
              <w:right w:val="single" w:color="000000" w:sz="6" w:space="0"/>
            </w:tcBorders>
            <w:vAlign w:val="center"/>
          </w:tcPr>
          <w:p w14:paraId="01720639">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Cs w:val="21"/>
                <w:highlight w:val="none"/>
              </w:rPr>
            </w:pPr>
          </w:p>
        </w:tc>
        <w:tc>
          <w:tcPr>
            <w:tcW w:w="1533" w:type="dxa"/>
            <w:tcBorders>
              <w:top w:val="single" w:color="000000" w:sz="6" w:space="0"/>
              <w:left w:val="single" w:color="000000" w:sz="6" w:space="0"/>
              <w:bottom w:val="single" w:color="000000" w:sz="6" w:space="0"/>
              <w:right w:val="single" w:color="000000" w:sz="6" w:space="0"/>
            </w:tcBorders>
            <w:vAlign w:val="center"/>
          </w:tcPr>
          <w:p w14:paraId="7B5D0363">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Cs w:val="21"/>
                <w:highlight w:val="none"/>
              </w:rPr>
            </w:pPr>
          </w:p>
        </w:tc>
      </w:tr>
      <w:tr w14:paraId="779609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644" w:type="dxa"/>
            <w:tcBorders>
              <w:top w:val="single" w:color="000000" w:sz="6" w:space="0"/>
              <w:left w:val="single" w:color="000000" w:sz="6" w:space="0"/>
              <w:bottom w:val="single" w:color="000000" w:sz="6" w:space="0"/>
              <w:right w:val="single" w:color="000000" w:sz="6" w:space="0"/>
            </w:tcBorders>
            <w:vAlign w:val="center"/>
          </w:tcPr>
          <w:p w14:paraId="27BD0379">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1078" w:type="dxa"/>
            <w:tcBorders>
              <w:top w:val="single" w:color="000000" w:sz="6" w:space="0"/>
              <w:left w:val="single" w:color="000000" w:sz="6" w:space="0"/>
              <w:bottom w:val="single" w:color="000000" w:sz="6" w:space="0"/>
              <w:right w:val="single" w:color="000000" w:sz="6" w:space="0"/>
            </w:tcBorders>
            <w:vAlign w:val="center"/>
          </w:tcPr>
          <w:p w14:paraId="69F25ABB">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Cs w:val="21"/>
                <w:highlight w:val="none"/>
              </w:rPr>
            </w:pPr>
          </w:p>
        </w:tc>
        <w:tc>
          <w:tcPr>
            <w:tcW w:w="3032" w:type="dxa"/>
            <w:tcBorders>
              <w:top w:val="single" w:color="000000" w:sz="6" w:space="0"/>
              <w:left w:val="single" w:color="000000" w:sz="6" w:space="0"/>
              <w:bottom w:val="single" w:color="000000" w:sz="6" w:space="0"/>
              <w:right w:val="single" w:color="000000" w:sz="6" w:space="0"/>
            </w:tcBorders>
            <w:vAlign w:val="center"/>
          </w:tcPr>
          <w:p w14:paraId="0B3A1FED">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Cs w:val="21"/>
                <w:highlight w:val="none"/>
              </w:rPr>
            </w:pPr>
          </w:p>
        </w:tc>
        <w:tc>
          <w:tcPr>
            <w:tcW w:w="1521" w:type="dxa"/>
            <w:tcBorders>
              <w:top w:val="single" w:color="000000" w:sz="6" w:space="0"/>
              <w:left w:val="single" w:color="000000" w:sz="6" w:space="0"/>
              <w:bottom w:val="single" w:color="000000" w:sz="6" w:space="0"/>
              <w:right w:val="single" w:color="000000" w:sz="6" w:space="0"/>
            </w:tcBorders>
            <w:vAlign w:val="center"/>
          </w:tcPr>
          <w:p w14:paraId="0B00382E">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Cs w:val="21"/>
                <w:highlight w:val="none"/>
              </w:rPr>
            </w:pPr>
          </w:p>
        </w:tc>
        <w:tc>
          <w:tcPr>
            <w:tcW w:w="1954" w:type="dxa"/>
            <w:tcBorders>
              <w:top w:val="single" w:color="000000" w:sz="6" w:space="0"/>
              <w:left w:val="single" w:color="000000" w:sz="6" w:space="0"/>
              <w:bottom w:val="single" w:color="000000" w:sz="6" w:space="0"/>
              <w:right w:val="single" w:color="000000" w:sz="6" w:space="0"/>
            </w:tcBorders>
            <w:vAlign w:val="center"/>
          </w:tcPr>
          <w:p w14:paraId="1646CFBF">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Cs w:val="21"/>
                <w:highlight w:val="none"/>
              </w:rPr>
            </w:pPr>
          </w:p>
        </w:tc>
        <w:tc>
          <w:tcPr>
            <w:tcW w:w="1533" w:type="dxa"/>
            <w:tcBorders>
              <w:top w:val="single" w:color="000000" w:sz="6" w:space="0"/>
              <w:left w:val="single" w:color="000000" w:sz="6" w:space="0"/>
              <w:bottom w:val="single" w:color="000000" w:sz="6" w:space="0"/>
              <w:right w:val="single" w:color="000000" w:sz="6" w:space="0"/>
            </w:tcBorders>
            <w:vAlign w:val="center"/>
          </w:tcPr>
          <w:p w14:paraId="09080A7C">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Cs w:val="21"/>
                <w:highlight w:val="none"/>
              </w:rPr>
            </w:pPr>
          </w:p>
        </w:tc>
      </w:tr>
      <w:tr w14:paraId="36888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644" w:type="dxa"/>
            <w:tcBorders>
              <w:top w:val="single" w:color="000000" w:sz="6" w:space="0"/>
              <w:left w:val="single" w:color="000000" w:sz="6" w:space="0"/>
              <w:bottom w:val="single" w:color="000000" w:sz="6" w:space="0"/>
              <w:right w:val="single" w:color="000000" w:sz="6" w:space="0"/>
            </w:tcBorders>
            <w:vAlign w:val="center"/>
          </w:tcPr>
          <w:p w14:paraId="387AA0DD">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078" w:type="dxa"/>
            <w:tcBorders>
              <w:top w:val="single" w:color="000000" w:sz="6" w:space="0"/>
              <w:left w:val="single" w:color="000000" w:sz="6" w:space="0"/>
              <w:bottom w:val="single" w:color="000000" w:sz="6" w:space="0"/>
              <w:right w:val="single" w:color="000000" w:sz="6" w:space="0"/>
            </w:tcBorders>
            <w:vAlign w:val="center"/>
          </w:tcPr>
          <w:p w14:paraId="0C0C429F">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Cs w:val="21"/>
                <w:highlight w:val="none"/>
              </w:rPr>
            </w:pPr>
          </w:p>
        </w:tc>
        <w:tc>
          <w:tcPr>
            <w:tcW w:w="3032" w:type="dxa"/>
            <w:tcBorders>
              <w:top w:val="single" w:color="000000" w:sz="6" w:space="0"/>
              <w:left w:val="single" w:color="000000" w:sz="6" w:space="0"/>
              <w:bottom w:val="single" w:color="000000" w:sz="6" w:space="0"/>
              <w:right w:val="single" w:color="000000" w:sz="6" w:space="0"/>
            </w:tcBorders>
            <w:vAlign w:val="center"/>
          </w:tcPr>
          <w:p w14:paraId="7F373EFF">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Cs w:val="21"/>
                <w:highlight w:val="none"/>
              </w:rPr>
            </w:pPr>
          </w:p>
        </w:tc>
        <w:tc>
          <w:tcPr>
            <w:tcW w:w="1521" w:type="dxa"/>
            <w:tcBorders>
              <w:top w:val="single" w:color="000000" w:sz="6" w:space="0"/>
              <w:left w:val="single" w:color="000000" w:sz="6" w:space="0"/>
              <w:bottom w:val="single" w:color="000000" w:sz="6" w:space="0"/>
              <w:right w:val="single" w:color="000000" w:sz="6" w:space="0"/>
            </w:tcBorders>
            <w:vAlign w:val="center"/>
          </w:tcPr>
          <w:p w14:paraId="37C2A7B4">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Cs w:val="21"/>
                <w:highlight w:val="none"/>
              </w:rPr>
            </w:pPr>
          </w:p>
        </w:tc>
        <w:tc>
          <w:tcPr>
            <w:tcW w:w="1954" w:type="dxa"/>
            <w:tcBorders>
              <w:top w:val="single" w:color="000000" w:sz="6" w:space="0"/>
              <w:left w:val="single" w:color="000000" w:sz="6" w:space="0"/>
              <w:bottom w:val="single" w:color="000000" w:sz="6" w:space="0"/>
              <w:right w:val="single" w:color="000000" w:sz="6" w:space="0"/>
            </w:tcBorders>
            <w:vAlign w:val="center"/>
          </w:tcPr>
          <w:p w14:paraId="6DAEF222">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Cs w:val="21"/>
                <w:highlight w:val="none"/>
              </w:rPr>
            </w:pPr>
          </w:p>
        </w:tc>
        <w:tc>
          <w:tcPr>
            <w:tcW w:w="1533" w:type="dxa"/>
            <w:tcBorders>
              <w:top w:val="single" w:color="000000" w:sz="6" w:space="0"/>
              <w:left w:val="single" w:color="000000" w:sz="6" w:space="0"/>
              <w:bottom w:val="single" w:color="000000" w:sz="6" w:space="0"/>
              <w:right w:val="single" w:color="000000" w:sz="6" w:space="0"/>
            </w:tcBorders>
            <w:vAlign w:val="center"/>
          </w:tcPr>
          <w:p w14:paraId="1CE1EE09">
            <w:pPr>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Cs w:val="21"/>
                <w:highlight w:val="none"/>
              </w:rPr>
            </w:pPr>
          </w:p>
        </w:tc>
      </w:tr>
    </w:tbl>
    <w:p w14:paraId="7BAEBE72">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说明：根据评审标准要求提供相关证明材料。</w:t>
      </w:r>
    </w:p>
    <w:p w14:paraId="360BC2F7">
      <w:pPr>
        <w:pStyle w:val="33"/>
        <w:keepNext w:val="0"/>
        <w:keepLines w:val="0"/>
        <w:pageBreakBefore w:val="0"/>
        <w:kinsoku/>
        <w:wordWrap w:val="0"/>
        <w:overflowPunct/>
        <w:topLinePunct w:val="0"/>
        <w:autoSpaceDE/>
        <w:autoSpaceDN/>
        <w:bidi w:val="0"/>
        <w:spacing w:after="0" w:line="360" w:lineRule="auto"/>
        <w:ind w:left="0" w:leftChars="0" w:firstLine="0" w:firstLineChars="0"/>
        <w:rPr>
          <w:rFonts w:hint="eastAsia" w:ascii="宋体" w:hAnsi="宋体" w:eastAsia="宋体" w:cs="宋体"/>
          <w:color w:val="auto"/>
          <w:szCs w:val="21"/>
          <w:highlight w:val="none"/>
          <w:lang w:eastAsia="zh-CN"/>
        </w:rPr>
      </w:pPr>
    </w:p>
    <w:p w14:paraId="4C936E14">
      <w:pPr>
        <w:pStyle w:val="33"/>
        <w:keepNext w:val="0"/>
        <w:keepLines w:val="0"/>
        <w:pageBreakBefore w:val="0"/>
        <w:kinsoku/>
        <w:wordWrap w:val="0"/>
        <w:overflowPunct/>
        <w:topLinePunct w:val="0"/>
        <w:autoSpaceDE/>
        <w:autoSpaceDN/>
        <w:bidi w:val="0"/>
        <w:spacing w:after="0" w:line="360" w:lineRule="auto"/>
        <w:ind w:left="0" w:leftChars="0" w:firstLine="0" w:firstLineChars="0"/>
        <w:rPr>
          <w:rFonts w:hint="eastAsia" w:ascii="宋体" w:hAnsi="宋体" w:eastAsia="宋体" w:cs="宋体"/>
          <w:color w:val="auto"/>
          <w:szCs w:val="21"/>
          <w:highlight w:val="none"/>
          <w:lang w:eastAsia="zh-CN"/>
        </w:rPr>
      </w:pPr>
    </w:p>
    <w:p w14:paraId="7B6D939C">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pPr>
      <w:bookmarkStart w:id="320" w:name="_Toc27072"/>
      <w:bookmarkStart w:id="321" w:name="_Toc104131925"/>
      <w:r>
        <w:rPr>
          <w:rFonts w:hint="eastAsia" w:ascii="宋体" w:hAnsi="宋体" w:eastAsia="宋体" w:cs="宋体"/>
          <w:b/>
          <w:bCs/>
          <w:color w:val="auto"/>
          <w:highlight w:val="none"/>
        </w:rPr>
        <w:t>体系认证情况</w:t>
      </w:r>
      <w:bookmarkEnd w:id="320"/>
    </w:p>
    <w:p w14:paraId="121DAC25">
      <w:pPr>
        <w:keepNext w:val="0"/>
        <w:keepLines w:val="0"/>
        <w:pageBreakBefore w:val="0"/>
        <w:kinsoku/>
        <w:wordWrap w:val="0"/>
        <w:overflowPunct/>
        <w:topLinePunct w:val="0"/>
        <w:autoSpaceDE/>
        <w:autoSpaceDN/>
        <w:bidi w:val="0"/>
        <w:spacing w:line="360" w:lineRule="auto"/>
        <w:rPr>
          <w:rFonts w:hint="eastAsia" w:ascii="宋体" w:hAnsi="宋体" w:eastAsia="宋体" w:cs="宋体"/>
          <w:i/>
          <w:iCs/>
          <w:color w:val="auto"/>
          <w:szCs w:val="21"/>
          <w:highlight w:val="none"/>
        </w:rPr>
      </w:pPr>
      <w:r>
        <w:rPr>
          <w:rFonts w:hint="eastAsia" w:ascii="宋体" w:hAnsi="宋体" w:eastAsia="宋体" w:cs="宋体"/>
          <w:i/>
          <w:iCs/>
          <w:color w:val="auto"/>
          <w:szCs w:val="21"/>
          <w:highlight w:val="none"/>
          <w:lang w:eastAsia="zh-CN"/>
        </w:rPr>
        <w:t>（按照招标文件评审标准提供相关材料。</w:t>
      </w:r>
      <w:r>
        <w:rPr>
          <w:rFonts w:hint="eastAsia" w:ascii="宋体" w:hAnsi="宋体" w:eastAsia="宋体" w:cs="宋体"/>
          <w:i/>
          <w:iCs/>
          <w:color w:val="auto"/>
          <w:szCs w:val="21"/>
          <w:highlight w:val="none"/>
        </w:rPr>
        <w:t>）</w:t>
      </w:r>
    </w:p>
    <w:p w14:paraId="598378AA">
      <w:pPr>
        <w:pStyle w:val="27"/>
        <w:keepNext w:val="0"/>
        <w:keepLines w:val="0"/>
        <w:pageBreakBefore w:val="0"/>
        <w:numPr>
          <w:ilvl w:val="0"/>
          <w:numId w:val="0"/>
        </w:numPr>
        <w:kinsoku/>
        <w:wordWrap w:val="0"/>
        <w:overflowPunct/>
        <w:topLinePunct w:val="0"/>
        <w:autoSpaceDE/>
        <w:autoSpaceDN/>
        <w:bidi w:val="0"/>
        <w:spacing w:line="360" w:lineRule="auto"/>
        <w:ind w:leftChars="0"/>
        <w:outlineLvl w:val="9"/>
        <w:rPr>
          <w:rFonts w:hint="eastAsia" w:ascii="宋体" w:hAnsi="宋体" w:eastAsia="宋体" w:cs="宋体"/>
          <w:b/>
          <w:bCs/>
          <w:color w:val="auto"/>
          <w:highlight w:val="none"/>
        </w:rPr>
      </w:pPr>
    </w:p>
    <w:p w14:paraId="20500FFD">
      <w:pPr>
        <w:pStyle w:val="27"/>
        <w:keepNext w:val="0"/>
        <w:keepLines w:val="0"/>
        <w:pageBreakBefore w:val="0"/>
        <w:numPr>
          <w:ilvl w:val="0"/>
          <w:numId w:val="0"/>
        </w:numPr>
        <w:kinsoku/>
        <w:wordWrap w:val="0"/>
        <w:overflowPunct/>
        <w:topLinePunct w:val="0"/>
        <w:autoSpaceDE/>
        <w:autoSpaceDN/>
        <w:bidi w:val="0"/>
        <w:spacing w:line="360" w:lineRule="auto"/>
        <w:ind w:leftChars="0"/>
        <w:outlineLvl w:val="9"/>
        <w:rPr>
          <w:rFonts w:hint="eastAsia" w:ascii="宋体" w:hAnsi="宋体" w:eastAsia="宋体" w:cs="宋体"/>
          <w:b/>
          <w:bCs/>
          <w:color w:val="auto"/>
          <w:highlight w:val="none"/>
        </w:rPr>
      </w:pPr>
    </w:p>
    <w:p w14:paraId="248EF7A5">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pPr>
      <w:bookmarkStart w:id="322" w:name="_Toc27082"/>
      <w:r>
        <w:rPr>
          <w:rFonts w:hint="eastAsia" w:ascii="宋体" w:hAnsi="宋体" w:eastAsia="宋体" w:cs="宋体"/>
          <w:b/>
          <w:bCs/>
          <w:color w:val="auto"/>
          <w:highlight w:val="none"/>
        </w:rPr>
        <w:t>售后服务承诺</w:t>
      </w:r>
      <w:bookmarkEnd w:id="322"/>
    </w:p>
    <w:p w14:paraId="2D947CCF">
      <w:pPr>
        <w:keepNext w:val="0"/>
        <w:keepLines w:val="0"/>
        <w:pageBreakBefore w:val="0"/>
        <w:kinsoku/>
        <w:wordWrap w:val="0"/>
        <w:overflowPunct/>
        <w:topLinePunct w:val="0"/>
        <w:autoSpaceDE/>
        <w:autoSpaceDN/>
        <w:bidi w:val="0"/>
        <w:spacing w:line="360" w:lineRule="auto"/>
        <w:rPr>
          <w:rFonts w:hint="eastAsia" w:ascii="宋体" w:hAnsi="宋体" w:eastAsia="宋体" w:cs="宋体"/>
          <w:i/>
          <w:iCs/>
          <w:color w:val="auto"/>
          <w:szCs w:val="21"/>
          <w:highlight w:val="none"/>
        </w:rPr>
      </w:pPr>
      <w:r>
        <w:rPr>
          <w:rFonts w:hint="eastAsia" w:ascii="宋体" w:hAnsi="宋体" w:eastAsia="宋体" w:cs="宋体"/>
          <w:i/>
          <w:iCs/>
          <w:color w:val="auto"/>
          <w:szCs w:val="21"/>
          <w:highlight w:val="none"/>
          <w:lang w:eastAsia="zh-CN"/>
        </w:rPr>
        <w:t>（按照招标文件评审标准提供相关材料。</w:t>
      </w:r>
      <w:r>
        <w:rPr>
          <w:rFonts w:hint="eastAsia" w:ascii="宋体" w:hAnsi="宋体" w:eastAsia="宋体" w:cs="宋体"/>
          <w:i/>
          <w:iCs/>
          <w:color w:val="auto"/>
          <w:szCs w:val="21"/>
          <w:highlight w:val="none"/>
        </w:rPr>
        <w:t>）</w:t>
      </w:r>
    </w:p>
    <w:p w14:paraId="3B7383D8">
      <w:pPr>
        <w:pStyle w:val="27"/>
        <w:keepNext w:val="0"/>
        <w:keepLines w:val="0"/>
        <w:pageBreakBefore w:val="0"/>
        <w:numPr>
          <w:ilvl w:val="0"/>
          <w:numId w:val="0"/>
        </w:numPr>
        <w:kinsoku/>
        <w:wordWrap w:val="0"/>
        <w:overflowPunct/>
        <w:topLinePunct w:val="0"/>
        <w:autoSpaceDE/>
        <w:autoSpaceDN/>
        <w:bidi w:val="0"/>
        <w:spacing w:line="360" w:lineRule="auto"/>
        <w:ind w:leftChars="0"/>
        <w:outlineLvl w:val="9"/>
        <w:rPr>
          <w:rFonts w:hint="eastAsia" w:ascii="宋体" w:hAnsi="宋体" w:eastAsia="宋体" w:cs="宋体"/>
          <w:b/>
          <w:bCs/>
          <w:color w:val="auto"/>
          <w:highlight w:val="none"/>
        </w:rPr>
      </w:pPr>
    </w:p>
    <w:p w14:paraId="29D2E45F">
      <w:pPr>
        <w:pStyle w:val="27"/>
        <w:keepNext w:val="0"/>
        <w:keepLines w:val="0"/>
        <w:pageBreakBefore w:val="0"/>
        <w:numPr>
          <w:ilvl w:val="0"/>
          <w:numId w:val="0"/>
        </w:numPr>
        <w:kinsoku/>
        <w:wordWrap w:val="0"/>
        <w:overflowPunct/>
        <w:topLinePunct w:val="0"/>
        <w:autoSpaceDE/>
        <w:autoSpaceDN/>
        <w:bidi w:val="0"/>
        <w:spacing w:line="360" w:lineRule="auto"/>
        <w:ind w:leftChars="0"/>
        <w:outlineLvl w:val="9"/>
        <w:rPr>
          <w:rFonts w:hint="eastAsia" w:ascii="宋体" w:hAnsi="宋体" w:eastAsia="宋体" w:cs="宋体"/>
          <w:b/>
          <w:bCs/>
          <w:color w:val="auto"/>
          <w:highlight w:val="none"/>
        </w:rPr>
      </w:pPr>
    </w:p>
    <w:p w14:paraId="42C2247F">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pPr>
      <w:bookmarkStart w:id="323" w:name="_Toc3136"/>
      <w:r>
        <w:rPr>
          <w:rFonts w:hint="eastAsia" w:ascii="宋体" w:hAnsi="宋体" w:eastAsia="宋体" w:cs="宋体"/>
          <w:b/>
          <w:bCs/>
          <w:color w:val="auto"/>
          <w:highlight w:val="none"/>
        </w:rPr>
        <w:t>维修</w:t>
      </w:r>
      <w:bookmarkStart w:id="324" w:name="_Hlk111935035"/>
      <w:r>
        <w:rPr>
          <w:rFonts w:hint="eastAsia" w:cs="宋体"/>
          <w:b/>
          <w:bCs/>
          <w:color w:val="auto"/>
          <w:highlight w:val="none"/>
          <w:lang w:val="en-US" w:eastAsia="zh-CN"/>
        </w:rPr>
        <w:t>场地</w:t>
      </w:r>
      <w:bookmarkEnd w:id="323"/>
    </w:p>
    <w:p w14:paraId="01D81F01">
      <w:pPr>
        <w:keepNext w:val="0"/>
        <w:keepLines w:val="0"/>
        <w:pageBreakBefore w:val="0"/>
        <w:kinsoku/>
        <w:wordWrap w:val="0"/>
        <w:overflowPunct/>
        <w:topLinePunct w:val="0"/>
        <w:autoSpaceDE/>
        <w:autoSpaceDN/>
        <w:bidi w:val="0"/>
        <w:spacing w:line="360" w:lineRule="auto"/>
        <w:rPr>
          <w:rFonts w:hint="eastAsia" w:ascii="宋体" w:hAnsi="宋体" w:eastAsia="宋体" w:cs="宋体"/>
          <w:i/>
          <w:iCs/>
          <w:color w:val="auto"/>
          <w:szCs w:val="21"/>
          <w:highlight w:val="none"/>
        </w:rPr>
      </w:pPr>
      <w:r>
        <w:rPr>
          <w:rFonts w:hint="eastAsia" w:ascii="宋体" w:hAnsi="宋体" w:eastAsia="宋体" w:cs="宋体"/>
          <w:i/>
          <w:iCs/>
          <w:color w:val="auto"/>
          <w:szCs w:val="21"/>
          <w:highlight w:val="none"/>
          <w:lang w:eastAsia="zh-CN"/>
        </w:rPr>
        <w:t>（按照招标文件评审标准提供相关材料。</w:t>
      </w:r>
      <w:r>
        <w:rPr>
          <w:rFonts w:hint="eastAsia" w:ascii="宋体" w:hAnsi="宋体" w:eastAsia="宋体" w:cs="宋体"/>
          <w:i/>
          <w:iCs/>
          <w:color w:val="auto"/>
          <w:szCs w:val="21"/>
          <w:highlight w:val="none"/>
        </w:rPr>
        <w:t>）</w:t>
      </w:r>
    </w:p>
    <w:p w14:paraId="6D85EDEB">
      <w:pPr>
        <w:pStyle w:val="27"/>
        <w:keepNext w:val="0"/>
        <w:keepLines w:val="0"/>
        <w:pageBreakBefore w:val="0"/>
        <w:numPr>
          <w:ilvl w:val="0"/>
          <w:numId w:val="0"/>
        </w:numPr>
        <w:kinsoku/>
        <w:wordWrap w:val="0"/>
        <w:overflowPunct/>
        <w:topLinePunct w:val="0"/>
        <w:autoSpaceDE/>
        <w:autoSpaceDN/>
        <w:bidi w:val="0"/>
        <w:spacing w:line="360" w:lineRule="auto"/>
        <w:ind w:leftChars="0"/>
        <w:outlineLvl w:val="9"/>
        <w:rPr>
          <w:rFonts w:hint="eastAsia" w:ascii="宋体" w:hAnsi="宋体" w:eastAsia="宋体" w:cs="宋体"/>
          <w:b/>
          <w:bCs/>
          <w:color w:val="auto"/>
          <w:highlight w:val="none"/>
        </w:rPr>
      </w:pPr>
      <w:bookmarkStart w:id="338" w:name="_GoBack"/>
    </w:p>
    <w:p w14:paraId="29FB15D1">
      <w:pPr>
        <w:pStyle w:val="27"/>
        <w:keepNext w:val="0"/>
        <w:keepLines w:val="0"/>
        <w:pageBreakBefore w:val="0"/>
        <w:numPr>
          <w:ilvl w:val="0"/>
          <w:numId w:val="0"/>
        </w:numPr>
        <w:kinsoku/>
        <w:wordWrap w:val="0"/>
        <w:overflowPunct/>
        <w:topLinePunct w:val="0"/>
        <w:autoSpaceDE/>
        <w:autoSpaceDN/>
        <w:bidi w:val="0"/>
        <w:spacing w:line="360" w:lineRule="auto"/>
        <w:ind w:leftChars="0"/>
        <w:outlineLvl w:val="9"/>
        <w:rPr>
          <w:rFonts w:hint="eastAsia" w:ascii="宋体" w:hAnsi="宋体" w:eastAsia="宋体" w:cs="宋体"/>
          <w:b/>
          <w:bCs/>
          <w:color w:val="auto"/>
          <w:highlight w:val="none"/>
        </w:rPr>
      </w:pPr>
    </w:p>
    <w:bookmarkEnd w:id="338"/>
    <w:p w14:paraId="610320EE">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pPr>
      <w:bookmarkStart w:id="325" w:name="_Toc26769"/>
      <w:r>
        <w:rPr>
          <w:rFonts w:hint="eastAsia" w:cs="宋体"/>
          <w:b/>
          <w:bCs/>
          <w:color w:val="auto"/>
          <w:highlight w:val="none"/>
          <w:lang w:val="en-US" w:eastAsia="zh-CN"/>
        </w:rPr>
        <w:t>船坞码头</w:t>
      </w:r>
      <w:bookmarkEnd w:id="325"/>
    </w:p>
    <w:bookmarkEnd w:id="324"/>
    <w:p w14:paraId="7F3E451F">
      <w:pPr>
        <w:keepNext w:val="0"/>
        <w:keepLines w:val="0"/>
        <w:pageBreakBefore w:val="0"/>
        <w:kinsoku/>
        <w:wordWrap w:val="0"/>
        <w:overflowPunct/>
        <w:topLinePunct w:val="0"/>
        <w:autoSpaceDE/>
        <w:autoSpaceDN/>
        <w:bidi w:val="0"/>
        <w:spacing w:line="360" w:lineRule="auto"/>
        <w:rPr>
          <w:rFonts w:hint="eastAsia" w:ascii="宋体" w:hAnsi="宋体" w:eastAsia="宋体" w:cs="宋体"/>
          <w:i/>
          <w:iCs/>
          <w:color w:val="auto"/>
          <w:szCs w:val="21"/>
          <w:highlight w:val="none"/>
        </w:rPr>
      </w:pPr>
      <w:r>
        <w:rPr>
          <w:rFonts w:hint="eastAsia" w:ascii="宋体" w:hAnsi="宋体" w:eastAsia="宋体" w:cs="宋体"/>
          <w:i/>
          <w:iCs/>
          <w:color w:val="auto"/>
          <w:szCs w:val="21"/>
          <w:highlight w:val="none"/>
          <w:lang w:eastAsia="zh-CN"/>
        </w:rPr>
        <w:t>（按照招标文件评审标准提供相关材料。</w:t>
      </w:r>
      <w:r>
        <w:rPr>
          <w:rFonts w:hint="eastAsia" w:ascii="宋体" w:hAnsi="宋体" w:eastAsia="宋体" w:cs="宋体"/>
          <w:i/>
          <w:iCs/>
          <w:color w:val="auto"/>
          <w:szCs w:val="21"/>
          <w:highlight w:val="none"/>
        </w:rPr>
        <w:t>）</w:t>
      </w:r>
    </w:p>
    <w:p w14:paraId="3737F32B">
      <w:pPr>
        <w:keepNext w:val="0"/>
        <w:keepLines w:val="0"/>
        <w:pageBreakBefore w:val="0"/>
        <w:widowControl/>
        <w:kinsoku/>
        <w:wordWrap w:val="0"/>
        <w:overflowPunct/>
        <w:topLinePunct w:val="0"/>
        <w:autoSpaceDE/>
        <w:autoSpaceDN/>
        <w:bidi w:val="0"/>
        <w:spacing w:line="360" w:lineRule="auto"/>
        <w:rPr>
          <w:rFonts w:hint="eastAsia" w:ascii="宋体" w:hAnsi="宋体" w:eastAsia="宋体" w:cs="宋体"/>
          <w:color w:val="auto"/>
          <w:highlight w:val="none"/>
          <w:lang w:eastAsia="zh-CN"/>
        </w:rPr>
      </w:pPr>
    </w:p>
    <w:p w14:paraId="6A34206F">
      <w:pPr>
        <w:keepNext w:val="0"/>
        <w:keepLines w:val="0"/>
        <w:pageBreakBefore w:val="0"/>
        <w:widowControl/>
        <w:kinsoku/>
        <w:wordWrap w:val="0"/>
        <w:overflowPunct/>
        <w:topLinePunct w:val="0"/>
        <w:autoSpaceDE/>
        <w:autoSpaceDN/>
        <w:bidi w:val="0"/>
        <w:spacing w:line="360" w:lineRule="auto"/>
        <w:rPr>
          <w:rFonts w:hint="eastAsia" w:ascii="宋体" w:hAnsi="宋体" w:eastAsia="宋体" w:cs="宋体"/>
          <w:color w:val="auto"/>
          <w:highlight w:val="none"/>
          <w:lang w:eastAsia="zh-CN"/>
        </w:rPr>
      </w:pPr>
    </w:p>
    <w:p w14:paraId="2384DC7F">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sectPr>
          <w:pgSz w:w="11906" w:h="16838"/>
          <w:pgMar w:top="1134" w:right="1134" w:bottom="1134" w:left="1134" w:header="426" w:footer="751" w:gutter="0"/>
          <w:pgNumType w:fmt="decimal"/>
          <w:cols w:space="0" w:num="1"/>
          <w:rtlGutter w:val="0"/>
          <w:docGrid w:type="lines" w:linePitch="312" w:charSpace="0"/>
        </w:sectPr>
      </w:pPr>
    </w:p>
    <w:p w14:paraId="4AAB1839">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pPr>
      <w:bookmarkStart w:id="326" w:name="_Toc23680"/>
      <w:r>
        <w:rPr>
          <w:rFonts w:hint="eastAsia" w:ascii="宋体" w:hAnsi="宋体" w:eastAsia="宋体" w:cs="宋体"/>
          <w:b/>
          <w:bCs/>
          <w:color w:val="auto"/>
          <w:highlight w:val="none"/>
        </w:rPr>
        <w:t>中修服务方案</w:t>
      </w:r>
      <w:bookmarkEnd w:id="326"/>
    </w:p>
    <w:p w14:paraId="5D643831">
      <w:pPr>
        <w:keepNext w:val="0"/>
        <w:keepLines w:val="0"/>
        <w:pageBreakBefore w:val="0"/>
        <w:kinsoku/>
        <w:wordWrap w:val="0"/>
        <w:overflowPunct/>
        <w:topLinePunct w:val="0"/>
        <w:autoSpaceDE/>
        <w:autoSpaceDN/>
        <w:bidi w:val="0"/>
        <w:spacing w:line="360" w:lineRule="auto"/>
        <w:rPr>
          <w:rFonts w:hint="eastAsia" w:ascii="宋体" w:hAnsi="宋体" w:eastAsia="宋体" w:cs="宋体"/>
          <w:i/>
          <w:iCs/>
          <w:color w:val="auto"/>
          <w:szCs w:val="21"/>
          <w:highlight w:val="none"/>
        </w:rPr>
      </w:pPr>
      <w:r>
        <w:rPr>
          <w:rFonts w:hint="eastAsia" w:ascii="宋体" w:hAnsi="宋体" w:eastAsia="宋体" w:cs="宋体"/>
          <w:i/>
          <w:iCs/>
          <w:color w:val="auto"/>
          <w:szCs w:val="21"/>
          <w:highlight w:val="none"/>
          <w:lang w:eastAsia="zh-CN"/>
        </w:rPr>
        <w:t>（按照招标文件评审标准提供相关材料。</w:t>
      </w:r>
      <w:r>
        <w:rPr>
          <w:rFonts w:hint="eastAsia" w:ascii="宋体" w:hAnsi="宋体" w:eastAsia="宋体" w:cs="宋体"/>
          <w:i/>
          <w:iCs/>
          <w:color w:val="auto"/>
          <w:szCs w:val="21"/>
          <w:highlight w:val="none"/>
        </w:rPr>
        <w:t>）</w:t>
      </w:r>
    </w:p>
    <w:p w14:paraId="312A81A5">
      <w:pPr>
        <w:keepNext w:val="0"/>
        <w:keepLines w:val="0"/>
        <w:pageBreakBefore w:val="0"/>
        <w:widowControl/>
        <w:kinsoku/>
        <w:wordWrap w:val="0"/>
        <w:overflowPunct/>
        <w:topLinePunct w:val="0"/>
        <w:autoSpaceDE/>
        <w:autoSpaceDN/>
        <w:bidi w:val="0"/>
        <w:spacing w:line="360" w:lineRule="auto"/>
        <w:rPr>
          <w:rFonts w:hint="eastAsia" w:ascii="宋体" w:hAnsi="宋体" w:eastAsia="宋体" w:cs="宋体"/>
          <w:color w:val="auto"/>
          <w:highlight w:val="none"/>
          <w:lang w:eastAsia="zh-CN"/>
        </w:rPr>
      </w:pPr>
    </w:p>
    <w:p w14:paraId="6DDDEBFF">
      <w:pPr>
        <w:pStyle w:val="27"/>
        <w:keepNext w:val="0"/>
        <w:keepLines w:val="0"/>
        <w:pageBreakBefore w:val="0"/>
        <w:numPr>
          <w:ilvl w:val="0"/>
          <w:numId w:val="0"/>
        </w:numPr>
        <w:kinsoku/>
        <w:wordWrap w:val="0"/>
        <w:overflowPunct/>
        <w:topLinePunct w:val="0"/>
        <w:autoSpaceDE/>
        <w:autoSpaceDN/>
        <w:bidi w:val="0"/>
        <w:spacing w:line="360" w:lineRule="auto"/>
        <w:ind w:leftChars="0"/>
        <w:outlineLvl w:val="9"/>
        <w:rPr>
          <w:rFonts w:hint="eastAsia" w:ascii="宋体" w:hAnsi="宋体" w:eastAsia="宋体" w:cs="宋体"/>
          <w:b/>
          <w:bCs/>
          <w:color w:val="auto"/>
          <w:highlight w:val="none"/>
        </w:rPr>
      </w:pPr>
    </w:p>
    <w:p w14:paraId="0052E14B">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pPr>
      <w:bookmarkStart w:id="327" w:name="_Toc14132"/>
      <w:r>
        <w:rPr>
          <w:rFonts w:hint="eastAsia" w:ascii="宋体" w:hAnsi="宋体" w:eastAsia="宋体" w:cs="宋体"/>
          <w:b/>
          <w:bCs/>
          <w:color w:val="auto"/>
          <w:highlight w:val="none"/>
        </w:rPr>
        <w:t>质量保证方案</w:t>
      </w:r>
      <w:bookmarkEnd w:id="327"/>
    </w:p>
    <w:p w14:paraId="0B0B10F5">
      <w:pPr>
        <w:keepNext w:val="0"/>
        <w:keepLines w:val="0"/>
        <w:pageBreakBefore w:val="0"/>
        <w:kinsoku/>
        <w:wordWrap w:val="0"/>
        <w:overflowPunct/>
        <w:topLinePunct w:val="0"/>
        <w:autoSpaceDE/>
        <w:autoSpaceDN/>
        <w:bidi w:val="0"/>
        <w:spacing w:line="360" w:lineRule="auto"/>
        <w:rPr>
          <w:rFonts w:hint="eastAsia" w:ascii="宋体" w:hAnsi="宋体" w:eastAsia="宋体" w:cs="宋体"/>
          <w:i/>
          <w:iCs/>
          <w:color w:val="auto"/>
          <w:szCs w:val="21"/>
          <w:highlight w:val="none"/>
        </w:rPr>
      </w:pPr>
      <w:r>
        <w:rPr>
          <w:rFonts w:hint="eastAsia" w:ascii="宋体" w:hAnsi="宋体" w:eastAsia="宋体" w:cs="宋体"/>
          <w:i/>
          <w:iCs/>
          <w:color w:val="auto"/>
          <w:szCs w:val="21"/>
          <w:highlight w:val="none"/>
          <w:lang w:eastAsia="zh-CN"/>
        </w:rPr>
        <w:t>（按照招标文件评审标准提供相关材料。</w:t>
      </w:r>
      <w:r>
        <w:rPr>
          <w:rFonts w:hint="eastAsia" w:ascii="宋体" w:hAnsi="宋体" w:eastAsia="宋体" w:cs="宋体"/>
          <w:i/>
          <w:iCs/>
          <w:color w:val="auto"/>
          <w:szCs w:val="21"/>
          <w:highlight w:val="none"/>
        </w:rPr>
        <w:t>）</w:t>
      </w:r>
    </w:p>
    <w:p w14:paraId="0AB1C838">
      <w:pPr>
        <w:keepNext w:val="0"/>
        <w:keepLines w:val="0"/>
        <w:pageBreakBefore w:val="0"/>
        <w:widowControl/>
        <w:kinsoku/>
        <w:wordWrap w:val="0"/>
        <w:overflowPunct/>
        <w:topLinePunct w:val="0"/>
        <w:autoSpaceDE/>
        <w:autoSpaceDN/>
        <w:bidi w:val="0"/>
        <w:spacing w:line="360" w:lineRule="auto"/>
        <w:rPr>
          <w:rFonts w:hint="eastAsia" w:ascii="宋体" w:hAnsi="宋体" w:eastAsia="宋体" w:cs="宋体"/>
          <w:color w:val="auto"/>
          <w:highlight w:val="none"/>
          <w:lang w:eastAsia="zh-CN"/>
        </w:rPr>
      </w:pPr>
    </w:p>
    <w:p w14:paraId="2F882ACF">
      <w:pPr>
        <w:pStyle w:val="27"/>
        <w:keepNext w:val="0"/>
        <w:keepLines w:val="0"/>
        <w:pageBreakBefore w:val="0"/>
        <w:numPr>
          <w:ilvl w:val="0"/>
          <w:numId w:val="0"/>
        </w:numPr>
        <w:kinsoku/>
        <w:wordWrap w:val="0"/>
        <w:overflowPunct/>
        <w:topLinePunct w:val="0"/>
        <w:autoSpaceDE/>
        <w:autoSpaceDN/>
        <w:bidi w:val="0"/>
        <w:spacing w:line="360" w:lineRule="auto"/>
        <w:ind w:leftChars="0"/>
        <w:outlineLvl w:val="9"/>
        <w:rPr>
          <w:rFonts w:hint="eastAsia" w:ascii="宋体" w:hAnsi="宋体" w:eastAsia="宋体" w:cs="宋体"/>
          <w:b/>
          <w:bCs/>
          <w:color w:val="auto"/>
          <w:highlight w:val="none"/>
        </w:rPr>
      </w:pPr>
    </w:p>
    <w:p w14:paraId="16D61410">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pPr>
      <w:bookmarkStart w:id="328" w:name="_Toc3250"/>
      <w:r>
        <w:rPr>
          <w:rFonts w:hint="eastAsia" w:ascii="宋体" w:hAnsi="宋体" w:eastAsia="宋体" w:cs="宋体"/>
          <w:b/>
          <w:bCs/>
          <w:color w:val="auto"/>
          <w:highlight w:val="none"/>
        </w:rPr>
        <w:t>对风险事件预防措施及应急处理保障方案</w:t>
      </w:r>
      <w:bookmarkEnd w:id="328"/>
    </w:p>
    <w:p w14:paraId="36B28FDB">
      <w:pPr>
        <w:keepNext w:val="0"/>
        <w:keepLines w:val="0"/>
        <w:pageBreakBefore w:val="0"/>
        <w:kinsoku/>
        <w:wordWrap w:val="0"/>
        <w:overflowPunct/>
        <w:topLinePunct w:val="0"/>
        <w:autoSpaceDE/>
        <w:autoSpaceDN/>
        <w:bidi w:val="0"/>
        <w:spacing w:line="360" w:lineRule="auto"/>
        <w:rPr>
          <w:rFonts w:hint="eastAsia" w:ascii="宋体" w:hAnsi="宋体" w:eastAsia="宋体" w:cs="宋体"/>
          <w:i/>
          <w:iCs/>
          <w:color w:val="auto"/>
          <w:szCs w:val="21"/>
          <w:highlight w:val="none"/>
        </w:rPr>
      </w:pPr>
      <w:r>
        <w:rPr>
          <w:rFonts w:hint="eastAsia" w:ascii="宋体" w:hAnsi="宋体" w:eastAsia="宋体" w:cs="宋体"/>
          <w:i/>
          <w:iCs/>
          <w:color w:val="auto"/>
          <w:szCs w:val="21"/>
          <w:highlight w:val="none"/>
          <w:lang w:eastAsia="zh-CN"/>
        </w:rPr>
        <w:t>（按照招标文件评审标准提供相关材料。</w:t>
      </w:r>
      <w:r>
        <w:rPr>
          <w:rFonts w:hint="eastAsia" w:ascii="宋体" w:hAnsi="宋体" w:eastAsia="宋体" w:cs="宋体"/>
          <w:i/>
          <w:iCs/>
          <w:color w:val="auto"/>
          <w:szCs w:val="21"/>
          <w:highlight w:val="none"/>
        </w:rPr>
        <w:t>）</w:t>
      </w:r>
    </w:p>
    <w:p w14:paraId="1186C290">
      <w:pPr>
        <w:keepNext w:val="0"/>
        <w:keepLines w:val="0"/>
        <w:pageBreakBefore w:val="0"/>
        <w:widowControl/>
        <w:kinsoku/>
        <w:wordWrap w:val="0"/>
        <w:overflowPunct/>
        <w:topLinePunct w:val="0"/>
        <w:autoSpaceDE/>
        <w:autoSpaceDN/>
        <w:bidi w:val="0"/>
        <w:spacing w:line="360" w:lineRule="auto"/>
        <w:rPr>
          <w:rFonts w:hint="eastAsia" w:ascii="宋体" w:hAnsi="宋体" w:eastAsia="宋体" w:cs="宋体"/>
          <w:color w:val="auto"/>
          <w:highlight w:val="none"/>
          <w:lang w:eastAsia="zh-CN"/>
        </w:rPr>
      </w:pPr>
    </w:p>
    <w:p w14:paraId="564D63B9">
      <w:pPr>
        <w:pStyle w:val="27"/>
        <w:keepNext w:val="0"/>
        <w:keepLines w:val="0"/>
        <w:pageBreakBefore w:val="0"/>
        <w:numPr>
          <w:ilvl w:val="0"/>
          <w:numId w:val="0"/>
        </w:numPr>
        <w:kinsoku/>
        <w:wordWrap w:val="0"/>
        <w:overflowPunct/>
        <w:topLinePunct w:val="0"/>
        <w:autoSpaceDE/>
        <w:autoSpaceDN/>
        <w:bidi w:val="0"/>
        <w:spacing w:line="360" w:lineRule="auto"/>
        <w:ind w:leftChars="0"/>
        <w:outlineLvl w:val="9"/>
        <w:rPr>
          <w:rFonts w:hint="eastAsia" w:ascii="宋体" w:hAnsi="宋体" w:eastAsia="宋体" w:cs="宋体"/>
          <w:b/>
          <w:bCs/>
          <w:color w:val="auto"/>
          <w:highlight w:val="none"/>
        </w:rPr>
      </w:pPr>
    </w:p>
    <w:p w14:paraId="7FD88AA6">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pPr>
      <w:bookmarkStart w:id="329" w:name="_Toc24604"/>
      <w:r>
        <w:rPr>
          <w:rFonts w:hint="eastAsia" w:ascii="宋体" w:hAnsi="宋体" w:eastAsia="宋体" w:cs="宋体"/>
          <w:b/>
          <w:bCs/>
          <w:color w:val="auto"/>
          <w:highlight w:val="none"/>
        </w:rPr>
        <w:t>技术负责人</w:t>
      </w:r>
      <w:bookmarkEnd w:id="329"/>
    </w:p>
    <w:p w14:paraId="4D01271E">
      <w:pPr>
        <w:keepNext w:val="0"/>
        <w:keepLines w:val="0"/>
        <w:pageBreakBefore w:val="0"/>
        <w:kinsoku/>
        <w:wordWrap w:val="0"/>
        <w:overflowPunct/>
        <w:topLinePunct w:val="0"/>
        <w:autoSpaceDE/>
        <w:autoSpaceDN/>
        <w:bidi w:val="0"/>
        <w:spacing w:line="360" w:lineRule="auto"/>
        <w:rPr>
          <w:rFonts w:hint="eastAsia" w:ascii="宋体" w:hAnsi="宋体" w:eastAsia="宋体" w:cs="宋体"/>
          <w:i/>
          <w:iCs/>
          <w:color w:val="auto"/>
          <w:szCs w:val="21"/>
          <w:highlight w:val="none"/>
        </w:rPr>
      </w:pPr>
      <w:r>
        <w:rPr>
          <w:rFonts w:hint="eastAsia" w:ascii="宋体" w:hAnsi="宋体" w:eastAsia="宋体" w:cs="宋体"/>
          <w:i/>
          <w:iCs/>
          <w:color w:val="auto"/>
          <w:szCs w:val="21"/>
          <w:highlight w:val="none"/>
          <w:lang w:eastAsia="zh-CN"/>
        </w:rPr>
        <w:t>（按照招标文件评审标准提供相关材料。</w:t>
      </w:r>
      <w:r>
        <w:rPr>
          <w:rFonts w:hint="eastAsia" w:ascii="宋体" w:hAnsi="宋体" w:eastAsia="宋体" w:cs="宋体"/>
          <w:i/>
          <w:iCs/>
          <w:color w:val="auto"/>
          <w:szCs w:val="21"/>
          <w:highlight w:val="none"/>
        </w:rPr>
        <w:t>）</w:t>
      </w:r>
    </w:p>
    <w:p w14:paraId="7927B790">
      <w:pPr>
        <w:keepNext w:val="0"/>
        <w:keepLines w:val="0"/>
        <w:pageBreakBefore w:val="0"/>
        <w:widowControl/>
        <w:kinsoku/>
        <w:wordWrap w:val="0"/>
        <w:overflowPunct/>
        <w:topLinePunct w:val="0"/>
        <w:autoSpaceDE/>
        <w:autoSpaceDN/>
        <w:bidi w:val="0"/>
        <w:spacing w:line="360" w:lineRule="auto"/>
        <w:rPr>
          <w:rFonts w:hint="eastAsia" w:ascii="宋体" w:hAnsi="宋体" w:eastAsia="宋体" w:cs="宋体"/>
          <w:color w:val="auto"/>
          <w:highlight w:val="none"/>
          <w:lang w:eastAsia="zh-CN"/>
        </w:rPr>
      </w:pPr>
    </w:p>
    <w:p w14:paraId="1D51643D">
      <w:pPr>
        <w:pStyle w:val="27"/>
        <w:keepNext w:val="0"/>
        <w:keepLines w:val="0"/>
        <w:pageBreakBefore w:val="0"/>
        <w:numPr>
          <w:ilvl w:val="0"/>
          <w:numId w:val="0"/>
        </w:numPr>
        <w:kinsoku/>
        <w:wordWrap w:val="0"/>
        <w:overflowPunct/>
        <w:topLinePunct w:val="0"/>
        <w:autoSpaceDE/>
        <w:autoSpaceDN/>
        <w:bidi w:val="0"/>
        <w:spacing w:line="360" w:lineRule="auto"/>
        <w:ind w:leftChars="0"/>
        <w:outlineLvl w:val="9"/>
        <w:rPr>
          <w:rFonts w:hint="eastAsia" w:ascii="宋体" w:hAnsi="宋体" w:eastAsia="宋体" w:cs="宋体"/>
          <w:b/>
          <w:bCs/>
          <w:color w:val="auto"/>
          <w:highlight w:val="none"/>
        </w:rPr>
      </w:pPr>
    </w:p>
    <w:p w14:paraId="557021AC">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pPr>
      <w:bookmarkStart w:id="330" w:name="_Toc7202"/>
      <w:r>
        <w:rPr>
          <w:rFonts w:hint="eastAsia" w:ascii="宋体" w:hAnsi="宋体" w:eastAsia="宋体" w:cs="宋体"/>
          <w:b/>
          <w:bCs/>
          <w:color w:val="auto"/>
          <w:highlight w:val="none"/>
        </w:rPr>
        <w:t>拟投入本项目团队人员</w:t>
      </w:r>
      <w:bookmarkEnd w:id="330"/>
    </w:p>
    <w:p w14:paraId="13A8C9B4">
      <w:pPr>
        <w:keepNext w:val="0"/>
        <w:keepLines w:val="0"/>
        <w:pageBreakBefore w:val="0"/>
        <w:kinsoku/>
        <w:wordWrap w:val="0"/>
        <w:overflowPunct/>
        <w:topLinePunct w:val="0"/>
        <w:autoSpaceDE/>
        <w:autoSpaceDN/>
        <w:bidi w:val="0"/>
        <w:spacing w:line="360" w:lineRule="auto"/>
        <w:rPr>
          <w:rFonts w:hint="eastAsia" w:ascii="宋体" w:hAnsi="宋体" w:eastAsia="宋体" w:cs="宋体"/>
          <w:i/>
          <w:iCs/>
          <w:color w:val="auto"/>
          <w:szCs w:val="21"/>
          <w:highlight w:val="none"/>
        </w:rPr>
      </w:pPr>
      <w:r>
        <w:rPr>
          <w:rFonts w:hint="eastAsia" w:ascii="宋体" w:hAnsi="宋体" w:eastAsia="宋体" w:cs="宋体"/>
          <w:i/>
          <w:iCs/>
          <w:color w:val="auto"/>
          <w:szCs w:val="21"/>
          <w:highlight w:val="none"/>
          <w:lang w:eastAsia="zh-CN"/>
        </w:rPr>
        <w:t>（按照招标文件评审标准提供相关材料。</w:t>
      </w:r>
      <w:r>
        <w:rPr>
          <w:rFonts w:hint="eastAsia" w:ascii="宋体" w:hAnsi="宋体" w:eastAsia="宋体" w:cs="宋体"/>
          <w:i/>
          <w:iCs/>
          <w:color w:val="auto"/>
          <w:szCs w:val="21"/>
          <w:highlight w:val="none"/>
        </w:rPr>
        <w:t>）</w:t>
      </w:r>
    </w:p>
    <w:p w14:paraId="75B1A33F">
      <w:pPr>
        <w:keepNext w:val="0"/>
        <w:keepLines w:val="0"/>
        <w:pageBreakBefore w:val="0"/>
        <w:widowControl/>
        <w:kinsoku/>
        <w:wordWrap w:val="0"/>
        <w:overflowPunct/>
        <w:topLinePunct w:val="0"/>
        <w:autoSpaceDE/>
        <w:autoSpaceDN/>
        <w:bidi w:val="0"/>
        <w:spacing w:line="360" w:lineRule="auto"/>
        <w:rPr>
          <w:rFonts w:hint="eastAsia" w:ascii="宋体" w:hAnsi="宋体" w:eastAsia="宋体" w:cs="宋体"/>
          <w:color w:val="auto"/>
          <w:highlight w:val="none"/>
          <w:lang w:eastAsia="zh-CN"/>
        </w:rPr>
      </w:pPr>
    </w:p>
    <w:p w14:paraId="1E225E6B">
      <w:pPr>
        <w:pStyle w:val="27"/>
        <w:keepNext w:val="0"/>
        <w:keepLines w:val="0"/>
        <w:pageBreakBefore w:val="0"/>
        <w:numPr>
          <w:ilvl w:val="0"/>
          <w:numId w:val="0"/>
        </w:numPr>
        <w:kinsoku/>
        <w:wordWrap w:val="0"/>
        <w:overflowPunct/>
        <w:topLinePunct w:val="0"/>
        <w:autoSpaceDE/>
        <w:autoSpaceDN/>
        <w:bidi w:val="0"/>
        <w:spacing w:line="360" w:lineRule="auto"/>
        <w:ind w:leftChars="0"/>
        <w:outlineLvl w:val="9"/>
        <w:rPr>
          <w:rFonts w:hint="eastAsia" w:ascii="宋体" w:hAnsi="宋体" w:eastAsia="宋体" w:cs="宋体"/>
          <w:b/>
          <w:bCs/>
          <w:color w:val="auto"/>
          <w:highlight w:val="none"/>
        </w:rPr>
      </w:pPr>
    </w:p>
    <w:p w14:paraId="6CFE28BB">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pPr>
      <w:bookmarkStart w:id="331" w:name="_Toc28530"/>
      <w:r>
        <w:rPr>
          <w:rFonts w:hint="eastAsia" w:ascii="宋体" w:hAnsi="宋体" w:eastAsia="宋体" w:cs="宋体"/>
          <w:b/>
          <w:bCs/>
          <w:color w:val="auto"/>
          <w:highlight w:val="none"/>
        </w:rPr>
        <w:t>中修零配件质保期</w:t>
      </w:r>
      <w:bookmarkEnd w:id="331"/>
    </w:p>
    <w:p w14:paraId="278CDB98">
      <w:pPr>
        <w:keepNext w:val="0"/>
        <w:keepLines w:val="0"/>
        <w:pageBreakBefore w:val="0"/>
        <w:kinsoku/>
        <w:wordWrap w:val="0"/>
        <w:overflowPunct/>
        <w:topLinePunct w:val="0"/>
        <w:autoSpaceDE/>
        <w:autoSpaceDN/>
        <w:bidi w:val="0"/>
        <w:spacing w:line="360" w:lineRule="auto"/>
        <w:rPr>
          <w:rFonts w:hint="eastAsia" w:ascii="宋体" w:hAnsi="宋体" w:eastAsia="宋体" w:cs="宋体"/>
          <w:i/>
          <w:iCs/>
          <w:color w:val="auto"/>
          <w:szCs w:val="21"/>
          <w:highlight w:val="none"/>
        </w:rPr>
      </w:pPr>
      <w:r>
        <w:rPr>
          <w:rFonts w:hint="eastAsia" w:ascii="宋体" w:hAnsi="宋体" w:eastAsia="宋体" w:cs="宋体"/>
          <w:i/>
          <w:iCs/>
          <w:color w:val="auto"/>
          <w:szCs w:val="21"/>
          <w:highlight w:val="none"/>
          <w:lang w:eastAsia="zh-CN"/>
        </w:rPr>
        <w:t>（按照招标文件评审标准提供相关材料。</w:t>
      </w:r>
      <w:r>
        <w:rPr>
          <w:rFonts w:hint="eastAsia" w:ascii="宋体" w:hAnsi="宋体" w:eastAsia="宋体" w:cs="宋体"/>
          <w:i/>
          <w:iCs/>
          <w:color w:val="auto"/>
          <w:szCs w:val="21"/>
          <w:highlight w:val="none"/>
        </w:rPr>
        <w:t>）</w:t>
      </w:r>
    </w:p>
    <w:p w14:paraId="703071A0">
      <w:pPr>
        <w:keepNext w:val="0"/>
        <w:keepLines w:val="0"/>
        <w:pageBreakBefore w:val="0"/>
        <w:widowControl/>
        <w:kinsoku/>
        <w:wordWrap w:val="0"/>
        <w:overflowPunct/>
        <w:topLinePunct w:val="0"/>
        <w:autoSpaceDE/>
        <w:autoSpaceDN/>
        <w:bidi w:val="0"/>
        <w:spacing w:line="360" w:lineRule="auto"/>
        <w:rPr>
          <w:rFonts w:hint="eastAsia" w:ascii="宋体" w:hAnsi="宋体" w:eastAsia="宋体" w:cs="宋体"/>
          <w:color w:val="auto"/>
          <w:highlight w:val="none"/>
          <w:lang w:eastAsia="zh-CN"/>
        </w:rPr>
      </w:pPr>
    </w:p>
    <w:p w14:paraId="06F32C09">
      <w:pPr>
        <w:pStyle w:val="27"/>
        <w:keepNext w:val="0"/>
        <w:keepLines w:val="0"/>
        <w:pageBreakBefore w:val="0"/>
        <w:numPr>
          <w:ilvl w:val="0"/>
          <w:numId w:val="0"/>
        </w:numPr>
        <w:kinsoku/>
        <w:wordWrap w:val="0"/>
        <w:overflowPunct/>
        <w:topLinePunct w:val="0"/>
        <w:autoSpaceDE/>
        <w:autoSpaceDN/>
        <w:bidi w:val="0"/>
        <w:spacing w:line="360" w:lineRule="auto"/>
        <w:ind w:leftChars="0"/>
        <w:outlineLvl w:val="9"/>
        <w:rPr>
          <w:rFonts w:hint="eastAsia" w:ascii="宋体" w:hAnsi="宋体" w:eastAsia="宋体" w:cs="宋体"/>
          <w:b/>
          <w:bCs/>
          <w:color w:val="auto"/>
          <w:highlight w:val="none"/>
        </w:rPr>
      </w:pPr>
    </w:p>
    <w:p w14:paraId="4560FE1F">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pPr>
      <w:bookmarkStart w:id="332" w:name="_Toc8397"/>
      <w:r>
        <w:rPr>
          <w:rFonts w:hint="eastAsia" w:ascii="宋体" w:hAnsi="宋体" w:eastAsia="宋体" w:cs="宋体"/>
          <w:b/>
          <w:bCs/>
          <w:color w:val="auto"/>
          <w:highlight w:val="none"/>
        </w:rPr>
        <w:t>其它重要事项说明及承诺</w:t>
      </w:r>
      <w:bookmarkEnd w:id="321"/>
      <w:bookmarkEnd w:id="332"/>
    </w:p>
    <w:p w14:paraId="184876C3">
      <w:pPr>
        <w:pStyle w:val="33"/>
        <w:keepNext w:val="0"/>
        <w:keepLines w:val="0"/>
        <w:pageBreakBefore w:val="0"/>
        <w:kinsoku/>
        <w:wordWrap w:val="0"/>
        <w:overflowPunct/>
        <w:topLinePunct w:val="0"/>
        <w:autoSpaceDE/>
        <w:autoSpaceDN/>
        <w:bidi w:val="0"/>
        <w:spacing w:after="0" w:line="360" w:lineRule="auto"/>
        <w:ind w:left="0" w:leftChars="0" w:firstLine="0" w:firstLineChars="0"/>
        <w:rPr>
          <w:rFonts w:hint="eastAsia" w:ascii="宋体" w:hAnsi="宋体" w:eastAsia="宋体" w:cs="宋体"/>
          <w:i/>
          <w:iCs/>
          <w:color w:val="auto"/>
          <w:szCs w:val="21"/>
          <w:highlight w:val="none"/>
          <w:lang w:eastAsia="zh-CN"/>
        </w:rPr>
      </w:pPr>
      <w:r>
        <w:rPr>
          <w:rFonts w:hint="eastAsia" w:ascii="宋体" w:hAnsi="宋体" w:eastAsia="宋体" w:cs="宋体"/>
          <w:i/>
          <w:iCs/>
          <w:color w:val="auto"/>
          <w:szCs w:val="21"/>
          <w:highlight w:val="none"/>
          <w:lang w:eastAsia="zh-CN"/>
        </w:rPr>
        <w:t>(如有，请扼要叙述，格式自拟)</w:t>
      </w:r>
    </w:p>
    <w:p w14:paraId="302172C3">
      <w:pPr>
        <w:keepNext w:val="0"/>
        <w:keepLines w:val="0"/>
        <w:pageBreakBefore w:val="0"/>
        <w:widowControl/>
        <w:kinsoku/>
        <w:wordWrap w:val="0"/>
        <w:overflowPunct/>
        <w:topLinePunct w:val="0"/>
        <w:autoSpaceDE/>
        <w:autoSpaceDN/>
        <w:bidi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br w:type="page"/>
      </w:r>
    </w:p>
    <w:p w14:paraId="41A6D332">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pPr>
      <w:bookmarkStart w:id="333" w:name="_Toc1675"/>
      <w:bookmarkStart w:id="334" w:name="_Toc104131926"/>
      <w:r>
        <w:rPr>
          <w:rFonts w:hint="eastAsia" w:ascii="宋体" w:hAnsi="宋体" w:eastAsia="宋体" w:cs="宋体"/>
          <w:b/>
          <w:bCs/>
          <w:color w:val="auto"/>
          <w:highlight w:val="none"/>
        </w:rPr>
        <w:t>采购代理服务费支付承诺书</w:t>
      </w:r>
      <w:bookmarkEnd w:id="333"/>
      <w:bookmarkEnd w:id="334"/>
    </w:p>
    <w:p w14:paraId="3F424B13">
      <w:pPr>
        <w:pStyle w:val="27"/>
        <w:keepNext w:val="0"/>
        <w:keepLines w:val="0"/>
        <w:pageBreakBefore w:val="0"/>
        <w:kinsoku/>
        <w:wordWrap w:val="0"/>
        <w:overflowPunct/>
        <w:topLinePunct w:val="0"/>
        <w:autoSpaceDE/>
        <w:autoSpaceDN/>
        <w:bidi w:val="0"/>
        <w:spacing w:line="360" w:lineRule="auto"/>
        <w:ind w:firstLine="0" w:firstLineChars="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采购代理服务费支付承诺书</w:t>
      </w:r>
    </w:p>
    <w:p w14:paraId="6D32C50D">
      <w:pPr>
        <w:pStyle w:val="33"/>
        <w:keepNext w:val="0"/>
        <w:keepLines w:val="0"/>
        <w:pageBreakBefore w:val="0"/>
        <w:kinsoku/>
        <w:wordWrap w:val="0"/>
        <w:overflowPunct/>
        <w:topLinePunct w:val="0"/>
        <w:autoSpaceDE/>
        <w:autoSpaceDN/>
        <w:bidi w:val="0"/>
        <w:spacing w:after="0" w:line="360" w:lineRule="auto"/>
        <w:ind w:left="0" w:leftChars="0" w:firstLine="0" w:firstLine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致：公诚管理咨询有限公司</w:t>
      </w:r>
    </w:p>
    <w:p w14:paraId="6065BBDC">
      <w:pPr>
        <w:pStyle w:val="33"/>
        <w:keepNext w:val="0"/>
        <w:keepLines w:val="0"/>
        <w:pageBreakBefore w:val="0"/>
        <w:kinsoku/>
        <w:wordWrap w:val="0"/>
        <w:overflowPunct/>
        <w:topLinePunct w:val="0"/>
        <w:autoSpaceDE/>
        <w:autoSpaceDN/>
        <w:bidi w:val="0"/>
        <w:spacing w:after="0" w:line="360" w:lineRule="auto"/>
        <w:ind w:left="0" w:leftChars="0"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我方作为投标（响应）供应商参加贵公司（公诚管理咨询有限公司）组织的</w:t>
      </w:r>
      <w:r>
        <w:rPr>
          <w:rFonts w:hint="eastAsia" w:ascii="宋体" w:hAnsi="宋体" w:eastAsia="宋体" w:cs="宋体"/>
          <w:color w:val="auto"/>
          <w:sz w:val="24"/>
          <w:szCs w:val="24"/>
          <w:highlight w:val="none"/>
          <w:u w:val="single"/>
          <w:lang w:eastAsia="zh-CN"/>
        </w:rPr>
        <w:t xml:space="preserve">       （项目名称）</w:t>
      </w:r>
      <w:r>
        <w:rPr>
          <w:rFonts w:hint="eastAsia" w:ascii="宋体" w:hAnsi="宋体" w:eastAsia="宋体" w:cs="宋体"/>
          <w:color w:val="auto"/>
          <w:sz w:val="24"/>
          <w:szCs w:val="24"/>
          <w:highlight w:val="none"/>
          <w:lang w:eastAsia="zh-CN"/>
        </w:rPr>
        <w:t>（项目编号：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lang w:eastAsia="zh-CN"/>
        </w:rPr>
        <w:t>）采购活动，若在本项目中获得中标（成交）资格，将同意支付采购代理服务费。</w:t>
      </w:r>
    </w:p>
    <w:p w14:paraId="14E9F1DD">
      <w:pPr>
        <w:pStyle w:val="33"/>
        <w:keepNext w:val="0"/>
        <w:keepLines w:val="0"/>
        <w:pageBreakBefore w:val="0"/>
        <w:kinsoku/>
        <w:wordWrap w:val="0"/>
        <w:overflowPunct/>
        <w:topLinePunct w:val="0"/>
        <w:autoSpaceDE/>
        <w:autoSpaceDN/>
        <w:bidi w:val="0"/>
        <w:spacing w:after="0" w:line="360" w:lineRule="auto"/>
        <w:ind w:left="0" w:leftChars="0"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我方保证在贵公司发出《中标（成交）通知书》后3个工作日内向贵公司缴纳本采购文件规定的采购代理服务费。</w:t>
      </w:r>
    </w:p>
    <w:p w14:paraId="119C858D">
      <w:pPr>
        <w:pStyle w:val="33"/>
        <w:keepNext w:val="0"/>
        <w:keepLines w:val="0"/>
        <w:pageBreakBefore w:val="0"/>
        <w:kinsoku/>
        <w:wordWrap w:val="0"/>
        <w:overflowPunct/>
        <w:topLinePunct w:val="0"/>
        <w:autoSpaceDE/>
        <w:autoSpaceDN/>
        <w:bidi w:val="0"/>
        <w:spacing w:after="0" w:line="360" w:lineRule="auto"/>
        <w:ind w:left="0" w:leftChars="0"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若我方未按前述期限支付采购代理服务费，贵公司有权直接在应付我方任何一笔款项中直接扣除。因前述事项发生争议，我方同意将争议提交北海国际仲裁院仲裁解决。</w:t>
      </w:r>
    </w:p>
    <w:p w14:paraId="6E87C7B6">
      <w:pPr>
        <w:pStyle w:val="33"/>
        <w:keepNext w:val="0"/>
        <w:keepLines w:val="0"/>
        <w:pageBreakBefore w:val="0"/>
        <w:kinsoku/>
        <w:wordWrap w:val="0"/>
        <w:overflowPunct/>
        <w:topLinePunct w:val="0"/>
        <w:autoSpaceDE/>
        <w:autoSpaceDN/>
        <w:bidi w:val="0"/>
        <w:spacing w:after="0" w:line="360" w:lineRule="auto"/>
        <w:ind w:left="0" w:leftChars="0"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特此承诺！</w:t>
      </w:r>
    </w:p>
    <w:p w14:paraId="1C2365A9">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p>
    <w:p w14:paraId="40A9BDD3">
      <w:pPr>
        <w:pStyle w:val="27"/>
        <w:keepNext w:val="0"/>
        <w:keepLines w:val="0"/>
        <w:pageBreakBefore w:val="0"/>
        <w:kinsoku/>
        <w:wordWrap w:val="0"/>
        <w:overflowPunct/>
        <w:topLinePunct w:val="0"/>
        <w:autoSpaceDE/>
        <w:autoSpaceDN/>
        <w:bidi w:val="0"/>
        <w:spacing w:line="36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投标人法定代表人或其授权代表（签字或盖章）：</w:t>
      </w:r>
      <w:r>
        <w:rPr>
          <w:rFonts w:hint="eastAsia" w:ascii="宋体" w:hAnsi="宋体" w:eastAsia="宋体" w:cs="宋体"/>
          <w:color w:val="auto"/>
          <w:highlight w:val="none"/>
          <w:u w:val="single"/>
        </w:rPr>
        <w:t xml:space="preserve">                     </w:t>
      </w:r>
    </w:p>
    <w:p w14:paraId="78E8CAF3">
      <w:pPr>
        <w:pStyle w:val="27"/>
        <w:keepNext w:val="0"/>
        <w:keepLines w:val="0"/>
        <w:pageBreakBefore w:val="0"/>
        <w:kinsoku/>
        <w:wordWrap w:val="0"/>
        <w:overflowPunct/>
        <w:topLinePunct w:val="0"/>
        <w:autoSpaceDE/>
        <w:autoSpaceDN/>
        <w:bidi w:val="0"/>
        <w:spacing w:line="360" w:lineRule="auto"/>
        <w:ind w:right="101" w:rightChars="48"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投标人名称（盖章）：</w:t>
      </w:r>
      <w:r>
        <w:rPr>
          <w:rFonts w:hint="eastAsia" w:ascii="宋体" w:hAnsi="宋体" w:eastAsia="宋体" w:cs="宋体"/>
          <w:color w:val="auto"/>
          <w:highlight w:val="none"/>
          <w:u w:val="single"/>
        </w:rPr>
        <w:t xml:space="preserve">                     </w:t>
      </w:r>
    </w:p>
    <w:p w14:paraId="759E9E0B">
      <w:pPr>
        <w:pStyle w:val="27"/>
        <w:keepNext w:val="0"/>
        <w:keepLines w:val="0"/>
        <w:pageBreakBefore w:val="0"/>
        <w:kinsoku/>
        <w:wordWrap w:val="0"/>
        <w:overflowPunct/>
        <w:topLinePunct w:val="0"/>
        <w:autoSpaceDE/>
        <w:autoSpaceDN/>
        <w:bidi w:val="0"/>
        <w:spacing w:line="360" w:lineRule="auto"/>
        <w:ind w:right="101" w:rightChars="48" w:firstLine="4960" w:firstLineChars="2067"/>
        <w:jc w:val="right"/>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14:paraId="38C6F1E4">
      <w:pPr>
        <w:pStyle w:val="2"/>
        <w:keepNext w:val="0"/>
        <w:keepLines w:val="0"/>
        <w:pageBreakBefore w:val="0"/>
        <w:kinsoku/>
        <w:wordWrap w:val="0"/>
        <w:overflowPunct/>
        <w:topLinePunct w:val="0"/>
        <w:autoSpaceDE/>
        <w:autoSpaceDN/>
        <w:bidi w:val="0"/>
        <w:spacing w:line="360" w:lineRule="auto"/>
        <w:ind w:firstLine="480"/>
        <w:rPr>
          <w:rFonts w:hint="eastAsia" w:ascii="宋体" w:hAnsi="宋体" w:eastAsia="宋体" w:cs="宋体"/>
          <w:color w:val="auto"/>
          <w:sz w:val="24"/>
          <w:szCs w:val="32"/>
          <w:highlight w:val="none"/>
        </w:rPr>
      </w:pPr>
    </w:p>
    <w:p w14:paraId="35DF4B86">
      <w:pPr>
        <w:keepNext w:val="0"/>
        <w:keepLines w:val="0"/>
        <w:pageBreakBefore w:val="0"/>
        <w:kinsoku/>
        <w:wordWrap w:val="0"/>
        <w:overflowPunct/>
        <w:topLinePunct w:val="0"/>
        <w:autoSpaceDE/>
        <w:autoSpaceDN/>
        <w:bidi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w:t>
      </w: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1"/>
        <w:gridCol w:w="1864"/>
        <w:gridCol w:w="6559"/>
      </w:tblGrid>
      <w:tr w14:paraId="2D95E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72" w:type="pct"/>
            <w:gridSpan w:val="2"/>
            <w:vAlign w:val="center"/>
          </w:tcPr>
          <w:p w14:paraId="7295C818">
            <w:pPr>
              <w:pStyle w:val="2"/>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
                <w:bCs/>
                <w:color w:val="auto"/>
                <w:sz w:val="24"/>
                <w:highlight w:val="none"/>
              </w:rPr>
            </w:pPr>
            <w:r>
              <w:rPr>
                <w:rFonts w:hint="eastAsia" w:ascii="宋体" w:hAnsi="宋体" w:eastAsia="宋体" w:cs="宋体"/>
                <w:b/>
                <w:bCs/>
                <w:color w:val="auto"/>
                <w:sz w:val="24"/>
                <w:szCs w:val="24"/>
                <w:highlight w:val="none"/>
              </w:rPr>
              <w:t>项目</w:t>
            </w:r>
          </w:p>
        </w:tc>
        <w:tc>
          <w:tcPr>
            <w:tcW w:w="3328" w:type="pct"/>
            <w:vAlign w:val="center"/>
          </w:tcPr>
          <w:p w14:paraId="464D2312">
            <w:pPr>
              <w:pStyle w:val="2"/>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内容</w:t>
            </w:r>
          </w:p>
        </w:tc>
      </w:tr>
      <w:tr w14:paraId="561AF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72" w:type="pct"/>
            <w:gridSpan w:val="2"/>
            <w:vAlign w:val="center"/>
          </w:tcPr>
          <w:p w14:paraId="750E9726">
            <w:pPr>
              <w:pStyle w:val="2"/>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选择</w:t>
            </w:r>
            <w:r>
              <w:rPr>
                <w:rFonts w:hint="eastAsia" w:ascii="宋体" w:hAnsi="宋体" w:eastAsia="宋体" w:cs="宋体"/>
                <w:color w:val="auto"/>
                <w:sz w:val="24"/>
                <w:szCs w:val="24"/>
                <w:highlight w:val="none"/>
              </w:rPr>
              <w:t>发票类型</w:t>
            </w:r>
          </w:p>
        </w:tc>
        <w:tc>
          <w:tcPr>
            <w:tcW w:w="3328" w:type="pct"/>
            <w:vAlign w:val="center"/>
          </w:tcPr>
          <w:p w14:paraId="3F82734F">
            <w:pPr>
              <w:pStyle w:val="2"/>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highlight w:val="none"/>
                <w:lang w:eastAsia="zh-CN"/>
              </w:rPr>
              <w:t xml:space="preserve">数电发票（增值税专用发票）/ </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highlight w:val="none"/>
                <w:lang w:eastAsia="zh-CN"/>
              </w:rPr>
              <w:t>数电发票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highlight w:val="none"/>
                <w:lang w:eastAsia="zh-CN"/>
              </w:rPr>
              <w:t>普通发票</w:t>
            </w:r>
            <w:r>
              <w:rPr>
                <w:rFonts w:hint="eastAsia" w:ascii="宋体" w:hAnsi="宋体" w:eastAsia="宋体" w:cs="宋体"/>
                <w:color w:val="auto"/>
                <w:sz w:val="24"/>
                <w:szCs w:val="24"/>
                <w:highlight w:val="none"/>
                <w:lang w:eastAsia="zh-CN"/>
              </w:rPr>
              <w:t>）</w:t>
            </w:r>
          </w:p>
        </w:tc>
      </w:tr>
      <w:tr w14:paraId="28697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6" w:type="pct"/>
            <w:vMerge w:val="restart"/>
            <w:vAlign w:val="center"/>
          </w:tcPr>
          <w:p w14:paraId="5B8F4CBB">
            <w:pPr>
              <w:pStyle w:val="2"/>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发票内容</w:t>
            </w:r>
          </w:p>
        </w:tc>
        <w:tc>
          <w:tcPr>
            <w:tcW w:w="946" w:type="pct"/>
            <w:vAlign w:val="center"/>
          </w:tcPr>
          <w:p w14:paraId="6287CA07">
            <w:pPr>
              <w:pStyle w:val="2"/>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rPr>
              <w:t>名称</w:t>
            </w:r>
          </w:p>
        </w:tc>
        <w:tc>
          <w:tcPr>
            <w:tcW w:w="3328" w:type="pct"/>
            <w:vAlign w:val="center"/>
          </w:tcPr>
          <w:p w14:paraId="7615F61F">
            <w:pPr>
              <w:pStyle w:val="2"/>
              <w:keepNext w:val="0"/>
              <w:keepLines w:val="0"/>
              <w:pageBreakBefore w:val="0"/>
              <w:kinsoku/>
              <w:wordWrap w:val="0"/>
              <w:overflowPunct/>
              <w:topLinePunct w:val="0"/>
              <w:autoSpaceDE/>
              <w:autoSpaceDN/>
              <w:bidi w:val="0"/>
              <w:spacing w:line="360" w:lineRule="auto"/>
              <w:jc w:val="both"/>
              <w:rPr>
                <w:rFonts w:hint="eastAsia" w:ascii="宋体" w:hAnsi="宋体" w:eastAsia="宋体" w:cs="宋体"/>
                <w:color w:val="auto"/>
                <w:sz w:val="24"/>
                <w:szCs w:val="24"/>
                <w:highlight w:val="none"/>
              </w:rPr>
            </w:pPr>
          </w:p>
        </w:tc>
      </w:tr>
      <w:tr w14:paraId="5AD7A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6" w:type="pct"/>
            <w:vMerge w:val="continue"/>
            <w:vAlign w:val="center"/>
          </w:tcPr>
          <w:p w14:paraId="45726E5B">
            <w:pPr>
              <w:pStyle w:val="2"/>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szCs w:val="24"/>
                <w:highlight w:val="none"/>
              </w:rPr>
            </w:pPr>
          </w:p>
        </w:tc>
        <w:tc>
          <w:tcPr>
            <w:tcW w:w="946" w:type="pct"/>
            <w:vAlign w:val="center"/>
          </w:tcPr>
          <w:p w14:paraId="3405F7CC">
            <w:pPr>
              <w:pStyle w:val="2"/>
              <w:keepNext w:val="0"/>
              <w:keepLines w:val="0"/>
              <w:pageBreakBefore w:val="0"/>
              <w:kinsoku/>
              <w:wordWrap w:val="0"/>
              <w:overflowPunct/>
              <w:topLinePunct w:val="0"/>
              <w:autoSpaceDE/>
              <w:autoSpaceDN/>
              <w:bidi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rPr>
              <w:t>纳税人识别号</w:t>
            </w:r>
          </w:p>
        </w:tc>
        <w:tc>
          <w:tcPr>
            <w:tcW w:w="3328" w:type="pct"/>
            <w:vAlign w:val="center"/>
          </w:tcPr>
          <w:p w14:paraId="5D365B53">
            <w:pPr>
              <w:pStyle w:val="2"/>
              <w:keepNext w:val="0"/>
              <w:keepLines w:val="0"/>
              <w:pageBreakBefore w:val="0"/>
              <w:kinsoku/>
              <w:wordWrap w:val="0"/>
              <w:overflowPunct/>
              <w:topLinePunct w:val="0"/>
              <w:autoSpaceDE/>
              <w:autoSpaceDN/>
              <w:bidi w:val="0"/>
              <w:spacing w:line="360" w:lineRule="auto"/>
              <w:jc w:val="both"/>
              <w:rPr>
                <w:rFonts w:hint="eastAsia" w:ascii="宋体" w:hAnsi="宋体" w:eastAsia="宋体" w:cs="宋体"/>
                <w:color w:val="auto"/>
                <w:sz w:val="24"/>
                <w:szCs w:val="24"/>
                <w:highlight w:val="none"/>
              </w:rPr>
            </w:pPr>
          </w:p>
        </w:tc>
      </w:tr>
      <w:tr w14:paraId="1EF3A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9" w:hRule="atLeast"/>
        </w:trPr>
        <w:tc>
          <w:tcPr>
            <w:tcW w:w="5000" w:type="pct"/>
            <w:gridSpan w:val="3"/>
            <w:vAlign w:val="center"/>
          </w:tcPr>
          <w:p w14:paraId="4D6C9F82">
            <w:pPr>
              <w:pStyle w:val="2"/>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1.国家税务总局关于修改《中华人民共和国发票管理办法实施细则》的决定</w:t>
            </w:r>
            <w:r>
              <w:rPr>
                <w:rFonts w:hint="eastAsia" w:ascii="宋体" w:hAnsi="宋体" w:eastAsia="宋体" w:cs="宋体"/>
                <w:color w:val="auto"/>
                <w:sz w:val="24"/>
                <w:highlight w:val="none"/>
              </w:rPr>
              <w:t>【</w:t>
            </w:r>
            <w:r>
              <w:rPr>
                <w:rFonts w:hint="eastAsia" w:ascii="宋体" w:hAnsi="宋体" w:eastAsia="宋体" w:cs="宋体"/>
                <w:color w:val="auto"/>
                <w:highlight w:val="none"/>
              </w:rPr>
              <w:t>https://fgk.chinatax.gov.cn/zcfgk/c100011/c5221006/content.html</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-“电子发票与纸质发票的法律效力相同，任何单位和个人不得拒收。”</w:t>
            </w:r>
          </w:p>
          <w:p w14:paraId="69B4B530">
            <w:pPr>
              <w:pStyle w:val="2"/>
              <w:keepNext w:val="0"/>
              <w:keepLines w:val="0"/>
              <w:pageBreakBefore w:val="0"/>
              <w:kinsoku/>
              <w:wordWrap w:val="0"/>
              <w:overflowPunct/>
              <w:topLinePunct w:val="0"/>
              <w:autoSpaceDE/>
              <w:autoSpaceDN/>
              <w:bidi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2.数电发票开具之后将会通过邮件的形式发送至供应商邮件中，请供应商注意查收</w:t>
            </w:r>
            <w:r>
              <w:rPr>
                <w:rFonts w:hint="eastAsia" w:ascii="宋体" w:hAnsi="宋体" w:eastAsia="宋体" w:cs="宋体"/>
                <w:color w:val="auto"/>
                <w:sz w:val="24"/>
                <w:highlight w:val="none"/>
                <w:lang w:eastAsia="zh-CN"/>
              </w:rPr>
              <w:t>。</w:t>
            </w:r>
          </w:p>
        </w:tc>
      </w:tr>
    </w:tbl>
    <w:p w14:paraId="05B552EB">
      <w:pPr>
        <w:pStyle w:val="33"/>
        <w:keepNext w:val="0"/>
        <w:keepLines w:val="0"/>
        <w:pageBreakBefore w:val="0"/>
        <w:kinsoku/>
        <w:wordWrap w:val="0"/>
        <w:overflowPunct/>
        <w:topLinePunct w:val="0"/>
        <w:autoSpaceDE/>
        <w:autoSpaceDN/>
        <w:bidi w:val="0"/>
        <w:spacing w:after="0"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br w:type="page"/>
      </w:r>
    </w:p>
    <w:p w14:paraId="26DE3D77">
      <w:pPr>
        <w:pStyle w:val="27"/>
        <w:keepNext w:val="0"/>
        <w:keepLines w:val="0"/>
        <w:pageBreakBefore w:val="0"/>
        <w:numPr>
          <w:ilvl w:val="0"/>
          <w:numId w:val="12"/>
        </w:numPr>
        <w:kinsoku/>
        <w:wordWrap w:val="0"/>
        <w:overflowPunct/>
        <w:topLinePunct w:val="0"/>
        <w:autoSpaceDE/>
        <w:autoSpaceDN/>
        <w:bidi w:val="0"/>
        <w:spacing w:line="360" w:lineRule="auto"/>
        <w:ind w:firstLineChars="0"/>
        <w:outlineLvl w:val="1"/>
        <w:rPr>
          <w:rFonts w:hint="eastAsia" w:ascii="宋体" w:hAnsi="宋体" w:eastAsia="宋体" w:cs="宋体"/>
          <w:b/>
          <w:bCs/>
          <w:color w:val="auto"/>
          <w:highlight w:val="none"/>
        </w:rPr>
      </w:pPr>
      <w:bookmarkStart w:id="335" w:name="_Toc13525"/>
      <w:bookmarkStart w:id="336" w:name="_Toc104131927"/>
      <w:r>
        <w:rPr>
          <w:rFonts w:hint="eastAsia" w:ascii="宋体" w:hAnsi="宋体" w:eastAsia="宋体" w:cs="宋体"/>
          <w:b/>
          <w:bCs/>
          <w:color w:val="auto"/>
          <w:highlight w:val="none"/>
        </w:rPr>
        <w:t>询问函、质疑函、投诉书格式</w:t>
      </w:r>
      <w:bookmarkEnd w:id="335"/>
      <w:bookmarkEnd w:id="336"/>
    </w:p>
    <w:p w14:paraId="181993B7">
      <w:pPr>
        <w:pStyle w:val="33"/>
        <w:keepNext w:val="0"/>
        <w:keepLines w:val="0"/>
        <w:pageBreakBefore w:val="0"/>
        <w:kinsoku/>
        <w:wordWrap w:val="0"/>
        <w:overflowPunct/>
        <w:topLinePunct w:val="0"/>
        <w:autoSpaceDE/>
        <w:autoSpaceDN/>
        <w:bidi w:val="0"/>
        <w:spacing w:after="0" w:line="360" w:lineRule="auto"/>
        <w:ind w:left="0" w:leftChars="0" w:firstLine="0" w:firstLineChars="0"/>
        <w:rPr>
          <w:rFonts w:hint="eastAsia" w:ascii="宋体" w:hAnsi="宋体" w:eastAsia="宋体" w:cs="宋体"/>
          <w:i/>
          <w:iCs/>
          <w:color w:val="auto"/>
          <w:szCs w:val="21"/>
          <w:highlight w:val="none"/>
          <w:lang w:eastAsia="zh-CN"/>
        </w:rPr>
      </w:pPr>
      <w:r>
        <w:rPr>
          <w:rFonts w:hint="eastAsia" w:ascii="宋体" w:hAnsi="宋体" w:eastAsia="宋体" w:cs="宋体"/>
          <w:i/>
          <w:iCs/>
          <w:color w:val="auto"/>
          <w:szCs w:val="21"/>
          <w:highlight w:val="none"/>
          <w:lang w:eastAsia="zh-CN"/>
        </w:rPr>
        <w:t>（以下格式文件为供应商提交询问函、质疑函、投诉函时使用，不属于投标文件格式的组成部分，供应商根据需要选用）</w:t>
      </w:r>
    </w:p>
    <w:p w14:paraId="1E3437DB">
      <w:pPr>
        <w:pStyle w:val="33"/>
        <w:keepNext w:val="0"/>
        <w:keepLines w:val="0"/>
        <w:pageBreakBefore w:val="0"/>
        <w:kinsoku/>
        <w:wordWrap w:val="0"/>
        <w:overflowPunct/>
        <w:topLinePunct w:val="0"/>
        <w:autoSpaceDE/>
        <w:autoSpaceDN/>
        <w:bidi w:val="0"/>
        <w:spacing w:after="0" w:line="360" w:lineRule="auto"/>
        <w:ind w:left="0" w:leftChars="0" w:firstLine="0" w:firstLineChars="0"/>
        <w:jc w:val="center"/>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eastAsia="zh-CN"/>
        </w:rPr>
        <w:t>询问函</w:t>
      </w:r>
    </w:p>
    <w:p w14:paraId="28C347A4">
      <w:pPr>
        <w:pStyle w:val="33"/>
        <w:keepNext w:val="0"/>
        <w:keepLines w:val="0"/>
        <w:pageBreakBefore w:val="0"/>
        <w:kinsoku/>
        <w:wordWrap w:val="0"/>
        <w:overflowPunct/>
        <w:topLinePunct w:val="0"/>
        <w:autoSpaceDE/>
        <w:autoSpaceDN/>
        <w:bidi w:val="0"/>
        <w:spacing w:after="0" w:line="360" w:lineRule="auto"/>
        <w:ind w:left="0" w:leftChars="0" w:firstLine="0" w:firstLine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公诚管理咨询有限公司：</w:t>
      </w:r>
    </w:p>
    <w:p w14:paraId="55B90BDF">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我单位已登记并准备参与</w:t>
      </w:r>
      <w:r>
        <w:rPr>
          <w:rFonts w:hint="eastAsia" w:ascii="宋体" w:hAnsi="宋体" w:eastAsia="宋体" w:cs="宋体"/>
          <w:color w:val="auto"/>
          <w:szCs w:val="21"/>
          <w:highlight w:val="none"/>
          <w:u w:val="single"/>
          <w:lang w:eastAsia="zh-CN"/>
        </w:rPr>
        <w:t xml:space="preserve">     （项目名称）</w:t>
      </w:r>
      <w:r>
        <w:rPr>
          <w:rFonts w:hint="eastAsia" w:ascii="宋体" w:hAnsi="宋体" w:eastAsia="宋体" w:cs="宋体"/>
          <w:color w:val="auto"/>
          <w:szCs w:val="21"/>
          <w:highlight w:val="none"/>
          <w:lang w:eastAsia="zh-CN"/>
        </w:rPr>
        <w:t>（项目编号：</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）的投标活动，现有以下几个内容（或条款）存在疑问（或无法理解），特提出询问。</w:t>
      </w:r>
    </w:p>
    <w:p w14:paraId="135014B5">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一、</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（事项一）</w:t>
      </w:r>
    </w:p>
    <w:p w14:paraId="145F42A6">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（问题或条款内容）</w:t>
      </w:r>
    </w:p>
    <w:p w14:paraId="48B6FE45">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（说明疑问或无法理解原因）</w:t>
      </w:r>
    </w:p>
    <w:p w14:paraId="2580FAC3">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 xml:space="preserve">（建议） </w:t>
      </w:r>
    </w:p>
    <w:p w14:paraId="3BCDE2A8">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二、</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（事项二）</w:t>
      </w:r>
    </w:p>
    <w:p w14:paraId="6280ADFD">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p>
    <w:p w14:paraId="5C074794">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随附相关证明材料如下：（目录）</w:t>
      </w:r>
    </w:p>
    <w:p w14:paraId="6EB71CA5">
      <w:pPr>
        <w:pStyle w:val="33"/>
        <w:keepNext w:val="0"/>
        <w:keepLines w:val="0"/>
        <w:pageBreakBefore w:val="0"/>
        <w:kinsoku/>
        <w:wordWrap w:val="0"/>
        <w:overflowPunct/>
        <w:topLinePunct w:val="0"/>
        <w:autoSpaceDE/>
        <w:autoSpaceDN/>
        <w:bidi w:val="0"/>
        <w:spacing w:after="0" w:line="360" w:lineRule="auto"/>
        <w:ind w:left="0" w:leftChars="0" w:firstLine="0" w:firstLineChars="0"/>
        <w:rPr>
          <w:rFonts w:hint="eastAsia" w:ascii="宋体" w:hAnsi="宋体" w:eastAsia="宋体" w:cs="宋体"/>
          <w:color w:val="auto"/>
          <w:szCs w:val="21"/>
          <w:highlight w:val="none"/>
          <w:lang w:eastAsia="zh-CN"/>
        </w:rPr>
      </w:pPr>
    </w:p>
    <w:p w14:paraId="2C26477F">
      <w:pPr>
        <w:pStyle w:val="33"/>
        <w:keepNext w:val="0"/>
        <w:keepLines w:val="0"/>
        <w:pageBreakBefore w:val="0"/>
        <w:kinsoku/>
        <w:wordWrap w:val="0"/>
        <w:overflowPunct/>
        <w:topLinePunct w:val="0"/>
        <w:autoSpaceDE/>
        <w:autoSpaceDN/>
        <w:bidi w:val="0"/>
        <w:spacing w:after="0" w:line="360" w:lineRule="auto"/>
        <w:ind w:left="2163" w:leftChars="1030"/>
        <w:jc w:val="righ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询问人（公章）：</w:t>
      </w:r>
      <w:r>
        <w:rPr>
          <w:rFonts w:hint="eastAsia" w:ascii="宋体" w:hAnsi="宋体" w:eastAsia="宋体" w:cs="宋体"/>
          <w:color w:val="auto"/>
          <w:szCs w:val="21"/>
          <w:highlight w:val="none"/>
          <w:u w:val="single"/>
          <w:lang w:eastAsia="zh-CN"/>
        </w:rPr>
        <w:tab/>
      </w:r>
      <w:r>
        <w:rPr>
          <w:rFonts w:hint="eastAsia" w:ascii="宋体" w:hAnsi="宋体" w:eastAsia="宋体" w:cs="宋体"/>
          <w:color w:val="auto"/>
          <w:szCs w:val="21"/>
          <w:highlight w:val="none"/>
          <w:u w:val="single"/>
          <w:lang w:eastAsia="zh-CN"/>
        </w:rPr>
        <w:t xml:space="preserve">           </w:t>
      </w:r>
    </w:p>
    <w:p w14:paraId="58E8FE19">
      <w:pPr>
        <w:pStyle w:val="33"/>
        <w:keepNext w:val="0"/>
        <w:keepLines w:val="0"/>
        <w:pageBreakBefore w:val="0"/>
        <w:kinsoku/>
        <w:wordWrap w:val="0"/>
        <w:overflowPunct/>
        <w:topLinePunct w:val="0"/>
        <w:autoSpaceDE/>
        <w:autoSpaceDN/>
        <w:bidi w:val="0"/>
        <w:spacing w:after="0" w:line="360" w:lineRule="auto"/>
        <w:ind w:left="2163" w:leftChars="1030"/>
        <w:jc w:val="righ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法定代表人或授权代表（签字或盖章）：</w:t>
      </w:r>
      <w:r>
        <w:rPr>
          <w:rFonts w:hint="eastAsia" w:ascii="宋体" w:hAnsi="宋体" w:eastAsia="宋体" w:cs="宋体"/>
          <w:color w:val="auto"/>
          <w:szCs w:val="21"/>
          <w:highlight w:val="none"/>
          <w:u w:val="single"/>
          <w:lang w:eastAsia="zh-CN"/>
        </w:rPr>
        <w:tab/>
      </w:r>
      <w:r>
        <w:rPr>
          <w:rFonts w:hint="eastAsia" w:ascii="宋体" w:hAnsi="宋体" w:eastAsia="宋体" w:cs="宋体"/>
          <w:color w:val="auto"/>
          <w:szCs w:val="21"/>
          <w:highlight w:val="none"/>
          <w:u w:val="single"/>
          <w:lang w:eastAsia="zh-CN"/>
        </w:rPr>
        <w:t xml:space="preserve">           </w:t>
      </w:r>
    </w:p>
    <w:p w14:paraId="78AADF67">
      <w:pPr>
        <w:pStyle w:val="33"/>
        <w:keepNext w:val="0"/>
        <w:keepLines w:val="0"/>
        <w:pageBreakBefore w:val="0"/>
        <w:kinsoku/>
        <w:wordWrap w:val="0"/>
        <w:overflowPunct/>
        <w:topLinePunct w:val="0"/>
        <w:autoSpaceDE/>
        <w:autoSpaceDN/>
        <w:bidi w:val="0"/>
        <w:spacing w:after="0" w:line="360" w:lineRule="auto"/>
        <w:ind w:left="2163" w:leftChars="1030"/>
        <w:jc w:val="righ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地址/邮编：</w:t>
      </w:r>
      <w:r>
        <w:rPr>
          <w:rFonts w:hint="eastAsia" w:ascii="宋体" w:hAnsi="宋体" w:eastAsia="宋体" w:cs="宋体"/>
          <w:color w:val="auto"/>
          <w:szCs w:val="21"/>
          <w:highlight w:val="none"/>
          <w:u w:val="single"/>
          <w:lang w:eastAsia="zh-CN"/>
        </w:rPr>
        <w:tab/>
      </w:r>
      <w:r>
        <w:rPr>
          <w:rFonts w:hint="eastAsia" w:ascii="宋体" w:hAnsi="宋体" w:eastAsia="宋体" w:cs="宋体"/>
          <w:color w:val="auto"/>
          <w:szCs w:val="21"/>
          <w:highlight w:val="none"/>
          <w:u w:val="single"/>
          <w:lang w:eastAsia="zh-CN"/>
        </w:rPr>
        <w:t xml:space="preserve">              </w:t>
      </w:r>
    </w:p>
    <w:p w14:paraId="7A1A0041">
      <w:pPr>
        <w:pStyle w:val="33"/>
        <w:keepNext w:val="0"/>
        <w:keepLines w:val="0"/>
        <w:pageBreakBefore w:val="0"/>
        <w:kinsoku/>
        <w:wordWrap w:val="0"/>
        <w:overflowPunct/>
        <w:topLinePunct w:val="0"/>
        <w:autoSpaceDE/>
        <w:autoSpaceDN/>
        <w:bidi w:val="0"/>
        <w:spacing w:after="0" w:line="360" w:lineRule="auto"/>
        <w:ind w:left="2163" w:leftChars="1030"/>
        <w:jc w:val="righ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电话/传真：</w:t>
      </w:r>
      <w:r>
        <w:rPr>
          <w:rFonts w:hint="eastAsia" w:ascii="宋体" w:hAnsi="宋体" w:eastAsia="宋体" w:cs="宋体"/>
          <w:color w:val="auto"/>
          <w:szCs w:val="21"/>
          <w:highlight w:val="none"/>
          <w:u w:val="single"/>
          <w:lang w:eastAsia="zh-CN"/>
        </w:rPr>
        <w:tab/>
      </w:r>
      <w:r>
        <w:rPr>
          <w:rFonts w:hint="eastAsia" w:ascii="宋体" w:hAnsi="宋体" w:eastAsia="宋体" w:cs="宋体"/>
          <w:color w:val="auto"/>
          <w:szCs w:val="21"/>
          <w:highlight w:val="none"/>
          <w:u w:val="single"/>
          <w:lang w:eastAsia="zh-CN"/>
        </w:rPr>
        <w:t xml:space="preserve">              </w:t>
      </w:r>
    </w:p>
    <w:p w14:paraId="60BF0ECE">
      <w:pPr>
        <w:pStyle w:val="33"/>
        <w:keepNext w:val="0"/>
        <w:keepLines w:val="0"/>
        <w:pageBreakBefore w:val="0"/>
        <w:kinsoku/>
        <w:wordWrap w:val="0"/>
        <w:overflowPunct/>
        <w:topLinePunct w:val="0"/>
        <w:autoSpaceDE/>
        <w:autoSpaceDN/>
        <w:bidi w:val="0"/>
        <w:spacing w:after="0" w:line="360" w:lineRule="auto"/>
        <w:ind w:left="2163" w:leftChars="1030"/>
        <w:jc w:val="righ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日期：</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年</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月</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日</w:t>
      </w:r>
    </w:p>
    <w:p w14:paraId="657C034C">
      <w:pPr>
        <w:pStyle w:val="33"/>
        <w:keepNext w:val="0"/>
        <w:keepLines w:val="0"/>
        <w:pageBreakBefore w:val="0"/>
        <w:kinsoku/>
        <w:wordWrap w:val="0"/>
        <w:overflowPunct/>
        <w:topLinePunct w:val="0"/>
        <w:autoSpaceDE/>
        <w:autoSpaceDN/>
        <w:bidi w:val="0"/>
        <w:spacing w:after="0"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 xml:space="preserve"> </w:t>
      </w:r>
    </w:p>
    <w:p w14:paraId="57594238">
      <w:pPr>
        <w:keepNext w:val="0"/>
        <w:keepLines w:val="0"/>
        <w:pageBreakBefore w:val="0"/>
        <w:widowControl/>
        <w:kinsoku/>
        <w:wordWrap w:val="0"/>
        <w:overflowPunct/>
        <w:topLinePunct w:val="0"/>
        <w:autoSpaceDE/>
        <w:autoSpaceDN/>
        <w:bidi w:val="0"/>
        <w:spacing w:line="360" w:lineRule="auto"/>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br w:type="page"/>
      </w:r>
    </w:p>
    <w:p w14:paraId="1E1618D1">
      <w:pPr>
        <w:pStyle w:val="27"/>
        <w:keepNext w:val="0"/>
        <w:keepLines w:val="0"/>
        <w:pageBreakBefore w:val="0"/>
        <w:kinsoku/>
        <w:wordWrap w:val="0"/>
        <w:overflowPunct/>
        <w:topLinePunct w:val="0"/>
        <w:autoSpaceDE/>
        <w:autoSpaceDN/>
        <w:bidi w:val="0"/>
        <w:spacing w:line="360" w:lineRule="auto"/>
        <w:ind w:firstLine="0" w:firstLineChars="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质疑函</w:t>
      </w:r>
    </w:p>
    <w:p w14:paraId="2D1F36BF">
      <w:pPr>
        <w:pStyle w:val="2"/>
        <w:keepNext w:val="0"/>
        <w:keepLines w:val="0"/>
        <w:pageBreakBefore w:val="0"/>
        <w:numPr>
          <w:ilvl w:val="0"/>
          <w:numId w:val="19"/>
        </w:numPr>
        <w:kinsoku/>
        <w:wordWrap w:val="0"/>
        <w:overflowPunct/>
        <w:topLinePunct w:val="0"/>
        <w:autoSpaceDE/>
        <w:autoSpaceDN/>
        <w:bidi w:val="0"/>
        <w:spacing w:line="360" w:lineRule="auto"/>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质疑供应商基本信息</w:t>
      </w:r>
    </w:p>
    <w:p w14:paraId="250DA913">
      <w:pPr>
        <w:pStyle w:val="2"/>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质疑供应商：</w:t>
      </w:r>
      <w:r>
        <w:rPr>
          <w:rFonts w:hint="eastAsia" w:ascii="宋体" w:hAnsi="宋体" w:eastAsia="宋体" w:cs="宋体"/>
          <w:color w:val="auto"/>
          <w:szCs w:val="21"/>
          <w:highlight w:val="none"/>
          <w:u w:val="single"/>
          <w:lang w:eastAsia="zh-CN"/>
        </w:rPr>
        <w:tab/>
      </w:r>
      <w:r>
        <w:rPr>
          <w:rFonts w:hint="eastAsia" w:ascii="宋体" w:hAnsi="宋体" w:eastAsia="宋体" w:cs="宋体"/>
          <w:color w:val="auto"/>
          <w:szCs w:val="21"/>
          <w:highlight w:val="none"/>
          <w:u w:val="single"/>
          <w:lang w:eastAsia="zh-CN"/>
        </w:rPr>
        <w:t xml:space="preserve">             </w:t>
      </w:r>
    </w:p>
    <w:p w14:paraId="249D4CEB">
      <w:pPr>
        <w:pStyle w:val="2"/>
        <w:keepNext w:val="0"/>
        <w:keepLines w:val="0"/>
        <w:pageBreakBefore w:val="0"/>
        <w:tabs>
          <w:tab w:val="left" w:pos="3082"/>
          <w:tab w:val="left" w:pos="5720"/>
        </w:tabs>
        <w:kinsoku/>
        <w:wordWrap w:val="0"/>
        <w:overflowPunct/>
        <w:topLinePunct w:val="0"/>
        <w:autoSpaceDE/>
        <w:autoSpaceDN/>
        <w:bidi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地址：</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u w:val="single"/>
          <w:lang w:eastAsia="zh-CN"/>
        </w:rPr>
        <w:tab/>
      </w:r>
      <w:r>
        <w:rPr>
          <w:rFonts w:hint="eastAsia" w:ascii="宋体" w:hAnsi="宋体" w:eastAsia="宋体" w:cs="宋体"/>
          <w:color w:val="auto"/>
          <w:szCs w:val="21"/>
          <w:highlight w:val="none"/>
          <w:lang w:eastAsia="zh-CN"/>
        </w:rPr>
        <w:t>邮编：</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u w:val="single"/>
          <w:lang w:eastAsia="zh-CN"/>
        </w:rPr>
        <w:tab/>
      </w:r>
    </w:p>
    <w:p w14:paraId="04E1F2A7">
      <w:pPr>
        <w:pStyle w:val="2"/>
        <w:keepNext w:val="0"/>
        <w:keepLines w:val="0"/>
        <w:pageBreakBefore w:val="0"/>
        <w:tabs>
          <w:tab w:val="left" w:pos="3082"/>
          <w:tab w:val="left" w:pos="3511"/>
          <w:tab w:val="left" w:pos="5625"/>
        </w:tabs>
        <w:kinsoku/>
        <w:wordWrap w:val="0"/>
        <w:overflowPunct/>
        <w:topLinePunct w:val="0"/>
        <w:autoSpaceDE/>
        <w:autoSpaceDN/>
        <w:bidi w:val="0"/>
        <w:spacing w:line="360" w:lineRule="auto"/>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lang w:eastAsia="zh-CN"/>
        </w:rPr>
        <w:t>联系：</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u w:val="single"/>
          <w:lang w:eastAsia="zh-CN"/>
        </w:rPr>
        <w:tab/>
      </w:r>
      <w:r>
        <w:rPr>
          <w:rFonts w:hint="eastAsia" w:ascii="宋体" w:hAnsi="宋体" w:eastAsia="宋体" w:cs="宋体"/>
          <w:color w:val="auto"/>
          <w:szCs w:val="21"/>
          <w:highlight w:val="none"/>
          <w:lang w:eastAsia="zh-CN"/>
        </w:rPr>
        <w:t>联系电话：</w:t>
      </w:r>
      <w:r>
        <w:rPr>
          <w:rFonts w:hint="eastAsia" w:ascii="宋体" w:hAnsi="宋体" w:eastAsia="宋体" w:cs="宋体"/>
          <w:color w:val="auto"/>
          <w:szCs w:val="21"/>
          <w:highlight w:val="none"/>
          <w:u w:val="single"/>
          <w:lang w:eastAsia="zh-CN"/>
        </w:rPr>
        <w:tab/>
      </w:r>
      <w:r>
        <w:rPr>
          <w:rFonts w:hint="eastAsia" w:ascii="宋体" w:hAnsi="宋体" w:eastAsia="宋体" w:cs="宋体"/>
          <w:color w:val="auto"/>
          <w:szCs w:val="21"/>
          <w:highlight w:val="none"/>
          <w:u w:val="single"/>
          <w:lang w:eastAsia="zh-CN"/>
        </w:rPr>
        <w:t xml:space="preserve"> </w:t>
      </w:r>
    </w:p>
    <w:p w14:paraId="793EE0E8">
      <w:pPr>
        <w:pStyle w:val="2"/>
        <w:keepNext w:val="0"/>
        <w:keepLines w:val="0"/>
        <w:pageBreakBefore w:val="0"/>
        <w:tabs>
          <w:tab w:val="left" w:pos="3082"/>
          <w:tab w:val="left" w:pos="3511"/>
          <w:tab w:val="left" w:pos="6104"/>
        </w:tabs>
        <w:kinsoku/>
        <w:wordWrap w:val="0"/>
        <w:overflowPunct/>
        <w:topLinePunct w:val="0"/>
        <w:autoSpaceDE/>
        <w:autoSpaceDN/>
        <w:bidi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授权代表：</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u w:val="single"/>
          <w:lang w:eastAsia="zh-CN"/>
        </w:rPr>
        <w:tab/>
      </w:r>
      <w:r>
        <w:rPr>
          <w:rFonts w:hint="eastAsia" w:ascii="宋体" w:hAnsi="宋体" w:eastAsia="宋体" w:cs="宋体"/>
          <w:color w:val="auto"/>
          <w:szCs w:val="21"/>
          <w:highlight w:val="none"/>
          <w:u w:val="single"/>
          <w:lang w:eastAsia="zh-CN"/>
        </w:rPr>
        <w:tab/>
      </w:r>
    </w:p>
    <w:p w14:paraId="6D03C05C">
      <w:pPr>
        <w:pStyle w:val="2"/>
        <w:keepNext w:val="0"/>
        <w:keepLines w:val="0"/>
        <w:pageBreakBefore w:val="0"/>
        <w:tabs>
          <w:tab w:val="left" w:pos="3511"/>
        </w:tabs>
        <w:kinsoku/>
        <w:wordWrap w:val="0"/>
        <w:overflowPunct/>
        <w:topLinePunct w:val="0"/>
        <w:autoSpaceDE/>
        <w:autoSpaceDN/>
        <w:bidi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联系电话：</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u w:val="single"/>
          <w:lang w:eastAsia="zh-CN"/>
        </w:rPr>
        <w:tab/>
      </w:r>
    </w:p>
    <w:p w14:paraId="0986752C">
      <w:pPr>
        <w:pStyle w:val="2"/>
        <w:keepNext w:val="0"/>
        <w:keepLines w:val="0"/>
        <w:pageBreakBefore w:val="0"/>
        <w:tabs>
          <w:tab w:val="left" w:pos="3082"/>
          <w:tab w:val="left" w:pos="5720"/>
        </w:tabs>
        <w:kinsoku/>
        <w:wordWrap w:val="0"/>
        <w:overflowPunct/>
        <w:topLinePunct w:val="0"/>
        <w:autoSpaceDE/>
        <w:autoSpaceDN/>
        <w:bidi w:val="0"/>
        <w:spacing w:line="360" w:lineRule="auto"/>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lang w:eastAsia="zh-CN"/>
        </w:rPr>
        <w:t>地址：</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u w:val="single"/>
          <w:lang w:eastAsia="zh-CN"/>
        </w:rPr>
        <w:tab/>
      </w:r>
      <w:r>
        <w:rPr>
          <w:rFonts w:hint="eastAsia" w:ascii="宋体" w:hAnsi="宋体" w:eastAsia="宋体" w:cs="宋体"/>
          <w:color w:val="auto"/>
          <w:szCs w:val="21"/>
          <w:highlight w:val="none"/>
          <w:lang w:eastAsia="zh-CN"/>
        </w:rPr>
        <w:t>邮编：</w:t>
      </w:r>
      <w:r>
        <w:rPr>
          <w:rFonts w:hint="eastAsia" w:ascii="宋体" w:hAnsi="宋体" w:eastAsia="宋体" w:cs="宋体"/>
          <w:color w:val="auto"/>
          <w:szCs w:val="21"/>
          <w:highlight w:val="none"/>
          <w:u w:val="single"/>
          <w:lang w:eastAsia="zh-CN"/>
        </w:rPr>
        <w:tab/>
      </w:r>
      <w:r>
        <w:rPr>
          <w:rFonts w:hint="eastAsia" w:ascii="宋体" w:hAnsi="宋体" w:eastAsia="宋体" w:cs="宋体"/>
          <w:color w:val="auto"/>
          <w:szCs w:val="21"/>
          <w:highlight w:val="none"/>
          <w:u w:val="single"/>
          <w:lang w:eastAsia="zh-CN"/>
        </w:rPr>
        <w:t xml:space="preserve"> </w:t>
      </w:r>
    </w:p>
    <w:p w14:paraId="0597F908">
      <w:pPr>
        <w:pStyle w:val="2"/>
        <w:keepNext w:val="0"/>
        <w:keepLines w:val="0"/>
        <w:pageBreakBefore w:val="0"/>
        <w:numPr>
          <w:ilvl w:val="0"/>
          <w:numId w:val="19"/>
        </w:numPr>
        <w:kinsoku/>
        <w:wordWrap w:val="0"/>
        <w:overflowPunct/>
        <w:topLinePunct w:val="0"/>
        <w:autoSpaceDE/>
        <w:autoSpaceDN/>
        <w:bidi w:val="0"/>
        <w:spacing w:line="360" w:lineRule="auto"/>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质疑项目基本情况</w:t>
      </w:r>
    </w:p>
    <w:p w14:paraId="54DC92C3">
      <w:pPr>
        <w:pStyle w:val="2"/>
        <w:keepNext w:val="0"/>
        <w:keepLines w:val="0"/>
        <w:pageBreakBefore w:val="0"/>
        <w:tabs>
          <w:tab w:val="left" w:pos="4088"/>
        </w:tabs>
        <w:kinsoku/>
        <w:wordWrap w:val="0"/>
        <w:overflowPunct/>
        <w:topLinePunct w:val="0"/>
        <w:autoSpaceDE/>
        <w:autoSpaceDN/>
        <w:bidi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质疑项目的名称：</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u w:val="single"/>
          <w:lang w:eastAsia="zh-CN"/>
        </w:rPr>
        <w:tab/>
      </w:r>
    </w:p>
    <w:p w14:paraId="7B1D135A">
      <w:pPr>
        <w:pStyle w:val="2"/>
        <w:keepNext w:val="0"/>
        <w:keepLines w:val="0"/>
        <w:pageBreakBefore w:val="0"/>
        <w:tabs>
          <w:tab w:val="left" w:pos="3703"/>
          <w:tab w:val="left" w:pos="4088"/>
          <w:tab w:val="left" w:pos="6740"/>
        </w:tabs>
        <w:kinsoku/>
        <w:wordWrap w:val="0"/>
        <w:overflowPunct/>
        <w:topLinePunct w:val="0"/>
        <w:autoSpaceDE/>
        <w:autoSpaceDN/>
        <w:bidi w:val="0"/>
        <w:spacing w:line="360" w:lineRule="auto"/>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lang w:eastAsia="zh-CN"/>
        </w:rPr>
        <w:t>质疑项目的编号：</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u w:val="single"/>
          <w:lang w:eastAsia="zh-CN"/>
        </w:rPr>
        <w:tab/>
      </w:r>
      <w:r>
        <w:rPr>
          <w:rFonts w:hint="eastAsia" w:ascii="宋体" w:hAnsi="宋体" w:eastAsia="宋体" w:cs="宋体"/>
          <w:color w:val="auto"/>
          <w:szCs w:val="21"/>
          <w:highlight w:val="none"/>
          <w:u w:val="single"/>
          <w:lang w:eastAsia="zh-CN"/>
        </w:rPr>
        <w:tab/>
      </w:r>
      <w:r>
        <w:rPr>
          <w:rFonts w:hint="eastAsia" w:ascii="宋体" w:hAnsi="宋体" w:eastAsia="宋体" w:cs="宋体"/>
          <w:color w:val="auto"/>
          <w:szCs w:val="21"/>
          <w:highlight w:val="none"/>
          <w:lang w:eastAsia="zh-CN"/>
        </w:rPr>
        <w:t>包号：</w:t>
      </w:r>
      <w:r>
        <w:rPr>
          <w:rFonts w:hint="eastAsia" w:ascii="宋体" w:hAnsi="宋体" w:eastAsia="宋体" w:cs="宋体"/>
          <w:color w:val="auto"/>
          <w:szCs w:val="21"/>
          <w:highlight w:val="none"/>
          <w:u w:val="single"/>
          <w:lang w:eastAsia="zh-CN"/>
        </w:rPr>
        <w:t xml:space="preserve">        </w:t>
      </w:r>
    </w:p>
    <w:p w14:paraId="3B0CF42F">
      <w:pPr>
        <w:pStyle w:val="2"/>
        <w:keepNext w:val="0"/>
        <w:keepLines w:val="0"/>
        <w:pageBreakBefore w:val="0"/>
        <w:tabs>
          <w:tab w:val="left" w:pos="3703"/>
          <w:tab w:val="left" w:pos="4088"/>
          <w:tab w:val="left" w:pos="6740"/>
        </w:tabs>
        <w:kinsoku/>
        <w:wordWrap w:val="0"/>
        <w:overflowPunct/>
        <w:topLinePunct w:val="0"/>
        <w:autoSpaceDE/>
        <w:autoSpaceDN/>
        <w:bidi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采购人名称：</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u w:val="single"/>
          <w:lang w:eastAsia="zh-CN"/>
        </w:rPr>
        <w:tab/>
      </w:r>
    </w:p>
    <w:p w14:paraId="102B35F1">
      <w:pPr>
        <w:pStyle w:val="2"/>
        <w:keepNext w:val="0"/>
        <w:keepLines w:val="0"/>
        <w:pageBreakBefore w:val="0"/>
        <w:tabs>
          <w:tab w:val="left" w:pos="4280"/>
        </w:tabs>
        <w:kinsoku/>
        <w:wordWrap w:val="0"/>
        <w:overflowPunct/>
        <w:topLinePunct w:val="0"/>
        <w:autoSpaceDE/>
        <w:autoSpaceDN/>
        <w:bidi w:val="0"/>
        <w:spacing w:line="360" w:lineRule="auto"/>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lang w:eastAsia="zh-CN"/>
        </w:rPr>
        <w:t>采购文件获取日期：</w:t>
      </w:r>
      <w:r>
        <w:rPr>
          <w:rFonts w:hint="eastAsia" w:ascii="宋体" w:hAnsi="宋体" w:eastAsia="宋体" w:cs="宋体"/>
          <w:color w:val="auto"/>
          <w:szCs w:val="21"/>
          <w:highlight w:val="none"/>
          <w:u w:val="single"/>
          <w:lang w:eastAsia="zh-CN"/>
        </w:rPr>
        <w:tab/>
      </w:r>
      <w:r>
        <w:rPr>
          <w:rFonts w:hint="eastAsia" w:ascii="宋体" w:hAnsi="宋体" w:eastAsia="宋体" w:cs="宋体"/>
          <w:color w:val="auto"/>
          <w:szCs w:val="21"/>
          <w:highlight w:val="none"/>
          <w:u w:val="single"/>
          <w:lang w:eastAsia="zh-CN"/>
        </w:rPr>
        <w:t xml:space="preserve">           </w:t>
      </w:r>
    </w:p>
    <w:p w14:paraId="4CDEFFFD">
      <w:pPr>
        <w:pStyle w:val="2"/>
        <w:keepNext w:val="0"/>
        <w:keepLines w:val="0"/>
        <w:pageBreakBefore w:val="0"/>
        <w:numPr>
          <w:ilvl w:val="0"/>
          <w:numId w:val="19"/>
        </w:numPr>
        <w:kinsoku/>
        <w:wordWrap w:val="0"/>
        <w:overflowPunct/>
        <w:topLinePunct w:val="0"/>
        <w:autoSpaceDE/>
        <w:autoSpaceDN/>
        <w:bidi w:val="0"/>
        <w:spacing w:line="360" w:lineRule="auto"/>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质疑事项具体内容</w:t>
      </w:r>
    </w:p>
    <w:p w14:paraId="68CADAC9">
      <w:pPr>
        <w:pStyle w:val="2"/>
        <w:keepNext w:val="0"/>
        <w:keepLines w:val="0"/>
        <w:pageBreakBefore w:val="0"/>
        <w:tabs>
          <w:tab w:val="left" w:pos="3511"/>
          <w:tab w:val="left" w:pos="3631"/>
        </w:tabs>
        <w:kinsoku/>
        <w:wordWrap w:val="0"/>
        <w:overflowPunct/>
        <w:topLinePunct w:val="0"/>
        <w:autoSpaceDE/>
        <w:autoSpaceDN/>
        <w:bidi w:val="0"/>
        <w:spacing w:line="360" w:lineRule="auto"/>
        <w:rPr>
          <w:rFonts w:hint="eastAsia" w:ascii="宋体" w:hAnsi="宋体" w:eastAsia="宋体" w:cs="宋体"/>
          <w:color w:val="auto"/>
          <w:szCs w:val="21"/>
          <w:highlight w:val="none"/>
          <w:u w:val="single"/>
          <w:lang w:eastAsia="zh-CN"/>
        </w:rPr>
      </w:pPr>
      <w:r>
        <w:rPr>
          <w:rFonts w:hint="eastAsia" w:ascii="宋体" w:hAnsi="宋体" w:eastAsia="宋体" w:cs="宋体"/>
          <w:color w:val="auto"/>
          <w:spacing w:val="-3"/>
          <w:szCs w:val="21"/>
          <w:highlight w:val="none"/>
          <w:lang w:eastAsia="zh-CN"/>
        </w:rPr>
        <w:t>质疑事项1：</w:t>
      </w:r>
      <w:r>
        <w:rPr>
          <w:rFonts w:hint="eastAsia" w:ascii="宋体" w:hAnsi="宋体" w:eastAsia="宋体" w:cs="宋体"/>
          <w:color w:val="auto"/>
          <w:spacing w:val="-3"/>
          <w:szCs w:val="21"/>
          <w:highlight w:val="none"/>
          <w:u w:val="single"/>
          <w:lang w:eastAsia="zh-CN"/>
        </w:rPr>
        <w:tab/>
      </w:r>
      <w:r>
        <w:rPr>
          <w:rFonts w:hint="eastAsia" w:ascii="宋体" w:hAnsi="宋体" w:eastAsia="宋体" w:cs="宋体"/>
          <w:color w:val="auto"/>
          <w:spacing w:val="-3"/>
          <w:szCs w:val="21"/>
          <w:highlight w:val="none"/>
          <w:u w:val="single"/>
          <w:lang w:eastAsia="zh-CN"/>
        </w:rPr>
        <w:tab/>
      </w:r>
      <w:r>
        <w:rPr>
          <w:rFonts w:hint="eastAsia" w:ascii="宋体" w:hAnsi="宋体" w:eastAsia="宋体" w:cs="宋体"/>
          <w:color w:val="auto"/>
          <w:szCs w:val="21"/>
          <w:highlight w:val="none"/>
          <w:u w:val="single"/>
          <w:lang w:eastAsia="zh-CN"/>
        </w:rPr>
        <w:t xml:space="preserve">                    </w:t>
      </w:r>
    </w:p>
    <w:p w14:paraId="7ADA4CC5">
      <w:pPr>
        <w:pStyle w:val="2"/>
        <w:keepNext w:val="0"/>
        <w:keepLines w:val="0"/>
        <w:pageBreakBefore w:val="0"/>
        <w:tabs>
          <w:tab w:val="left" w:pos="3511"/>
          <w:tab w:val="left" w:pos="3631"/>
        </w:tabs>
        <w:kinsoku/>
        <w:wordWrap w:val="0"/>
        <w:overflowPunct/>
        <w:topLinePunct w:val="0"/>
        <w:autoSpaceDE/>
        <w:autoSpaceDN/>
        <w:bidi w:val="0"/>
        <w:spacing w:line="360" w:lineRule="auto"/>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lang w:eastAsia="zh-CN"/>
        </w:rPr>
        <w:t>事实依据：</w:t>
      </w:r>
      <w:r>
        <w:rPr>
          <w:rFonts w:hint="eastAsia" w:ascii="宋体" w:hAnsi="宋体" w:eastAsia="宋体" w:cs="宋体"/>
          <w:color w:val="auto"/>
          <w:szCs w:val="21"/>
          <w:highlight w:val="none"/>
          <w:u w:val="single"/>
          <w:lang w:eastAsia="zh-CN"/>
        </w:rPr>
        <w:tab/>
      </w:r>
      <w:r>
        <w:rPr>
          <w:rFonts w:hint="eastAsia" w:ascii="宋体" w:hAnsi="宋体" w:eastAsia="宋体" w:cs="宋体"/>
          <w:color w:val="auto"/>
          <w:szCs w:val="21"/>
          <w:highlight w:val="none"/>
          <w:u w:val="single"/>
          <w:lang w:eastAsia="zh-CN"/>
        </w:rPr>
        <w:t xml:space="preserve">                    </w:t>
      </w:r>
    </w:p>
    <w:p w14:paraId="088C9A1C">
      <w:pPr>
        <w:pStyle w:val="2"/>
        <w:keepNext w:val="0"/>
        <w:keepLines w:val="0"/>
        <w:pageBreakBefore w:val="0"/>
        <w:tabs>
          <w:tab w:val="left" w:pos="3511"/>
          <w:tab w:val="left" w:pos="3631"/>
        </w:tabs>
        <w:kinsoku/>
        <w:wordWrap w:val="0"/>
        <w:overflowPunct/>
        <w:topLinePunct w:val="0"/>
        <w:autoSpaceDE/>
        <w:autoSpaceDN/>
        <w:bidi w:val="0"/>
        <w:spacing w:line="360" w:lineRule="auto"/>
        <w:rPr>
          <w:rFonts w:hint="eastAsia" w:ascii="宋体" w:hAnsi="宋体" w:eastAsia="宋体" w:cs="宋体"/>
          <w:color w:val="auto"/>
          <w:spacing w:val="60"/>
          <w:szCs w:val="21"/>
          <w:highlight w:val="none"/>
          <w:u w:val="single"/>
          <w:lang w:eastAsia="zh-CN"/>
        </w:rPr>
      </w:pPr>
      <w:r>
        <w:rPr>
          <w:rFonts w:hint="eastAsia" w:ascii="宋体" w:hAnsi="宋体" w:eastAsia="宋体" w:cs="宋体"/>
          <w:color w:val="auto"/>
          <w:szCs w:val="21"/>
          <w:highlight w:val="none"/>
          <w:lang w:eastAsia="zh-CN"/>
        </w:rPr>
        <w:t>法律依据：</w:t>
      </w:r>
      <w:r>
        <w:rPr>
          <w:rFonts w:hint="eastAsia" w:ascii="宋体" w:hAnsi="宋体" w:eastAsia="宋体" w:cs="宋体"/>
          <w:color w:val="auto"/>
          <w:szCs w:val="21"/>
          <w:highlight w:val="none"/>
          <w:u w:val="single"/>
          <w:lang w:eastAsia="zh-CN"/>
        </w:rPr>
        <w:tab/>
      </w:r>
      <w:r>
        <w:rPr>
          <w:rFonts w:hint="eastAsia" w:ascii="宋体" w:hAnsi="宋体" w:eastAsia="宋体" w:cs="宋体"/>
          <w:color w:val="auto"/>
          <w:spacing w:val="-3"/>
          <w:szCs w:val="21"/>
          <w:highlight w:val="none"/>
          <w:u w:val="single"/>
          <w:lang w:eastAsia="zh-CN"/>
        </w:rPr>
        <w:t xml:space="preserve">                    </w:t>
      </w:r>
      <w:r>
        <w:rPr>
          <w:rFonts w:hint="eastAsia" w:ascii="宋体" w:hAnsi="宋体" w:eastAsia="宋体" w:cs="宋体"/>
          <w:color w:val="auto"/>
          <w:spacing w:val="60"/>
          <w:szCs w:val="21"/>
          <w:highlight w:val="none"/>
          <w:u w:val="single"/>
          <w:lang w:eastAsia="zh-CN"/>
        </w:rPr>
        <w:t xml:space="preserve"> </w:t>
      </w:r>
    </w:p>
    <w:p w14:paraId="662CF85E">
      <w:pPr>
        <w:pStyle w:val="2"/>
        <w:keepNext w:val="0"/>
        <w:keepLines w:val="0"/>
        <w:pageBreakBefore w:val="0"/>
        <w:tabs>
          <w:tab w:val="left" w:pos="3511"/>
          <w:tab w:val="left" w:pos="3631"/>
        </w:tabs>
        <w:kinsoku/>
        <w:wordWrap w:val="0"/>
        <w:overflowPunct/>
        <w:topLinePunct w:val="0"/>
        <w:autoSpaceDE/>
        <w:autoSpaceDN/>
        <w:bidi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pacing w:val="-3"/>
          <w:szCs w:val="21"/>
          <w:highlight w:val="none"/>
          <w:lang w:eastAsia="zh-CN"/>
        </w:rPr>
        <w:t>质疑事项2：</w:t>
      </w:r>
      <w:r>
        <w:rPr>
          <w:rFonts w:hint="eastAsia" w:ascii="宋体" w:hAnsi="宋体" w:eastAsia="宋体" w:cs="宋体"/>
          <w:color w:val="auto"/>
          <w:spacing w:val="-3"/>
          <w:szCs w:val="21"/>
          <w:highlight w:val="none"/>
          <w:u w:val="single"/>
          <w:lang w:eastAsia="zh-CN"/>
        </w:rPr>
        <w:t xml:space="preserve"> </w:t>
      </w:r>
      <w:r>
        <w:rPr>
          <w:rFonts w:hint="eastAsia" w:ascii="宋体" w:hAnsi="宋体" w:eastAsia="宋体" w:cs="宋体"/>
          <w:color w:val="auto"/>
          <w:spacing w:val="-3"/>
          <w:szCs w:val="21"/>
          <w:highlight w:val="none"/>
          <w:u w:val="single"/>
          <w:lang w:eastAsia="zh-CN"/>
        </w:rPr>
        <w:tab/>
      </w:r>
      <w:r>
        <w:rPr>
          <w:rFonts w:hint="eastAsia" w:ascii="宋体" w:hAnsi="宋体" w:eastAsia="宋体" w:cs="宋体"/>
          <w:color w:val="auto"/>
          <w:spacing w:val="-3"/>
          <w:szCs w:val="21"/>
          <w:highlight w:val="none"/>
          <w:u w:val="single"/>
          <w:lang w:eastAsia="zh-CN"/>
        </w:rPr>
        <w:tab/>
      </w:r>
    </w:p>
    <w:p w14:paraId="2F1CF8AD">
      <w:pPr>
        <w:pStyle w:val="2"/>
        <w:keepNext w:val="0"/>
        <w:keepLines w:val="0"/>
        <w:pageBreakBefore w:val="0"/>
        <w:kinsoku/>
        <w:wordWrap w:val="0"/>
        <w:overflowPunct/>
        <w:topLinePunct w:val="0"/>
        <w:autoSpaceDE/>
        <w:autoSpaceDN/>
        <w:bidi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p>
    <w:p w14:paraId="2A892F4A">
      <w:pPr>
        <w:pStyle w:val="2"/>
        <w:keepNext w:val="0"/>
        <w:keepLines w:val="0"/>
        <w:pageBreakBefore w:val="0"/>
        <w:numPr>
          <w:ilvl w:val="0"/>
          <w:numId w:val="19"/>
        </w:numPr>
        <w:kinsoku/>
        <w:wordWrap w:val="0"/>
        <w:overflowPunct/>
        <w:topLinePunct w:val="0"/>
        <w:autoSpaceDE/>
        <w:autoSpaceDN/>
        <w:bidi w:val="0"/>
        <w:spacing w:line="360" w:lineRule="auto"/>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与质疑事项相关的质疑请求</w:t>
      </w:r>
    </w:p>
    <w:p w14:paraId="7AB8111F">
      <w:pPr>
        <w:pStyle w:val="2"/>
        <w:keepNext w:val="0"/>
        <w:keepLines w:val="0"/>
        <w:pageBreakBefore w:val="0"/>
        <w:tabs>
          <w:tab w:val="left" w:pos="5144"/>
        </w:tabs>
        <w:kinsoku/>
        <w:wordWrap w:val="0"/>
        <w:overflowPunct/>
        <w:topLinePunct w:val="0"/>
        <w:autoSpaceDE/>
        <w:autoSpaceDN/>
        <w:bidi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请求：</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u w:val="single"/>
          <w:lang w:eastAsia="zh-CN"/>
        </w:rPr>
        <w:tab/>
      </w:r>
    </w:p>
    <w:p w14:paraId="3D98E749">
      <w:pPr>
        <w:pStyle w:val="33"/>
        <w:keepNext w:val="0"/>
        <w:keepLines w:val="0"/>
        <w:pageBreakBefore w:val="0"/>
        <w:kinsoku/>
        <w:wordWrap w:val="0"/>
        <w:overflowPunct/>
        <w:topLinePunct w:val="0"/>
        <w:autoSpaceDE/>
        <w:autoSpaceDN/>
        <w:bidi w:val="0"/>
        <w:spacing w:after="0" w:line="360" w:lineRule="auto"/>
        <w:ind w:left="0" w:leftChars="0" w:firstLine="0" w:firstLineChars="0"/>
        <w:jc w:val="both"/>
        <w:rPr>
          <w:rFonts w:hint="eastAsia" w:ascii="宋体" w:hAnsi="宋体" w:eastAsia="宋体" w:cs="宋体"/>
          <w:color w:val="auto"/>
          <w:szCs w:val="21"/>
          <w:highlight w:val="none"/>
          <w:lang w:eastAsia="zh-CN"/>
        </w:rPr>
      </w:pPr>
    </w:p>
    <w:p w14:paraId="3B33DB1B">
      <w:pPr>
        <w:pStyle w:val="33"/>
        <w:keepNext w:val="0"/>
        <w:keepLines w:val="0"/>
        <w:pageBreakBefore w:val="0"/>
        <w:kinsoku/>
        <w:wordWrap w:val="0"/>
        <w:overflowPunct/>
        <w:topLinePunct w:val="0"/>
        <w:autoSpaceDE/>
        <w:autoSpaceDN/>
        <w:bidi w:val="0"/>
        <w:spacing w:after="0" w:line="360" w:lineRule="auto"/>
        <w:ind w:left="3654" w:leftChars="1740"/>
        <w:jc w:val="righ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签字(签章)：</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公章：</w:t>
      </w:r>
      <w:r>
        <w:rPr>
          <w:rFonts w:hint="eastAsia" w:ascii="宋体" w:hAnsi="宋体" w:eastAsia="宋体" w:cs="宋体"/>
          <w:color w:val="auto"/>
          <w:szCs w:val="21"/>
          <w:highlight w:val="none"/>
          <w:u w:val="single"/>
          <w:lang w:eastAsia="zh-CN"/>
        </w:rPr>
        <w:t xml:space="preserve">          </w:t>
      </w:r>
    </w:p>
    <w:p w14:paraId="137C0633">
      <w:pPr>
        <w:pStyle w:val="33"/>
        <w:keepNext w:val="0"/>
        <w:keepLines w:val="0"/>
        <w:pageBreakBefore w:val="0"/>
        <w:kinsoku/>
        <w:wordWrap w:val="0"/>
        <w:overflowPunct/>
        <w:topLinePunct w:val="0"/>
        <w:autoSpaceDE/>
        <w:autoSpaceDN/>
        <w:bidi w:val="0"/>
        <w:spacing w:after="0" w:line="360" w:lineRule="auto"/>
        <w:ind w:left="4735" w:leftChars="2255" w:firstLine="0" w:firstLineChars="0"/>
        <w:jc w:val="righ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日期：</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年</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月</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日</w:t>
      </w:r>
    </w:p>
    <w:p w14:paraId="4B25D9C8">
      <w:pPr>
        <w:pStyle w:val="33"/>
        <w:keepNext w:val="0"/>
        <w:keepLines w:val="0"/>
        <w:pageBreakBefore w:val="0"/>
        <w:kinsoku/>
        <w:wordWrap w:val="0"/>
        <w:overflowPunct/>
        <w:topLinePunct w:val="0"/>
        <w:autoSpaceDE/>
        <w:autoSpaceDN/>
        <w:bidi w:val="0"/>
        <w:spacing w:after="0" w:line="360" w:lineRule="auto"/>
        <w:ind w:left="0" w:leftChars="0" w:firstLine="0" w:firstLineChars="0"/>
        <w:rPr>
          <w:rFonts w:hint="eastAsia" w:ascii="宋体" w:hAnsi="宋体" w:eastAsia="宋体" w:cs="宋体"/>
          <w:color w:val="auto"/>
          <w:szCs w:val="21"/>
          <w:highlight w:val="none"/>
          <w:lang w:eastAsia="zh-CN"/>
        </w:rPr>
      </w:pPr>
    </w:p>
    <w:p w14:paraId="20683303">
      <w:pPr>
        <w:pStyle w:val="33"/>
        <w:keepNext w:val="0"/>
        <w:keepLines w:val="0"/>
        <w:pageBreakBefore w:val="0"/>
        <w:kinsoku/>
        <w:wordWrap w:val="0"/>
        <w:overflowPunct/>
        <w:topLinePunct w:val="0"/>
        <w:autoSpaceDE/>
        <w:autoSpaceDN/>
        <w:bidi w:val="0"/>
        <w:spacing w:after="0" w:line="360" w:lineRule="auto"/>
        <w:ind w:left="0" w:leftChars="0" w:firstLine="0" w:firstLine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质疑函制作说明：</w:t>
      </w:r>
    </w:p>
    <w:p w14:paraId="69AA4F58">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1.供应商提出质疑时，应提交质疑函和必要的证明材料。</w:t>
      </w:r>
    </w:p>
    <w:p w14:paraId="4CC13DD5">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56DBF9E4">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3.质疑供应商若对项目的某一分包进行质疑，质疑函中应列明具体分包号。</w:t>
      </w:r>
    </w:p>
    <w:p w14:paraId="16399530">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4.质疑函的质疑事项应具体、明确，并有必要的事实依据和法律依据。</w:t>
      </w:r>
    </w:p>
    <w:p w14:paraId="7A029C5D">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5.质疑函的质疑请求应与质疑事项相关。</w:t>
      </w:r>
    </w:p>
    <w:p w14:paraId="223EA1DD">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6.质疑供应商为自然人的，质疑函应由本人签字；质疑供应商为法人或者其他组织的，质疑函应由法定代表人、主要负责人，或者其授权代表签字或者盖章，并加盖公章。</w:t>
      </w:r>
    </w:p>
    <w:p w14:paraId="449B2F3F">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bookmarkStart w:id="337" w:name="_Hlk104040569"/>
      <w:r>
        <w:rPr>
          <w:rFonts w:hint="eastAsia" w:ascii="宋体" w:hAnsi="宋体" w:eastAsia="宋体" w:cs="宋体"/>
          <w:color w:val="auto"/>
          <w:szCs w:val="21"/>
          <w:highlight w:val="none"/>
          <w:lang w:eastAsia="zh-CN"/>
        </w:rPr>
        <w:t>7.供应商应在提交的证明材料中对质疑点的内容作出相应的标识或以醒目的方式标明。</w:t>
      </w:r>
      <w:bookmarkEnd w:id="337"/>
    </w:p>
    <w:p w14:paraId="232EA280">
      <w:pPr>
        <w:pStyle w:val="27"/>
        <w:keepNext w:val="0"/>
        <w:keepLines w:val="0"/>
        <w:pageBreakBefore w:val="0"/>
        <w:kinsoku/>
        <w:wordWrap w:val="0"/>
        <w:overflowPunct/>
        <w:topLinePunct w:val="0"/>
        <w:autoSpaceDE/>
        <w:autoSpaceDN/>
        <w:bidi w:val="0"/>
        <w:spacing w:line="360" w:lineRule="auto"/>
        <w:ind w:firstLine="0" w:firstLineChars="0"/>
        <w:jc w:val="center"/>
        <w:rPr>
          <w:rFonts w:hint="eastAsia" w:ascii="宋体" w:hAnsi="宋体" w:eastAsia="宋体" w:cs="宋体"/>
          <w:b/>
          <w:bCs/>
          <w:color w:val="auto"/>
          <w:sz w:val="28"/>
          <w:szCs w:val="28"/>
          <w:highlight w:val="none"/>
        </w:rPr>
        <w:sectPr>
          <w:pgSz w:w="11906" w:h="16838"/>
          <w:pgMar w:top="1134" w:right="1134" w:bottom="1134" w:left="1134" w:header="426" w:footer="751" w:gutter="0"/>
          <w:pgNumType w:fmt="decimal"/>
          <w:cols w:space="0" w:num="1"/>
          <w:rtlGutter w:val="0"/>
          <w:docGrid w:type="lines" w:linePitch="312" w:charSpace="0"/>
        </w:sectPr>
      </w:pPr>
    </w:p>
    <w:p w14:paraId="1BD4D91F">
      <w:pPr>
        <w:pStyle w:val="27"/>
        <w:keepNext w:val="0"/>
        <w:keepLines w:val="0"/>
        <w:pageBreakBefore w:val="0"/>
        <w:kinsoku/>
        <w:wordWrap w:val="0"/>
        <w:overflowPunct/>
        <w:topLinePunct w:val="0"/>
        <w:autoSpaceDE/>
        <w:autoSpaceDN/>
        <w:bidi w:val="0"/>
        <w:spacing w:line="360" w:lineRule="auto"/>
        <w:ind w:firstLine="0" w:firstLineChars="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投诉书</w:t>
      </w:r>
    </w:p>
    <w:p w14:paraId="55D99E5F">
      <w:pPr>
        <w:pStyle w:val="33"/>
        <w:keepNext w:val="0"/>
        <w:keepLines w:val="0"/>
        <w:pageBreakBefore w:val="0"/>
        <w:numPr>
          <w:ilvl w:val="0"/>
          <w:numId w:val="20"/>
        </w:numPr>
        <w:kinsoku/>
        <w:wordWrap w:val="0"/>
        <w:overflowPunct/>
        <w:topLinePunct w:val="0"/>
        <w:autoSpaceDE/>
        <w:autoSpaceDN/>
        <w:bidi w:val="0"/>
        <w:spacing w:after="0" w:line="360" w:lineRule="auto"/>
        <w:ind w:leftChars="0" w:firstLine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投诉相关主体基本情况</w:t>
      </w:r>
    </w:p>
    <w:p w14:paraId="48221F63">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lang w:eastAsia="zh-CN"/>
        </w:rPr>
        <w:t>投诉人：</w:t>
      </w:r>
      <w:r>
        <w:rPr>
          <w:rFonts w:hint="eastAsia" w:ascii="宋体" w:hAnsi="宋体" w:eastAsia="宋体" w:cs="宋体"/>
          <w:color w:val="auto"/>
          <w:szCs w:val="21"/>
          <w:highlight w:val="none"/>
          <w:u w:val="single"/>
          <w:lang w:eastAsia="zh-CN"/>
        </w:rPr>
        <w:t xml:space="preserve">                </w:t>
      </w:r>
    </w:p>
    <w:p w14:paraId="1C1E1EC8">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地 址：</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邮编：</w:t>
      </w:r>
      <w:r>
        <w:rPr>
          <w:rFonts w:hint="eastAsia" w:ascii="宋体" w:hAnsi="宋体" w:eastAsia="宋体" w:cs="宋体"/>
          <w:color w:val="auto"/>
          <w:szCs w:val="21"/>
          <w:highlight w:val="none"/>
          <w:u w:val="single"/>
          <w:lang w:eastAsia="zh-CN"/>
        </w:rPr>
        <w:t xml:space="preserve">                </w:t>
      </w:r>
    </w:p>
    <w:p w14:paraId="7214F0B4">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法定代表人/主要负责人：</w:t>
      </w:r>
      <w:r>
        <w:rPr>
          <w:rFonts w:hint="eastAsia" w:ascii="宋体" w:hAnsi="宋体" w:eastAsia="宋体" w:cs="宋体"/>
          <w:color w:val="auto"/>
          <w:szCs w:val="21"/>
          <w:highlight w:val="none"/>
          <w:u w:val="single"/>
          <w:lang w:eastAsia="zh-CN"/>
        </w:rPr>
        <w:t xml:space="preserve">                </w:t>
      </w:r>
    </w:p>
    <w:p w14:paraId="1FEAB00C">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联系电话：</w:t>
      </w:r>
      <w:r>
        <w:rPr>
          <w:rFonts w:hint="eastAsia" w:ascii="宋体" w:hAnsi="宋体" w:eastAsia="宋体" w:cs="宋体"/>
          <w:color w:val="auto"/>
          <w:szCs w:val="21"/>
          <w:highlight w:val="none"/>
          <w:u w:val="single"/>
          <w:lang w:eastAsia="zh-CN"/>
        </w:rPr>
        <w:t xml:space="preserve">                </w:t>
      </w:r>
    </w:p>
    <w:p w14:paraId="3DA274BE">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授权代表：</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联系电话：</w:t>
      </w:r>
      <w:r>
        <w:rPr>
          <w:rFonts w:hint="eastAsia" w:ascii="宋体" w:hAnsi="宋体" w:eastAsia="宋体" w:cs="宋体"/>
          <w:color w:val="auto"/>
          <w:szCs w:val="21"/>
          <w:highlight w:val="none"/>
          <w:u w:val="single"/>
          <w:lang w:eastAsia="zh-CN"/>
        </w:rPr>
        <w:t xml:space="preserve">                </w:t>
      </w:r>
    </w:p>
    <w:p w14:paraId="239C36FB">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地 址：</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邮编：</w:t>
      </w:r>
      <w:r>
        <w:rPr>
          <w:rFonts w:hint="eastAsia" w:ascii="宋体" w:hAnsi="宋体" w:eastAsia="宋体" w:cs="宋体"/>
          <w:color w:val="auto"/>
          <w:szCs w:val="21"/>
          <w:highlight w:val="none"/>
          <w:u w:val="single"/>
          <w:lang w:eastAsia="zh-CN"/>
        </w:rPr>
        <w:t xml:space="preserve">                </w:t>
      </w:r>
    </w:p>
    <w:p w14:paraId="1B4925F4">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被投诉人1：</w:t>
      </w:r>
      <w:r>
        <w:rPr>
          <w:rFonts w:hint="eastAsia" w:ascii="宋体" w:hAnsi="宋体" w:eastAsia="宋体" w:cs="宋体"/>
          <w:color w:val="auto"/>
          <w:szCs w:val="21"/>
          <w:highlight w:val="none"/>
          <w:u w:val="single"/>
          <w:lang w:eastAsia="zh-CN"/>
        </w:rPr>
        <w:t xml:space="preserve">                </w:t>
      </w:r>
    </w:p>
    <w:p w14:paraId="08DA905D">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地址：</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邮编：</w:t>
      </w:r>
      <w:r>
        <w:rPr>
          <w:rFonts w:hint="eastAsia" w:ascii="宋体" w:hAnsi="宋体" w:eastAsia="宋体" w:cs="宋体"/>
          <w:color w:val="auto"/>
          <w:szCs w:val="21"/>
          <w:highlight w:val="none"/>
          <w:u w:val="single"/>
          <w:lang w:eastAsia="zh-CN"/>
        </w:rPr>
        <w:t xml:space="preserve">                </w:t>
      </w:r>
    </w:p>
    <w:p w14:paraId="2D685812">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联系人：</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联系电话：</w:t>
      </w:r>
      <w:r>
        <w:rPr>
          <w:rFonts w:hint="eastAsia" w:ascii="宋体" w:hAnsi="宋体" w:eastAsia="宋体" w:cs="宋体"/>
          <w:color w:val="auto"/>
          <w:szCs w:val="21"/>
          <w:highlight w:val="none"/>
          <w:u w:val="single"/>
          <w:lang w:eastAsia="zh-CN"/>
        </w:rPr>
        <w:t xml:space="preserve">                </w:t>
      </w:r>
    </w:p>
    <w:p w14:paraId="5ADC1462">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被投诉人2：</w:t>
      </w:r>
      <w:r>
        <w:rPr>
          <w:rFonts w:hint="eastAsia" w:ascii="宋体" w:hAnsi="宋体" w:eastAsia="宋体" w:cs="宋体"/>
          <w:color w:val="auto"/>
          <w:szCs w:val="21"/>
          <w:highlight w:val="none"/>
          <w:u w:val="single"/>
          <w:lang w:eastAsia="zh-CN"/>
        </w:rPr>
        <w:t xml:space="preserve">                </w:t>
      </w:r>
    </w:p>
    <w:p w14:paraId="4A2212A4">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p>
    <w:p w14:paraId="4EA55EF8">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相关供应商：</w:t>
      </w:r>
      <w:r>
        <w:rPr>
          <w:rFonts w:hint="eastAsia" w:ascii="宋体" w:hAnsi="宋体" w:eastAsia="宋体" w:cs="宋体"/>
          <w:color w:val="auto"/>
          <w:szCs w:val="21"/>
          <w:highlight w:val="none"/>
          <w:u w:val="single"/>
          <w:lang w:eastAsia="zh-CN"/>
        </w:rPr>
        <w:t xml:space="preserve">                </w:t>
      </w:r>
    </w:p>
    <w:p w14:paraId="67B3E112">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地址：</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邮编：</w:t>
      </w:r>
      <w:r>
        <w:rPr>
          <w:rFonts w:hint="eastAsia" w:ascii="宋体" w:hAnsi="宋体" w:eastAsia="宋体" w:cs="宋体"/>
          <w:color w:val="auto"/>
          <w:szCs w:val="21"/>
          <w:highlight w:val="none"/>
          <w:u w:val="single"/>
          <w:lang w:eastAsia="zh-CN"/>
        </w:rPr>
        <w:t xml:space="preserve">                </w:t>
      </w:r>
    </w:p>
    <w:p w14:paraId="625771A0">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lang w:eastAsia="zh-CN"/>
        </w:rPr>
        <w:t>联系人：</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联系电话：</w:t>
      </w:r>
      <w:r>
        <w:rPr>
          <w:rFonts w:hint="eastAsia" w:ascii="宋体" w:hAnsi="宋体" w:eastAsia="宋体" w:cs="宋体"/>
          <w:color w:val="auto"/>
          <w:szCs w:val="21"/>
          <w:highlight w:val="none"/>
          <w:u w:val="single"/>
          <w:lang w:eastAsia="zh-CN"/>
        </w:rPr>
        <w:t xml:space="preserve">                </w:t>
      </w:r>
    </w:p>
    <w:p w14:paraId="103A0D5D">
      <w:pPr>
        <w:pStyle w:val="33"/>
        <w:keepNext w:val="0"/>
        <w:keepLines w:val="0"/>
        <w:pageBreakBefore w:val="0"/>
        <w:numPr>
          <w:ilvl w:val="0"/>
          <w:numId w:val="20"/>
        </w:numPr>
        <w:kinsoku/>
        <w:wordWrap w:val="0"/>
        <w:overflowPunct/>
        <w:topLinePunct w:val="0"/>
        <w:autoSpaceDE/>
        <w:autoSpaceDN/>
        <w:bidi w:val="0"/>
        <w:spacing w:after="0" w:line="360" w:lineRule="auto"/>
        <w:ind w:leftChars="0" w:firstLine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投诉项目基本情况</w:t>
      </w:r>
    </w:p>
    <w:p w14:paraId="2C7108F6">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采购项目名称：</w:t>
      </w:r>
      <w:r>
        <w:rPr>
          <w:rFonts w:hint="eastAsia" w:ascii="宋体" w:hAnsi="宋体" w:eastAsia="宋体" w:cs="宋体"/>
          <w:color w:val="auto"/>
          <w:szCs w:val="21"/>
          <w:highlight w:val="none"/>
          <w:u w:val="single"/>
          <w:lang w:eastAsia="zh-CN"/>
        </w:rPr>
        <w:t xml:space="preserve">                </w:t>
      </w:r>
    </w:p>
    <w:p w14:paraId="79C4F256">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采购项目编号：</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包号：</w:t>
      </w:r>
      <w:r>
        <w:rPr>
          <w:rFonts w:hint="eastAsia" w:ascii="宋体" w:hAnsi="宋体" w:eastAsia="宋体" w:cs="宋体"/>
          <w:color w:val="auto"/>
          <w:szCs w:val="21"/>
          <w:highlight w:val="none"/>
          <w:u w:val="single"/>
          <w:lang w:eastAsia="zh-CN"/>
        </w:rPr>
        <w:t xml:space="preserve">                </w:t>
      </w:r>
    </w:p>
    <w:p w14:paraId="3E9CFFDA">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lang w:eastAsia="zh-CN"/>
        </w:rPr>
        <w:t>采购人名称：</w:t>
      </w:r>
      <w:r>
        <w:rPr>
          <w:rFonts w:hint="eastAsia" w:ascii="宋体" w:hAnsi="宋体" w:eastAsia="宋体" w:cs="宋体"/>
          <w:color w:val="auto"/>
          <w:szCs w:val="21"/>
          <w:highlight w:val="none"/>
          <w:u w:val="single"/>
          <w:lang w:eastAsia="zh-CN"/>
        </w:rPr>
        <w:t xml:space="preserve">                </w:t>
      </w:r>
    </w:p>
    <w:p w14:paraId="2AB20F7D">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代理机构名称：</w:t>
      </w:r>
      <w:r>
        <w:rPr>
          <w:rFonts w:hint="eastAsia" w:ascii="宋体" w:hAnsi="宋体" w:eastAsia="宋体" w:cs="宋体"/>
          <w:color w:val="auto"/>
          <w:szCs w:val="21"/>
          <w:highlight w:val="none"/>
          <w:u w:val="single"/>
          <w:lang w:eastAsia="zh-CN"/>
        </w:rPr>
        <w:t xml:space="preserve">                </w:t>
      </w:r>
    </w:p>
    <w:p w14:paraId="4781EC0C">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采购文件公告：</w:t>
      </w:r>
      <w:r>
        <w:rPr>
          <w:rFonts w:hint="eastAsia" w:ascii="宋体" w:hAnsi="宋体" w:eastAsia="宋体" w:cs="宋体"/>
          <w:color w:val="auto"/>
          <w:szCs w:val="21"/>
          <w:highlight w:val="none"/>
          <w:u w:val="single"/>
          <w:lang w:eastAsia="zh-CN"/>
        </w:rPr>
        <w:t>是/否</w:t>
      </w:r>
      <w:r>
        <w:rPr>
          <w:rFonts w:hint="eastAsia" w:ascii="宋体" w:hAnsi="宋体" w:eastAsia="宋体" w:cs="宋体"/>
          <w:color w:val="auto"/>
          <w:szCs w:val="21"/>
          <w:highlight w:val="none"/>
          <w:lang w:eastAsia="zh-CN"/>
        </w:rPr>
        <w:t xml:space="preserve"> 公告期限：</w:t>
      </w:r>
      <w:r>
        <w:rPr>
          <w:rFonts w:hint="eastAsia" w:ascii="宋体" w:hAnsi="宋体" w:eastAsia="宋体" w:cs="宋体"/>
          <w:color w:val="auto"/>
          <w:szCs w:val="21"/>
          <w:highlight w:val="none"/>
          <w:u w:val="single"/>
          <w:lang w:eastAsia="zh-CN"/>
        </w:rPr>
        <w:t xml:space="preserve">                </w:t>
      </w:r>
    </w:p>
    <w:p w14:paraId="1278E34B">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采购结果公告：</w:t>
      </w:r>
      <w:r>
        <w:rPr>
          <w:rFonts w:hint="eastAsia" w:ascii="宋体" w:hAnsi="宋体" w:eastAsia="宋体" w:cs="宋体"/>
          <w:color w:val="auto"/>
          <w:szCs w:val="21"/>
          <w:highlight w:val="none"/>
          <w:u w:val="single"/>
          <w:lang w:eastAsia="zh-CN"/>
        </w:rPr>
        <w:t>是/否</w:t>
      </w:r>
      <w:r>
        <w:rPr>
          <w:rFonts w:hint="eastAsia" w:ascii="宋体" w:hAnsi="宋体" w:eastAsia="宋体" w:cs="宋体"/>
          <w:color w:val="auto"/>
          <w:szCs w:val="21"/>
          <w:highlight w:val="none"/>
          <w:lang w:eastAsia="zh-CN"/>
        </w:rPr>
        <w:t xml:space="preserve"> 公告期限： </w:t>
      </w:r>
      <w:r>
        <w:rPr>
          <w:rFonts w:hint="eastAsia" w:ascii="宋体" w:hAnsi="宋体" w:eastAsia="宋体" w:cs="宋体"/>
          <w:color w:val="auto"/>
          <w:szCs w:val="21"/>
          <w:highlight w:val="none"/>
          <w:u w:val="single"/>
          <w:lang w:eastAsia="zh-CN"/>
        </w:rPr>
        <w:t xml:space="preserve">                </w:t>
      </w:r>
    </w:p>
    <w:p w14:paraId="3F30A3CC">
      <w:pPr>
        <w:pStyle w:val="33"/>
        <w:keepNext w:val="0"/>
        <w:keepLines w:val="0"/>
        <w:pageBreakBefore w:val="0"/>
        <w:numPr>
          <w:ilvl w:val="0"/>
          <w:numId w:val="20"/>
        </w:numPr>
        <w:kinsoku/>
        <w:wordWrap w:val="0"/>
        <w:overflowPunct/>
        <w:topLinePunct w:val="0"/>
        <w:autoSpaceDE/>
        <w:autoSpaceDN/>
        <w:bidi w:val="0"/>
        <w:spacing w:after="0" w:line="360" w:lineRule="auto"/>
        <w:ind w:leftChars="0" w:firstLine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质疑基本情况</w:t>
      </w:r>
    </w:p>
    <w:p w14:paraId="0E9B55E4">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lang w:eastAsia="zh-CN"/>
        </w:rPr>
        <w:t>投诉人于</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年</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月</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日,向</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提出质疑，质疑事项为：</w:t>
      </w:r>
      <w:r>
        <w:rPr>
          <w:rFonts w:hint="eastAsia" w:ascii="宋体" w:hAnsi="宋体" w:eastAsia="宋体" w:cs="宋体"/>
          <w:color w:val="auto"/>
          <w:szCs w:val="21"/>
          <w:highlight w:val="none"/>
          <w:u w:val="single"/>
          <w:lang w:eastAsia="zh-CN"/>
        </w:rPr>
        <w:t xml:space="preserve">           </w:t>
      </w:r>
    </w:p>
    <w:p w14:paraId="37B73158">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u w:val="single"/>
          <w:lang w:eastAsia="zh-CN"/>
        </w:rPr>
        <w:t xml:space="preserve">     采购人/代理机构</w:t>
      </w:r>
      <w:r>
        <w:rPr>
          <w:rFonts w:hint="eastAsia" w:ascii="宋体" w:hAnsi="宋体" w:eastAsia="宋体" w:cs="宋体"/>
          <w:color w:val="auto"/>
          <w:szCs w:val="21"/>
          <w:highlight w:val="none"/>
          <w:lang w:eastAsia="zh-CN"/>
        </w:rPr>
        <w:t>于</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年</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月</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日,就质疑事项作出了答复/没有在法定期限内作出答复。</w:t>
      </w:r>
    </w:p>
    <w:p w14:paraId="48070596">
      <w:pPr>
        <w:pStyle w:val="33"/>
        <w:keepNext w:val="0"/>
        <w:keepLines w:val="0"/>
        <w:pageBreakBefore w:val="0"/>
        <w:numPr>
          <w:ilvl w:val="0"/>
          <w:numId w:val="20"/>
        </w:numPr>
        <w:kinsoku/>
        <w:wordWrap w:val="0"/>
        <w:overflowPunct/>
        <w:topLinePunct w:val="0"/>
        <w:autoSpaceDE/>
        <w:autoSpaceDN/>
        <w:bidi w:val="0"/>
        <w:spacing w:after="0" w:line="360" w:lineRule="auto"/>
        <w:ind w:leftChars="0" w:firstLine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投诉事项具体内容</w:t>
      </w:r>
    </w:p>
    <w:p w14:paraId="37FA2697">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 xml:space="preserve">投诉事项 1： </w:t>
      </w:r>
      <w:r>
        <w:rPr>
          <w:rFonts w:hint="eastAsia" w:ascii="宋体" w:hAnsi="宋体" w:eastAsia="宋体" w:cs="宋体"/>
          <w:color w:val="auto"/>
          <w:szCs w:val="21"/>
          <w:highlight w:val="none"/>
          <w:u w:val="single"/>
          <w:lang w:eastAsia="zh-CN"/>
        </w:rPr>
        <w:t xml:space="preserve">                </w:t>
      </w:r>
    </w:p>
    <w:p w14:paraId="30099A29">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事实依据：</w:t>
      </w:r>
      <w:r>
        <w:rPr>
          <w:rFonts w:hint="eastAsia" w:ascii="宋体" w:hAnsi="宋体" w:eastAsia="宋体" w:cs="宋体"/>
          <w:color w:val="auto"/>
          <w:szCs w:val="21"/>
          <w:highlight w:val="none"/>
          <w:lang w:eastAsia="zh-CN"/>
        </w:rPr>
        <w:tab/>
      </w:r>
      <w:r>
        <w:rPr>
          <w:rFonts w:hint="eastAsia" w:ascii="宋体" w:hAnsi="宋体" w:eastAsia="宋体" w:cs="宋体"/>
          <w:color w:val="auto"/>
          <w:szCs w:val="21"/>
          <w:highlight w:val="none"/>
          <w:u w:val="single"/>
          <w:lang w:eastAsia="zh-CN"/>
        </w:rPr>
        <w:t xml:space="preserve">                </w:t>
      </w:r>
    </w:p>
    <w:p w14:paraId="573CB2C9">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法律依据：</w:t>
      </w:r>
      <w:r>
        <w:rPr>
          <w:rFonts w:hint="eastAsia" w:ascii="宋体" w:hAnsi="宋体" w:eastAsia="宋体" w:cs="宋体"/>
          <w:color w:val="auto"/>
          <w:szCs w:val="21"/>
          <w:highlight w:val="none"/>
          <w:lang w:eastAsia="zh-CN"/>
        </w:rPr>
        <w:tab/>
      </w:r>
      <w:r>
        <w:rPr>
          <w:rFonts w:hint="eastAsia" w:ascii="宋体" w:hAnsi="宋体" w:eastAsia="宋体" w:cs="宋体"/>
          <w:color w:val="auto"/>
          <w:szCs w:val="21"/>
          <w:highlight w:val="none"/>
          <w:u w:val="single"/>
          <w:lang w:eastAsia="zh-CN"/>
        </w:rPr>
        <w:t xml:space="preserve">                </w:t>
      </w:r>
    </w:p>
    <w:p w14:paraId="72E150DB">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sectPr>
          <w:pgSz w:w="11906" w:h="16838"/>
          <w:pgMar w:top="1134" w:right="1134" w:bottom="1134" w:left="1134" w:header="426" w:footer="751" w:gutter="0"/>
          <w:pgNumType w:fmt="decimal"/>
          <w:cols w:space="0" w:num="1"/>
          <w:rtlGutter w:val="0"/>
          <w:docGrid w:type="lines" w:linePitch="312" w:charSpace="0"/>
        </w:sectPr>
      </w:pPr>
    </w:p>
    <w:p w14:paraId="3950B615">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投诉事项2：</w:t>
      </w:r>
      <w:r>
        <w:rPr>
          <w:rFonts w:hint="eastAsia" w:ascii="宋体" w:hAnsi="宋体" w:eastAsia="宋体" w:cs="宋体"/>
          <w:color w:val="auto"/>
          <w:szCs w:val="21"/>
          <w:highlight w:val="none"/>
          <w:u w:val="single"/>
          <w:lang w:eastAsia="zh-CN"/>
        </w:rPr>
        <w:t xml:space="preserve">                </w:t>
      </w:r>
    </w:p>
    <w:p w14:paraId="41865D14">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p>
    <w:p w14:paraId="3B6ABE7E">
      <w:pPr>
        <w:pStyle w:val="33"/>
        <w:keepNext w:val="0"/>
        <w:keepLines w:val="0"/>
        <w:pageBreakBefore w:val="0"/>
        <w:numPr>
          <w:ilvl w:val="0"/>
          <w:numId w:val="20"/>
        </w:numPr>
        <w:kinsoku/>
        <w:wordWrap w:val="0"/>
        <w:overflowPunct/>
        <w:topLinePunct w:val="0"/>
        <w:autoSpaceDE/>
        <w:autoSpaceDN/>
        <w:bidi w:val="0"/>
        <w:spacing w:after="0" w:line="360" w:lineRule="auto"/>
        <w:ind w:leftChars="0" w:firstLine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 xml:space="preserve">与投诉事项相关的投诉请求 </w:t>
      </w:r>
    </w:p>
    <w:p w14:paraId="16F2FC3C">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请求：</w:t>
      </w:r>
      <w:r>
        <w:rPr>
          <w:rFonts w:hint="eastAsia" w:ascii="宋体" w:hAnsi="宋体" w:eastAsia="宋体" w:cs="宋体"/>
          <w:color w:val="auto"/>
          <w:szCs w:val="21"/>
          <w:highlight w:val="none"/>
          <w:u w:val="single"/>
          <w:lang w:eastAsia="zh-CN"/>
        </w:rPr>
        <w:t xml:space="preserve">                </w:t>
      </w:r>
    </w:p>
    <w:p w14:paraId="34319093">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 xml:space="preserve"> </w:t>
      </w:r>
    </w:p>
    <w:p w14:paraId="24341176">
      <w:pPr>
        <w:pStyle w:val="33"/>
        <w:keepNext w:val="0"/>
        <w:keepLines w:val="0"/>
        <w:pageBreakBefore w:val="0"/>
        <w:kinsoku/>
        <w:wordWrap w:val="0"/>
        <w:overflowPunct/>
        <w:topLinePunct w:val="0"/>
        <w:autoSpaceDE/>
        <w:autoSpaceDN/>
        <w:bidi w:val="0"/>
        <w:spacing w:after="0" w:line="360" w:lineRule="auto"/>
        <w:ind w:left="3112" w:leftChars="1482"/>
        <w:jc w:val="righ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签字(签章)：</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公章：</w:t>
      </w:r>
      <w:r>
        <w:rPr>
          <w:rFonts w:hint="eastAsia" w:ascii="宋体" w:hAnsi="宋体" w:eastAsia="宋体" w:cs="宋体"/>
          <w:color w:val="auto"/>
          <w:szCs w:val="21"/>
          <w:highlight w:val="none"/>
          <w:u w:val="single"/>
          <w:lang w:eastAsia="zh-CN"/>
        </w:rPr>
        <w:t xml:space="preserve">         </w:t>
      </w:r>
    </w:p>
    <w:p w14:paraId="4A98A6C7">
      <w:pPr>
        <w:pStyle w:val="33"/>
        <w:keepNext w:val="0"/>
        <w:keepLines w:val="0"/>
        <w:pageBreakBefore w:val="0"/>
        <w:kinsoku/>
        <w:wordWrap w:val="0"/>
        <w:overflowPunct/>
        <w:topLinePunct w:val="0"/>
        <w:autoSpaceDE/>
        <w:autoSpaceDN/>
        <w:bidi w:val="0"/>
        <w:spacing w:after="0" w:line="360" w:lineRule="auto"/>
        <w:ind w:left="3112" w:leftChars="1482"/>
        <w:jc w:val="righ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日期：</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年</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月</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lang w:eastAsia="zh-CN"/>
        </w:rPr>
        <w:t>日</w:t>
      </w:r>
    </w:p>
    <w:p w14:paraId="328A8351">
      <w:pPr>
        <w:pStyle w:val="33"/>
        <w:keepNext w:val="0"/>
        <w:keepLines w:val="0"/>
        <w:pageBreakBefore w:val="0"/>
        <w:kinsoku/>
        <w:wordWrap w:val="0"/>
        <w:overflowPunct/>
        <w:topLinePunct w:val="0"/>
        <w:autoSpaceDE/>
        <w:autoSpaceDN/>
        <w:bidi w:val="0"/>
        <w:spacing w:after="0" w:line="360" w:lineRule="auto"/>
        <w:ind w:left="0" w:leftChars="0" w:firstLine="0" w:firstLineChars="0"/>
        <w:rPr>
          <w:rFonts w:hint="eastAsia" w:ascii="宋体" w:hAnsi="宋体" w:eastAsia="宋体" w:cs="宋体"/>
          <w:color w:val="auto"/>
          <w:szCs w:val="21"/>
          <w:highlight w:val="none"/>
          <w:lang w:eastAsia="zh-CN"/>
        </w:rPr>
      </w:pPr>
    </w:p>
    <w:p w14:paraId="7FB049CE">
      <w:pPr>
        <w:pStyle w:val="33"/>
        <w:keepNext w:val="0"/>
        <w:keepLines w:val="0"/>
        <w:pageBreakBefore w:val="0"/>
        <w:kinsoku/>
        <w:wordWrap w:val="0"/>
        <w:overflowPunct/>
        <w:topLinePunct w:val="0"/>
        <w:autoSpaceDE/>
        <w:autoSpaceDN/>
        <w:bidi w:val="0"/>
        <w:spacing w:after="0" w:line="360" w:lineRule="auto"/>
        <w:ind w:left="0" w:leftChars="0" w:firstLine="0" w:firstLine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投诉书制作说明：</w:t>
      </w:r>
    </w:p>
    <w:p w14:paraId="46D0169B">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1.投诉人提起投诉时，应当提交投诉书和必要的证明材料，并按照被投诉人和与投诉事项有关的供应商数量提供投诉书副本。</w:t>
      </w:r>
    </w:p>
    <w:p w14:paraId="4A35212E">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投诉人若委托代理人进行投诉的，投诉书应按照要求列明“授权代表”的有关内容，并在附件中提交由投诉人签署的授权委托书。授权委托书应当载明代理人的姓名或者名称、代理事项、具体权限、期限和相关事项。</w:t>
      </w:r>
    </w:p>
    <w:p w14:paraId="1A4DE412">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3.投诉人若对项目的某一分包进行投诉，投诉书应列明具体分包号。</w:t>
      </w:r>
    </w:p>
    <w:p w14:paraId="68CD03DC">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4.投诉书应简要列明质疑事项，质疑函、质疑答复等作为附件材料提供。</w:t>
      </w:r>
    </w:p>
    <w:p w14:paraId="499801D4">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5.投诉书的投诉事项应具体、明确，并有必要的事实依据和法律依据。</w:t>
      </w:r>
    </w:p>
    <w:p w14:paraId="50269DD5">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6.投诉书的投诉请求应与投诉事项相关。</w:t>
      </w:r>
    </w:p>
    <w:p w14:paraId="13687482">
      <w:pPr>
        <w:pStyle w:val="33"/>
        <w:keepNext w:val="0"/>
        <w:keepLines w:val="0"/>
        <w:pageBreakBefore w:val="0"/>
        <w:kinsoku/>
        <w:wordWrap w:val="0"/>
        <w:overflowPunct/>
        <w:topLinePunct w:val="0"/>
        <w:autoSpaceDE/>
        <w:autoSpaceDN/>
        <w:bidi w:val="0"/>
        <w:spacing w:after="0" w:line="360" w:lineRule="auto"/>
        <w:ind w:left="0" w:left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7.投诉人为自然人的，投诉书应当由本人签字；投诉人为法人或者其他组织的，投诉书应当由法定代表人、主要负责人，或者其授权代表签字或者盖章，并加盖公章。</w:t>
      </w:r>
    </w:p>
    <w:p w14:paraId="1A4BA239">
      <w:pPr>
        <w:pStyle w:val="33"/>
        <w:keepNext w:val="0"/>
        <w:keepLines w:val="0"/>
        <w:pageBreakBefore w:val="0"/>
        <w:kinsoku/>
        <w:wordWrap w:val="0"/>
        <w:overflowPunct/>
        <w:topLinePunct w:val="0"/>
        <w:autoSpaceDE/>
        <w:autoSpaceDN/>
        <w:bidi w:val="0"/>
        <w:spacing w:after="0" w:line="360" w:lineRule="auto"/>
        <w:rPr>
          <w:rFonts w:hint="eastAsia" w:ascii="宋体" w:hAnsi="宋体" w:eastAsia="宋体" w:cs="宋体"/>
          <w:color w:val="auto"/>
          <w:szCs w:val="21"/>
          <w:highlight w:val="none"/>
          <w:lang w:eastAsia="zh-CN"/>
        </w:rPr>
      </w:pPr>
    </w:p>
    <w:p w14:paraId="7D8F249D">
      <w:pPr>
        <w:keepNext w:val="0"/>
        <w:keepLines w:val="0"/>
        <w:pageBreakBefore w:val="0"/>
        <w:widowControl/>
        <w:kinsoku/>
        <w:wordWrap w:val="0"/>
        <w:overflowPunct/>
        <w:topLinePunct w:val="0"/>
        <w:autoSpaceDE/>
        <w:autoSpaceDN/>
        <w:bidi w:val="0"/>
        <w:spacing w:line="360" w:lineRule="auto"/>
        <w:rPr>
          <w:rFonts w:hint="eastAsia" w:ascii="宋体" w:hAnsi="宋体" w:eastAsia="宋体" w:cs="宋体"/>
          <w:color w:val="auto"/>
          <w:szCs w:val="21"/>
          <w:highlight w:val="none"/>
          <w:lang w:eastAsia="zh-CN"/>
        </w:rPr>
      </w:pPr>
    </w:p>
    <w:sectPr>
      <w:footerReference r:id="rId10" w:type="default"/>
      <w:pgSz w:w="11906" w:h="16838"/>
      <w:pgMar w:top="1134" w:right="1134" w:bottom="1134" w:left="1134" w:header="426" w:footer="751"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文鼎CS中黑">
    <w:altName w:val="黑体"/>
    <w:panose1 w:val="00000000000000000000"/>
    <w:charset w:val="86"/>
    <w:family w:val="modern"/>
    <w:pitch w:val="default"/>
    <w:sig w:usb0="00000000" w:usb1="00000000" w:usb2="00000010" w:usb3="00000000" w:csb0="00040000" w:csb1="00000000"/>
  </w:font>
  <w:font w:name="仿宋体">
    <w:altName w:val="仿宋"/>
    <w:panose1 w:val="00000000000000000000"/>
    <w:charset w:val="86"/>
    <w:family w:val="roma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29AB4">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9CD4BD">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09CD4BD">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2A410">
    <w:pPr>
      <w:pStyle w:val="2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349702">
                          <w:pPr>
                            <w:pStyle w:val="20"/>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01349702">
                    <w:pPr>
                      <w:pStyle w:val="20"/>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898FD">
    <w:pPr>
      <w:pStyle w:val="20"/>
      <w:rPr>
        <w:rFonts w:hint="eastAsia"/>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DF0F16">
                          <w:pPr>
                            <w:pStyle w:val="20"/>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1FDF0F16">
                    <w:pPr>
                      <w:pStyle w:val="20"/>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17EE7">
    <w:pPr>
      <w:pStyle w:val="20"/>
      <w:rPr>
        <w:rFonts w:hint="eastAsia"/>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0F79CB">
                          <w:pPr>
                            <w:pStyle w:val="20"/>
                          </w:pPr>
                          <w:r>
                            <w:fldChar w:fldCharType="begin"/>
                          </w:r>
                          <w:r>
                            <w:instrText xml:space="preserve"> PAGE  \* MERGEFORMAT </w:instrText>
                          </w:r>
                          <w:r>
                            <w:fldChar w:fldCharType="separate"/>
                          </w:r>
                          <w:r>
                            <w:t>78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70F79CB">
                    <w:pPr>
                      <w:pStyle w:val="20"/>
                    </w:pPr>
                    <w:r>
                      <w:fldChar w:fldCharType="begin"/>
                    </w:r>
                    <w:r>
                      <w:instrText xml:space="preserve"> PAGE  \* MERGEFORMAT </w:instrText>
                    </w:r>
                    <w:r>
                      <w:fldChar w:fldCharType="separate"/>
                    </w:r>
                    <w:r>
                      <w:t>78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3BDD7">
    <w:pPr>
      <w:pStyle w:val="21"/>
      <w:pBdr>
        <w:bottom w:val="none" w:color="auto" w:sz="0" w:space="0"/>
      </w:pBdr>
      <w:jc w:val="left"/>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1DA5E">
    <w:pPr>
      <w:pStyle w:val="21"/>
      <w:jc w:val="left"/>
      <w:rPr>
        <w:rFonts w:hint="eastAsia"/>
      </w:rPr>
    </w:pPr>
    <w:r>
      <w:drawing>
        <wp:inline distT="0" distB="0" distL="0" distR="0">
          <wp:extent cx="752475" cy="361950"/>
          <wp:effectExtent l="0" t="0" r="0" b="0"/>
          <wp:docPr id="1610578190" name="图片 1610578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578190" name="图片 161057819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52475" cy="3619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AB3782"/>
    <w:multiLevelType w:val="multilevel"/>
    <w:tmpl w:val="08AB3782"/>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41A652F"/>
    <w:multiLevelType w:val="multilevel"/>
    <w:tmpl w:val="141A652F"/>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7FA0168"/>
    <w:multiLevelType w:val="multilevel"/>
    <w:tmpl w:val="17FA0168"/>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BE1408C"/>
    <w:multiLevelType w:val="multilevel"/>
    <w:tmpl w:val="1BE1408C"/>
    <w:lvl w:ilvl="0" w:tentative="0">
      <w:start w:val="1"/>
      <w:numFmt w:val="decimal"/>
      <w:suff w:val="nothing"/>
      <w:lvlText w:val="%1"/>
      <w:lvlJc w:val="left"/>
      <w:pPr>
        <w:ind w:left="420" w:hanging="420"/>
      </w:pPr>
      <w:rPr>
        <w:rFonts w:hint="eastAsia"/>
        <w:sz w:val="21"/>
        <w:szCs w:val="21"/>
      </w:rPr>
    </w:lvl>
    <w:lvl w:ilvl="1" w:tentative="0">
      <w:start w:val="1"/>
      <w:numFmt w:val="lowerLetter"/>
      <w:lvlText w:val="%2)"/>
      <w:lvlJc w:val="left"/>
      <w:pPr>
        <w:ind w:left="854" w:hanging="420"/>
      </w:pPr>
    </w:lvl>
    <w:lvl w:ilvl="2" w:tentative="0">
      <w:start w:val="1"/>
      <w:numFmt w:val="lowerRoman"/>
      <w:lvlText w:val="%3."/>
      <w:lvlJc w:val="right"/>
      <w:pPr>
        <w:ind w:left="1274" w:hanging="420"/>
      </w:pPr>
    </w:lvl>
    <w:lvl w:ilvl="3" w:tentative="0">
      <w:start w:val="1"/>
      <w:numFmt w:val="decimal"/>
      <w:lvlText w:val="%4."/>
      <w:lvlJc w:val="left"/>
      <w:pPr>
        <w:ind w:left="1694" w:hanging="420"/>
      </w:pPr>
    </w:lvl>
    <w:lvl w:ilvl="4" w:tentative="0">
      <w:start w:val="1"/>
      <w:numFmt w:val="lowerLetter"/>
      <w:lvlText w:val="%5)"/>
      <w:lvlJc w:val="left"/>
      <w:pPr>
        <w:ind w:left="2114" w:hanging="420"/>
      </w:pPr>
    </w:lvl>
    <w:lvl w:ilvl="5" w:tentative="0">
      <w:start w:val="1"/>
      <w:numFmt w:val="lowerRoman"/>
      <w:lvlText w:val="%6."/>
      <w:lvlJc w:val="right"/>
      <w:pPr>
        <w:ind w:left="2534" w:hanging="420"/>
      </w:pPr>
    </w:lvl>
    <w:lvl w:ilvl="6" w:tentative="0">
      <w:start w:val="1"/>
      <w:numFmt w:val="decimal"/>
      <w:lvlText w:val="%7."/>
      <w:lvlJc w:val="left"/>
      <w:pPr>
        <w:ind w:left="2954" w:hanging="420"/>
      </w:pPr>
    </w:lvl>
    <w:lvl w:ilvl="7" w:tentative="0">
      <w:start w:val="1"/>
      <w:numFmt w:val="lowerLetter"/>
      <w:lvlText w:val="%8)"/>
      <w:lvlJc w:val="left"/>
      <w:pPr>
        <w:ind w:left="3374" w:hanging="420"/>
      </w:pPr>
    </w:lvl>
    <w:lvl w:ilvl="8" w:tentative="0">
      <w:start w:val="1"/>
      <w:numFmt w:val="lowerRoman"/>
      <w:lvlText w:val="%9."/>
      <w:lvlJc w:val="right"/>
      <w:pPr>
        <w:ind w:left="3794" w:hanging="420"/>
      </w:pPr>
    </w:lvl>
  </w:abstractNum>
  <w:abstractNum w:abstractNumId="4">
    <w:nsid w:val="27AF16A7"/>
    <w:multiLevelType w:val="multilevel"/>
    <w:tmpl w:val="27AF16A7"/>
    <w:lvl w:ilvl="0" w:tentative="0">
      <w:start w:val="1"/>
      <w:numFmt w:val="decimal"/>
      <w:suff w:val="nothing"/>
      <w:lvlText w:val="%1"/>
      <w:lvlJc w:val="left"/>
      <w:pPr>
        <w:ind w:left="420" w:hanging="420"/>
      </w:pPr>
      <w:rPr>
        <w:rFonts w:hint="eastAsia"/>
        <w:sz w:val="21"/>
        <w:szCs w:val="21"/>
      </w:rPr>
    </w:lvl>
    <w:lvl w:ilvl="1" w:tentative="0">
      <w:start w:val="1"/>
      <w:numFmt w:val="lowerLetter"/>
      <w:lvlText w:val="%2)"/>
      <w:lvlJc w:val="left"/>
      <w:pPr>
        <w:ind w:left="940" w:hanging="420"/>
      </w:pPr>
    </w:lvl>
    <w:lvl w:ilvl="2" w:tentative="0">
      <w:start w:val="1"/>
      <w:numFmt w:val="lowerRoman"/>
      <w:lvlText w:val="%3."/>
      <w:lvlJc w:val="right"/>
      <w:pPr>
        <w:ind w:left="1360" w:hanging="420"/>
      </w:pPr>
    </w:lvl>
    <w:lvl w:ilvl="3" w:tentative="0">
      <w:start w:val="1"/>
      <w:numFmt w:val="decimal"/>
      <w:lvlText w:val="%4."/>
      <w:lvlJc w:val="left"/>
      <w:pPr>
        <w:ind w:left="1780" w:hanging="420"/>
      </w:pPr>
    </w:lvl>
    <w:lvl w:ilvl="4" w:tentative="0">
      <w:start w:val="1"/>
      <w:numFmt w:val="lowerLetter"/>
      <w:lvlText w:val="%5)"/>
      <w:lvlJc w:val="left"/>
      <w:pPr>
        <w:ind w:left="2200" w:hanging="420"/>
      </w:pPr>
    </w:lvl>
    <w:lvl w:ilvl="5" w:tentative="0">
      <w:start w:val="1"/>
      <w:numFmt w:val="lowerRoman"/>
      <w:lvlText w:val="%6."/>
      <w:lvlJc w:val="right"/>
      <w:pPr>
        <w:ind w:left="2620" w:hanging="420"/>
      </w:pPr>
    </w:lvl>
    <w:lvl w:ilvl="6" w:tentative="0">
      <w:start w:val="1"/>
      <w:numFmt w:val="decimal"/>
      <w:lvlText w:val="%7."/>
      <w:lvlJc w:val="left"/>
      <w:pPr>
        <w:ind w:left="3040" w:hanging="420"/>
      </w:pPr>
    </w:lvl>
    <w:lvl w:ilvl="7" w:tentative="0">
      <w:start w:val="1"/>
      <w:numFmt w:val="lowerLetter"/>
      <w:lvlText w:val="%8)"/>
      <w:lvlJc w:val="left"/>
      <w:pPr>
        <w:ind w:left="3460" w:hanging="420"/>
      </w:pPr>
    </w:lvl>
    <w:lvl w:ilvl="8" w:tentative="0">
      <w:start w:val="1"/>
      <w:numFmt w:val="lowerRoman"/>
      <w:lvlText w:val="%9."/>
      <w:lvlJc w:val="right"/>
      <w:pPr>
        <w:ind w:left="3880" w:hanging="420"/>
      </w:pPr>
    </w:lvl>
  </w:abstractNum>
  <w:abstractNum w:abstractNumId="5">
    <w:nsid w:val="2A15715A"/>
    <w:multiLevelType w:val="singleLevel"/>
    <w:tmpl w:val="2A15715A"/>
    <w:lvl w:ilvl="0" w:tentative="0">
      <w:start w:val="1"/>
      <w:numFmt w:val="decimal"/>
      <w:suff w:val="nothing"/>
      <w:lvlText w:val="（%1）"/>
      <w:lvlJc w:val="left"/>
    </w:lvl>
  </w:abstractNum>
  <w:abstractNum w:abstractNumId="6">
    <w:nsid w:val="354C5B67"/>
    <w:multiLevelType w:val="multilevel"/>
    <w:tmpl w:val="354C5B67"/>
    <w:lvl w:ilvl="0" w:tentative="0">
      <w:start w:val="1"/>
      <w:numFmt w:val="decimal"/>
      <w:suff w:val="nothing"/>
      <w:lvlText w:val="%1"/>
      <w:lvlJc w:val="left"/>
      <w:pPr>
        <w:ind w:left="420" w:hanging="420"/>
      </w:pPr>
      <w:rPr>
        <w:rFonts w:hint="eastAsia"/>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3BF84A49"/>
    <w:multiLevelType w:val="multilevel"/>
    <w:tmpl w:val="3BF84A49"/>
    <w:lvl w:ilvl="0" w:tentative="0">
      <w:start w:val="1"/>
      <w:numFmt w:val="decimal"/>
      <w:suff w:val="nothing"/>
      <w:lvlText w:val="%1."/>
      <w:lvlJc w:val="left"/>
      <w:pPr>
        <w:ind w:left="860" w:hanging="420"/>
      </w:pPr>
      <w:rPr>
        <w:rFonts w:hint="eastAsia"/>
      </w:rPr>
    </w:lvl>
    <w:lvl w:ilvl="1" w:tentative="0">
      <w:start w:val="1"/>
      <w:numFmt w:val="lowerLetter"/>
      <w:lvlText w:val="%2)"/>
      <w:lvlJc w:val="left"/>
      <w:pPr>
        <w:ind w:left="1280" w:hanging="420"/>
      </w:pPr>
    </w:lvl>
    <w:lvl w:ilvl="2" w:tentative="0">
      <w:start w:val="1"/>
      <w:numFmt w:val="lowerRoman"/>
      <w:lvlText w:val="%3."/>
      <w:lvlJc w:val="right"/>
      <w:pPr>
        <w:ind w:left="1700" w:hanging="420"/>
      </w:pPr>
    </w:lvl>
    <w:lvl w:ilvl="3" w:tentative="0">
      <w:start w:val="1"/>
      <w:numFmt w:val="decimal"/>
      <w:lvlText w:val="%4."/>
      <w:lvlJc w:val="left"/>
      <w:pPr>
        <w:ind w:left="2120" w:hanging="420"/>
      </w:pPr>
    </w:lvl>
    <w:lvl w:ilvl="4" w:tentative="0">
      <w:start w:val="1"/>
      <w:numFmt w:val="lowerLetter"/>
      <w:lvlText w:val="%5)"/>
      <w:lvlJc w:val="left"/>
      <w:pPr>
        <w:ind w:left="2540" w:hanging="420"/>
      </w:pPr>
    </w:lvl>
    <w:lvl w:ilvl="5" w:tentative="0">
      <w:start w:val="1"/>
      <w:numFmt w:val="lowerRoman"/>
      <w:lvlText w:val="%6."/>
      <w:lvlJc w:val="right"/>
      <w:pPr>
        <w:ind w:left="2960" w:hanging="420"/>
      </w:pPr>
    </w:lvl>
    <w:lvl w:ilvl="6" w:tentative="0">
      <w:start w:val="1"/>
      <w:numFmt w:val="decimal"/>
      <w:lvlText w:val="%7."/>
      <w:lvlJc w:val="left"/>
      <w:pPr>
        <w:ind w:left="3380" w:hanging="420"/>
      </w:pPr>
    </w:lvl>
    <w:lvl w:ilvl="7" w:tentative="0">
      <w:start w:val="1"/>
      <w:numFmt w:val="lowerLetter"/>
      <w:lvlText w:val="%8)"/>
      <w:lvlJc w:val="left"/>
      <w:pPr>
        <w:ind w:left="3800" w:hanging="420"/>
      </w:pPr>
    </w:lvl>
    <w:lvl w:ilvl="8" w:tentative="0">
      <w:start w:val="1"/>
      <w:numFmt w:val="lowerRoman"/>
      <w:lvlText w:val="%9."/>
      <w:lvlJc w:val="right"/>
      <w:pPr>
        <w:ind w:left="4220" w:hanging="420"/>
      </w:pPr>
    </w:lvl>
  </w:abstractNum>
  <w:abstractNum w:abstractNumId="8">
    <w:nsid w:val="3CF669A7"/>
    <w:multiLevelType w:val="multilevel"/>
    <w:tmpl w:val="3CF669A7"/>
    <w:lvl w:ilvl="0" w:tentative="0">
      <w:start w:val="1"/>
      <w:numFmt w:val="chineseCountingThousand"/>
      <w:suff w:val="nothing"/>
      <w:lvlText w:val="格式%1："/>
      <w:lvlJc w:val="left"/>
      <w:pPr>
        <w:ind w:left="420" w:hanging="420"/>
      </w:pPr>
      <w:rPr>
        <w:rFonts w:hint="eastAsia"/>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4E2D4FF8"/>
    <w:multiLevelType w:val="multilevel"/>
    <w:tmpl w:val="4E2D4FF8"/>
    <w:lvl w:ilvl="0" w:tentative="0">
      <w:start w:val="1"/>
      <w:numFmt w:val="decimal"/>
      <w:suff w:val="nothing"/>
      <w:lvlText w:val="%1."/>
      <w:lvlJc w:val="left"/>
      <w:pPr>
        <w:ind w:left="440" w:hanging="440"/>
      </w:pPr>
      <w:rPr>
        <w:rFonts w:hint="eastAsia" w:ascii="宋体" w:hAnsi="宋体" w:eastAsia="宋体"/>
        <w:b w:val="0"/>
        <w:bCs/>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0">
    <w:nsid w:val="5B1874DF"/>
    <w:multiLevelType w:val="multilevel"/>
    <w:tmpl w:val="5B1874DF"/>
    <w:lvl w:ilvl="0" w:tentative="0">
      <w:start w:val="1"/>
      <w:numFmt w:val="chineseCountingThousand"/>
      <w:suff w:val="nothing"/>
      <w:lvlText w:val="%1、"/>
      <w:lvlJc w:val="left"/>
      <w:pPr>
        <w:ind w:left="720" w:hanging="720"/>
      </w:pPr>
      <w:rPr>
        <w:rFonts w:hint="default"/>
        <w:b w:val="0"/>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1">
    <w:nsid w:val="5C2F4E9F"/>
    <w:multiLevelType w:val="multilevel"/>
    <w:tmpl w:val="5C2F4E9F"/>
    <w:lvl w:ilvl="0" w:tentative="0">
      <w:start w:val="1"/>
      <w:numFmt w:val="decimal"/>
      <w:suff w:val="nothing"/>
      <w:lvlText w:val="%1"/>
      <w:lvlJc w:val="left"/>
      <w:pPr>
        <w:ind w:left="420" w:hanging="420"/>
      </w:pPr>
      <w:rPr>
        <w:rFonts w:hint="eastAsia"/>
        <w:sz w:val="21"/>
        <w:szCs w:val="21"/>
      </w:rPr>
    </w:lvl>
    <w:lvl w:ilvl="1" w:tentative="0">
      <w:start w:val="1"/>
      <w:numFmt w:val="lowerLetter"/>
      <w:lvlText w:val="%2)"/>
      <w:lvlJc w:val="left"/>
      <w:pPr>
        <w:ind w:left="854" w:hanging="420"/>
      </w:pPr>
    </w:lvl>
    <w:lvl w:ilvl="2" w:tentative="0">
      <w:start w:val="1"/>
      <w:numFmt w:val="lowerRoman"/>
      <w:lvlText w:val="%3."/>
      <w:lvlJc w:val="right"/>
      <w:pPr>
        <w:ind w:left="1274" w:hanging="420"/>
      </w:pPr>
    </w:lvl>
    <w:lvl w:ilvl="3" w:tentative="0">
      <w:start w:val="1"/>
      <w:numFmt w:val="decimal"/>
      <w:lvlText w:val="%4."/>
      <w:lvlJc w:val="left"/>
      <w:pPr>
        <w:ind w:left="1694" w:hanging="420"/>
      </w:pPr>
    </w:lvl>
    <w:lvl w:ilvl="4" w:tentative="0">
      <w:start w:val="1"/>
      <w:numFmt w:val="lowerLetter"/>
      <w:lvlText w:val="%5)"/>
      <w:lvlJc w:val="left"/>
      <w:pPr>
        <w:ind w:left="2114" w:hanging="420"/>
      </w:pPr>
    </w:lvl>
    <w:lvl w:ilvl="5" w:tentative="0">
      <w:start w:val="1"/>
      <w:numFmt w:val="lowerRoman"/>
      <w:lvlText w:val="%6."/>
      <w:lvlJc w:val="right"/>
      <w:pPr>
        <w:ind w:left="2534" w:hanging="420"/>
      </w:pPr>
    </w:lvl>
    <w:lvl w:ilvl="6" w:tentative="0">
      <w:start w:val="1"/>
      <w:numFmt w:val="decimal"/>
      <w:lvlText w:val="%7."/>
      <w:lvlJc w:val="left"/>
      <w:pPr>
        <w:ind w:left="2954" w:hanging="420"/>
      </w:pPr>
    </w:lvl>
    <w:lvl w:ilvl="7" w:tentative="0">
      <w:start w:val="1"/>
      <w:numFmt w:val="lowerLetter"/>
      <w:lvlText w:val="%8)"/>
      <w:lvlJc w:val="left"/>
      <w:pPr>
        <w:ind w:left="3374" w:hanging="420"/>
      </w:pPr>
    </w:lvl>
    <w:lvl w:ilvl="8" w:tentative="0">
      <w:start w:val="1"/>
      <w:numFmt w:val="lowerRoman"/>
      <w:lvlText w:val="%9."/>
      <w:lvlJc w:val="right"/>
      <w:pPr>
        <w:ind w:left="3794" w:hanging="420"/>
      </w:pPr>
    </w:lvl>
  </w:abstractNum>
  <w:abstractNum w:abstractNumId="12">
    <w:nsid w:val="61E12E78"/>
    <w:multiLevelType w:val="multilevel"/>
    <w:tmpl w:val="61E12E78"/>
    <w:lvl w:ilvl="0" w:tentative="0">
      <w:start w:val="1"/>
      <w:numFmt w:val="decimal"/>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3">
    <w:nsid w:val="698F699D"/>
    <w:multiLevelType w:val="multilevel"/>
    <w:tmpl w:val="698F699D"/>
    <w:lvl w:ilvl="0" w:tentative="0">
      <w:start w:val="1"/>
      <w:numFmt w:val="decimal"/>
      <w:suff w:val="nothing"/>
      <w:lvlText w:val="%1"/>
      <w:lvlJc w:val="left"/>
      <w:pPr>
        <w:ind w:left="420" w:hanging="420"/>
      </w:pPr>
      <w:rPr>
        <w:rFonts w:hint="eastAsia"/>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6D48337C"/>
    <w:multiLevelType w:val="multilevel"/>
    <w:tmpl w:val="6D48337C"/>
    <w:lvl w:ilvl="0" w:tentative="0">
      <w:start w:val="1"/>
      <w:numFmt w:val="decimal"/>
      <w:suff w:val="nothing"/>
      <w:lvlText w:val="%1"/>
      <w:lvlJc w:val="left"/>
      <w:pPr>
        <w:ind w:left="440" w:hanging="440"/>
      </w:pPr>
      <w:rPr>
        <w:rFonts w:hint="eastAsia" w:ascii="宋体" w:hAnsi="宋体" w:eastAsia="宋体" w:cs="宋体"/>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5">
    <w:nsid w:val="6E3A6AA4"/>
    <w:multiLevelType w:val="multilevel"/>
    <w:tmpl w:val="6E3A6AA4"/>
    <w:lvl w:ilvl="0" w:tentative="0">
      <w:start w:val="1"/>
      <w:numFmt w:val="decimal"/>
      <w:suff w:val="nothing"/>
      <w:lvlText w:val="%1."/>
      <w:lvlJc w:val="left"/>
      <w:pPr>
        <w:ind w:left="440" w:hanging="440"/>
      </w:pPr>
      <w:rPr>
        <w:rFonts w:hint="eastAsia" w:ascii="宋体" w:hAnsi="宋体" w:eastAsia="宋体"/>
        <w:b w:val="0"/>
        <w:bCs w:val="0"/>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6">
    <w:nsid w:val="7474518B"/>
    <w:multiLevelType w:val="multilevel"/>
    <w:tmpl w:val="7474518B"/>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suff w:val="space"/>
      <w:lvlText w:val="%4."/>
      <w:lvlJc w:val="left"/>
      <w:pPr>
        <w:ind w:left="2100" w:hanging="420"/>
      </w:pPr>
      <w:rPr>
        <w:rFonts w:hint="eastAsia"/>
      </w:r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7">
    <w:nsid w:val="75660E6C"/>
    <w:multiLevelType w:val="multilevel"/>
    <w:tmpl w:val="75660E6C"/>
    <w:lvl w:ilvl="0" w:tentative="0">
      <w:start w:val="1"/>
      <w:numFmt w:val="decimal"/>
      <w:suff w:val="nothing"/>
      <w:lvlText w:val="%1"/>
      <w:lvlJc w:val="left"/>
      <w:pPr>
        <w:ind w:left="420" w:hanging="420"/>
      </w:pPr>
      <w:rPr>
        <w:rFonts w:hint="eastAsia"/>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774618A2"/>
    <w:multiLevelType w:val="multilevel"/>
    <w:tmpl w:val="774618A2"/>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suff w:val="nothing"/>
      <w:lvlText w:val="%4."/>
      <w:lvlJc w:val="left"/>
      <w:pPr>
        <w:ind w:left="2120" w:hanging="440"/>
      </w:pPr>
      <w:rPr>
        <w:rFonts w:hint="eastAsia"/>
      </w:r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9">
    <w:nsid w:val="7899C55E"/>
    <w:multiLevelType w:val="singleLevel"/>
    <w:tmpl w:val="7899C55E"/>
    <w:lvl w:ilvl="0" w:tentative="0">
      <w:start w:val="1"/>
      <w:numFmt w:val="decimal"/>
      <w:suff w:val="nothing"/>
      <w:lvlText w:val="（%1）"/>
      <w:lvlJc w:val="left"/>
      <w:pPr>
        <w:ind w:left="425" w:hanging="425"/>
      </w:pPr>
      <w:rPr>
        <w:rFonts w:hint="default"/>
      </w:rPr>
    </w:lvl>
  </w:abstractNum>
  <w:num w:numId="1">
    <w:abstractNumId w:val="10"/>
  </w:num>
  <w:num w:numId="2">
    <w:abstractNumId w:val="7"/>
  </w:num>
  <w:num w:numId="3">
    <w:abstractNumId w:val="19"/>
  </w:num>
  <w:num w:numId="4">
    <w:abstractNumId w:val="16"/>
  </w:num>
  <w:num w:numId="5">
    <w:abstractNumId w:val="17"/>
  </w:num>
  <w:num w:numId="6">
    <w:abstractNumId w:val="4"/>
  </w:num>
  <w:num w:numId="7">
    <w:abstractNumId w:val="5"/>
  </w:num>
  <w:num w:numId="8">
    <w:abstractNumId w:val="11"/>
  </w:num>
  <w:num w:numId="9">
    <w:abstractNumId w:val="3"/>
  </w:num>
  <w:num w:numId="10">
    <w:abstractNumId w:val="6"/>
  </w:num>
  <w:num w:numId="11">
    <w:abstractNumId w:val="13"/>
  </w:num>
  <w:num w:numId="12">
    <w:abstractNumId w:val="8"/>
  </w:num>
  <w:num w:numId="13">
    <w:abstractNumId w:val="14"/>
  </w:num>
  <w:num w:numId="14">
    <w:abstractNumId w:val="18"/>
  </w:num>
  <w:num w:numId="15">
    <w:abstractNumId w:val="0"/>
  </w:num>
  <w:num w:numId="16">
    <w:abstractNumId w:val="9"/>
  </w:num>
  <w:num w:numId="17">
    <w:abstractNumId w:val="12"/>
  </w:num>
  <w:num w:numId="18">
    <w:abstractNumId w:val="15"/>
  </w:num>
  <w:num w:numId="19">
    <w:abstractNumId w:val="2"/>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1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B46"/>
    <w:rsid w:val="00000F95"/>
    <w:rsid w:val="000025AE"/>
    <w:rsid w:val="00002C9F"/>
    <w:rsid w:val="00003F66"/>
    <w:rsid w:val="0000534E"/>
    <w:rsid w:val="00006393"/>
    <w:rsid w:val="00007B73"/>
    <w:rsid w:val="00010121"/>
    <w:rsid w:val="00013FD4"/>
    <w:rsid w:val="00015D17"/>
    <w:rsid w:val="00020364"/>
    <w:rsid w:val="000214A3"/>
    <w:rsid w:val="00033267"/>
    <w:rsid w:val="00034622"/>
    <w:rsid w:val="0003527A"/>
    <w:rsid w:val="00035881"/>
    <w:rsid w:val="00041FA7"/>
    <w:rsid w:val="0004282D"/>
    <w:rsid w:val="00044507"/>
    <w:rsid w:val="00046B1F"/>
    <w:rsid w:val="0004797C"/>
    <w:rsid w:val="0005108F"/>
    <w:rsid w:val="00051AB9"/>
    <w:rsid w:val="0005219B"/>
    <w:rsid w:val="0005642E"/>
    <w:rsid w:val="00060885"/>
    <w:rsid w:val="000657FE"/>
    <w:rsid w:val="000665C1"/>
    <w:rsid w:val="00071752"/>
    <w:rsid w:val="00072422"/>
    <w:rsid w:val="00072BD4"/>
    <w:rsid w:val="0007355B"/>
    <w:rsid w:val="00073B96"/>
    <w:rsid w:val="0007440E"/>
    <w:rsid w:val="00076E07"/>
    <w:rsid w:val="000778F3"/>
    <w:rsid w:val="00083D3C"/>
    <w:rsid w:val="000856B3"/>
    <w:rsid w:val="00087070"/>
    <w:rsid w:val="00087D73"/>
    <w:rsid w:val="000902A3"/>
    <w:rsid w:val="00093188"/>
    <w:rsid w:val="00093FEA"/>
    <w:rsid w:val="000966F9"/>
    <w:rsid w:val="000A1EDA"/>
    <w:rsid w:val="000A25B8"/>
    <w:rsid w:val="000A2640"/>
    <w:rsid w:val="000A322F"/>
    <w:rsid w:val="000A5AE5"/>
    <w:rsid w:val="000A62EF"/>
    <w:rsid w:val="000A6815"/>
    <w:rsid w:val="000A6E61"/>
    <w:rsid w:val="000A7041"/>
    <w:rsid w:val="000B29CA"/>
    <w:rsid w:val="000B2FE7"/>
    <w:rsid w:val="000B39FC"/>
    <w:rsid w:val="000B4FB7"/>
    <w:rsid w:val="000B761D"/>
    <w:rsid w:val="000C4252"/>
    <w:rsid w:val="000C6F88"/>
    <w:rsid w:val="000C7120"/>
    <w:rsid w:val="000C7481"/>
    <w:rsid w:val="000D156A"/>
    <w:rsid w:val="000D277C"/>
    <w:rsid w:val="000D4480"/>
    <w:rsid w:val="000D56B9"/>
    <w:rsid w:val="000D6C33"/>
    <w:rsid w:val="000D714D"/>
    <w:rsid w:val="000E50A9"/>
    <w:rsid w:val="000E5576"/>
    <w:rsid w:val="000F0F33"/>
    <w:rsid w:val="000F261A"/>
    <w:rsid w:val="000F3F3C"/>
    <w:rsid w:val="001014F7"/>
    <w:rsid w:val="001018F7"/>
    <w:rsid w:val="0010195D"/>
    <w:rsid w:val="0010197C"/>
    <w:rsid w:val="0010444D"/>
    <w:rsid w:val="001061C8"/>
    <w:rsid w:val="00106344"/>
    <w:rsid w:val="00107AFF"/>
    <w:rsid w:val="00111214"/>
    <w:rsid w:val="0011181D"/>
    <w:rsid w:val="0011451C"/>
    <w:rsid w:val="001147C5"/>
    <w:rsid w:val="00114B63"/>
    <w:rsid w:val="00115739"/>
    <w:rsid w:val="00120F4E"/>
    <w:rsid w:val="0012389F"/>
    <w:rsid w:val="00123B43"/>
    <w:rsid w:val="00123D0C"/>
    <w:rsid w:val="00130E4F"/>
    <w:rsid w:val="0013214F"/>
    <w:rsid w:val="00136EBB"/>
    <w:rsid w:val="001375D5"/>
    <w:rsid w:val="0014014B"/>
    <w:rsid w:val="00141E14"/>
    <w:rsid w:val="001421B5"/>
    <w:rsid w:val="001427D4"/>
    <w:rsid w:val="001428A6"/>
    <w:rsid w:val="00144699"/>
    <w:rsid w:val="001452BE"/>
    <w:rsid w:val="00151295"/>
    <w:rsid w:val="0015203C"/>
    <w:rsid w:val="00152E6F"/>
    <w:rsid w:val="00154EA5"/>
    <w:rsid w:val="0015676C"/>
    <w:rsid w:val="00156B95"/>
    <w:rsid w:val="001621D1"/>
    <w:rsid w:val="00164CD5"/>
    <w:rsid w:val="0016748A"/>
    <w:rsid w:val="0017323E"/>
    <w:rsid w:val="001734EA"/>
    <w:rsid w:val="00174637"/>
    <w:rsid w:val="001769E5"/>
    <w:rsid w:val="00180734"/>
    <w:rsid w:val="001810A8"/>
    <w:rsid w:val="001917CA"/>
    <w:rsid w:val="00194DC3"/>
    <w:rsid w:val="001A3934"/>
    <w:rsid w:val="001A4184"/>
    <w:rsid w:val="001A599D"/>
    <w:rsid w:val="001A609A"/>
    <w:rsid w:val="001A7DEA"/>
    <w:rsid w:val="001B04BA"/>
    <w:rsid w:val="001B06BA"/>
    <w:rsid w:val="001B2A98"/>
    <w:rsid w:val="001B2B64"/>
    <w:rsid w:val="001B3F4D"/>
    <w:rsid w:val="001B5ADC"/>
    <w:rsid w:val="001B6E11"/>
    <w:rsid w:val="001C430C"/>
    <w:rsid w:val="001C60A4"/>
    <w:rsid w:val="001D2865"/>
    <w:rsid w:val="001D4A9D"/>
    <w:rsid w:val="001D6577"/>
    <w:rsid w:val="001E25FB"/>
    <w:rsid w:val="001E564C"/>
    <w:rsid w:val="001F323B"/>
    <w:rsid w:val="001F4405"/>
    <w:rsid w:val="001F4A3C"/>
    <w:rsid w:val="001F709D"/>
    <w:rsid w:val="002020CA"/>
    <w:rsid w:val="00202D3D"/>
    <w:rsid w:val="00206BC3"/>
    <w:rsid w:val="00207C11"/>
    <w:rsid w:val="002109E3"/>
    <w:rsid w:val="002135BC"/>
    <w:rsid w:val="002135C8"/>
    <w:rsid w:val="00215495"/>
    <w:rsid w:val="0021771B"/>
    <w:rsid w:val="00220B86"/>
    <w:rsid w:val="00221AA3"/>
    <w:rsid w:val="002235DB"/>
    <w:rsid w:val="00230316"/>
    <w:rsid w:val="002312C2"/>
    <w:rsid w:val="0023505C"/>
    <w:rsid w:val="002371C9"/>
    <w:rsid w:val="00237BCC"/>
    <w:rsid w:val="00242455"/>
    <w:rsid w:val="00245669"/>
    <w:rsid w:val="002457F2"/>
    <w:rsid w:val="00245862"/>
    <w:rsid w:val="00246207"/>
    <w:rsid w:val="00247BE4"/>
    <w:rsid w:val="002503F5"/>
    <w:rsid w:val="002505EF"/>
    <w:rsid w:val="00250F28"/>
    <w:rsid w:val="002538BB"/>
    <w:rsid w:val="00261A27"/>
    <w:rsid w:val="0026318B"/>
    <w:rsid w:val="00263EDB"/>
    <w:rsid w:val="002661EB"/>
    <w:rsid w:val="0026641A"/>
    <w:rsid w:val="00271763"/>
    <w:rsid w:val="002731C9"/>
    <w:rsid w:val="00273727"/>
    <w:rsid w:val="00277AD9"/>
    <w:rsid w:val="00281376"/>
    <w:rsid w:val="00285E59"/>
    <w:rsid w:val="00286603"/>
    <w:rsid w:val="00286A8C"/>
    <w:rsid w:val="0029117A"/>
    <w:rsid w:val="00291AFD"/>
    <w:rsid w:val="00292505"/>
    <w:rsid w:val="002927CC"/>
    <w:rsid w:val="00295DA0"/>
    <w:rsid w:val="002966F6"/>
    <w:rsid w:val="002A41CE"/>
    <w:rsid w:val="002A698D"/>
    <w:rsid w:val="002B26AD"/>
    <w:rsid w:val="002B423B"/>
    <w:rsid w:val="002B54A9"/>
    <w:rsid w:val="002B5A5E"/>
    <w:rsid w:val="002B5E7D"/>
    <w:rsid w:val="002C2781"/>
    <w:rsid w:val="002C3102"/>
    <w:rsid w:val="002C43F9"/>
    <w:rsid w:val="002C5FCF"/>
    <w:rsid w:val="002C6AD0"/>
    <w:rsid w:val="002D0E61"/>
    <w:rsid w:val="002D583B"/>
    <w:rsid w:val="002D6501"/>
    <w:rsid w:val="002E1644"/>
    <w:rsid w:val="002E176B"/>
    <w:rsid w:val="002E1D27"/>
    <w:rsid w:val="002E4744"/>
    <w:rsid w:val="002E5DCD"/>
    <w:rsid w:val="002E68FD"/>
    <w:rsid w:val="002E7066"/>
    <w:rsid w:val="002F051A"/>
    <w:rsid w:val="002F1739"/>
    <w:rsid w:val="002F3EE4"/>
    <w:rsid w:val="002F406B"/>
    <w:rsid w:val="0030010B"/>
    <w:rsid w:val="00302A56"/>
    <w:rsid w:val="003031DA"/>
    <w:rsid w:val="00306455"/>
    <w:rsid w:val="00310FFE"/>
    <w:rsid w:val="0031265B"/>
    <w:rsid w:val="0031711A"/>
    <w:rsid w:val="00320613"/>
    <w:rsid w:val="003211C1"/>
    <w:rsid w:val="003219CF"/>
    <w:rsid w:val="003219EB"/>
    <w:rsid w:val="00322921"/>
    <w:rsid w:val="00332793"/>
    <w:rsid w:val="00332DB0"/>
    <w:rsid w:val="00333B78"/>
    <w:rsid w:val="00333DB4"/>
    <w:rsid w:val="00336C82"/>
    <w:rsid w:val="003443FC"/>
    <w:rsid w:val="00344E08"/>
    <w:rsid w:val="00344FAB"/>
    <w:rsid w:val="00350EAA"/>
    <w:rsid w:val="00350F0E"/>
    <w:rsid w:val="00351CAF"/>
    <w:rsid w:val="00352780"/>
    <w:rsid w:val="00352D37"/>
    <w:rsid w:val="003633AA"/>
    <w:rsid w:val="003641BB"/>
    <w:rsid w:val="00364E50"/>
    <w:rsid w:val="00365211"/>
    <w:rsid w:val="00365C4C"/>
    <w:rsid w:val="00366090"/>
    <w:rsid w:val="0036739F"/>
    <w:rsid w:val="00371539"/>
    <w:rsid w:val="00372933"/>
    <w:rsid w:val="003759E1"/>
    <w:rsid w:val="0037635D"/>
    <w:rsid w:val="00380C35"/>
    <w:rsid w:val="00380FF0"/>
    <w:rsid w:val="00383217"/>
    <w:rsid w:val="00384B93"/>
    <w:rsid w:val="00387C6B"/>
    <w:rsid w:val="00387D16"/>
    <w:rsid w:val="00391049"/>
    <w:rsid w:val="003914FA"/>
    <w:rsid w:val="003964B3"/>
    <w:rsid w:val="0039654E"/>
    <w:rsid w:val="003A05B0"/>
    <w:rsid w:val="003A07F5"/>
    <w:rsid w:val="003A0E18"/>
    <w:rsid w:val="003A2994"/>
    <w:rsid w:val="003A3CF4"/>
    <w:rsid w:val="003A45E7"/>
    <w:rsid w:val="003A4905"/>
    <w:rsid w:val="003A5055"/>
    <w:rsid w:val="003A5D8A"/>
    <w:rsid w:val="003A63C3"/>
    <w:rsid w:val="003A6B70"/>
    <w:rsid w:val="003B087B"/>
    <w:rsid w:val="003B0EF0"/>
    <w:rsid w:val="003B50EC"/>
    <w:rsid w:val="003B59A1"/>
    <w:rsid w:val="003B6CC5"/>
    <w:rsid w:val="003B78A5"/>
    <w:rsid w:val="003B7C74"/>
    <w:rsid w:val="003C070F"/>
    <w:rsid w:val="003C1C98"/>
    <w:rsid w:val="003C25C7"/>
    <w:rsid w:val="003C43F8"/>
    <w:rsid w:val="003C607C"/>
    <w:rsid w:val="003C64D4"/>
    <w:rsid w:val="003D7113"/>
    <w:rsid w:val="003F08F2"/>
    <w:rsid w:val="003F0A3C"/>
    <w:rsid w:val="003F54E0"/>
    <w:rsid w:val="003F73DF"/>
    <w:rsid w:val="00404132"/>
    <w:rsid w:val="00404D65"/>
    <w:rsid w:val="004059C8"/>
    <w:rsid w:val="004077E5"/>
    <w:rsid w:val="0041039E"/>
    <w:rsid w:val="0041057C"/>
    <w:rsid w:val="0041478B"/>
    <w:rsid w:val="004147B9"/>
    <w:rsid w:val="00414D98"/>
    <w:rsid w:val="00421B12"/>
    <w:rsid w:val="0042277B"/>
    <w:rsid w:val="00423C54"/>
    <w:rsid w:val="00424828"/>
    <w:rsid w:val="00424C06"/>
    <w:rsid w:val="00427354"/>
    <w:rsid w:val="00430314"/>
    <w:rsid w:val="00433FC2"/>
    <w:rsid w:val="00435367"/>
    <w:rsid w:val="00437359"/>
    <w:rsid w:val="00437CE4"/>
    <w:rsid w:val="00437D69"/>
    <w:rsid w:val="00442215"/>
    <w:rsid w:val="00443E14"/>
    <w:rsid w:val="00443E45"/>
    <w:rsid w:val="00443F73"/>
    <w:rsid w:val="0045110E"/>
    <w:rsid w:val="00452006"/>
    <w:rsid w:val="00454787"/>
    <w:rsid w:val="0046011A"/>
    <w:rsid w:val="004609D0"/>
    <w:rsid w:val="0046122A"/>
    <w:rsid w:val="00461E00"/>
    <w:rsid w:val="00462AC6"/>
    <w:rsid w:val="004644C8"/>
    <w:rsid w:val="00464F3F"/>
    <w:rsid w:val="00465CF8"/>
    <w:rsid w:val="004727FE"/>
    <w:rsid w:val="00473F0D"/>
    <w:rsid w:val="00480738"/>
    <w:rsid w:val="004826F7"/>
    <w:rsid w:val="0048299C"/>
    <w:rsid w:val="00483097"/>
    <w:rsid w:val="00484060"/>
    <w:rsid w:val="00484B46"/>
    <w:rsid w:val="00484F3B"/>
    <w:rsid w:val="00485AFE"/>
    <w:rsid w:val="00487A6C"/>
    <w:rsid w:val="00490F63"/>
    <w:rsid w:val="0049141A"/>
    <w:rsid w:val="00492004"/>
    <w:rsid w:val="00492BDD"/>
    <w:rsid w:val="004936C3"/>
    <w:rsid w:val="0049722C"/>
    <w:rsid w:val="004A2A63"/>
    <w:rsid w:val="004A5A29"/>
    <w:rsid w:val="004A5AF2"/>
    <w:rsid w:val="004A6A2E"/>
    <w:rsid w:val="004B5129"/>
    <w:rsid w:val="004B746A"/>
    <w:rsid w:val="004C1F46"/>
    <w:rsid w:val="004C5479"/>
    <w:rsid w:val="004C6B34"/>
    <w:rsid w:val="004C6C43"/>
    <w:rsid w:val="004C7727"/>
    <w:rsid w:val="004C79AD"/>
    <w:rsid w:val="004C7F52"/>
    <w:rsid w:val="004D0F68"/>
    <w:rsid w:val="004D2782"/>
    <w:rsid w:val="004D691B"/>
    <w:rsid w:val="004D750C"/>
    <w:rsid w:val="004D7C6D"/>
    <w:rsid w:val="004E38B6"/>
    <w:rsid w:val="004E4858"/>
    <w:rsid w:val="004E6135"/>
    <w:rsid w:val="004F1AAF"/>
    <w:rsid w:val="004F2132"/>
    <w:rsid w:val="004F2193"/>
    <w:rsid w:val="00502722"/>
    <w:rsid w:val="00504B75"/>
    <w:rsid w:val="00511089"/>
    <w:rsid w:val="00511A17"/>
    <w:rsid w:val="005209C6"/>
    <w:rsid w:val="00523953"/>
    <w:rsid w:val="00526BDA"/>
    <w:rsid w:val="00531855"/>
    <w:rsid w:val="005348B5"/>
    <w:rsid w:val="005372F9"/>
    <w:rsid w:val="00537A65"/>
    <w:rsid w:val="005404C7"/>
    <w:rsid w:val="00541E00"/>
    <w:rsid w:val="00542816"/>
    <w:rsid w:val="00543C65"/>
    <w:rsid w:val="00544444"/>
    <w:rsid w:val="00546D19"/>
    <w:rsid w:val="00554A46"/>
    <w:rsid w:val="005643F8"/>
    <w:rsid w:val="00564543"/>
    <w:rsid w:val="005674E0"/>
    <w:rsid w:val="00567A0F"/>
    <w:rsid w:val="00570B2F"/>
    <w:rsid w:val="00581849"/>
    <w:rsid w:val="0058356E"/>
    <w:rsid w:val="00584478"/>
    <w:rsid w:val="005872C3"/>
    <w:rsid w:val="005900FF"/>
    <w:rsid w:val="0059091B"/>
    <w:rsid w:val="00591080"/>
    <w:rsid w:val="0059582A"/>
    <w:rsid w:val="005A1F29"/>
    <w:rsid w:val="005A25DF"/>
    <w:rsid w:val="005A43D8"/>
    <w:rsid w:val="005A4BE1"/>
    <w:rsid w:val="005A709B"/>
    <w:rsid w:val="005A709E"/>
    <w:rsid w:val="005B2B73"/>
    <w:rsid w:val="005B5982"/>
    <w:rsid w:val="005C252B"/>
    <w:rsid w:val="005C458E"/>
    <w:rsid w:val="005C575B"/>
    <w:rsid w:val="005C7153"/>
    <w:rsid w:val="005C7A5D"/>
    <w:rsid w:val="005D05D1"/>
    <w:rsid w:val="005D2D26"/>
    <w:rsid w:val="005D2F13"/>
    <w:rsid w:val="005D4CC1"/>
    <w:rsid w:val="005D59FF"/>
    <w:rsid w:val="005D6795"/>
    <w:rsid w:val="005E01E3"/>
    <w:rsid w:val="005E0ED8"/>
    <w:rsid w:val="005E256E"/>
    <w:rsid w:val="005E5BE8"/>
    <w:rsid w:val="005E5D8A"/>
    <w:rsid w:val="005F09B9"/>
    <w:rsid w:val="005F1223"/>
    <w:rsid w:val="005F12F1"/>
    <w:rsid w:val="005F151A"/>
    <w:rsid w:val="005F5BFE"/>
    <w:rsid w:val="005F722F"/>
    <w:rsid w:val="006005E5"/>
    <w:rsid w:val="00602740"/>
    <w:rsid w:val="006034E1"/>
    <w:rsid w:val="00610B44"/>
    <w:rsid w:val="00611C69"/>
    <w:rsid w:val="006129E7"/>
    <w:rsid w:val="00613250"/>
    <w:rsid w:val="00614083"/>
    <w:rsid w:val="0061476F"/>
    <w:rsid w:val="0061587C"/>
    <w:rsid w:val="00620BEB"/>
    <w:rsid w:val="006231CB"/>
    <w:rsid w:val="00631312"/>
    <w:rsid w:val="006319A3"/>
    <w:rsid w:val="0063409C"/>
    <w:rsid w:val="006361A4"/>
    <w:rsid w:val="006375C0"/>
    <w:rsid w:val="0063771F"/>
    <w:rsid w:val="00640219"/>
    <w:rsid w:val="0064346D"/>
    <w:rsid w:val="0064564F"/>
    <w:rsid w:val="00645EFC"/>
    <w:rsid w:val="006512AA"/>
    <w:rsid w:val="0065328B"/>
    <w:rsid w:val="006538AD"/>
    <w:rsid w:val="00653BD1"/>
    <w:rsid w:val="00660CBD"/>
    <w:rsid w:val="00664037"/>
    <w:rsid w:val="00666BFF"/>
    <w:rsid w:val="00670747"/>
    <w:rsid w:val="006722EE"/>
    <w:rsid w:val="00672C14"/>
    <w:rsid w:val="0067499F"/>
    <w:rsid w:val="006758C1"/>
    <w:rsid w:val="0067693F"/>
    <w:rsid w:val="0067708A"/>
    <w:rsid w:val="00677306"/>
    <w:rsid w:val="006819FA"/>
    <w:rsid w:val="006820DE"/>
    <w:rsid w:val="00682853"/>
    <w:rsid w:val="00685B5B"/>
    <w:rsid w:val="00687F08"/>
    <w:rsid w:val="00692979"/>
    <w:rsid w:val="006A35BD"/>
    <w:rsid w:val="006A3E79"/>
    <w:rsid w:val="006A61BD"/>
    <w:rsid w:val="006B04A6"/>
    <w:rsid w:val="006B0E5A"/>
    <w:rsid w:val="006B1CB6"/>
    <w:rsid w:val="006B746E"/>
    <w:rsid w:val="006B7732"/>
    <w:rsid w:val="006C0D49"/>
    <w:rsid w:val="006C15D0"/>
    <w:rsid w:val="006C17C9"/>
    <w:rsid w:val="006C35E8"/>
    <w:rsid w:val="006C6D09"/>
    <w:rsid w:val="006C7F84"/>
    <w:rsid w:val="006D0627"/>
    <w:rsid w:val="006D12D2"/>
    <w:rsid w:val="006D218B"/>
    <w:rsid w:val="006D293A"/>
    <w:rsid w:val="006D5CB1"/>
    <w:rsid w:val="006D61F4"/>
    <w:rsid w:val="006D6B13"/>
    <w:rsid w:val="006E5172"/>
    <w:rsid w:val="006E5ABB"/>
    <w:rsid w:val="006F16B7"/>
    <w:rsid w:val="006F2DF8"/>
    <w:rsid w:val="006F6D95"/>
    <w:rsid w:val="007077D6"/>
    <w:rsid w:val="00710FA4"/>
    <w:rsid w:val="00711AB5"/>
    <w:rsid w:val="0071473C"/>
    <w:rsid w:val="00715840"/>
    <w:rsid w:val="0072385B"/>
    <w:rsid w:val="007255BA"/>
    <w:rsid w:val="007317A8"/>
    <w:rsid w:val="00731E3A"/>
    <w:rsid w:val="00734DA4"/>
    <w:rsid w:val="00736190"/>
    <w:rsid w:val="00737CCC"/>
    <w:rsid w:val="00743B39"/>
    <w:rsid w:val="00743E92"/>
    <w:rsid w:val="007444E1"/>
    <w:rsid w:val="00745931"/>
    <w:rsid w:val="0074659F"/>
    <w:rsid w:val="00751B0A"/>
    <w:rsid w:val="00753805"/>
    <w:rsid w:val="00753FAD"/>
    <w:rsid w:val="00756BAE"/>
    <w:rsid w:val="00756C28"/>
    <w:rsid w:val="0075744C"/>
    <w:rsid w:val="007612AF"/>
    <w:rsid w:val="00763FBA"/>
    <w:rsid w:val="00764009"/>
    <w:rsid w:val="00764125"/>
    <w:rsid w:val="00764ADA"/>
    <w:rsid w:val="00766B6C"/>
    <w:rsid w:val="00767D7B"/>
    <w:rsid w:val="007713AC"/>
    <w:rsid w:val="00777EBA"/>
    <w:rsid w:val="007819A9"/>
    <w:rsid w:val="00783CF1"/>
    <w:rsid w:val="00785612"/>
    <w:rsid w:val="00785C46"/>
    <w:rsid w:val="00786104"/>
    <w:rsid w:val="007878E3"/>
    <w:rsid w:val="00790801"/>
    <w:rsid w:val="0079654D"/>
    <w:rsid w:val="0079660F"/>
    <w:rsid w:val="00796CDC"/>
    <w:rsid w:val="00797390"/>
    <w:rsid w:val="0079798A"/>
    <w:rsid w:val="007A0384"/>
    <w:rsid w:val="007A33DA"/>
    <w:rsid w:val="007A7309"/>
    <w:rsid w:val="007A7C2C"/>
    <w:rsid w:val="007B2FCD"/>
    <w:rsid w:val="007B7E55"/>
    <w:rsid w:val="007C1E6A"/>
    <w:rsid w:val="007C50BA"/>
    <w:rsid w:val="007D2436"/>
    <w:rsid w:val="007D6AF0"/>
    <w:rsid w:val="007E048F"/>
    <w:rsid w:val="007E0790"/>
    <w:rsid w:val="007E17C3"/>
    <w:rsid w:val="007F07BF"/>
    <w:rsid w:val="007F3CF1"/>
    <w:rsid w:val="00804931"/>
    <w:rsid w:val="008052FC"/>
    <w:rsid w:val="00806F3D"/>
    <w:rsid w:val="0081375F"/>
    <w:rsid w:val="00814DBE"/>
    <w:rsid w:val="00816AA8"/>
    <w:rsid w:val="00823B51"/>
    <w:rsid w:val="00823ED2"/>
    <w:rsid w:val="0082594A"/>
    <w:rsid w:val="008275F1"/>
    <w:rsid w:val="008319BD"/>
    <w:rsid w:val="008350ED"/>
    <w:rsid w:val="00840288"/>
    <w:rsid w:val="008430C6"/>
    <w:rsid w:val="0084381B"/>
    <w:rsid w:val="00844D3A"/>
    <w:rsid w:val="008456B3"/>
    <w:rsid w:val="0084626A"/>
    <w:rsid w:val="008464FA"/>
    <w:rsid w:val="008468CE"/>
    <w:rsid w:val="008473F5"/>
    <w:rsid w:val="008509CC"/>
    <w:rsid w:val="00852088"/>
    <w:rsid w:val="00852149"/>
    <w:rsid w:val="00852A5C"/>
    <w:rsid w:val="00855BB1"/>
    <w:rsid w:val="00856987"/>
    <w:rsid w:val="00860E08"/>
    <w:rsid w:val="00861DAB"/>
    <w:rsid w:val="00864C74"/>
    <w:rsid w:val="00864CBF"/>
    <w:rsid w:val="00867852"/>
    <w:rsid w:val="00870F04"/>
    <w:rsid w:val="00871077"/>
    <w:rsid w:val="00874A17"/>
    <w:rsid w:val="00875210"/>
    <w:rsid w:val="00875D8E"/>
    <w:rsid w:val="00881DB8"/>
    <w:rsid w:val="00882F41"/>
    <w:rsid w:val="008830F5"/>
    <w:rsid w:val="008862B6"/>
    <w:rsid w:val="00886BD4"/>
    <w:rsid w:val="00887666"/>
    <w:rsid w:val="008877F4"/>
    <w:rsid w:val="00887DFB"/>
    <w:rsid w:val="00890152"/>
    <w:rsid w:val="008919E9"/>
    <w:rsid w:val="00896F65"/>
    <w:rsid w:val="00896FC2"/>
    <w:rsid w:val="00897474"/>
    <w:rsid w:val="008975E9"/>
    <w:rsid w:val="008A0362"/>
    <w:rsid w:val="008A4C24"/>
    <w:rsid w:val="008A4E75"/>
    <w:rsid w:val="008A5049"/>
    <w:rsid w:val="008A5B94"/>
    <w:rsid w:val="008A6F01"/>
    <w:rsid w:val="008A7C96"/>
    <w:rsid w:val="008B0269"/>
    <w:rsid w:val="008B050D"/>
    <w:rsid w:val="008B0668"/>
    <w:rsid w:val="008B1497"/>
    <w:rsid w:val="008B2621"/>
    <w:rsid w:val="008B4E15"/>
    <w:rsid w:val="008B5C5D"/>
    <w:rsid w:val="008B79EB"/>
    <w:rsid w:val="008C1966"/>
    <w:rsid w:val="008C1A96"/>
    <w:rsid w:val="008C2EF8"/>
    <w:rsid w:val="008C4FA6"/>
    <w:rsid w:val="008D14B7"/>
    <w:rsid w:val="008D326F"/>
    <w:rsid w:val="008D3C67"/>
    <w:rsid w:val="008D5869"/>
    <w:rsid w:val="008D6199"/>
    <w:rsid w:val="008D66B4"/>
    <w:rsid w:val="008E0A44"/>
    <w:rsid w:val="008E7049"/>
    <w:rsid w:val="008F2261"/>
    <w:rsid w:val="008F5D0C"/>
    <w:rsid w:val="008F6ED2"/>
    <w:rsid w:val="008F72F6"/>
    <w:rsid w:val="008F74F6"/>
    <w:rsid w:val="009008A1"/>
    <w:rsid w:val="00901F69"/>
    <w:rsid w:val="00902EEF"/>
    <w:rsid w:val="00905585"/>
    <w:rsid w:val="009062B3"/>
    <w:rsid w:val="0090709C"/>
    <w:rsid w:val="00910857"/>
    <w:rsid w:val="00913EB2"/>
    <w:rsid w:val="00915B67"/>
    <w:rsid w:val="00917A7B"/>
    <w:rsid w:val="00917C39"/>
    <w:rsid w:val="0092039A"/>
    <w:rsid w:val="00921180"/>
    <w:rsid w:val="00921CAB"/>
    <w:rsid w:val="00923516"/>
    <w:rsid w:val="009277B5"/>
    <w:rsid w:val="00931772"/>
    <w:rsid w:val="00933A89"/>
    <w:rsid w:val="00933FC8"/>
    <w:rsid w:val="00934092"/>
    <w:rsid w:val="00936EB6"/>
    <w:rsid w:val="0094034A"/>
    <w:rsid w:val="009406D5"/>
    <w:rsid w:val="00940B4F"/>
    <w:rsid w:val="00941169"/>
    <w:rsid w:val="00943F82"/>
    <w:rsid w:val="00944830"/>
    <w:rsid w:val="00944BD1"/>
    <w:rsid w:val="00946902"/>
    <w:rsid w:val="00955FB6"/>
    <w:rsid w:val="00956D5A"/>
    <w:rsid w:val="00964F8E"/>
    <w:rsid w:val="00966114"/>
    <w:rsid w:val="00966115"/>
    <w:rsid w:val="00976563"/>
    <w:rsid w:val="00976778"/>
    <w:rsid w:val="00977499"/>
    <w:rsid w:val="0098219C"/>
    <w:rsid w:val="00982724"/>
    <w:rsid w:val="00984C00"/>
    <w:rsid w:val="00991779"/>
    <w:rsid w:val="0099265A"/>
    <w:rsid w:val="00995EC2"/>
    <w:rsid w:val="009A08FB"/>
    <w:rsid w:val="009A09A8"/>
    <w:rsid w:val="009A0A41"/>
    <w:rsid w:val="009A183A"/>
    <w:rsid w:val="009A22FF"/>
    <w:rsid w:val="009A50C7"/>
    <w:rsid w:val="009B452D"/>
    <w:rsid w:val="009B4689"/>
    <w:rsid w:val="009B5BDC"/>
    <w:rsid w:val="009B7E6F"/>
    <w:rsid w:val="009C0C6B"/>
    <w:rsid w:val="009C2350"/>
    <w:rsid w:val="009C2B59"/>
    <w:rsid w:val="009C4083"/>
    <w:rsid w:val="009C5B52"/>
    <w:rsid w:val="009C60A1"/>
    <w:rsid w:val="009D190F"/>
    <w:rsid w:val="009D637E"/>
    <w:rsid w:val="009D64F3"/>
    <w:rsid w:val="009D7421"/>
    <w:rsid w:val="009D7980"/>
    <w:rsid w:val="009E6939"/>
    <w:rsid w:val="009E7BBC"/>
    <w:rsid w:val="009F20DE"/>
    <w:rsid w:val="009F4C4C"/>
    <w:rsid w:val="009F69FA"/>
    <w:rsid w:val="00A00E5B"/>
    <w:rsid w:val="00A02025"/>
    <w:rsid w:val="00A04888"/>
    <w:rsid w:val="00A0748C"/>
    <w:rsid w:val="00A07B2F"/>
    <w:rsid w:val="00A10EA3"/>
    <w:rsid w:val="00A2074D"/>
    <w:rsid w:val="00A22DF0"/>
    <w:rsid w:val="00A24F9B"/>
    <w:rsid w:val="00A2528D"/>
    <w:rsid w:val="00A263D9"/>
    <w:rsid w:val="00A313CB"/>
    <w:rsid w:val="00A3197A"/>
    <w:rsid w:val="00A326C0"/>
    <w:rsid w:val="00A3283C"/>
    <w:rsid w:val="00A341D5"/>
    <w:rsid w:val="00A3605F"/>
    <w:rsid w:val="00A4041E"/>
    <w:rsid w:val="00A41436"/>
    <w:rsid w:val="00A43B9D"/>
    <w:rsid w:val="00A45EAF"/>
    <w:rsid w:val="00A470FA"/>
    <w:rsid w:val="00A4790E"/>
    <w:rsid w:val="00A47BFC"/>
    <w:rsid w:val="00A50B8E"/>
    <w:rsid w:val="00A510F0"/>
    <w:rsid w:val="00A53A09"/>
    <w:rsid w:val="00A5546E"/>
    <w:rsid w:val="00A568C4"/>
    <w:rsid w:val="00A57475"/>
    <w:rsid w:val="00A638A2"/>
    <w:rsid w:val="00A728F4"/>
    <w:rsid w:val="00A72A1E"/>
    <w:rsid w:val="00A7440D"/>
    <w:rsid w:val="00A7755A"/>
    <w:rsid w:val="00A84E39"/>
    <w:rsid w:val="00A85E89"/>
    <w:rsid w:val="00A8624D"/>
    <w:rsid w:val="00A87D4D"/>
    <w:rsid w:val="00A95339"/>
    <w:rsid w:val="00A9708E"/>
    <w:rsid w:val="00A971ED"/>
    <w:rsid w:val="00A97494"/>
    <w:rsid w:val="00AA3678"/>
    <w:rsid w:val="00AA73A3"/>
    <w:rsid w:val="00AB0055"/>
    <w:rsid w:val="00AB3B03"/>
    <w:rsid w:val="00AC3122"/>
    <w:rsid w:val="00AC33BB"/>
    <w:rsid w:val="00AC7C8C"/>
    <w:rsid w:val="00AD1982"/>
    <w:rsid w:val="00AD1B12"/>
    <w:rsid w:val="00AE2662"/>
    <w:rsid w:val="00AE2737"/>
    <w:rsid w:val="00AE3301"/>
    <w:rsid w:val="00AE40F2"/>
    <w:rsid w:val="00AE6079"/>
    <w:rsid w:val="00AF20ED"/>
    <w:rsid w:val="00AF3320"/>
    <w:rsid w:val="00AF549D"/>
    <w:rsid w:val="00AF77B9"/>
    <w:rsid w:val="00B0072D"/>
    <w:rsid w:val="00B05BD4"/>
    <w:rsid w:val="00B067B9"/>
    <w:rsid w:val="00B1218C"/>
    <w:rsid w:val="00B12F34"/>
    <w:rsid w:val="00B157E8"/>
    <w:rsid w:val="00B15C5F"/>
    <w:rsid w:val="00B2063B"/>
    <w:rsid w:val="00B2160F"/>
    <w:rsid w:val="00B22CDE"/>
    <w:rsid w:val="00B24EFD"/>
    <w:rsid w:val="00B2543B"/>
    <w:rsid w:val="00B27801"/>
    <w:rsid w:val="00B27EBA"/>
    <w:rsid w:val="00B3151A"/>
    <w:rsid w:val="00B339F2"/>
    <w:rsid w:val="00B34399"/>
    <w:rsid w:val="00B34523"/>
    <w:rsid w:val="00B352E4"/>
    <w:rsid w:val="00B4053D"/>
    <w:rsid w:val="00B416A2"/>
    <w:rsid w:val="00B4332B"/>
    <w:rsid w:val="00B43DA1"/>
    <w:rsid w:val="00B44196"/>
    <w:rsid w:val="00B445F9"/>
    <w:rsid w:val="00B46D35"/>
    <w:rsid w:val="00B52926"/>
    <w:rsid w:val="00B53FD8"/>
    <w:rsid w:val="00B54312"/>
    <w:rsid w:val="00B549BE"/>
    <w:rsid w:val="00B56C16"/>
    <w:rsid w:val="00B57F8E"/>
    <w:rsid w:val="00B60B6B"/>
    <w:rsid w:val="00B61BB8"/>
    <w:rsid w:val="00B6776F"/>
    <w:rsid w:val="00B67CD9"/>
    <w:rsid w:val="00B75D06"/>
    <w:rsid w:val="00B7799E"/>
    <w:rsid w:val="00B779D8"/>
    <w:rsid w:val="00B8089C"/>
    <w:rsid w:val="00B81CFC"/>
    <w:rsid w:val="00B8334B"/>
    <w:rsid w:val="00B83D9B"/>
    <w:rsid w:val="00B85BB2"/>
    <w:rsid w:val="00B8607C"/>
    <w:rsid w:val="00B8761C"/>
    <w:rsid w:val="00B8782C"/>
    <w:rsid w:val="00B92D9B"/>
    <w:rsid w:val="00B978F7"/>
    <w:rsid w:val="00B97F87"/>
    <w:rsid w:val="00BA0D9F"/>
    <w:rsid w:val="00BA1CDC"/>
    <w:rsid w:val="00BA2B5B"/>
    <w:rsid w:val="00BA3DEC"/>
    <w:rsid w:val="00BA52C1"/>
    <w:rsid w:val="00BA6E5A"/>
    <w:rsid w:val="00BA74AA"/>
    <w:rsid w:val="00BB143E"/>
    <w:rsid w:val="00BB1463"/>
    <w:rsid w:val="00BB4E0F"/>
    <w:rsid w:val="00BB57CF"/>
    <w:rsid w:val="00BB5FE2"/>
    <w:rsid w:val="00BB6114"/>
    <w:rsid w:val="00BB6D7F"/>
    <w:rsid w:val="00BB7E68"/>
    <w:rsid w:val="00BC04E5"/>
    <w:rsid w:val="00BC19B7"/>
    <w:rsid w:val="00BC2917"/>
    <w:rsid w:val="00BC6724"/>
    <w:rsid w:val="00BD2619"/>
    <w:rsid w:val="00BD26FE"/>
    <w:rsid w:val="00BD4F76"/>
    <w:rsid w:val="00BD51F5"/>
    <w:rsid w:val="00BD70B4"/>
    <w:rsid w:val="00BE6C14"/>
    <w:rsid w:val="00BE7D4F"/>
    <w:rsid w:val="00BE7F0C"/>
    <w:rsid w:val="00BF21B6"/>
    <w:rsid w:val="00BF2D75"/>
    <w:rsid w:val="00BF5B6E"/>
    <w:rsid w:val="00BF726A"/>
    <w:rsid w:val="00BF78B3"/>
    <w:rsid w:val="00C009E3"/>
    <w:rsid w:val="00C03C12"/>
    <w:rsid w:val="00C03C16"/>
    <w:rsid w:val="00C03F86"/>
    <w:rsid w:val="00C052F7"/>
    <w:rsid w:val="00C06865"/>
    <w:rsid w:val="00C07733"/>
    <w:rsid w:val="00C07E96"/>
    <w:rsid w:val="00C1067D"/>
    <w:rsid w:val="00C1092F"/>
    <w:rsid w:val="00C13670"/>
    <w:rsid w:val="00C14930"/>
    <w:rsid w:val="00C1518A"/>
    <w:rsid w:val="00C16988"/>
    <w:rsid w:val="00C21E10"/>
    <w:rsid w:val="00C21F9B"/>
    <w:rsid w:val="00C23072"/>
    <w:rsid w:val="00C27325"/>
    <w:rsid w:val="00C27A77"/>
    <w:rsid w:val="00C309FC"/>
    <w:rsid w:val="00C313C3"/>
    <w:rsid w:val="00C32039"/>
    <w:rsid w:val="00C3501E"/>
    <w:rsid w:val="00C3697F"/>
    <w:rsid w:val="00C37AA8"/>
    <w:rsid w:val="00C42CB6"/>
    <w:rsid w:val="00C44790"/>
    <w:rsid w:val="00C46F73"/>
    <w:rsid w:val="00C46F75"/>
    <w:rsid w:val="00C52A60"/>
    <w:rsid w:val="00C53691"/>
    <w:rsid w:val="00C568A9"/>
    <w:rsid w:val="00C6062C"/>
    <w:rsid w:val="00C629AF"/>
    <w:rsid w:val="00C6321B"/>
    <w:rsid w:val="00C650F6"/>
    <w:rsid w:val="00C656E8"/>
    <w:rsid w:val="00C6642D"/>
    <w:rsid w:val="00C67BAC"/>
    <w:rsid w:val="00C67E6A"/>
    <w:rsid w:val="00C700CA"/>
    <w:rsid w:val="00C743E1"/>
    <w:rsid w:val="00C774C2"/>
    <w:rsid w:val="00C77CF9"/>
    <w:rsid w:val="00C8011B"/>
    <w:rsid w:val="00C82738"/>
    <w:rsid w:val="00C83B59"/>
    <w:rsid w:val="00C85067"/>
    <w:rsid w:val="00C86615"/>
    <w:rsid w:val="00C8796F"/>
    <w:rsid w:val="00C87A53"/>
    <w:rsid w:val="00C91356"/>
    <w:rsid w:val="00C92095"/>
    <w:rsid w:val="00C923F3"/>
    <w:rsid w:val="00C968F3"/>
    <w:rsid w:val="00C96DC0"/>
    <w:rsid w:val="00CA4602"/>
    <w:rsid w:val="00CA4C82"/>
    <w:rsid w:val="00CA5FB2"/>
    <w:rsid w:val="00CA6032"/>
    <w:rsid w:val="00CB20F2"/>
    <w:rsid w:val="00CB3CC1"/>
    <w:rsid w:val="00CB3D5F"/>
    <w:rsid w:val="00CB4355"/>
    <w:rsid w:val="00CB47C3"/>
    <w:rsid w:val="00CB5261"/>
    <w:rsid w:val="00CB6DE0"/>
    <w:rsid w:val="00CC29EB"/>
    <w:rsid w:val="00CC5DBA"/>
    <w:rsid w:val="00CC6D6F"/>
    <w:rsid w:val="00CD291C"/>
    <w:rsid w:val="00CD3729"/>
    <w:rsid w:val="00CD4062"/>
    <w:rsid w:val="00CD5BA8"/>
    <w:rsid w:val="00CD642B"/>
    <w:rsid w:val="00CE023C"/>
    <w:rsid w:val="00CE1369"/>
    <w:rsid w:val="00CE4E75"/>
    <w:rsid w:val="00CE563E"/>
    <w:rsid w:val="00CE6860"/>
    <w:rsid w:val="00CE6A37"/>
    <w:rsid w:val="00CE778D"/>
    <w:rsid w:val="00CE7A9D"/>
    <w:rsid w:val="00CF1A6D"/>
    <w:rsid w:val="00CF21A9"/>
    <w:rsid w:val="00CF221D"/>
    <w:rsid w:val="00CF6BA2"/>
    <w:rsid w:val="00CF70CF"/>
    <w:rsid w:val="00D0138D"/>
    <w:rsid w:val="00D11C1E"/>
    <w:rsid w:val="00D12270"/>
    <w:rsid w:val="00D145C0"/>
    <w:rsid w:val="00D17484"/>
    <w:rsid w:val="00D20454"/>
    <w:rsid w:val="00D2242B"/>
    <w:rsid w:val="00D22783"/>
    <w:rsid w:val="00D2485A"/>
    <w:rsid w:val="00D25FEA"/>
    <w:rsid w:val="00D27C2E"/>
    <w:rsid w:val="00D31321"/>
    <w:rsid w:val="00D31C27"/>
    <w:rsid w:val="00D3298D"/>
    <w:rsid w:val="00D3307A"/>
    <w:rsid w:val="00D3512B"/>
    <w:rsid w:val="00D37CC6"/>
    <w:rsid w:val="00D40E55"/>
    <w:rsid w:val="00D424F6"/>
    <w:rsid w:val="00D435D3"/>
    <w:rsid w:val="00D438F5"/>
    <w:rsid w:val="00D447D9"/>
    <w:rsid w:val="00D4567D"/>
    <w:rsid w:val="00D46DEE"/>
    <w:rsid w:val="00D46FC5"/>
    <w:rsid w:val="00D51CAD"/>
    <w:rsid w:val="00D5327E"/>
    <w:rsid w:val="00D53B18"/>
    <w:rsid w:val="00D559C7"/>
    <w:rsid w:val="00D62FDA"/>
    <w:rsid w:val="00D652F3"/>
    <w:rsid w:val="00D65E62"/>
    <w:rsid w:val="00D707D0"/>
    <w:rsid w:val="00D71CDF"/>
    <w:rsid w:val="00D73020"/>
    <w:rsid w:val="00D7308B"/>
    <w:rsid w:val="00D739C1"/>
    <w:rsid w:val="00D74CDF"/>
    <w:rsid w:val="00D776AA"/>
    <w:rsid w:val="00D8130D"/>
    <w:rsid w:val="00D81B8A"/>
    <w:rsid w:val="00D830DC"/>
    <w:rsid w:val="00D85545"/>
    <w:rsid w:val="00D85D71"/>
    <w:rsid w:val="00D910B5"/>
    <w:rsid w:val="00D922D7"/>
    <w:rsid w:val="00D92809"/>
    <w:rsid w:val="00D93D3C"/>
    <w:rsid w:val="00D96889"/>
    <w:rsid w:val="00D96AE0"/>
    <w:rsid w:val="00DA1DCF"/>
    <w:rsid w:val="00DA34EA"/>
    <w:rsid w:val="00DA3770"/>
    <w:rsid w:val="00DA39B0"/>
    <w:rsid w:val="00DA4008"/>
    <w:rsid w:val="00DA4F0A"/>
    <w:rsid w:val="00DA7718"/>
    <w:rsid w:val="00DB1CEC"/>
    <w:rsid w:val="00DB6D0A"/>
    <w:rsid w:val="00DB703B"/>
    <w:rsid w:val="00DB72F4"/>
    <w:rsid w:val="00DB7584"/>
    <w:rsid w:val="00DC0A43"/>
    <w:rsid w:val="00DC1098"/>
    <w:rsid w:val="00DC218D"/>
    <w:rsid w:val="00DC2817"/>
    <w:rsid w:val="00DC373D"/>
    <w:rsid w:val="00DC3B3D"/>
    <w:rsid w:val="00DC51B7"/>
    <w:rsid w:val="00DC5F03"/>
    <w:rsid w:val="00DC6FFD"/>
    <w:rsid w:val="00DC7F25"/>
    <w:rsid w:val="00DD0020"/>
    <w:rsid w:val="00DD1980"/>
    <w:rsid w:val="00DD20FF"/>
    <w:rsid w:val="00DD37A7"/>
    <w:rsid w:val="00DD6CFA"/>
    <w:rsid w:val="00DE022D"/>
    <w:rsid w:val="00DE0CB3"/>
    <w:rsid w:val="00DE3AC2"/>
    <w:rsid w:val="00DE528A"/>
    <w:rsid w:val="00DE79DB"/>
    <w:rsid w:val="00DE7C84"/>
    <w:rsid w:val="00DF1EFC"/>
    <w:rsid w:val="00DF24F2"/>
    <w:rsid w:val="00DF6FB4"/>
    <w:rsid w:val="00E02AD4"/>
    <w:rsid w:val="00E05EAF"/>
    <w:rsid w:val="00E062DA"/>
    <w:rsid w:val="00E142A4"/>
    <w:rsid w:val="00E16AA8"/>
    <w:rsid w:val="00E20D1E"/>
    <w:rsid w:val="00E21804"/>
    <w:rsid w:val="00E21F6B"/>
    <w:rsid w:val="00E22C4B"/>
    <w:rsid w:val="00E23DFB"/>
    <w:rsid w:val="00E256F6"/>
    <w:rsid w:val="00E25A2C"/>
    <w:rsid w:val="00E25F61"/>
    <w:rsid w:val="00E3064A"/>
    <w:rsid w:val="00E32120"/>
    <w:rsid w:val="00E32B28"/>
    <w:rsid w:val="00E35061"/>
    <w:rsid w:val="00E40295"/>
    <w:rsid w:val="00E46C93"/>
    <w:rsid w:val="00E53F4F"/>
    <w:rsid w:val="00E55583"/>
    <w:rsid w:val="00E56779"/>
    <w:rsid w:val="00E56FB3"/>
    <w:rsid w:val="00E57EA4"/>
    <w:rsid w:val="00E60802"/>
    <w:rsid w:val="00E628A7"/>
    <w:rsid w:val="00E635DA"/>
    <w:rsid w:val="00E65785"/>
    <w:rsid w:val="00E66D00"/>
    <w:rsid w:val="00E71C15"/>
    <w:rsid w:val="00E763F6"/>
    <w:rsid w:val="00E7676B"/>
    <w:rsid w:val="00E77261"/>
    <w:rsid w:val="00E7764C"/>
    <w:rsid w:val="00E804D8"/>
    <w:rsid w:val="00E812FD"/>
    <w:rsid w:val="00E859AC"/>
    <w:rsid w:val="00E8627B"/>
    <w:rsid w:val="00E90991"/>
    <w:rsid w:val="00E91635"/>
    <w:rsid w:val="00E94991"/>
    <w:rsid w:val="00E95631"/>
    <w:rsid w:val="00E95840"/>
    <w:rsid w:val="00EA0BA1"/>
    <w:rsid w:val="00EA11E6"/>
    <w:rsid w:val="00EA180E"/>
    <w:rsid w:val="00EA3F68"/>
    <w:rsid w:val="00EA4444"/>
    <w:rsid w:val="00EA508C"/>
    <w:rsid w:val="00EA5221"/>
    <w:rsid w:val="00EA57F3"/>
    <w:rsid w:val="00EB070F"/>
    <w:rsid w:val="00EB1FFB"/>
    <w:rsid w:val="00EB47B0"/>
    <w:rsid w:val="00EB62C5"/>
    <w:rsid w:val="00EB752E"/>
    <w:rsid w:val="00EC3B23"/>
    <w:rsid w:val="00EC3C48"/>
    <w:rsid w:val="00EC3FC1"/>
    <w:rsid w:val="00EC78E1"/>
    <w:rsid w:val="00ED0A8A"/>
    <w:rsid w:val="00ED0DC7"/>
    <w:rsid w:val="00ED378E"/>
    <w:rsid w:val="00EE01D0"/>
    <w:rsid w:val="00EE06E0"/>
    <w:rsid w:val="00EE2444"/>
    <w:rsid w:val="00EE5C67"/>
    <w:rsid w:val="00EF0228"/>
    <w:rsid w:val="00EF2D82"/>
    <w:rsid w:val="00EF3E4A"/>
    <w:rsid w:val="00EF4FFD"/>
    <w:rsid w:val="00EF5711"/>
    <w:rsid w:val="00EF5AE5"/>
    <w:rsid w:val="00EF66F6"/>
    <w:rsid w:val="00F01484"/>
    <w:rsid w:val="00F04776"/>
    <w:rsid w:val="00F10BA1"/>
    <w:rsid w:val="00F112C2"/>
    <w:rsid w:val="00F11873"/>
    <w:rsid w:val="00F30423"/>
    <w:rsid w:val="00F3111C"/>
    <w:rsid w:val="00F371D1"/>
    <w:rsid w:val="00F4082C"/>
    <w:rsid w:val="00F40CE7"/>
    <w:rsid w:val="00F40E21"/>
    <w:rsid w:val="00F417C0"/>
    <w:rsid w:val="00F43D8F"/>
    <w:rsid w:val="00F456DF"/>
    <w:rsid w:val="00F46825"/>
    <w:rsid w:val="00F4705D"/>
    <w:rsid w:val="00F5312F"/>
    <w:rsid w:val="00F549FA"/>
    <w:rsid w:val="00F619B3"/>
    <w:rsid w:val="00F66F35"/>
    <w:rsid w:val="00F72631"/>
    <w:rsid w:val="00F738B6"/>
    <w:rsid w:val="00F7787D"/>
    <w:rsid w:val="00F84420"/>
    <w:rsid w:val="00F85556"/>
    <w:rsid w:val="00F85844"/>
    <w:rsid w:val="00F85978"/>
    <w:rsid w:val="00F86057"/>
    <w:rsid w:val="00F87DAC"/>
    <w:rsid w:val="00F91C47"/>
    <w:rsid w:val="00F9691C"/>
    <w:rsid w:val="00FA1F49"/>
    <w:rsid w:val="00FA71D9"/>
    <w:rsid w:val="00FB4443"/>
    <w:rsid w:val="00FB54C4"/>
    <w:rsid w:val="00FB591A"/>
    <w:rsid w:val="00FB6DA4"/>
    <w:rsid w:val="00FC0EB7"/>
    <w:rsid w:val="00FC3507"/>
    <w:rsid w:val="00FC55F2"/>
    <w:rsid w:val="00FC79C0"/>
    <w:rsid w:val="00FD5BF9"/>
    <w:rsid w:val="00FD6490"/>
    <w:rsid w:val="00FD6741"/>
    <w:rsid w:val="00FE0D58"/>
    <w:rsid w:val="00FE0F4C"/>
    <w:rsid w:val="00FE485F"/>
    <w:rsid w:val="00FE7938"/>
    <w:rsid w:val="00FE7B58"/>
    <w:rsid w:val="00FF051C"/>
    <w:rsid w:val="00FF360E"/>
    <w:rsid w:val="00FF4D85"/>
    <w:rsid w:val="00FF606E"/>
    <w:rsid w:val="00FF6A0B"/>
    <w:rsid w:val="01170C50"/>
    <w:rsid w:val="02181129"/>
    <w:rsid w:val="02301FCF"/>
    <w:rsid w:val="02E17E9E"/>
    <w:rsid w:val="03053DCE"/>
    <w:rsid w:val="03203A10"/>
    <w:rsid w:val="03FB2D21"/>
    <w:rsid w:val="04457767"/>
    <w:rsid w:val="04A22E02"/>
    <w:rsid w:val="04C5018D"/>
    <w:rsid w:val="04EB0D95"/>
    <w:rsid w:val="04F47E81"/>
    <w:rsid w:val="05986A13"/>
    <w:rsid w:val="060F3A4A"/>
    <w:rsid w:val="061F6067"/>
    <w:rsid w:val="06483445"/>
    <w:rsid w:val="06964B22"/>
    <w:rsid w:val="07930932"/>
    <w:rsid w:val="07BD32AE"/>
    <w:rsid w:val="08EB30F3"/>
    <w:rsid w:val="08FC6047"/>
    <w:rsid w:val="09E5695B"/>
    <w:rsid w:val="09FC30DE"/>
    <w:rsid w:val="0A00126B"/>
    <w:rsid w:val="0AF3003D"/>
    <w:rsid w:val="0B100B28"/>
    <w:rsid w:val="0B901AB9"/>
    <w:rsid w:val="0C6644A2"/>
    <w:rsid w:val="0C946592"/>
    <w:rsid w:val="0D3775A0"/>
    <w:rsid w:val="0D7731A8"/>
    <w:rsid w:val="0E345D11"/>
    <w:rsid w:val="0E9138F7"/>
    <w:rsid w:val="0E98703F"/>
    <w:rsid w:val="0F6459AD"/>
    <w:rsid w:val="0FFE1FF0"/>
    <w:rsid w:val="10423BF8"/>
    <w:rsid w:val="1070627D"/>
    <w:rsid w:val="117C5C73"/>
    <w:rsid w:val="126B7053"/>
    <w:rsid w:val="127E3CCA"/>
    <w:rsid w:val="132C45AD"/>
    <w:rsid w:val="141E52A3"/>
    <w:rsid w:val="14432BFF"/>
    <w:rsid w:val="14DC5872"/>
    <w:rsid w:val="14FE306E"/>
    <w:rsid w:val="15001470"/>
    <w:rsid w:val="15356919"/>
    <w:rsid w:val="157037DE"/>
    <w:rsid w:val="16046F51"/>
    <w:rsid w:val="164B255D"/>
    <w:rsid w:val="16647E4A"/>
    <w:rsid w:val="16AB7F58"/>
    <w:rsid w:val="174D0E99"/>
    <w:rsid w:val="17874D7F"/>
    <w:rsid w:val="17A85ABD"/>
    <w:rsid w:val="1829425B"/>
    <w:rsid w:val="18667052"/>
    <w:rsid w:val="193C13BA"/>
    <w:rsid w:val="19FE584A"/>
    <w:rsid w:val="1B9C68F3"/>
    <w:rsid w:val="1B9D7A21"/>
    <w:rsid w:val="1C99376E"/>
    <w:rsid w:val="1CA62A60"/>
    <w:rsid w:val="1CDD39BD"/>
    <w:rsid w:val="1DA84E04"/>
    <w:rsid w:val="1DBC3AA2"/>
    <w:rsid w:val="1E4A2DA7"/>
    <w:rsid w:val="1E936465"/>
    <w:rsid w:val="1EE6095F"/>
    <w:rsid w:val="1F030800"/>
    <w:rsid w:val="1F9F7B48"/>
    <w:rsid w:val="205454D1"/>
    <w:rsid w:val="20822C1F"/>
    <w:rsid w:val="210112AE"/>
    <w:rsid w:val="2193671F"/>
    <w:rsid w:val="21B72C03"/>
    <w:rsid w:val="227A2D76"/>
    <w:rsid w:val="23081F19"/>
    <w:rsid w:val="246A7069"/>
    <w:rsid w:val="25153B66"/>
    <w:rsid w:val="25184CAC"/>
    <w:rsid w:val="25DF1C60"/>
    <w:rsid w:val="266D3A35"/>
    <w:rsid w:val="266F4CD0"/>
    <w:rsid w:val="26E16C1F"/>
    <w:rsid w:val="270B3C67"/>
    <w:rsid w:val="27C60DA1"/>
    <w:rsid w:val="280E7B26"/>
    <w:rsid w:val="28480BD5"/>
    <w:rsid w:val="284E3897"/>
    <w:rsid w:val="2891501B"/>
    <w:rsid w:val="297063B6"/>
    <w:rsid w:val="2A884A35"/>
    <w:rsid w:val="2B936671"/>
    <w:rsid w:val="2C196AC1"/>
    <w:rsid w:val="2C65100D"/>
    <w:rsid w:val="2CAC4C18"/>
    <w:rsid w:val="2D6A70B7"/>
    <w:rsid w:val="2D852B69"/>
    <w:rsid w:val="2E5C3A70"/>
    <w:rsid w:val="2E7E1839"/>
    <w:rsid w:val="2E9D16D0"/>
    <w:rsid w:val="2EC1626D"/>
    <w:rsid w:val="2F8512FC"/>
    <w:rsid w:val="30015684"/>
    <w:rsid w:val="30663503"/>
    <w:rsid w:val="31172428"/>
    <w:rsid w:val="320F7272"/>
    <w:rsid w:val="32554D02"/>
    <w:rsid w:val="32AC2D08"/>
    <w:rsid w:val="33164B0C"/>
    <w:rsid w:val="33EA2CCB"/>
    <w:rsid w:val="33EE7FEF"/>
    <w:rsid w:val="34825D4B"/>
    <w:rsid w:val="34AB7CA8"/>
    <w:rsid w:val="34D7642D"/>
    <w:rsid w:val="35EF31E6"/>
    <w:rsid w:val="360016DD"/>
    <w:rsid w:val="36062F38"/>
    <w:rsid w:val="3725558D"/>
    <w:rsid w:val="38BB8403"/>
    <w:rsid w:val="38E2331B"/>
    <w:rsid w:val="38EE705B"/>
    <w:rsid w:val="398A3C83"/>
    <w:rsid w:val="3B64626A"/>
    <w:rsid w:val="3B846303"/>
    <w:rsid w:val="3BD03B57"/>
    <w:rsid w:val="3C9E2399"/>
    <w:rsid w:val="3CD016DD"/>
    <w:rsid w:val="3CE07B96"/>
    <w:rsid w:val="3D6407A3"/>
    <w:rsid w:val="3DD620E0"/>
    <w:rsid w:val="3EF7D5DA"/>
    <w:rsid w:val="3F650802"/>
    <w:rsid w:val="3F7A4FBA"/>
    <w:rsid w:val="402F009C"/>
    <w:rsid w:val="40B94B83"/>
    <w:rsid w:val="40FB5A2D"/>
    <w:rsid w:val="412A6640"/>
    <w:rsid w:val="413E159C"/>
    <w:rsid w:val="41661EC1"/>
    <w:rsid w:val="42245820"/>
    <w:rsid w:val="42F17592"/>
    <w:rsid w:val="435B43F6"/>
    <w:rsid w:val="43D163CE"/>
    <w:rsid w:val="440B25C0"/>
    <w:rsid w:val="4484172B"/>
    <w:rsid w:val="4484313B"/>
    <w:rsid w:val="44A91E74"/>
    <w:rsid w:val="44C37622"/>
    <w:rsid w:val="468772B0"/>
    <w:rsid w:val="469A3487"/>
    <w:rsid w:val="46B26ABF"/>
    <w:rsid w:val="47372ADF"/>
    <w:rsid w:val="47AA6950"/>
    <w:rsid w:val="47AB0749"/>
    <w:rsid w:val="47F60B91"/>
    <w:rsid w:val="48286871"/>
    <w:rsid w:val="49860D74"/>
    <w:rsid w:val="49AD5280"/>
    <w:rsid w:val="49C23CE0"/>
    <w:rsid w:val="4A0871FD"/>
    <w:rsid w:val="4A135135"/>
    <w:rsid w:val="4AB03C1B"/>
    <w:rsid w:val="4B4335EA"/>
    <w:rsid w:val="4B4E65EF"/>
    <w:rsid w:val="4B61433A"/>
    <w:rsid w:val="4B684E77"/>
    <w:rsid w:val="4B807781"/>
    <w:rsid w:val="4C3D0327"/>
    <w:rsid w:val="4C9F3E58"/>
    <w:rsid w:val="4CC977FF"/>
    <w:rsid w:val="4E191136"/>
    <w:rsid w:val="4ED432AF"/>
    <w:rsid w:val="5038161B"/>
    <w:rsid w:val="50850D3F"/>
    <w:rsid w:val="53557D4B"/>
    <w:rsid w:val="545F186C"/>
    <w:rsid w:val="546622A7"/>
    <w:rsid w:val="54EE7F37"/>
    <w:rsid w:val="55E6684F"/>
    <w:rsid w:val="56971EC3"/>
    <w:rsid w:val="57336D20"/>
    <w:rsid w:val="57376AD1"/>
    <w:rsid w:val="574B2012"/>
    <w:rsid w:val="57975CE2"/>
    <w:rsid w:val="587A015B"/>
    <w:rsid w:val="5991500E"/>
    <w:rsid w:val="5A78382B"/>
    <w:rsid w:val="5A886BED"/>
    <w:rsid w:val="5B3A6B8F"/>
    <w:rsid w:val="5B4921D8"/>
    <w:rsid w:val="5BC221D5"/>
    <w:rsid w:val="5C201473"/>
    <w:rsid w:val="5C441A74"/>
    <w:rsid w:val="5D3945BB"/>
    <w:rsid w:val="5D794F45"/>
    <w:rsid w:val="5E5A7535"/>
    <w:rsid w:val="5E77726E"/>
    <w:rsid w:val="5E880207"/>
    <w:rsid w:val="5EBE5984"/>
    <w:rsid w:val="5EDE1337"/>
    <w:rsid w:val="5EF204BC"/>
    <w:rsid w:val="5FB82473"/>
    <w:rsid w:val="5FEA0E9A"/>
    <w:rsid w:val="601205BD"/>
    <w:rsid w:val="6051790C"/>
    <w:rsid w:val="606D70BF"/>
    <w:rsid w:val="6073427B"/>
    <w:rsid w:val="608D2FCC"/>
    <w:rsid w:val="617B4ECB"/>
    <w:rsid w:val="62DE42A4"/>
    <w:rsid w:val="64191A38"/>
    <w:rsid w:val="64514E34"/>
    <w:rsid w:val="64BB6A9A"/>
    <w:rsid w:val="65A610A9"/>
    <w:rsid w:val="65B62BF6"/>
    <w:rsid w:val="66F422E5"/>
    <w:rsid w:val="66F95103"/>
    <w:rsid w:val="68441D23"/>
    <w:rsid w:val="693A32EC"/>
    <w:rsid w:val="69972904"/>
    <w:rsid w:val="6A333275"/>
    <w:rsid w:val="6A696346"/>
    <w:rsid w:val="6C506213"/>
    <w:rsid w:val="6D3D1A58"/>
    <w:rsid w:val="6DAA3B67"/>
    <w:rsid w:val="6E0D27C3"/>
    <w:rsid w:val="6E4B6C92"/>
    <w:rsid w:val="6E5C5C2F"/>
    <w:rsid w:val="6FB72105"/>
    <w:rsid w:val="6FD40C2C"/>
    <w:rsid w:val="6FEE3CF2"/>
    <w:rsid w:val="701A03E0"/>
    <w:rsid w:val="702F797E"/>
    <w:rsid w:val="704B12F7"/>
    <w:rsid w:val="70842792"/>
    <w:rsid w:val="70D32F6E"/>
    <w:rsid w:val="70DB74A5"/>
    <w:rsid w:val="71A1306D"/>
    <w:rsid w:val="71B20C4E"/>
    <w:rsid w:val="72A95E9B"/>
    <w:rsid w:val="73412411"/>
    <w:rsid w:val="73C9409F"/>
    <w:rsid w:val="73F5465E"/>
    <w:rsid w:val="73FE47A6"/>
    <w:rsid w:val="745C37F8"/>
    <w:rsid w:val="74B66A46"/>
    <w:rsid w:val="74ED679C"/>
    <w:rsid w:val="75EA6D90"/>
    <w:rsid w:val="75ED030A"/>
    <w:rsid w:val="76116A13"/>
    <w:rsid w:val="764861AD"/>
    <w:rsid w:val="76E50BA6"/>
    <w:rsid w:val="76F920BA"/>
    <w:rsid w:val="779D003A"/>
    <w:rsid w:val="789D2EC0"/>
    <w:rsid w:val="78CA5378"/>
    <w:rsid w:val="791D18C5"/>
    <w:rsid w:val="79660E24"/>
    <w:rsid w:val="79D71679"/>
    <w:rsid w:val="79FE0E72"/>
    <w:rsid w:val="7A542E1A"/>
    <w:rsid w:val="7AA604D9"/>
    <w:rsid w:val="7B936961"/>
    <w:rsid w:val="7C887453"/>
    <w:rsid w:val="7D2D35D5"/>
    <w:rsid w:val="7DAC4D9A"/>
    <w:rsid w:val="7E7139BC"/>
    <w:rsid w:val="7E8572CC"/>
    <w:rsid w:val="7F244904"/>
    <w:rsid w:val="7F4C461E"/>
    <w:rsid w:val="7F9C06E4"/>
    <w:rsid w:val="7FB556B4"/>
    <w:rsid w:val="9F9AF2F8"/>
    <w:rsid w:val="BD8D152F"/>
    <w:rsid w:val="DBFE8EDD"/>
    <w:rsid w:val="FA1B891B"/>
    <w:rsid w:val="FBFF215A"/>
    <w:rsid w:val="FF337A4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qFormat="1" w:unhideWhenUsed="0" w:uiPriority="0"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nhideWhenUsed="0"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qFormat="1" w:uiPriority="99" w:semiHidden="0"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line="360" w:lineRule="auto"/>
    </w:pPr>
    <w:rPr>
      <w:rFonts w:ascii="宋体" w:hAnsi="宋体" w:eastAsia="宋体" w:cs="宋体"/>
      <w:sz w:val="21"/>
      <w:szCs w:val="22"/>
      <w:lang w:val="en-US" w:eastAsia="en-US" w:bidi="ar-SA"/>
    </w:rPr>
  </w:style>
  <w:style w:type="paragraph" w:styleId="4">
    <w:name w:val="heading 1"/>
    <w:basedOn w:val="1"/>
    <w:next w:val="1"/>
    <w:link w:val="42"/>
    <w:qFormat/>
    <w:uiPriority w:val="1"/>
    <w:pPr>
      <w:ind w:left="1846" w:right="1919"/>
      <w:jc w:val="center"/>
      <w:outlineLvl w:val="0"/>
    </w:pPr>
    <w:rPr>
      <w:b/>
      <w:bCs/>
      <w:sz w:val="38"/>
      <w:szCs w:val="38"/>
    </w:rPr>
  </w:style>
  <w:style w:type="paragraph" w:styleId="5">
    <w:name w:val="heading 2"/>
    <w:basedOn w:val="1"/>
    <w:next w:val="1"/>
    <w:link w:val="43"/>
    <w:qFormat/>
    <w:uiPriority w:val="1"/>
    <w:pPr>
      <w:ind w:left="1852"/>
      <w:jc w:val="center"/>
      <w:outlineLvl w:val="1"/>
    </w:pPr>
    <w:rPr>
      <w:b/>
      <w:bCs/>
      <w:sz w:val="24"/>
      <w:szCs w:val="24"/>
    </w:rPr>
  </w:style>
  <w:style w:type="paragraph" w:styleId="6">
    <w:name w:val="heading 3"/>
    <w:basedOn w:val="1"/>
    <w:next w:val="1"/>
    <w:link w:val="50"/>
    <w:unhideWhenUsed/>
    <w:qFormat/>
    <w:uiPriority w:val="9"/>
    <w:pPr>
      <w:keepNext/>
      <w:keepLines/>
      <w:spacing w:before="260" w:after="260" w:line="416" w:lineRule="auto"/>
      <w:outlineLvl w:val="2"/>
    </w:pPr>
    <w:rPr>
      <w:b/>
      <w:bCs/>
      <w:sz w:val="32"/>
      <w:szCs w:val="32"/>
    </w:rPr>
  </w:style>
  <w:style w:type="paragraph" w:styleId="7">
    <w:name w:val="heading 4"/>
    <w:basedOn w:val="1"/>
    <w:next w:val="1"/>
    <w:link w:val="5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8">
    <w:name w:val="heading 5"/>
    <w:basedOn w:val="1"/>
    <w:next w:val="1"/>
    <w:link w:val="52"/>
    <w:unhideWhenUsed/>
    <w:qFormat/>
    <w:uiPriority w:val="9"/>
    <w:pPr>
      <w:keepNext/>
      <w:keepLines/>
      <w:spacing w:before="280" w:after="290" w:line="376" w:lineRule="auto"/>
      <w:outlineLvl w:val="4"/>
    </w:pPr>
    <w:rPr>
      <w:b/>
      <w:bCs/>
      <w:sz w:val="28"/>
      <w:szCs w:val="28"/>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44"/>
    <w:qFormat/>
    <w:uiPriority w:val="0"/>
    <w:rPr>
      <w:szCs w:val="19"/>
    </w:rPr>
  </w:style>
  <w:style w:type="paragraph" w:styleId="3">
    <w:name w:val="Title"/>
    <w:basedOn w:val="1"/>
    <w:next w:val="1"/>
    <w:qFormat/>
    <w:uiPriority w:val="0"/>
    <w:pPr>
      <w:spacing w:before="240" w:after="60"/>
      <w:jc w:val="center"/>
      <w:outlineLvl w:val="0"/>
    </w:pPr>
    <w:rPr>
      <w:rFonts w:ascii="等线 Light" w:hAnsi="等线 Light" w:eastAsia="等线 Light"/>
      <w:b/>
      <w:bCs/>
      <w:sz w:val="32"/>
      <w:szCs w:val="32"/>
    </w:rPr>
  </w:style>
  <w:style w:type="paragraph" w:styleId="9">
    <w:name w:val="toc 7"/>
    <w:basedOn w:val="1"/>
    <w:next w:val="1"/>
    <w:unhideWhenUsed/>
    <w:qFormat/>
    <w:uiPriority w:val="39"/>
    <w:pPr>
      <w:ind w:left="1320"/>
    </w:pPr>
    <w:rPr>
      <w:rFonts w:asciiTheme="minorHAnsi" w:eastAsiaTheme="minorHAnsi"/>
      <w:sz w:val="18"/>
      <w:szCs w:val="18"/>
    </w:rPr>
  </w:style>
  <w:style w:type="paragraph" w:styleId="10">
    <w:name w:val="Normal Indent"/>
    <w:basedOn w:val="1"/>
    <w:link w:val="72"/>
    <w:qFormat/>
    <w:uiPriority w:val="0"/>
    <w:pPr>
      <w:widowControl/>
      <w:adjustRightInd w:val="0"/>
      <w:ind w:firstLine="420"/>
      <w:textAlignment w:val="baseline"/>
    </w:pPr>
    <w:rPr>
      <w:rFonts w:ascii="文鼎CS中黑" w:hAnsi="Times New Roman" w:eastAsia="文鼎CS中黑" w:cs="Times New Roman"/>
      <w:sz w:val="34"/>
      <w:szCs w:val="20"/>
      <w:lang w:eastAsia="zh-CN"/>
    </w:rPr>
  </w:style>
  <w:style w:type="paragraph" w:styleId="11">
    <w:name w:val="annotation text"/>
    <w:basedOn w:val="1"/>
    <w:link w:val="53"/>
    <w:qFormat/>
    <w:uiPriority w:val="99"/>
  </w:style>
  <w:style w:type="paragraph" w:styleId="12">
    <w:name w:val="Body Text Indent"/>
    <w:basedOn w:val="1"/>
    <w:next w:val="13"/>
    <w:link w:val="45"/>
    <w:unhideWhenUsed/>
    <w:qFormat/>
    <w:uiPriority w:val="99"/>
    <w:pPr>
      <w:spacing w:after="120"/>
      <w:ind w:left="420" w:leftChars="200"/>
    </w:pPr>
  </w:style>
  <w:style w:type="paragraph" w:styleId="13">
    <w:name w:val="envelope return"/>
    <w:basedOn w:val="1"/>
    <w:unhideWhenUsed/>
    <w:qFormat/>
    <w:uiPriority w:val="99"/>
    <w:pPr>
      <w:snapToGrid w:val="0"/>
    </w:pPr>
    <w:rPr>
      <w:rFonts w:ascii="Arial" w:hAnsi="Arial"/>
    </w:rPr>
  </w:style>
  <w:style w:type="paragraph" w:styleId="14">
    <w:name w:val="toc 5"/>
    <w:basedOn w:val="1"/>
    <w:next w:val="1"/>
    <w:unhideWhenUsed/>
    <w:qFormat/>
    <w:uiPriority w:val="39"/>
    <w:pPr>
      <w:ind w:left="880"/>
    </w:pPr>
    <w:rPr>
      <w:rFonts w:asciiTheme="minorHAnsi" w:eastAsiaTheme="minorHAnsi"/>
      <w:sz w:val="18"/>
      <w:szCs w:val="18"/>
    </w:rPr>
  </w:style>
  <w:style w:type="paragraph" w:styleId="15">
    <w:name w:val="toc 3"/>
    <w:basedOn w:val="1"/>
    <w:next w:val="1"/>
    <w:unhideWhenUsed/>
    <w:qFormat/>
    <w:uiPriority w:val="39"/>
    <w:pPr>
      <w:ind w:left="440"/>
    </w:pPr>
    <w:rPr>
      <w:rFonts w:asciiTheme="minorHAnsi" w:eastAsiaTheme="minorHAnsi"/>
      <w:i/>
      <w:iCs/>
      <w:sz w:val="20"/>
      <w:szCs w:val="20"/>
    </w:rPr>
  </w:style>
  <w:style w:type="paragraph" w:styleId="16">
    <w:name w:val="Plain Text"/>
    <w:basedOn w:val="1"/>
    <w:next w:val="17"/>
    <w:link w:val="74"/>
    <w:qFormat/>
    <w:uiPriority w:val="99"/>
    <w:pPr>
      <w:widowControl/>
      <w:autoSpaceDE/>
      <w:autoSpaceDN/>
    </w:pPr>
    <w:rPr>
      <w:rFonts w:ascii="文鼎CS中黑" w:hAnsi="等线" w:eastAsia="文鼎CS中黑" w:cs="等线"/>
      <w:kern w:val="2"/>
      <w:szCs w:val="21"/>
      <w:lang w:eastAsia="zh-CN"/>
    </w:rPr>
  </w:style>
  <w:style w:type="paragraph" w:styleId="17">
    <w:name w:val="index 9"/>
    <w:basedOn w:val="1"/>
    <w:next w:val="1"/>
    <w:qFormat/>
    <w:uiPriority w:val="0"/>
    <w:pPr>
      <w:widowControl w:val="0"/>
      <w:ind w:left="3360"/>
      <w:jc w:val="both"/>
    </w:pPr>
    <w:rPr>
      <w:rFonts w:ascii="Calibri" w:hAnsi="Calibri" w:eastAsia="宋体" w:cs="等线"/>
      <w:kern w:val="2"/>
      <w:sz w:val="21"/>
      <w:szCs w:val="21"/>
      <w:lang w:val="en-US" w:eastAsia="zh-CN" w:bidi="ar-SA"/>
    </w:rPr>
  </w:style>
  <w:style w:type="paragraph" w:styleId="18">
    <w:name w:val="toc 8"/>
    <w:basedOn w:val="1"/>
    <w:next w:val="1"/>
    <w:unhideWhenUsed/>
    <w:qFormat/>
    <w:uiPriority w:val="39"/>
    <w:pPr>
      <w:ind w:left="1540"/>
    </w:pPr>
    <w:rPr>
      <w:rFonts w:asciiTheme="minorHAnsi" w:eastAsiaTheme="minorHAnsi"/>
      <w:sz w:val="18"/>
      <w:szCs w:val="18"/>
    </w:rPr>
  </w:style>
  <w:style w:type="paragraph" w:styleId="19">
    <w:name w:val="Balloon Text"/>
    <w:basedOn w:val="1"/>
    <w:link w:val="47"/>
    <w:unhideWhenUsed/>
    <w:qFormat/>
    <w:uiPriority w:val="99"/>
    <w:rPr>
      <w:sz w:val="18"/>
      <w:szCs w:val="18"/>
    </w:rPr>
  </w:style>
  <w:style w:type="paragraph" w:styleId="20">
    <w:name w:val="footer"/>
    <w:basedOn w:val="1"/>
    <w:link w:val="49"/>
    <w:unhideWhenUsed/>
    <w:qFormat/>
    <w:uiPriority w:val="99"/>
    <w:pPr>
      <w:tabs>
        <w:tab w:val="center" w:pos="4153"/>
        <w:tab w:val="right" w:pos="8306"/>
      </w:tabs>
      <w:snapToGrid w:val="0"/>
    </w:pPr>
    <w:rPr>
      <w:sz w:val="18"/>
      <w:szCs w:val="18"/>
    </w:rPr>
  </w:style>
  <w:style w:type="paragraph" w:styleId="21">
    <w:name w:val="header"/>
    <w:basedOn w:val="1"/>
    <w:link w:val="48"/>
    <w:unhideWhenUsed/>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unhideWhenUsed/>
    <w:qFormat/>
    <w:uiPriority w:val="39"/>
    <w:rPr>
      <w:bCs/>
      <w:caps/>
      <w:szCs w:val="20"/>
    </w:rPr>
  </w:style>
  <w:style w:type="paragraph" w:styleId="23">
    <w:name w:val="toc 4"/>
    <w:basedOn w:val="1"/>
    <w:next w:val="1"/>
    <w:unhideWhenUsed/>
    <w:qFormat/>
    <w:uiPriority w:val="39"/>
    <w:pPr>
      <w:ind w:left="660"/>
    </w:pPr>
    <w:rPr>
      <w:rFonts w:asciiTheme="minorHAnsi" w:eastAsiaTheme="minorHAnsi"/>
      <w:sz w:val="18"/>
      <w:szCs w:val="18"/>
    </w:rPr>
  </w:style>
  <w:style w:type="paragraph" w:styleId="24">
    <w:name w:val="toc 6"/>
    <w:basedOn w:val="1"/>
    <w:next w:val="1"/>
    <w:unhideWhenUsed/>
    <w:qFormat/>
    <w:uiPriority w:val="39"/>
    <w:pPr>
      <w:ind w:left="1100"/>
    </w:pPr>
    <w:rPr>
      <w:rFonts w:asciiTheme="minorHAnsi" w:eastAsiaTheme="minorHAnsi"/>
      <w:sz w:val="18"/>
      <w:szCs w:val="18"/>
    </w:rPr>
  </w:style>
  <w:style w:type="paragraph" w:styleId="25">
    <w:name w:val="Body Text Indent 3"/>
    <w:basedOn w:val="1"/>
    <w:link w:val="68"/>
    <w:unhideWhenUsed/>
    <w:qFormat/>
    <w:uiPriority w:val="99"/>
    <w:pPr>
      <w:spacing w:after="120"/>
      <w:ind w:left="420" w:leftChars="200"/>
    </w:pPr>
    <w:rPr>
      <w:sz w:val="16"/>
      <w:szCs w:val="16"/>
    </w:rPr>
  </w:style>
  <w:style w:type="paragraph" w:styleId="26">
    <w:name w:val="toc 2"/>
    <w:basedOn w:val="27"/>
    <w:next w:val="1"/>
    <w:unhideWhenUsed/>
    <w:qFormat/>
    <w:uiPriority w:val="39"/>
    <w:pPr>
      <w:tabs>
        <w:tab w:val="right" w:leader="dot" w:pos="9736"/>
      </w:tabs>
      <w:spacing w:line="360" w:lineRule="auto"/>
      <w:ind w:left="221" w:firstLine="0" w:firstLineChars="0"/>
    </w:pPr>
    <w:rPr>
      <w:rFonts w:eastAsia="宋体" w:asciiTheme="minorAscii" w:hAnsiTheme="minorAscii"/>
      <w:smallCaps/>
      <w:sz w:val="21"/>
      <w:szCs w:val="21"/>
      <w:lang w:eastAsia="en-US"/>
    </w:rPr>
  </w:style>
  <w:style w:type="paragraph" w:customStyle="1" w:styleId="27">
    <w:name w:val="B"/>
    <w:basedOn w:val="2"/>
    <w:link w:val="57"/>
    <w:qFormat/>
    <w:uiPriority w:val="1"/>
    <w:pPr>
      <w:ind w:firstLine="480" w:firstLineChars="200"/>
    </w:pPr>
    <w:rPr>
      <w:sz w:val="24"/>
      <w:szCs w:val="24"/>
      <w:lang w:eastAsia="zh-CN"/>
    </w:rPr>
  </w:style>
  <w:style w:type="paragraph" w:styleId="28">
    <w:name w:val="toc 9"/>
    <w:basedOn w:val="1"/>
    <w:next w:val="1"/>
    <w:unhideWhenUsed/>
    <w:qFormat/>
    <w:uiPriority w:val="39"/>
    <w:pPr>
      <w:ind w:left="1760"/>
    </w:pPr>
    <w:rPr>
      <w:rFonts w:asciiTheme="minorHAnsi" w:eastAsiaTheme="minorHAnsi"/>
      <w:sz w:val="18"/>
      <w:szCs w:val="18"/>
    </w:rPr>
  </w:style>
  <w:style w:type="paragraph" w:styleId="29">
    <w:name w:val="Normal (Web)"/>
    <w:basedOn w:val="1"/>
    <w:unhideWhenUsed/>
    <w:qFormat/>
    <w:uiPriority w:val="99"/>
    <w:pPr>
      <w:widowControl/>
      <w:autoSpaceDE/>
      <w:autoSpaceDN/>
      <w:spacing w:before="100" w:beforeAutospacing="1" w:after="100" w:afterAutospacing="1" w:line="240" w:lineRule="auto"/>
    </w:pPr>
    <w:rPr>
      <w:sz w:val="24"/>
      <w:szCs w:val="24"/>
      <w:lang w:eastAsia="zh-CN"/>
    </w:rPr>
  </w:style>
  <w:style w:type="paragraph" w:styleId="30">
    <w:name w:val="index 1"/>
    <w:basedOn w:val="1"/>
    <w:next w:val="1"/>
    <w:qFormat/>
    <w:uiPriority w:val="0"/>
    <w:pPr>
      <w:widowControl/>
      <w:autoSpaceDE/>
      <w:autoSpaceDN/>
      <w:jc w:val="both"/>
    </w:pPr>
    <w:rPr>
      <w:rFonts w:ascii="Courier New" w:hAnsi="Courier New" w:cs="Times New Roman"/>
      <w:kern w:val="2"/>
      <w:szCs w:val="24"/>
      <w:lang w:eastAsia="zh-CN"/>
    </w:rPr>
  </w:style>
  <w:style w:type="paragraph" w:styleId="31">
    <w:name w:val="annotation subject"/>
    <w:basedOn w:val="11"/>
    <w:next w:val="11"/>
    <w:link w:val="58"/>
    <w:unhideWhenUsed/>
    <w:qFormat/>
    <w:uiPriority w:val="99"/>
    <w:rPr>
      <w:b/>
      <w:bCs/>
    </w:rPr>
  </w:style>
  <w:style w:type="paragraph" w:styleId="32">
    <w:name w:val="Body Text First Indent"/>
    <w:basedOn w:val="2"/>
    <w:qFormat/>
    <w:uiPriority w:val="0"/>
    <w:pPr>
      <w:spacing w:after="120" w:line="240" w:lineRule="auto"/>
      <w:ind w:firstLine="420" w:firstLineChars="100"/>
    </w:pPr>
    <w:rPr>
      <w:rFonts w:ascii="Times New Roman" w:hAnsi="Times New Roman" w:cs="Times New Roman"/>
    </w:rPr>
  </w:style>
  <w:style w:type="paragraph" w:styleId="33">
    <w:name w:val="Body Text First Indent 2"/>
    <w:basedOn w:val="12"/>
    <w:link w:val="65"/>
    <w:unhideWhenUsed/>
    <w:qFormat/>
    <w:uiPriority w:val="99"/>
    <w:pPr>
      <w:ind w:firstLine="420" w:firstLineChars="200"/>
    </w:pPr>
  </w:style>
  <w:style w:type="table" w:styleId="35">
    <w:name w:val="Table Grid"/>
    <w:basedOn w:val="3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basedOn w:val="36"/>
    <w:qFormat/>
    <w:uiPriority w:val="22"/>
    <w:rPr>
      <w:b/>
    </w:rPr>
  </w:style>
  <w:style w:type="character" w:styleId="38">
    <w:name w:val="Emphasis"/>
    <w:basedOn w:val="36"/>
    <w:qFormat/>
    <w:uiPriority w:val="20"/>
    <w:rPr>
      <w:i/>
    </w:rPr>
  </w:style>
  <w:style w:type="character" w:styleId="39">
    <w:name w:val="Hyperlink"/>
    <w:qFormat/>
    <w:uiPriority w:val="99"/>
    <w:rPr>
      <w:color w:val="333333"/>
      <w:u w:val="none"/>
    </w:rPr>
  </w:style>
  <w:style w:type="character" w:styleId="40">
    <w:name w:val="annotation reference"/>
    <w:basedOn w:val="36"/>
    <w:unhideWhenUsed/>
    <w:qFormat/>
    <w:uiPriority w:val="99"/>
    <w:rPr>
      <w:sz w:val="21"/>
      <w:szCs w:val="21"/>
    </w:rPr>
  </w:style>
  <w:style w:type="paragraph" w:customStyle="1" w:styleId="41">
    <w:name w:val="_Style 2"/>
    <w:basedOn w:val="1"/>
    <w:next w:val="1"/>
    <w:qFormat/>
    <w:uiPriority w:val="0"/>
    <w:pPr>
      <w:ind w:firstLine="420" w:firstLineChars="200"/>
    </w:pPr>
  </w:style>
  <w:style w:type="character" w:customStyle="1" w:styleId="42">
    <w:name w:val="标题 1 字符"/>
    <w:basedOn w:val="36"/>
    <w:link w:val="4"/>
    <w:qFormat/>
    <w:uiPriority w:val="1"/>
    <w:rPr>
      <w:rFonts w:ascii="宋体" w:hAnsi="宋体" w:eastAsia="宋体" w:cs="宋体"/>
      <w:b/>
      <w:bCs/>
      <w:kern w:val="0"/>
      <w:sz w:val="38"/>
      <w:szCs w:val="38"/>
      <w:lang w:eastAsia="en-US"/>
    </w:rPr>
  </w:style>
  <w:style w:type="character" w:customStyle="1" w:styleId="43">
    <w:name w:val="标题 2 字符"/>
    <w:basedOn w:val="36"/>
    <w:link w:val="5"/>
    <w:qFormat/>
    <w:uiPriority w:val="1"/>
    <w:rPr>
      <w:rFonts w:ascii="宋体" w:hAnsi="宋体" w:eastAsia="宋体" w:cs="宋体"/>
      <w:b/>
      <w:bCs/>
      <w:kern w:val="0"/>
      <w:sz w:val="24"/>
      <w:szCs w:val="24"/>
      <w:lang w:eastAsia="en-US"/>
    </w:rPr>
  </w:style>
  <w:style w:type="character" w:customStyle="1" w:styleId="44">
    <w:name w:val="正文文本 字符"/>
    <w:basedOn w:val="36"/>
    <w:link w:val="2"/>
    <w:qFormat/>
    <w:uiPriority w:val="0"/>
    <w:rPr>
      <w:rFonts w:ascii="宋体" w:hAnsi="宋体" w:cs="宋体"/>
      <w:sz w:val="21"/>
      <w:szCs w:val="19"/>
      <w:lang w:eastAsia="en-US"/>
    </w:rPr>
  </w:style>
  <w:style w:type="character" w:customStyle="1" w:styleId="45">
    <w:name w:val="正文文本缩进 字符"/>
    <w:basedOn w:val="36"/>
    <w:link w:val="12"/>
    <w:semiHidden/>
    <w:qFormat/>
    <w:uiPriority w:val="99"/>
    <w:rPr>
      <w:rFonts w:ascii="宋体" w:hAnsi="宋体" w:eastAsia="宋体" w:cs="宋体"/>
      <w:kern w:val="0"/>
      <w:sz w:val="22"/>
      <w:lang w:eastAsia="en-US"/>
    </w:rPr>
  </w:style>
  <w:style w:type="character" w:customStyle="1" w:styleId="46">
    <w:name w:val="正文文本首行缩进 2 字符"/>
    <w:basedOn w:val="45"/>
    <w:qFormat/>
    <w:uiPriority w:val="99"/>
    <w:rPr>
      <w:rFonts w:ascii="宋体" w:hAnsi="宋体" w:eastAsia="宋体" w:cs="宋体"/>
      <w:kern w:val="0"/>
      <w:sz w:val="22"/>
      <w:lang w:eastAsia="en-US"/>
    </w:rPr>
  </w:style>
  <w:style w:type="character" w:customStyle="1" w:styleId="47">
    <w:name w:val="批注框文本 字符"/>
    <w:basedOn w:val="36"/>
    <w:link w:val="19"/>
    <w:semiHidden/>
    <w:qFormat/>
    <w:uiPriority w:val="99"/>
    <w:rPr>
      <w:rFonts w:ascii="宋体" w:hAnsi="宋体" w:eastAsia="宋体" w:cs="宋体"/>
      <w:kern w:val="0"/>
      <w:sz w:val="18"/>
      <w:szCs w:val="18"/>
      <w:lang w:eastAsia="en-US"/>
    </w:rPr>
  </w:style>
  <w:style w:type="character" w:customStyle="1" w:styleId="48">
    <w:name w:val="页眉 字符"/>
    <w:basedOn w:val="36"/>
    <w:link w:val="21"/>
    <w:qFormat/>
    <w:uiPriority w:val="0"/>
    <w:rPr>
      <w:rFonts w:ascii="宋体" w:hAnsi="宋体" w:eastAsia="宋体" w:cs="宋体"/>
      <w:kern w:val="0"/>
      <w:sz w:val="18"/>
      <w:szCs w:val="18"/>
      <w:lang w:eastAsia="en-US"/>
    </w:rPr>
  </w:style>
  <w:style w:type="character" w:customStyle="1" w:styleId="49">
    <w:name w:val="页脚 字符"/>
    <w:basedOn w:val="36"/>
    <w:link w:val="20"/>
    <w:qFormat/>
    <w:uiPriority w:val="99"/>
    <w:rPr>
      <w:rFonts w:ascii="宋体" w:hAnsi="宋体" w:eastAsia="宋体" w:cs="宋体"/>
      <w:kern w:val="0"/>
      <w:sz w:val="18"/>
      <w:szCs w:val="18"/>
      <w:lang w:eastAsia="en-US"/>
    </w:rPr>
  </w:style>
  <w:style w:type="character" w:customStyle="1" w:styleId="50">
    <w:name w:val="标题 3 字符"/>
    <w:basedOn w:val="36"/>
    <w:link w:val="6"/>
    <w:semiHidden/>
    <w:qFormat/>
    <w:uiPriority w:val="9"/>
    <w:rPr>
      <w:rFonts w:ascii="宋体" w:hAnsi="宋体" w:eastAsia="宋体" w:cs="宋体"/>
      <w:b/>
      <w:bCs/>
      <w:kern w:val="0"/>
      <w:sz w:val="32"/>
      <w:szCs w:val="32"/>
      <w:lang w:eastAsia="en-US"/>
    </w:rPr>
  </w:style>
  <w:style w:type="character" w:customStyle="1" w:styleId="51">
    <w:name w:val="标题 4 字符"/>
    <w:basedOn w:val="36"/>
    <w:link w:val="7"/>
    <w:semiHidden/>
    <w:qFormat/>
    <w:uiPriority w:val="9"/>
    <w:rPr>
      <w:rFonts w:asciiTheme="majorHAnsi" w:hAnsiTheme="majorHAnsi" w:eastAsiaTheme="majorEastAsia" w:cstheme="majorBidi"/>
      <w:b/>
      <w:bCs/>
      <w:kern w:val="0"/>
      <w:sz w:val="28"/>
      <w:szCs w:val="28"/>
      <w:lang w:eastAsia="en-US"/>
    </w:rPr>
  </w:style>
  <w:style w:type="character" w:customStyle="1" w:styleId="52">
    <w:name w:val="标题 5 字符"/>
    <w:basedOn w:val="36"/>
    <w:link w:val="8"/>
    <w:qFormat/>
    <w:uiPriority w:val="9"/>
    <w:rPr>
      <w:rFonts w:ascii="宋体" w:hAnsi="宋体" w:eastAsia="宋体" w:cs="宋体"/>
      <w:b/>
      <w:bCs/>
      <w:kern w:val="0"/>
      <w:sz w:val="28"/>
      <w:szCs w:val="28"/>
      <w:lang w:eastAsia="en-US"/>
    </w:rPr>
  </w:style>
  <w:style w:type="character" w:customStyle="1" w:styleId="53">
    <w:name w:val="批注文字 字符"/>
    <w:basedOn w:val="36"/>
    <w:link w:val="11"/>
    <w:qFormat/>
    <w:uiPriority w:val="99"/>
    <w:rPr>
      <w:rFonts w:ascii="宋体" w:hAnsi="宋体" w:eastAsia="宋体" w:cs="宋体"/>
      <w:kern w:val="0"/>
      <w:sz w:val="22"/>
      <w:lang w:eastAsia="en-US"/>
    </w:rPr>
  </w:style>
  <w:style w:type="paragraph" w:customStyle="1" w:styleId="54">
    <w:name w:val="Table Paragraph"/>
    <w:basedOn w:val="1"/>
    <w:qFormat/>
    <w:uiPriority w:val="0"/>
  </w:style>
  <w:style w:type="paragraph" w:customStyle="1" w:styleId="55">
    <w:name w:val="A"/>
    <w:basedOn w:val="1"/>
    <w:link w:val="56"/>
    <w:qFormat/>
    <w:uiPriority w:val="1"/>
    <w:rPr>
      <w:b/>
      <w:bCs/>
      <w:sz w:val="24"/>
      <w:szCs w:val="24"/>
    </w:rPr>
  </w:style>
  <w:style w:type="character" w:customStyle="1" w:styleId="56">
    <w:name w:val="A 字符"/>
    <w:basedOn w:val="36"/>
    <w:link w:val="55"/>
    <w:qFormat/>
    <w:uiPriority w:val="1"/>
    <w:rPr>
      <w:rFonts w:ascii="宋体" w:hAnsi="宋体" w:eastAsia="宋体" w:cs="宋体"/>
      <w:b/>
      <w:bCs/>
      <w:kern w:val="0"/>
      <w:sz w:val="24"/>
      <w:szCs w:val="24"/>
      <w:lang w:eastAsia="en-US"/>
    </w:rPr>
  </w:style>
  <w:style w:type="character" w:customStyle="1" w:styleId="57">
    <w:name w:val="B 字符"/>
    <w:basedOn w:val="44"/>
    <w:link w:val="27"/>
    <w:qFormat/>
    <w:uiPriority w:val="1"/>
    <w:rPr>
      <w:rFonts w:ascii="宋体" w:hAnsi="宋体" w:eastAsia="宋体" w:cs="宋体"/>
      <w:kern w:val="0"/>
      <w:sz w:val="24"/>
      <w:szCs w:val="24"/>
      <w:lang w:eastAsia="en-US"/>
    </w:rPr>
  </w:style>
  <w:style w:type="character" w:customStyle="1" w:styleId="58">
    <w:name w:val="批注主题 字符"/>
    <w:basedOn w:val="53"/>
    <w:link w:val="31"/>
    <w:semiHidden/>
    <w:qFormat/>
    <w:uiPriority w:val="99"/>
    <w:rPr>
      <w:rFonts w:ascii="宋体" w:hAnsi="宋体" w:eastAsia="宋体" w:cs="宋体"/>
      <w:b/>
      <w:bCs/>
      <w:kern w:val="0"/>
      <w:sz w:val="22"/>
      <w:lang w:eastAsia="en-US"/>
    </w:rPr>
  </w:style>
  <w:style w:type="character" w:customStyle="1" w:styleId="59">
    <w:name w:val="未处理的提及1"/>
    <w:basedOn w:val="36"/>
    <w:unhideWhenUsed/>
    <w:qFormat/>
    <w:uiPriority w:val="99"/>
    <w:rPr>
      <w:color w:val="605E5C"/>
      <w:shd w:val="clear" w:color="auto" w:fill="E1DFDD"/>
    </w:rPr>
  </w:style>
  <w:style w:type="paragraph" w:customStyle="1" w:styleId="60">
    <w:name w:val="C"/>
    <w:basedOn w:val="55"/>
    <w:link w:val="61"/>
    <w:qFormat/>
    <w:uiPriority w:val="1"/>
    <w:pPr>
      <w:outlineLvl w:val="1"/>
    </w:pPr>
  </w:style>
  <w:style w:type="character" w:customStyle="1" w:styleId="61">
    <w:name w:val="C 字符"/>
    <w:basedOn w:val="56"/>
    <w:link w:val="60"/>
    <w:qFormat/>
    <w:uiPriority w:val="1"/>
    <w:rPr>
      <w:rFonts w:ascii="宋体" w:hAnsi="宋体" w:eastAsia="宋体" w:cs="宋体"/>
      <w:kern w:val="0"/>
      <w:sz w:val="24"/>
      <w:szCs w:val="24"/>
      <w:lang w:eastAsia="en-US"/>
    </w:rPr>
  </w:style>
  <w:style w:type="paragraph" w:customStyle="1" w:styleId="62">
    <w:name w:val="D"/>
    <w:basedOn w:val="27"/>
    <w:link w:val="64"/>
    <w:qFormat/>
    <w:uiPriority w:val="1"/>
    <w:pPr>
      <w:ind w:firstLine="0" w:firstLineChars="0"/>
      <w:jc w:val="both"/>
      <w:outlineLvl w:val="2"/>
    </w:pPr>
    <w:rPr>
      <w:b/>
      <w:bCs/>
    </w:rPr>
  </w:style>
  <w:style w:type="paragraph" w:customStyle="1" w:styleId="63">
    <w:name w:val="正文1"/>
    <w:qFormat/>
    <w:uiPriority w:val="0"/>
    <w:pPr>
      <w:jc w:val="both"/>
    </w:pPr>
    <w:rPr>
      <w:rFonts w:ascii="Calibri" w:hAnsi="Calibri" w:eastAsia="宋体" w:cs="Calibri"/>
      <w:kern w:val="2"/>
      <w:sz w:val="21"/>
      <w:szCs w:val="21"/>
      <w:lang w:val="en-US" w:eastAsia="zh-CN" w:bidi="ar-SA"/>
    </w:rPr>
  </w:style>
  <w:style w:type="character" w:customStyle="1" w:styleId="64">
    <w:name w:val="D 字符"/>
    <w:basedOn w:val="57"/>
    <w:link w:val="62"/>
    <w:qFormat/>
    <w:uiPriority w:val="1"/>
    <w:rPr>
      <w:rFonts w:ascii="宋体" w:hAnsi="宋体" w:eastAsia="宋体" w:cs="宋体"/>
      <w:b/>
      <w:bCs/>
      <w:kern w:val="0"/>
      <w:sz w:val="24"/>
      <w:szCs w:val="24"/>
      <w:lang w:eastAsia="en-US"/>
    </w:rPr>
  </w:style>
  <w:style w:type="character" w:customStyle="1" w:styleId="65">
    <w:name w:val="正文文本首行缩进 2 字符1"/>
    <w:link w:val="33"/>
    <w:qFormat/>
    <w:uiPriority w:val="99"/>
    <w:rPr>
      <w:kern w:val="2"/>
      <w:sz w:val="21"/>
      <w:szCs w:val="24"/>
    </w:rPr>
  </w:style>
  <w:style w:type="paragraph" w:styleId="66">
    <w:name w:val="List Paragraph"/>
    <w:basedOn w:val="1"/>
    <w:link w:val="76"/>
    <w:qFormat/>
    <w:uiPriority w:val="1"/>
    <w:pPr>
      <w:ind w:firstLine="420" w:firstLineChars="200"/>
    </w:pPr>
  </w:style>
  <w:style w:type="character" w:customStyle="1" w:styleId="67">
    <w:name w:val="未处理的提及2"/>
    <w:basedOn w:val="36"/>
    <w:semiHidden/>
    <w:unhideWhenUsed/>
    <w:qFormat/>
    <w:uiPriority w:val="99"/>
    <w:rPr>
      <w:color w:val="605E5C"/>
      <w:shd w:val="clear" w:color="auto" w:fill="E1DFDD"/>
    </w:rPr>
  </w:style>
  <w:style w:type="character" w:customStyle="1" w:styleId="68">
    <w:name w:val="正文文本缩进 3 字符"/>
    <w:basedOn w:val="36"/>
    <w:link w:val="25"/>
    <w:qFormat/>
    <w:uiPriority w:val="99"/>
    <w:rPr>
      <w:rFonts w:ascii="宋体" w:hAnsi="宋体" w:cs="宋体"/>
      <w:sz w:val="16"/>
      <w:szCs w:val="16"/>
      <w:lang w:eastAsia="en-US"/>
    </w:rPr>
  </w:style>
  <w:style w:type="character" w:customStyle="1" w:styleId="69">
    <w:name w:val="页脚 字符1"/>
    <w:qFormat/>
    <w:uiPriority w:val="99"/>
    <w:rPr>
      <w:rFonts w:eastAsia="Courier New"/>
      <w:kern w:val="2"/>
      <w:sz w:val="18"/>
      <w:szCs w:val="18"/>
    </w:rPr>
  </w:style>
  <w:style w:type="paragraph" w:customStyle="1" w:styleId="70">
    <w:name w:val="Default"/>
    <w:qFormat/>
    <w:uiPriority w:val="0"/>
    <w:pPr>
      <w:widowControl w:val="0"/>
      <w:autoSpaceDE w:val="0"/>
      <w:autoSpaceDN w:val="0"/>
      <w:adjustRightInd w:val="0"/>
    </w:pPr>
    <w:rPr>
      <w:rFonts w:ascii="Wingdings" w:hAnsi="Wingdings" w:eastAsia="宋体" w:cs="Wingdings"/>
      <w:color w:val="000000"/>
      <w:sz w:val="24"/>
      <w:szCs w:val="24"/>
      <w:lang w:val="en-US" w:eastAsia="zh-CN" w:bidi="ar-SA"/>
    </w:rPr>
  </w:style>
  <w:style w:type="paragraph" w:customStyle="1" w:styleId="71">
    <w:name w:val="TOC 标题1"/>
    <w:basedOn w:val="4"/>
    <w:next w:val="1"/>
    <w:unhideWhenUsed/>
    <w:qFormat/>
    <w:uiPriority w:val="39"/>
    <w:pPr>
      <w:keepNext/>
      <w:keepLines/>
      <w:widowControl/>
      <w:autoSpaceDE/>
      <w:autoSpaceDN/>
      <w:spacing w:before="240" w:line="259" w:lineRule="auto"/>
      <w:ind w:left="0" w:right="0"/>
      <w:jc w:val="left"/>
      <w:outlineLvl w:val="9"/>
    </w:pPr>
    <w:rPr>
      <w:rFonts w:asciiTheme="majorHAnsi" w:hAnsiTheme="majorHAnsi" w:eastAsiaTheme="majorEastAsia" w:cstheme="majorBidi"/>
      <w:b w:val="0"/>
      <w:bCs w:val="0"/>
      <w:color w:val="2F5597" w:themeColor="accent1" w:themeShade="BF"/>
      <w:sz w:val="32"/>
      <w:szCs w:val="32"/>
      <w:lang w:eastAsia="zh-CN"/>
    </w:rPr>
  </w:style>
  <w:style w:type="character" w:customStyle="1" w:styleId="72">
    <w:name w:val="正文缩进 字符"/>
    <w:link w:val="10"/>
    <w:qFormat/>
    <w:uiPriority w:val="0"/>
    <w:rPr>
      <w:rFonts w:ascii="文鼎CS中黑" w:eastAsia="文鼎CS中黑"/>
      <w:sz w:val="34"/>
    </w:rPr>
  </w:style>
  <w:style w:type="paragraph" w:customStyle="1" w:styleId="73">
    <w:name w:val="_Style 3"/>
    <w:basedOn w:val="1"/>
    <w:next w:val="66"/>
    <w:qFormat/>
    <w:uiPriority w:val="34"/>
    <w:pPr>
      <w:widowControl/>
      <w:autoSpaceDE/>
      <w:autoSpaceDN/>
      <w:spacing w:line="240" w:lineRule="atLeast"/>
      <w:ind w:firstLine="420" w:firstLineChars="200"/>
    </w:pPr>
    <w:rPr>
      <w:rFonts w:ascii="仿宋体" w:hAnsi="仿宋体" w:eastAsia="Arial" w:cs="Arial"/>
      <w:sz w:val="24"/>
      <w:szCs w:val="24"/>
      <w:lang w:eastAsia="zh-CN"/>
    </w:rPr>
  </w:style>
  <w:style w:type="character" w:customStyle="1" w:styleId="74">
    <w:name w:val="纯文本 字符1"/>
    <w:link w:val="16"/>
    <w:qFormat/>
    <w:uiPriority w:val="99"/>
    <w:rPr>
      <w:rFonts w:ascii="文鼎CS中黑" w:hAnsi="等线" w:eastAsia="文鼎CS中黑" w:cs="等线"/>
      <w:kern w:val="2"/>
      <w:sz w:val="21"/>
      <w:szCs w:val="21"/>
    </w:rPr>
  </w:style>
  <w:style w:type="character" w:customStyle="1" w:styleId="75">
    <w:name w:val="纯文本 字符"/>
    <w:basedOn w:val="36"/>
    <w:semiHidden/>
    <w:qFormat/>
    <w:uiPriority w:val="99"/>
    <w:rPr>
      <w:rFonts w:hAnsi="Courier New" w:cs="Courier New" w:asciiTheme="minorEastAsia" w:eastAsiaTheme="minorEastAsia"/>
      <w:sz w:val="22"/>
      <w:szCs w:val="22"/>
      <w:lang w:eastAsia="en-US"/>
    </w:rPr>
  </w:style>
  <w:style w:type="character" w:customStyle="1" w:styleId="76">
    <w:name w:val="列表段落 字符"/>
    <w:link w:val="66"/>
    <w:qFormat/>
    <w:uiPriority w:val="1"/>
    <w:rPr>
      <w:rFonts w:ascii="宋体" w:hAnsi="宋体" w:cs="宋体"/>
      <w:sz w:val="21"/>
      <w:szCs w:val="22"/>
      <w:lang w:eastAsia="en-US"/>
    </w:rPr>
  </w:style>
  <w:style w:type="character" w:customStyle="1" w:styleId="77">
    <w:name w:val="apple-converted-space"/>
    <w:basedOn w:val="36"/>
    <w:qFormat/>
    <w:uiPriority w:val="0"/>
  </w:style>
  <w:style w:type="paragraph" w:customStyle="1" w:styleId="78">
    <w:name w:val="null3"/>
    <w:hidden/>
    <w:qFormat/>
    <w:uiPriority w:val="0"/>
    <w:rPr>
      <w:rFonts w:hint="eastAsia" w:asciiTheme="minorHAnsi" w:hAnsiTheme="minorHAnsi" w:eastAsiaTheme="minorEastAsia" w:cstheme="minorBidi"/>
      <w:lang w:val="en-US" w:eastAsia="zh-Hans"/>
    </w:rPr>
  </w:style>
  <w:style w:type="paragraph" w:customStyle="1" w:styleId="79">
    <w:name w:val="List Paragraph_65e27187-2745-4bfa-8841-21597b5794fb"/>
    <w:basedOn w:val="1"/>
    <w:qFormat/>
    <w:uiPriority w:val="0"/>
    <w:pPr>
      <w:ind w:firstLine="420" w:firstLineChars="200"/>
    </w:pPr>
    <w:rPr>
      <w:rFonts w:eastAsia="仿宋_GB2312"/>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77</Pages>
  <Words>9827</Words>
  <Characters>10516</Characters>
  <Lines>389</Lines>
  <Paragraphs>109</Paragraphs>
  <TotalTime>0</TotalTime>
  <ScaleCrop>false</ScaleCrop>
  <LinksUpToDate>false</LinksUpToDate>
  <CharactersWithSpaces>10686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2022-05-16T09:10:00Z</dcterms:created>
  <dc:creator>永际工作室</dc:creator>
  <cp:lastModifiedBy>星垂野</cp:lastModifiedBy>
  <dcterms:modified xsi:type="dcterms:W3CDTF">2026-06-30T03:22:05Z</dcterms:modified>
  <cp:revision>553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F13A4D3D711F4BF6991D7D97ECB10042_13</vt:lpwstr>
  </property>
  <property fmtid="{D5CDD505-2E9C-101B-9397-08002B2CF9AE}" pid="4" name="KSOTemplateDocerSaveRecord">
    <vt:lpwstr>eyJoZGlkIjoiMDk2OTA1NDkwMDRkYzM1ZjcyOTU0MGYwZjMwMjMzM2IiLCJ1c2VySWQiOiI2MDQyNjU5NzIifQ==</vt:lpwstr>
  </property>
</Properties>
</file>