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0DFAD">
      <w:pPr>
        <w:jc w:val="center"/>
        <w:rPr>
          <w:rFonts w:ascii="方正小标宋简体" w:eastAsia="方正小标宋简体"/>
          <w:sz w:val="32"/>
        </w:rPr>
      </w:pPr>
      <w:r>
        <w:rPr>
          <w:rFonts w:hint="eastAsia" w:ascii="方正小标宋简体" w:eastAsia="方正小标宋简体"/>
          <w:sz w:val="32"/>
        </w:rPr>
        <w:t>南方医科大学中西医结合医院</w:t>
      </w:r>
      <w:r>
        <w:rPr>
          <w:rFonts w:ascii="方正小标宋简体" w:eastAsia="方正小标宋简体"/>
          <w:sz w:val="32"/>
        </w:rPr>
        <w:t>12号楼电房改造</w:t>
      </w:r>
    </w:p>
    <w:p w14:paraId="3C741779">
      <w:pPr>
        <w:jc w:val="center"/>
        <w:rPr>
          <w:rFonts w:ascii="方正小标宋简体" w:eastAsia="方正小标宋简体"/>
          <w:sz w:val="32"/>
        </w:rPr>
      </w:pPr>
      <w:r>
        <w:rPr>
          <w:rFonts w:ascii="方正小标宋简体" w:eastAsia="方正小标宋简体"/>
          <w:sz w:val="32"/>
        </w:rPr>
        <w:t>设计项目采购需求书</w:t>
      </w:r>
    </w:p>
    <w:p w14:paraId="5750556B">
      <w:pPr>
        <w:pStyle w:val="16"/>
        <w:numPr>
          <w:ilvl w:val="0"/>
          <w:numId w:val="1"/>
        </w:numPr>
        <w:ind w:firstLineChars="0"/>
        <w:outlineLvl w:val="0"/>
        <w:rPr>
          <w:rFonts w:ascii="黑体" w:hAnsi="黑体" w:eastAsia="黑体"/>
          <w:sz w:val="32"/>
        </w:rPr>
      </w:pPr>
      <w:r>
        <w:rPr>
          <w:rFonts w:ascii="黑体" w:hAnsi="黑体" w:eastAsia="黑体"/>
          <w:sz w:val="32"/>
        </w:rPr>
        <w:t>项目概述</w:t>
      </w:r>
    </w:p>
    <w:p w14:paraId="2DA826E1">
      <w:pPr>
        <w:pStyle w:val="16"/>
        <w:numPr>
          <w:ilvl w:val="0"/>
          <w:numId w:val="2"/>
        </w:numPr>
        <w:ind w:firstLineChars="0"/>
        <w:outlineLvl w:val="1"/>
        <w:rPr>
          <w:rFonts w:ascii="楷体" w:hAnsi="楷体" w:eastAsia="楷体"/>
          <w:sz w:val="32"/>
        </w:rPr>
      </w:pPr>
      <w:r>
        <w:rPr>
          <w:rFonts w:ascii="楷体" w:hAnsi="楷体" w:eastAsia="楷体"/>
          <w:sz w:val="32"/>
        </w:rPr>
        <w:t>项目背景</w:t>
      </w:r>
    </w:p>
    <w:p w14:paraId="5D80674F">
      <w:pPr>
        <w:ind w:firstLine="420" w:firstLineChars="200"/>
        <w:rPr>
          <w:szCs w:val="21"/>
        </w:rPr>
      </w:pPr>
      <w:r>
        <w:rPr>
          <w:rFonts w:hint="eastAsia"/>
          <w:szCs w:val="21"/>
        </w:rPr>
        <w:t>南方医科大学中西医结合医院</w:t>
      </w:r>
      <w:r>
        <w:rPr>
          <w:szCs w:val="21"/>
        </w:rPr>
        <w:t>12号楼电房承担着医院重要区域的供电保障任务。目前该电房高压室内设备（含2台变压器、3台高压柜、11台低压柜）运行年限较长，设备老化，存在一定的供电安全隐患。为确保医院供电安全可靠，现拟对12号楼电房高压室内设备进行整体更换改造。</w:t>
      </w:r>
    </w:p>
    <w:p w14:paraId="6238E2B2">
      <w:pPr>
        <w:pStyle w:val="16"/>
        <w:numPr>
          <w:ilvl w:val="0"/>
          <w:numId w:val="3"/>
        </w:numPr>
        <w:ind w:left="0" w:firstLineChars="0"/>
        <w:outlineLvl w:val="2"/>
        <w:rPr>
          <w:rFonts w:ascii="仿宋" w:eastAsia="仿宋"/>
          <w:sz w:val="32"/>
          <w:szCs w:val="21"/>
        </w:rPr>
      </w:pPr>
      <w:r>
        <w:rPr>
          <w:rFonts w:ascii="仿宋" w:eastAsia="仿宋"/>
          <w:sz w:val="32"/>
          <w:szCs w:val="21"/>
        </w:rPr>
        <w:t>项目目标</w:t>
      </w:r>
    </w:p>
    <w:p w14:paraId="248E006C">
      <w:pPr>
        <w:ind w:firstLine="420" w:firstLineChars="200"/>
        <w:rPr>
          <w:szCs w:val="21"/>
        </w:rPr>
      </w:pPr>
      <w:r>
        <w:rPr>
          <w:rFonts w:hint="eastAsia"/>
          <w:szCs w:val="21"/>
        </w:rPr>
        <w:t>本次设计项目旨在完成</w:t>
      </w:r>
      <w:r>
        <w:rPr>
          <w:szCs w:val="21"/>
        </w:rPr>
        <w:t>12号楼电房改造的全套工程设计工作，确保设计方案满足以下目标：</w:t>
      </w:r>
    </w:p>
    <w:p w14:paraId="0D9013E3">
      <w:pPr>
        <w:ind w:firstLine="420" w:firstLineChars="200"/>
        <w:rPr>
          <w:szCs w:val="21"/>
        </w:rPr>
      </w:pPr>
      <w:r>
        <w:rPr>
          <w:szCs w:val="21"/>
        </w:rPr>
        <w:t>1.安全可靠：通过设备更换，提升电房供电安全性和可靠性，消除老旧设备运行隐患；</w:t>
      </w:r>
    </w:p>
    <w:p w14:paraId="2AE2B413">
      <w:pPr>
        <w:ind w:firstLine="420" w:firstLineChars="200"/>
        <w:rPr>
          <w:szCs w:val="21"/>
        </w:rPr>
      </w:pPr>
      <w:r>
        <w:rPr>
          <w:szCs w:val="21"/>
        </w:rPr>
        <w:t>2.合规性：设计须符合国家及行业相关规范标准，并通过供电部门审批；</w:t>
      </w:r>
    </w:p>
    <w:p w14:paraId="7E970850">
      <w:pPr>
        <w:ind w:firstLine="420" w:firstLineChars="200"/>
        <w:rPr>
          <w:szCs w:val="21"/>
        </w:rPr>
      </w:pPr>
      <w:r>
        <w:rPr>
          <w:szCs w:val="21"/>
        </w:rPr>
        <w:t>3.经济性：方案应技术先进、经济适用，合理控制投资概算；</w:t>
      </w:r>
    </w:p>
    <w:p w14:paraId="34CC3012">
      <w:pPr>
        <w:ind w:firstLine="420" w:firstLineChars="200"/>
        <w:rPr>
          <w:szCs w:val="21"/>
        </w:rPr>
      </w:pPr>
      <w:r>
        <w:rPr>
          <w:szCs w:val="21"/>
        </w:rPr>
        <w:t>4.不停电施工保障：鉴于医院为重要电力用户，设计方案须充分考虑施工期间医疗区不停电的过渡供电保障方案（柴油发电机组供电）。</w:t>
      </w:r>
    </w:p>
    <w:p w14:paraId="1EE24543">
      <w:pPr>
        <w:pStyle w:val="16"/>
        <w:numPr>
          <w:ilvl w:val="0"/>
          <w:numId w:val="4"/>
        </w:numPr>
        <w:ind w:firstLineChars="0"/>
        <w:outlineLvl w:val="2"/>
        <w:rPr>
          <w:rFonts w:ascii="仿宋" w:hAnsi="仿宋" w:eastAsia="仿宋"/>
          <w:sz w:val="32"/>
          <w:szCs w:val="21"/>
        </w:rPr>
      </w:pPr>
      <w:r>
        <w:rPr>
          <w:rFonts w:ascii="仿宋" w:hAnsi="仿宋" w:eastAsia="仿宋"/>
          <w:sz w:val="32"/>
          <w:szCs w:val="21"/>
        </w:rPr>
        <w:t>项目范围</w:t>
      </w:r>
    </w:p>
    <w:p w14:paraId="73F6A75D">
      <w:pPr>
        <w:ind w:firstLine="420" w:firstLineChars="200"/>
        <w:rPr>
          <w:szCs w:val="21"/>
        </w:rPr>
      </w:pPr>
      <w:r>
        <w:rPr>
          <w:rFonts w:hint="eastAsia"/>
          <w:szCs w:val="21"/>
        </w:rPr>
        <w:t>本次采购为设计服务类采购，具体范围如下：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701"/>
        <w:gridCol w:w="5607"/>
      </w:tblGrid>
      <w:tr w14:paraId="3E5F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B8C5F51">
            <w:pPr>
              <w:jc w:val="center"/>
              <w:rPr>
                <w:szCs w:val="21"/>
              </w:rPr>
            </w:pPr>
            <w:r>
              <w:rPr>
                <w:rFonts w:hint="eastAsia"/>
                <w:szCs w:val="21"/>
              </w:rPr>
              <w:t>序号</w:t>
            </w:r>
          </w:p>
        </w:tc>
        <w:tc>
          <w:tcPr>
            <w:tcW w:w="1701" w:type="dxa"/>
            <w:vAlign w:val="center"/>
          </w:tcPr>
          <w:p w14:paraId="4ACFCCA9">
            <w:pPr>
              <w:jc w:val="center"/>
              <w:rPr>
                <w:szCs w:val="21"/>
              </w:rPr>
            </w:pPr>
            <w:r>
              <w:rPr>
                <w:szCs w:val="21"/>
              </w:rPr>
              <w:t>工作内容</w:t>
            </w:r>
          </w:p>
        </w:tc>
        <w:tc>
          <w:tcPr>
            <w:tcW w:w="5607" w:type="dxa"/>
            <w:vAlign w:val="center"/>
          </w:tcPr>
          <w:p w14:paraId="54D5A9C6">
            <w:pPr>
              <w:jc w:val="center"/>
              <w:rPr>
                <w:szCs w:val="21"/>
              </w:rPr>
            </w:pPr>
            <w:r>
              <w:rPr>
                <w:szCs w:val="21"/>
              </w:rPr>
              <w:t>说明</w:t>
            </w:r>
          </w:p>
        </w:tc>
      </w:tr>
      <w:tr w14:paraId="2619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627A0293">
            <w:pPr>
              <w:jc w:val="center"/>
              <w:rPr>
                <w:szCs w:val="21"/>
              </w:rPr>
            </w:pPr>
            <w:r>
              <w:rPr>
                <w:szCs w:val="21"/>
              </w:rPr>
              <w:t>1</w:t>
            </w:r>
          </w:p>
        </w:tc>
        <w:tc>
          <w:tcPr>
            <w:tcW w:w="1701" w:type="dxa"/>
            <w:vAlign w:val="center"/>
          </w:tcPr>
          <w:p w14:paraId="4BAE12BD">
            <w:pPr>
              <w:jc w:val="center"/>
              <w:rPr>
                <w:szCs w:val="21"/>
              </w:rPr>
            </w:pPr>
            <w:r>
              <w:rPr>
                <w:szCs w:val="21"/>
              </w:rPr>
              <w:t>现场勘察</w:t>
            </w:r>
          </w:p>
        </w:tc>
        <w:tc>
          <w:tcPr>
            <w:tcW w:w="5607" w:type="dxa"/>
            <w:vAlign w:val="center"/>
          </w:tcPr>
          <w:p w14:paraId="0B8CC107">
            <w:pPr>
              <w:jc w:val="center"/>
              <w:rPr>
                <w:szCs w:val="21"/>
              </w:rPr>
            </w:pPr>
            <w:r>
              <w:rPr>
                <w:szCs w:val="21"/>
              </w:rPr>
              <w:t>对12号楼电房现状设备、配电房结构、周边环境等进行详细实地勘测</w:t>
            </w:r>
          </w:p>
        </w:tc>
      </w:tr>
      <w:tr w14:paraId="7FF4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2A37F8D">
            <w:pPr>
              <w:jc w:val="center"/>
              <w:rPr>
                <w:szCs w:val="21"/>
              </w:rPr>
            </w:pPr>
            <w:r>
              <w:rPr>
                <w:szCs w:val="21"/>
              </w:rPr>
              <w:t>2</w:t>
            </w:r>
          </w:p>
        </w:tc>
        <w:tc>
          <w:tcPr>
            <w:tcW w:w="1701" w:type="dxa"/>
            <w:vAlign w:val="center"/>
          </w:tcPr>
          <w:p w14:paraId="5FD71EBB">
            <w:pPr>
              <w:jc w:val="center"/>
              <w:rPr>
                <w:szCs w:val="21"/>
              </w:rPr>
            </w:pPr>
            <w:r>
              <w:rPr>
                <w:szCs w:val="21"/>
              </w:rPr>
              <w:t>方案设计</w:t>
            </w:r>
          </w:p>
        </w:tc>
        <w:tc>
          <w:tcPr>
            <w:tcW w:w="5607" w:type="dxa"/>
            <w:vAlign w:val="center"/>
          </w:tcPr>
          <w:p w14:paraId="0C5E457C">
            <w:pPr>
              <w:jc w:val="center"/>
              <w:rPr>
                <w:szCs w:val="21"/>
              </w:rPr>
            </w:pPr>
            <w:r>
              <w:rPr>
                <w:szCs w:val="21"/>
              </w:rPr>
              <w:t>编制项目实施方案，明确设备更换技术路线、过渡供电保障方案</w:t>
            </w:r>
          </w:p>
        </w:tc>
      </w:tr>
      <w:tr w14:paraId="4E6B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F51D8FC">
            <w:pPr>
              <w:jc w:val="center"/>
              <w:rPr>
                <w:szCs w:val="21"/>
              </w:rPr>
            </w:pPr>
            <w:r>
              <w:rPr>
                <w:szCs w:val="21"/>
              </w:rPr>
              <w:t>3</w:t>
            </w:r>
          </w:p>
        </w:tc>
        <w:tc>
          <w:tcPr>
            <w:tcW w:w="1701" w:type="dxa"/>
            <w:vAlign w:val="center"/>
          </w:tcPr>
          <w:p w14:paraId="680A5330">
            <w:pPr>
              <w:jc w:val="center"/>
              <w:rPr>
                <w:szCs w:val="21"/>
              </w:rPr>
            </w:pPr>
            <w:r>
              <w:rPr>
                <w:szCs w:val="21"/>
              </w:rPr>
              <w:t>施工图设计</w:t>
            </w:r>
          </w:p>
        </w:tc>
        <w:tc>
          <w:tcPr>
            <w:tcW w:w="5607" w:type="dxa"/>
            <w:vAlign w:val="center"/>
          </w:tcPr>
          <w:p w14:paraId="26C1B275">
            <w:pPr>
              <w:jc w:val="center"/>
              <w:rPr>
                <w:szCs w:val="21"/>
              </w:rPr>
            </w:pPr>
            <w:r>
              <w:rPr>
                <w:szCs w:val="21"/>
              </w:rPr>
              <w:t>绘制全套施工图纸，包括设备布置图、系统接线图、基础改造图等</w:t>
            </w:r>
          </w:p>
        </w:tc>
      </w:tr>
      <w:tr w14:paraId="4E09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0B1CC90">
            <w:pPr>
              <w:jc w:val="center"/>
              <w:rPr>
                <w:szCs w:val="21"/>
              </w:rPr>
            </w:pPr>
            <w:r>
              <w:rPr>
                <w:szCs w:val="21"/>
              </w:rPr>
              <w:t>4</w:t>
            </w:r>
          </w:p>
        </w:tc>
        <w:tc>
          <w:tcPr>
            <w:tcW w:w="1701" w:type="dxa"/>
            <w:vAlign w:val="center"/>
          </w:tcPr>
          <w:p w14:paraId="0B1B40C9">
            <w:pPr>
              <w:jc w:val="center"/>
              <w:rPr>
                <w:szCs w:val="21"/>
              </w:rPr>
            </w:pPr>
            <w:r>
              <w:rPr>
                <w:szCs w:val="21"/>
              </w:rPr>
              <w:t>投资概算编制</w:t>
            </w:r>
          </w:p>
        </w:tc>
        <w:tc>
          <w:tcPr>
            <w:tcW w:w="5607" w:type="dxa"/>
            <w:vAlign w:val="center"/>
          </w:tcPr>
          <w:p w14:paraId="3EB4FD3C">
            <w:pPr>
              <w:jc w:val="center"/>
              <w:rPr>
                <w:szCs w:val="21"/>
              </w:rPr>
            </w:pPr>
            <w:r>
              <w:rPr>
                <w:szCs w:val="21"/>
              </w:rPr>
              <w:t>编制项目投资概算，作为后续采购预算依据</w:t>
            </w:r>
          </w:p>
        </w:tc>
      </w:tr>
      <w:tr w14:paraId="302F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D1A4C42">
            <w:pPr>
              <w:jc w:val="center"/>
              <w:rPr>
                <w:szCs w:val="21"/>
              </w:rPr>
            </w:pPr>
            <w:r>
              <w:rPr>
                <w:szCs w:val="21"/>
              </w:rPr>
              <w:t>5</w:t>
            </w:r>
          </w:p>
        </w:tc>
        <w:tc>
          <w:tcPr>
            <w:tcW w:w="1701" w:type="dxa"/>
            <w:vAlign w:val="center"/>
          </w:tcPr>
          <w:p w14:paraId="0E1A7472">
            <w:pPr>
              <w:jc w:val="center"/>
              <w:rPr>
                <w:szCs w:val="21"/>
              </w:rPr>
            </w:pPr>
            <w:r>
              <w:rPr>
                <w:szCs w:val="21"/>
              </w:rPr>
              <w:t>后续技术支持</w:t>
            </w:r>
          </w:p>
        </w:tc>
        <w:tc>
          <w:tcPr>
            <w:tcW w:w="5607" w:type="dxa"/>
            <w:vAlign w:val="center"/>
          </w:tcPr>
          <w:p w14:paraId="1870F819">
            <w:pPr>
              <w:jc w:val="center"/>
              <w:rPr>
                <w:szCs w:val="21"/>
              </w:rPr>
            </w:pPr>
            <w:r>
              <w:rPr>
                <w:szCs w:val="21"/>
              </w:rPr>
              <w:t>在采购阶段、施工及竣工验收阶段提供必要的技术支持和咨询服务</w:t>
            </w:r>
          </w:p>
        </w:tc>
      </w:tr>
    </w:tbl>
    <w:p w14:paraId="6A4CB64C">
      <w:pPr>
        <w:pStyle w:val="16"/>
        <w:numPr>
          <w:ilvl w:val="0"/>
          <w:numId w:val="5"/>
        </w:numPr>
        <w:ind w:firstLineChars="0"/>
        <w:outlineLvl w:val="0"/>
        <w:rPr>
          <w:rFonts w:ascii="黑体" w:hAnsi="黑体" w:eastAsia="黑体"/>
          <w:sz w:val="32"/>
          <w:szCs w:val="21"/>
        </w:rPr>
      </w:pPr>
      <w:r>
        <w:rPr>
          <w:rFonts w:ascii="黑体" w:hAnsi="黑体" w:eastAsia="黑体"/>
          <w:sz w:val="32"/>
          <w:szCs w:val="21"/>
        </w:rPr>
        <w:t>技术要求</w:t>
      </w:r>
    </w:p>
    <w:p w14:paraId="5EAD2B22">
      <w:pPr>
        <w:pStyle w:val="16"/>
        <w:numPr>
          <w:ilvl w:val="0"/>
          <w:numId w:val="6"/>
        </w:numPr>
        <w:ind w:firstLineChars="0"/>
        <w:outlineLvl w:val="1"/>
        <w:rPr>
          <w:rFonts w:ascii="楷体" w:hAnsi="楷体" w:eastAsia="楷体"/>
          <w:sz w:val="32"/>
          <w:szCs w:val="21"/>
        </w:rPr>
      </w:pPr>
      <w:r>
        <w:rPr>
          <w:rFonts w:ascii="楷体" w:hAnsi="楷体" w:eastAsia="楷体"/>
          <w:sz w:val="32"/>
          <w:szCs w:val="21"/>
        </w:rPr>
        <w:t>总体原则</w:t>
      </w:r>
    </w:p>
    <w:p w14:paraId="0D74679F">
      <w:pPr>
        <w:ind w:firstLine="420" w:firstLineChars="200"/>
        <w:rPr>
          <w:szCs w:val="21"/>
        </w:rPr>
      </w:pPr>
      <w:r>
        <w:rPr>
          <w:szCs w:val="21"/>
        </w:rPr>
        <w:t>1.合规性原则：设计须符合《民用建筑电气设计标准》GB51348、《20kV及以下变电所设计规范》GB50053、《建筑设计防火规范》GB50016、《电力变压器经济运行》GB/T 13462等国家及行业现行规范标准。</w:t>
      </w:r>
    </w:p>
    <w:p w14:paraId="6867A6E7">
      <w:pPr>
        <w:ind w:firstLine="420" w:firstLineChars="200"/>
        <w:rPr>
          <w:szCs w:val="21"/>
        </w:rPr>
      </w:pPr>
      <w:r>
        <w:rPr>
          <w:szCs w:val="21"/>
        </w:rPr>
        <w:t>2.安全性原则：设计方案须确保施工期间医疗区不停电，须编制完善的过渡供电保障方案。</w:t>
      </w:r>
    </w:p>
    <w:p w14:paraId="2119A5D5">
      <w:pPr>
        <w:ind w:firstLine="420" w:firstLineChars="200"/>
        <w:rPr>
          <w:szCs w:val="21"/>
        </w:rPr>
      </w:pPr>
      <w:r>
        <w:rPr>
          <w:szCs w:val="21"/>
        </w:rPr>
        <w:t>3.先进性原则：优先选用技术先进、节能高效、运行可靠的设备，不得采用国家明令淘汰的产品。</w:t>
      </w:r>
    </w:p>
    <w:p w14:paraId="1F21FBED">
      <w:pPr>
        <w:ind w:firstLine="420" w:firstLineChars="200"/>
        <w:rPr>
          <w:szCs w:val="21"/>
        </w:rPr>
      </w:pPr>
      <w:r>
        <w:rPr>
          <w:szCs w:val="21"/>
        </w:rPr>
        <w:t>4.适应性原则：设计须充分考虑现有配电房空间条件，确保设备布置合理、操作维护方便。</w:t>
      </w:r>
    </w:p>
    <w:p w14:paraId="7FFD1F01">
      <w:pPr>
        <w:ind w:firstLine="420" w:firstLineChars="200"/>
        <w:rPr>
          <w:szCs w:val="21"/>
        </w:rPr>
      </w:pPr>
      <w:r>
        <w:rPr>
          <w:szCs w:val="21"/>
        </w:rPr>
        <w:t>5.前瞻性原则：设计应兼顾医院未来用电负荷增长需求，适当预留扩容空间。</w:t>
      </w:r>
    </w:p>
    <w:p w14:paraId="39DC1D25">
      <w:pPr>
        <w:pStyle w:val="16"/>
        <w:numPr>
          <w:ilvl w:val="0"/>
          <w:numId w:val="7"/>
        </w:numPr>
        <w:ind w:firstLineChars="0"/>
        <w:outlineLvl w:val="1"/>
        <w:rPr>
          <w:rFonts w:ascii="楷体" w:hAnsi="楷体" w:eastAsia="楷体"/>
          <w:sz w:val="32"/>
          <w:szCs w:val="21"/>
        </w:rPr>
      </w:pPr>
      <w:r>
        <w:rPr>
          <w:rFonts w:ascii="楷体" w:hAnsi="楷体" w:eastAsia="楷体"/>
          <w:sz w:val="32"/>
          <w:szCs w:val="21"/>
        </w:rPr>
        <w:t>改造范围</w:t>
      </w:r>
    </w:p>
    <w:p w14:paraId="237FC513">
      <w:pPr>
        <w:ind w:firstLine="420" w:firstLineChars="200"/>
        <w:rPr>
          <w:szCs w:val="21"/>
        </w:rPr>
      </w:pPr>
      <w:r>
        <w:rPr>
          <w:rFonts w:hint="eastAsia"/>
          <w:szCs w:val="21"/>
        </w:rPr>
        <w:t>对</w:t>
      </w:r>
      <w:r>
        <w:rPr>
          <w:szCs w:val="21"/>
        </w:rPr>
        <w:t>12号楼一楼高压室内以下设备进行更换：</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17"/>
        <w:gridCol w:w="992"/>
        <w:gridCol w:w="4899"/>
      </w:tblGrid>
      <w:tr w14:paraId="1449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83F6576">
            <w:pPr>
              <w:jc w:val="center"/>
              <w:rPr>
                <w:szCs w:val="21"/>
              </w:rPr>
            </w:pPr>
            <w:r>
              <w:rPr>
                <w:rFonts w:hint="eastAsia"/>
                <w:szCs w:val="21"/>
              </w:rPr>
              <w:t>序号</w:t>
            </w:r>
          </w:p>
        </w:tc>
        <w:tc>
          <w:tcPr>
            <w:tcW w:w="1417" w:type="dxa"/>
            <w:vAlign w:val="center"/>
          </w:tcPr>
          <w:p w14:paraId="23A1FAA3">
            <w:pPr>
              <w:jc w:val="center"/>
              <w:rPr>
                <w:szCs w:val="21"/>
              </w:rPr>
            </w:pPr>
            <w:r>
              <w:rPr>
                <w:szCs w:val="21"/>
              </w:rPr>
              <w:t>设备名称</w:t>
            </w:r>
          </w:p>
        </w:tc>
        <w:tc>
          <w:tcPr>
            <w:tcW w:w="992" w:type="dxa"/>
            <w:vAlign w:val="center"/>
          </w:tcPr>
          <w:p w14:paraId="5D978763">
            <w:pPr>
              <w:jc w:val="center"/>
              <w:rPr>
                <w:szCs w:val="21"/>
              </w:rPr>
            </w:pPr>
            <w:r>
              <w:rPr>
                <w:szCs w:val="21"/>
              </w:rPr>
              <w:t>数量</w:t>
            </w:r>
          </w:p>
        </w:tc>
        <w:tc>
          <w:tcPr>
            <w:tcW w:w="4899" w:type="dxa"/>
            <w:vAlign w:val="center"/>
          </w:tcPr>
          <w:p w14:paraId="62DB25A0">
            <w:pPr>
              <w:jc w:val="center"/>
              <w:rPr>
                <w:szCs w:val="21"/>
              </w:rPr>
            </w:pPr>
            <w:r>
              <w:rPr>
                <w:szCs w:val="21"/>
              </w:rPr>
              <w:t>说明</w:t>
            </w:r>
          </w:p>
        </w:tc>
      </w:tr>
      <w:tr w14:paraId="1F78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65433AF6">
            <w:pPr>
              <w:jc w:val="center"/>
              <w:rPr>
                <w:szCs w:val="21"/>
              </w:rPr>
            </w:pPr>
            <w:r>
              <w:rPr>
                <w:szCs w:val="21"/>
              </w:rPr>
              <w:t>1</w:t>
            </w:r>
          </w:p>
        </w:tc>
        <w:tc>
          <w:tcPr>
            <w:tcW w:w="1417" w:type="dxa"/>
            <w:vAlign w:val="center"/>
          </w:tcPr>
          <w:p w14:paraId="294DDCC5">
            <w:pPr>
              <w:jc w:val="center"/>
              <w:rPr>
                <w:szCs w:val="21"/>
              </w:rPr>
            </w:pPr>
            <w:r>
              <w:rPr>
                <w:szCs w:val="21"/>
              </w:rPr>
              <w:t>变压器</w:t>
            </w:r>
          </w:p>
        </w:tc>
        <w:tc>
          <w:tcPr>
            <w:tcW w:w="992" w:type="dxa"/>
            <w:vAlign w:val="center"/>
          </w:tcPr>
          <w:p w14:paraId="538E74D8">
            <w:pPr>
              <w:jc w:val="center"/>
              <w:rPr>
                <w:szCs w:val="21"/>
              </w:rPr>
            </w:pPr>
            <w:r>
              <w:rPr>
                <w:szCs w:val="21"/>
              </w:rPr>
              <w:t>2台</w:t>
            </w:r>
          </w:p>
        </w:tc>
        <w:tc>
          <w:tcPr>
            <w:tcW w:w="4899" w:type="dxa"/>
            <w:vAlign w:val="center"/>
          </w:tcPr>
          <w:p w14:paraId="49D6E41C">
            <w:pPr>
              <w:jc w:val="center"/>
              <w:rPr>
                <w:szCs w:val="21"/>
              </w:rPr>
            </w:pPr>
            <w:r>
              <w:rPr>
                <w:szCs w:val="21"/>
              </w:rPr>
              <w:t>更换现有变压器，选型应满足负荷要求并兼顾节能</w:t>
            </w:r>
          </w:p>
        </w:tc>
      </w:tr>
      <w:tr w14:paraId="2114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22D04BE">
            <w:pPr>
              <w:jc w:val="center"/>
              <w:rPr>
                <w:szCs w:val="21"/>
              </w:rPr>
            </w:pPr>
            <w:r>
              <w:rPr>
                <w:szCs w:val="21"/>
              </w:rPr>
              <w:t>2</w:t>
            </w:r>
          </w:p>
        </w:tc>
        <w:tc>
          <w:tcPr>
            <w:tcW w:w="1417" w:type="dxa"/>
            <w:vAlign w:val="center"/>
          </w:tcPr>
          <w:p w14:paraId="248E2F87">
            <w:pPr>
              <w:jc w:val="center"/>
              <w:rPr>
                <w:szCs w:val="21"/>
              </w:rPr>
            </w:pPr>
            <w:r>
              <w:rPr>
                <w:szCs w:val="21"/>
              </w:rPr>
              <w:t>高压柜</w:t>
            </w:r>
          </w:p>
        </w:tc>
        <w:tc>
          <w:tcPr>
            <w:tcW w:w="992" w:type="dxa"/>
            <w:vAlign w:val="center"/>
          </w:tcPr>
          <w:p w14:paraId="425B2484">
            <w:pPr>
              <w:jc w:val="center"/>
              <w:rPr>
                <w:szCs w:val="21"/>
              </w:rPr>
            </w:pPr>
            <w:r>
              <w:rPr>
                <w:szCs w:val="21"/>
              </w:rPr>
              <w:t>3台</w:t>
            </w:r>
          </w:p>
        </w:tc>
        <w:tc>
          <w:tcPr>
            <w:tcW w:w="4899" w:type="dxa"/>
            <w:vAlign w:val="center"/>
          </w:tcPr>
          <w:p w14:paraId="1B52560A">
            <w:pPr>
              <w:jc w:val="center"/>
              <w:rPr>
                <w:szCs w:val="21"/>
              </w:rPr>
            </w:pPr>
            <w:r>
              <w:rPr>
                <w:szCs w:val="21"/>
              </w:rPr>
              <w:t>更换高压进线/出线柜等</w:t>
            </w:r>
          </w:p>
        </w:tc>
      </w:tr>
      <w:tr w14:paraId="0E2F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9311922">
            <w:pPr>
              <w:jc w:val="center"/>
              <w:rPr>
                <w:szCs w:val="21"/>
              </w:rPr>
            </w:pPr>
            <w:r>
              <w:rPr>
                <w:szCs w:val="21"/>
              </w:rPr>
              <w:t>3</w:t>
            </w:r>
          </w:p>
        </w:tc>
        <w:tc>
          <w:tcPr>
            <w:tcW w:w="1417" w:type="dxa"/>
            <w:vAlign w:val="center"/>
          </w:tcPr>
          <w:p w14:paraId="4A96A479">
            <w:pPr>
              <w:jc w:val="center"/>
              <w:rPr>
                <w:szCs w:val="21"/>
              </w:rPr>
            </w:pPr>
            <w:r>
              <w:rPr>
                <w:szCs w:val="21"/>
              </w:rPr>
              <w:t>低压柜</w:t>
            </w:r>
          </w:p>
        </w:tc>
        <w:tc>
          <w:tcPr>
            <w:tcW w:w="992" w:type="dxa"/>
            <w:vAlign w:val="center"/>
          </w:tcPr>
          <w:p w14:paraId="31BE897B">
            <w:pPr>
              <w:jc w:val="center"/>
              <w:rPr>
                <w:szCs w:val="21"/>
              </w:rPr>
            </w:pPr>
            <w:r>
              <w:rPr>
                <w:szCs w:val="21"/>
              </w:rPr>
              <w:t>11台</w:t>
            </w:r>
          </w:p>
        </w:tc>
        <w:tc>
          <w:tcPr>
            <w:tcW w:w="4899" w:type="dxa"/>
            <w:vAlign w:val="center"/>
          </w:tcPr>
          <w:p w14:paraId="4CF76234">
            <w:pPr>
              <w:jc w:val="center"/>
              <w:rPr>
                <w:szCs w:val="21"/>
              </w:rPr>
            </w:pPr>
            <w:r>
              <w:rPr>
                <w:szCs w:val="21"/>
              </w:rPr>
              <w:t>更换低压配电柜（含进线柜、出线柜、补偿柜等）</w:t>
            </w:r>
          </w:p>
        </w:tc>
      </w:tr>
      <w:tr w14:paraId="0A63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4083A8A">
            <w:pPr>
              <w:jc w:val="center"/>
              <w:rPr>
                <w:szCs w:val="21"/>
              </w:rPr>
            </w:pPr>
            <w:r>
              <w:rPr>
                <w:rFonts w:hint="eastAsia"/>
                <w:szCs w:val="21"/>
              </w:rPr>
              <w:t>合计</w:t>
            </w:r>
          </w:p>
        </w:tc>
        <w:tc>
          <w:tcPr>
            <w:tcW w:w="1417" w:type="dxa"/>
            <w:vAlign w:val="center"/>
          </w:tcPr>
          <w:p w14:paraId="534AB1DA">
            <w:pPr>
              <w:jc w:val="center"/>
              <w:rPr>
                <w:szCs w:val="21"/>
              </w:rPr>
            </w:pPr>
          </w:p>
        </w:tc>
        <w:tc>
          <w:tcPr>
            <w:tcW w:w="992" w:type="dxa"/>
            <w:vAlign w:val="center"/>
          </w:tcPr>
          <w:p w14:paraId="12A9E8C7">
            <w:pPr>
              <w:jc w:val="center"/>
              <w:rPr>
                <w:szCs w:val="21"/>
              </w:rPr>
            </w:pPr>
            <w:r>
              <w:rPr>
                <w:szCs w:val="21"/>
              </w:rPr>
              <w:t>16台</w:t>
            </w:r>
          </w:p>
        </w:tc>
        <w:tc>
          <w:tcPr>
            <w:tcW w:w="4899" w:type="dxa"/>
            <w:vAlign w:val="center"/>
          </w:tcPr>
          <w:p w14:paraId="1D1F32B8">
            <w:pPr>
              <w:jc w:val="center"/>
              <w:rPr>
                <w:szCs w:val="21"/>
              </w:rPr>
            </w:pPr>
          </w:p>
        </w:tc>
      </w:tr>
    </w:tbl>
    <w:p w14:paraId="64C04009">
      <w:pPr>
        <w:ind w:firstLine="420" w:firstLineChars="200"/>
        <w:rPr>
          <w:szCs w:val="21"/>
        </w:rPr>
      </w:pPr>
      <w:r>
        <w:rPr>
          <w:rFonts w:hint="eastAsia"/>
          <w:szCs w:val="21"/>
        </w:rPr>
        <w:t>注：具体设备技术参数、柜型、容量等需根据现场勘察及负荷核算后确定。</w:t>
      </w:r>
    </w:p>
    <w:p w14:paraId="58073054">
      <w:pPr>
        <w:pStyle w:val="16"/>
        <w:numPr>
          <w:ilvl w:val="0"/>
          <w:numId w:val="8"/>
        </w:numPr>
        <w:ind w:firstLineChars="0"/>
        <w:outlineLvl w:val="1"/>
        <w:rPr>
          <w:rFonts w:ascii="楷体" w:hAnsi="楷体" w:eastAsia="楷体"/>
          <w:sz w:val="32"/>
          <w:szCs w:val="21"/>
        </w:rPr>
      </w:pPr>
      <w:r>
        <w:rPr>
          <w:rFonts w:ascii="楷体" w:hAnsi="楷体" w:eastAsia="楷体"/>
          <w:sz w:val="32"/>
          <w:szCs w:val="21"/>
        </w:rPr>
        <w:t>设计依据标准</w:t>
      </w:r>
    </w:p>
    <w:p w14:paraId="0045C0CB">
      <w:pPr>
        <w:ind w:firstLine="420" w:firstLineChars="200"/>
        <w:rPr>
          <w:szCs w:val="21"/>
        </w:rPr>
      </w:pPr>
      <w:r>
        <w:rPr>
          <w:rFonts w:hint="eastAsia"/>
          <w:szCs w:val="21"/>
        </w:rPr>
        <w:t>设计须遵循但不限于以下规范标准：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118"/>
        <w:gridCol w:w="4190"/>
      </w:tblGrid>
      <w:tr w14:paraId="4A93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FA85CA7">
            <w:pPr>
              <w:jc w:val="center"/>
              <w:rPr>
                <w:szCs w:val="21"/>
              </w:rPr>
            </w:pPr>
            <w:r>
              <w:rPr>
                <w:rFonts w:hint="eastAsia"/>
                <w:szCs w:val="21"/>
              </w:rPr>
              <w:t>序号</w:t>
            </w:r>
          </w:p>
        </w:tc>
        <w:tc>
          <w:tcPr>
            <w:tcW w:w="3118" w:type="dxa"/>
            <w:vAlign w:val="center"/>
          </w:tcPr>
          <w:p w14:paraId="0F946133">
            <w:pPr>
              <w:jc w:val="center"/>
              <w:rPr>
                <w:szCs w:val="21"/>
              </w:rPr>
            </w:pPr>
            <w:r>
              <w:rPr>
                <w:szCs w:val="21"/>
              </w:rPr>
              <w:t>标准编号</w:t>
            </w:r>
          </w:p>
        </w:tc>
        <w:tc>
          <w:tcPr>
            <w:tcW w:w="4190" w:type="dxa"/>
            <w:vAlign w:val="center"/>
          </w:tcPr>
          <w:p w14:paraId="42EC0353">
            <w:pPr>
              <w:jc w:val="center"/>
              <w:rPr>
                <w:szCs w:val="21"/>
              </w:rPr>
            </w:pPr>
            <w:r>
              <w:rPr>
                <w:szCs w:val="21"/>
              </w:rPr>
              <w:t>标准名称</w:t>
            </w:r>
          </w:p>
        </w:tc>
      </w:tr>
      <w:tr w14:paraId="1114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0BDE59D">
            <w:pPr>
              <w:jc w:val="center"/>
              <w:rPr>
                <w:szCs w:val="21"/>
              </w:rPr>
            </w:pPr>
            <w:r>
              <w:rPr>
                <w:szCs w:val="21"/>
              </w:rPr>
              <w:t>1</w:t>
            </w:r>
          </w:p>
        </w:tc>
        <w:tc>
          <w:tcPr>
            <w:tcW w:w="3118" w:type="dxa"/>
            <w:vAlign w:val="center"/>
          </w:tcPr>
          <w:p w14:paraId="52272687">
            <w:pPr>
              <w:jc w:val="center"/>
              <w:rPr>
                <w:szCs w:val="21"/>
              </w:rPr>
            </w:pPr>
            <w:r>
              <w:rPr>
                <w:szCs w:val="21"/>
              </w:rPr>
              <w:t>GB51348-2019</w:t>
            </w:r>
          </w:p>
        </w:tc>
        <w:tc>
          <w:tcPr>
            <w:tcW w:w="4190" w:type="dxa"/>
            <w:vAlign w:val="center"/>
          </w:tcPr>
          <w:p w14:paraId="241F7104">
            <w:pPr>
              <w:jc w:val="center"/>
              <w:rPr>
                <w:szCs w:val="21"/>
              </w:rPr>
            </w:pPr>
            <w:r>
              <w:rPr>
                <w:szCs w:val="21"/>
              </w:rPr>
              <w:t>《民用建筑电气设计标准》</w:t>
            </w:r>
          </w:p>
        </w:tc>
      </w:tr>
      <w:tr w14:paraId="312F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4BBBD9B">
            <w:pPr>
              <w:jc w:val="center"/>
              <w:rPr>
                <w:szCs w:val="21"/>
              </w:rPr>
            </w:pPr>
            <w:r>
              <w:rPr>
                <w:szCs w:val="21"/>
              </w:rPr>
              <w:t>2</w:t>
            </w:r>
          </w:p>
        </w:tc>
        <w:tc>
          <w:tcPr>
            <w:tcW w:w="3118" w:type="dxa"/>
            <w:vAlign w:val="center"/>
          </w:tcPr>
          <w:p w14:paraId="53ED3271">
            <w:pPr>
              <w:jc w:val="center"/>
              <w:rPr>
                <w:szCs w:val="21"/>
              </w:rPr>
            </w:pPr>
            <w:r>
              <w:rPr>
                <w:szCs w:val="21"/>
              </w:rPr>
              <w:t>GB50053-2013</w:t>
            </w:r>
          </w:p>
        </w:tc>
        <w:tc>
          <w:tcPr>
            <w:tcW w:w="4190" w:type="dxa"/>
            <w:vAlign w:val="center"/>
          </w:tcPr>
          <w:p w14:paraId="4CA2B706">
            <w:pPr>
              <w:jc w:val="center"/>
              <w:rPr>
                <w:szCs w:val="21"/>
              </w:rPr>
            </w:pPr>
            <w:r>
              <w:rPr>
                <w:szCs w:val="21"/>
              </w:rPr>
              <w:t>《20kV及以下变电所设计规范》</w:t>
            </w:r>
          </w:p>
        </w:tc>
      </w:tr>
      <w:tr w14:paraId="540D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0D555CC">
            <w:pPr>
              <w:jc w:val="center"/>
              <w:rPr>
                <w:szCs w:val="21"/>
              </w:rPr>
            </w:pPr>
            <w:r>
              <w:rPr>
                <w:szCs w:val="21"/>
              </w:rPr>
              <w:t>3</w:t>
            </w:r>
          </w:p>
        </w:tc>
        <w:tc>
          <w:tcPr>
            <w:tcW w:w="3118" w:type="dxa"/>
            <w:vAlign w:val="center"/>
          </w:tcPr>
          <w:p w14:paraId="7E0CADF1">
            <w:pPr>
              <w:jc w:val="center"/>
              <w:rPr>
                <w:szCs w:val="21"/>
              </w:rPr>
            </w:pPr>
            <w:r>
              <w:rPr>
                <w:szCs w:val="21"/>
              </w:rPr>
              <w:t>GB50016-2014（2018年版）</w:t>
            </w:r>
          </w:p>
        </w:tc>
        <w:tc>
          <w:tcPr>
            <w:tcW w:w="4190" w:type="dxa"/>
            <w:vAlign w:val="center"/>
          </w:tcPr>
          <w:p w14:paraId="6D1BB4C4">
            <w:pPr>
              <w:jc w:val="center"/>
              <w:rPr>
                <w:szCs w:val="21"/>
              </w:rPr>
            </w:pPr>
            <w:r>
              <w:rPr>
                <w:szCs w:val="21"/>
              </w:rPr>
              <w:t>《建筑设计防火规范》</w:t>
            </w:r>
          </w:p>
        </w:tc>
      </w:tr>
      <w:tr w14:paraId="4000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422D1E2">
            <w:pPr>
              <w:jc w:val="center"/>
              <w:rPr>
                <w:szCs w:val="21"/>
              </w:rPr>
            </w:pPr>
            <w:r>
              <w:rPr>
                <w:szCs w:val="21"/>
              </w:rPr>
              <w:t>4</w:t>
            </w:r>
          </w:p>
        </w:tc>
        <w:tc>
          <w:tcPr>
            <w:tcW w:w="3118" w:type="dxa"/>
            <w:vAlign w:val="center"/>
          </w:tcPr>
          <w:p w14:paraId="5A36F207">
            <w:pPr>
              <w:jc w:val="center"/>
              <w:rPr>
                <w:szCs w:val="21"/>
              </w:rPr>
            </w:pPr>
            <w:r>
              <w:rPr>
                <w:szCs w:val="21"/>
              </w:rPr>
              <w:t>GB/T 13462-2008</w:t>
            </w:r>
          </w:p>
        </w:tc>
        <w:tc>
          <w:tcPr>
            <w:tcW w:w="4190" w:type="dxa"/>
            <w:vAlign w:val="center"/>
          </w:tcPr>
          <w:p w14:paraId="37A5AD12">
            <w:pPr>
              <w:jc w:val="center"/>
              <w:rPr>
                <w:szCs w:val="21"/>
              </w:rPr>
            </w:pPr>
            <w:r>
              <w:rPr>
                <w:szCs w:val="21"/>
              </w:rPr>
              <w:t>《电力变压器经济运行》</w:t>
            </w:r>
          </w:p>
        </w:tc>
      </w:tr>
      <w:tr w14:paraId="0B6A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DF966BD">
            <w:pPr>
              <w:jc w:val="center"/>
              <w:rPr>
                <w:szCs w:val="21"/>
              </w:rPr>
            </w:pPr>
            <w:r>
              <w:rPr>
                <w:szCs w:val="21"/>
              </w:rPr>
              <w:t>5</w:t>
            </w:r>
          </w:p>
        </w:tc>
        <w:tc>
          <w:tcPr>
            <w:tcW w:w="3118" w:type="dxa"/>
            <w:vAlign w:val="center"/>
          </w:tcPr>
          <w:p w14:paraId="689F2187">
            <w:pPr>
              <w:jc w:val="center"/>
              <w:rPr>
                <w:szCs w:val="21"/>
              </w:rPr>
            </w:pPr>
            <w:r>
              <w:rPr>
                <w:szCs w:val="21"/>
              </w:rPr>
              <w:t>GB 20052-2024</w:t>
            </w:r>
          </w:p>
        </w:tc>
        <w:tc>
          <w:tcPr>
            <w:tcW w:w="4190" w:type="dxa"/>
            <w:vAlign w:val="center"/>
          </w:tcPr>
          <w:p w14:paraId="422DF84F">
            <w:pPr>
              <w:jc w:val="center"/>
              <w:rPr>
                <w:szCs w:val="21"/>
              </w:rPr>
            </w:pPr>
            <w:r>
              <w:rPr>
                <w:szCs w:val="21"/>
              </w:rPr>
              <w:t>《三相配电变压器能效限定值及能效等级》</w:t>
            </w:r>
          </w:p>
        </w:tc>
      </w:tr>
      <w:tr w14:paraId="4915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5BA35E0">
            <w:pPr>
              <w:jc w:val="center"/>
              <w:rPr>
                <w:szCs w:val="21"/>
              </w:rPr>
            </w:pPr>
            <w:r>
              <w:rPr>
                <w:szCs w:val="21"/>
              </w:rPr>
              <w:t>6</w:t>
            </w:r>
          </w:p>
        </w:tc>
        <w:tc>
          <w:tcPr>
            <w:tcW w:w="3118" w:type="dxa"/>
            <w:vAlign w:val="center"/>
          </w:tcPr>
          <w:p w14:paraId="22A06084">
            <w:pPr>
              <w:jc w:val="center"/>
              <w:rPr>
                <w:szCs w:val="21"/>
              </w:rPr>
            </w:pPr>
            <w:r>
              <w:rPr>
                <w:szCs w:val="21"/>
              </w:rPr>
              <w:t>GB/T 14549-1993</w:t>
            </w:r>
          </w:p>
        </w:tc>
        <w:tc>
          <w:tcPr>
            <w:tcW w:w="4190" w:type="dxa"/>
            <w:vAlign w:val="center"/>
          </w:tcPr>
          <w:p w14:paraId="16496692">
            <w:pPr>
              <w:jc w:val="center"/>
              <w:rPr>
                <w:szCs w:val="21"/>
              </w:rPr>
            </w:pPr>
            <w:r>
              <w:rPr>
                <w:szCs w:val="21"/>
              </w:rPr>
              <w:t>《电能质量 公用电网谐波》</w:t>
            </w:r>
          </w:p>
        </w:tc>
      </w:tr>
      <w:tr w14:paraId="4F41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7B65E11">
            <w:pPr>
              <w:jc w:val="center"/>
              <w:rPr>
                <w:szCs w:val="21"/>
              </w:rPr>
            </w:pPr>
            <w:r>
              <w:rPr>
                <w:szCs w:val="21"/>
              </w:rPr>
              <w:t>7</w:t>
            </w:r>
          </w:p>
        </w:tc>
        <w:tc>
          <w:tcPr>
            <w:tcW w:w="3118" w:type="dxa"/>
            <w:vAlign w:val="center"/>
          </w:tcPr>
          <w:p w14:paraId="413CDE69">
            <w:pPr>
              <w:jc w:val="center"/>
              <w:rPr>
                <w:szCs w:val="21"/>
              </w:rPr>
            </w:pPr>
            <w:r>
              <w:rPr>
                <w:szCs w:val="21"/>
              </w:rPr>
              <w:t>DL/T 5044-2014</w:t>
            </w:r>
          </w:p>
        </w:tc>
        <w:tc>
          <w:tcPr>
            <w:tcW w:w="4190" w:type="dxa"/>
            <w:vAlign w:val="center"/>
          </w:tcPr>
          <w:p w14:paraId="7AAEF7BF">
            <w:pPr>
              <w:jc w:val="center"/>
              <w:rPr>
                <w:szCs w:val="21"/>
              </w:rPr>
            </w:pPr>
            <w:r>
              <w:rPr>
                <w:szCs w:val="21"/>
              </w:rPr>
              <w:t>《电力工程直流电源系统设计技术规程》</w:t>
            </w:r>
          </w:p>
        </w:tc>
      </w:tr>
      <w:tr w14:paraId="2C23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A768917">
            <w:pPr>
              <w:jc w:val="center"/>
              <w:rPr>
                <w:szCs w:val="21"/>
              </w:rPr>
            </w:pPr>
            <w:r>
              <w:rPr>
                <w:rFonts w:hint="eastAsia"/>
                <w:szCs w:val="21"/>
              </w:rPr>
              <w:t>8</w:t>
            </w:r>
          </w:p>
        </w:tc>
        <w:tc>
          <w:tcPr>
            <w:tcW w:w="3118" w:type="dxa"/>
            <w:vAlign w:val="center"/>
          </w:tcPr>
          <w:p w14:paraId="540714D0">
            <w:pPr>
              <w:jc w:val="center"/>
              <w:rPr>
                <w:szCs w:val="21"/>
              </w:rPr>
            </w:pPr>
            <w:r>
              <w:rPr>
                <w:szCs w:val="21"/>
              </w:rPr>
              <w:t>南方电网公司相关技术标准及入网要求</w:t>
            </w:r>
          </w:p>
        </w:tc>
        <w:tc>
          <w:tcPr>
            <w:tcW w:w="4190" w:type="dxa"/>
            <w:vAlign w:val="center"/>
          </w:tcPr>
          <w:p w14:paraId="1839205B">
            <w:pPr>
              <w:jc w:val="center"/>
              <w:rPr>
                <w:szCs w:val="21"/>
              </w:rPr>
            </w:pPr>
          </w:p>
        </w:tc>
      </w:tr>
    </w:tbl>
    <w:p w14:paraId="3911C6DD">
      <w:pPr>
        <w:pStyle w:val="16"/>
        <w:numPr>
          <w:ilvl w:val="0"/>
          <w:numId w:val="9"/>
        </w:numPr>
        <w:ind w:firstLineChars="0"/>
        <w:outlineLvl w:val="1"/>
        <w:rPr>
          <w:rFonts w:ascii="楷体" w:hAnsi="楷体" w:eastAsia="楷体"/>
          <w:sz w:val="32"/>
          <w:szCs w:val="21"/>
        </w:rPr>
      </w:pPr>
      <w:r>
        <w:rPr>
          <w:rFonts w:ascii="楷体" w:hAnsi="楷体" w:eastAsia="楷体"/>
          <w:sz w:val="32"/>
          <w:szCs w:val="21"/>
        </w:rPr>
        <w:t>设计内容与要求</w:t>
      </w:r>
    </w:p>
    <w:p w14:paraId="1411C271">
      <w:pPr>
        <w:ind w:firstLine="420" w:firstLineChars="200"/>
        <w:rPr>
          <w:szCs w:val="21"/>
        </w:rPr>
      </w:pPr>
      <w:r>
        <w:rPr>
          <w:rFonts w:hint="eastAsia"/>
          <w:szCs w:val="21"/>
        </w:rPr>
        <w:t>设计文件深度须满足《建筑工程设计文件编制深度规定》的要求，具体包括：</w:t>
      </w:r>
    </w:p>
    <w:p w14:paraId="4D4A43BC">
      <w:pPr>
        <w:pStyle w:val="16"/>
        <w:numPr>
          <w:ilvl w:val="0"/>
          <w:numId w:val="10"/>
        </w:numPr>
        <w:ind w:firstLineChars="0"/>
        <w:outlineLvl w:val="2"/>
        <w:rPr>
          <w:rFonts w:ascii="仿宋" w:hAnsi="仿宋" w:eastAsia="仿宋"/>
          <w:sz w:val="32"/>
          <w:szCs w:val="21"/>
        </w:rPr>
      </w:pPr>
      <w:r>
        <w:rPr>
          <w:rFonts w:ascii="仿宋" w:hAnsi="仿宋" w:eastAsia="仿宋"/>
          <w:sz w:val="32"/>
          <w:szCs w:val="21"/>
        </w:rPr>
        <w:t>设计说明</w:t>
      </w:r>
    </w:p>
    <w:p w14:paraId="147B61AD">
      <w:pPr>
        <w:pStyle w:val="16"/>
        <w:numPr>
          <w:ilvl w:val="0"/>
          <w:numId w:val="11"/>
        </w:numPr>
        <w:ind w:firstLineChars="0"/>
        <w:rPr>
          <w:szCs w:val="21"/>
        </w:rPr>
      </w:pPr>
      <w:r>
        <w:rPr>
          <w:szCs w:val="21"/>
        </w:rPr>
        <w:t>设计依据、设计原则、工程概况</w:t>
      </w:r>
    </w:p>
    <w:p w14:paraId="5DC51665">
      <w:pPr>
        <w:pStyle w:val="16"/>
        <w:numPr>
          <w:ilvl w:val="0"/>
          <w:numId w:val="11"/>
        </w:numPr>
        <w:ind w:firstLineChars="0"/>
        <w:rPr>
          <w:szCs w:val="21"/>
        </w:rPr>
      </w:pPr>
      <w:r>
        <w:rPr>
          <w:szCs w:val="21"/>
        </w:rPr>
        <w:t>现状设备评估及改造必要性分析</w:t>
      </w:r>
    </w:p>
    <w:p w14:paraId="3A164FAD">
      <w:pPr>
        <w:pStyle w:val="16"/>
        <w:numPr>
          <w:ilvl w:val="0"/>
          <w:numId w:val="11"/>
        </w:numPr>
        <w:ind w:firstLineChars="0"/>
        <w:rPr>
          <w:szCs w:val="21"/>
        </w:rPr>
      </w:pPr>
      <w:r>
        <w:rPr>
          <w:szCs w:val="21"/>
        </w:rPr>
        <w:t>负荷计算及设备容量选型依据</w:t>
      </w:r>
    </w:p>
    <w:p w14:paraId="074D1E35">
      <w:pPr>
        <w:pStyle w:val="16"/>
        <w:numPr>
          <w:ilvl w:val="0"/>
          <w:numId w:val="11"/>
        </w:numPr>
        <w:ind w:firstLineChars="0"/>
        <w:rPr>
          <w:szCs w:val="21"/>
        </w:rPr>
      </w:pPr>
      <w:r>
        <w:rPr>
          <w:szCs w:val="21"/>
        </w:rPr>
        <w:t>电气主接线方案说明（含高压、变压器、低压系统）</w:t>
      </w:r>
    </w:p>
    <w:p w14:paraId="559BEEF0">
      <w:pPr>
        <w:pStyle w:val="16"/>
        <w:numPr>
          <w:ilvl w:val="0"/>
          <w:numId w:val="11"/>
        </w:numPr>
        <w:ind w:firstLineChars="0"/>
        <w:rPr>
          <w:szCs w:val="21"/>
        </w:rPr>
      </w:pPr>
      <w:r>
        <w:rPr>
          <w:szCs w:val="21"/>
        </w:rPr>
        <w:t>继电保护及自动装置方案</w:t>
      </w:r>
    </w:p>
    <w:p w14:paraId="0471C9CC">
      <w:pPr>
        <w:pStyle w:val="16"/>
        <w:numPr>
          <w:ilvl w:val="0"/>
          <w:numId w:val="11"/>
        </w:numPr>
        <w:ind w:firstLineChars="0"/>
        <w:rPr>
          <w:szCs w:val="21"/>
        </w:rPr>
      </w:pPr>
      <w:r>
        <w:rPr>
          <w:szCs w:val="21"/>
        </w:rPr>
        <w:t>计量及测量方案</w:t>
      </w:r>
    </w:p>
    <w:p w14:paraId="15764632">
      <w:pPr>
        <w:pStyle w:val="16"/>
        <w:numPr>
          <w:ilvl w:val="0"/>
          <w:numId w:val="11"/>
        </w:numPr>
        <w:ind w:firstLineChars="0"/>
        <w:rPr>
          <w:szCs w:val="21"/>
        </w:rPr>
      </w:pPr>
      <w:r>
        <w:rPr>
          <w:szCs w:val="21"/>
        </w:rPr>
        <w:t>主要设备技术参数要求</w:t>
      </w:r>
    </w:p>
    <w:p w14:paraId="71F2C2EC">
      <w:pPr>
        <w:pStyle w:val="16"/>
        <w:numPr>
          <w:ilvl w:val="0"/>
          <w:numId w:val="11"/>
        </w:numPr>
        <w:ind w:firstLineChars="0"/>
        <w:rPr>
          <w:szCs w:val="21"/>
        </w:rPr>
      </w:pPr>
      <w:r>
        <w:rPr>
          <w:szCs w:val="21"/>
        </w:rPr>
        <w:t>电缆选型及敷设方式说明</w:t>
      </w:r>
    </w:p>
    <w:p w14:paraId="5EF549D7">
      <w:pPr>
        <w:pStyle w:val="16"/>
        <w:numPr>
          <w:ilvl w:val="0"/>
          <w:numId w:val="11"/>
        </w:numPr>
        <w:ind w:firstLineChars="0"/>
        <w:rPr>
          <w:szCs w:val="21"/>
        </w:rPr>
      </w:pPr>
      <w:r>
        <w:rPr>
          <w:szCs w:val="21"/>
        </w:rPr>
        <w:t>接地系统方案</w:t>
      </w:r>
    </w:p>
    <w:p w14:paraId="7364349F">
      <w:pPr>
        <w:pStyle w:val="16"/>
        <w:numPr>
          <w:ilvl w:val="0"/>
          <w:numId w:val="11"/>
        </w:numPr>
        <w:ind w:firstLineChars="0"/>
        <w:rPr>
          <w:szCs w:val="21"/>
        </w:rPr>
      </w:pPr>
      <w:r>
        <w:rPr>
          <w:szCs w:val="21"/>
        </w:rPr>
        <w:t>过渡供电保障方案</w:t>
      </w:r>
    </w:p>
    <w:p w14:paraId="1C37A9BB">
      <w:pPr>
        <w:pStyle w:val="16"/>
        <w:numPr>
          <w:ilvl w:val="0"/>
          <w:numId w:val="11"/>
        </w:numPr>
        <w:ind w:firstLineChars="0"/>
        <w:rPr>
          <w:szCs w:val="21"/>
        </w:rPr>
      </w:pPr>
      <w:r>
        <w:rPr>
          <w:szCs w:val="21"/>
        </w:rPr>
        <w:t>施工期间安全防护措施要求</w:t>
      </w:r>
    </w:p>
    <w:p w14:paraId="21E4E6B3">
      <w:pPr>
        <w:pStyle w:val="16"/>
        <w:numPr>
          <w:ilvl w:val="0"/>
          <w:numId w:val="12"/>
        </w:numPr>
        <w:ind w:firstLineChars="0"/>
        <w:outlineLvl w:val="2"/>
        <w:rPr>
          <w:rFonts w:ascii="仿宋" w:hAnsi="仿宋" w:eastAsia="仿宋"/>
          <w:sz w:val="32"/>
          <w:szCs w:val="21"/>
        </w:rPr>
      </w:pPr>
      <w:r>
        <w:rPr>
          <w:rFonts w:ascii="仿宋" w:hAnsi="仿宋" w:eastAsia="仿宋"/>
          <w:sz w:val="32"/>
          <w:szCs w:val="21"/>
        </w:rPr>
        <w:t>设计图纸</w:t>
      </w:r>
    </w:p>
    <w:p w14:paraId="67E871A4">
      <w:pPr>
        <w:pStyle w:val="16"/>
        <w:numPr>
          <w:ilvl w:val="0"/>
          <w:numId w:val="13"/>
        </w:numPr>
        <w:ind w:firstLineChars="0"/>
        <w:rPr>
          <w:szCs w:val="21"/>
        </w:rPr>
      </w:pPr>
      <w:r>
        <w:rPr>
          <w:szCs w:val="21"/>
        </w:rPr>
        <w:t>电房设备布置平面图</w:t>
      </w:r>
    </w:p>
    <w:p w14:paraId="7C6AEB7F">
      <w:pPr>
        <w:pStyle w:val="16"/>
        <w:numPr>
          <w:ilvl w:val="0"/>
          <w:numId w:val="13"/>
        </w:numPr>
        <w:ind w:firstLineChars="0"/>
        <w:rPr>
          <w:szCs w:val="21"/>
        </w:rPr>
      </w:pPr>
      <w:r>
        <w:rPr>
          <w:szCs w:val="21"/>
        </w:rPr>
        <w:t>电气主接线图</w:t>
      </w:r>
    </w:p>
    <w:p w14:paraId="49901ADB">
      <w:pPr>
        <w:pStyle w:val="16"/>
        <w:numPr>
          <w:ilvl w:val="0"/>
          <w:numId w:val="13"/>
        </w:numPr>
        <w:ind w:firstLineChars="0"/>
        <w:rPr>
          <w:szCs w:val="21"/>
        </w:rPr>
      </w:pPr>
      <w:r>
        <w:rPr>
          <w:szCs w:val="21"/>
        </w:rPr>
        <w:t>高压配电系统图</w:t>
      </w:r>
    </w:p>
    <w:p w14:paraId="244B99F9">
      <w:pPr>
        <w:pStyle w:val="16"/>
        <w:numPr>
          <w:ilvl w:val="0"/>
          <w:numId w:val="13"/>
        </w:numPr>
        <w:ind w:firstLineChars="0"/>
        <w:rPr>
          <w:szCs w:val="21"/>
        </w:rPr>
      </w:pPr>
      <w:r>
        <w:rPr>
          <w:szCs w:val="21"/>
        </w:rPr>
        <w:t>低压配电系统图</w:t>
      </w:r>
    </w:p>
    <w:p w14:paraId="2E11E866">
      <w:pPr>
        <w:pStyle w:val="16"/>
        <w:numPr>
          <w:ilvl w:val="0"/>
          <w:numId w:val="13"/>
        </w:numPr>
        <w:ind w:firstLineChars="0"/>
        <w:rPr>
          <w:szCs w:val="21"/>
        </w:rPr>
      </w:pPr>
      <w:r>
        <w:rPr>
          <w:szCs w:val="21"/>
        </w:rPr>
        <w:t>变压器安装及基础详图</w:t>
      </w:r>
    </w:p>
    <w:p w14:paraId="3681269D">
      <w:pPr>
        <w:pStyle w:val="16"/>
        <w:numPr>
          <w:ilvl w:val="0"/>
          <w:numId w:val="13"/>
        </w:numPr>
        <w:ind w:firstLineChars="0"/>
        <w:rPr>
          <w:szCs w:val="21"/>
        </w:rPr>
      </w:pPr>
      <w:r>
        <w:rPr>
          <w:szCs w:val="21"/>
        </w:rPr>
        <w:t>高压柜、低压柜安装布置图</w:t>
      </w:r>
    </w:p>
    <w:p w14:paraId="715EA872">
      <w:pPr>
        <w:pStyle w:val="16"/>
        <w:numPr>
          <w:ilvl w:val="0"/>
          <w:numId w:val="13"/>
        </w:numPr>
        <w:ind w:firstLineChars="0"/>
        <w:rPr>
          <w:szCs w:val="21"/>
        </w:rPr>
      </w:pPr>
      <w:r>
        <w:rPr>
          <w:szCs w:val="21"/>
        </w:rPr>
        <w:t>电缆敷设路径图</w:t>
      </w:r>
    </w:p>
    <w:p w14:paraId="0ADE1E42">
      <w:pPr>
        <w:pStyle w:val="16"/>
        <w:numPr>
          <w:ilvl w:val="0"/>
          <w:numId w:val="13"/>
        </w:numPr>
        <w:ind w:firstLineChars="0"/>
        <w:rPr>
          <w:szCs w:val="21"/>
        </w:rPr>
      </w:pPr>
      <w:r>
        <w:rPr>
          <w:szCs w:val="21"/>
        </w:rPr>
        <w:t>接地平面图</w:t>
      </w:r>
    </w:p>
    <w:p w14:paraId="404585D0">
      <w:pPr>
        <w:pStyle w:val="16"/>
        <w:numPr>
          <w:ilvl w:val="0"/>
          <w:numId w:val="13"/>
        </w:numPr>
        <w:ind w:firstLineChars="0"/>
        <w:rPr>
          <w:szCs w:val="21"/>
        </w:rPr>
      </w:pPr>
      <w:r>
        <w:rPr>
          <w:szCs w:val="21"/>
        </w:rPr>
        <w:t>设备基础改造图（如需）</w:t>
      </w:r>
    </w:p>
    <w:p w14:paraId="4966D1CE">
      <w:pPr>
        <w:pStyle w:val="16"/>
        <w:numPr>
          <w:ilvl w:val="0"/>
          <w:numId w:val="13"/>
        </w:numPr>
        <w:ind w:firstLineChars="0"/>
        <w:rPr>
          <w:szCs w:val="21"/>
        </w:rPr>
      </w:pPr>
      <w:r>
        <w:rPr>
          <w:szCs w:val="21"/>
        </w:rPr>
        <w:t>过渡供电方案接线示意图</w:t>
      </w:r>
    </w:p>
    <w:p w14:paraId="0530C80E">
      <w:pPr>
        <w:pStyle w:val="16"/>
        <w:numPr>
          <w:ilvl w:val="0"/>
          <w:numId w:val="13"/>
        </w:numPr>
        <w:ind w:firstLineChars="0"/>
        <w:rPr>
          <w:szCs w:val="21"/>
        </w:rPr>
      </w:pPr>
      <w:r>
        <w:rPr>
          <w:szCs w:val="21"/>
        </w:rPr>
        <w:t>其他必要的详图</w:t>
      </w:r>
    </w:p>
    <w:p w14:paraId="4341C2C1">
      <w:pPr>
        <w:pStyle w:val="16"/>
        <w:numPr>
          <w:ilvl w:val="0"/>
          <w:numId w:val="14"/>
        </w:numPr>
        <w:ind w:firstLineChars="0"/>
        <w:outlineLvl w:val="2"/>
        <w:rPr>
          <w:rFonts w:ascii="仿宋" w:hAnsi="仿宋" w:eastAsia="仿宋"/>
          <w:sz w:val="32"/>
          <w:szCs w:val="21"/>
        </w:rPr>
      </w:pPr>
      <w:r>
        <w:rPr>
          <w:rFonts w:ascii="仿宋" w:hAnsi="仿宋" w:eastAsia="仿宋"/>
          <w:sz w:val="32"/>
          <w:szCs w:val="21"/>
        </w:rPr>
        <w:t>投资概算</w:t>
      </w:r>
    </w:p>
    <w:p w14:paraId="32C28D34">
      <w:pPr>
        <w:pStyle w:val="16"/>
        <w:numPr>
          <w:ilvl w:val="0"/>
          <w:numId w:val="15"/>
        </w:numPr>
        <w:ind w:firstLineChars="0"/>
        <w:rPr>
          <w:szCs w:val="21"/>
        </w:rPr>
      </w:pPr>
      <w:r>
        <w:rPr>
          <w:szCs w:val="21"/>
        </w:rPr>
        <w:t>编制项目投资概算书</w:t>
      </w:r>
    </w:p>
    <w:p w14:paraId="301A7117">
      <w:pPr>
        <w:pStyle w:val="16"/>
        <w:numPr>
          <w:ilvl w:val="0"/>
          <w:numId w:val="15"/>
        </w:numPr>
        <w:ind w:firstLineChars="0"/>
        <w:rPr>
          <w:szCs w:val="21"/>
        </w:rPr>
      </w:pPr>
      <w:r>
        <w:rPr>
          <w:szCs w:val="21"/>
        </w:rPr>
        <w:t>设备费、安装工程费、其他费用分类明细</w:t>
      </w:r>
    </w:p>
    <w:p w14:paraId="4B032149">
      <w:pPr>
        <w:pStyle w:val="16"/>
        <w:numPr>
          <w:ilvl w:val="0"/>
          <w:numId w:val="15"/>
        </w:numPr>
        <w:ind w:firstLineChars="0"/>
        <w:rPr>
          <w:szCs w:val="21"/>
        </w:rPr>
      </w:pPr>
      <w:r>
        <w:rPr>
          <w:szCs w:val="21"/>
        </w:rPr>
        <w:t>过渡供电保障相关费用单独列项</w:t>
      </w:r>
    </w:p>
    <w:p w14:paraId="5920C482">
      <w:pPr>
        <w:pStyle w:val="16"/>
        <w:numPr>
          <w:ilvl w:val="0"/>
          <w:numId w:val="16"/>
        </w:numPr>
        <w:ind w:firstLineChars="0"/>
        <w:outlineLvl w:val="2"/>
        <w:rPr>
          <w:rFonts w:ascii="仿宋" w:hAnsi="仿宋" w:eastAsia="仿宋"/>
          <w:sz w:val="32"/>
          <w:szCs w:val="21"/>
        </w:rPr>
      </w:pPr>
      <w:r>
        <w:rPr>
          <w:rFonts w:ascii="仿宋" w:hAnsi="仿宋" w:eastAsia="仿宋"/>
          <w:sz w:val="32"/>
          <w:szCs w:val="21"/>
        </w:rPr>
        <w:t>2.4.4 施工蓝图</w:t>
      </w:r>
    </w:p>
    <w:p w14:paraId="7CD390B5">
      <w:pPr>
        <w:ind w:firstLine="420" w:firstLineChars="200"/>
        <w:rPr>
          <w:szCs w:val="21"/>
        </w:rPr>
      </w:pPr>
      <w:r>
        <w:rPr>
          <w:szCs w:val="21"/>
        </w:rPr>
        <w:t>提交加盖出图章的施工蓝图4套</w:t>
      </w:r>
    </w:p>
    <w:p w14:paraId="627AD3C2">
      <w:pPr>
        <w:pStyle w:val="16"/>
        <w:numPr>
          <w:ilvl w:val="0"/>
          <w:numId w:val="17"/>
        </w:numPr>
        <w:ind w:firstLineChars="0"/>
        <w:outlineLvl w:val="2"/>
        <w:rPr>
          <w:rFonts w:ascii="仿宋" w:hAnsi="仿宋" w:eastAsia="仿宋"/>
          <w:sz w:val="32"/>
          <w:szCs w:val="21"/>
        </w:rPr>
      </w:pPr>
      <w:r>
        <w:rPr>
          <w:rFonts w:ascii="仿宋" w:hAnsi="仿宋" w:eastAsia="仿宋"/>
          <w:sz w:val="32"/>
          <w:szCs w:val="21"/>
        </w:rPr>
        <w:t>设计关键控制点</w:t>
      </w:r>
    </w:p>
    <w:p w14:paraId="3AC94AFA">
      <w:pPr>
        <w:pStyle w:val="16"/>
        <w:numPr>
          <w:ilvl w:val="0"/>
          <w:numId w:val="18"/>
        </w:numPr>
        <w:ind w:firstLineChars="0"/>
        <w:outlineLvl w:val="3"/>
        <w:rPr>
          <w:rFonts w:ascii="仿宋" w:hAnsi="仿宋" w:eastAsia="仿宋"/>
          <w:sz w:val="32"/>
          <w:szCs w:val="21"/>
        </w:rPr>
      </w:pPr>
      <w:r>
        <w:rPr>
          <w:rFonts w:ascii="仿宋" w:hAnsi="仿宋" w:eastAsia="仿宋"/>
          <w:sz w:val="32"/>
          <w:szCs w:val="21"/>
        </w:rPr>
        <w:t>过渡供电保障方案（核心要求）</w:t>
      </w:r>
    </w:p>
    <w:p w14:paraId="67052F96">
      <w:pPr>
        <w:ind w:firstLine="420" w:firstLineChars="200"/>
        <w:rPr>
          <w:szCs w:val="21"/>
        </w:rPr>
      </w:pPr>
      <w:r>
        <w:rPr>
          <w:rFonts w:hint="eastAsia"/>
          <w:szCs w:val="21"/>
        </w:rPr>
        <w:t>由于医院为重要电力用户，施工期间须确保医疗区不停电。设计方案中须包含详细的过渡供电保障方案：</w:t>
      </w:r>
    </w:p>
    <w:p w14:paraId="0F083A29">
      <w:pPr>
        <w:ind w:firstLine="420" w:firstLineChars="200"/>
        <w:rPr>
          <w:szCs w:val="21"/>
        </w:rPr>
      </w:pPr>
      <w:r>
        <w:rPr>
          <w:szCs w:val="21"/>
        </w:rPr>
        <w:t>1.</w:t>
      </w:r>
      <w:r>
        <w:rPr>
          <w:szCs w:val="21"/>
        </w:rPr>
        <w:tab/>
      </w:r>
      <w:r>
        <w:rPr>
          <w:szCs w:val="21"/>
        </w:rPr>
        <w:t>编制施工期间临时供电方案，充分利用医院现有应急柴油发电机及移动发电车保障医疗区供电；</w:t>
      </w:r>
    </w:p>
    <w:p w14:paraId="38F748B0">
      <w:pPr>
        <w:ind w:firstLine="420" w:firstLineChars="200"/>
        <w:rPr>
          <w:szCs w:val="21"/>
        </w:rPr>
      </w:pPr>
      <w:r>
        <w:rPr>
          <w:szCs w:val="21"/>
        </w:rPr>
        <w:t>2.</w:t>
      </w:r>
      <w:r>
        <w:rPr>
          <w:szCs w:val="21"/>
        </w:rPr>
        <w:tab/>
      </w:r>
      <w:r>
        <w:rPr>
          <w:szCs w:val="21"/>
        </w:rPr>
        <w:t>明确设备更换期间的停电范围和停电时序，将停电影响降至最低；</w:t>
      </w:r>
    </w:p>
    <w:p w14:paraId="3ED05FBA">
      <w:pPr>
        <w:ind w:firstLine="420" w:firstLineChars="200"/>
        <w:rPr>
          <w:szCs w:val="21"/>
        </w:rPr>
      </w:pPr>
      <w:r>
        <w:rPr>
          <w:szCs w:val="21"/>
        </w:rPr>
        <w:t>3.</w:t>
      </w:r>
      <w:r>
        <w:rPr>
          <w:szCs w:val="21"/>
        </w:rPr>
        <w:tab/>
      </w:r>
      <w:r>
        <w:rPr>
          <w:szCs w:val="21"/>
        </w:rPr>
        <w:t>设计临时供电接线方案及切换操作流程；</w:t>
      </w:r>
    </w:p>
    <w:p w14:paraId="2B29B7AC">
      <w:pPr>
        <w:ind w:firstLine="420" w:firstLineChars="200"/>
        <w:rPr>
          <w:szCs w:val="21"/>
        </w:rPr>
      </w:pPr>
      <w:r>
        <w:rPr>
          <w:szCs w:val="21"/>
        </w:rPr>
        <w:t>4.</w:t>
      </w:r>
      <w:r>
        <w:rPr>
          <w:szCs w:val="21"/>
        </w:rPr>
        <w:tab/>
      </w:r>
      <w:r>
        <w:rPr>
          <w:szCs w:val="21"/>
        </w:rPr>
        <w:t>明确施工期间供电安全保障措施及应急预案。</w:t>
      </w:r>
    </w:p>
    <w:p w14:paraId="6AF2330F">
      <w:pPr>
        <w:pStyle w:val="16"/>
        <w:numPr>
          <w:ilvl w:val="0"/>
          <w:numId w:val="19"/>
        </w:numPr>
        <w:ind w:firstLineChars="0"/>
        <w:outlineLvl w:val="3"/>
        <w:rPr>
          <w:rFonts w:ascii="仿宋" w:hAnsi="仿宋" w:eastAsia="仿宋"/>
          <w:sz w:val="32"/>
          <w:szCs w:val="21"/>
        </w:rPr>
      </w:pPr>
      <w:r>
        <w:rPr>
          <w:rFonts w:ascii="仿宋" w:hAnsi="仿宋" w:eastAsia="仿宋"/>
          <w:sz w:val="32"/>
          <w:szCs w:val="21"/>
        </w:rPr>
        <w:t>设备选型要求</w:t>
      </w:r>
    </w:p>
    <w:p w14:paraId="3FA14494">
      <w:pPr>
        <w:ind w:firstLine="420" w:firstLineChars="200"/>
        <w:rPr>
          <w:szCs w:val="21"/>
        </w:rPr>
      </w:pPr>
      <w:r>
        <w:rPr>
          <w:szCs w:val="21"/>
        </w:rPr>
        <w:t>1.变压器：应采用高效节能型干式变压器，能效等级不低于《三相配电变压器能效限定值及能效等级》GB 20052中规定的二级能效要求，优先选用一级能效产品。</w:t>
      </w:r>
    </w:p>
    <w:p w14:paraId="186628F0">
      <w:pPr>
        <w:ind w:firstLine="420" w:firstLineChars="200"/>
        <w:rPr>
          <w:szCs w:val="21"/>
        </w:rPr>
      </w:pPr>
      <w:r>
        <w:rPr>
          <w:szCs w:val="21"/>
        </w:rPr>
        <w:t>2.高压柜：应采用金属铠装移开式或固定式开关柜，配真空断路器，操作机构选用弹簧储能式，满足“五防”联锁功能要求。</w:t>
      </w:r>
    </w:p>
    <w:p w14:paraId="758B4198">
      <w:pPr>
        <w:ind w:firstLine="420" w:firstLineChars="200"/>
        <w:rPr>
          <w:szCs w:val="21"/>
        </w:rPr>
      </w:pPr>
      <w:r>
        <w:rPr>
          <w:szCs w:val="21"/>
        </w:rPr>
        <w:t>3.低压柜：应采用抽出式或固定分隔式开关柜，各回路配齐保护元件，电容器补偿容量应满足功率因数不低于0.9的要求。</w:t>
      </w:r>
    </w:p>
    <w:p w14:paraId="45505E9A">
      <w:pPr>
        <w:ind w:firstLine="420" w:firstLineChars="200"/>
        <w:rPr>
          <w:szCs w:val="21"/>
        </w:rPr>
      </w:pPr>
      <w:r>
        <w:rPr>
          <w:szCs w:val="21"/>
        </w:rPr>
        <w:t>4.母线及电缆：母线应按额定电流及短路动、热稳定电流选择，电缆应选用阻燃型铜芯电力电缆。</w:t>
      </w:r>
    </w:p>
    <w:p w14:paraId="5FE7127A">
      <w:pPr>
        <w:pStyle w:val="16"/>
        <w:numPr>
          <w:ilvl w:val="0"/>
          <w:numId w:val="20"/>
        </w:numPr>
        <w:ind w:firstLineChars="0"/>
        <w:outlineLvl w:val="3"/>
        <w:rPr>
          <w:rFonts w:ascii="仿宋" w:hAnsi="仿宋" w:eastAsia="仿宋"/>
          <w:sz w:val="32"/>
          <w:szCs w:val="21"/>
        </w:rPr>
      </w:pPr>
      <w:r>
        <w:rPr>
          <w:rFonts w:ascii="仿宋" w:hAnsi="仿宋" w:eastAsia="仿宋"/>
          <w:sz w:val="32"/>
          <w:szCs w:val="21"/>
        </w:rPr>
        <w:t>平面布置要求</w:t>
      </w:r>
    </w:p>
    <w:p w14:paraId="623D9084">
      <w:pPr>
        <w:ind w:firstLine="420" w:firstLineChars="200"/>
        <w:rPr>
          <w:szCs w:val="21"/>
        </w:rPr>
      </w:pPr>
      <w:r>
        <w:rPr>
          <w:szCs w:val="21"/>
        </w:rPr>
        <w:t>1.设计须充分考虑现有电房的空间条件，合理布置高压柜、变压器、低压柜的位置；</w:t>
      </w:r>
    </w:p>
    <w:p w14:paraId="7DE299EB">
      <w:pPr>
        <w:ind w:firstLine="420" w:firstLineChars="200"/>
        <w:rPr>
          <w:szCs w:val="21"/>
        </w:rPr>
      </w:pPr>
      <w:r>
        <w:rPr>
          <w:szCs w:val="21"/>
        </w:rPr>
        <w:t>2.设备布置应满足操作走廊宽度、检修间距及安全净距等规范要求；</w:t>
      </w:r>
    </w:p>
    <w:p w14:paraId="4FEF640F">
      <w:pPr>
        <w:ind w:firstLine="420" w:firstLineChars="200"/>
        <w:rPr>
          <w:szCs w:val="21"/>
        </w:rPr>
      </w:pPr>
      <w:r>
        <w:rPr>
          <w:szCs w:val="21"/>
        </w:rPr>
        <w:t>3.变压器室应满足通风散热要求，温控及风机联动；</w:t>
      </w:r>
    </w:p>
    <w:p w14:paraId="5E7E7AF4">
      <w:pPr>
        <w:ind w:firstLine="420" w:firstLineChars="200"/>
        <w:rPr>
          <w:szCs w:val="21"/>
        </w:rPr>
      </w:pPr>
      <w:r>
        <w:rPr>
          <w:szCs w:val="21"/>
        </w:rPr>
        <w:t>4.高压室与低压室应合理分区，满足防火分区要求。</w:t>
      </w:r>
    </w:p>
    <w:p w14:paraId="76A9DCA1">
      <w:pPr>
        <w:pStyle w:val="16"/>
        <w:numPr>
          <w:ilvl w:val="0"/>
          <w:numId w:val="21"/>
        </w:numPr>
        <w:ind w:firstLineChars="0"/>
        <w:outlineLvl w:val="2"/>
        <w:rPr>
          <w:rFonts w:ascii="仿宋" w:hAnsi="仿宋" w:eastAsia="仿宋"/>
          <w:sz w:val="32"/>
          <w:szCs w:val="21"/>
        </w:rPr>
      </w:pPr>
      <w:r>
        <w:rPr>
          <w:rFonts w:ascii="仿宋" w:hAnsi="仿宋" w:eastAsia="仿宋"/>
          <w:sz w:val="32"/>
          <w:szCs w:val="21"/>
        </w:rPr>
        <w:t>继电保护及安全自动装置</w:t>
      </w:r>
    </w:p>
    <w:p w14:paraId="160069BB">
      <w:pPr>
        <w:ind w:firstLine="420" w:firstLineChars="200"/>
        <w:rPr>
          <w:szCs w:val="21"/>
        </w:rPr>
      </w:pPr>
      <w:r>
        <w:rPr>
          <w:szCs w:val="21"/>
        </w:rPr>
        <w:t>1.变压器应配置温度保护、过流保护、速断保护及零序保护等；</w:t>
      </w:r>
    </w:p>
    <w:p w14:paraId="70CDD8D2">
      <w:pPr>
        <w:ind w:firstLine="420" w:firstLineChars="200"/>
        <w:rPr>
          <w:szCs w:val="21"/>
        </w:rPr>
      </w:pPr>
      <w:r>
        <w:rPr>
          <w:szCs w:val="21"/>
        </w:rPr>
        <w:t>2.高压进线应配置完善的保护装置，符合供电部门接入系统要求；</w:t>
      </w:r>
    </w:p>
    <w:p w14:paraId="46104D63">
      <w:pPr>
        <w:ind w:firstLine="420" w:firstLineChars="200"/>
        <w:rPr>
          <w:szCs w:val="21"/>
        </w:rPr>
      </w:pPr>
      <w:r>
        <w:rPr>
          <w:szCs w:val="21"/>
        </w:rPr>
        <w:t>3.低压总开关应配置智能保护控制器，具备过载长延时、短路短延时、短路瞬时及接地故障保护功能。</w:t>
      </w:r>
    </w:p>
    <w:p w14:paraId="64191F93">
      <w:pPr>
        <w:pStyle w:val="16"/>
        <w:numPr>
          <w:ilvl w:val="0"/>
          <w:numId w:val="22"/>
        </w:numPr>
        <w:ind w:firstLineChars="0"/>
        <w:outlineLvl w:val="0"/>
        <w:rPr>
          <w:rFonts w:ascii="黑体" w:hAnsi="黑体" w:eastAsia="黑体"/>
          <w:sz w:val="32"/>
          <w:szCs w:val="21"/>
        </w:rPr>
      </w:pPr>
      <w:r>
        <w:rPr>
          <w:rFonts w:ascii="黑体" w:hAnsi="黑体" w:eastAsia="黑体"/>
          <w:sz w:val="32"/>
          <w:szCs w:val="21"/>
        </w:rPr>
        <w:t>商务要求</w:t>
      </w:r>
    </w:p>
    <w:p w14:paraId="2CEE05B4">
      <w:pPr>
        <w:pStyle w:val="16"/>
        <w:numPr>
          <w:ilvl w:val="0"/>
          <w:numId w:val="23"/>
        </w:numPr>
        <w:ind w:firstLineChars="0"/>
        <w:outlineLvl w:val="1"/>
        <w:rPr>
          <w:rFonts w:ascii="楷体" w:hAnsi="楷体" w:eastAsia="楷体"/>
          <w:sz w:val="32"/>
          <w:szCs w:val="21"/>
        </w:rPr>
      </w:pPr>
      <w:r>
        <w:rPr>
          <w:rFonts w:ascii="楷体" w:hAnsi="楷体" w:eastAsia="楷体"/>
          <w:sz w:val="32"/>
          <w:szCs w:val="21"/>
        </w:rPr>
        <w:t>交付物要求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536"/>
        <w:gridCol w:w="709"/>
        <w:gridCol w:w="2347"/>
      </w:tblGrid>
      <w:tr w14:paraId="47C3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5A8334">
            <w:pPr>
              <w:jc w:val="center"/>
              <w:rPr>
                <w:szCs w:val="21"/>
              </w:rPr>
            </w:pPr>
            <w:r>
              <w:rPr>
                <w:rFonts w:hint="eastAsia"/>
                <w:szCs w:val="21"/>
              </w:rPr>
              <w:t>序号</w:t>
            </w:r>
          </w:p>
        </w:tc>
        <w:tc>
          <w:tcPr>
            <w:tcW w:w="4536" w:type="dxa"/>
            <w:vAlign w:val="center"/>
          </w:tcPr>
          <w:p w14:paraId="66A377B6">
            <w:pPr>
              <w:jc w:val="center"/>
              <w:rPr>
                <w:szCs w:val="21"/>
              </w:rPr>
            </w:pPr>
            <w:r>
              <w:rPr>
                <w:szCs w:val="21"/>
              </w:rPr>
              <w:t>交付物名称</w:t>
            </w:r>
          </w:p>
        </w:tc>
        <w:tc>
          <w:tcPr>
            <w:tcW w:w="709" w:type="dxa"/>
            <w:vAlign w:val="center"/>
          </w:tcPr>
          <w:p w14:paraId="5186BDFE">
            <w:pPr>
              <w:jc w:val="center"/>
              <w:rPr>
                <w:szCs w:val="21"/>
              </w:rPr>
            </w:pPr>
            <w:r>
              <w:rPr>
                <w:szCs w:val="21"/>
              </w:rPr>
              <w:t>数量</w:t>
            </w:r>
          </w:p>
        </w:tc>
        <w:tc>
          <w:tcPr>
            <w:tcW w:w="2347" w:type="dxa"/>
            <w:vAlign w:val="center"/>
          </w:tcPr>
          <w:p w14:paraId="62DF39AF">
            <w:pPr>
              <w:jc w:val="center"/>
              <w:rPr>
                <w:szCs w:val="21"/>
              </w:rPr>
            </w:pPr>
            <w:r>
              <w:rPr>
                <w:szCs w:val="21"/>
              </w:rPr>
              <w:t>形式</w:t>
            </w:r>
          </w:p>
        </w:tc>
      </w:tr>
      <w:tr w14:paraId="3D1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F66E9F4">
            <w:pPr>
              <w:jc w:val="center"/>
              <w:rPr>
                <w:szCs w:val="21"/>
              </w:rPr>
            </w:pPr>
            <w:r>
              <w:rPr>
                <w:szCs w:val="21"/>
              </w:rPr>
              <w:t>1</w:t>
            </w:r>
          </w:p>
        </w:tc>
        <w:tc>
          <w:tcPr>
            <w:tcW w:w="4536" w:type="dxa"/>
            <w:vAlign w:val="center"/>
          </w:tcPr>
          <w:p w14:paraId="0981FC0B">
            <w:pPr>
              <w:jc w:val="center"/>
              <w:rPr>
                <w:szCs w:val="21"/>
              </w:rPr>
            </w:pPr>
            <w:r>
              <w:rPr>
                <w:szCs w:val="21"/>
              </w:rPr>
              <w:t>项目实施方案（含过渡供电方案）</w:t>
            </w:r>
          </w:p>
        </w:tc>
        <w:tc>
          <w:tcPr>
            <w:tcW w:w="709" w:type="dxa"/>
            <w:vAlign w:val="center"/>
          </w:tcPr>
          <w:p w14:paraId="010A6C96">
            <w:pPr>
              <w:jc w:val="center"/>
              <w:rPr>
                <w:szCs w:val="21"/>
              </w:rPr>
            </w:pPr>
            <w:r>
              <w:rPr>
                <w:szCs w:val="21"/>
              </w:rPr>
              <w:t>3份</w:t>
            </w:r>
          </w:p>
        </w:tc>
        <w:tc>
          <w:tcPr>
            <w:tcW w:w="2347" w:type="dxa"/>
            <w:vAlign w:val="center"/>
          </w:tcPr>
          <w:p w14:paraId="2E200738">
            <w:pPr>
              <w:jc w:val="center"/>
              <w:rPr>
                <w:szCs w:val="21"/>
              </w:rPr>
            </w:pPr>
            <w:r>
              <w:rPr>
                <w:szCs w:val="21"/>
              </w:rPr>
              <w:t>纸质+电子版</w:t>
            </w:r>
          </w:p>
        </w:tc>
      </w:tr>
      <w:tr w14:paraId="4D9D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D43B8C3">
            <w:pPr>
              <w:jc w:val="center"/>
              <w:rPr>
                <w:szCs w:val="21"/>
              </w:rPr>
            </w:pPr>
            <w:r>
              <w:rPr>
                <w:szCs w:val="21"/>
              </w:rPr>
              <w:t>2</w:t>
            </w:r>
          </w:p>
        </w:tc>
        <w:tc>
          <w:tcPr>
            <w:tcW w:w="4536" w:type="dxa"/>
            <w:vAlign w:val="center"/>
          </w:tcPr>
          <w:p w14:paraId="2CB4120A">
            <w:pPr>
              <w:jc w:val="center"/>
              <w:rPr>
                <w:szCs w:val="21"/>
              </w:rPr>
            </w:pPr>
            <w:r>
              <w:rPr>
                <w:szCs w:val="21"/>
              </w:rPr>
              <w:t>施工图设计图纸</w:t>
            </w:r>
          </w:p>
        </w:tc>
        <w:tc>
          <w:tcPr>
            <w:tcW w:w="709" w:type="dxa"/>
            <w:vAlign w:val="center"/>
          </w:tcPr>
          <w:p w14:paraId="3F3112F3">
            <w:pPr>
              <w:jc w:val="center"/>
              <w:rPr>
                <w:szCs w:val="21"/>
              </w:rPr>
            </w:pPr>
            <w:r>
              <w:rPr>
                <w:szCs w:val="21"/>
              </w:rPr>
              <w:t>4套</w:t>
            </w:r>
          </w:p>
        </w:tc>
        <w:tc>
          <w:tcPr>
            <w:tcW w:w="2347" w:type="dxa"/>
            <w:vAlign w:val="center"/>
          </w:tcPr>
          <w:p w14:paraId="2018A935">
            <w:pPr>
              <w:jc w:val="center"/>
              <w:rPr>
                <w:szCs w:val="21"/>
              </w:rPr>
            </w:pPr>
            <w:r>
              <w:rPr>
                <w:szCs w:val="21"/>
              </w:rPr>
              <w:t>纸质蓝图+CAD源文件</w:t>
            </w:r>
          </w:p>
        </w:tc>
      </w:tr>
      <w:tr w14:paraId="511B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588E28F">
            <w:pPr>
              <w:jc w:val="center"/>
              <w:rPr>
                <w:szCs w:val="21"/>
              </w:rPr>
            </w:pPr>
            <w:r>
              <w:rPr>
                <w:szCs w:val="21"/>
              </w:rPr>
              <w:t>3</w:t>
            </w:r>
          </w:p>
        </w:tc>
        <w:tc>
          <w:tcPr>
            <w:tcW w:w="4536" w:type="dxa"/>
            <w:vAlign w:val="center"/>
          </w:tcPr>
          <w:p w14:paraId="462E671E">
            <w:pPr>
              <w:jc w:val="center"/>
              <w:rPr>
                <w:szCs w:val="21"/>
              </w:rPr>
            </w:pPr>
            <w:r>
              <w:rPr>
                <w:szCs w:val="21"/>
              </w:rPr>
              <w:t>投资概算书</w:t>
            </w:r>
          </w:p>
        </w:tc>
        <w:tc>
          <w:tcPr>
            <w:tcW w:w="709" w:type="dxa"/>
            <w:vAlign w:val="center"/>
          </w:tcPr>
          <w:p w14:paraId="664C205E">
            <w:pPr>
              <w:jc w:val="center"/>
              <w:rPr>
                <w:szCs w:val="21"/>
              </w:rPr>
            </w:pPr>
            <w:r>
              <w:rPr>
                <w:szCs w:val="21"/>
              </w:rPr>
              <w:t>3份</w:t>
            </w:r>
          </w:p>
        </w:tc>
        <w:tc>
          <w:tcPr>
            <w:tcW w:w="2347" w:type="dxa"/>
            <w:vAlign w:val="center"/>
          </w:tcPr>
          <w:p w14:paraId="14430D98">
            <w:pPr>
              <w:jc w:val="center"/>
              <w:rPr>
                <w:szCs w:val="21"/>
              </w:rPr>
            </w:pPr>
            <w:r>
              <w:rPr>
                <w:szCs w:val="21"/>
              </w:rPr>
              <w:t>纸质+电子版</w:t>
            </w:r>
          </w:p>
        </w:tc>
      </w:tr>
      <w:tr w14:paraId="552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E2210F9">
            <w:pPr>
              <w:jc w:val="center"/>
              <w:rPr>
                <w:szCs w:val="21"/>
              </w:rPr>
            </w:pPr>
            <w:r>
              <w:rPr>
                <w:szCs w:val="21"/>
              </w:rPr>
              <w:t>4</w:t>
            </w:r>
          </w:p>
        </w:tc>
        <w:tc>
          <w:tcPr>
            <w:tcW w:w="4536" w:type="dxa"/>
            <w:vAlign w:val="center"/>
          </w:tcPr>
          <w:p w14:paraId="0C649082">
            <w:pPr>
              <w:jc w:val="center"/>
              <w:rPr>
                <w:szCs w:val="21"/>
              </w:rPr>
            </w:pPr>
            <w:r>
              <w:rPr>
                <w:szCs w:val="21"/>
              </w:rPr>
              <w:t>主要设备技术规格书</w:t>
            </w:r>
          </w:p>
        </w:tc>
        <w:tc>
          <w:tcPr>
            <w:tcW w:w="709" w:type="dxa"/>
            <w:vAlign w:val="center"/>
          </w:tcPr>
          <w:p w14:paraId="4D1DF93C">
            <w:pPr>
              <w:jc w:val="center"/>
              <w:rPr>
                <w:szCs w:val="21"/>
              </w:rPr>
            </w:pPr>
            <w:r>
              <w:rPr>
                <w:szCs w:val="21"/>
              </w:rPr>
              <w:t>3份</w:t>
            </w:r>
          </w:p>
        </w:tc>
        <w:tc>
          <w:tcPr>
            <w:tcW w:w="2347" w:type="dxa"/>
            <w:vAlign w:val="center"/>
          </w:tcPr>
          <w:p w14:paraId="412ABA70">
            <w:pPr>
              <w:jc w:val="center"/>
              <w:rPr>
                <w:szCs w:val="21"/>
              </w:rPr>
            </w:pPr>
            <w:r>
              <w:rPr>
                <w:szCs w:val="21"/>
              </w:rPr>
              <w:t>纸质+电子版</w:t>
            </w:r>
          </w:p>
        </w:tc>
      </w:tr>
      <w:tr w14:paraId="1F81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C107680">
            <w:pPr>
              <w:jc w:val="center"/>
              <w:rPr>
                <w:szCs w:val="21"/>
              </w:rPr>
            </w:pPr>
            <w:r>
              <w:rPr>
                <w:szCs w:val="21"/>
              </w:rPr>
              <w:t>5</w:t>
            </w:r>
          </w:p>
        </w:tc>
        <w:tc>
          <w:tcPr>
            <w:tcW w:w="4536" w:type="dxa"/>
            <w:vAlign w:val="center"/>
          </w:tcPr>
          <w:p w14:paraId="39998655">
            <w:pPr>
              <w:jc w:val="center"/>
              <w:rPr>
                <w:szCs w:val="21"/>
              </w:rPr>
            </w:pPr>
            <w:r>
              <w:rPr>
                <w:szCs w:val="21"/>
              </w:rPr>
              <w:t>全部设计文件电子版（含说明、图纸、概算）</w:t>
            </w:r>
          </w:p>
        </w:tc>
        <w:tc>
          <w:tcPr>
            <w:tcW w:w="709" w:type="dxa"/>
            <w:vAlign w:val="center"/>
          </w:tcPr>
          <w:p w14:paraId="0BB7E6DE">
            <w:pPr>
              <w:jc w:val="center"/>
              <w:rPr>
                <w:szCs w:val="21"/>
              </w:rPr>
            </w:pPr>
            <w:r>
              <w:rPr>
                <w:szCs w:val="21"/>
              </w:rPr>
              <w:t>1份</w:t>
            </w:r>
          </w:p>
        </w:tc>
        <w:tc>
          <w:tcPr>
            <w:tcW w:w="2347" w:type="dxa"/>
            <w:vAlign w:val="center"/>
          </w:tcPr>
          <w:p w14:paraId="7DE238BC">
            <w:pPr>
              <w:jc w:val="center"/>
              <w:rPr>
                <w:szCs w:val="21"/>
              </w:rPr>
            </w:pPr>
            <w:r>
              <w:rPr>
                <w:szCs w:val="21"/>
              </w:rPr>
              <w:t>U盘</w:t>
            </w:r>
          </w:p>
        </w:tc>
      </w:tr>
    </w:tbl>
    <w:p w14:paraId="5C25C0D5">
      <w:pPr>
        <w:ind w:firstLine="420" w:firstLineChars="200"/>
        <w:rPr>
          <w:szCs w:val="21"/>
        </w:rPr>
      </w:pPr>
      <w:r>
        <w:rPr>
          <w:rFonts w:hint="eastAsia"/>
          <w:szCs w:val="21"/>
        </w:rPr>
        <w:t>图纸电子文件格式为</w:t>
      </w:r>
      <w:r>
        <w:rPr>
          <w:szCs w:val="21"/>
        </w:rPr>
        <w:t>DWG格式，文本为DOC格式。全部设计文件的知识产权归采购人所有，所有资料可在后续采购和施工中使用。</w:t>
      </w:r>
    </w:p>
    <w:p w14:paraId="4320BA1B">
      <w:pPr>
        <w:pStyle w:val="16"/>
        <w:numPr>
          <w:ilvl w:val="0"/>
          <w:numId w:val="24"/>
        </w:numPr>
        <w:ind w:firstLineChars="0"/>
        <w:outlineLvl w:val="1"/>
        <w:rPr>
          <w:rFonts w:ascii="楷体" w:hAnsi="楷体" w:eastAsia="楷体"/>
          <w:sz w:val="32"/>
          <w:szCs w:val="21"/>
        </w:rPr>
      </w:pPr>
      <w:r>
        <w:rPr>
          <w:rFonts w:ascii="楷体" w:hAnsi="楷体" w:eastAsia="楷体"/>
          <w:sz w:val="32"/>
          <w:szCs w:val="21"/>
        </w:rPr>
        <w:t>交付进度与里程碑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2835"/>
        <w:gridCol w:w="3623"/>
      </w:tblGrid>
      <w:tr w14:paraId="32B5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FDCB076">
            <w:pPr>
              <w:rPr>
                <w:szCs w:val="21"/>
              </w:rPr>
            </w:pPr>
            <w:r>
              <w:rPr>
                <w:rFonts w:hint="eastAsia"/>
                <w:szCs w:val="21"/>
              </w:rPr>
              <w:t>阶段</w:t>
            </w:r>
          </w:p>
        </w:tc>
        <w:tc>
          <w:tcPr>
            <w:tcW w:w="2835" w:type="dxa"/>
          </w:tcPr>
          <w:p w14:paraId="372D44BD">
            <w:pPr>
              <w:rPr>
                <w:szCs w:val="21"/>
              </w:rPr>
            </w:pPr>
            <w:r>
              <w:rPr>
                <w:szCs w:val="21"/>
              </w:rPr>
              <w:t>时间节点</w:t>
            </w:r>
          </w:p>
        </w:tc>
        <w:tc>
          <w:tcPr>
            <w:tcW w:w="3623" w:type="dxa"/>
          </w:tcPr>
          <w:p w14:paraId="36AC9CF3">
            <w:pPr>
              <w:rPr>
                <w:szCs w:val="21"/>
              </w:rPr>
            </w:pPr>
            <w:r>
              <w:rPr>
                <w:szCs w:val="21"/>
              </w:rPr>
              <w:t>交付内容</w:t>
            </w:r>
          </w:p>
        </w:tc>
      </w:tr>
      <w:tr w14:paraId="1713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18D29FEE">
            <w:pPr>
              <w:rPr>
                <w:szCs w:val="21"/>
              </w:rPr>
            </w:pPr>
            <w:r>
              <w:rPr>
                <w:rFonts w:hint="eastAsia"/>
                <w:szCs w:val="21"/>
              </w:rPr>
              <w:t>现场勘察</w:t>
            </w:r>
          </w:p>
        </w:tc>
        <w:tc>
          <w:tcPr>
            <w:tcW w:w="2835" w:type="dxa"/>
          </w:tcPr>
          <w:p w14:paraId="2C17EB65">
            <w:pPr>
              <w:rPr>
                <w:szCs w:val="21"/>
              </w:rPr>
            </w:pPr>
            <w:r>
              <w:rPr>
                <w:szCs w:val="21"/>
              </w:rPr>
              <w:t>合同签订后3日内</w:t>
            </w:r>
          </w:p>
        </w:tc>
        <w:tc>
          <w:tcPr>
            <w:tcW w:w="3623" w:type="dxa"/>
          </w:tcPr>
          <w:p w14:paraId="4DE9E409">
            <w:pPr>
              <w:rPr>
                <w:szCs w:val="21"/>
              </w:rPr>
            </w:pPr>
            <w:r>
              <w:rPr>
                <w:szCs w:val="21"/>
              </w:rPr>
              <w:t>完成现场勘察并提交勘察确认单</w:t>
            </w:r>
          </w:p>
        </w:tc>
      </w:tr>
      <w:tr w14:paraId="7326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CA0163C">
            <w:pPr>
              <w:rPr>
                <w:szCs w:val="21"/>
              </w:rPr>
            </w:pPr>
            <w:r>
              <w:rPr>
                <w:rFonts w:hint="eastAsia"/>
                <w:szCs w:val="21"/>
              </w:rPr>
              <w:t>初步方案</w:t>
            </w:r>
          </w:p>
        </w:tc>
        <w:tc>
          <w:tcPr>
            <w:tcW w:w="2835" w:type="dxa"/>
          </w:tcPr>
          <w:p w14:paraId="223C58FE">
            <w:pPr>
              <w:rPr>
                <w:szCs w:val="21"/>
              </w:rPr>
            </w:pPr>
            <w:r>
              <w:rPr>
                <w:szCs w:val="21"/>
              </w:rPr>
              <w:t>合同签订后12日内</w:t>
            </w:r>
          </w:p>
        </w:tc>
        <w:tc>
          <w:tcPr>
            <w:tcW w:w="3623" w:type="dxa"/>
          </w:tcPr>
          <w:p w14:paraId="72482A8B">
            <w:pPr>
              <w:rPr>
                <w:szCs w:val="21"/>
              </w:rPr>
            </w:pPr>
            <w:r>
              <w:rPr>
                <w:szCs w:val="21"/>
              </w:rPr>
              <w:t>提交项目实施方案及投资概算初稿</w:t>
            </w:r>
          </w:p>
        </w:tc>
      </w:tr>
      <w:tr w14:paraId="2BB1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F22D731">
            <w:pPr>
              <w:rPr>
                <w:szCs w:val="21"/>
              </w:rPr>
            </w:pPr>
            <w:r>
              <w:rPr>
                <w:rFonts w:hint="eastAsia"/>
                <w:szCs w:val="21"/>
              </w:rPr>
              <w:t>施工图设计</w:t>
            </w:r>
          </w:p>
        </w:tc>
        <w:tc>
          <w:tcPr>
            <w:tcW w:w="2835" w:type="dxa"/>
          </w:tcPr>
          <w:p w14:paraId="6FB86DEE">
            <w:pPr>
              <w:rPr>
                <w:szCs w:val="21"/>
              </w:rPr>
            </w:pPr>
            <w:r>
              <w:rPr>
                <w:szCs w:val="21"/>
              </w:rPr>
              <w:t>初步方案确认后10日内</w:t>
            </w:r>
          </w:p>
        </w:tc>
        <w:tc>
          <w:tcPr>
            <w:tcW w:w="3623" w:type="dxa"/>
          </w:tcPr>
          <w:p w14:paraId="174CBBD2">
            <w:pPr>
              <w:rPr>
                <w:szCs w:val="21"/>
              </w:rPr>
            </w:pPr>
            <w:r>
              <w:rPr>
                <w:szCs w:val="21"/>
              </w:rPr>
              <w:t>提交全套施工图设计文件</w:t>
            </w:r>
          </w:p>
        </w:tc>
      </w:tr>
      <w:tr w14:paraId="2768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8C2FCF0">
            <w:pPr>
              <w:rPr>
                <w:szCs w:val="21"/>
              </w:rPr>
            </w:pPr>
            <w:r>
              <w:rPr>
                <w:rFonts w:hint="eastAsia"/>
                <w:szCs w:val="21"/>
              </w:rPr>
              <w:t>终审交付</w:t>
            </w:r>
          </w:p>
        </w:tc>
        <w:tc>
          <w:tcPr>
            <w:tcW w:w="2835" w:type="dxa"/>
          </w:tcPr>
          <w:p w14:paraId="60156636">
            <w:pPr>
              <w:rPr>
                <w:szCs w:val="21"/>
              </w:rPr>
            </w:pPr>
            <w:r>
              <w:rPr>
                <w:szCs w:val="21"/>
              </w:rPr>
              <w:t>施工图评审通过后5日内</w:t>
            </w:r>
          </w:p>
        </w:tc>
        <w:tc>
          <w:tcPr>
            <w:tcW w:w="3623" w:type="dxa"/>
          </w:tcPr>
          <w:p w14:paraId="74B16A08">
            <w:pPr>
              <w:rPr>
                <w:szCs w:val="21"/>
              </w:rPr>
            </w:pPr>
            <w:r>
              <w:rPr>
                <w:szCs w:val="21"/>
              </w:rPr>
              <w:t>提交全部正式设计文件</w:t>
            </w:r>
          </w:p>
        </w:tc>
      </w:tr>
    </w:tbl>
    <w:p w14:paraId="052E80DD">
      <w:pPr>
        <w:pStyle w:val="16"/>
        <w:numPr>
          <w:ilvl w:val="0"/>
          <w:numId w:val="25"/>
        </w:numPr>
        <w:ind w:firstLineChars="0"/>
        <w:outlineLvl w:val="1"/>
        <w:rPr>
          <w:rFonts w:ascii="楷体" w:hAnsi="楷体" w:eastAsia="楷体"/>
          <w:sz w:val="32"/>
          <w:szCs w:val="21"/>
        </w:rPr>
      </w:pPr>
      <w:r>
        <w:rPr>
          <w:rFonts w:ascii="楷体" w:hAnsi="楷体" w:eastAsia="楷体"/>
          <w:sz w:val="32"/>
          <w:szCs w:val="21"/>
        </w:rPr>
        <w:t>售后服务与技术支持</w:t>
      </w:r>
    </w:p>
    <w:p w14:paraId="228119DA">
      <w:pPr>
        <w:ind w:firstLine="420" w:firstLineChars="200"/>
        <w:rPr>
          <w:szCs w:val="21"/>
        </w:rPr>
      </w:pPr>
      <w:r>
        <w:rPr>
          <w:szCs w:val="21"/>
        </w:rPr>
        <w:t>1.设计交底：设计单位须在施工前进行设计交底，对施工图纸进行详细说明和答疑；</w:t>
      </w:r>
    </w:p>
    <w:p w14:paraId="603B4AB7">
      <w:pPr>
        <w:ind w:firstLine="420" w:firstLineChars="200"/>
        <w:rPr>
          <w:szCs w:val="21"/>
        </w:rPr>
      </w:pPr>
      <w:r>
        <w:rPr>
          <w:szCs w:val="21"/>
        </w:rPr>
        <w:t>2.施工配合：在施工及设备采购阶段，须提供必要的技术支持服务，包括设计变更、图纸修改等；</w:t>
      </w:r>
    </w:p>
    <w:p w14:paraId="78D1AE9E">
      <w:pPr>
        <w:ind w:firstLine="420" w:firstLineChars="200"/>
        <w:rPr>
          <w:szCs w:val="21"/>
        </w:rPr>
      </w:pPr>
      <w:r>
        <w:rPr>
          <w:szCs w:val="21"/>
        </w:rPr>
        <w:t>3.验收配合：配合采购人完成项目竣工验收相关技术工作，确保项目通过供电部门验收。</w:t>
      </w:r>
    </w:p>
    <w:p w14:paraId="06EB07C6">
      <w:pPr>
        <w:pStyle w:val="16"/>
        <w:numPr>
          <w:ilvl w:val="0"/>
          <w:numId w:val="26"/>
        </w:numPr>
        <w:ind w:firstLineChars="0"/>
        <w:outlineLvl w:val="0"/>
        <w:rPr>
          <w:rFonts w:ascii="黑体" w:hAnsi="黑体" w:eastAsia="黑体"/>
          <w:sz w:val="32"/>
          <w:szCs w:val="21"/>
        </w:rPr>
      </w:pPr>
      <w:r>
        <w:rPr>
          <w:rFonts w:ascii="黑体" w:hAnsi="黑体" w:eastAsia="黑体"/>
          <w:sz w:val="32"/>
          <w:szCs w:val="21"/>
        </w:rPr>
        <w:t>供应商资格要求</w:t>
      </w:r>
    </w:p>
    <w:p w14:paraId="74A11073">
      <w:pPr>
        <w:ind w:firstLine="420" w:firstLineChars="200"/>
        <w:rPr>
          <w:szCs w:val="21"/>
        </w:rPr>
      </w:pPr>
      <w:r>
        <w:rPr>
          <w:szCs w:val="21"/>
        </w:rPr>
        <w:t>1.参选人须具备国内独立法人资格，持有合法有效的企业法人营业执照。</w:t>
      </w:r>
    </w:p>
    <w:p w14:paraId="1FADFC22">
      <w:pPr>
        <w:ind w:firstLine="420" w:firstLineChars="200"/>
        <w:rPr>
          <w:szCs w:val="21"/>
        </w:rPr>
      </w:pPr>
      <w:r>
        <w:rPr>
          <w:szCs w:val="21"/>
        </w:rPr>
        <w:t>2.参选人须具备建设行政主管部门核发的工程设计综合甲级资质，或电力行业工程设计乙级及以上资质，或建筑行业（建筑工程）乙级及以上资质（含电气专业）。</w:t>
      </w:r>
    </w:p>
    <w:p w14:paraId="18A1ECFA">
      <w:pPr>
        <w:ind w:firstLine="420" w:firstLineChars="200"/>
        <w:rPr>
          <w:szCs w:val="21"/>
        </w:rPr>
      </w:pPr>
      <w:r>
        <w:rPr>
          <w:szCs w:val="21"/>
        </w:rPr>
        <w:t>3.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14:paraId="60ABA243">
      <w:pPr>
        <w:ind w:firstLine="420" w:firstLineChars="200"/>
        <w:rPr>
          <w:szCs w:val="21"/>
        </w:rPr>
      </w:pPr>
      <w:r>
        <w:rPr>
          <w:szCs w:val="21"/>
        </w:rPr>
        <w:t>4.具有良好的商业信誉和健全的财务会计制度，须提供《资格声明函》。</w:t>
      </w:r>
    </w:p>
    <w:p w14:paraId="27DE052D">
      <w:pPr>
        <w:ind w:firstLine="420" w:firstLineChars="200"/>
        <w:rPr>
          <w:szCs w:val="21"/>
        </w:rPr>
      </w:pPr>
      <w:r>
        <w:rPr>
          <w:szCs w:val="21"/>
        </w:rPr>
        <w:t>5.有依法缴纳税收和社会保障资金的良好记录，须提供《资格声明函》。</w:t>
      </w:r>
    </w:p>
    <w:p w14:paraId="69AC2FC7">
      <w:pPr>
        <w:ind w:firstLine="420" w:firstLineChars="200"/>
        <w:rPr>
          <w:szCs w:val="21"/>
        </w:rPr>
      </w:pPr>
      <w:r>
        <w:rPr>
          <w:szCs w:val="21"/>
        </w:rPr>
        <w:t>6.具有履行合同所必需的设备和专业技术能力，须按响应文件格式填报设备及专业技术能力情况或提供《资格声明函》。</w:t>
      </w:r>
    </w:p>
    <w:p w14:paraId="528D8FAA">
      <w:pPr>
        <w:ind w:firstLine="420" w:firstLineChars="200"/>
        <w:rPr>
          <w:szCs w:val="21"/>
        </w:rPr>
      </w:pPr>
      <w:r>
        <w:rPr>
          <w:szCs w:val="21"/>
        </w:rPr>
        <w:t>7.在广东政府采购智慧云平台电子卖场、广东省网上中介服务超市等政府采购平台已经备案。</w:t>
      </w:r>
    </w:p>
    <w:p w14:paraId="6452AF97">
      <w:pPr>
        <w:ind w:firstLine="420" w:firstLineChars="200"/>
        <w:rPr>
          <w:szCs w:val="21"/>
        </w:rPr>
      </w:pPr>
      <w:r>
        <w:rPr>
          <w:szCs w:val="21"/>
        </w:rPr>
        <w:t>8.近三年内（2023年1月1日至今）具有至少1项同类电房（变配电室）改造或新建设计项目业绩（须提供合同复印件）。</w:t>
      </w:r>
    </w:p>
    <w:p w14:paraId="41F9A2F9">
      <w:pPr>
        <w:pStyle w:val="16"/>
        <w:numPr>
          <w:ilvl w:val="0"/>
          <w:numId w:val="26"/>
        </w:numPr>
        <w:ind w:firstLineChars="0"/>
        <w:outlineLvl w:val="0"/>
        <w:rPr>
          <w:rFonts w:ascii="黑体" w:hAnsi="黑体" w:eastAsia="黑体"/>
          <w:sz w:val="32"/>
          <w:szCs w:val="21"/>
        </w:rPr>
      </w:pPr>
      <w:r>
        <w:rPr>
          <w:rFonts w:ascii="黑体" w:hAnsi="黑体" w:eastAsia="黑体"/>
          <w:sz w:val="32"/>
          <w:szCs w:val="21"/>
        </w:rPr>
        <w:t>报名及提交要求</w:t>
      </w:r>
    </w:p>
    <w:p w14:paraId="21A3273D">
      <w:pPr>
        <w:pStyle w:val="16"/>
        <w:numPr>
          <w:ilvl w:val="0"/>
          <w:numId w:val="27"/>
        </w:numPr>
        <w:ind w:firstLineChars="0"/>
        <w:outlineLvl w:val="1"/>
        <w:rPr>
          <w:rFonts w:ascii="楷体" w:hAnsi="楷体" w:eastAsia="楷体"/>
          <w:sz w:val="32"/>
          <w:szCs w:val="21"/>
        </w:rPr>
      </w:pPr>
      <w:r>
        <w:rPr>
          <w:rFonts w:ascii="楷体" w:hAnsi="楷体" w:eastAsia="楷体"/>
          <w:sz w:val="32"/>
          <w:szCs w:val="21"/>
        </w:rPr>
        <w:t>报名时间及地点</w:t>
      </w:r>
    </w:p>
    <w:p w14:paraId="61E80BD0">
      <w:pPr>
        <w:ind w:firstLine="420" w:firstLineChars="200"/>
        <w:rPr>
          <w:szCs w:val="21"/>
        </w:rPr>
      </w:pPr>
      <w:r>
        <w:rPr>
          <w:szCs w:val="21"/>
        </w:rPr>
        <w:t>1.时间：2026年</w:t>
      </w:r>
      <w:r>
        <w:rPr>
          <w:rFonts w:hint="eastAsia"/>
          <w:szCs w:val="21"/>
          <w:lang w:val="en-US" w:eastAsia="zh-CN"/>
        </w:rPr>
        <w:t>8</w:t>
      </w:r>
      <w:r>
        <w:rPr>
          <w:szCs w:val="21"/>
        </w:rPr>
        <w:t>月</w:t>
      </w:r>
      <w:r>
        <w:rPr>
          <w:rFonts w:hint="eastAsia"/>
          <w:szCs w:val="21"/>
          <w:lang w:val="en-US" w:eastAsia="zh-CN"/>
        </w:rPr>
        <w:t>10</w:t>
      </w:r>
      <w:r>
        <w:rPr>
          <w:szCs w:val="21"/>
        </w:rPr>
        <w:t>日，上午10:00至医院报名及看现场（行政楼一楼）</w:t>
      </w:r>
    </w:p>
    <w:p w14:paraId="610DD67F">
      <w:pPr>
        <w:ind w:firstLine="420" w:firstLineChars="200"/>
        <w:rPr>
          <w:szCs w:val="21"/>
        </w:rPr>
      </w:pPr>
      <w:r>
        <w:rPr>
          <w:szCs w:val="21"/>
        </w:rPr>
        <w:t>2.地点：广州市海珠区石榴岗路13号大院</w:t>
      </w:r>
    </w:p>
    <w:p w14:paraId="0E85ABC7">
      <w:pPr>
        <w:ind w:firstLine="420" w:firstLineChars="200"/>
        <w:rPr>
          <w:szCs w:val="21"/>
        </w:rPr>
      </w:pPr>
      <w:r>
        <w:rPr>
          <w:szCs w:val="21"/>
        </w:rPr>
        <w:t>3.需提交资格条件的报名材料，纸质版报名材料盖章当天交，电子版盖章扫描件发邮箱</w:t>
      </w:r>
    </w:p>
    <w:p w14:paraId="426B0FDB">
      <w:pPr>
        <w:pStyle w:val="16"/>
        <w:numPr>
          <w:ilvl w:val="0"/>
          <w:numId w:val="28"/>
        </w:numPr>
        <w:ind w:firstLineChars="0"/>
        <w:outlineLvl w:val="1"/>
        <w:rPr>
          <w:rFonts w:ascii="楷体" w:hAnsi="楷体" w:eastAsia="楷体"/>
          <w:sz w:val="32"/>
          <w:szCs w:val="21"/>
        </w:rPr>
      </w:pPr>
      <w:r>
        <w:rPr>
          <w:rFonts w:ascii="楷体" w:hAnsi="楷体" w:eastAsia="楷体"/>
          <w:sz w:val="32"/>
          <w:szCs w:val="21"/>
        </w:rPr>
        <w:t>方案及报价提交</w:t>
      </w:r>
    </w:p>
    <w:p w14:paraId="3FE96462">
      <w:pPr>
        <w:ind w:firstLine="420" w:firstLineChars="200"/>
        <w:rPr>
          <w:szCs w:val="21"/>
        </w:rPr>
      </w:pPr>
      <w:r>
        <w:rPr>
          <w:szCs w:val="21"/>
        </w:rPr>
        <w:t>1.截止时间：2026</w:t>
      </w:r>
      <w:bookmarkStart w:id="0" w:name="_GoBack"/>
      <w:r>
        <w:rPr>
          <w:szCs w:val="21"/>
        </w:rPr>
        <w:t>年</w:t>
      </w:r>
      <w:r>
        <w:rPr>
          <w:rFonts w:hint="eastAsia"/>
          <w:szCs w:val="21"/>
          <w:lang w:val="en-US" w:eastAsia="zh-CN"/>
        </w:rPr>
        <w:t>8</w:t>
      </w:r>
      <w:r>
        <w:rPr>
          <w:szCs w:val="21"/>
        </w:rPr>
        <w:t>月</w:t>
      </w:r>
      <w:r>
        <w:rPr>
          <w:rFonts w:hint="eastAsia"/>
          <w:szCs w:val="21"/>
          <w:lang w:val="en-US" w:eastAsia="zh-CN"/>
        </w:rPr>
        <w:t>12</w:t>
      </w:r>
      <w:r>
        <w:rPr>
          <w:szCs w:val="21"/>
        </w:rPr>
        <w:t>日17:30</w:t>
      </w:r>
      <w:r>
        <w:rPr>
          <w:szCs w:val="21"/>
        </w:rPr>
        <w:t>前</w:t>
      </w:r>
      <w:bookmarkEnd w:id="0"/>
    </w:p>
    <w:p w14:paraId="1045AFAF">
      <w:pPr>
        <w:ind w:firstLine="420" w:firstLineChars="200"/>
        <w:rPr>
          <w:szCs w:val="21"/>
        </w:rPr>
      </w:pPr>
      <w:r>
        <w:rPr>
          <w:szCs w:val="21"/>
        </w:rPr>
        <w:t>2.提交方式：纸质盖章文件快递或送至医院，盖章扫描件电子版发邮箱</w:t>
      </w:r>
    </w:p>
    <w:p w14:paraId="307DAF13">
      <w:pPr>
        <w:ind w:firstLine="420" w:firstLineChars="200"/>
        <w:rPr>
          <w:szCs w:val="21"/>
        </w:rPr>
      </w:pPr>
      <w:r>
        <w:rPr>
          <w:szCs w:val="21"/>
        </w:rPr>
        <w:t>3.邮寄地址：广州市海珠区石榴岗路13号大院行政楼二楼225</w:t>
      </w:r>
    </w:p>
    <w:p w14:paraId="17117D57">
      <w:pPr>
        <w:ind w:firstLine="420" w:firstLineChars="200"/>
        <w:rPr>
          <w:szCs w:val="21"/>
        </w:rPr>
      </w:pPr>
      <w:r>
        <w:rPr>
          <w:szCs w:val="21"/>
        </w:rPr>
        <w:t>4.邮箱：3828849568@qq.com</w:t>
      </w:r>
    </w:p>
    <w:p w14:paraId="7DB9A21B">
      <w:pPr>
        <w:pStyle w:val="16"/>
        <w:numPr>
          <w:ilvl w:val="0"/>
          <w:numId w:val="29"/>
        </w:numPr>
        <w:ind w:firstLineChars="0"/>
        <w:outlineLvl w:val="1"/>
        <w:rPr>
          <w:rFonts w:ascii="楷体" w:hAnsi="楷体" w:eastAsia="楷体"/>
          <w:sz w:val="32"/>
          <w:szCs w:val="21"/>
        </w:rPr>
      </w:pPr>
      <w:r>
        <w:rPr>
          <w:rFonts w:ascii="楷体" w:hAnsi="楷体" w:eastAsia="楷体"/>
          <w:sz w:val="32"/>
          <w:szCs w:val="21"/>
        </w:rPr>
        <w:t xml:space="preserve"> 联系方式</w:t>
      </w:r>
    </w:p>
    <w:p w14:paraId="21A5FBD0">
      <w:pPr>
        <w:ind w:firstLine="420" w:firstLineChars="200"/>
        <w:rPr>
          <w:szCs w:val="21"/>
        </w:rPr>
      </w:pPr>
      <w:r>
        <w:rPr>
          <w:rFonts w:hint="eastAsia"/>
          <w:szCs w:val="21"/>
        </w:rPr>
        <w:t>1</w:t>
      </w:r>
      <w:r>
        <w:rPr>
          <w:szCs w:val="21"/>
        </w:rPr>
        <w:t>.联系人：李小峻</w:t>
      </w:r>
    </w:p>
    <w:p w14:paraId="6AB917C1">
      <w:pPr>
        <w:ind w:firstLine="420" w:firstLineChars="200"/>
        <w:rPr>
          <w:szCs w:val="21"/>
        </w:rPr>
      </w:pPr>
      <w:r>
        <w:rPr>
          <w:rFonts w:hint="eastAsia"/>
          <w:szCs w:val="21"/>
        </w:rPr>
        <w:t>2</w:t>
      </w:r>
      <w:r>
        <w:rPr>
          <w:szCs w:val="21"/>
        </w:rPr>
        <w:t>.联系电话：020-61650552</w:t>
      </w:r>
    </w:p>
    <w:p w14:paraId="0F3E787F">
      <w:pPr>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59772C"/>
    <w:multiLevelType w:val="singleLevel"/>
    <w:tmpl w:val="0B59772C"/>
    <w:lvl w:ilvl="0" w:tentative="0">
      <w:start w:val="2"/>
      <w:numFmt w:val="chineseCountingThousand"/>
      <w:suff w:val="nothing"/>
      <w:lvlText w:val="（%1）"/>
      <w:lvlJc w:val="left"/>
      <w:pPr>
        <w:ind w:left="0" w:firstLine="0"/>
      </w:pPr>
    </w:lvl>
  </w:abstractNum>
  <w:abstractNum w:abstractNumId="1">
    <w:nsid w:val="0DEE12C2"/>
    <w:multiLevelType w:val="singleLevel"/>
    <w:tmpl w:val="0DEE12C2"/>
    <w:lvl w:ilvl="0" w:tentative="0">
      <w:start w:val="3"/>
      <w:numFmt w:val="chineseCountingThousand"/>
      <w:suff w:val="nothing"/>
      <w:lvlText w:val="%1、"/>
      <w:lvlJc w:val="left"/>
      <w:pPr>
        <w:ind w:left="0" w:firstLine="0"/>
      </w:pPr>
    </w:lvl>
  </w:abstractNum>
  <w:abstractNum w:abstractNumId="2">
    <w:nsid w:val="0F64263A"/>
    <w:multiLevelType w:val="multilevel"/>
    <w:tmpl w:val="0F64263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FA26E4B"/>
    <w:multiLevelType w:val="singleLevel"/>
    <w:tmpl w:val="0FA26E4B"/>
    <w:lvl w:ilvl="0" w:tentative="0">
      <w:start w:val="2"/>
      <w:numFmt w:val="chineseCountingThousand"/>
      <w:suff w:val="nothing"/>
      <w:lvlText w:val="（%1）"/>
      <w:lvlJc w:val="left"/>
      <w:pPr>
        <w:ind w:left="0" w:firstLine="0"/>
      </w:pPr>
    </w:lvl>
  </w:abstractNum>
  <w:abstractNum w:abstractNumId="4">
    <w:nsid w:val="12504DB5"/>
    <w:multiLevelType w:val="singleLevel"/>
    <w:tmpl w:val="12504DB5"/>
    <w:lvl w:ilvl="0" w:tentative="0">
      <w:start w:val="1"/>
      <w:numFmt w:val="chineseCountingThousand"/>
      <w:suff w:val="nothing"/>
      <w:lvlText w:val="（%1）"/>
      <w:lvlJc w:val="left"/>
      <w:pPr>
        <w:ind w:left="0" w:firstLine="0"/>
      </w:pPr>
    </w:lvl>
  </w:abstractNum>
  <w:abstractNum w:abstractNumId="5">
    <w:nsid w:val="12CF3D18"/>
    <w:multiLevelType w:val="singleLevel"/>
    <w:tmpl w:val="12CF3D18"/>
    <w:lvl w:ilvl="0" w:tentative="0">
      <w:start w:val="4"/>
      <w:numFmt w:val="chineseCountingThousand"/>
      <w:suff w:val="nothing"/>
      <w:lvlText w:val="（%1）"/>
      <w:lvlJc w:val="left"/>
      <w:pPr>
        <w:ind w:left="0" w:firstLine="0"/>
      </w:pPr>
    </w:lvl>
  </w:abstractNum>
  <w:abstractNum w:abstractNumId="6">
    <w:nsid w:val="1B930CD5"/>
    <w:multiLevelType w:val="singleLevel"/>
    <w:tmpl w:val="1B930CD5"/>
    <w:lvl w:ilvl="0" w:tentative="0">
      <w:start w:val="3"/>
      <w:numFmt w:val="chineseCountingThousand"/>
      <w:suff w:val="nothing"/>
      <w:lvlText w:val="（%1）"/>
      <w:lvlJc w:val="left"/>
      <w:pPr>
        <w:ind w:left="0" w:firstLine="0"/>
      </w:pPr>
    </w:lvl>
  </w:abstractNum>
  <w:abstractNum w:abstractNumId="7">
    <w:nsid w:val="1C202EF5"/>
    <w:multiLevelType w:val="singleLevel"/>
    <w:tmpl w:val="1C202EF5"/>
    <w:lvl w:ilvl="0" w:tentative="0">
      <w:start w:val="3"/>
      <w:numFmt w:val="decimal"/>
      <w:suff w:val="nothing"/>
      <w:lvlText w:val="%1．"/>
      <w:lvlJc w:val="left"/>
      <w:pPr>
        <w:ind w:left="0" w:firstLine="0"/>
      </w:pPr>
    </w:lvl>
  </w:abstractNum>
  <w:abstractNum w:abstractNumId="8">
    <w:nsid w:val="1D2C5252"/>
    <w:multiLevelType w:val="singleLevel"/>
    <w:tmpl w:val="1D2C5252"/>
    <w:lvl w:ilvl="0" w:tentative="0">
      <w:start w:val="1"/>
      <w:numFmt w:val="chineseCountingThousand"/>
      <w:suff w:val="nothing"/>
      <w:lvlText w:val="（%1）"/>
      <w:lvlJc w:val="left"/>
      <w:pPr>
        <w:ind w:left="0" w:firstLine="0"/>
      </w:pPr>
    </w:lvl>
  </w:abstractNum>
  <w:abstractNum w:abstractNumId="9">
    <w:nsid w:val="1FC62D77"/>
    <w:multiLevelType w:val="singleLevel"/>
    <w:tmpl w:val="1FC62D77"/>
    <w:lvl w:ilvl="0" w:tentative="0">
      <w:start w:val="3"/>
      <w:numFmt w:val="decimal"/>
      <w:suff w:val="nothing"/>
      <w:lvlText w:val="%1．"/>
      <w:lvlJc w:val="left"/>
      <w:pPr>
        <w:ind w:left="0" w:firstLine="0"/>
      </w:pPr>
    </w:lvl>
  </w:abstractNum>
  <w:abstractNum w:abstractNumId="10">
    <w:nsid w:val="21B97F52"/>
    <w:multiLevelType w:val="singleLevel"/>
    <w:tmpl w:val="21B97F52"/>
    <w:lvl w:ilvl="0" w:tentative="0">
      <w:start w:val="4"/>
      <w:numFmt w:val="decimal"/>
      <w:suff w:val="nothing"/>
      <w:lvlText w:val="%1．"/>
      <w:lvlJc w:val="left"/>
      <w:pPr>
        <w:ind w:left="0" w:firstLine="0"/>
      </w:pPr>
    </w:lvl>
  </w:abstractNum>
  <w:abstractNum w:abstractNumId="11">
    <w:nsid w:val="29031AC1"/>
    <w:multiLevelType w:val="singleLevel"/>
    <w:tmpl w:val="29031AC1"/>
    <w:lvl w:ilvl="0" w:tentative="0">
      <w:start w:val="1"/>
      <w:numFmt w:val="chineseCountingThousand"/>
      <w:suff w:val="nothing"/>
      <w:lvlText w:val="%1、"/>
      <w:lvlJc w:val="left"/>
      <w:pPr>
        <w:ind w:left="0" w:firstLine="0"/>
      </w:pPr>
    </w:lvl>
  </w:abstractNum>
  <w:abstractNum w:abstractNumId="12">
    <w:nsid w:val="2B047CB6"/>
    <w:multiLevelType w:val="singleLevel"/>
    <w:tmpl w:val="2B047CB6"/>
    <w:lvl w:ilvl="0" w:tentative="0">
      <w:start w:val="2"/>
      <w:numFmt w:val="decimal"/>
      <w:suff w:val="nothing"/>
      <w:lvlText w:val="（%1）"/>
      <w:lvlJc w:val="left"/>
      <w:pPr>
        <w:ind w:left="0" w:firstLine="0"/>
      </w:pPr>
    </w:lvl>
  </w:abstractNum>
  <w:abstractNum w:abstractNumId="13">
    <w:nsid w:val="30736DF8"/>
    <w:multiLevelType w:val="singleLevel"/>
    <w:tmpl w:val="30736DF8"/>
    <w:lvl w:ilvl="0" w:tentative="0">
      <w:start w:val="4"/>
      <w:numFmt w:val="chineseCountingThousand"/>
      <w:suff w:val="nothing"/>
      <w:lvlText w:val="%1、"/>
      <w:lvlJc w:val="left"/>
      <w:pPr>
        <w:ind w:left="0" w:firstLine="0"/>
      </w:pPr>
    </w:lvl>
  </w:abstractNum>
  <w:abstractNum w:abstractNumId="14">
    <w:nsid w:val="321D4E70"/>
    <w:multiLevelType w:val="singleLevel"/>
    <w:tmpl w:val="321D4E70"/>
    <w:lvl w:ilvl="0" w:tentative="0">
      <w:start w:val="2"/>
      <w:numFmt w:val="decimal"/>
      <w:suff w:val="nothing"/>
      <w:lvlText w:val="%1．"/>
      <w:lvlJc w:val="left"/>
      <w:pPr>
        <w:ind w:left="3686" w:firstLine="0"/>
      </w:pPr>
    </w:lvl>
  </w:abstractNum>
  <w:abstractNum w:abstractNumId="15">
    <w:nsid w:val="36A75E3A"/>
    <w:multiLevelType w:val="singleLevel"/>
    <w:tmpl w:val="36A75E3A"/>
    <w:lvl w:ilvl="0" w:tentative="0">
      <w:start w:val="1"/>
      <w:numFmt w:val="chineseCountingThousand"/>
      <w:suff w:val="nothing"/>
      <w:lvlText w:val="（%1）"/>
      <w:lvlJc w:val="left"/>
      <w:pPr>
        <w:ind w:left="0" w:firstLine="0"/>
      </w:pPr>
    </w:lvl>
  </w:abstractNum>
  <w:abstractNum w:abstractNumId="16">
    <w:nsid w:val="39860E41"/>
    <w:multiLevelType w:val="singleLevel"/>
    <w:tmpl w:val="39860E41"/>
    <w:lvl w:ilvl="0" w:tentative="0">
      <w:start w:val="2"/>
      <w:numFmt w:val="chineseCountingThousand"/>
      <w:suff w:val="nothing"/>
      <w:lvlText w:val="%1、"/>
      <w:lvlJc w:val="left"/>
      <w:pPr>
        <w:ind w:left="0" w:firstLine="0"/>
      </w:pPr>
    </w:lvl>
  </w:abstractNum>
  <w:abstractNum w:abstractNumId="17">
    <w:nsid w:val="41510A18"/>
    <w:multiLevelType w:val="singleLevel"/>
    <w:tmpl w:val="41510A18"/>
    <w:lvl w:ilvl="0" w:tentative="0">
      <w:start w:val="5"/>
      <w:numFmt w:val="decimal"/>
      <w:suff w:val="nothing"/>
      <w:lvlText w:val="%1．"/>
      <w:lvlJc w:val="left"/>
      <w:pPr>
        <w:ind w:left="0" w:firstLine="0"/>
      </w:pPr>
    </w:lvl>
  </w:abstractNum>
  <w:abstractNum w:abstractNumId="18">
    <w:nsid w:val="50E40AC7"/>
    <w:multiLevelType w:val="singleLevel"/>
    <w:tmpl w:val="50E40AC7"/>
    <w:lvl w:ilvl="0" w:tentative="0">
      <w:start w:val="2"/>
      <w:numFmt w:val="chineseCountingThousand"/>
      <w:suff w:val="nothing"/>
      <w:lvlText w:val="（%1）"/>
      <w:lvlJc w:val="left"/>
      <w:pPr>
        <w:ind w:left="0" w:firstLine="0"/>
      </w:pPr>
    </w:lvl>
  </w:abstractNum>
  <w:abstractNum w:abstractNumId="19">
    <w:nsid w:val="53EB350F"/>
    <w:multiLevelType w:val="singleLevel"/>
    <w:tmpl w:val="53EB350F"/>
    <w:lvl w:ilvl="0" w:tentative="0">
      <w:start w:val="3"/>
      <w:numFmt w:val="decimal"/>
      <w:suff w:val="nothing"/>
      <w:lvlText w:val="（%1）"/>
      <w:lvlJc w:val="left"/>
      <w:pPr>
        <w:ind w:left="0" w:firstLine="0"/>
      </w:pPr>
    </w:lvl>
  </w:abstractNum>
  <w:abstractNum w:abstractNumId="20">
    <w:nsid w:val="69610D92"/>
    <w:multiLevelType w:val="singleLevel"/>
    <w:tmpl w:val="69610D92"/>
    <w:lvl w:ilvl="0" w:tentative="0">
      <w:start w:val="4"/>
      <w:numFmt w:val="decimal"/>
      <w:suff w:val="nothing"/>
      <w:lvlText w:val="%1．"/>
      <w:lvlJc w:val="left"/>
      <w:pPr>
        <w:ind w:left="0" w:firstLine="0"/>
      </w:pPr>
    </w:lvl>
  </w:abstractNum>
  <w:abstractNum w:abstractNumId="21">
    <w:nsid w:val="69647A76"/>
    <w:multiLevelType w:val="singleLevel"/>
    <w:tmpl w:val="69647A76"/>
    <w:lvl w:ilvl="0" w:tentative="0">
      <w:start w:val="3"/>
      <w:numFmt w:val="chineseCountingThousand"/>
      <w:suff w:val="nothing"/>
      <w:lvlText w:val="（%1）"/>
      <w:lvlJc w:val="left"/>
      <w:pPr>
        <w:ind w:left="0" w:firstLine="0"/>
      </w:pPr>
    </w:lvl>
  </w:abstractNum>
  <w:abstractNum w:abstractNumId="22">
    <w:nsid w:val="74216847"/>
    <w:multiLevelType w:val="singleLevel"/>
    <w:tmpl w:val="74216847"/>
    <w:lvl w:ilvl="0" w:tentative="0">
      <w:start w:val="2"/>
      <w:numFmt w:val="decimal"/>
      <w:suff w:val="nothing"/>
      <w:lvlText w:val="%1．"/>
      <w:lvlJc w:val="left"/>
      <w:pPr>
        <w:ind w:left="0" w:firstLine="0"/>
      </w:pPr>
    </w:lvl>
  </w:abstractNum>
  <w:abstractNum w:abstractNumId="23">
    <w:nsid w:val="75981E0D"/>
    <w:multiLevelType w:val="singleLevel"/>
    <w:tmpl w:val="75981E0D"/>
    <w:lvl w:ilvl="0" w:tentative="0">
      <w:start w:val="1"/>
      <w:numFmt w:val="decimal"/>
      <w:suff w:val="nothing"/>
      <w:lvlText w:val="（%1）"/>
      <w:lvlJc w:val="left"/>
      <w:pPr>
        <w:ind w:left="0" w:firstLine="0"/>
      </w:pPr>
    </w:lvl>
  </w:abstractNum>
  <w:abstractNum w:abstractNumId="24">
    <w:nsid w:val="75CB4ED1"/>
    <w:multiLevelType w:val="multilevel"/>
    <w:tmpl w:val="75CB4ED1"/>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7682367C"/>
    <w:multiLevelType w:val="singleLevel"/>
    <w:tmpl w:val="7682367C"/>
    <w:lvl w:ilvl="0" w:tentative="0">
      <w:start w:val="1"/>
      <w:numFmt w:val="chineseCountingThousand"/>
      <w:suff w:val="nothing"/>
      <w:lvlText w:val="（%1）"/>
      <w:lvlJc w:val="left"/>
      <w:pPr>
        <w:ind w:left="0" w:firstLine="0"/>
      </w:pPr>
    </w:lvl>
  </w:abstractNum>
  <w:abstractNum w:abstractNumId="26">
    <w:nsid w:val="7A0A1320"/>
    <w:multiLevelType w:val="singleLevel"/>
    <w:tmpl w:val="7A0A1320"/>
    <w:lvl w:ilvl="0" w:tentative="0">
      <w:start w:val="1"/>
      <w:numFmt w:val="decimal"/>
      <w:suff w:val="nothing"/>
      <w:lvlText w:val="%1．"/>
      <w:lvlJc w:val="left"/>
      <w:pPr>
        <w:ind w:left="0" w:firstLine="0"/>
      </w:pPr>
    </w:lvl>
  </w:abstractNum>
  <w:abstractNum w:abstractNumId="27">
    <w:nsid w:val="7C1A3C6F"/>
    <w:multiLevelType w:val="multilevel"/>
    <w:tmpl w:val="7C1A3C6F"/>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7D590DA4"/>
    <w:multiLevelType w:val="singleLevel"/>
    <w:tmpl w:val="7D590DA4"/>
    <w:lvl w:ilvl="0" w:tentative="0">
      <w:start w:val="3"/>
      <w:numFmt w:val="chineseCountingThousand"/>
      <w:suff w:val="nothing"/>
      <w:lvlText w:val="（%1）"/>
      <w:lvlJc w:val="left"/>
      <w:pPr>
        <w:ind w:left="0" w:firstLine="0"/>
      </w:pPr>
    </w:lvl>
  </w:abstractNum>
  <w:num w:numId="1">
    <w:abstractNumId w:val="11"/>
  </w:num>
  <w:num w:numId="2">
    <w:abstractNumId w:val="8"/>
  </w:num>
  <w:num w:numId="3">
    <w:abstractNumId w:val="14"/>
  </w:num>
  <w:num w:numId="4">
    <w:abstractNumId w:val="7"/>
  </w:num>
  <w:num w:numId="5">
    <w:abstractNumId w:val="16"/>
  </w:num>
  <w:num w:numId="6">
    <w:abstractNumId w:val="15"/>
  </w:num>
  <w:num w:numId="7">
    <w:abstractNumId w:val="0"/>
  </w:num>
  <w:num w:numId="8">
    <w:abstractNumId w:val="28"/>
  </w:num>
  <w:num w:numId="9">
    <w:abstractNumId w:val="5"/>
  </w:num>
  <w:num w:numId="10">
    <w:abstractNumId w:val="26"/>
  </w:num>
  <w:num w:numId="11">
    <w:abstractNumId w:val="24"/>
  </w:num>
  <w:num w:numId="12">
    <w:abstractNumId w:val="22"/>
  </w:num>
  <w:num w:numId="13">
    <w:abstractNumId w:val="2"/>
  </w:num>
  <w:num w:numId="14">
    <w:abstractNumId w:val="9"/>
  </w:num>
  <w:num w:numId="15">
    <w:abstractNumId w:val="27"/>
  </w:num>
  <w:num w:numId="16">
    <w:abstractNumId w:val="10"/>
  </w:num>
  <w:num w:numId="17">
    <w:abstractNumId w:val="17"/>
  </w:num>
  <w:num w:numId="18">
    <w:abstractNumId w:val="23"/>
  </w:num>
  <w:num w:numId="19">
    <w:abstractNumId w:val="12"/>
  </w:num>
  <w:num w:numId="20">
    <w:abstractNumId w:val="19"/>
  </w:num>
  <w:num w:numId="21">
    <w:abstractNumId w:val="20"/>
  </w:num>
  <w:num w:numId="22">
    <w:abstractNumId w:val="1"/>
  </w:num>
  <w:num w:numId="23">
    <w:abstractNumId w:val="4"/>
  </w:num>
  <w:num w:numId="24">
    <w:abstractNumId w:val="3"/>
  </w:num>
  <w:num w:numId="25">
    <w:abstractNumId w:val="21"/>
  </w:num>
  <w:num w:numId="26">
    <w:abstractNumId w:val="13"/>
  </w:num>
  <w:num w:numId="27">
    <w:abstractNumId w:val="25"/>
  </w:num>
  <w:num w:numId="28">
    <w:abstractNumId w:val="1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4C"/>
    <w:rsid w:val="001E2EEB"/>
    <w:rsid w:val="00295DD9"/>
    <w:rsid w:val="002D0D4C"/>
    <w:rsid w:val="005252E6"/>
    <w:rsid w:val="00587665"/>
    <w:rsid w:val="007222F6"/>
    <w:rsid w:val="00734541"/>
    <w:rsid w:val="0076666D"/>
    <w:rsid w:val="00DC1ADC"/>
    <w:rsid w:val="164D4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link w:val="1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标题 1 字符"/>
    <w:basedOn w:val="8"/>
    <w:link w:val="2"/>
    <w:uiPriority w:val="9"/>
    <w:rPr>
      <w:rFonts w:ascii="宋体" w:hAnsi="宋体" w:eastAsia="宋体" w:cs="宋体"/>
      <w:b/>
      <w:bCs/>
      <w:kern w:val="36"/>
      <w:sz w:val="48"/>
      <w:szCs w:val="48"/>
    </w:rPr>
  </w:style>
  <w:style w:type="character" w:customStyle="1" w:styleId="12">
    <w:name w:val="标题 2 字符"/>
    <w:basedOn w:val="8"/>
    <w:link w:val="3"/>
    <w:qFormat/>
    <w:uiPriority w:val="9"/>
    <w:rPr>
      <w:rFonts w:ascii="宋体" w:hAnsi="宋体" w:eastAsia="宋体" w:cs="宋体"/>
      <w:b/>
      <w:bCs/>
      <w:kern w:val="0"/>
      <w:sz w:val="36"/>
      <w:szCs w:val="36"/>
    </w:rPr>
  </w:style>
  <w:style w:type="character" w:customStyle="1" w:styleId="13">
    <w:name w:val="标题 3 字符"/>
    <w:basedOn w:val="8"/>
    <w:link w:val="4"/>
    <w:uiPriority w:val="9"/>
    <w:rPr>
      <w:rFonts w:ascii="宋体" w:hAnsi="宋体" w:eastAsia="宋体" w:cs="宋体"/>
      <w:b/>
      <w:bCs/>
      <w:kern w:val="0"/>
      <w:sz w:val="27"/>
      <w:szCs w:val="27"/>
    </w:rPr>
  </w:style>
  <w:style w:type="character" w:customStyle="1" w:styleId="14">
    <w:name w:val="标题 4 字符"/>
    <w:basedOn w:val="8"/>
    <w:link w:val="5"/>
    <w:uiPriority w:val="9"/>
    <w:rPr>
      <w:rFonts w:ascii="宋体" w:hAnsi="宋体" w:eastAsia="宋体" w:cs="宋体"/>
      <w:b/>
      <w:bCs/>
      <w:kern w:val="0"/>
      <w:sz w:val="24"/>
      <w:szCs w:val="24"/>
    </w:rPr>
  </w:style>
  <w:style w:type="paragraph" w:customStyle="1" w:styleId="15">
    <w:name w:val="ds-markdown-paragraph"/>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2305</Words>
  <Characters>2468</Characters>
  <Lines>27</Lines>
  <Paragraphs>7</Paragraphs>
  <TotalTime>0</TotalTime>
  <ScaleCrop>false</ScaleCrop>
  <LinksUpToDate>false</LinksUpToDate>
  <CharactersWithSpaces>2480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2026-07-27T13:46:00Z</dcterms:created>
  <dc:creator>tongmeng</dc:creator>
  <cp:lastModifiedBy>巾凡</cp:lastModifiedBy>
  <dcterms:modified xsi:type="dcterms:W3CDTF">2026-07-29T09:56:09Z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eyJoZGlkIjoiZDYwNWUwYjgwYWQ0ZGM1MTI0Y2U0MWEwYWVhOGM4NTMiLCJ1c2VySWQiOiIzOTM1MzM2NjEifQ==</vt:lpwstr>
  </property>
  <property fmtid="{D5CDD505-2E9C-101B-9397-08002B2CF9AE}" pid="3" name="KSOProductBuildVer">
    <vt:lpwstr>2052-12.1.0.26895</vt:lpwstr>
  </property>
  <property fmtid="{D5CDD505-2E9C-101B-9397-08002B2CF9AE}" pid="4" name="ICV">
    <vt:lpwstr>17255935DA8F46B582A81459D6AFD6B8_12</vt:lpwstr>
  </property>
</Properties>
</file>