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5A8E98">
      <w:pPr>
        <w:keepNext w:val="0"/>
        <w:keepLines w:val="0"/>
        <w:pageBreakBefore w:val="0"/>
        <w:widowControl w:val="0"/>
        <w:kinsoku/>
        <w:wordWrap/>
        <w:overflowPunct/>
        <w:topLinePunct w:val="0"/>
        <w:autoSpaceDE/>
        <w:autoSpaceDN/>
        <w:bidi w:val="0"/>
        <w:adjustRightInd w:val="0"/>
        <w:snapToGrid w:val="0"/>
        <w:rPr>
          <w:rFonts w:hint="eastAsia"/>
          <w:color w:val="auto"/>
          <w:sz w:val="32"/>
          <w:szCs w:val="32"/>
          <w:highlight w:val="none"/>
          <w:lang w:val="en-GB"/>
        </w:rPr>
      </w:pPr>
      <w:bookmarkStart w:id="0" w:name="_Hlk75950588"/>
      <w:r>
        <w:rPr>
          <w:color w:val="auto"/>
          <w:sz w:val="32"/>
          <w:szCs w:val="32"/>
          <w:highlight w:val="none"/>
        </w:rPr>
        <w:drawing>
          <wp:inline distT="0" distB="0" distL="114300" distR="114300">
            <wp:extent cx="1390015" cy="667385"/>
            <wp:effectExtent l="0" t="0" r="635" b="1841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1390015" cy="667385"/>
                    </a:xfrm>
                    <a:prstGeom prst="rect">
                      <a:avLst/>
                    </a:prstGeom>
                    <a:noFill/>
                    <a:ln>
                      <a:noFill/>
                    </a:ln>
                  </pic:spPr>
                </pic:pic>
              </a:graphicData>
            </a:graphic>
          </wp:inline>
        </w:drawing>
      </w:r>
    </w:p>
    <w:p w14:paraId="781D4B0F">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07BA8CE8">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3AF17779">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1ABC545C">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45FD0A1D">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7F51CAB2">
      <w:pPr>
        <w:keepNext w:val="0"/>
        <w:keepLines w:val="0"/>
        <w:pageBreakBefore w:val="0"/>
        <w:widowControl w:val="0"/>
        <w:tabs>
          <w:tab w:val="center" w:pos="4156"/>
          <w:tab w:val="left" w:pos="6405"/>
        </w:tabs>
        <w:kinsoku/>
        <w:wordWrap/>
        <w:overflowPunct/>
        <w:topLinePunct w:val="0"/>
        <w:autoSpaceDE/>
        <w:autoSpaceDN/>
        <w:bidi w:val="0"/>
        <w:adjustRightInd w:val="0"/>
        <w:snapToGrid w:val="0"/>
        <w:jc w:val="center"/>
        <w:rPr>
          <w:rFonts w:hint="eastAsia"/>
          <w:b/>
          <w:bCs/>
          <w:color w:val="auto"/>
          <w:sz w:val="72"/>
          <w:szCs w:val="72"/>
          <w:highlight w:val="none"/>
        </w:rPr>
      </w:pPr>
      <w:r>
        <w:rPr>
          <w:rFonts w:hint="eastAsia"/>
          <w:b/>
          <w:bCs/>
          <w:color w:val="auto"/>
          <w:sz w:val="72"/>
          <w:szCs w:val="72"/>
          <w:highlight w:val="none"/>
        </w:rPr>
        <w:t>竞争性磋商文件</w:t>
      </w:r>
    </w:p>
    <w:p w14:paraId="3892F003">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780E7908">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2818FDF4">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001FEAED">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tbl>
      <w:tblPr>
        <w:tblStyle w:val="4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38"/>
        <w:gridCol w:w="6458"/>
      </w:tblGrid>
      <w:tr w14:paraId="74BF1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838" w:type="dxa"/>
            <w:vAlign w:val="top"/>
          </w:tcPr>
          <w:p w14:paraId="5E460EDB">
            <w:pPr>
              <w:keepNext w:val="0"/>
              <w:keepLines w:val="0"/>
              <w:pageBreakBefore w:val="0"/>
              <w:widowControl w:val="0"/>
              <w:kinsoku/>
              <w:wordWrap/>
              <w:overflowPunct/>
              <w:topLinePunct w:val="0"/>
              <w:autoSpaceDE/>
              <w:autoSpaceDN/>
              <w:bidi w:val="0"/>
              <w:adjustRightInd w:val="0"/>
              <w:snapToGrid w:val="0"/>
              <w:jc w:val="right"/>
              <w:rPr>
                <w:rFonts w:hint="eastAsia"/>
                <w:b/>
                <w:color w:val="auto"/>
                <w:sz w:val="28"/>
                <w:szCs w:val="28"/>
                <w:highlight w:val="none"/>
                <w:lang w:val="en-US" w:eastAsia="zh-CN"/>
              </w:rPr>
            </w:pPr>
            <w:r>
              <w:rPr>
                <w:rFonts w:hint="eastAsia"/>
                <w:b/>
                <w:color w:val="auto"/>
                <w:sz w:val="28"/>
                <w:szCs w:val="28"/>
                <w:highlight w:val="none"/>
                <w:lang w:val="en-US" w:eastAsia="zh-CN"/>
              </w:rPr>
              <w:t>计划编号：</w:t>
            </w:r>
          </w:p>
        </w:tc>
        <w:tc>
          <w:tcPr>
            <w:tcW w:w="6458" w:type="dxa"/>
            <w:vAlign w:val="top"/>
          </w:tcPr>
          <w:p w14:paraId="40B4D794">
            <w:pPr>
              <w:pStyle w:val="37"/>
              <w:keepNext w:val="0"/>
              <w:keepLines w:val="0"/>
              <w:pageBreakBefore w:val="0"/>
              <w:widowControl w:val="0"/>
              <w:kinsoku/>
              <w:wordWrap/>
              <w:overflowPunct/>
              <w:topLinePunct w:val="0"/>
              <w:autoSpaceDE/>
              <w:autoSpaceDN/>
              <w:bidi w:val="0"/>
              <w:ind w:firstLine="0" w:firstLineChars="0"/>
              <w:jc w:val="both"/>
              <w:rPr>
                <w:rFonts w:hint="eastAsia"/>
                <w:b/>
                <w:bCs/>
                <w:color w:val="auto"/>
                <w:szCs w:val="28"/>
                <w:highlight w:val="none"/>
              </w:rPr>
            </w:pPr>
            <w:r>
              <w:rPr>
                <w:rFonts w:hint="eastAsia"/>
                <w:b/>
                <w:bCs/>
                <w:color w:val="auto"/>
                <w:szCs w:val="28"/>
                <w:highlight w:val="none"/>
              </w:rPr>
              <w:t>MB2D175961774230782190-2026032307</w:t>
            </w:r>
          </w:p>
        </w:tc>
      </w:tr>
      <w:tr w14:paraId="6444E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838" w:type="dxa"/>
            <w:shd w:val="clear" w:color="auto" w:fill="auto"/>
            <w:vAlign w:val="top"/>
          </w:tcPr>
          <w:p w14:paraId="1A0860E1">
            <w:pPr>
              <w:keepNext w:val="0"/>
              <w:keepLines w:val="0"/>
              <w:pageBreakBefore w:val="0"/>
              <w:widowControl w:val="0"/>
              <w:kinsoku/>
              <w:wordWrap/>
              <w:overflowPunct/>
              <w:topLinePunct w:val="0"/>
              <w:autoSpaceDE/>
              <w:autoSpaceDN/>
              <w:bidi w:val="0"/>
              <w:adjustRightInd w:val="0"/>
              <w:snapToGrid w:val="0"/>
              <w:jc w:val="right"/>
              <w:rPr>
                <w:rFonts w:hint="eastAsia" w:ascii="宋体" w:hAnsi="宋体" w:eastAsia="宋体" w:cs="Times New Roman"/>
                <w:color w:val="auto"/>
                <w:kern w:val="2"/>
                <w:sz w:val="28"/>
                <w:szCs w:val="28"/>
                <w:highlight w:val="none"/>
                <w:lang w:val="en-US" w:eastAsia="zh-CN" w:bidi="ar-SA"/>
              </w:rPr>
            </w:pPr>
            <w:r>
              <w:rPr>
                <w:rFonts w:hint="eastAsia"/>
                <w:b/>
                <w:color w:val="auto"/>
                <w:sz w:val="28"/>
                <w:szCs w:val="28"/>
                <w:highlight w:val="none"/>
              </w:rPr>
              <w:t>项目编号：</w:t>
            </w:r>
          </w:p>
        </w:tc>
        <w:tc>
          <w:tcPr>
            <w:tcW w:w="6458" w:type="dxa"/>
            <w:shd w:val="clear" w:color="auto" w:fill="auto"/>
            <w:vAlign w:val="top"/>
          </w:tcPr>
          <w:p w14:paraId="1C4855FC">
            <w:pPr>
              <w:pStyle w:val="37"/>
              <w:keepNext w:val="0"/>
              <w:keepLines w:val="0"/>
              <w:pageBreakBefore w:val="0"/>
              <w:widowControl w:val="0"/>
              <w:kinsoku/>
              <w:wordWrap/>
              <w:overflowPunct/>
              <w:topLinePunct w:val="0"/>
              <w:autoSpaceDE/>
              <w:autoSpaceDN/>
              <w:bidi w:val="0"/>
              <w:ind w:firstLine="0" w:firstLineChars="0"/>
              <w:jc w:val="both"/>
              <w:rPr>
                <w:rFonts w:hint="eastAsia" w:ascii="宋体" w:hAnsi="宋体" w:eastAsia="宋体" w:cs="Times New Roman"/>
                <w:b/>
                <w:bCs/>
                <w:color w:val="auto"/>
                <w:kern w:val="2"/>
                <w:sz w:val="28"/>
                <w:szCs w:val="28"/>
                <w:highlight w:val="none"/>
                <w:lang w:val="en-US" w:eastAsia="zh-CN" w:bidi="ar-SA"/>
              </w:rPr>
            </w:pPr>
            <w:r>
              <w:rPr>
                <w:rFonts w:hint="eastAsia"/>
                <w:b/>
                <w:bCs/>
                <w:color w:val="auto"/>
                <w:szCs w:val="28"/>
                <w:highlight w:val="none"/>
                <w:lang w:eastAsia="zh-CN"/>
              </w:rPr>
              <w:t>07-08-04F-2026-D-F-E06418</w:t>
            </w:r>
          </w:p>
        </w:tc>
      </w:tr>
      <w:tr w14:paraId="47722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838" w:type="dxa"/>
            <w:vAlign w:val="top"/>
          </w:tcPr>
          <w:p w14:paraId="610D2398">
            <w:pPr>
              <w:keepNext w:val="0"/>
              <w:keepLines w:val="0"/>
              <w:pageBreakBefore w:val="0"/>
              <w:widowControl w:val="0"/>
              <w:kinsoku/>
              <w:wordWrap/>
              <w:overflowPunct/>
              <w:topLinePunct w:val="0"/>
              <w:autoSpaceDE/>
              <w:autoSpaceDN/>
              <w:bidi w:val="0"/>
              <w:adjustRightInd w:val="0"/>
              <w:snapToGrid w:val="0"/>
              <w:jc w:val="right"/>
              <w:rPr>
                <w:rFonts w:hint="eastAsia"/>
                <w:b/>
                <w:color w:val="auto"/>
                <w:sz w:val="28"/>
                <w:szCs w:val="28"/>
                <w:highlight w:val="none"/>
              </w:rPr>
            </w:pPr>
            <w:r>
              <w:rPr>
                <w:rFonts w:hint="eastAsia"/>
                <w:b/>
                <w:color w:val="auto"/>
                <w:sz w:val="28"/>
                <w:szCs w:val="28"/>
                <w:highlight w:val="none"/>
              </w:rPr>
              <w:t>项目名称：</w:t>
            </w:r>
          </w:p>
        </w:tc>
        <w:tc>
          <w:tcPr>
            <w:tcW w:w="6458" w:type="dxa"/>
            <w:vAlign w:val="top"/>
          </w:tcPr>
          <w:p w14:paraId="501B6EAF">
            <w:pPr>
              <w:pStyle w:val="37"/>
              <w:keepNext w:val="0"/>
              <w:keepLines w:val="0"/>
              <w:pageBreakBefore w:val="0"/>
              <w:widowControl w:val="0"/>
              <w:kinsoku/>
              <w:wordWrap/>
              <w:overflowPunct/>
              <w:topLinePunct w:val="0"/>
              <w:autoSpaceDE/>
              <w:autoSpaceDN/>
              <w:bidi w:val="0"/>
              <w:ind w:firstLine="0" w:firstLineChars="0"/>
              <w:jc w:val="both"/>
              <w:rPr>
                <w:rFonts w:hint="eastAsia" w:eastAsia="宋体"/>
                <w:b/>
                <w:bCs/>
                <w:color w:val="auto"/>
                <w:szCs w:val="28"/>
                <w:highlight w:val="none"/>
                <w:lang w:eastAsia="zh-CN"/>
              </w:rPr>
            </w:pPr>
            <w:r>
              <w:rPr>
                <w:rFonts w:hint="eastAsia"/>
                <w:b/>
                <w:bCs/>
                <w:color w:val="auto"/>
                <w:szCs w:val="28"/>
                <w:highlight w:val="none"/>
                <w:lang w:eastAsia="zh-CN"/>
              </w:rPr>
              <w:t>中华人民共和国青茂出入境边防检查站2026年度食堂食材配送服务采购项目</w:t>
            </w:r>
          </w:p>
        </w:tc>
      </w:tr>
    </w:tbl>
    <w:p w14:paraId="6A334FAB">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4C366632">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0F5FD33B">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4A334D62">
      <w:pPr>
        <w:keepNext w:val="0"/>
        <w:keepLines w:val="0"/>
        <w:pageBreakBefore w:val="0"/>
        <w:widowControl w:val="0"/>
        <w:kinsoku/>
        <w:wordWrap/>
        <w:overflowPunct/>
        <w:topLinePunct w:val="0"/>
        <w:autoSpaceDE/>
        <w:autoSpaceDN/>
        <w:bidi w:val="0"/>
        <w:adjustRightInd w:val="0"/>
        <w:snapToGrid w:val="0"/>
        <w:rPr>
          <w:rFonts w:hint="eastAsia"/>
          <w:color w:val="auto"/>
          <w:sz w:val="28"/>
          <w:szCs w:val="28"/>
          <w:highlight w:val="none"/>
        </w:rPr>
      </w:pPr>
    </w:p>
    <w:p w14:paraId="2D2C7840">
      <w:pPr>
        <w:pStyle w:val="37"/>
        <w:keepNext w:val="0"/>
        <w:keepLines w:val="0"/>
        <w:pageBreakBefore w:val="0"/>
        <w:widowControl w:val="0"/>
        <w:kinsoku/>
        <w:wordWrap/>
        <w:overflowPunct/>
        <w:topLinePunct w:val="0"/>
        <w:autoSpaceDE/>
        <w:autoSpaceDN/>
        <w:bidi w:val="0"/>
        <w:ind w:firstLine="0" w:firstLineChars="0"/>
        <w:jc w:val="center"/>
        <w:rPr>
          <w:rFonts w:hint="eastAsia" w:eastAsia="宋体"/>
          <w:b/>
          <w:color w:val="auto"/>
          <w:szCs w:val="28"/>
          <w:highlight w:val="none"/>
          <w:lang w:eastAsia="zh-CN"/>
        </w:rPr>
      </w:pPr>
      <w:r>
        <w:rPr>
          <w:rFonts w:hint="eastAsia"/>
          <w:b/>
          <w:color w:val="auto"/>
          <w:szCs w:val="28"/>
          <w:highlight w:val="none"/>
        </w:rPr>
        <w:t>采购人：</w:t>
      </w:r>
      <w:r>
        <w:rPr>
          <w:rFonts w:hint="eastAsia"/>
          <w:b/>
          <w:color w:val="auto"/>
          <w:szCs w:val="28"/>
          <w:highlight w:val="none"/>
          <w:lang w:eastAsia="zh-CN"/>
        </w:rPr>
        <w:t>中华人民共和国青茂出入境边防检查站</w:t>
      </w:r>
    </w:p>
    <w:p w14:paraId="1E0E0C50">
      <w:pPr>
        <w:pStyle w:val="37"/>
        <w:keepNext w:val="0"/>
        <w:keepLines w:val="0"/>
        <w:pageBreakBefore w:val="0"/>
        <w:widowControl w:val="0"/>
        <w:kinsoku/>
        <w:wordWrap/>
        <w:overflowPunct/>
        <w:topLinePunct w:val="0"/>
        <w:autoSpaceDE/>
        <w:autoSpaceDN/>
        <w:bidi w:val="0"/>
        <w:ind w:firstLine="0" w:firstLineChars="0"/>
        <w:jc w:val="center"/>
        <w:rPr>
          <w:rFonts w:hint="eastAsia"/>
          <w:b/>
          <w:color w:val="auto"/>
          <w:szCs w:val="28"/>
          <w:highlight w:val="none"/>
        </w:rPr>
      </w:pPr>
      <w:r>
        <w:rPr>
          <w:rFonts w:hint="eastAsia"/>
          <w:b/>
          <w:color w:val="auto"/>
          <w:szCs w:val="28"/>
          <w:highlight w:val="none"/>
        </w:rPr>
        <w:t>采购代理机构：公诚管理咨询有限公司</w:t>
      </w:r>
    </w:p>
    <w:p w14:paraId="1BFB2378">
      <w:pPr>
        <w:pStyle w:val="37"/>
        <w:keepNext w:val="0"/>
        <w:keepLines w:val="0"/>
        <w:pageBreakBefore w:val="0"/>
        <w:widowControl w:val="0"/>
        <w:kinsoku/>
        <w:wordWrap/>
        <w:overflowPunct/>
        <w:topLinePunct w:val="0"/>
        <w:autoSpaceDE/>
        <w:autoSpaceDN/>
        <w:bidi w:val="0"/>
        <w:ind w:firstLine="0" w:firstLineChars="0"/>
        <w:jc w:val="center"/>
        <w:rPr>
          <w:rFonts w:hint="eastAsia"/>
          <w:b/>
          <w:color w:val="auto"/>
          <w:szCs w:val="28"/>
          <w:highlight w:val="none"/>
        </w:rPr>
      </w:pPr>
      <w:r>
        <w:rPr>
          <w:rFonts w:hint="eastAsia"/>
          <w:b/>
          <w:color w:val="auto"/>
          <w:szCs w:val="28"/>
          <w:highlight w:val="none"/>
        </w:rPr>
        <w:t>日期：二○二</w:t>
      </w:r>
      <w:r>
        <w:rPr>
          <w:rFonts w:hint="eastAsia"/>
          <w:b/>
          <w:color w:val="auto"/>
          <w:szCs w:val="28"/>
          <w:highlight w:val="none"/>
          <w:lang w:val="en-US" w:eastAsia="zh-CN"/>
        </w:rPr>
        <w:t>六</w:t>
      </w:r>
      <w:r>
        <w:rPr>
          <w:rFonts w:hint="eastAsia"/>
          <w:b/>
          <w:color w:val="auto"/>
          <w:szCs w:val="28"/>
          <w:highlight w:val="none"/>
        </w:rPr>
        <w:t>年</w:t>
      </w:r>
      <w:r>
        <w:rPr>
          <w:rFonts w:hint="eastAsia"/>
          <w:b/>
          <w:color w:val="auto"/>
          <w:szCs w:val="28"/>
          <w:highlight w:val="none"/>
          <w:lang w:val="en-US" w:eastAsia="zh-CN"/>
        </w:rPr>
        <w:t>三</w:t>
      </w:r>
      <w:r>
        <w:rPr>
          <w:rFonts w:hint="eastAsia"/>
          <w:b/>
          <w:color w:val="auto"/>
          <w:szCs w:val="28"/>
          <w:highlight w:val="none"/>
        </w:rPr>
        <w:t>月</w:t>
      </w:r>
      <w:bookmarkEnd w:id="0"/>
    </w:p>
    <w:p w14:paraId="41E578F6">
      <w:pPr>
        <w:pStyle w:val="19"/>
        <w:keepNext w:val="0"/>
        <w:keepLines w:val="0"/>
        <w:pageBreakBefore w:val="0"/>
        <w:widowControl w:val="0"/>
        <w:kinsoku/>
        <w:wordWrap/>
        <w:overflowPunct/>
        <w:topLinePunct w:val="0"/>
        <w:autoSpaceDE/>
        <w:autoSpaceDN/>
        <w:bidi w:val="0"/>
        <w:rPr>
          <w:rFonts w:hint="eastAsia"/>
          <w:color w:val="auto"/>
          <w:highlight w:val="none"/>
        </w:rPr>
      </w:pPr>
    </w:p>
    <w:p w14:paraId="58A424C4">
      <w:pPr>
        <w:pStyle w:val="37"/>
        <w:keepNext w:val="0"/>
        <w:keepLines w:val="0"/>
        <w:pageBreakBefore w:val="0"/>
        <w:widowControl w:val="0"/>
        <w:kinsoku/>
        <w:wordWrap/>
        <w:overflowPunct/>
        <w:topLinePunct w:val="0"/>
        <w:autoSpaceDE/>
        <w:autoSpaceDN/>
        <w:bidi w:val="0"/>
        <w:ind w:firstLine="0" w:firstLineChars="0"/>
        <w:jc w:val="center"/>
        <w:rPr>
          <w:rFonts w:hint="eastAsia"/>
          <w:b/>
          <w:bCs/>
          <w:color w:val="auto"/>
          <w:sz w:val="44"/>
          <w:szCs w:val="44"/>
          <w:highlight w:val="none"/>
        </w:rPr>
        <w:sectPr>
          <w:headerReference r:id="rId7" w:type="first"/>
          <w:footerReference r:id="rId10" w:type="first"/>
          <w:headerReference r:id="rId5" w:type="default"/>
          <w:footerReference r:id="rId8" w:type="default"/>
          <w:headerReference r:id="rId6" w:type="even"/>
          <w:footerReference r:id="rId9" w:type="even"/>
          <w:pgSz w:w="11906" w:h="16838"/>
          <w:pgMar w:top="1134" w:right="1134" w:bottom="1134" w:left="1134" w:header="426" w:footer="992" w:gutter="0"/>
          <w:paperSrc w:first="7"/>
          <w:pgNumType w:fmt="decimal" w:start="1"/>
          <w:cols w:space="0" w:num="1"/>
          <w:titlePg/>
          <w:rtlGutter w:val="0"/>
          <w:docGrid w:linePitch="312" w:charSpace="0"/>
        </w:sectPr>
      </w:pPr>
    </w:p>
    <w:p w14:paraId="42BAD52F">
      <w:pPr>
        <w:pStyle w:val="37"/>
        <w:keepNext w:val="0"/>
        <w:keepLines w:val="0"/>
        <w:pageBreakBefore w:val="0"/>
        <w:widowControl w:val="0"/>
        <w:kinsoku/>
        <w:wordWrap/>
        <w:overflowPunct/>
        <w:topLinePunct w:val="0"/>
        <w:autoSpaceDE/>
        <w:autoSpaceDN/>
        <w:bidi w:val="0"/>
        <w:ind w:firstLine="0" w:firstLineChars="0"/>
        <w:jc w:val="center"/>
        <w:rPr>
          <w:rFonts w:hint="eastAsia"/>
          <w:b/>
          <w:bCs/>
          <w:color w:val="auto"/>
          <w:sz w:val="44"/>
          <w:szCs w:val="44"/>
          <w:highlight w:val="none"/>
        </w:rPr>
      </w:pPr>
      <w:r>
        <w:rPr>
          <w:b/>
          <w:bCs/>
          <w:color w:val="auto"/>
          <w:sz w:val="44"/>
          <w:szCs w:val="44"/>
          <w:highlight w:val="none"/>
        </w:rPr>
        <w:t>温馨提示</w:t>
      </w:r>
    </w:p>
    <w:p w14:paraId="1BB5C655">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ind w:left="420" w:hanging="420" w:hangingChars="200"/>
        <w:rPr>
          <w:rFonts w:hint="eastAsia"/>
          <w:color w:val="auto"/>
          <w:szCs w:val="21"/>
          <w:highlight w:val="none"/>
        </w:rPr>
      </w:pPr>
      <w:r>
        <w:rPr>
          <w:rFonts w:hint="eastAsia"/>
          <w:color w:val="auto"/>
          <w:szCs w:val="21"/>
          <w:highlight w:val="none"/>
        </w:rPr>
        <w:t>“□”为选择项，采购人</w:t>
      </w:r>
      <w:r>
        <w:rPr>
          <w:color w:val="auto"/>
          <w:szCs w:val="21"/>
          <w:highlight w:val="none"/>
        </w:rPr>
        <w:t>/采购代理机构采用相应内容的以“■”</w:t>
      </w:r>
      <w:r>
        <w:rPr>
          <w:rFonts w:hint="eastAsia"/>
          <w:color w:val="auto"/>
          <w:szCs w:val="21"/>
          <w:highlight w:val="none"/>
        </w:rPr>
        <w:t>或“☑”</w:t>
      </w:r>
      <w:r>
        <w:rPr>
          <w:color w:val="auto"/>
          <w:szCs w:val="21"/>
          <w:highlight w:val="none"/>
        </w:rPr>
        <w:t>表示，不采用相应内容的仍然以“□”表示。</w:t>
      </w:r>
    </w:p>
    <w:p w14:paraId="27865E82">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ind w:left="420" w:hanging="420" w:hangingChars="200"/>
        <w:rPr>
          <w:rFonts w:hint="eastAsia"/>
          <w:color w:val="auto"/>
          <w:szCs w:val="21"/>
          <w:highlight w:val="none"/>
        </w:rPr>
      </w:pPr>
      <w:r>
        <w:rPr>
          <w:color w:val="auto"/>
          <w:szCs w:val="21"/>
          <w:highlight w:val="none"/>
        </w:rPr>
        <w:t>本项目邀请</w:t>
      </w:r>
      <w:r>
        <w:rPr>
          <w:rFonts w:hint="eastAsia"/>
          <w:color w:val="auto"/>
          <w:szCs w:val="21"/>
          <w:highlight w:val="none"/>
        </w:rPr>
        <w:t>供应商</w:t>
      </w:r>
      <w:r>
        <w:rPr>
          <w:color w:val="auto"/>
          <w:szCs w:val="21"/>
          <w:highlight w:val="none"/>
        </w:rPr>
        <w:t>参加</w:t>
      </w:r>
      <w:r>
        <w:rPr>
          <w:rFonts w:hint="eastAsia"/>
          <w:color w:val="auto"/>
          <w:szCs w:val="21"/>
          <w:highlight w:val="none"/>
        </w:rPr>
        <w:t>开启</w:t>
      </w:r>
      <w:r>
        <w:rPr>
          <w:color w:val="auto"/>
          <w:szCs w:val="21"/>
          <w:highlight w:val="none"/>
        </w:rPr>
        <w:t>会议，</w:t>
      </w:r>
      <w:r>
        <w:rPr>
          <w:rFonts w:hint="eastAsia"/>
          <w:color w:val="auto"/>
          <w:szCs w:val="21"/>
          <w:highlight w:val="none"/>
        </w:rPr>
        <w:t>出席开启会议的人员应当为供应商法定代表人或其授权代表，并携带相关身份证件；响应</w:t>
      </w:r>
      <w:r>
        <w:rPr>
          <w:color w:val="auto"/>
          <w:szCs w:val="21"/>
          <w:highlight w:val="none"/>
        </w:rPr>
        <w:t>文件递交地址</w:t>
      </w:r>
      <w:r>
        <w:rPr>
          <w:rFonts w:hint="eastAsia"/>
          <w:color w:val="auto"/>
          <w:szCs w:val="21"/>
          <w:highlight w:val="none"/>
        </w:rPr>
        <w:t>/开启</w:t>
      </w:r>
      <w:r>
        <w:rPr>
          <w:color w:val="auto"/>
          <w:szCs w:val="21"/>
          <w:highlight w:val="none"/>
        </w:rPr>
        <w:t>地址详见第一</w:t>
      </w:r>
      <w:r>
        <w:rPr>
          <w:rFonts w:hint="eastAsia"/>
          <w:color w:val="auto"/>
          <w:szCs w:val="21"/>
          <w:highlight w:val="none"/>
        </w:rPr>
        <w:t>章磋商邀请；</w:t>
      </w:r>
      <w:r>
        <w:rPr>
          <w:color w:val="auto"/>
          <w:szCs w:val="21"/>
          <w:highlight w:val="none"/>
        </w:rPr>
        <w:t>请</w:t>
      </w:r>
      <w:r>
        <w:rPr>
          <w:rFonts w:hint="eastAsia"/>
          <w:color w:val="auto"/>
          <w:szCs w:val="21"/>
          <w:highlight w:val="none"/>
        </w:rPr>
        <w:t>供应商</w:t>
      </w:r>
      <w:r>
        <w:rPr>
          <w:color w:val="auto"/>
          <w:szCs w:val="21"/>
          <w:highlight w:val="none"/>
        </w:rPr>
        <w:t>适当提前到达</w:t>
      </w:r>
      <w:r>
        <w:rPr>
          <w:rFonts w:hint="eastAsia"/>
          <w:color w:val="auto"/>
          <w:szCs w:val="21"/>
          <w:highlight w:val="none"/>
        </w:rPr>
        <w:t>指定地点，建议</w:t>
      </w:r>
      <w:r>
        <w:rPr>
          <w:color w:val="auto"/>
          <w:szCs w:val="21"/>
          <w:highlight w:val="none"/>
        </w:rPr>
        <w:t>在</w:t>
      </w:r>
      <w:r>
        <w:rPr>
          <w:rFonts w:hint="eastAsia"/>
          <w:color w:val="auto"/>
          <w:szCs w:val="21"/>
          <w:highlight w:val="none"/>
        </w:rPr>
        <w:t>响应文件提交</w:t>
      </w:r>
      <w:r>
        <w:rPr>
          <w:color w:val="auto"/>
          <w:szCs w:val="21"/>
          <w:highlight w:val="none"/>
        </w:rPr>
        <w:t>截止时间前30分钟</w:t>
      </w:r>
      <w:r>
        <w:rPr>
          <w:rFonts w:hint="eastAsia"/>
          <w:color w:val="auto"/>
          <w:szCs w:val="21"/>
          <w:highlight w:val="none"/>
        </w:rPr>
        <w:t>到达</w:t>
      </w:r>
      <w:r>
        <w:rPr>
          <w:color w:val="auto"/>
          <w:szCs w:val="21"/>
          <w:highlight w:val="none"/>
        </w:rPr>
        <w:t>。</w:t>
      </w:r>
    </w:p>
    <w:p w14:paraId="68E45A78">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ind w:left="420" w:hanging="420" w:hangingChars="200"/>
        <w:rPr>
          <w:rFonts w:hint="eastAsia"/>
          <w:color w:val="auto"/>
          <w:szCs w:val="21"/>
          <w:highlight w:val="none"/>
        </w:rPr>
      </w:pPr>
      <w:r>
        <w:rPr>
          <w:rFonts w:hint="eastAsia"/>
          <w:color w:val="auto"/>
          <w:szCs w:val="21"/>
          <w:highlight w:val="none"/>
        </w:rPr>
        <w:t>响应</w:t>
      </w:r>
      <w:r>
        <w:rPr>
          <w:color w:val="auto"/>
          <w:szCs w:val="21"/>
          <w:highlight w:val="none"/>
        </w:rPr>
        <w:t>文件应按顺序编制页码</w:t>
      </w:r>
      <w:r>
        <w:rPr>
          <w:rFonts w:hint="eastAsia"/>
          <w:color w:val="auto"/>
          <w:szCs w:val="21"/>
          <w:highlight w:val="none"/>
        </w:rPr>
        <w:t>和目录，请仔细检查响应文件是否已按采购文件要求盖章、签名、签署日期；建议逐页盖章或者在骑缝位置盖章。</w:t>
      </w:r>
    </w:p>
    <w:p w14:paraId="1B6FA51B">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ind w:left="420" w:hanging="420" w:hangingChars="200"/>
        <w:rPr>
          <w:rFonts w:hint="eastAsia"/>
          <w:b/>
          <w:color w:val="auto"/>
          <w:szCs w:val="21"/>
          <w:highlight w:val="none"/>
        </w:rPr>
      </w:pPr>
      <w:r>
        <w:rPr>
          <w:rFonts w:hint="eastAsia"/>
          <w:color w:val="auto"/>
          <w:szCs w:val="21"/>
          <w:highlight w:val="none"/>
        </w:rPr>
        <w:t>请仔细</w:t>
      </w:r>
      <w:r>
        <w:rPr>
          <w:color w:val="auto"/>
          <w:szCs w:val="21"/>
          <w:highlight w:val="none"/>
        </w:rPr>
        <w:t>根据资格</w:t>
      </w:r>
      <w:r>
        <w:rPr>
          <w:rFonts w:hint="eastAsia"/>
          <w:color w:val="auto"/>
          <w:szCs w:val="21"/>
          <w:highlight w:val="none"/>
        </w:rPr>
        <w:t>性</w:t>
      </w:r>
      <w:r>
        <w:rPr>
          <w:color w:val="auto"/>
          <w:szCs w:val="21"/>
          <w:highlight w:val="none"/>
        </w:rPr>
        <w:t>审查</w:t>
      </w:r>
      <w:r>
        <w:rPr>
          <w:rFonts w:hint="eastAsia"/>
          <w:color w:val="auto"/>
          <w:szCs w:val="21"/>
          <w:highlight w:val="none"/>
        </w:rPr>
        <w:t>表</w:t>
      </w:r>
      <w:r>
        <w:rPr>
          <w:color w:val="auto"/>
          <w:szCs w:val="21"/>
          <w:highlight w:val="none"/>
        </w:rPr>
        <w:t>和符合性审查</w:t>
      </w:r>
      <w:r>
        <w:rPr>
          <w:rFonts w:hint="eastAsia"/>
          <w:color w:val="auto"/>
          <w:szCs w:val="21"/>
          <w:highlight w:val="none"/>
        </w:rPr>
        <w:t>表</w:t>
      </w:r>
      <w:r>
        <w:rPr>
          <w:color w:val="auto"/>
          <w:szCs w:val="21"/>
          <w:highlight w:val="none"/>
        </w:rPr>
        <w:t>逐条检查</w:t>
      </w:r>
      <w:r>
        <w:rPr>
          <w:rFonts w:hint="eastAsia"/>
          <w:color w:val="auto"/>
          <w:szCs w:val="21"/>
          <w:highlight w:val="none"/>
        </w:rPr>
        <w:t>响应</w:t>
      </w:r>
      <w:r>
        <w:rPr>
          <w:color w:val="auto"/>
          <w:szCs w:val="21"/>
          <w:highlight w:val="none"/>
        </w:rPr>
        <w:t>文件</w:t>
      </w:r>
      <w:r>
        <w:rPr>
          <w:rFonts w:hint="eastAsia"/>
          <w:color w:val="auto"/>
          <w:szCs w:val="21"/>
          <w:highlight w:val="none"/>
        </w:rPr>
        <w:t>对应内容</w:t>
      </w:r>
      <w:r>
        <w:rPr>
          <w:color w:val="auto"/>
          <w:szCs w:val="21"/>
          <w:highlight w:val="none"/>
        </w:rPr>
        <w:t>是否符合</w:t>
      </w:r>
      <w:r>
        <w:rPr>
          <w:rFonts w:hint="eastAsia"/>
          <w:color w:val="auto"/>
          <w:szCs w:val="21"/>
          <w:highlight w:val="none"/>
        </w:rPr>
        <w:t>采购</w:t>
      </w:r>
      <w:r>
        <w:rPr>
          <w:color w:val="auto"/>
          <w:szCs w:val="21"/>
          <w:highlight w:val="none"/>
        </w:rPr>
        <w:t>文件要求</w:t>
      </w:r>
      <w:r>
        <w:rPr>
          <w:rFonts w:hint="eastAsia"/>
          <w:color w:val="auto"/>
          <w:szCs w:val="21"/>
          <w:highlight w:val="none"/>
        </w:rPr>
        <w:t>，</w:t>
      </w:r>
      <w:r>
        <w:rPr>
          <w:color w:val="auto"/>
          <w:szCs w:val="21"/>
          <w:highlight w:val="none"/>
        </w:rPr>
        <w:t>检查相关</w:t>
      </w:r>
      <w:r>
        <w:rPr>
          <w:rFonts w:hint="eastAsia"/>
          <w:color w:val="auto"/>
          <w:szCs w:val="21"/>
          <w:highlight w:val="none"/>
        </w:rPr>
        <w:t>证照、</w:t>
      </w:r>
      <w:r>
        <w:rPr>
          <w:color w:val="auto"/>
          <w:szCs w:val="21"/>
          <w:highlight w:val="none"/>
        </w:rPr>
        <w:t>证书、人员身份证</w:t>
      </w:r>
      <w:r>
        <w:rPr>
          <w:rFonts w:hint="eastAsia"/>
          <w:color w:val="auto"/>
          <w:szCs w:val="21"/>
          <w:highlight w:val="none"/>
        </w:rPr>
        <w:t>等证明材料是否</w:t>
      </w:r>
      <w:r>
        <w:rPr>
          <w:color w:val="auto"/>
          <w:szCs w:val="21"/>
          <w:highlight w:val="none"/>
        </w:rPr>
        <w:t>在有效期内</w:t>
      </w:r>
      <w:r>
        <w:rPr>
          <w:rFonts w:hint="eastAsia"/>
          <w:color w:val="auto"/>
          <w:szCs w:val="21"/>
          <w:highlight w:val="none"/>
        </w:rPr>
        <w:t>，业绩合同是否有签订日期，是否在规定的时间范围内</w:t>
      </w:r>
      <w:r>
        <w:rPr>
          <w:color w:val="auto"/>
          <w:szCs w:val="21"/>
          <w:highlight w:val="none"/>
        </w:rPr>
        <w:t>。</w:t>
      </w:r>
    </w:p>
    <w:p w14:paraId="251DCBC9">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ind w:left="420" w:hanging="420" w:hangingChars="200"/>
        <w:rPr>
          <w:rFonts w:hint="eastAsia"/>
          <w:color w:val="auto"/>
          <w:szCs w:val="21"/>
          <w:highlight w:val="none"/>
        </w:rPr>
      </w:pPr>
      <w:r>
        <w:rPr>
          <w:rFonts w:hint="eastAsia"/>
          <w:color w:val="auto"/>
          <w:szCs w:val="21"/>
          <w:highlight w:val="none"/>
        </w:rPr>
        <w:t>采购</w:t>
      </w:r>
      <w:r>
        <w:rPr>
          <w:color w:val="auto"/>
          <w:szCs w:val="21"/>
          <w:highlight w:val="none"/>
        </w:rPr>
        <w:t>文件中如有实质性条款要求，则</w:t>
      </w:r>
      <w:r>
        <w:rPr>
          <w:rFonts w:hint="eastAsia"/>
          <w:color w:val="auto"/>
          <w:szCs w:val="21"/>
          <w:highlight w:val="none"/>
        </w:rPr>
        <w:t>响应</w:t>
      </w:r>
      <w:r>
        <w:rPr>
          <w:color w:val="auto"/>
          <w:szCs w:val="21"/>
          <w:highlight w:val="none"/>
        </w:rPr>
        <w:t>文件格式中《</w:t>
      </w:r>
      <w:r>
        <w:rPr>
          <w:rFonts w:hint="eastAsia"/>
          <w:color w:val="auto"/>
          <w:szCs w:val="21"/>
          <w:highlight w:val="none"/>
        </w:rPr>
        <w:t>实质性条款响应表》</w:t>
      </w:r>
      <w:r>
        <w:rPr>
          <w:color w:val="auto"/>
          <w:szCs w:val="21"/>
          <w:highlight w:val="none"/>
        </w:rPr>
        <w:t>不能留空白，一定要按照</w:t>
      </w:r>
      <w:r>
        <w:rPr>
          <w:rFonts w:hint="eastAsia"/>
          <w:color w:val="auto"/>
          <w:szCs w:val="21"/>
          <w:highlight w:val="none"/>
        </w:rPr>
        <w:t>采购文件</w:t>
      </w:r>
      <w:r>
        <w:rPr>
          <w:color w:val="auto"/>
          <w:szCs w:val="21"/>
          <w:highlight w:val="none"/>
        </w:rPr>
        <w:t>要求填写</w:t>
      </w:r>
      <w:r>
        <w:rPr>
          <w:rFonts w:hint="eastAsia"/>
          <w:color w:val="auto"/>
          <w:szCs w:val="21"/>
          <w:highlight w:val="none"/>
        </w:rPr>
        <w:t>，若要求提供证明材料还须对应提供证明材料</w:t>
      </w:r>
      <w:r>
        <w:rPr>
          <w:color w:val="auto"/>
          <w:szCs w:val="21"/>
          <w:highlight w:val="none"/>
        </w:rPr>
        <w:t>。</w:t>
      </w:r>
    </w:p>
    <w:p w14:paraId="031FA2BC">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ind w:left="420" w:hanging="420" w:hangingChars="200"/>
        <w:rPr>
          <w:rFonts w:hint="eastAsia"/>
          <w:color w:val="auto"/>
          <w:szCs w:val="21"/>
          <w:highlight w:val="none"/>
        </w:rPr>
      </w:pPr>
      <w:r>
        <w:rPr>
          <w:rFonts w:hint="eastAsia"/>
          <w:color w:val="auto"/>
          <w:szCs w:val="21"/>
          <w:highlight w:val="none"/>
        </w:rPr>
        <w:t>请正确填写《报价一览表》（报价表）和《分项报价表》(如有)，注意大小写必须一致；《分项报价表》汇总金额必须与《报价一览表》总报价一致。</w:t>
      </w:r>
    </w:p>
    <w:p w14:paraId="6FB2A910">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ind w:left="420" w:hanging="420" w:hangingChars="200"/>
        <w:rPr>
          <w:rFonts w:hint="eastAsia"/>
          <w:color w:val="auto"/>
          <w:szCs w:val="21"/>
          <w:highlight w:val="none"/>
        </w:rPr>
      </w:pPr>
      <w:r>
        <w:rPr>
          <w:rFonts w:hint="eastAsia"/>
          <w:color w:val="auto"/>
          <w:szCs w:val="21"/>
          <w:highlight w:val="none"/>
        </w:rPr>
        <w:t>多包组项目请仔细检查包组号，包组号与包组采购内容必须对应。</w:t>
      </w:r>
    </w:p>
    <w:p w14:paraId="340CAF72">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ind w:left="420" w:hanging="420" w:hangingChars="200"/>
        <w:rPr>
          <w:rFonts w:hint="eastAsia"/>
          <w:color w:val="auto"/>
          <w:szCs w:val="21"/>
          <w:highlight w:val="none"/>
        </w:rPr>
      </w:pPr>
      <w:r>
        <w:rPr>
          <w:rFonts w:hint="eastAsia"/>
          <w:color w:val="auto"/>
          <w:szCs w:val="21"/>
          <w:highlight w:val="none"/>
        </w:rPr>
        <w:t>为方便评审，提高评审效率和质量，建议供应商可根据评审标准要求，对照自己的响应文件，用显眼的方式标记出对应的响应内容。</w:t>
      </w:r>
    </w:p>
    <w:p w14:paraId="65B370B8">
      <w:pPr>
        <w:keepNext w:val="0"/>
        <w:keepLines w:val="0"/>
        <w:pageBreakBefore w:val="0"/>
        <w:widowControl w:val="0"/>
        <w:numPr>
          <w:ilvl w:val="0"/>
          <w:numId w:val="4"/>
        </w:numPr>
        <w:tabs>
          <w:tab w:val="left" w:pos="502"/>
          <w:tab w:val="left" w:pos="1408"/>
          <w:tab w:val="left" w:pos="4769"/>
        </w:tabs>
        <w:kinsoku/>
        <w:wordWrap/>
        <w:overflowPunct/>
        <w:topLinePunct w:val="0"/>
        <w:autoSpaceDE/>
        <w:autoSpaceDN/>
        <w:bidi w:val="0"/>
        <w:ind w:left="420" w:hanging="420" w:hangingChars="200"/>
        <w:rPr>
          <w:rFonts w:hint="eastAsia"/>
          <w:color w:val="auto"/>
          <w:szCs w:val="21"/>
          <w:highlight w:val="none"/>
        </w:rPr>
      </w:pPr>
      <w:r>
        <w:rPr>
          <w:rFonts w:hint="eastAsia"/>
          <w:color w:val="auto"/>
          <w:szCs w:val="21"/>
          <w:highlight w:val="none"/>
        </w:rPr>
        <w:t>为了提高采购效率，节约社会交易成本与时间，希望获取了采购文件的供应商如果决定放弃响应的，在响应文件提交</w:t>
      </w:r>
      <w:r>
        <w:rPr>
          <w:color w:val="auto"/>
          <w:szCs w:val="21"/>
          <w:highlight w:val="none"/>
        </w:rPr>
        <w:t>截止时间</w:t>
      </w:r>
      <w:r>
        <w:rPr>
          <w:rFonts w:hint="eastAsia"/>
          <w:color w:val="auto"/>
          <w:szCs w:val="21"/>
          <w:highlight w:val="none"/>
        </w:rPr>
        <w:t>前2日，以书面盖章形式告知采购代理机构：</w:t>
      </w:r>
      <w:bookmarkStart w:id="1" w:name="_Hlk111933718"/>
      <w:r>
        <w:rPr>
          <w:rFonts w:hint="eastAsia"/>
          <w:color w:val="auto"/>
          <w:szCs w:val="21"/>
          <w:highlight w:val="none"/>
          <w:lang w:eastAsia="zh-CN"/>
        </w:rPr>
        <w:t>yangshuwen</w:t>
      </w:r>
      <w:r>
        <w:rPr>
          <w:color w:val="auto"/>
          <w:szCs w:val="21"/>
          <w:highlight w:val="none"/>
        </w:rPr>
        <w:t>.gcmc.gd@chinaccs.cn</w:t>
      </w:r>
      <w:bookmarkEnd w:id="1"/>
      <w:r>
        <w:rPr>
          <w:color w:val="auto"/>
          <w:szCs w:val="21"/>
          <w:highlight w:val="none"/>
        </w:rPr>
        <w:t>。</w:t>
      </w:r>
    </w:p>
    <w:p w14:paraId="2FF8278C">
      <w:pPr>
        <w:keepNext w:val="0"/>
        <w:keepLines w:val="0"/>
        <w:pageBreakBefore w:val="0"/>
        <w:widowControl w:val="0"/>
        <w:numPr>
          <w:ilvl w:val="0"/>
          <w:numId w:val="4"/>
        </w:numPr>
        <w:tabs>
          <w:tab w:val="left" w:pos="502"/>
          <w:tab w:val="left" w:pos="1408"/>
          <w:tab w:val="left" w:pos="4769"/>
        </w:tabs>
        <w:kinsoku/>
        <w:wordWrap/>
        <w:overflowPunct/>
        <w:topLinePunct w:val="0"/>
        <w:autoSpaceDE/>
        <w:autoSpaceDN/>
        <w:bidi w:val="0"/>
        <w:ind w:left="420" w:hanging="420" w:hangingChars="200"/>
        <w:jc w:val="left"/>
        <w:rPr>
          <w:rFonts w:hint="eastAsia"/>
          <w:color w:val="auto"/>
          <w:szCs w:val="21"/>
          <w:highlight w:val="none"/>
        </w:rPr>
      </w:pPr>
      <w:r>
        <w:rPr>
          <w:rFonts w:hint="eastAsia"/>
          <w:color w:val="auto"/>
          <w:szCs w:val="21"/>
          <w:highlight w:val="none"/>
        </w:rPr>
        <w:t>根据“节约能源、保护环境”要求，建议供应商双面打印响应文件。</w:t>
      </w:r>
    </w:p>
    <w:p w14:paraId="5E12047E">
      <w:pPr>
        <w:keepNext w:val="0"/>
        <w:keepLines w:val="0"/>
        <w:pageBreakBefore w:val="0"/>
        <w:widowControl w:val="0"/>
        <w:numPr>
          <w:ilvl w:val="0"/>
          <w:numId w:val="4"/>
        </w:numPr>
        <w:tabs>
          <w:tab w:val="left" w:pos="502"/>
          <w:tab w:val="left" w:pos="1408"/>
          <w:tab w:val="left" w:pos="4769"/>
        </w:tabs>
        <w:kinsoku/>
        <w:wordWrap/>
        <w:overflowPunct/>
        <w:topLinePunct w:val="0"/>
        <w:autoSpaceDE/>
        <w:autoSpaceDN/>
        <w:bidi w:val="0"/>
        <w:ind w:left="420" w:hanging="420" w:hangingChars="200"/>
        <w:jc w:val="left"/>
        <w:rPr>
          <w:rFonts w:hint="eastAsia"/>
          <w:color w:val="auto"/>
          <w:szCs w:val="21"/>
          <w:highlight w:val="none"/>
        </w:rPr>
      </w:pPr>
      <w:r>
        <w:rPr>
          <w:rFonts w:hint="eastAsia"/>
          <w:color w:val="auto"/>
          <w:szCs w:val="21"/>
          <w:highlight w:val="none"/>
        </w:rPr>
        <w:t>特别说明：本提示内容非采购文件的组成部分，仅为善意提醒；如有不一致的地方，以采购文件为准。</w:t>
      </w:r>
    </w:p>
    <w:p w14:paraId="17A6D044">
      <w:pPr>
        <w:keepNext w:val="0"/>
        <w:keepLines w:val="0"/>
        <w:pageBreakBefore w:val="0"/>
        <w:widowControl w:val="0"/>
        <w:kinsoku/>
        <w:wordWrap/>
        <w:overflowPunct/>
        <w:topLinePunct w:val="0"/>
        <w:autoSpaceDE/>
        <w:autoSpaceDN/>
        <w:bidi w:val="0"/>
        <w:rPr>
          <w:rFonts w:hint="eastAsia"/>
          <w:b/>
          <w:color w:val="auto"/>
          <w:szCs w:val="21"/>
          <w:highlight w:val="none"/>
        </w:rPr>
      </w:pPr>
      <w:r>
        <w:rPr>
          <w:b/>
          <w:color w:val="auto"/>
          <w:szCs w:val="21"/>
          <w:highlight w:val="none"/>
        </w:rPr>
        <w:br w:type="page"/>
      </w:r>
    </w:p>
    <w:p w14:paraId="43B35130">
      <w:pPr>
        <w:keepNext w:val="0"/>
        <w:keepLines w:val="0"/>
        <w:pageBreakBefore w:val="0"/>
        <w:widowControl w:val="0"/>
        <w:kinsoku/>
        <w:wordWrap/>
        <w:overflowPunct/>
        <w:topLinePunct w:val="0"/>
        <w:autoSpaceDE/>
        <w:autoSpaceDN/>
        <w:bidi w:val="0"/>
        <w:spacing w:line="360" w:lineRule="auto"/>
        <w:jc w:val="center"/>
        <w:textAlignment w:val="auto"/>
        <w:rPr>
          <w:rFonts w:hint="eastAsia"/>
          <w:b/>
          <w:bCs/>
          <w:color w:val="auto"/>
          <w:sz w:val="32"/>
          <w:highlight w:val="none"/>
        </w:rPr>
      </w:pPr>
      <w:r>
        <w:rPr>
          <w:rFonts w:hint="eastAsia"/>
          <w:b/>
          <w:bCs/>
          <w:color w:val="auto"/>
          <w:sz w:val="32"/>
          <w:highlight w:val="none"/>
        </w:rPr>
        <w:t>目</w:t>
      </w:r>
      <w:r>
        <w:rPr>
          <w:rFonts w:hint="eastAsia"/>
          <w:b/>
          <w:bCs/>
          <w:color w:val="auto"/>
          <w:sz w:val="32"/>
          <w:highlight w:val="none"/>
        </w:rPr>
        <w:tab/>
      </w:r>
      <w:r>
        <w:rPr>
          <w:rFonts w:hint="eastAsia"/>
          <w:b/>
          <w:bCs/>
          <w:color w:val="auto"/>
          <w:sz w:val="32"/>
          <w:highlight w:val="none"/>
        </w:rPr>
        <w:t xml:space="preserve">  录</w:t>
      </w:r>
    </w:p>
    <w:p w14:paraId="7FFF22E4">
      <w:pPr>
        <w:pStyle w:val="31"/>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 w:val="0"/>
          <w:color w:val="auto"/>
          <w:sz w:val="21"/>
          <w:szCs w:val="21"/>
          <w:highlight w:val="none"/>
        </w:rPr>
        <w:fldChar w:fldCharType="begin"/>
      </w:r>
      <w:r>
        <w:rPr>
          <w:rFonts w:hint="eastAsia" w:ascii="宋体" w:hAnsi="宋体" w:eastAsia="宋体" w:cs="宋体"/>
          <w:b w:val="0"/>
          <w:color w:val="auto"/>
          <w:sz w:val="21"/>
          <w:szCs w:val="21"/>
          <w:highlight w:val="none"/>
        </w:rPr>
        <w:instrText xml:space="preserve"> TOC \o "1-2" \h \z \u </w:instrText>
      </w:r>
      <w:r>
        <w:rPr>
          <w:rFonts w:hint="eastAsia" w:ascii="宋体" w:hAnsi="宋体" w:eastAsia="宋体" w:cs="宋体"/>
          <w:b w:val="0"/>
          <w:color w:val="auto"/>
          <w:sz w:val="21"/>
          <w:szCs w:val="21"/>
          <w:highlight w:val="none"/>
        </w:rPr>
        <w:fldChar w:fldCharType="separate"/>
      </w:r>
      <w:r>
        <w:rPr>
          <w:rFonts w:hint="eastAsia" w:ascii="宋体" w:hAnsi="宋体" w:eastAsia="宋体" w:cs="宋体"/>
          <w:color w:val="auto"/>
          <w:sz w:val="21"/>
          <w:szCs w:val="21"/>
          <w:highlight w:val="none"/>
        </w:rPr>
        <w:fldChar w:fldCharType="begin"/>
      </w:r>
      <w:r>
        <w:rPr>
          <w:rFonts w:hint="eastAsia" w:ascii="宋体" w:hAnsi="宋体" w:eastAsia="宋体" w:cs="宋体"/>
          <w:sz w:val="21"/>
          <w:szCs w:val="21"/>
          <w:highlight w:val="none"/>
        </w:rPr>
        <w:instrText xml:space="preserve"> HYPERLINK \l _Toc2200 </w:instrText>
      </w:r>
      <w:r>
        <w:rPr>
          <w:rFonts w:hint="eastAsia" w:ascii="宋体" w:hAnsi="宋体" w:eastAsia="宋体" w:cs="宋体"/>
          <w:sz w:val="21"/>
          <w:szCs w:val="21"/>
          <w:highlight w:val="none"/>
        </w:rPr>
        <w:fldChar w:fldCharType="separate"/>
      </w:r>
      <w:r>
        <w:rPr>
          <w:rFonts w:hint="eastAsia" w:ascii="宋体" w:hAnsi="宋体" w:eastAsia="宋体" w:cs="宋体"/>
          <w:sz w:val="21"/>
          <w:szCs w:val="21"/>
          <w:highlight w:val="none"/>
        </w:rPr>
        <w:t>第一章 磋商邀请</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_Toc2200 \h </w:instrText>
      </w:r>
      <w:r>
        <w:rPr>
          <w:rFonts w:hint="eastAsia" w:ascii="宋体" w:hAnsi="宋体" w:eastAsia="宋体" w:cs="宋体"/>
          <w:sz w:val="21"/>
          <w:szCs w:val="21"/>
        </w:rPr>
        <w:fldChar w:fldCharType="separate"/>
      </w:r>
      <w:r>
        <w:rPr>
          <w:rFonts w:hint="eastAsia" w:ascii="宋体" w:hAnsi="宋体" w:eastAsia="宋体" w:cs="宋体"/>
          <w:sz w:val="21"/>
          <w:szCs w:val="21"/>
        </w:rPr>
        <w:t>5</w:t>
      </w:r>
      <w:r>
        <w:rPr>
          <w:rFonts w:hint="eastAsia" w:ascii="宋体" w:hAnsi="宋体" w:eastAsia="宋体" w:cs="宋体"/>
          <w:sz w:val="21"/>
          <w:szCs w:val="21"/>
        </w:rPr>
        <w:fldChar w:fldCharType="end"/>
      </w:r>
      <w:r>
        <w:rPr>
          <w:rFonts w:hint="eastAsia" w:ascii="宋体" w:hAnsi="宋体" w:eastAsia="宋体" w:cs="宋体"/>
          <w:color w:val="auto"/>
          <w:sz w:val="21"/>
          <w:szCs w:val="21"/>
          <w:highlight w:val="none"/>
        </w:rPr>
        <w:fldChar w:fldCharType="end"/>
      </w:r>
    </w:p>
    <w:p w14:paraId="250D3F71">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_Toc23460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一、项目基本情况</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_Toc23460 \h </w:instrText>
      </w:r>
      <w:r>
        <w:rPr>
          <w:rFonts w:hint="eastAsia" w:ascii="宋体" w:hAnsi="宋体" w:eastAsia="宋体" w:cs="宋体"/>
          <w:sz w:val="21"/>
          <w:szCs w:val="21"/>
        </w:rPr>
        <w:fldChar w:fldCharType="separate"/>
      </w:r>
      <w:r>
        <w:rPr>
          <w:rFonts w:hint="eastAsia" w:ascii="宋体" w:hAnsi="宋体" w:eastAsia="宋体" w:cs="宋体"/>
          <w:sz w:val="21"/>
          <w:szCs w:val="21"/>
        </w:rPr>
        <w:t>5</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7939116">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_Toc25403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二、申请人的资格要求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_Toc25403 \h </w:instrText>
      </w:r>
      <w:r>
        <w:rPr>
          <w:rFonts w:hint="eastAsia" w:ascii="宋体" w:hAnsi="宋体" w:eastAsia="宋体" w:cs="宋体"/>
          <w:sz w:val="21"/>
          <w:szCs w:val="21"/>
        </w:rPr>
        <w:fldChar w:fldCharType="separate"/>
      </w:r>
      <w:r>
        <w:rPr>
          <w:rFonts w:hint="eastAsia" w:ascii="宋体" w:hAnsi="宋体" w:eastAsia="宋体" w:cs="宋体"/>
          <w:sz w:val="21"/>
          <w:szCs w:val="21"/>
        </w:rPr>
        <w:t>5</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71333EEC">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_Toc22260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三、获取采购文件</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_Toc22260 \h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6226C185">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_Toc30270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四、响应文件提交</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_Toc30270 \h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D8F237F">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_Toc6957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五、开启</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_Toc6957 \h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72009E0">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_Toc3438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六、公告期限</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_Toc3438 \h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25FEF1FC">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_Toc5939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七、其他补充事宜</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_Toc5939 \h </w:instrText>
      </w:r>
      <w:r>
        <w:rPr>
          <w:rFonts w:hint="eastAsia" w:ascii="宋体" w:hAnsi="宋体" w:eastAsia="宋体" w:cs="宋体"/>
          <w:sz w:val="21"/>
          <w:szCs w:val="21"/>
        </w:rPr>
        <w:fldChar w:fldCharType="separate"/>
      </w:r>
      <w:r>
        <w:rPr>
          <w:rFonts w:hint="eastAsia" w:ascii="宋体" w:hAnsi="宋体" w:eastAsia="宋体" w:cs="宋体"/>
          <w:sz w:val="21"/>
          <w:szCs w:val="21"/>
        </w:rPr>
        <w:t>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AFFE28B">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_Toc3387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八、凡对本次采购提出询问，请按以下方式联系</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_Toc3387 \h </w:instrText>
      </w:r>
      <w:r>
        <w:rPr>
          <w:rFonts w:hint="eastAsia" w:ascii="宋体" w:hAnsi="宋体" w:eastAsia="宋体" w:cs="宋体"/>
          <w:sz w:val="21"/>
          <w:szCs w:val="21"/>
        </w:rPr>
        <w:fldChar w:fldCharType="separate"/>
      </w:r>
      <w:r>
        <w:rPr>
          <w:rFonts w:hint="eastAsia" w:ascii="宋体" w:hAnsi="宋体" w:eastAsia="宋体" w:cs="宋体"/>
          <w:sz w:val="21"/>
          <w:szCs w:val="21"/>
        </w:rPr>
        <w:t>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F7A12AE">
      <w:pPr>
        <w:pStyle w:val="31"/>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_Toc4688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rPr>
        <w:t>第二章 采购需求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_Toc4688 \h </w:instrText>
      </w:r>
      <w:r>
        <w:rPr>
          <w:rFonts w:hint="eastAsia" w:ascii="宋体" w:hAnsi="宋体" w:eastAsia="宋体" w:cs="宋体"/>
          <w:sz w:val="21"/>
          <w:szCs w:val="21"/>
        </w:rPr>
        <w:fldChar w:fldCharType="separate"/>
      </w:r>
      <w:r>
        <w:rPr>
          <w:rFonts w:hint="eastAsia" w:ascii="宋体" w:hAnsi="宋体" w:eastAsia="宋体" w:cs="宋体"/>
          <w:sz w:val="21"/>
          <w:szCs w:val="21"/>
        </w:rPr>
        <w:t>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6BC9B09">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_Toc10747 </w:instrText>
      </w:r>
      <w:r>
        <w:rPr>
          <w:rFonts w:hint="eastAsia" w:ascii="宋体" w:hAnsi="宋体" w:eastAsia="宋体" w:cs="宋体"/>
          <w:bCs/>
          <w:sz w:val="21"/>
          <w:szCs w:val="21"/>
          <w:highlight w:val="none"/>
        </w:rPr>
        <w:fldChar w:fldCharType="separate"/>
      </w:r>
      <w:r>
        <w:rPr>
          <w:rFonts w:hint="eastAsia" w:ascii="宋体" w:hAnsi="宋体" w:eastAsia="宋体" w:cs="宋体"/>
          <w:bCs/>
          <w:sz w:val="21"/>
          <w:szCs w:val="21"/>
          <w:highlight w:val="none"/>
        </w:rPr>
        <w:t>一、项目概述</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_Toc10747 \h </w:instrText>
      </w:r>
      <w:r>
        <w:rPr>
          <w:rFonts w:hint="eastAsia" w:ascii="宋体" w:hAnsi="宋体" w:eastAsia="宋体" w:cs="宋体"/>
          <w:sz w:val="21"/>
          <w:szCs w:val="21"/>
        </w:rPr>
        <w:fldChar w:fldCharType="separate"/>
      </w:r>
      <w:r>
        <w:rPr>
          <w:rFonts w:hint="eastAsia" w:ascii="宋体" w:hAnsi="宋体" w:eastAsia="宋体" w:cs="宋体"/>
          <w:sz w:val="21"/>
          <w:szCs w:val="21"/>
        </w:rPr>
        <w:t>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27CA73A5">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_Toc6375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二、主要商务要求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_Toc6375 \h </w:instrText>
      </w:r>
      <w:r>
        <w:rPr>
          <w:rFonts w:hint="eastAsia" w:ascii="宋体" w:hAnsi="宋体" w:eastAsia="宋体" w:cs="宋体"/>
          <w:sz w:val="21"/>
          <w:szCs w:val="21"/>
        </w:rPr>
        <w:fldChar w:fldCharType="separate"/>
      </w:r>
      <w:r>
        <w:rPr>
          <w:rFonts w:hint="eastAsia" w:ascii="宋体" w:hAnsi="宋体" w:eastAsia="宋体" w:cs="宋体"/>
          <w:sz w:val="21"/>
          <w:szCs w:val="21"/>
        </w:rPr>
        <w:t>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642C7894">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_Toc27206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lang w:eastAsia="zh-CN"/>
        </w:rPr>
        <w:t>三、技术标准与要求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_Toc27206 \h </w:instrText>
      </w:r>
      <w:r>
        <w:rPr>
          <w:rFonts w:hint="eastAsia" w:ascii="宋体" w:hAnsi="宋体" w:eastAsia="宋体" w:cs="宋体"/>
          <w:sz w:val="21"/>
          <w:szCs w:val="21"/>
        </w:rPr>
        <w:fldChar w:fldCharType="separate"/>
      </w:r>
      <w:r>
        <w:rPr>
          <w:rFonts w:hint="eastAsia" w:ascii="宋体" w:hAnsi="宋体" w:eastAsia="宋体" w:cs="宋体"/>
          <w:sz w:val="21"/>
          <w:szCs w:val="21"/>
        </w:rPr>
        <w:t>11</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E149D1C">
      <w:pPr>
        <w:pStyle w:val="31"/>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_Toc7154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rPr>
        <w:t>第三章 供应商须知</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_Toc7154 \h </w:instrText>
      </w:r>
      <w:r>
        <w:rPr>
          <w:rFonts w:hint="eastAsia" w:ascii="宋体" w:hAnsi="宋体" w:eastAsia="宋体" w:cs="宋体"/>
          <w:sz w:val="21"/>
          <w:szCs w:val="21"/>
        </w:rPr>
        <w:fldChar w:fldCharType="separate"/>
      </w:r>
      <w:r>
        <w:rPr>
          <w:rFonts w:hint="eastAsia" w:ascii="宋体" w:hAnsi="宋体" w:eastAsia="宋体" w:cs="宋体"/>
          <w:sz w:val="21"/>
          <w:szCs w:val="21"/>
        </w:rPr>
        <w:t>18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E3A6A36">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_Toc21764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一、 </w:t>
      </w:r>
      <w:r>
        <w:rPr>
          <w:rFonts w:hint="eastAsia" w:ascii="宋体" w:hAnsi="宋体" w:eastAsia="宋体" w:cs="宋体"/>
          <w:sz w:val="21"/>
          <w:szCs w:val="21"/>
          <w:highlight w:val="none"/>
        </w:rPr>
        <w:t>名词解释</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_Toc21764 \h </w:instrText>
      </w:r>
      <w:r>
        <w:rPr>
          <w:rFonts w:hint="eastAsia" w:ascii="宋体" w:hAnsi="宋体" w:eastAsia="宋体" w:cs="宋体"/>
          <w:sz w:val="21"/>
          <w:szCs w:val="21"/>
        </w:rPr>
        <w:fldChar w:fldCharType="separate"/>
      </w:r>
      <w:r>
        <w:rPr>
          <w:rFonts w:hint="eastAsia" w:ascii="宋体" w:hAnsi="宋体" w:eastAsia="宋体" w:cs="宋体"/>
          <w:sz w:val="21"/>
          <w:szCs w:val="21"/>
        </w:rPr>
        <w:t>18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63BE5FF3">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_Toc16702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二、 </w:t>
      </w:r>
      <w:r>
        <w:rPr>
          <w:rFonts w:hint="eastAsia" w:ascii="宋体" w:hAnsi="宋体" w:eastAsia="宋体" w:cs="宋体"/>
          <w:sz w:val="21"/>
          <w:szCs w:val="21"/>
          <w:highlight w:val="none"/>
        </w:rPr>
        <w:t>须知前附表</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_Toc16702 \h </w:instrText>
      </w:r>
      <w:r>
        <w:rPr>
          <w:rFonts w:hint="eastAsia" w:ascii="宋体" w:hAnsi="宋体" w:eastAsia="宋体" w:cs="宋体"/>
          <w:sz w:val="21"/>
          <w:szCs w:val="21"/>
        </w:rPr>
        <w:fldChar w:fldCharType="separate"/>
      </w:r>
      <w:r>
        <w:rPr>
          <w:rFonts w:hint="eastAsia" w:ascii="宋体" w:hAnsi="宋体" w:eastAsia="宋体" w:cs="宋体"/>
          <w:sz w:val="21"/>
          <w:szCs w:val="21"/>
        </w:rPr>
        <w:t>18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1A7922AB">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_Toc28972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三、 </w:t>
      </w:r>
      <w:r>
        <w:rPr>
          <w:rFonts w:hint="eastAsia" w:ascii="宋体" w:hAnsi="宋体" w:eastAsia="宋体" w:cs="宋体"/>
          <w:sz w:val="21"/>
          <w:szCs w:val="21"/>
          <w:highlight w:val="none"/>
        </w:rPr>
        <w:t>说明</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_Toc28972 \h </w:instrText>
      </w:r>
      <w:r>
        <w:rPr>
          <w:rFonts w:hint="eastAsia" w:ascii="宋体" w:hAnsi="宋体" w:eastAsia="宋体" w:cs="宋体"/>
          <w:sz w:val="21"/>
          <w:szCs w:val="21"/>
        </w:rPr>
        <w:fldChar w:fldCharType="separate"/>
      </w:r>
      <w:r>
        <w:rPr>
          <w:rFonts w:hint="eastAsia" w:ascii="宋体" w:hAnsi="宋体" w:eastAsia="宋体" w:cs="宋体"/>
          <w:sz w:val="21"/>
          <w:szCs w:val="21"/>
        </w:rPr>
        <w:t>21</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B364281">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_Toc4804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四、 </w:t>
      </w:r>
      <w:r>
        <w:rPr>
          <w:rFonts w:hint="eastAsia" w:ascii="宋体" w:hAnsi="宋体" w:eastAsia="宋体" w:cs="宋体"/>
          <w:sz w:val="21"/>
          <w:szCs w:val="21"/>
          <w:highlight w:val="none"/>
        </w:rPr>
        <w:t>磋商文件的澄清和修改</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_Toc4804 \h </w:instrText>
      </w:r>
      <w:r>
        <w:rPr>
          <w:rFonts w:hint="eastAsia" w:ascii="宋体" w:hAnsi="宋体" w:eastAsia="宋体" w:cs="宋体"/>
          <w:sz w:val="21"/>
          <w:szCs w:val="21"/>
        </w:rPr>
        <w:fldChar w:fldCharType="separate"/>
      </w:r>
      <w:r>
        <w:rPr>
          <w:rFonts w:hint="eastAsia" w:ascii="宋体" w:hAnsi="宋体" w:eastAsia="宋体" w:cs="宋体"/>
          <w:sz w:val="21"/>
          <w:szCs w:val="21"/>
        </w:rPr>
        <w:t>25</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C7445B3">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_Toc11333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五、 </w:t>
      </w:r>
      <w:r>
        <w:rPr>
          <w:rFonts w:hint="eastAsia" w:ascii="宋体" w:hAnsi="宋体" w:eastAsia="宋体" w:cs="宋体"/>
          <w:sz w:val="21"/>
          <w:szCs w:val="21"/>
          <w:highlight w:val="none"/>
        </w:rPr>
        <w:t>响应要求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_Toc11333 \h </w:instrText>
      </w:r>
      <w:r>
        <w:rPr>
          <w:rFonts w:hint="eastAsia" w:ascii="宋体" w:hAnsi="宋体" w:eastAsia="宋体" w:cs="宋体"/>
          <w:sz w:val="21"/>
          <w:szCs w:val="21"/>
        </w:rPr>
        <w:fldChar w:fldCharType="separate"/>
      </w:r>
      <w:r>
        <w:rPr>
          <w:rFonts w:hint="eastAsia" w:ascii="宋体" w:hAnsi="宋体" w:eastAsia="宋体" w:cs="宋体"/>
          <w:sz w:val="21"/>
          <w:szCs w:val="21"/>
        </w:rPr>
        <w:t>25</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7B4A106A">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_Toc28050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六、 </w:t>
      </w:r>
      <w:r>
        <w:rPr>
          <w:rFonts w:hint="eastAsia" w:ascii="宋体" w:hAnsi="宋体" w:eastAsia="宋体" w:cs="宋体"/>
          <w:sz w:val="21"/>
          <w:szCs w:val="21"/>
          <w:highlight w:val="none"/>
        </w:rPr>
        <w:t>磋商、评审和结果确认</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_Toc28050 \h </w:instrText>
      </w:r>
      <w:r>
        <w:rPr>
          <w:rFonts w:hint="eastAsia" w:ascii="宋体" w:hAnsi="宋体" w:eastAsia="宋体" w:cs="宋体"/>
          <w:sz w:val="21"/>
          <w:szCs w:val="21"/>
        </w:rPr>
        <w:fldChar w:fldCharType="separate"/>
      </w:r>
      <w:r>
        <w:rPr>
          <w:rFonts w:hint="eastAsia" w:ascii="宋体" w:hAnsi="宋体" w:eastAsia="宋体" w:cs="宋体"/>
          <w:sz w:val="21"/>
          <w:szCs w:val="21"/>
        </w:rPr>
        <w:t>29</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5EB2CC74">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_Toc9770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七、 </w:t>
      </w:r>
      <w:r>
        <w:rPr>
          <w:rFonts w:hint="eastAsia" w:ascii="宋体" w:hAnsi="宋体" w:eastAsia="宋体" w:cs="宋体"/>
          <w:sz w:val="21"/>
          <w:szCs w:val="21"/>
          <w:highlight w:val="none"/>
        </w:rPr>
        <w:t>询问、质疑与投诉</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_Toc9770 \h </w:instrText>
      </w:r>
      <w:r>
        <w:rPr>
          <w:rFonts w:hint="eastAsia" w:ascii="宋体" w:hAnsi="宋体" w:eastAsia="宋体" w:cs="宋体"/>
          <w:sz w:val="21"/>
          <w:szCs w:val="21"/>
        </w:rPr>
        <w:fldChar w:fldCharType="separate"/>
      </w:r>
      <w:r>
        <w:rPr>
          <w:rFonts w:hint="eastAsia" w:ascii="宋体" w:hAnsi="宋体" w:eastAsia="宋体" w:cs="宋体"/>
          <w:sz w:val="21"/>
          <w:szCs w:val="21"/>
        </w:rPr>
        <w:t>29</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04F61014">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_Toc21784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八、 </w:t>
      </w:r>
      <w:r>
        <w:rPr>
          <w:rFonts w:hint="eastAsia" w:ascii="宋体" w:hAnsi="宋体" w:eastAsia="宋体" w:cs="宋体"/>
          <w:sz w:val="21"/>
          <w:szCs w:val="21"/>
          <w:highlight w:val="none"/>
        </w:rPr>
        <w:t>合同签订和履行</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_Toc21784 \h </w:instrText>
      </w:r>
      <w:r>
        <w:rPr>
          <w:rFonts w:hint="eastAsia" w:ascii="宋体" w:hAnsi="宋体" w:eastAsia="宋体" w:cs="宋体"/>
          <w:sz w:val="21"/>
          <w:szCs w:val="21"/>
        </w:rPr>
        <w:fldChar w:fldCharType="separate"/>
      </w:r>
      <w:r>
        <w:rPr>
          <w:rFonts w:hint="eastAsia" w:ascii="宋体" w:hAnsi="宋体" w:eastAsia="宋体" w:cs="宋体"/>
          <w:sz w:val="21"/>
          <w:szCs w:val="21"/>
        </w:rPr>
        <w:t>31</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62894C2">
      <w:pPr>
        <w:pStyle w:val="31"/>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_Toc5018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rPr>
        <w:t>第四章 评审</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_Toc5018 \h </w:instrText>
      </w:r>
      <w:r>
        <w:rPr>
          <w:rFonts w:hint="eastAsia" w:ascii="宋体" w:hAnsi="宋体" w:eastAsia="宋体" w:cs="宋体"/>
          <w:sz w:val="21"/>
          <w:szCs w:val="21"/>
        </w:rPr>
        <w:fldChar w:fldCharType="separate"/>
      </w:r>
      <w:r>
        <w:rPr>
          <w:rFonts w:hint="eastAsia" w:ascii="宋体" w:hAnsi="宋体" w:eastAsia="宋体" w:cs="宋体"/>
          <w:sz w:val="21"/>
          <w:szCs w:val="21"/>
        </w:rPr>
        <w:t>33</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64031B9">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_Toc13793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一、 </w:t>
      </w:r>
      <w:r>
        <w:rPr>
          <w:rFonts w:hint="eastAsia" w:ascii="宋体" w:hAnsi="宋体" w:eastAsia="宋体" w:cs="宋体"/>
          <w:sz w:val="21"/>
          <w:szCs w:val="21"/>
          <w:highlight w:val="none"/>
        </w:rPr>
        <w:t>评审要求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_Toc13793 \h </w:instrText>
      </w:r>
      <w:r>
        <w:rPr>
          <w:rFonts w:hint="eastAsia" w:ascii="宋体" w:hAnsi="宋体" w:eastAsia="宋体" w:cs="宋体"/>
          <w:sz w:val="21"/>
          <w:szCs w:val="21"/>
        </w:rPr>
        <w:fldChar w:fldCharType="separate"/>
      </w:r>
      <w:r>
        <w:rPr>
          <w:rFonts w:hint="eastAsia" w:ascii="宋体" w:hAnsi="宋体" w:eastAsia="宋体" w:cs="宋体"/>
          <w:sz w:val="21"/>
          <w:szCs w:val="21"/>
        </w:rPr>
        <w:t>33</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DC2353E">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_Toc13978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二、 </w:t>
      </w:r>
      <w:r>
        <w:rPr>
          <w:rFonts w:hint="eastAsia" w:ascii="宋体" w:hAnsi="宋体" w:eastAsia="宋体" w:cs="宋体"/>
          <w:sz w:val="21"/>
          <w:szCs w:val="21"/>
          <w:highlight w:val="none"/>
        </w:rPr>
        <w:t>政府采购政策落实</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_Toc13978 \h </w:instrText>
      </w:r>
      <w:r>
        <w:rPr>
          <w:rFonts w:hint="eastAsia" w:ascii="宋体" w:hAnsi="宋体" w:eastAsia="宋体" w:cs="宋体"/>
          <w:sz w:val="21"/>
          <w:szCs w:val="21"/>
        </w:rPr>
        <w:fldChar w:fldCharType="separate"/>
      </w:r>
      <w:r>
        <w:rPr>
          <w:rFonts w:hint="eastAsia" w:ascii="宋体" w:hAnsi="宋体" w:eastAsia="宋体" w:cs="宋体"/>
          <w:sz w:val="21"/>
          <w:szCs w:val="21"/>
        </w:rPr>
        <w:t>35</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4280873">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_Toc15092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三、 </w:t>
      </w:r>
      <w:r>
        <w:rPr>
          <w:rFonts w:hint="eastAsia" w:ascii="宋体" w:hAnsi="宋体" w:eastAsia="宋体" w:cs="宋体"/>
          <w:sz w:val="21"/>
          <w:szCs w:val="21"/>
          <w:highlight w:val="none"/>
        </w:rPr>
        <w:t>评审程序</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_Toc15092 \h </w:instrText>
      </w:r>
      <w:r>
        <w:rPr>
          <w:rFonts w:hint="eastAsia" w:ascii="宋体" w:hAnsi="宋体" w:eastAsia="宋体" w:cs="宋体"/>
          <w:sz w:val="21"/>
          <w:szCs w:val="21"/>
        </w:rPr>
        <w:fldChar w:fldCharType="separate"/>
      </w:r>
      <w:r>
        <w:rPr>
          <w:rFonts w:hint="eastAsia" w:ascii="宋体" w:hAnsi="宋体" w:eastAsia="宋体" w:cs="宋体"/>
          <w:sz w:val="21"/>
          <w:szCs w:val="21"/>
        </w:rPr>
        <w:t>37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13498DCC">
      <w:pPr>
        <w:pStyle w:val="31"/>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_Toc8897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rPr>
        <w:t>第五章 合同文本</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_Toc8897 \h </w:instrText>
      </w:r>
      <w:r>
        <w:rPr>
          <w:rFonts w:hint="eastAsia" w:ascii="宋体" w:hAnsi="宋体" w:eastAsia="宋体" w:cs="宋体"/>
          <w:sz w:val="21"/>
          <w:szCs w:val="21"/>
        </w:rPr>
        <w:fldChar w:fldCharType="separate"/>
      </w:r>
      <w:r>
        <w:rPr>
          <w:rFonts w:hint="eastAsia" w:ascii="宋体" w:hAnsi="宋体" w:eastAsia="宋体" w:cs="宋体"/>
          <w:sz w:val="21"/>
          <w:szCs w:val="21"/>
        </w:rPr>
        <w:t>47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56804A90">
      <w:pPr>
        <w:pStyle w:val="31"/>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_Toc3185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highlight w:val="none"/>
        </w:rPr>
        <w:t>第六章  响应文件格式与要求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_Toc3185 \h </w:instrText>
      </w:r>
      <w:r>
        <w:rPr>
          <w:rFonts w:hint="eastAsia" w:ascii="宋体" w:hAnsi="宋体" w:eastAsia="宋体" w:cs="宋体"/>
          <w:sz w:val="21"/>
          <w:szCs w:val="21"/>
        </w:rPr>
        <w:fldChar w:fldCharType="separate"/>
      </w:r>
      <w:r>
        <w:rPr>
          <w:rFonts w:hint="eastAsia" w:ascii="宋体" w:hAnsi="宋体" w:eastAsia="宋体" w:cs="宋体"/>
          <w:sz w:val="21"/>
          <w:szCs w:val="21"/>
        </w:rPr>
        <w:t>60</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282B97A1">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_Toc25764 </w:instrText>
      </w:r>
      <w:r>
        <w:rPr>
          <w:rFonts w:hint="eastAsia" w:ascii="宋体" w:hAnsi="宋体" w:eastAsia="宋体" w:cs="宋体"/>
          <w:bCs/>
          <w:sz w:val="21"/>
          <w:szCs w:val="21"/>
          <w:highlight w:val="none"/>
        </w:rPr>
        <w:fldChar w:fldCharType="separate"/>
      </w:r>
      <w:r>
        <w:rPr>
          <w:rFonts w:hint="eastAsia" w:ascii="宋体" w:hAnsi="宋体" w:eastAsia="宋体" w:cs="宋体"/>
          <w:bCs/>
          <w:sz w:val="21"/>
          <w:szCs w:val="21"/>
          <w:highlight w:val="none"/>
        </w:rPr>
        <w:t>响应文件封面（参考）</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_Toc25764 \h </w:instrText>
      </w:r>
      <w:r>
        <w:rPr>
          <w:rFonts w:hint="eastAsia" w:ascii="宋体" w:hAnsi="宋体" w:eastAsia="宋体" w:cs="宋体"/>
          <w:sz w:val="21"/>
          <w:szCs w:val="21"/>
        </w:rPr>
        <w:fldChar w:fldCharType="separate"/>
      </w:r>
      <w:r>
        <w:rPr>
          <w:rFonts w:hint="eastAsia" w:ascii="宋体" w:hAnsi="宋体" w:eastAsia="宋体" w:cs="宋体"/>
          <w:sz w:val="21"/>
          <w:szCs w:val="21"/>
        </w:rPr>
        <w:t>61</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2EE506C9">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_Toc16313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格式一： </w:t>
      </w:r>
      <w:r>
        <w:rPr>
          <w:rFonts w:hint="eastAsia" w:ascii="宋体" w:hAnsi="宋体" w:eastAsia="宋体" w:cs="宋体"/>
          <w:sz w:val="21"/>
          <w:szCs w:val="21"/>
          <w:highlight w:val="none"/>
        </w:rPr>
        <w:t>响应承诺函</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_Toc16313 \h </w:instrText>
      </w:r>
      <w:r>
        <w:rPr>
          <w:rFonts w:hint="eastAsia" w:ascii="宋体" w:hAnsi="宋体" w:eastAsia="宋体" w:cs="宋体"/>
          <w:sz w:val="21"/>
          <w:szCs w:val="21"/>
        </w:rPr>
        <w:fldChar w:fldCharType="separate"/>
      </w:r>
      <w:r>
        <w:rPr>
          <w:rFonts w:hint="eastAsia" w:ascii="宋体" w:hAnsi="宋体" w:eastAsia="宋体" w:cs="宋体"/>
          <w:sz w:val="21"/>
          <w:szCs w:val="21"/>
        </w:rPr>
        <w:t>62</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52457BFF">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_Toc15257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 </w:t>
      </w:r>
      <w:r>
        <w:rPr>
          <w:rFonts w:hint="eastAsia" w:ascii="宋体" w:hAnsi="宋体" w:eastAsia="宋体" w:cs="宋体"/>
          <w:sz w:val="21"/>
          <w:szCs w:val="21"/>
          <w:highlight w:val="none"/>
        </w:rPr>
        <w:t>首轮报价表</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_Toc15257 \h </w:instrText>
      </w:r>
      <w:r>
        <w:rPr>
          <w:rFonts w:hint="eastAsia" w:ascii="宋体" w:hAnsi="宋体" w:eastAsia="宋体" w:cs="宋体"/>
          <w:sz w:val="21"/>
          <w:szCs w:val="21"/>
        </w:rPr>
        <w:fldChar w:fldCharType="separate"/>
      </w:r>
      <w:r>
        <w:rPr>
          <w:rFonts w:hint="eastAsia" w:ascii="宋体" w:hAnsi="宋体" w:eastAsia="宋体" w:cs="宋体"/>
          <w:sz w:val="21"/>
          <w:szCs w:val="21"/>
        </w:rPr>
        <w:t>64</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62448527">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_Toc14349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格式三： </w:t>
      </w:r>
      <w:r>
        <w:rPr>
          <w:rFonts w:hint="eastAsia" w:ascii="宋体" w:hAnsi="宋体" w:eastAsia="宋体" w:cs="宋体"/>
          <w:sz w:val="21"/>
          <w:szCs w:val="21"/>
          <w:highlight w:val="none"/>
        </w:rPr>
        <w:t>政策适用性说明</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_Toc14349 \h </w:instrText>
      </w:r>
      <w:r>
        <w:rPr>
          <w:rFonts w:hint="eastAsia" w:ascii="宋体" w:hAnsi="宋体" w:eastAsia="宋体" w:cs="宋体"/>
          <w:sz w:val="21"/>
          <w:szCs w:val="21"/>
        </w:rPr>
        <w:fldChar w:fldCharType="separate"/>
      </w:r>
      <w:r>
        <w:rPr>
          <w:rFonts w:hint="eastAsia" w:ascii="宋体" w:hAnsi="宋体" w:eastAsia="宋体" w:cs="宋体"/>
          <w:sz w:val="21"/>
          <w:szCs w:val="21"/>
        </w:rPr>
        <w:t>65</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096D631D">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_Toc27690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格式四： </w:t>
      </w:r>
      <w:r>
        <w:rPr>
          <w:rFonts w:hint="eastAsia" w:ascii="宋体" w:hAnsi="宋体" w:eastAsia="宋体" w:cs="宋体"/>
          <w:sz w:val="21"/>
          <w:szCs w:val="21"/>
          <w:highlight w:val="none"/>
        </w:rPr>
        <w:t>法定代表人证明书</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_Toc27690 \h </w:instrText>
      </w:r>
      <w:r>
        <w:rPr>
          <w:rFonts w:hint="eastAsia" w:ascii="宋体" w:hAnsi="宋体" w:eastAsia="宋体" w:cs="宋体"/>
          <w:sz w:val="21"/>
          <w:szCs w:val="21"/>
        </w:rPr>
        <w:fldChar w:fldCharType="separate"/>
      </w:r>
      <w:r>
        <w:rPr>
          <w:rFonts w:hint="eastAsia" w:ascii="宋体" w:hAnsi="宋体" w:eastAsia="宋体" w:cs="宋体"/>
          <w:sz w:val="21"/>
          <w:szCs w:val="21"/>
        </w:rPr>
        <w:t>66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61A791F4">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_Toc9819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格式五： </w:t>
      </w:r>
      <w:r>
        <w:rPr>
          <w:rFonts w:hint="eastAsia" w:ascii="宋体" w:hAnsi="宋体" w:eastAsia="宋体" w:cs="宋体"/>
          <w:sz w:val="21"/>
          <w:szCs w:val="21"/>
          <w:highlight w:val="none"/>
        </w:rPr>
        <w:t>法定代表人授权书</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_Toc9819 \h </w:instrText>
      </w:r>
      <w:r>
        <w:rPr>
          <w:rFonts w:hint="eastAsia" w:ascii="宋体" w:hAnsi="宋体" w:eastAsia="宋体" w:cs="宋体"/>
          <w:sz w:val="21"/>
          <w:szCs w:val="21"/>
        </w:rPr>
        <w:fldChar w:fldCharType="separate"/>
      </w:r>
      <w:r>
        <w:rPr>
          <w:rFonts w:hint="eastAsia" w:ascii="宋体" w:hAnsi="宋体" w:eastAsia="宋体" w:cs="宋体"/>
          <w:sz w:val="21"/>
          <w:szCs w:val="21"/>
        </w:rPr>
        <w:t>67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5FFA6302">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_Toc15200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格式六： </w:t>
      </w:r>
      <w:r>
        <w:rPr>
          <w:rFonts w:hint="eastAsia" w:ascii="宋体" w:hAnsi="宋体" w:eastAsia="宋体" w:cs="宋体"/>
          <w:sz w:val="21"/>
          <w:szCs w:val="21"/>
          <w:highlight w:val="none"/>
        </w:rPr>
        <w:t>提供具有独立承担民事责任的能力的证明材料</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_Toc15200 \h </w:instrText>
      </w:r>
      <w:r>
        <w:rPr>
          <w:rFonts w:hint="eastAsia" w:ascii="宋体" w:hAnsi="宋体" w:eastAsia="宋体" w:cs="宋体"/>
          <w:sz w:val="21"/>
          <w:szCs w:val="21"/>
        </w:rPr>
        <w:fldChar w:fldCharType="separate"/>
      </w:r>
      <w:r>
        <w:rPr>
          <w:rFonts w:hint="eastAsia" w:ascii="宋体" w:hAnsi="宋体" w:eastAsia="宋体" w:cs="宋体"/>
          <w:sz w:val="21"/>
          <w:szCs w:val="21"/>
        </w:rPr>
        <w:t>68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7BA818F3">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_Toc7161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格式七： </w:t>
      </w:r>
      <w:r>
        <w:rPr>
          <w:rFonts w:hint="eastAsia" w:ascii="宋体" w:hAnsi="宋体" w:eastAsia="宋体" w:cs="宋体"/>
          <w:sz w:val="21"/>
          <w:szCs w:val="21"/>
          <w:highlight w:val="none"/>
        </w:rPr>
        <w:t>提供有依法缴纳税收的良好记录的证明材料</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_Toc7161 \h </w:instrText>
      </w:r>
      <w:r>
        <w:rPr>
          <w:rFonts w:hint="eastAsia" w:ascii="宋体" w:hAnsi="宋体" w:eastAsia="宋体" w:cs="宋体"/>
          <w:sz w:val="21"/>
          <w:szCs w:val="21"/>
        </w:rPr>
        <w:fldChar w:fldCharType="separate"/>
      </w:r>
      <w:r>
        <w:rPr>
          <w:rFonts w:hint="eastAsia" w:ascii="宋体" w:hAnsi="宋体" w:eastAsia="宋体" w:cs="宋体"/>
          <w:sz w:val="21"/>
          <w:szCs w:val="21"/>
        </w:rPr>
        <w:t>68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61809228">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_Toc7140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格式八： </w:t>
      </w:r>
      <w:r>
        <w:rPr>
          <w:rFonts w:hint="eastAsia" w:ascii="宋体" w:hAnsi="宋体" w:eastAsia="宋体" w:cs="宋体"/>
          <w:sz w:val="21"/>
          <w:szCs w:val="21"/>
          <w:highlight w:val="none"/>
        </w:rPr>
        <w:t>提供有依法缴纳社会保障资金的良好记录的证明材料</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_Toc7140 \h </w:instrText>
      </w:r>
      <w:r>
        <w:rPr>
          <w:rFonts w:hint="eastAsia" w:ascii="宋体" w:hAnsi="宋体" w:eastAsia="宋体" w:cs="宋体"/>
          <w:sz w:val="21"/>
          <w:szCs w:val="21"/>
        </w:rPr>
        <w:fldChar w:fldCharType="separate"/>
      </w:r>
      <w:r>
        <w:rPr>
          <w:rFonts w:hint="eastAsia" w:ascii="宋体" w:hAnsi="宋体" w:eastAsia="宋体" w:cs="宋体"/>
          <w:sz w:val="21"/>
          <w:szCs w:val="21"/>
        </w:rPr>
        <w:t>68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7CE4FD2C">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_Toc29934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格式九： </w:t>
      </w:r>
      <w:r>
        <w:rPr>
          <w:rFonts w:hint="eastAsia" w:ascii="宋体" w:hAnsi="宋体" w:eastAsia="宋体" w:cs="宋体"/>
          <w:sz w:val="21"/>
          <w:szCs w:val="21"/>
          <w:highlight w:val="none"/>
        </w:rPr>
        <w:t>提供具有良好的商业信誉和健全的财务会计制度的证明材料</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_Toc29934 \h </w:instrText>
      </w:r>
      <w:r>
        <w:rPr>
          <w:rFonts w:hint="eastAsia" w:ascii="宋体" w:hAnsi="宋体" w:eastAsia="宋体" w:cs="宋体"/>
          <w:sz w:val="21"/>
          <w:szCs w:val="21"/>
        </w:rPr>
        <w:fldChar w:fldCharType="separate"/>
      </w:r>
      <w:r>
        <w:rPr>
          <w:rFonts w:hint="eastAsia" w:ascii="宋体" w:hAnsi="宋体" w:eastAsia="宋体" w:cs="宋体"/>
          <w:sz w:val="21"/>
          <w:szCs w:val="21"/>
        </w:rPr>
        <w:t>68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63B5DBFC">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_Toc26013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 </w:t>
      </w:r>
      <w:r>
        <w:rPr>
          <w:rFonts w:hint="eastAsia" w:ascii="宋体" w:hAnsi="宋体" w:eastAsia="宋体" w:cs="宋体"/>
          <w:sz w:val="21"/>
          <w:szCs w:val="21"/>
          <w:highlight w:val="none"/>
        </w:rPr>
        <w:t>提供具有履行合同所必需的设备和专业技术能力的证明材料</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_Toc26013 \h </w:instrText>
      </w:r>
      <w:r>
        <w:rPr>
          <w:rFonts w:hint="eastAsia" w:ascii="宋体" w:hAnsi="宋体" w:eastAsia="宋体" w:cs="宋体"/>
          <w:sz w:val="21"/>
          <w:szCs w:val="21"/>
        </w:rPr>
        <w:fldChar w:fldCharType="separate"/>
      </w:r>
      <w:r>
        <w:rPr>
          <w:rFonts w:hint="eastAsia" w:ascii="宋体" w:hAnsi="宋体" w:eastAsia="宋体" w:cs="宋体"/>
          <w:sz w:val="21"/>
          <w:szCs w:val="21"/>
        </w:rPr>
        <w:t>68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E186C53">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_Toc19867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格式十一： </w:t>
      </w:r>
      <w:r>
        <w:rPr>
          <w:rFonts w:hint="eastAsia" w:ascii="宋体" w:hAnsi="宋体" w:eastAsia="宋体" w:cs="宋体"/>
          <w:sz w:val="21"/>
          <w:szCs w:val="21"/>
          <w:highlight w:val="none"/>
        </w:rPr>
        <w:t>其他资格要求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_Toc19867 \h </w:instrText>
      </w:r>
      <w:r>
        <w:rPr>
          <w:rFonts w:hint="eastAsia" w:ascii="宋体" w:hAnsi="宋体" w:eastAsia="宋体" w:cs="宋体"/>
          <w:sz w:val="21"/>
          <w:szCs w:val="21"/>
        </w:rPr>
        <w:fldChar w:fldCharType="separate"/>
      </w:r>
      <w:r>
        <w:rPr>
          <w:rFonts w:hint="eastAsia" w:ascii="宋体" w:hAnsi="宋体" w:eastAsia="宋体" w:cs="宋体"/>
          <w:sz w:val="21"/>
          <w:szCs w:val="21"/>
        </w:rPr>
        <w:t>68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0C077BB2">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_Toc7987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格式十二： </w:t>
      </w:r>
      <w:r>
        <w:rPr>
          <w:rFonts w:hint="eastAsia" w:ascii="宋体" w:hAnsi="宋体" w:eastAsia="宋体" w:cs="宋体"/>
          <w:sz w:val="21"/>
          <w:szCs w:val="21"/>
          <w:highlight w:val="none"/>
        </w:rPr>
        <w:t>中小企业声明函</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_Toc7987 \h </w:instrText>
      </w:r>
      <w:r>
        <w:rPr>
          <w:rFonts w:hint="eastAsia" w:ascii="宋体" w:hAnsi="宋体" w:eastAsia="宋体" w:cs="宋体"/>
          <w:sz w:val="21"/>
          <w:szCs w:val="21"/>
        </w:rPr>
        <w:fldChar w:fldCharType="separate"/>
      </w:r>
      <w:r>
        <w:rPr>
          <w:rFonts w:hint="eastAsia" w:ascii="宋体" w:hAnsi="宋体" w:eastAsia="宋体" w:cs="宋体"/>
          <w:sz w:val="21"/>
          <w:szCs w:val="21"/>
        </w:rPr>
        <w:t>69</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146B1C57">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_Toc9895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格式十三： </w:t>
      </w:r>
      <w:r>
        <w:rPr>
          <w:rFonts w:hint="eastAsia" w:ascii="宋体" w:hAnsi="宋体" w:eastAsia="宋体" w:cs="宋体"/>
          <w:sz w:val="21"/>
          <w:szCs w:val="21"/>
          <w:highlight w:val="none"/>
        </w:rPr>
        <w:t>监狱企业</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_Toc9895 \h </w:instrText>
      </w:r>
      <w:r>
        <w:rPr>
          <w:rFonts w:hint="eastAsia" w:ascii="宋体" w:hAnsi="宋体" w:eastAsia="宋体" w:cs="宋体"/>
          <w:sz w:val="21"/>
          <w:szCs w:val="21"/>
        </w:rPr>
        <w:fldChar w:fldCharType="separate"/>
      </w:r>
      <w:r>
        <w:rPr>
          <w:rFonts w:hint="eastAsia" w:ascii="宋体" w:hAnsi="宋体" w:eastAsia="宋体" w:cs="宋体"/>
          <w:sz w:val="21"/>
          <w:szCs w:val="21"/>
        </w:rPr>
        <w:t>70</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71A57FB1">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_Toc4296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格式十四： </w:t>
      </w:r>
      <w:r>
        <w:rPr>
          <w:rFonts w:hint="eastAsia" w:ascii="宋体" w:hAnsi="宋体" w:eastAsia="宋体" w:cs="宋体"/>
          <w:sz w:val="21"/>
          <w:szCs w:val="21"/>
          <w:highlight w:val="none"/>
        </w:rPr>
        <w:t>残疾人福利性单位声明</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_Toc4296 \h </w:instrText>
      </w:r>
      <w:r>
        <w:rPr>
          <w:rFonts w:hint="eastAsia" w:ascii="宋体" w:hAnsi="宋体" w:eastAsia="宋体" w:cs="宋体"/>
          <w:sz w:val="21"/>
          <w:szCs w:val="21"/>
        </w:rPr>
        <w:fldChar w:fldCharType="separate"/>
      </w:r>
      <w:r>
        <w:rPr>
          <w:rFonts w:hint="eastAsia" w:ascii="宋体" w:hAnsi="宋体" w:eastAsia="宋体" w:cs="宋体"/>
          <w:sz w:val="21"/>
          <w:szCs w:val="21"/>
        </w:rPr>
        <w:t>70</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0F9A4923">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_Toc12635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格式十五： </w:t>
      </w:r>
      <w:r>
        <w:rPr>
          <w:rFonts w:hint="eastAsia" w:ascii="宋体" w:hAnsi="宋体" w:eastAsia="宋体" w:cs="宋体"/>
          <w:sz w:val="21"/>
          <w:szCs w:val="21"/>
          <w:highlight w:val="none"/>
        </w:rPr>
        <w:t>需要采购人提供的附加条件</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_Toc12635 \h </w:instrText>
      </w:r>
      <w:r>
        <w:rPr>
          <w:rFonts w:hint="eastAsia" w:ascii="宋体" w:hAnsi="宋体" w:eastAsia="宋体" w:cs="宋体"/>
          <w:sz w:val="21"/>
          <w:szCs w:val="21"/>
        </w:rPr>
        <w:fldChar w:fldCharType="separate"/>
      </w:r>
      <w:r>
        <w:rPr>
          <w:rFonts w:hint="eastAsia" w:ascii="宋体" w:hAnsi="宋体" w:eastAsia="宋体" w:cs="宋体"/>
          <w:sz w:val="21"/>
          <w:szCs w:val="21"/>
        </w:rPr>
        <w:t>71</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5A66C2DA">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_Toc20842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格式十六： </w:t>
      </w:r>
      <w:r>
        <w:rPr>
          <w:rFonts w:hint="eastAsia" w:ascii="宋体" w:hAnsi="宋体" w:eastAsia="宋体" w:cs="宋体"/>
          <w:sz w:val="21"/>
          <w:szCs w:val="21"/>
          <w:highlight w:val="none"/>
        </w:rPr>
        <w:t>实质性条款响应表</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_Toc20842 \h </w:instrText>
      </w:r>
      <w:r>
        <w:rPr>
          <w:rFonts w:hint="eastAsia" w:ascii="宋体" w:hAnsi="宋体" w:eastAsia="宋体" w:cs="宋体"/>
          <w:sz w:val="21"/>
          <w:szCs w:val="21"/>
        </w:rPr>
        <w:fldChar w:fldCharType="separate"/>
      </w:r>
      <w:r>
        <w:rPr>
          <w:rFonts w:hint="eastAsia" w:ascii="宋体" w:hAnsi="宋体" w:eastAsia="宋体" w:cs="宋体"/>
          <w:sz w:val="21"/>
          <w:szCs w:val="21"/>
        </w:rPr>
        <w:t>72</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C10CDA9">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_Toc20436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格式十七： </w:t>
      </w:r>
      <w:r>
        <w:rPr>
          <w:rFonts w:hint="eastAsia" w:ascii="宋体" w:hAnsi="宋体" w:eastAsia="宋体" w:cs="宋体"/>
          <w:sz w:val="21"/>
          <w:szCs w:val="21"/>
          <w:highlight w:val="none"/>
        </w:rPr>
        <w:t>商务条款响应表</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_Toc20436 \h </w:instrText>
      </w:r>
      <w:r>
        <w:rPr>
          <w:rFonts w:hint="eastAsia" w:ascii="宋体" w:hAnsi="宋体" w:eastAsia="宋体" w:cs="宋体"/>
          <w:sz w:val="21"/>
          <w:szCs w:val="21"/>
        </w:rPr>
        <w:fldChar w:fldCharType="separate"/>
      </w:r>
      <w:r>
        <w:rPr>
          <w:rFonts w:hint="eastAsia" w:ascii="宋体" w:hAnsi="宋体" w:eastAsia="宋体" w:cs="宋体"/>
          <w:sz w:val="21"/>
          <w:szCs w:val="21"/>
        </w:rPr>
        <w:t>73</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06F2A437">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_Toc19714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格式十八： </w:t>
      </w:r>
      <w:r>
        <w:rPr>
          <w:rFonts w:hint="eastAsia" w:ascii="宋体" w:hAnsi="宋体" w:eastAsia="宋体" w:cs="宋体"/>
          <w:sz w:val="21"/>
          <w:szCs w:val="21"/>
          <w:highlight w:val="none"/>
        </w:rPr>
        <w:t>技术条款响应表</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_Toc19714 \h </w:instrText>
      </w:r>
      <w:r>
        <w:rPr>
          <w:rFonts w:hint="eastAsia" w:ascii="宋体" w:hAnsi="宋体" w:eastAsia="宋体" w:cs="宋体"/>
          <w:sz w:val="21"/>
          <w:szCs w:val="21"/>
        </w:rPr>
        <w:fldChar w:fldCharType="separate"/>
      </w:r>
      <w:r>
        <w:rPr>
          <w:rFonts w:hint="eastAsia" w:ascii="宋体" w:hAnsi="宋体" w:eastAsia="宋体" w:cs="宋体"/>
          <w:sz w:val="21"/>
          <w:szCs w:val="21"/>
        </w:rPr>
        <w:t>74</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728E791">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_Toc28586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格式十九： </w:t>
      </w:r>
      <w:r>
        <w:rPr>
          <w:rFonts w:hint="eastAsia" w:ascii="宋体" w:hAnsi="宋体" w:eastAsia="宋体" w:cs="宋体"/>
          <w:sz w:val="21"/>
          <w:szCs w:val="21"/>
          <w:highlight w:val="none"/>
        </w:rPr>
        <w:t>承诺函</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_Toc28586 \h </w:instrText>
      </w:r>
      <w:r>
        <w:rPr>
          <w:rFonts w:hint="eastAsia" w:ascii="宋体" w:hAnsi="宋体" w:eastAsia="宋体" w:cs="宋体"/>
          <w:sz w:val="21"/>
          <w:szCs w:val="21"/>
        </w:rPr>
        <w:fldChar w:fldCharType="separate"/>
      </w:r>
      <w:r>
        <w:rPr>
          <w:rFonts w:hint="eastAsia" w:ascii="宋体" w:hAnsi="宋体" w:eastAsia="宋体" w:cs="宋体"/>
          <w:sz w:val="21"/>
          <w:szCs w:val="21"/>
        </w:rPr>
        <w:t>75</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158C4E62">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_Toc28363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 </w:t>
      </w:r>
      <w:r>
        <w:rPr>
          <w:rFonts w:hint="eastAsia" w:ascii="宋体" w:hAnsi="宋体" w:eastAsia="宋体" w:cs="宋体"/>
          <w:sz w:val="21"/>
          <w:szCs w:val="21"/>
          <w:highlight w:val="none"/>
        </w:rPr>
        <w:t>类似项目业绩</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_Toc28363 \h </w:instrText>
      </w:r>
      <w:r>
        <w:rPr>
          <w:rFonts w:hint="eastAsia" w:ascii="宋体" w:hAnsi="宋体" w:eastAsia="宋体" w:cs="宋体"/>
          <w:sz w:val="21"/>
          <w:szCs w:val="21"/>
        </w:rPr>
        <w:fldChar w:fldCharType="separate"/>
      </w:r>
      <w:r>
        <w:rPr>
          <w:rFonts w:hint="eastAsia" w:ascii="宋体" w:hAnsi="宋体" w:eastAsia="宋体" w:cs="宋体"/>
          <w:sz w:val="21"/>
          <w:szCs w:val="21"/>
        </w:rPr>
        <w:t>76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7CD9912A">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_Toc23304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格式二十一： </w:t>
      </w:r>
      <w:r>
        <w:rPr>
          <w:rFonts w:hint="eastAsia" w:ascii="宋体" w:hAnsi="宋体" w:eastAsia="宋体" w:cs="宋体"/>
          <w:sz w:val="21"/>
          <w:szCs w:val="21"/>
          <w:highlight w:val="none"/>
        </w:rPr>
        <w:t>认证情况</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_Toc23304 \h </w:instrText>
      </w:r>
      <w:r>
        <w:rPr>
          <w:rFonts w:hint="eastAsia" w:ascii="宋体" w:hAnsi="宋体" w:eastAsia="宋体" w:cs="宋体"/>
          <w:sz w:val="21"/>
          <w:szCs w:val="21"/>
        </w:rPr>
        <w:fldChar w:fldCharType="separate"/>
      </w:r>
      <w:r>
        <w:rPr>
          <w:rFonts w:hint="eastAsia" w:ascii="宋体" w:hAnsi="宋体" w:eastAsia="宋体" w:cs="宋体"/>
          <w:sz w:val="21"/>
          <w:szCs w:val="21"/>
        </w:rPr>
        <w:t>76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0C1ECA01">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_Toc15525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格式二十二： </w:t>
      </w:r>
      <w:r>
        <w:rPr>
          <w:rFonts w:hint="eastAsia" w:ascii="宋体" w:hAnsi="宋体" w:eastAsia="宋体" w:cs="宋体"/>
          <w:sz w:val="21"/>
          <w:szCs w:val="21"/>
          <w:highlight w:val="none"/>
        </w:rPr>
        <w:t>配送车辆情况</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_Toc15525 \h </w:instrText>
      </w:r>
      <w:r>
        <w:rPr>
          <w:rFonts w:hint="eastAsia" w:ascii="宋体" w:hAnsi="宋体" w:eastAsia="宋体" w:cs="宋体"/>
          <w:sz w:val="21"/>
          <w:szCs w:val="21"/>
        </w:rPr>
        <w:fldChar w:fldCharType="separate"/>
      </w:r>
      <w:r>
        <w:rPr>
          <w:rFonts w:hint="eastAsia" w:ascii="宋体" w:hAnsi="宋体" w:eastAsia="宋体" w:cs="宋体"/>
          <w:sz w:val="21"/>
          <w:szCs w:val="21"/>
        </w:rPr>
        <w:t>76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21B39C0D">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_Toc15171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格式二十三： </w:t>
      </w:r>
      <w:r>
        <w:rPr>
          <w:rFonts w:hint="eastAsia" w:ascii="宋体" w:hAnsi="宋体" w:eastAsia="宋体" w:cs="宋体"/>
          <w:sz w:val="21"/>
          <w:szCs w:val="21"/>
          <w:highlight w:val="none"/>
        </w:rPr>
        <w:t>供货渠道多样性</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_Toc15171 \h </w:instrText>
      </w:r>
      <w:r>
        <w:rPr>
          <w:rFonts w:hint="eastAsia" w:ascii="宋体" w:hAnsi="宋体" w:eastAsia="宋体" w:cs="宋体"/>
          <w:sz w:val="21"/>
          <w:szCs w:val="21"/>
        </w:rPr>
        <w:fldChar w:fldCharType="separate"/>
      </w:r>
      <w:r>
        <w:rPr>
          <w:rFonts w:hint="eastAsia" w:ascii="宋体" w:hAnsi="宋体" w:eastAsia="宋体" w:cs="宋体"/>
          <w:sz w:val="21"/>
          <w:szCs w:val="21"/>
        </w:rPr>
        <w:t>76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080D770C">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_Toc20915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格式二十四： </w:t>
      </w:r>
      <w:r>
        <w:rPr>
          <w:rFonts w:hint="eastAsia" w:ascii="宋体" w:hAnsi="宋体" w:eastAsia="宋体" w:cs="宋体"/>
          <w:sz w:val="21"/>
          <w:szCs w:val="21"/>
          <w:highlight w:val="none"/>
        </w:rPr>
        <w:t>食材供应保障</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_Toc20915 \h </w:instrText>
      </w:r>
      <w:r>
        <w:rPr>
          <w:rFonts w:hint="eastAsia" w:ascii="宋体" w:hAnsi="宋体" w:eastAsia="宋体" w:cs="宋体"/>
          <w:sz w:val="21"/>
          <w:szCs w:val="21"/>
        </w:rPr>
        <w:fldChar w:fldCharType="separate"/>
      </w:r>
      <w:r>
        <w:rPr>
          <w:rFonts w:hint="eastAsia" w:ascii="宋体" w:hAnsi="宋体" w:eastAsia="宋体" w:cs="宋体"/>
          <w:sz w:val="21"/>
          <w:szCs w:val="21"/>
        </w:rPr>
        <w:t>76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75DEFD97">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_Toc8568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格式二十五： </w:t>
      </w:r>
      <w:r>
        <w:rPr>
          <w:rFonts w:hint="eastAsia" w:ascii="宋体" w:hAnsi="宋体" w:eastAsia="宋体" w:cs="宋体"/>
          <w:sz w:val="21"/>
          <w:szCs w:val="21"/>
          <w:highlight w:val="none"/>
        </w:rPr>
        <w:t>食材检测能力</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_Toc8568 \h </w:instrText>
      </w:r>
      <w:r>
        <w:rPr>
          <w:rFonts w:hint="eastAsia" w:ascii="宋体" w:hAnsi="宋体" w:eastAsia="宋体" w:cs="宋体"/>
          <w:sz w:val="21"/>
          <w:szCs w:val="21"/>
        </w:rPr>
        <w:fldChar w:fldCharType="separate"/>
      </w:r>
      <w:r>
        <w:rPr>
          <w:rFonts w:hint="eastAsia" w:ascii="宋体" w:hAnsi="宋体" w:eastAsia="宋体" w:cs="宋体"/>
          <w:sz w:val="21"/>
          <w:szCs w:val="21"/>
        </w:rPr>
        <w:t>76</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AF9C089">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_Toc23328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格式二十六： </w:t>
      </w:r>
      <w:r>
        <w:rPr>
          <w:rFonts w:hint="eastAsia" w:ascii="宋体" w:hAnsi="宋体" w:eastAsia="宋体" w:cs="宋体"/>
          <w:sz w:val="21"/>
          <w:szCs w:val="21"/>
          <w:highlight w:val="none"/>
        </w:rPr>
        <w:t>食材储存能力</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_Toc23328 \h </w:instrText>
      </w:r>
      <w:r>
        <w:rPr>
          <w:rFonts w:hint="eastAsia" w:ascii="宋体" w:hAnsi="宋体" w:eastAsia="宋体" w:cs="宋体"/>
          <w:sz w:val="21"/>
          <w:szCs w:val="21"/>
        </w:rPr>
        <w:fldChar w:fldCharType="separate"/>
      </w:r>
      <w:r>
        <w:rPr>
          <w:rFonts w:hint="eastAsia" w:ascii="宋体" w:hAnsi="宋体" w:eastAsia="宋体" w:cs="宋体"/>
          <w:sz w:val="21"/>
          <w:szCs w:val="21"/>
        </w:rPr>
        <w:t>77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0CA73F4F">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_Toc19633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格式二十七： </w:t>
      </w:r>
      <w:r>
        <w:rPr>
          <w:rFonts w:hint="eastAsia" w:ascii="宋体" w:hAnsi="宋体" w:eastAsia="宋体" w:cs="宋体"/>
          <w:sz w:val="21"/>
          <w:szCs w:val="21"/>
          <w:highlight w:val="none"/>
        </w:rPr>
        <w:t>项目负责人</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_Toc19633 \h </w:instrText>
      </w:r>
      <w:r>
        <w:rPr>
          <w:rFonts w:hint="eastAsia" w:ascii="宋体" w:hAnsi="宋体" w:eastAsia="宋体" w:cs="宋体"/>
          <w:sz w:val="21"/>
          <w:szCs w:val="21"/>
        </w:rPr>
        <w:fldChar w:fldCharType="separate"/>
      </w:r>
      <w:r>
        <w:rPr>
          <w:rFonts w:hint="eastAsia" w:ascii="宋体" w:hAnsi="宋体" w:eastAsia="宋体" w:cs="宋体"/>
          <w:sz w:val="21"/>
          <w:szCs w:val="21"/>
        </w:rPr>
        <w:t>77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729FE965">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_Toc4113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格式二十八： </w:t>
      </w:r>
      <w:r>
        <w:rPr>
          <w:rFonts w:hint="eastAsia" w:ascii="宋体" w:hAnsi="宋体" w:eastAsia="宋体" w:cs="宋体"/>
          <w:sz w:val="21"/>
          <w:szCs w:val="21"/>
          <w:highlight w:val="none"/>
        </w:rPr>
        <w:t>服务团队资质</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_Toc4113 \h </w:instrText>
      </w:r>
      <w:r>
        <w:rPr>
          <w:rFonts w:hint="eastAsia" w:ascii="宋体" w:hAnsi="宋体" w:eastAsia="宋体" w:cs="宋体"/>
          <w:sz w:val="21"/>
          <w:szCs w:val="21"/>
        </w:rPr>
        <w:fldChar w:fldCharType="separate"/>
      </w:r>
      <w:r>
        <w:rPr>
          <w:rFonts w:hint="eastAsia" w:ascii="宋体" w:hAnsi="宋体" w:eastAsia="宋体" w:cs="宋体"/>
          <w:sz w:val="21"/>
          <w:szCs w:val="21"/>
        </w:rPr>
        <w:t>77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AF56180">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_Toc25253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格式二十九： </w:t>
      </w:r>
      <w:r>
        <w:rPr>
          <w:rFonts w:hint="eastAsia" w:ascii="宋体" w:hAnsi="宋体" w:eastAsia="宋体" w:cs="宋体"/>
          <w:sz w:val="21"/>
          <w:szCs w:val="21"/>
          <w:highlight w:val="none"/>
        </w:rPr>
        <w:t>服务实施方案</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_Toc25253 \h </w:instrText>
      </w:r>
      <w:r>
        <w:rPr>
          <w:rFonts w:hint="eastAsia" w:ascii="宋体" w:hAnsi="宋体" w:eastAsia="宋体" w:cs="宋体"/>
          <w:sz w:val="21"/>
          <w:szCs w:val="21"/>
        </w:rPr>
        <w:fldChar w:fldCharType="separate"/>
      </w:r>
      <w:r>
        <w:rPr>
          <w:rFonts w:hint="eastAsia" w:ascii="宋体" w:hAnsi="宋体" w:eastAsia="宋体" w:cs="宋体"/>
          <w:sz w:val="21"/>
          <w:szCs w:val="21"/>
        </w:rPr>
        <w:t>77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51FE2EEA">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_Toc9730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格式三十： </w:t>
      </w:r>
      <w:r>
        <w:rPr>
          <w:rFonts w:hint="eastAsia" w:ascii="宋体" w:hAnsi="宋体" w:eastAsia="宋体" w:cs="宋体"/>
          <w:sz w:val="21"/>
          <w:szCs w:val="21"/>
          <w:highlight w:val="none"/>
        </w:rPr>
        <w:t>质量控制方案</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_Toc9730 \h </w:instrText>
      </w:r>
      <w:r>
        <w:rPr>
          <w:rFonts w:hint="eastAsia" w:ascii="宋体" w:hAnsi="宋体" w:eastAsia="宋体" w:cs="宋体"/>
          <w:sz w:val="21"/>
          <w:szCs w:val="21"/>
        </w:rPr>
        <w:fldChar w:fldCharType="separate"/>
      </w:r>
      <w:r>
        <w:rPr>
          <w:rFonts w:hint="eastAsia" w:ascii="宋体" w:hAnsi="宋体" w:eastAsia="宋体" w:cs="宋体"/>
          <w:sz w:val="21"/>
          <w:szCs w:val="21"/>
        </w:rPr>
        <w:t>77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AA1FB6E">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_Toc14098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格式三十一： </w:t>
      </w:r>
      <w:r>
        <w:rPr>
          <w:rFonts w:hint="eastAsia" w:ascii="宋体" w:hAnsi="宋体" w:eastAsia="宋体" w:cs="宋体"/>
          <w:sz w:val="21"/>
          <w:szCs w:val="21"/>
          <w:highlight w:val="none"/>
        </w:rPr>
        <w:t>服务保障方案</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_Toc14098 \h </w:instrText>
      </w:r>
      <w:r>
        <w:rPr>
          <w:rFonts w:hint="eastAsia" w:ascii="宋体" w:hAnsi="宋体" w:eastAsia="宋体" w:cs="宋体"/>
          <w:sz w:val="21"/>
          <w:szCs w:val="21"/>
        </w:rPr>
        <w:fldChar w:fldCharType="separate"/>
      </w:r>
      <w:r>
        <w:rPr>
          <w:rFonts w:hint="eastAsia" w:ascii="宋体" w:hAnsi="宋体" w:eastAsia="宋体" w:cs="宋体"/>
          <w:sz w:val="21"/>
          <w:szCs w:val="21"/>
        </w:rPr>
        <w:t>77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FDB0BB2">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_Toc3356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格式三十二： </w:t>
      </w:r>
      <w:r>
        <w:rPr>
          <w:rFonts w:hint="eastAsia" w:ascii="宋体" w:hAnsi="宋体" w:eastAsia="宋体" w:cs="宋体"/>
          <w:sz w:val="21"/>
          <w:szCs w:val="21"/>
          <w:highlight w:val="none"/>
        </w:rPr>
        <w:t>突发事件处理及应急方案</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_Toc3356 \h </w:instrText>
      </w:r>
      <w:r>
        <w:rPr>
          <w:rFonts w:hint="eastAsia" w:ascii="宋体" w:hAnsi="宋体" w:eastAsia="宋体" w:cs="宋体"/>
          <w:sz w:val="21"/>
          <w:szCs w:val="21"/>
        </w:rPr>
        <w:fldChar w:fldCharType="separate"/>
      </w:r>
      <w:r>
        <w:rPr>
          <w:rFonts w:hint="eastAsia" w:ascii="宋体" w:hAnsi="宋体" w:eastAsia="宋体" w:cs="宋体"/>
          <w:sz w:val="21"/>
          <w:szCs w:val="21"/>
        </w:rPr>
        <w:t>77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520980C5">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_Toc24379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格式三十三： </w:t>
      </w:r>
      <w:r>
        <w:rPr>
          <w:rFonts w:hint="eastAsia" w:ascii="宋体" w:hAnsi="宋体" w:eastAsia="宋体" w:cs="宋体"/>
          <w:sz w:val="21"/>
          <w:szCs w:val="21"/>
          <w:highlight w:val="none"/>
        </w:rPr>
        <w:t>食品安全保障</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_Toc24379 \h </w:instrText>
      </w:r>
      <w:r>
        <w:rPr>
          <w:rFonts w:hint="eastAsia" w:ascii="宋体" w:hAnsi="宋体" w:eastAsia="宋体" w:cs="宋体"/>
          <w:sz w:val="21"/>
          <w:szCs w:val="21"/>
        </w:rPr>
        <w:fldChar w:fldCharType="separate"/>
      </w:r>
      <w:r>
        <w:rPr>
          <w:rFonts w:hint="eastAsia" w:ascii="宋体" w:hAnsi="宋体" w:eastAsia="宋体" w:cs="宋体"/>
          <w:sz w:val="21"/>
          <w:szCs w:val="21"/>
        </w:rPr>
        <w:t>77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4EADB0F1">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_Toc23636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格式三十四： </w:t>
      </w:r>
      <w:r>
        <w:rPr>
          <w:rFonts w:hint="eastAsia" w:ascii="宋体" w:hAnsi="宋体" w:eastAsia="宋体" w:cs="宋体"/>
          <w:sz w:val="21"/>
          <w:szCs w:val="21"/>
          <w:highlight w:val="none"/>
        </w:rPr>
        <w:t>其它重要事项说明及承诺</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_Toc23636 \h </w:instrText>
      </w:r>
      <w:r>
        <w:rPr>
          <w:rFonts w:hint="eastAsia" w:ascii="宋体" w:hAnsi="宋体" w:eastAsia="宋体" w:cs="宋体"/>
          <w:sz w:val="21"/>
          <w:szCs w:val="21"/>
        </w:rPr>
        <w:fldChar w:fldCharType="separate"/>
      </w:r>
      <w:r>
        <w:rPr>
          <w:rFonts w:hint="eastAsia" w:ascii="宋体" w:hAnsi="宋体" w:eastAsia="宋体" w:cs="宋体"/>
          <w:sz w:val="21"/>
          <w:szCs w:val="21"/>
        </w:rPr>
        <w:t>77</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3B28436D">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_Toc31258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格式三十五： </w:t>
      </w:r>
      <w:r>
        <w:rPr>
          <w:rFonts w:hint="eastAsia" w:ascii="宋体" w:hAnsi="宋体" w:eastAsia="宋体" w:cs="宋体"/>
          <w:sz w:val="21"/>
          <w:szCs w:val="21"/>
          <w:highlight w:val="none"/>
        </w:rPr>
        <w:t>采购代理服务费支付承诺书</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_Toc31258 \h </w:instrText>
      </w:r>
      <w:r>
        <w:rPr>
          <w:rFonts w:hint="eastAsia" w:ascii="宋体" w:hAnsi="宋体" w:eastAsia="宋体" w:cs="宋体"/>
          <w:sz w:val="21"/>
          <w:szCs w:val="21"/>
        </w:rPr>
        <w:fldChar w:fldCharType="separate"/>
      </w:r>
      <w:r>
        <w:rPr>
          <w:rFonts w:hint="eastAsia" w:ascii="宋体" w:hAnsi="宋体" w:eastAsia="宋体" w:cs="宋体"/>
          <w:sz w:val="21"/>
          <w:szCs w:val="21"/>
        </w:rPr>
        <w:t>78</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75B75234">
      <w:pPr>
        <w:pStyle w:val="38"/>
        <w:tabs>
          <w:tab w:val="right" w:leader="dot" w:pos="9638"/>
        </w:tabs>
        <w:spacing w:line="360" w:lineRule="auto"/>
        <w:jc w:val="both"/>
        <w:rPr>
          <w:rFonts w:hint="eastAsia" w:ascii="宋体" w:hAnsi="宋体" w:eastAsia="宋体" w:cs="宋体"/>
          <w:sz w:val="21"/>
          <w:szCs w:val="21"/>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sz w:val="21"/>
          <w:szCs w:val="21"/>
          <w:highlight w:val="none"/>
        </w:rPr>
        <w:instrText xml:space="preserve"> HYPERLINK \l _Toc21318 </w:instrText>
      </w:r>
      <w:r>
        <w:rPr>
          <w:rFonts w:hint="eastAsia" w:ascii="宋体" w:hAnsi="宋体" w:eastAsia="宋体" w:cs="宋体"/>
          <w:bCs/>
          <w:sz w:val="21"/>
          <w:szCs w:val="21"/>
          <w:highlight w:val="none"/>
        </w:rPr>
        <w:fldChar w:fldCharType="separate"/>
      </w:r>
      <w:r>
        <w:rPr>
          <w:rFonts w:hint="eastAsia" w:ascii="宋体" w:hAnsi="宋体" w:eastAsia="宋体" w:cs="宋体"/>
          <w:sz w:val="21"/>
          <w:szCs w:val="21"/>
        </w:rPr>
        <w:t xml:space="preserve">格式三十六： </w:t>
      </w:r>
      <w:r>
        <w:rPr>
          <w:rFonts w:hint="eastAsia" w:ascii="宋体" w:hAnsi="宋体" w:eastAsia="宋体" w:cs="宋体"/>
          <w:sz w:val="21"/>
          <w:szCs w:val="21"/>
          <w:highlight w:val="none"/>
        </w:rPr>
        <w:t>询问函、质疑函、投诉书格式</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_Toc21318 \h </w:instrText>
      </w:r>
      <w:r>
        <w:rPr>
          <w:rFonts w:hint="eastAsia" w:ascii="宋体" w:hAnsi="宋体" w:eastAsia="宋体" w:cs="宋体"/>
          <w:sz w:val="21"/>
          <w:szCs w:val="21"/>
        </w:rPr>
        <w:fldChar w:fldCharType="separate"/>
      </w:r>
      <w:r>
        <w:rPr>
          <w:rFonts w:hint="eastAsia" w:ascii="宋体" w:hAnsi="宋体" w:eastAsia="宋体" w:cs="宋体"/>
          <w:sz w:val="21"/>
          <w:szCs w:val="21"/>
        </w:rPr>
        <w:t>79</w:t>
      </w:r>
      <w:r>
        <w:rPr>
          <w:rFonts w:hint="eastAsia" w:ascii="宋体" w:hAnsi="宋体" w:eastAsia="宋体" w:cs="宋体"/>
          <w:sz w:val="21"/>
          <w:szCs w:val="21"/>
        </w:rPr>
        <w:fldChar w:fldCharType="end"/>
      </w:r>
      <w:r>
        <w:rPr>
          <w:rFonts w:hint="eastAsia" w:ascii="宋体" w:hAnsi="宋体" w:eastAsia="宋体" w:cs="宋体"/>
          <w:bCs/>
          <w:color w:val="auto"/>
          <w:sz w:val="21"/>
          <w:szCs w:val="21"/>
          <w:highlight w:val="none"/>
        </w:rPr>
        <w:fldChar w:fldCharType="end"/>
      </w:r>
    </w:p>
    <w:p w14:paraId="6CF926E5">
      <w:pPr>
        <w:pStyle w:val="37"/>
        <w:keepNext w:val="0"/>
        <w:keepLines w:val="0"/>
        <w:pageBreakBefore w:val="0"/>
        <w:widowControl w:val="0"/>
        <w:kinsoku/>
        <w:wordWrap/>
        <w:overflowPunct/>
        <w:topLinePunct w:val="0"/>
        <w:autoSpaceDE/>
        <w:autoSpaceDN/>
        <w:bidi w:val="0"/>
        <w:spacing w:line="360" w:lineRule="auto"/>
        <w:ind w:left="1" w:hanging="1"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end"/>
      </w:r>
      <w:r>
        <w:rPr>
          <w:rFonts w:hint="eastAsia" w:ascii="宋体" w:hAnsi="宋体" w:eastAsia="宋体" w:cs="宋体"/>
          <w:color w:val="auto"/>
          <w:sz w:val="21"/>
          <w:szCs w:val="21"/>
          <w:highlight w:val="none"/>
        </w:rPr>
        <w:br w:type="page"/>
      </w:r>
    </w:p>
    <w:p w14:paraId="3FA31AFD">
      <w:pPr>
        <w:keepNext w:val="0"/>
        <w:keepLines w:val="0"/>
        <w:pageBreakBefore w:val="0"/>
        <w:widowControl w:val="0"/>
        <w:tabs>
          <w:tab w:val="left" w:pos="502"/>
          <w:tab w:val="left" w:pos="1408"/>
          <w:tab w:val="left" w:pos="4769"/>
        </w:tabs>
        <w:kinsoku/>
        <w:wordWrap/>
        <w:overflowPunct/>
        <w:topLinePunct w:val="0"/>
        <w:autoSpaceDE/>
        <w:autoSpaceDN/>
        <w:bidi w:val="0"/>
        <w:spacing w:line="360" w:lineRule="auto"/>
        <w:jc w:val="both"/>
        <w:rPr>
          <w:rFonts w:hint="eastAsia" w:ascii="宋体" w:hAnsi="宋体" w:eastAsia="宋体" w:cs="宋体"/>
          <w:b/>
          <w:color w:val="auto"/>
          <w:sz w:val="21"/>
          <w:szCs w:val="21"/>
          <w:highlight w:val="none"/>
        </w:rPr>
        <w:sectPr>
          <w:headerReference r:id="rId11" w:type="first"/>
          <w:pgSz w:w="11906" w:h="16838"/>
          <w:pgMar w:top="1134" w:right="1134" w:bottom="1134" w:left="1134" w:header="426" w:footer="992" w:gutter="0"/>
          <w:paperSrc w:first="7"/>
          <w:pgNumType w:fmt="decimal"/>
          <w:cols w:space="0" w:num="1"/>
          <w:titlePg/>
          <w:rtlGutter w:val="0"/>
          <w:docGrid w:linePitch="312" w:charSpace="0"/>
        </w:sectPr>
      </w:pPr>
    </w:p>
    <w:p w14:paraId="4E710A2D">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2" w:name="_Toc104040730"/>
      <w:bookmarkStart w:id="3" w:name="_Toc103216633"/>
      <w:bookmarkStart w:id="4" w:name="_Toc104040676"/>
      <w:bookmarkStart w:id="5" w:name="_Toc2200"/>
      <w:r>
        <w:rPr>
          <w:rFonts w:hint="eastAsia" w:eastAsia="宋体"/>
          <w:color w:val="auto"/>
          <w:sz w:val="24"/>
          <w:szCs w:val="24"/>
          <w:highlight w:val="none"/>
        </w:rPr>
        <w:t>第一章 磋商邀请</w:t>
      </w:r>
      <w:bookmarkEnd w:id="2"/>
      <w:bookmarkEnd w:id="3"/>
      <w:bookmarkEnd w:id="4"/>
      <w:bookmarkEnd w:id="5"/>
    </w:p>
    <w:p w14:paraId="3715C4F4">
      <w:pPr>
        <w:pStyle w:val="369"/>
        <w:keepNext w:val="0"/>
        <w:keepLines w:val="0"/>
        <w:pageBreakBefore w:val="0"/>
        <w:widowControl w:val="0"/>
        <w:kinsoku/>
        <w:wordWrap/>
        <w:overflowPunct/>
        <w:topLinePunct w:val="0"/>
        <w:autoSpaceDE/>
        <w:autoSpaceDN/>
        <w:bidi w:val="0"/>
        <w:rPr>
          <w:rFonts w:hint="eastAsia"/>
          <w:color w:val="auto"/>
          <w:sz w:val="21"/>
          <w:szCs w:val="21"/>
          <w:highlight w:val="none"/>
          <w:lang w:eastAsia="zh-CN"/>
        </w:rPr>
      </w:pPr>
      <w:bookmarkStart w:id="6" w:name="_Toc35342045"/>
      <w:r>
        <w:rPr>
          <w:rFonts w:hint="eastAsia"/>
          <w:color w:val="auto"/>
          <w:sz w:val="21"/>
          <w:szCs w:val="21"/>
          <w:highlight w:val="none"/>
          <w:lang w:eastAsia="zh-CN"/>
        </w:rPr>
        <w:t>项目概况</w:t>
      </w:r>
    </w:p>
    <w:p w14:paraId="593182C1">
      <w:pPr>
        <w:pStyle w:val="369"/>
        <w:keepNext w:val="0"/>
        <w:keepLines w:val="0"/>
        <w:pageBreakBefore w:val="0"/>
        <w:widowControl w:val="0"/>
        <w:kinsoku/>
        <w:wordWrap/>
        <w:overflowPunct/>
        <w:topLinePunct w:val="0"/>
        <w:autoSpaceDE/>
        <w:autoSpaceDN/>
        <w:bidi w:val="0"/>
        <w:ind w:firstLine="420" w:firstLineChars="200"/>
        <w:jc w:val="both"/>
        <w:rPr>
          <w:rFonts w:hint="eastAsia"/>
          <w:b w:val="0"/>
          <w:bCs w:val="0"/>
          <w:color w:val="auto"/>
          <w:sz w:val="21"/>
          <w:szCs w:val="21"/>
          <w:highlight w:val="none"/>
          <w:lang w:eastAsia="zh-CN"/>
        </w:rPr>
      </w:pPr>
      <w:r>
        <w:rPr>
          <w:rFonts w:hint="eastAsia"/>
          <w:b w:val="0"/>
          <w:bCs w:val="0"/>
          <w:color w:val="auto"/>
          <w:sz w:val="21"/>
          <w:szCs w:val="21"/>
          <w:highlight w:val="none"/>
          <w:u w:val="single"/>
          <w:lang w:eastAsia="zh-CN"/>
        </w:rPr>
        <w:t>中华人民共和国青茂出入境边防检查站2026年度食堂食材配送服务采购项目</w:t>
      </w:r>
      <w:r>
        <w:rPr>
          <w:b w:val="0"/>
          <w:bCs w:val="0"/>
          <w:color w:val="auto"/>
          <w:sz w:val="21"/>
          <w:szCs w:val="21"/>
          <w:highlight w:val="none"/>
          <w:lang w:eastAsia="zh-CN"/>
        </w:rPr>
        <w:t>的潜在</w:t>
      </w:r>
      <w:r>
        <w:rPr>
          <w:rFonts w:hint="eastAsia"/>
          <w:b w:val="0"/>
          <w:bCs w:val="0"/>
          <w:color w:val="auto"/>
          <w:sz w:val="21"/>
          <w:szCs w:val="21"/>
          <w:highlight w:val="none"/>
          <w:lang w:eastAsia="zh-CN"/>
        </w:rPr>
        <w:t>供应商</w:t>
      </w:r>
      <w:r>
        <w:rPr>
          <w:b w:val="0"/>
          <w:bCs w:val="0"/>
          <w:color w:val="auto"/>
          <w:sz w:val="21"/>
          <w:szCs w:val="21"/>
          <w:highlight w:val="none"/>
          <w:lang w:eastAsia="zh-CN"/>
        </w:rPr>
        <w:t>应在</w:t>
      </w:r>
      <w:r>
        <w:rPr>
          <w:b w:val="0"/>
          <w:bCs w:val="0"/>
          <w:color w:val="auto"/>
          <w:sz w:val="21"/>
          <w:szCs w:val="21"/>
          <w:highlight w:val="none"/>
          <w:u w:val="single"/>
          <w:lang w:eastAsia="zh-CN"/>
        </w:rPr>
        <w:t>诚E招电子采购交易平台（https://www.chengezhao.com/）</w:t>
      </w:r>
      <w:r>
        <w:rPr>
          <w:rFonts w:hint="eastAsia"/>
          <w:b w:val="0"/>
          <w:bCs w:val="0"/>
          <w:color w:val="auto"/>
          <w:sz w:val="21"/>
          <w:szCs w:val="21"/>
          <w:highlight w:val="none"/>
          <w:u w:val="single"/>
          <w:lang w:eastAsia="zh-CN"/>
        </w:rPr>
        <w:t>或公诚管理咨询有限公司</w:t>
      </w:r>
      <w:r>
        <w:rPr>
          <w:b w:val="0"/>
          <w:bCs w:val="0"/>
          <w:color w:val="auto"/>
          <w:sz w:val="21"/>
          <w:szCs w:val="21"/>
          <w:highlight w:val="none"/>
          <w:lang w:eastAsia="zh-CN"/>
        </w:rPr>
        <w:t>获取</w:t>
      </w:r>
      <w:r>
        <w:rPr>
          <w:rFonts w:hint="eastAsia"/>
          <w:b w:val="0"/>
          <w:bCs w:val="0"/>
          <w:color w:val="auto"/>
          <w:sz w:val="21"/>
          <w:szCs w:val="21"/>
          <w:highlight w:val="none"/>
          <w:lang w:eastAsia="zh-CN"/>
        </w:rPr>
        <w:t>采购</w:t>
      </w:r>
      <w:r>
        <w:rPr>
          <w:b w:val="0"/>
          <w:bCs w:val="0"/>
          <w:color w:val="auto"/>
          <w:sz w:val="21"/>
          <w:szCs w:val="21"/>
          <w:highlight w:val="none"/>
          <w:lang w:eastAsia="zh-CN"/>
        </w:rPr>
        <w:t>文件，并于</w:t>
      </w:r>
      <w:r>
        <w:rPr>
          <w:b w:val="0"/>
          <w:bCs w:val="0"/>
          <w:color w:val="auto"/>
          <w:sz w:val="21"/>
          <w:szCs w:val="21"/>
          <w:highlight w:val="none"/>
          <w:u w:val="single"/>
          <w:lang w:eastAsia="zh-CN"/>
        </w:rPr>
        <w:t>20XX年XX月XX日XX点XX分（北京时间）</w:t>
      </w:r>
      <w:r>
        <w:rPr>
          <w:b w:val="0"/>
          <w:bCs w:val="0"/>
          <w:color w:val="auto"/>
          <w:sz w:val="21"/>
          <w:szCs w:val="21"/>
          <w:highlight w:val="none"/>
          <w:lang w:eastAsia="zh-CN"/>
        </w:rPr>
        <w:t>前递交</w:t>
      </w:r>
      <w:r>
        <w:rPr>
          <w:rFonts w:hint="eastAsia"/>
          <w:b w:val="0"/>
          <w:bCs w:val="0"/>
          <w:color w:val="auto"/>
          <w:sz w:val="21"/>
          <w:szCs w:val="21"/>
          <w:highlight w:val="none"/>
          <w:lang w:eastAsia="zh-CN"/>
        </w:rPr>
        <w:t>响应</w:t>
      </w:r>
      <w:r>
        <w:rPr>
          <w:b w:val="0"/>
          <w:bCs w:val="0"/>
          <w:color w:val="auto"/>
          <w:sz w:val="21"/>
          <w:szCs w:val="21"/>
          <w:highlight w:val="none"/>
          <w:lang w:eastAsia="zh-CN"/>
        </w:rPr>
        <w:t>文件。</w:t>
      </w:r>
    </w:p>
    <w:p w14:paraId="5B721634">
      <w:pPr>
        <w:pStyle w:val="369"/>
        <w:keepNext w:val="0"/>
        <w:keepLines w:val="0"/>
        <w:pageBreakBefore w:val="0"/>
        <w:widowControl w:val="0"/>
        <w:kinsoku/>
        <w:wordWrap/>
        <w:overflowPunct/>
        <w:topLinePunct w:val="0"/>
        <w:autoSpaceDE/>
        <w:autoSpaceDN/>
        <w:bidi w:val="0"/>
        <w:outlineLvl w:val="1"/>
        <w:rPr>
          <w:rFonts w:hint="eastAsia"/>
          <w:color w:val="auto"/>
          <w:sz w:val="21"/>
          <w:szCs w:val="21"/>
          <w:highlight w:val="none"/>
          <w:lang w:eastAsia="zh-CN"/>
        </w:rPr>
      </w:pPr>
      <w:bookmarkStart w:id="7" w:name="_Toc104131883"/>
      <w:bookmarkStart w:id="8" w:name="_Toc112002500"/>
      <w:bookmarkStart w:id="9" w:name="_Toc23460"/>
      <w:r>
        <w:rPr>
          <w:rFonts w:hint="eastAsia"/>
          <w:color w:val="auto"/>
          <w:sz w:val="21"/>
          <w:szCs w:val="21"/>
          <w:highlight w:val="none"/>
          <w:lang w:eastAsia="zh-CN"/>
        </w:rPr>
        <w:t>一、项目基本情况</w:t>
      </w:r>
      <w:bookmarkEnd w:id="7"/>
      <w:bookmarkEnd w:id="8"/>
      <w:bookmarkEnd w:id="9"/>
    </w:p>
    <w:p w14:paraId="42CABEE7">
      <w:pPr>
        <w:keepNext w:val="0"/>
        <w:keepLines w:val="0"/>
        <w:pageBreakBefore w:val="0"/>
        <w:widowControl w:val="0"/>
        <w:kinsoku/>
        <w:wordWrap/>
        <w:overflowPunct/>
        <w:topLinePunct w:val="0"/>
        <w:autoSpaceDE/>
        <w:autoSpaceDN/>
        <w:bidi w:val="0"/>
        <w:ind w:firstLine="420" w:firstLineChars="200"/>
        <w:rPr>
          <w:rFonts w:hint="eastAsia" w:eastAsia="宋体"/>
          <w:color w:val="auto"/>
          <w:szCs w:val="21"/>
          <w:highlight w:val="none"/>
          <w:lang w:eastAsia="zh-CN"/>
        </w:rPr>
      </w:pPr>
      <w:r>
        <w:rPr>
          <w:rFonts w:hint="eastAsia"/>
          <w:color w:val="auto"/>
          <w:szCs w:val="21"/>
          <w:highlight w:val="none"/>
        </w:rPr>
        <w:t>项目编号：</w:t>
      </w:r>
      <w:r>
        <w:rPr>
          <w:rFonts w:hint="eastAsia"/>
          <w:color w:val="auto"/>
          <w:szCs w:val="21"/>
          <w:highlight w:val="none"/>
          <w:lang w:eastAsia="zh-CN"/>
        </w:rPr>
        <w:t>07-08-04F-2026-D-F-E06418</w:t>
      </w:r>
    </w:p>
    <w:p w14:paraId="770A80FA">
      <w:pPr>
        <w:keepNext w:val="0"/>
        <w:keepLines w:val="0"/>
        <w:pageBreakBefore w:val="0"/>
        <w:widowControl w:val="0"/>
        <w:kinsoku/>
        <w:wordWrap/>
        <w:overflowPunct/>
        <w:topLinePunct w:val="0"/>
        <w:autoSpaceDE/>
        <w:autoSpaceDN/>
        <w:bidi w:val="0"/>
        <w:ind w:firstLine="420" w:firstLineChars="200"/>
        <w:rPr>
          <w:rFonts w:hint="eastAsia" w:eastAsia="宋体"/>
          <w:color w:val="auto"/>
          <w:szCs w:val="21"/>
          <w:highlight w:val="none"/>
          <w:lang w:eastAsia="zh-CN"/>
        </w:rPr>
      </w:pPr>
      <w:r>
        <w:rPr>
          <w:rFonts w:hint="eastAsia"/>
          <w:color w:val="auto"/>
          <w:szCs w:val="21"/>
          <w:highlight w:val="none"/>
        </w:rPr>
        <w:t>项目名称：</w:t>
      </w:r>
      <w:bookmarkStart w:id="393" w:name="_GoBack"/>
      <w:r>
        <w:rPr>
          <w:rFonts w:hint="eastAsia"/>
          <w:color w:val="auto"/>
          <w:szCs w:val="21"/>
          <w:highlight w:val="none"/>
          <w:lang w:eastAsia="zh-CN"/>
        </w:rPr>
        <w:t>中华人民共和国青茂出入境边防检查站2026年度食堂食材配送服务采购项目</w:t>
      </w:r>
      <w:bookmarkEnd w:id="393"/>
    </w:p>
    <w:p w14:paraId="17ACD5C0">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采购方式：竞争性磋商</w:t>
      </w:r>
    </w:p>
    <w:p w14:paraId="6902E796">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预算金额：1</w:t>
      </w:r>
      <w:r>
        <w:rPr>
          <w:color w:val="auto"/>
          <w:szCs w:val="21"/>
          <w:highlight w:val="none"/>
        </w:rPr>
        <w:t>,</w:t>
      </w:r>
      <w:r>
        <w:rPr>
          <w:rFonts w:hint="eastAsia"/>
          <w:color w:val="auto"/>
          <w:szCs w:val="21"/>
          <w:highlight w:val="none"/>
        </w:rPr>
        <w:t>62</w:t>
      </w:r>
      <w:r>
        <w:rPr>
          <w:rFonts w:hint="eastAsia"/>
          <w:color w:val="auto"/>
          <w:szCs w:val="21"/>
          <w:highlight w:val="none"/>
          <w:lang w:val="en-US" w:eastAsia="zh-CN"/>
        </w:rPr>
        <w:t>0</w:t>
      </w:r>
      <w:r>
        <w:rPr>
          <w:color w:val="auto"/>
          <w:szCs w:val="21"/>
          <w:highlight w:val="none"/>
        </w:rPr>
        <w:t>,000.00元（人民币）</w:t>
      </w:r>
    </w:p>
    <w:p w14:paraId="2F7B4D92">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最高限价：</w:t>
      </w:r>
      <w:r>
        <w:rPr>
          <w:rFonts w:hint="eastAsia"/>
          <w:color w:val="auto"/>
          <w:szCs w:val="21"/>
          <w:highlight w:val="none"/>
          <w:lang w:val="en-US" w:eastAsia="zh-CN"/>
        </w:rPr>
        <w:t>100%</w:t>
      </w:r>
    </w:p>
    <w:p w14:paraId="285B98FB">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bookmarkStart w:id="10" w:name="_Hlk70530579"/>
      <w:r>
        <w:rPr>
          <w:rFonts w:hint="eastAsia"/>
          <w:color w:val="auto"/>
          <w:szCs w:val="21"/>
          <w:highlight w:val="none"/>
        </w:rPr>
        <w:t>采购需求</w:t>
      </w:r>
      <w:bookmarkEnd w:id="10"/>
      <w:r>
        <w:rPr>
          <w:rFonts w:hint="eastAsia"/>
          <w:color w:val="auto"/>
          <w:szCs w:val="21"/>
          <w:highlight w:val="none"/>
        </w:rPr>
        <w:t>：</w:t>
      </w:r>
    </w:p>
    <w:p w14:paraId="7F2F23B0">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1</w:t>
      </w:r>
      <w:r>
        <w:rPr>
          <w:color w:val="auto"/>
          <w:szCs w:val="21"/>
          <w:highlight w:val="none"/>
        </w:rPr>
        <w:t>.</w:t>
      </w:r>
      <w:r>
        <w:rPr>
          <w:rFonts w:hint="eastAsia"/>
          <w:color w:val="auto"/>
          <w:szCs w:val="21"/>
          <w:highlight w:val="none"/>
        </w:rPr>
        <w:t>标的名称：</w:t>
      </w:r>
      <w:r>
        <w:rPr>
          <w:rFonts w:hint="eastAsia"/>
          <w:color w:val="auto"/>
          <w:szCs w:val="21"/>
          <w:highlight w:val="none"/>
          <w:lang w:eastAsia="zh-CN"/>
        </w:rPr>
        <w:t>2026年度食堂食材配送服务</w:t>
      </w:r>
    </w:p>
    <w:p w14:paraId="4E7918CA">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2</w:t>
      </w:r>
      <w:r>
        <w:rPr>
          <w:color w:val="auto"/>
          <w:szCs w:val="21"/>
          <w:highlight w:val="none"/>
        </w:rPr>
        <w:t>.</w:t>
      </w:r>
      <w:r>
        <w:rPr>
          <w:rFonts w:hint="eastAsia"/>
          <w:color w:val="auto"/>
          <w:szCs w:val="21"/>
          <w:highlight w:val="none"/>
        </w:rPr>
        <w:t>标的数量：</w:t>
      </w:r>
      <w:r>
        <w:rPr>
          <w:rFonts w:hint="eastAsia"/>
          <w:color w:val="auto"/>
          <w:szCs w:val="21"/>
          <w:highlight w:val="none"/>
          <w:lang w:val="en-US" w:eastAsia="zh-CN"/>
        </w:rPr>
        <w:t>1</w:t>
      </w:r>
      <w:r>
        <w:rPr>
          <w:rFonts w:hint="eastAsia"/>
          <w:color w:val="auto"/>
          <w:szCs w:val="21"/>
          <w:highlight w:val="none"/>
          <w:lang w:eastAsia="zh-CN"/>
        </w:rPr>
        <w:t>项</w:t>
      </w:r>
    </w:p>
    <w:p w14:paraId="72EE0E33">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3</w:t>
      </w:r>
      <w:r>
        <w:rPr>
          <w:color w:val="auto"/>
          <w:szCs w:val="21"/>
          <w:highlight w:val="none"/>
        </w:rPr>
        <w:t>.</w:t>
      </w:r>
      <w:r>
        <w:rPr>
          <w:rFonts w:hint="eastAsia"/>
          <w:color w:val="auto"/>
          <w:szCs w:val="21"/>
          <w:highlight w:val="none"/>
        </w:rPr>
        <w:t>简要技术需求或服务要求：对青茂出入境边防检查站位于青茂口岸的食堂每天早餐、中餐、晚餐和宵夜食材配送服务进行采购</w:t>
      </w:r>
      <w:r>
        <w:rPr>
          <w:rFonts w:hint="eastAsia"/>
          <w:color w:val="auto"/>
          <w:szCs w:val="21"/>
          <w:highlight w:val="none"/>
          <w:lang w:eastAsia="zh-CN"/>
        </w:rPr>
        <w:t>；</w:t>
      </w:r>
      <w:r>
        <w:rPr>
          <w:rFonts w:hint="eastAsia"/>
          <w:color w:val="auto"/>
          <w:szCs w:val="21"/>
          <w:highlight w:val="none"/>
        </w:rPr>
        <w:t>供应商根据采购人的计划和要求，负责采购和供应每天所需的各类物资，包括但不限于蔬菜类、瓜果类、水果类、肉类、海鲜类、蛋类、调料、饮料、奶制品、大米、食用油、零食、杂货以及其他食堂用品等</w:t>
      </w:r>
      <w:r>
        <w:rPr>
          <w:rFonts w:hint="eastAsia"/>
          <w:color w:val="auto"/>
          <w:szCs w:val="21"/>
          <w:highlight w:val="none"/>
          <w:lang w:eastAsia="zh-CN"/>
        </w:rPr>
        <w:t>；</w:t>
      </w:r>
      <w:r>
        <w:rPr>
          <w:rFonts w:hint="eastAsia"/>
          <w:color w:val="auto"/>
          <w:szCs w:val="21"/>
          <w:highlight w:val="none"/>
        </w:rPr>
        <w:t>详细要求见采购需求</w:t>
      </w:r>
      <w:r>
        <w:rPr>
          <w:color w:val="auto"/>
          <w:szCs w:val="21"/>
          <w:highlight w:val="none"/>
        </w:rPr>
        <w:t>。</w:t>
      </w:r>
    </w:p>
    <w:p w14:paraId="31A3AAEC">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合同履行期限：</w:t>
      </w:r>
      <w:r>
        <w:rPr>
          <w:rFonts w:hint="eastAsia"/>
          <w:color w:val="auto"/>
          <w:szCs w:val="21"/>
          <w:highlight w:val="none"/>
          <w:lang w:eastAsia="zh-CN"/>
        </w:rPr>
        <w:t>自合同签订之日起一年，或至采购预算用完为止</w:t>
      </w:r>
      <w:r>
        <w:rPr>
          <w:rFonts w:hint="eastAsia"/>
          <w:color w:val="auto"/>
          <w:szCs w:val="21"/>
          <w:highlight w:val="none"/>
        </w:rPr>
        <w:t>。</w:t>
      </w:r>
    </w:p>
    <w:p w14:paraId="6EE0E4E4">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本项目不接受联合体响应。</w:t>
      </w:r>
    </w:p>
    <w:p w14:paraId="44B9F1C5">
      <w:pPr>
        <w:pStyle w:val="369"/>
        <w:keepNext w:val="0"/>
        <w:keepLines w:val="0"/>
        <w:pageBreakBefore w:val="0"/>
        <w:widowControl w:val="0"/>
        <w:kinsoku/>
        <w:wordWrap/>
        <w:overflowPunct/>
        <w:topLinePunct w:val="0"/>
        <w:autoSpaceDE/>
        <w:autoSpaceDN/>
        <w:bidi w:val="0"/>
        <w:outlineLvl w:val="1"/>
        <w:rPr>
          <w:rFonts w:hint="eastAsia"/>
          <w:color w:val="auto"/>
          <w:sz w:val="21"/>
          <w:szCs w:val="21"/>
          <w:highlight w:val="none"/>
          <w:lang w:eastAsia="zh-CN"/>
        </w:rPr>
      </w:pPr>
      <w:bookmarkStart w:id="11" w:name="_Toc104131884"/>
      <w:bookmarkStart w:id="12" w:name="_Toc25403"/>
      <w:bookmarkStart w:id="13" w:name="_Toc112002501"/>
      <w:r>
        <w:rPr>
          <w:rFonts w:hint="eastAsia"/>
          <w:color w:val="auto"/>
          <w:sz w:val="21"/>
          <w:szCs w:val="21"/>
          <w:highlight w:val="none"/>
          <w:lang w:eastAsia="zh-CN"/>
        </w:rPr>
        <w:t>二、申请人的资格要求</w:t>
      </w:r>
      <w:bookmarkEnd w:id="11"/>
      <w:bookmarkEnd w:id="12"/>
      <w:bookmarkEnd w:id="13"/>
    </w:p>
    <w:p w14:paraId="2C7CDE9F">
      <w:pPr>
        <w:keepNext w:val="0"/>
        <w:keepLines w:val="0"/>
        <w:pageBreakBefore w:val="0"/>
        <w:widowControl w:val="0"/>
        <w:kinsoku/>
        <w:wordWrap/>
        <w:overflowPunct/>
        <w:topLinePunct w:val="0"/>
        <w:autoSpaceDE/>
        <w:autoSpaceDN/>
        <w:bidi w:val="0"/>
        <w:ind w:firstLine="422" w:firstLineChars="200"/>
        <w:rPr>
          <w:rFonts w:hint="eastAsia"/>
          <w:b/>
          <w:bCs/>
          <w:color w:val="auto"/>
          <w:szCs w:val="21"/>
          <w:highlight w:val="none"/>
        </w:rPr>
      </w:pPr>
      <w:r>
        <w:rPr>
          <w:b/>
          <w:bCs/>
          <w:color w:val="auto"/>
          <w:szCs w:val="21"/>
          <w:highlight w:val="none"/>
        </w:rPr>
        <w:t>1.满足《中华人民共和国政府采购法》第二十二条规定</w:t>
      </w:r>
      <w:r>
        <w:rPr>
          <w:rFonts w:hint="eastAsia"/>
          <w:b/>
          <w:bCs/>
          <w:color w:val="auto"/>
          <w:szCs w:val="21"/>
          <w:highlight w:val="none"/>
        </w:rPr>
        <w:t>，提供下列材料</w:t>
      </w:r>
      <w:r>
        <w:rPr>
          <w:b/>
          <w:bCs/>
          <w:color w:val="auto"/>
          <w:szCs w:val="21"/>
          <w:highlight w:val="none"/>
        </w:rPr>
        <w:t>：</w:t>
      </w:r>
    </w:p>
    <w:p w14:paraId="7BFFE25F">
      <w:pPr>
        <w:pStyle w:val="127"/>
        <w:keepNext w:val="0"/>
        <w:keepLines w:val="0"/>
        <w:pageBreakBefore w:val="0"/>
        <w:widowControl w:val="0"/>
        <w:kinsoku/>
        <w:wordWrap/>
        <w:overflowPunct/>
        <w:topLinePunct w:val="0"/>
        <w:autoSpaceDE/>
        <w:autoSpaceDN/>
        <w:bidi w:val="0"/>
        <w:rPr>
          <w:rFonts w:hint="eastAsia" w:ascii="宋体" w:hAnsi="宋体"/>
          <w:color w:val="auto"/>
          <w:szCs w:val="21"/>
          <w:highlight w:val="none"/>
          <w:lang w:eastAsia="zh-CN"/>
        </w:rPr>
      </w:pPr>
      <w:r>
        <w:rPr>
          <w:rFonts w:hint="eastAsia" w:ascii="宋体" w:hAnsi="宋体"/>
          <w:color w:val="auto"/>
          <w:szCs w:val="21"/>
          <w:highlight w:val="none"/>
          <w:lang w:eastAsia="zh-CN"/>
        </w:rPr>
        <w:t>（1）具有独立承担民事责任的能力：</w:t>
      </w:r>
      <w:bookmarkStart w:id="14" w:name="_Hlk104022700"/>
      <w:r>
        <w:rPr>
          <w:rFonts w:hint="eastAsia" w:ascii="宋体" w:hAnsi="宋体"/>
          <w:color w:val="auto"/>
          <w:szCs w:val="21"/>
          <w:highlight w:val="none"/>
          <w:lang w:eastAsia="zh-CN"/>
        </w:rPr>
        <w:t>在中华人民共和国境内注册的法人或其他组织或自然人，</w:t>
      </w:r>
      <w:r>
        <w:rPr>
          <w:rFonts w:hint="eastAsia"/>
          <w:color w:val="auto"/>
          <w:szCs w:val="21"/>
          <w:highlight w:val="none"/>
          <w:lang w:eastAsia="zh-CN"/>
        </w:rPr>
        <w:t>响应文件中须提供</w:t>
      </w:r>
      <w:r>
        <w:rPr>
          <w:rFonts w:hint="eastAsia" w:ascii="宋体" w:hAnsi="宋体"/>
          <w:color w:val="auto"/>
          <w:szCs w:val="21"/>
          <w:highlight w:val="none"/>
          <w:lang w:eastAsia="zh-CN"/>
        </w:rPr>
        <w:t>有效的营业执照（或事业法人登记证或身份证等相关证明）</w:t>
      </w:r>
      <w:r>
        <w:rPr>
          <w:rFonts w:hint="eastAsia"/>
          <w:color w:val="auto"/>
          <w:szCs w:val="21"/>
          <w:highlight w:val="none"/>
          <w:lang w:eastAsia="zh-CN"/>
        </w:rPr>
        <w:t>复印件</w:t>
      </w:r>
      <w:r>
        <w:rPr>
          <w:rFonts w:hint="eastAsia" w:ascii="宋体" w:hAnsi="宋体"/>
          <w:color w:val="auto"/>
          <w:szCs w:val="21"/>
          <w:highlight w:val="none"/>
          <w:lang w:eastAsia="zh-CN"/>
        </w:rPr>
        <w:t>。分支机构响应的，</w:t>
      </w:r>
      <w:r>
        <w:rPr>
          <w:rFonts w:hint="eastAsia"/>
          <w:color w:val="auto"/>
          <w:szCs w:val="21"/>
          <w:highlight w:val="none"/>
          <w:lang w:eastAsia="zh-CN"/>
        </w:rPr>
        <w:t>响应文件中须</w:t>
      </w:r>
      <w:r>
        <w:rPr>
          <w:rFonts w:hint="eastAsia" w:ascii="宋体" w:hAnsi="宋体"/>
          <w:color w:val="auto"/>
          <w:szCs w:val="21"/>
          <w:highlight w:val="none"/>
          <w:lang w:eastAsia="zh-CN"/>
        </w:rPr>
        <w:t>提供总公司和分公司营业执照</w:t>
      </w:r>
      <w:r>
        <w:rPr>
          <w:rFonts w:hint="eastAsia"/>
          <w:color w:val="auto"/>
          <w:szCs w:val="21"/>
          <w:highlight w:val="none"/>
          <w:lang w:eastAsia="zh-CN"/>
        </w:rPr>
        <w:t>复印件</w:t>
      </w:r>
      <w:r>
        <w:rPr>
          <w:rFonts w:hint="eastAsia" w:ascii="宋体" w:hAnsi="宋体"/>
          <w:color w:val="auto"/>
          <w:szCs w:val="21"/>
          <w:highlight w:val="none"/>
          <w:lang w:eastAsia="zh-CN"/>
        </w:rPr>
        <w:t>，总公司出具给分支机构的授权书</w:t>
      </w:r>
      <w:bookmarkEnd w:id="14"/>
      <w:r>
        <w:rPr>
          <w:rFonts w:hint="eastAsia" w:ascii="宋体" w:hAnsi="宋体"/>
          <w:color w:val="auto"/>
          <w:szCs w:val="21"/>
          <w:highlight w:val="none"/>
          <w:lang w:eastAsia="zh-CN"/>
        </w:rPr>
        <w:t>。</w:t>
      </w:r>
    </w:p>
    <w:p w14:paraId="229C5D29">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（2）有依法缴纳税收和社会保障资金的良好记录：</w:t>
      </w:r>
      <w:bookmarkStart w:id="15" w:name="_Hlk104022718"/>
      <w:r>
        <w:rPr>
          <w:rFonts w:hint="eastAsia"/>
          <w:color w:val="auto"/>
          <w:szCs w:val="21"/>
          <w:highlight w:val="none"/>
        </w:rPr>
        <w:t>响应文件中须提供</w:t>
      </w:r>
      <w:r>
        <w:rPr>
          <w:color w:val="auto"/>
          <w:szCs w:val="21"/>
          <w:highlight w:val="none"/>
        </w:rPr>
        <w:t>20</w:t>
      </w:r>
      <w:r>
        <w:rPr>
          <w:rFonts w:hint="eastAsia"/>
          <w:color w:val="auto"/>
          <w:szCs w:val="21"/>
          <w:highlight w:val="none"/>
          <w:lang w:val="en-US" w:eastAsia="zh-CN"/>
        </w:rPr>
        <w:t>25</w:t>
      </w:r>
      <w:r>
        <w:rPr>
          <w:color w:val="auto"/>
          <w:szCs w:val="21"/>
          <w:highlight w:val="none"/>
        </w:rPr>
        <w:t>年</w:t>
      </w:r>
      <w:r>
        <w:rPr>
          <w:rFonts w:hint="eastAsia"/>
          <w:color w:val="auto"/>
          <w:szCs w:val="21"/>
          <w:highlight w:val="none"/>
          <w:lang w:val="en-US" w:eastAsia="zh-CN"/>
        </w:rPr>
        <w:t>6</w:t>
      </w:r>
      <w:r>
        <w:rPr>
          <w:color w:val="auto"/>
          <w:szCs w:val="21"/>
          <w:highlight w:val="none"/>
        </w:rPr>
        <w:t>月至今任意1个月依法缴纳税收和社会保障资金的相关材料。如依法免税或不需要缴纳社会保障资金的，提供相应证明材料</w:t>
      </w:r>
      <w:bookmarkEnd w:id="15"/>
      <w:r>
        <w:rPr>
          <w:rFonts w:hint="eastAsia"/>
          <w:color w:val="auto"/>
          <w:szCs w:val="21"/>
          <w:highlight w:val="none"/>
        </w:rPr>
        <w:t>。</w:t>
      </w:r>
    </w:p>
    <w:p w14:paraId="63AEB11A">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（3）具有良好的商业信誉和健全的财务会计制度：</w:t>
      </w:r>
      <w:bookmarkStart w:id="16" w:name="_Hlk131283906"/>
      <w:bookmarkStart w:id="17" w:name="_Hlk104022851"/>
      <w:r>
        <w:rPr>
          <w:rFonts w:hint="eastAsia"/>
          <w:color w:val="auto"/>
          <w:szCs w:val="21"/>
          <w:highlight w:val="none"/>
        </w:rPr>
        <w:t>响应文件中须提供</w:t>
      </w:r>
      <w:bookmarkEnd w:id="16"/>
      <w:r>
        <w:rPr>
          <w:color w:val="auto"/>
          <w:szCs w:val="21"/>
          <w:highlight w:val="none"/>
        </w:rPr>
        <w:t>20</w:t>
      </w:r>
      <w:r>
        <w:rPr>
          <w:rFonts w:hint="eastAsia"/>
          <w:color w:val="auto"/>
          <w:szCs w:val="21"/>
          <w:highlight w:val="none"/>
          <w:lang w:val="en-US" w:eastAsia="zh-CN"/>
        </w:rPr>
        <w:t>24</w:t>
      </w:r>
      <w:r>
        <w:rPr>
          <w:color w:val="auto"/>
          <w:szCs w:val="21"/>
          <w:highlight w:val="none"/>
        </w:rPr>
        <w:t>年度</w:t>
      </w:r>
      <w:r>
        <w:rPr>
          <w:rFonts w:hint="eastAsia"/>
          <w:color w:val="FF0000"/>
          <w:szCs w:val="21"/>
          <w:highlight w:val="none"/>
          <w:lang w:val="en-US" w:eastAsia="zh-CN"/>
        </w:rPr>
        <w:t>或2025年度</w:t>
      </w:r>
      <w:r>
        <w:rPr>
          <w:color w:val="auto"/>
          <w:szCs w:val="21"/>
          <w:highlight w:val="none"/>
        </w:rPr>
        <w:t>经审计的财务状况报告，或20</w:t>
      </w:r>
      <w:r>
        <w:rPr>
          <w:rFonts w:hint="eastAsia"/>
          <w:color w:val="auto"/>
          <w:szCs w:val="21"/>
          <w:highlight w:val="none"/>
          <w:lang w:val="en-US" w:eastAsia="zh-CN"/>
        </w:rPr>
        <w:t>25</w:t>
      </w:r>
      <w:r>
        <w:rPr>
          <w:color w:val="auto"/>
          <w:szCs w:val="21"/>
          <w:highlight w:val="none"/>
        </w:rPr>
        <w:t>年</w:t>
      </w:r>
      <w:r>
        <w:rPr>
          <w:rFonts w:hint="eastAsia"/>
          <w:color w:val="auto"/>
          <w:szCs w:val="21"/>
          <w:highlight w:val="none"/>
          <w:lang w:val="en-US" w:eastAsia="zh-CN"/>
        </w:rPr>
        <w:t>6</w:t>
      </w:r>
      <w:r>
        <w:rPr>
          <w:color w:val="auto"/>
          <w:szCs w:val="21"/>
          <w:highlight w:val="none"/>
        </w:rPr>
        <w:t>月至今任意1个月的会计报表，或银行出具的资信证明</w:t>
      </w:r>
      <w:bookmarkEnd w:id="17"/>
      <w:r>
        <w:rPr>
          <w:rFonts w:hint="eastAsia"/>
          <w:color w:val="auto"/>
          <w:szCs w:val="21"/>
          <w:highlight w:val="none"/>
        </w:rPr>
        <w:t>（资信证明应在有效期内；未注明有效期的，银行出具时间至提交响应文件截止时间不超过一年）。</w:t>
      </w:r>
    </w:p>
    <w:p w14:paraId="3FCD3007">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（4）履行合同所必需的设备和专业技术能力：</w:t>
      </w:r>
      <w:bookmarkStart w:id="18" w:name="_Hlk175757085"/>
      <w:r>
        <w:rPr>
          <w:rFonts w:hint="eastAsia"/>
          <w:color w:val="auto"/>
          <w:szCs w:val="21"/>
          <w:highlight w:val="none"/>
        </w:rPr>
        <w:t>响应文件中须</w:t>
      </w:r>
      <w:bookmarkEnd w:id="18"/>
      <w:r>
        <w:rPr>
          <w:rFonts w:hint="eastAsia"/>
          <w:color w:val="auto"/>
          <w:szCs w:val="21"/>
          <w:highlight w:val="none"/>
        </w:rPr>
        <w:t>提供设备和专业技术能力情况表。</w:t>
      </w:r>
    </w:p>
    <w:p w14:paraId="3DB84081">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5）参加采购活动前3年内，在经营活动中没有重大违法记录：在《响应承诺函》中进行相关申明。重大违法记录，是指供应商因违法经营受到刑事处罚或者责令停产停业、吊销许可证或者执照、较大数额罚款等行政处罚。（根据财库〔</w:t>
      </w:r>
      <w:r>
        <w:rPr>
          <w:color w:val="auto"/>
          <w:szCs w:val="21"/>
          <w:highlight w:val="none"/>
        </w:rPr>
        <w:t>2022〕3号文，“较大数额罚款”认定为200万元以上的罚款，法律、行政法规以及国务院有关部门明确规定相关领域“较大数额罚款”标准高于200万元的，从其规定。</w:t>
      </w:r>
      <w:r>
        <w:rPr>
          <w:rFonts w:hint="eastAsia"/>
          <w:color w:val="auto"/>
          <w:szCs w:val="21"/>
          <w:highlight w:val="none"/>
        </w:rPr>
        <w:t>）</w:t>
      </w:r>
    </w:p>
    <w:p w14:paraId="4D753B40">
      <w:pPr>
        <w:keepNext w:val="0"/>
        <w:keepLines w:val="0"/>
        <w:pageBreakBefore w:val="0"/>
        <w:widowControl w:val="0"/>
        <w:kinsoku/>
        <w:wordWrap/>
        <w:overflowPunct/>
        <w:topLinePunct w:val="0"/>
        <w:autoSpaceDE/>
        <w:autoSpaceDN/>
        <w:bidi w:val="0"/>
        <w:ind w:firstLine="422" w:firstLineChars="200"/>
        <w:rPr>
          <w:rFonts w:hint="eastAsia"/>
          <w:b/>
          <w:bCs/>
          <w:color w:val="auto"/>
          <w:szCs w:val="21"/>
          <w:highlight w:val="none"/>
        </w:rPr>
      </w:pPr>
      <w:r>
        <w:rPr>
          <w:b/>
          <w:bCs/>
          <w:color w:val="auto"/>
          <w:szCs w:val="21"/>
          <w:highlight w:val="none"/>
        </w:rPr>
        <w:t>2.落实政府采购政策需满足的资格要求：</w:t>
      </w:r>
    </w:p>
    <w:p w14:paraId="184AE53F">
      <w:pPr>
        <w:pStyle w:val="16"/>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color w:val="auto"/>
          <w:highlight w:val="none"/>
        </w:rPr>
      </w:pPr>
      <w:r>
        <w:rPr>
          <w:color w:val="auto"/>
          <w:highlight w:val="none"/>
        </w:rPr>
        <w:t>本项目整体专门面向中小企业采购，供应商应为中小微企业或监狱企业或残疾人福利性单位，须提供《中小企业声明函（工程、服务）》，或省级以上监狱管理局、戒毒管理局（含新疆生产建设兵团）出具的属于监狱企业的证明文件，或《残疾人福利性单位声明函》。</w:t>
      </w:r>
    </w:p>
    <w:p w14:paraId="282D7453">
      <w:pPr>
        <w:keepNext w:val="0"/>
        <w:keepLines w:val="0"/>
        <w:pageBreakBefore w:val="0"/>
        <w:widowControl w:val="0"/>
        <w:shd w:val="clear" w:color="auto" w:fill="FFFFFF"/>
        <w:kinsoku/>
        <w:wordWrap/>
        <w:overflowPunct/>
        <w:topLinePunct w:val="0"/>
        <w:autoSpaceDE/>
        <w:autoSpaceDN/>
        <w:bidi w:val="0"/>
        <w:ind w:firstLine="422" w:firstLineChars="200"/>
        <w:rPr>
          <w:rFonts w:hint="eastAsia" w:cs="Futura-Heavy"/>
          <w:b/>
          <w:bCs/>
          <w:color w:val="auto"/>
          <w:szCs w:val="21"/>
          <w:highlight w:val="none"/>
          <w:shd w:val="clear" w:color="auto" w:fill="FFFFFF"/>
        </w:rPr>
      </w:pPr>
      <w:r>
        <w:rPr>
          <w:rFonts w:hint="eastAsia" w:cs="Futura-Heavy"/>
          <w:b/>
          <w:bCs/>
          <w:color w:val="auto"/>
          <w:szCs w:val="21"/>
          <w:highlight w:val="none"/>
          <w:shd w:val="clear" w:color="auto" w:fill="FFFFFF"/>
        </w:rPr>
        <w:t>3.本项目的特定资格要求：</w:t>
      </w:r>
    </w:p>
    <w:p w14:paraId="054BC869">
      <w:pPr>
        <w:keepNext w:val="0"/>
        <w:keepLines w:val="0"/>
        <w:pageBreakBefore w:val="0"/>
        <w:widowControl w:val="0"/>
        <w:shd w:val="clear" w:color="auto" w:fill="FFFFFF"/>
        <w:kinsoku/>
        <w:wordWrap/>
        <w:overflowPunct/>
        <w:topLinePunct w:val="0"/>
        <w:autoSpaceDE/>
        <w:autoSpaceDN/>
        <w:bidi w:val="0"/>
        <w:ind w:firstLine="42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供应商须具有合法有效的</w:t>
      </w:r>
      <w:r>
        <w:rPr>
          <w:rFonts w:hint="eastAsia" w:ascii="宋体" w:hAnsi="宋体" w:eastAsia="宋体" w:cs="宋体"/>
          <w:b/>
          <w:bCs/>
          <w:color w:val="auto"/>
          <w:szCs w:val="21"/>
          <w:highlight w:val="none"/>
          <w:lang w:eastAsia="zh-CN"/>
        </w:rPr>
        <w:t>《食品经营许可证》</w:t>
      </w:r>
      <w:r>
        <w:rPr>
          <w:rFonts w:hint="eastAsia" w:ascii="宋体" w:hAnsi="宋体" w:eastAsia="宋体" w:cs="宋体"/>
          <w:color w:val="auto"/>
          <w:szCs w:val="21"/>
          <w:highlight w:val="none"/>
          <w:lang w:eastAsia="zh-CN"/>
        </w:rPr>
        <w:t>。（须提供证书复印件，加盖公章；如供应商的《食品经营许可证》与营业执照合并办理的，提供扫描营业执照二维码后的有效备案信息截图，加盖公章。）</w:t>
      </w:r>
    </w:p>
    <w:p w14:paraId="7D4DD16C">
      <w:pPr>
        <w:keepNext w:val="0"/>
        <w:keepLines w:val="0"/>
        <w:pageBreakBefore w:val="0"/>
        <w:widowControl w:val="0"/>
        <w:shd w:val="clear" w:color="auto" w:fill="FFFFFF"/>
        <w:kinsoku/>
        <w:wordWrap/>
        <w:overflowPunct/>
        <w:topLinePunct w:val="0"/>
        <w:autoSpaceDE/>
        <w:autoSpaceDN/>
        <w:bidi w:val="0"/>
        <w:ind w:firstLine="422" w:firstLineChars="200"/>
        <w:rPr>
          <w:rFonts w:hint="eastAsia" w:ascii="宋体" w:hAnsi="宋体" w:eastAsia="宋体" w:cs="Futura-Heavy"/>
          <w:b/>
          <w:bCs/>
          <w:color w:val="auto"/>
          <w:szCs w:val="21"/>
          <w:highlight w:val="none"/>
          <w:shd w:val="clear" w:color="auto" w:fill="FFFFFF"/>
          <w:lang w:val="en-US" w:eastAsia="zh-CN"/>
        </w:rPr>
      </w:pPr>
      <w:r>
        <w:rPr>
          <w:rFonts w:hint="eastAsia" w:ascii="宋体" w:hAnsi="宋体" w:eastAsia="宋体" w:cs="Futura-Heavy"/>
          <w:b/>
          <w:bCs/>
          <w:color w:val="auto"/>
          <w:szCs w:val="21"/>
          <w:highlight w:val="none"/>
          <w:shd w:val="clear" w:color="auto" w:fill="FFFFFF"/>
          <w:lang w:val="en-US" w:eastAsia="zh-CN"/>
        </w:rPr>
        <w:t>4.其他要求：</w:t>
      </w:r>
    </w:p>
    <w:p w14:paraId="46638F0C">
      <w:pPr>
        <w:keepNext w:val="0"/>
        <w:keepLines w:val="0"/>
        <w:pageBreakBefore w:val="0"/>
        <w:widowControl w:val="0"/>
        <w:shd w:val="clear" w:color="auto" w:fill="FFFFFF"/>
        <w:kinsoku/>
        <w:wordWrap/>
        <w:overflowPunct/>
        <w:topLinePunct w:val="0"/>
        <w:autoSpaceDE/>
        <w:autoSpaceDN/>
        <w:bidi w:val="0"/>
        <w:ind w:firstLine="420" w:firstLineChars="200"/>
        <w:jc w:val="left"/>
        <w:rPr>
          <w:rFonts w:hint="eastAsia"/>
          <w:color w:val="auto"/>
          <w:szCs w:val="21"/>
          <w:highlight w:val="none"/>
        </w:rPr>
      </w:pPr>
      <w:r>
        <w:rPr>
          <w:rFonts w:hint="eastAsia"/>
          <w:color w:val="auto"/>
          <w:szCs w:val="21"/>
          <w:highlight w:val="none"/>
        </w:rPr>
        <w:t>（</w:t>
      </w:r>
      <w:r>
        <w:rPr>
          <w:color w:val="auto"/>
          <w:szCs w:val="21"/>
          <w:highlight w:val="none"/>
        </w:rPr>
        <w:t>1</w:t>
      </w:r>
      <w:r>
        <w:rPr>
          <w:rFonts w:hint="eastAsia"/>
          <w:color w:val="auto"/>
          <w:szCs w:val="21"/>
          <w:highlight w:val="none"/>
        </w:rPr>
        <w:t>）</w:t>
      </w:r>
      <w:r>
        <w:rPr>
          <w:color w:val="auto"/>
          <w:szCs w:val="21"/>
          <w:highlight w:val="none"/>
        </w:rPr>
        <w:t>单位负责人为同一人或者存在直接控股、管理关系的不同供应商，不得同时参加本采购项目（或采购包）投标（响应）。为本项目提供整体设计、规范编制或者项目管理、监理、检测等服务的供应商，不得再参与本项目投标（响应）。</w:t>
      </w:r>
      <w:r>
        <w:rPr>
          <w:rFonts w:hint="eastAsia"/>
          <w:color w:val="auto"/>
          <w:szCs w:val="21"/>
          <w:highlight w:val="none"/>
        </w:rPr>
        <w:t>在《响应承诺函》中进行相关申明。</w:t>
      </w:r>
    </w:p>
    <w:p w14:paraId="10F454C6">
      <w:pPr>
        <w:keepNext w:val="0"/>
        <w:keepLines w:val="0"/>
        <w:pageBreakBefore w:val="0"/>
        <w:widowControl w:val="0"/>
        <w:shd w:val="clear" w:color="auto" w:fill="FFFFFF"/>
        <w:kinsoku/>
        <w:wordWrap/>
        <w:overflowPunct/>
        <w:topLinePunct w:val="0"/>
        <w:autoSpaceDE/>
        <w:autoSpaceDN/>
        <w:bidi w:val="0"/>
        <w:ind w:firstLine="420" w:firstLineChars="200"/>
        <w:jc w:val="both"/>
        <w:rPr>
          <w:rFonts w:hint="eastAsia"/>
          <w:b/>
          <w:bCs/>
          <w:color w:val="auto"/>
          <w:szCs w:val="21"/>
          <w:highlight w:val="none"/>
        </w:rPr>
      </w:pPr>
      <w:r>
        <w:rPr>
          <w:rFonts w:hint="eastAsia"/>
          <w:color w:val="auto"/>
          <w:szCs w:val="21"/>
          <w:highlight w:val="none"/>
        </w:rPr>
        <w:t>（</w:t>
      </w:r>
      <w:r>
        <w:rPr>
          <w:color w:val="auto"/>
          <w:szCs w:val="21"/>
          <w:highlight w:val="none"/>
        </w:rPr>
        <w:t>2</w:t>
      </w:r>
      <w:r>
        <w:rPr>
          <w:rFonts w:hint="eastAsia"/>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以采购代理机构于投标（响应）截止时间当天在上述网站查询结果为准，如在上述网站查询结果均显示没有相关记录，视为没有上述不良信用记录；如相关失信记录已失效，供应商须提供相关证明资料。</w:t>
      </w:r>
      <w:r>
        <w:rPr>
          <w:color w:val="auto"/>
          <w:szCs w:val="21"/>
          <w:highlight w:val="none"/>
        </w:rPr>
        <w:t>）</w:t>
      </w:r>
    </w:p>
    <w:p w14:paraId="0864E103">
      <w:pPr>
        <w:pStyle w:val="369"/>
        <w:keepNext w:val="0"/>
        <w:keepLines w:val="0"/>
        <w:pageBreakBefore w:val="0"/>
        <w:widowControl w:val="0"/>
        <w:kinsoku/>
        <w:wordWrap/>
        <w:overflowPunct/>
        <w:topLinePunct w:val="0"/>
        <w:autoSpaceDE/>
        <w:autoSpaceDN/>
        <w:bidi w:val="0"/>
        <w:outlineLvl w:val="1"/>
        <w:rPr>
          <w:rFonts w:hint="eastAsia"/>
          <w:color w:val="auto"/>
          <w:sz w:val="21"/>
          <w:szCs w:val="21"/>
          <w:highlight w:val="none"/>
          <w:lang w:eastAsia="zh-CN"/>
        </w:rPr>
      </w:pPr>
      <w:bookmarkStart w:id="19" w:name="_Toc104131885"/>
      <w:bookmarkStart w:id="20" w:name="_Toc112002502"/>
      <w:bookmarkStart w:id="21" w:name="_Toc22260"/>
      <w:r>
        <w:rPr>
          <w:rFonts w:hint="eastAsia"/>
          <w:color w:val="auto"/>
          <w:sz w:val="21"/>
          <w:szCs w:val="21"/>
          <w:highlight w:val="none"/>
          <w:lang w:eastAsia="zh-CN"/>
        </w:rPr>
        <w:t>三、获取采购文件</w:t>
      </w:r>
      <w:bookmarkEnd w:id="19"/>
      <w:bookmarkEnd w:id="20"/>
      <w:bookmarkEnd w:id="21"/>
    </w:p>
    <w:p w14:paraId="3593751B">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时间：20</w:t>
      </w:r>
      <w:r>
        <w:rPr>
          <w:color w:val="auto"/>
          <w:szCs w:val="21"/>
          <w:highlight w:val="none"/>
        </w:rPr>
        <w:t>XX</w:t>
      </w:r>
      <w:r>
        <w:rPr>
          <w:rFonts w:hint="eastAsia"/>
          <w:color w:val="auto"/>
          <w:szCs w:val="21"/>
          <w:highlight w:val="none"/>
        </w:rPr>
        <w:t>年</w:t>
      </w:r>
      <w:r>
        <w:rPr>
          <w:color w:val="auto"/>
          <w:szCs w:val="21"/>
          <w:highlight w:val="none"/>
        </w:rPr>
        <w:t>XX</w:t>
      </w:r>
      <w:r>
        <w:rPr>
          <w:rFonts w:hint="eastAsia"/>
          <w:color w:val="auto"/>
          <w:szCs w:val="21"/>
          <w:highlight w:val="none"/>
        </w:rPr>
        <w:t>月</w:t>
      </w:r>
      <w:r>
        <w:rPr>
          <w:color w:val="auto"/>
          <w:szCs w:val="21"/>
          <w:highlight w:val="none"/>
        </w:rPr>
        <w:t>XX</w:t>
      </w:r>
      <w:r>
        <w:rPr>
          <w:rFonts w:hint="eastAsia"/>
          <w:color w:val="auto"/>
          <w:szCs w:val="21"/>
          <w:highlight w:val="none"/>
        </w:rPr>
        <w:t>日至20</w:t>
      </w:r>
      <w:r>
        <w:rPr>
          <w:color w:val="auto"/>
          <w:szCs w:val="21"/>
          <w:highlight w:val="none"/>
        </w:rPr>
        <w:t>XX</w:t>
      </w:r>
      <w:r>
        <w:rPr>
          <w:rFonts w:hint="eastAsia"/>
          <w:color w:val="auto"/>
          <w:szCs w:val="21"/>
          <w:highlight w:val="none"/>
        </w:rPr>
        <w:t>年</w:t>
      </w:r>
      <w:r>
        <w:rPr>
          <w:color w:val="auto"/>
          <w:szCs w:val="21"/>
          <w:highlight w:val="none"/>
        </w:rPr>
        <w:t>XX</w:t>
      </w:r>
      <w:r>
        <w:rPr>
          <w:rFonts w:hint="eastAsia"/>
          <w:color w:val="auto"/>
          <w:szCs w:val="21"/>
          <w:highlight w:val="none"/>
        </w:rPr>
        <w:t>月</w:t>
      </w:r>
      <w:r>
        <w:rPr>
          <w:color w:val="auto"/>
          <w:szCs w:val="21"/>
          <w:highlight w:val="none"/>
        </w:rPr>
        <w:t>XX</w:t>
      </w:r>
      <w:r>
        <w:rPr>
          <w:rFonts w:hint="eastAsia"/>
          <w:color w:val="auto"/>
          <w:szCs w:val="21"/>
          <w:highlight w:val="none"/>
        </w:rPr>
        <w:t>日，每天上午</w:t>
      </w:r>
      <w:r>
        <w:rPr>
          <w:color w:val="auto"/>
          <w:szCs w:val="21"/>
          <w:highlight w:val="none"/>
        </w:rPr>
        <w:t>08:30:00至12:00:00，下午12:00:00至17:30:00。（北京时间，法定节假日除外）</w:t>
      </w:r>
    </w:p>
    <w:p w14:paraId="52B9A507">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地点：诚E招电子采购交易平台（https://www.chengezhao.com/）或公诚管理咨询有限公司</w:t>
      </w:r>
    </w:p>
    <w:p w14:paraId="36FCE625">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方式：（</w:t>
      </w:r>
      <w:r>
        <w:rPr>
          <w:color w:val="auto"/>
          <w:szCs w:val="21"/>
          <w:highlight w:val="none"/>
        </w:rPr>
        <w:t>1）线上获取：供应商从诚E招电子采购交易平台（https://www.chengezhao.com/）上的【投标人登录】入口进入平台，点击【商机发现】，通过项目名称或项目编号检索本项目后在线获取采购文件</w:t>
      </w:r>
      <w:r>
        <w:rPr>
          <w:rFonts w:hint="eastAsia"/>
          <w:color w:val="auto"/>
          <w:szCs w:val="21"/>
          <w:highlight w:val="none"/>
        </w:rPr>
        <w:t>（若涉及平台技术问题，可咨询平台客服020-89524219）</w:t>
      </w:r>
      <w:r>
        <w:rPr>
          <w:color w:val="auto"/>
          <w:szCs w:val="21"/>
          <w:highlight w:val="none"/>
        </w:rPr>
        <w:t>；供应商在网上成功获取采购文件后，可无需现场获取采购文件。（2）线下获取：供应商前往广东省珠海市香洲区兴华路192号2号楼4楼</w:t>
      </w:r>
      <w:bookmarkStart w:id="22" w:name="_Hlk156224234"/>
      <w:r>
        <w:rPr>
          <w:color w:val="auto"/>
          <w:szCs w:val="21"/>
          <w:highlight w:val="none"/>
        </w:rPr>
        <w:t>公诚管理咨询有限公司</w:t>
      </w:r>
      <w:bookmarkEnd w:id="22"/>
      <w:r>
        <w:rPr>
          <w:color w:val="auto"/>
          <w:szCs w:val="21"/>
          <w:highlight w:val="none"/>
        </w:rPr>
        <w:t>现场获取采购文件</w:t>
      </w:r>
      <w:r>
        <w:rPr>
          <w:rFonts w:hint="eastAsia"/>
          <w:color w:val="auto"/>
          <w:szCs w:val="21"/>
          <w:highlight w:val="none"/>
        </w:rPr>
        <w:t>。</w:t>
      </w:r>
      <w:r>
        <w:rPr>
          <w:color w:val="auto"/>
          <w:szCs w:val="21"/>
          <w:highlight w:val="none"/>
        </w:rPr>
        <w:t xml:space="preserve"> </w:t>
      </w:r>
      <w:r>
        <w:rPr>
          <w:rFonts w:hint="eastAsia"/>
          <w:color w:val="auto"/>
          <w:szCs w:val="21"/>
          <w:highlight w:val="none"/>
        </w:rPr>
        <w:t xml:space="preserve"> </w:t>
      </w:r>
    </w:p>
    <w:p w14:paraId="1F15E2CC">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售价：0</w:t>
      </w:r>
      <w:r>
        <w:rPr>
          <w:color w:val="auto"/>
          <w:szCs w:val="21"/>
          <w:highlight w:val="none"/>
        </w:rPr>
        <w:t>.00</w:t>
      </w:r>
      <w:r>
        <w:rPr>
          <w:rFonts w:hint="eastAsia"/>
          <w:color w:val="auto"/>
          <w:szCs w:val="21"/>
          <w:highlight w:val="none"/>
        </w:rPr>
        <w:t>元</w:t>
      </w:r>
    </w:p>
    <w:p w14:paraId="25AA7F48">
      <w:pPr>
        <w:pStyle w:val="369"/>
        <w:keepNext w:val="0"/>
        <w:keepLines w:val="0"/>
        <w:pageBreakBefore w:val="0"/>
        <w:widowControl w:val="0"/>
        <w:kinsoku/>
        <w:wordWrap/>
        <w:overflowPunct/>
        <w:topLinePunct w:val="0"/>
        <w:autoSpaceDE/>
        <w:autoSpaceDN/>
        <w:bidi w:val="0"/>
        <w:outlineLvl w:val="1"/>
        <w:rPr>
          <w:rFonts w:hint="eastAsia"/>
          <w:color w:val="auto"/>
          <w:sz w:val="21"/>
          <w:szCs w:val="21"/>
          <w:highlight w:val="none"/>
          <w:lang w:eastAsia="zh-CN"/>
        </w:rPr>
      </w:pPr>
      <w:bookmarkStart w:id="23" w:name="_Toc30270"/>
      <w:bookmarkStart w:id="24" w:name="_Toc112002503"/>
      <w:bookmarkStart w:id="25" w:name="_Toc104131886"/>
      <w:r>
        <w:rPr>
          <w:rFonts w:hint="eastAsia"/>
          <w:color w:val="auto"/>
          <w:sz w:val="21"/>
          <w:szCs w:val="21"/>
          <w:highlight w:val="none"/>
          <w:lang w:eastAsia="zh-CN"/>
        </w:rPr>
        <w:t>四、响应文件提交</w:t>
      </w:r>
      <w:bookmarkEnd w:id="23"/>
      <w:bookmarkEnd w:id="24"/>
      <w:bookmarkEnd w:id="25"/>
    </w:p>
    <w:p w14:paraId="18E1B876">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截止时间：20</w:t>
      </w:r>
      <w:r>
        <w:rPr>
          <w:color w:val="auto"/>
          <w:szCs w:val="21"/>
          <w:highlight w:val="none"/>
        </w:rPr>
        <w:t>XX</w:t>
      </w:r>
      <w:r>
        <w:rPr>
          <w:rFonts w:hint="eastAsia"/>
          <w:color w:val="auto"/>
          <w:szCs w:val="21"/>
          <w:highlight w:val="none"/>
        </w:rPr>
        <w:t>年</w:t>
      </w:r>
      <w:r>
        <w:rPr>
          <w:color w:val="auto"/>
          <w:szCs w:val="21"/>
          <w:highlight w:val="none"/>
        </w:rPr>
        <w:t>XX</w:t>
      </w:r>
      <w:r>
        <w:rPr>
          <w:rFonts w:hint="eastAsia"/>
          <w:color w:val="auto"/>
          <w:szCs w:val="21"/>
          <w:highlight w:val="none"/>
        </w:rPr>
        <w:t>月</w:t>
      </w:r>
      <w:r>
        <w:rPr>
          <w:color w:val="auto"/>
          <w:szCs w:val="21"/>
          <w:highlight w:val="none"/>
        </w:rPr>
        <w:t>XX</w:t>
      </w:r>
      <w:r>
        <w:rPr>
          <w:rFonts w:hint="eastAsia"/>
          <w:color w:val="auto"/>
          <w:szCs w:val="21"/>
          <w:highlight w:val="none"/>
        </w:rPr>
        <w:t>日</w:t>
      </w:r>
      <w:r>
        <w:rPr>
          <w:color w:val="auto"/>
          <w:szCs w:val="21"/>
          <w:highlight w:val="none"/>
        </w:rPr>
        <w:t>XX</w:t>
      </w:r>
      <w:r>
        <w:rPr>
          <w:rFonts w:hint="eastAsia"/>
          <w:color w:val="auto"/>
          <w:szCs w:val="21"/>
          <w:highlight w:val="none"/>
        </w:rPr>
        <w:t>点</w:t>
      </w:r>
      <w:r>
        <w:rPr>
          <w:color w:val="auto"/>
          <w:szCs w:val="21"/>
          <w:highlight w:val="none"/>
        </w:rPr>
        <w:t>XX</w:t>
      </w:r>
      <w:r>
        <w:rPr>
          <w:rFonts w:hint="eastAsia"/>
          <w:color w:val="auto"/>
          <w:szCs w:val="21"/>
          <w:highlight w:val="none"/>
        </w:rPr>
        <w:t>分00秒（北京时间）</w:t>
      </w:r>
    </w:p>
    <w:p w14:paraId="70E8CF4C">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地点：广东省珠海市香洲区兴华路</w:t>
      </w:r>
      <w:r>
        <w:rPr>
          <w:color w:val="auto"/>
          <w:szCs w:val="21"/>
          <w:highlight w:val="none"/>
        </w:rPr>
        <w:t>192号2号楼3楼公诚管理咨询有限公司30</w:t>
      </w:r>
      <w:r>
        <w:rPr>
          <w:rFonts w:hint="eastAsia"/>
          <w:color w:val="auto"/>
          <w:szCs w:val="21"/>
          <w:highlight w:val="none"/>
          <w:lang w:val="en-US" w:eastAsia="zh-CN"/>
        </w:rPr>
        <w:t>4</w:t>
      </w:r>
      <w:r>
        <w:rPr>
          <w:color w:val="auto"/>
          <w:szCs w:val="21"/>
          <w:highlight w:val="none"/>
        </w:rPr>
        <w:t>会议室</w:t>
      </w:r>
    </w:p>
    <w:p w14:paraId="75BD8340">
      <w:pPr>
        <w:pStyle w:val="369"/>
        <w:keepNext w:val="0"/>
        <w:keepLines w:val="0"/>
        <w:pageBreakBefore w:val="0"/>
        <w:widowControl w:val="0"/>
        <w:kinsoku/>
        <w:wordWrap/>
        <w:overflowPunct/>
        <w:topLinePunct w:val="0"/>
        <w:autoSpaceDE/>
        <w:autoSpaceDN/>
        <w:bidi w:val="0"/>
        <w:outlineLvl w:val="1"/>
        <w:rPr>
          <w:rFonts w:hint="eastAsia"/>
          <w:color w:val="auto"/>
          <w:sz w:val="21"/>
          <w:szCs w:val="21"/>
          <w:highlight w:val="none"/>
          <w:lang w:eastAsia="zh-CN"/>
        </w:rPr>
      </w:pPr>
      <w:bookmarkStart w:id="26" w:name="_Toc6957"/>
      <w:r>
        <w:rPr>
          <w:rFonts w:hint="eastAsia"/>
          <w:color w:val="auto"/>
          <w:sz w:val="21"/>
          <w:szCs w:val="21"/>
          <w:highlight w:val="none"/>
          <w:lang w:eastAsia="zh-CN"/>
        </w:rPr>
        <w:t>五、开启</w:t>
      </w:r>
      <w:bookmarkEnd w:id="26"/>
    </w:p>
    <w:p w14:paraId="0261155B">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时间：20</w:t>
      </w:r>
      <w:r>
        <w:rPr>
          <w:color w:val="auto"/>
          <w:szCs w:val="21"/>
          <w:highlight w:val="none"/>
        </w:rPr>
        <w:t>XX</w:t>
      </w:r>
      <w:r>
        <w:rPr>
          <w:rFonts w:hint="eastAsia"/>
          <w:color w:val="auto"/>
          <w:szCs w:val="21"/>
          <w:highlight w:val="none"/>
        </w:rPr>
        <w:t>年</w:t>
      </w:r>
      <w:r>
        <w:rPr>
          <w:color w:val="auto"/>
          <w:szCs w:val="21"/>
          <w:highlight w:val="none"/>
        </w:rPr>
        <w:t>XX</w:t>
      </w:r>
      <w:r>
        <w:rPr>
          <w:rFonts w:hint="eastAsia"/>
          <w:color w:val="auto"/>
          <w:szCs w:val="21"/>
          <w:highlight w:val="none"/>
        </w:rPr>
        <w:t>月</w:t>
      </w:r>
      <w:r>
        <w:rPr>
          <w:color w:val="auto"/>
          <w:szCs w:val="21"/>
          <w:highlight w:val="none"/>
        </w:rPr>
        <w:t>XX</w:t>
      </w:r>
      <w:r>
        <w:rPr>
          <w:rFonts w:hint="eastAsia"/>
          <w:color w:val="auto"/>
          <w:szCs w:val="21"/>
          <w:highlight w:val="none"/>
        </w:rPr>
        <w:t>日</w:t>
      </w:r>
      <w:r>
        <w:rPr>
          <w:color w:val="auto"/>
          <w:szCs w:val="21"/>
          <w:highlight w:val="none"/>
        </w:rPr>
        <w:t>XX</w:t>
      </w:r>
      <w:r>
        <w:rPr>
          <w:rFonts w:hint="eastAsia"/>
          <w:color w:val="auto"/>
          <w:szCs w:val="21"/>
          <w:highlight w:val="none"/>
        </w:rPr>
        <w:t>点</w:t>
      </w:r>
      <w:r>
        <w:rPr>
          <w:color w:val="auto"/>
          <w:szCs w:val="21"/>
          <w:highlight w:val="none"/>
        </w:rPr>
        <w:t>XX</w:t>
      </w:r>
      <w:r>
        <w:rPr>
          <w:rFonts w:hint="eastAsia"/>
          <w:color w:val="auto"/>
          <w:szCs w:val="21"/>
          <w:highlight w:val="none"/>
        </w:rPr>
        <w:t>分00秒（北京时间）</w:t>
      </w:r>
    </w:p>
    <w:p w14:paraId="617CF523">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地点：广东省珠海市香洲区兴华路</w:t>
      </w:r>
      <w:r>
        <w:rPr>
          <w:color w:val="auto"/>
          <w:szCs w:val="21"/>
          <w:highlight w:val="none"/>
        </w:rPr>
        <w:t>192号2号楼3楼公诚管理咨询有限公司30</w:t>
      </w:r>
      <w:r>
        <w:rPr>
          <w:rFonts w:hint="eastAsia"/>
          <w:color w:val="auto"/>
          <w:szCs w:val="21"/>
          <w:highlight w:val="none"/>
          <w:lang w:val="en-US" w:eastAsia="zh-CN"/>
        </w:rPr>
        <w:t>4</w:t>
      </w:r>
      <w:r>
        <w:rPr>
          <w:color w:val="auto"/>
          <w:szCs w:val="21"/>
          <w:highlight w:val="none"/>
        </w:rPr>
        <w:t>会议室</w:t>
      </w:r>
    </w:p>
    <w:p w14:paraId="2E658F3F">
      <w:pPr>
        <w:pStyle w:val="369"/>
        <w:keepNext w:val="0"/>
        <w:keepLines w:val="0"/>
        <w:pageBreakBefore w:val="0"/>
        <w:widowControl w:val="0"/>
        <w:kinsoku/>
        <w:wordWrap/>
        <w:overflowPunct/>
        <w:topLinePunct w:val="0"/>
        <w:autoSpaceDE/>
        <w:autoSpaceDN/>
        <w:bidi w:val="0"/>
        <w:outlineLvl w:val="1"/>
        <w:rPr>
          <w:rFonts w:hint="eastAsia"/>
          <w:color w:val="auto"/>
          <w:sz w:val="21"/>
          <w:szCs w:val="21"/>
          <w:highlight w:val="none"/>
          <w:lang w:eastAsia="zh-CN"/>
        </w:rPr>
      </w:pPr>
      <w:bookmarkStart w:id="27" w:name="_Toc112002504"/>
      <w:bookmarkStart w:id="28" w:name="_Toc3438"/>
      <w:bookmarkStart w:id="29" w:name="_Toc104131887"/>
      <w:r>
        <w:rPr>
          <w:rFonts w:hint="eastAsia"/>
          <w:color w:val="auto"/>
          <w:sz w:val="21"/>
          <w:szCs w:val="21"/>
          <w:highlight w:val="none"/>
          <w:lang w:eastAsia="zh-CN"/>
        </w:rPr>
        <w:t>六、公告期限</w:t>
      </w:r>
      <w:bookmarkEnd w:id="27"/>
      <w:bookmarkEnd w:id="28"/>
      <w:bookmarkEnd w:id="29"/>
    </w:p>
    <w:p w14:paraId="09352873">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自本公告发布之日起</w:t>
      </w:r>
      <w:r>
        <w:rPr>
          <w:color w:val="auto"/>
          <w:szCs w:val="21"/>
          <w:highlight w:val="none"/>
        </w:rPr>
        <w:t>3</w:t>
      </w:r>
      <w:r>
        <w:rPr>
          <w:rFonts w:hint="eastAsia"/>
          <w:color w:val="auto"/>
          <w:szCs w:val="21"/>
          <w:highlight w:val="none"/>
        </w:rPr>
        <w:t>个工作日。</w:t>
      </w:r>
    </w:p>
    <w:p w14:paraId="575D7EF8">
      <w:pPr>
        <w:pStyle w:val="369"/>
        <w:keepNext w:val="0"/>
        <w:keepLines w:val="0"/>
        <w:pageBreakBefore w:val="0"/>
        <w:widowControl w:val="0"/>
        <w:kinsoku/>
        <w:wordWrap/>
        <w:overflowPunct/>
        <w:topLinePunct w:val="0"/>
        <w:autoSpaceDE/>
        <w:autoSpaceDN/>
        <w:bidi w:val="0"/>
        <w:outlineLvl w:val="1"/>
        <w:rPr>
          <w:rFonts w:hint="eastAsia"/>
          <w:color w:val="auto"/>
          <w:sz w:val="21"/>
          <w:szCs w:val="21"/>
          <w:highlight w:val="none"/>
          <w:lang w:eastAsia="zh-CN"/>
        </w:rPr>
      </w:pPr>
      <w:bookmarkStart w:id="30" w:name="_Toc5939"/>
      <w:bookmarkStart w:id="31" w:name="_Toc104131888"/>
      <w:bookmarkStart w:id="32" w:name="_Toc112002505"/>
      <w:r>
        <w:rPr>
          <w:rFonts w:hint="eastAsia"/>
          <w:color w:val="auto"/>
          <w:sz w:val="21"/>
          <w:szCs w:val="21"/>
          <w:highlight w:val="none"/>
          <w:lang w:eastAsia="zh-CN"/>
        </w:rPr>
        <w:t>七、其他补充事宜</w:t>
      </w:r>
      <w:bookmarkEnd w:id="30"/>
      <w:bookmarkEnd w:id="31"/>
      <w:bookmarkEnd w:id="32"/>
    </w:p>
    <w:p w14:paraId="14ED9838">
      <w:pPr>
        <w:keepNext w:val="0"/>
        <w:keepLines w:val="0"/>
        <w:pageBreakBefore w:val="0"/>
        <w:widowControl w:val="0"/>
        <w:kinsoku/>
        <w:wordWrap/>
        <w:overflowPunct/>
        <w:topLinePunct w:val="0"/>
        <w:autoSpaceDE/>
        <w:autoSpaceDN/>
        <w:bidi w:val="0"/>
        <w:adjustRightInd w:val="0"/>
        <w:snapToGrid w:val="0"/>
        <w:ind w:firstLine="490"/>
        <w:rPr>
          <w:rFonts w:hint="eastAsia"/>
          <w:color w:val="auto"/>
          <w:szCs w:val="21"/>
          <w:highlight w:val="none"/>
        </w:rPr>
      </w:pPr>
      <w:r>
        <w:rPr>
          <w:rFonts w:hint="eastAsia"/>
          <w:color w:val="auto"/>
          <w:szCs w:val="21"/>
          <w:highlight w:val="none"/>
        </w:rPr>
        <w:t>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政府采购活动。</w:t>
      </w:r>
    </w:p>
    <w:p w14:paraId="3A729CC1">
      <w:pPr>
        <w:pStyle w:val="369"/>
        <w:keepNext w:val="0"/>
        <w:keepLines w:val="0"/>
        <w:pageBreakBefore w:val="0"/>
        <w:widowControl w:val="0"/>
        <w:kinsoku/>
        <w:wordWrap/>
        <w:overflowPunct/>
        <w:topLinePunct w:val="0"/>
        <w:autoSpaceDE/>
        <w:autoSpaceDN/>
        <w:bidi w:val="0"/>
        <w:outlineLvl w:val="1"/>
        <w:rPr>
          <w:rFonts w:hint="eastAsia"/>
          <w:color w:val="auto"/>
          <w:sz w:val="21"/>
          <w:szCs w:val="21"/>
          <w:highlight w:val="none"/>
          <w:lang w:eastAsia="zh-CN"/>
        </w:rPr>
      </w:pPr>
      <w:bookmarkStart w:id="33" w:name="_Toc112002506"/>
      <w:bookmarkStart w:id="34" w:name="_Toc104131889"/>
      <w:bookmarkStart w:id="35" w:name="_Toc3387"/>
      <w:r>
        <w:rPr>
          <w:rFonts w:hint="eastAsia"/>
          <w:color w:val="auto"/>
          <w:sz w:val="21"/>
          <w:szCs w:val="21"/>
          <w:highlight w:val="none"/>
          <w:lang w:eastAsia="zh-CN"/>
        </w:rPr>
        <w:t>八、凡对本次采购提出询问，请按以下方式联系</w:t>
      </w:r>
      <w:bookmarkEnd w:id="33"/>
      <w:bookmarkEnd w:id="34"/>
      <w:bookmarkEnd w:id="35"/>
    </w:p>
    <w:p w14:paraId="59F478C5">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1.采购人信息</w:t>
      </w:r>
    </w:p>
    <w:p w14:paraId="12CA038C">
      <w:pPr>
        <w:keepNext w:val="0"/>
        <w:keepLines w:val="0"/>
        <w:pageBreakBefore w:val="0"/>
        <w:widowControl w:val="0"/>
        <w:kinsoku/>
        <w:wordWrap/>
        <w:overflowPunct/>
        <w:topLinePunct w:val="0"/>
        <w:autoSpaceDE/>
        <w:autoSpaceDN/>
        <w:bidi w:val="0"/>
        <w:ind w:firstLine="707" w:firstLineChars="337"/>
        <w:rPr>
          <w:rFonts w:hint="eastAsia" w:eastAsia="宋体"/>
          <w:color w:val="auto"/>
          <w:szCs w:val="21"/>
          <w:highlight w:val="none"/>
          <w:lang w:eastAsia="zh-CN"/>
        </w:rPr>
      </w:pPr>
      <w:r>
        <w:rPr>
          <w:rFonts w:hint="eastAsia"/>
          <w:color w:val="auto"/>
          <w:szCs w:val="21"/>
          <w:highlight w:val="none"/>
        </w:rPr>
        <w:t xml:space="preserve">名 </w:t>
      </w:r>
      <w:r>
        <w:rPr>
          <w:color w:val="auto"/>
          <w:szCs w:val="21"/>
          <w:highlight w:val="none"/>
        </w:rPr>
        <w:t xml:space="preserve">   </w:t>
      </w:r>
      <w:r>
        <w:rPr>
          <w:rFonts w:hint="eastAsia"/>
          <w:color w:val="auto"/>
          <w:szCs w:val="21"/>
          <w:highlight w:val="none"/>
        </w:rPr>
        <w:t>称：</w:t>
      </w:r>
      <w:r>
        <w:rPr>
          <w:rFonts w:hint="eastAsia"/>
          <w:color w:val="auto"/>
          <w:szCs w:val="21"/>
          <w:highlight w:val="none"/>
          <w:lang w:eastAsia="zh-CN"/>
        </w:rPr>
        <w:t>中华人民共和国青茂出入境边防检查站</w:t>
      </w:r>
    </w:p>
    <w:p w14:paraId="6555F0E7">
      <w:pPr>
        <w:keepNext w:val="0"/>
        <w:keepLines w:val="0"/>
        <w:pageBreakBefore w:val="0"/>
        <w:widowControl w:val="0"/>
        <w:kinsoku/>
        <w:wordWrap/>
        <w:overflowPunct/>
        <w:topLinePunct w:val="0"/>
        <w:autoSpaceDE/>
        <w:autoSpaceDN/>
        <w:bidi w:val="0"/>
        <w:ind w:firstLine="707" w:firstLineChars="337"/>
        <w:rPr>
          <w:rFonts w:hint="eastAsia"/>
          <w:color w:val="auto"/>
          <w:szCs w:val="21"/>
          <w:highlight w:val="none"/>
        </w:rPr>
      </w:pPr>
      <w:r>
        <w:rPr>
          <w:rFonts w:hint="eastAsia"/>
          <w:color w:val="auto"/>
          <w:szCs w:val="21"/>
          <w:highlight w:val="none"/>
        </w:rPr>
        <w:t xml:space="preserve">地 </w:t>
      </w:r>
      <w:r>
        <w:rPr>
          <w:color w:val="auto"/>
          <w:szCs w:val="21"/>
          <w:highlight w:val="none"/>
        </w:rPr>
        <w:t xml:space="preserve">   </w:t>
      </w:r>
      <w:r>
        <w:rPr>
          <w:rFonts w:hint="eastAsia"/>
          <w:color w:val="auto"/>
          <w:szCs w:val="21"/>
          <w:highlight w:val="none"/>
        </w:rPr>
        <w:t>址：广东省珠海市香洲区国防路99号青茂口岸联检楼</w:t>
      </w:r>
    </w:p>
    <w:p w14:paraId="755656E7">
      <w:pPr>
        <w:keepNext w:val="0"/>
        <w:keepLines w:val="0"/>
        <w:pageBreakBefore w:val="0"/>
        <w:widowControl w:val="0"/>
        <w:kinsoku/>
        <w:wordWrap/>
        <w:overflowPunct/>
        <w:topLinePunct w:val="0"/>
        <w:autoSpaceDE/>
        <w:autoSpaceDN/>
        <w:bidi w:val="0"/>
        <w:ind w:firstLine="707" w:firstLineChars="337"/>
        <w:rPr>
          <w:rFonts w:hint="eastAsia"/>
          <w:color w:val="auto"/>
          <w:szCs w:val="21"/>
          <w:highlight w:val="none"/>
        </w:rPr>
      </w:pPr>
      <w:r>
        <w:rPr>
          <w:rFonts w:hint="eastAsia"/>
          <w:color w:val="auto"/>
          <w:szCs w:val="21"/>
          <w:highlight w:val="none"/>
        </w:rPr>
        <w:t>联系方式：谭琪，0756-8160155</w:t>
      </w:r>
    </w:p>
    <w:p w14:paraId="5E6B118E">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2.采购代理机构信息</w:t>
      </w:r>
    </w:p>
    <w:p w14:paraId="4C8D4C40">
      <w:pPr>
        <w:keepNext w:val="0"/>
        <w:keepLines w:val="0"/>
        <w:pageBreakBefore w:val="0"/>
        <w:widowControl w:val="0"/>
        <w:kinsoku/>
        <w:wordWrap/>
        <w:overflowPunct/>
        <w:topLinePunct w:val="0"/>
        <w:autoSpaceDE/>
        <w:autoSpaceDN/>
        <w:bidi w:val="0"/>
        <w:ind w:firstLine="707" w:firstLineChars="337"/>
        <w:rPr>
          <w:rFonts w:hint="eastAsia"/>
          <w:color w:val="auto"/>
          <w:szCs w:val="21"/>
          <w:highlight w:val="none"/>
        </w:rPr>
      </w:pPr>
      <w:r>
        <w:rPr>
          <w:rFonts w:hint="eastAsia"/>
          <w:color w:val="auto"/>
          <w:szCs w:val="21"/>
          <w:highlight w:val="none"/>
        </w:rPr>
        <w:t xml:space="preserve">名 </w:t>
      </w:r>
      <w:r>
        <w:rPr>
          <w:color w:val="auto"/>
          <w:szCs w:val="21"/>
          <w:highlight w:val="none"/>
        </w:rPr>
        <w:t xml:space="preserve">   </w:t>
      </w:r>
      <w:r>
        <w:rPr>
          <w:rFonts w:hint="eastAsia"/>
          <w:color w:val="auto"/>
          <w:szCs w:val="21"/>
          <w:highlight w:val="none"/>
        </w:rPr>
        <w:t>称：公诚管理咨询有限公司</w:t>
      </w:r>
    </w:p>
    <w:p w14:paraId="63B32105">
      <w:pPr>
        <w:keepNext w:val="0"/>
        <w:keepLines w:val="0"/>
        <w:pageBreakBefore w:val="0"/>
        <w:widowControl w:val="0"/>
        <w:kinsoku/>
        <w:wordWrap/>
        <w:overflowPunct/>
        <w:topLinePunct w:val="0"/>
        <w:autoSpaceDE/>
        <w:autoSpaceDN/>
        <w:bidi w:val="0"/>
        <w:ind w:firstLine="707" w:firstLineChars="337"/>
        <w:rPr>
          <w:rFonts w:hint="eastAsia"/>
          <w:color w:val="auto"/>
          <w:szCs w:val="21"/>
          <w:highlight w:val="none"/>
        </w:rPr>
      </w:pPr>
      <w:r>
        <w:rPr>
          <w:rFonts w:hint="eastAsia"/>
          <w:color w:val="auto"/>
          <w:szCs w:val="21"/>
          <w:highlight w:val="none"/>
        </w:rPr>
        <w:t xml:space="preserve">地 </w:t>
      </w:r>
      <w:r>
        <w:rPr>
          <w:color w:val="auto"/>
          <w:szCs w:val="21"/>
          <w:highlight w:val="none"/>
        </w:rPr>
        <w:t xml:space="preserve">   </w:t>
      </w:r>
      <w:r>
        <w:rPr>
          <w:rFonts w:hint="eastAsia"/>
          <w:color w:val="auto"/>
          <w:szCs w:val="21"/>
          <w:highlight w:val="none"/>
        </w:rPr>
        <w:t>址：广东省珠海市香洲区兴华路1</w:t>
      </w:r>
      <w:r>
        <w:rPr>
          <w:color w:val="auto"/>
          <w:szCs w:val="21"/>
          <w:highlight w:val="none"/>
        </w:rPr>
        <w:t>92</w:t>
      </w:r>
      <w:r>
        <w:rPr>
          <w:rFonts w:hint="eastAsia"/>
          <w:color w:val="auto"/>
          <w:szCs w:val="21"/>
          <w:highlight w:val="none"/>
        </w:rPr>
        <w:t>号</w:t>
      </w:r>
    </w:p>
    <w:p w14:paraId="6A069AA0">
      <w:pPr>
        <w:keepNext w:val="0"/>
        <w:keepLines w:val="0"/>
        <w:pageBreakBefore w:val="0"/>
        <w:widowControl w:val="0"/>
        <w:kinsoku/>
        <w:wordWrap/>
        <w:overflowPunct/>
        <w:topLinePunct w:val="0"/>
        <w:autoSpaceDE/>
        <w:autoSpaceDN/>
        <w:bidi w:val="0"/>
        <w:ind w:firstLine="707" w:firstLineChars="337"/>
        <w:rPr>
          <w:rFonts w:hint="eastAsia"/>
          <w:color w:val="auto"/>
          <w:szCs w:val="21"/>
          <w:highlight w:val="none"/>
        </w:rPr>
      </w:pPr>
      <w:r>
        <w:rPr>
          <w:rFonts w:hint="eastAsia"/>
          <w:color w:val="auto"/>
          <w:szCs w:val="21"/>
          <w:highlight w:val="none"/>
        </w:rPr>
        <w:t>联系方式：</w:t>
      </w:r>
      <w:r>
        <w:rPr>
          <w:rFonts w:hint="eastAsia"/>
          <w:color w:val="auto"/>
          <w:szCs w:val="21"/>
          <w:highlight w:val="none"/>
          <w:lang w:val="en-US" w:eastAsia="zh-CN"/>
        </w:rPr>
        <w:t>杨述文</w:t>
      </w:r>
      <w:r>
        <w:rPr>
          <w:rFonts w:hint="eastAsia"/>
          <w:color w:val="auto"/>
          <w:szCs w:val="21"/>
          <w:highlight w:val="none"/>
        </w:rPr>
        <w:t>、郑凯存、</w:t>
      </w:r>
      <w:r>
        <w:rPr>
          <w:rFonts w:hint="eastAsia" w:cs="宋体"/>
          <w:color w:val="auto"/>
          <w:szCs w:val="21"/>
          <w:highlight w:val="none"/>
          <w:lang w:val="en-US" w:eastAsia="zh-CN"/>
        </w:rPr>
        <w:t>潘文辉</w:t>
      </w:r>
      <w:r>
        <w:rPr>
          <w:rFonts w:hint="eastAsia"/>
          <w:color w:val="auto"/>
          <w:szCs w:val="21"/>
          <w:highlight w:val="none"/>
        </w:rPr>
        <w:t>、秦晓波、盛菲、李涛，0756-2666861</w:t>
      </w:r>
    </w:p>
    <w:p w14:paraId="1A66D5DA">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3.项目联系方式</w:t>
      </w:r>
    </w:p>
    <w:p w14:paraId="7626CAFB">
      <w:pPr>
        <w:keepNext w:val="0"/>
        <w:keepLines w:val="0"/>
        <w:pageBreakBefore w:val="0"/>
        <w:widowControl w:val="0"/>
        <w:kinsoku/>
        <w:wordWrap/>
        <w:overflowPunct/>
        <w:topLinePunct w:val="0"/>
        <w:autoSpaceDE/>
        <w:autoSpaceDN/>
        <w:bidi w:val="0"/>
        <w:ind w:firstLine="707" w:firstLineChars="337"/>
        <w:rPr>
          <w:rFonts w:hint="eastAsia" w:eastAsia="宋体"/>
          <w:color w:val="auto"/>
          <w:szCs w:val="21"/>
          <w:highlight w:val="none"/>
          <w:lang w:eastAsia="zh-CN"/>
        </w:rPr>
      </w:pPr>
      <w:r>
        <w:rPr>
          <w:rFonts w:hint="eastAsia"/>
          <w:color w:val="auto"/>
          <w:szCs w:val="21"/>
          <w:highlight w:val="none"/>
        </w:rPr>
        <w:t>项目联系人：</w:t>
      </w:r>
      <w:r>
        <w:rPr>
          <w:rFonts w:hint="eastAsia"/>
          <w:color w:val="auto"/>
          <w:szCs w:val="21"/>
          <w:highlight w:val="none"/>
          <w:lang w:val="en-US" w:eastAsia="zh-CN"/>
        </w:rPr>
        <w:t>杨述文</w:t>
      </w:r>
    </w:p>
    <w:p w14:paraId="494607A1">
      <w:pPr>
        <w:keepNext w:val="0"/>
        <w:keepLines w:val="0"/>
        <w:pageBreakBefore w:val="0"/>
        <w:widowControl w:val="0"/>
        <w:kinsoku/>
        <w:wordWrap/>
        <w:overflowPunct/>
        <w:topLinePunct w:val="0"/>
        <w:autoSpaceDE/>
        <w:autoSpaceDN/>
        <w:bidi w:val="0"/>
        <w:ind w:firstLine="707" w:firstLineChars="337"/>
        <w:rPr>
          <w:rFonts w:hint="eastAsia" w:cs="仿宋_GB2312"/>
          <w:color w:val="auto"/>
          <w:szCs w:val="21"/>
          <w:highlight w:val="none"/>
        </w:rPr>
      </w:pPr>
      <w:r>
        <w:rPr>
          <w:rFonts w:hint="eastAsia"/>
          <w:color w:val="auto"/>
          <w:szCs w:val="21"/>
          <w:highlight w:val="none"/>
        </w:rPr>
        <w:t xml:space="preserve">电 </w:t>
      </w:r>
      <w:r>
        <w:rPr>
          <w:color w:val="auto"/>
          <w:szCs w:val="21"/>
          <w:highlight w:val="none"/>
        </w:rPr>
        <w:t xml:space="preserve">   </w:t>
      </w:r>
      <w:r>
        <w:rPr>
          <w:rFonts w:hint="eastAsia"/>
          <w:color w:val="auto"/>
          <w:szCs w:val="21"/>
          <w:highlight w:val="none"/>
        </w:rPr>
        <w:t>话：0756-2666861</w:t>
      </w:r>
    </w:p>
    <w:p w14:paraId="1E9F7C7D">
      <w:pPr>
        <w:keepNext w:val="0"/>
        <w:keepLines w:val="0"/>
        <w:pageBreakBefore w:val="0"/>
        <w:widowControl w:val="0"/>
        <w:shd w:val="clear" w:color="auto" w:fill="FFFFFF"/>
        <w:kinsoku/>
        <w:wordWrap/>
        <w:overflowPunct/>
        <w:topLinePunct w:val="0"/>
        <w:autoSpaceDE/>
        <w:autoSpaceDN/>
        <w:bidi w:val="0"/>
        <w:ind w:firstLine="1260"/>
        <w:jc w:val="right"/>
        <w:rPr>
          <w:rFonts w:hint="eastAsia" w:cs="仿宋_GB2312"/>
          <w:color w:val="auto"/>
          <w:szCs w:val="21"/>
          <w:highlight w:val="none"/>
        </w:rPr>
      </w:pPr>
      <w:r>
        <w:rPr>
          <w:rFonts w:hint="eastAsia" w:cs="Futura-Heavy"/>
          <w:color w:val="auto"/>
          <w:szCs w:val="21"/>
          <w:highlight w:val="none"/>
          <w:shd w:val="clear" w:color="auto" w:fill="FFFFFF"/>
          <w:lang w:bidi="ar"/>
        </w:rPr>
        <w:t> </w:t>
      </w:r>
      <w:r>
        <w:rPr>
          <w:rFonts w:cs="Futura-Heavy"/>
          <w:color w:val="auto"/>
          <w:szCs w:val="21"/>
          <w:highlight w:val="none"/>
          <w:shd w:val="clear" w:color="auto" w:fill="FFFFFF"/>
          <w:lang w:bidi="ar"/>
        </w:rPr>
        <w:t xml:space="preserve">                                     </w:t>
      </w:r>
      <w:r>
        <w:rPr>
          <w:rFonts w:hint="eastAsia" w:cs="Futura-Heavy"/>
          <w:color w:val="auto"/>
          <w:szCs w:val="21"/>
          <w:highlight w:val="none"/>
          <w:shd w:val="clear" w:color="auto" w:fill="FFFFFF"/>
          <w:lang w:bidi="ar"/>
        </w:rPr>
        <w:t>公诚管理咨询有限公司</w:t>
      </w:r>
    </w:p>
    <w:p w14:paraId="67778872">
      <w:pPr>
        <w:pStyle w:val="356"/>
        <w:keepNext w:val="0"/>
        <w:keepLines w:val="0"/>
        <w:pageBreakBefore w:val="0"/>
        <w:widowControl w:val="0"/>
        <w:kinsoku/>
        <w:wordWrap/>
        <w:overflowPunct/>
        <w:topLinePunct w:val="0"/>
        <w:autoSpaceDE/>
        <w:autoSpaceDN/>
        <w:bidi w:val="0"/>
        <w:ind w:firstLine="420"/>
        <w:jc w:val="right"/>
        <w:rPr>
          <w:rFonts w:hint="eastAsia"/>
          <w:color w:val="auto"/>
          <w:sz w:val="21"/>
          <w:szCs w:val="21"/>
          <w:highlight w:val="none"/>
          <w:lang w:eastAsia="zh-CN"/>
        </w:rPr>
      </w:pPr>
      <w:r>
        <w:rPr>
          <w:rFonts w:hint="eastAsia" w:cs="Futura-Heavy"/>
          <w:color w:val="auto"/>
          <w:sz w:val="21"/>
          <w:szCs w:val="21"/>
          <w:highlight w:val="none"/>
          <w:shd w:val="clear" w:color="auto" w:fill="FFFFFF"/>
          <w:lang w:eastAsia="zh-CN" w:bidi="ar"/>
        </w:rPr>
        <w:t>20</w:t>
      </w:r>
      <w:r>
        <w:rPr>
          <w:rFonts w:cs="Futura-Heavy"/>
          <w:color w:val="auto"/>
          <w:sz w:val="21"/>
          <w:szCs w:val="21"/>
          <w:highlight w:val="none"/>
          <w:shd w:val="clear" w:color="auto" w:fill="FFFFFF"/>
          <w:lang w:eastAsia="zh-CN" w:bidi="ar"/>
        </w:rPr>
        <w:t>XX</w:t>
      </w:r>
      <w:r>
        <w:rPr>
          <w:rFonts w:hint="eastAsia" w:cs="Futura-Heavy"/>
          <w:color w:val="auto"/>
          <w:sz w:val="21"/>
          <w:szCs w:val="21"/>
          <w:highlight w:val="none"/>
          <w:shd w:val="clear" w:color="auto" w:fill="FFFFFF"/>
          <w:lang w:eastAsia="zh-CN" w:bidi="ar"/>
        </w:rPr>
        <w:t>年</w:t>
      </w:r>
      <w:r>
        <w:rPr>
          <w:rFonts w:cs="Futura-Heavy"/>
          <w:color w:val="auto"/>
          <w:sz w:val="21"/>
          <w:szCs w:val="21"/>
          <w:highlight w:val="none"/>
          <w:shd w:val="clear" w:color="auto" w:fill="FFFFFF"/>
          <w:lang w:eastAsia="zh-CN" w:bidi="ar"/>
        </w:rPr>
        <w:t>XX</w:t>
      </w:r>
      <w:r>
        <w:rPr>
          <w:rFonts w:hint="eastAsia" w:cs="Futura-Heavy"/>
          <w:color w:val="auto"/>
          <w:sz w:val="21"/>
          <w:szCs w:val="21"/>
          <w:highlight w:val="none"/>
          <w:shd w:val="clear" w:color="auto" w:fill="FFFFFF"/>
          <w:lang w:eastAsia="zh-CN" w:bidi="ar"/>
        </w:rPr>
        <w:t>月</w:t>
      </w:r>
      <w:r>
        <w:rPr>
          <w:rFonts w:cs="Futura-Heavy"/>
          <w:color w:val="auto"/>
          <w:sz w:val="21"/>
          <w:szCs w:val="21"/>
          <w:highlight w:val="none"/>
          <w:shd w:val="clear" w:color="auto" w:fill="FFFFFF"/>
          <w:lang w:eastAsia="zh-CN" w:bidi="ar"/>
        </w:rPr>
        <w:t>XX</w:t>
      </w:r>
      <w:r>
        <w:rPr>
          <w:rFonts w:hint="eastAsia" w:cs="Futura-Heavy"/>
          <w:color w:val="auto"/>
          <w:sz w:val="21"/>
          <w:szCs w:val="21"/>
          <w:highlight w:val="none"/>
          <w:shd w:val="clear" w:color="auto" w:fill="FFFFFF"/>
          <w:lang w:eastAsia="zh-CN" w:bidi="ar"/>
        </w:rPr>
        <w:t>日</w:t>
      </w:r>
    </w:p>
    <w:p w14:paraId="24294814">
      <w:pPr>
        <w:keepNext w:val="0"/>
        <w:keepLines w:val="0"/>
        <w:pageBreakBefore w:val="0"/>
        <w:widowControl w:val="0"/>
        <w:kinsoku/>
        <w:wordWrap/>
        <w:overflowPunct/>
        <w:topLinePunct w:val="0"/>
        <w:autoSpaceDE/>
        <w:autoSpaceDN/>
        <w:bidi w:val="0"/>
        <w:jc w:val="left"/>
        <w:rPr>
          <w:rFonts w:hint="eastAsia"/>
          <w:color w:val="auto"/>
          <w:sz w:val="28"/>
          <w:highlight w:val="none"/>
        </w:rPr>
      </w:pPr>
      <w:r>
        <w:rPr>
          <w:color w:val="auto"/>
          <w:highlight w:val="none"/>
        </w:rPr>
        <w:br w:type="page"/>
      </w:r>
    </w:p>
    <w:p w14:paraId="5D9D3AF2">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36" w:name="_Toc104040739"/>
      <w:bookmarkStart w:id="37" w:name="_Toc4688"/>
      <w:bookmarkStart w:id="38" w:name="_Toc103216634"/>
      <w:bookmarkStart w:id="39" w:name="_Toc104040685"/>
      <w:bookmarkStart w:id="40" w:name="_Toc103033202"/>
      <w:bookmarkStart w:id="41" w:name="_Toc101122290"/>
      <w:bookmarkStart w:id="42" w:name="_Hlk103194593"/>
      <w:r>
        <w:rPr>
          <w:rFonts w:hint="eastAsia" w:eastAsia="宋体"/>
          <w:color w:val="auto"/>
          <w:sz w:val="24"/>
          <w:szCs w:val="24"/>
          <w:highlight w:val="none"/>
        </w:rPr>
        <w:t>第二章</w:t>
      </w:r>
      <w:r>
        <w:rPr>
          <w:rFonts w:eastAsia="宋体"/>
          <w:color w:val="auto"/>
          <w:sz w:val="24"/>
          <w:szCs w:val="24"/>
          <w:highlight w:val="none"/>
        </w:rPr>
        <w:t xml:space="preserve"> </w:t>
      </w:r>
      <w:r>
        <w:rPr>
          <w:rFonts w:hint="eastAsia" w:eastAsia="宋体"/>
          <w:color w:val="auto"/>
          <w:sz w:val="24"/>
          <w:szCs w:val="24"/>
          <w:highlight w:val="none"/>
        </w:rPr>
        <w:t>采购需求</w:t>
      </w:r>
      <w:bookmarkEnd w:id="36"/>
      <w:bookmarkEnd w:id="37"/>
      <w:bookmarkEnd w:id="38"/>
      <w:bookmarkEnd w:id="39"/>
      <w:bookmarkEnd w:id="40"/>
      <w:bookmarkEnd w:id="41"/>
    </w:p>
    <w:bookmarkEnd w:id="42"/>
    <w:p w14:paraId="2335675F">
      <w:pPr>
        <w:pStyle w:val="45"/>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b/>
          <w:bCs/>
          <w:color w:val="auto"/>
          <w:szCs w:val="21"/>
          <w:highlight w:val="none"/>
        </w:rPr>
      </w:pPr>
      <w:bookmarkStart w:id="43" w:name="_Toc101122291"/>
      <w:bookmarkStart w:id="44" w:name="_Toc103033203"/>
      <w:bookmarkStart w:id="45" w:name="_Toc104040741"/>
      <w:bookmarkStart w:id="46" w:name="_Toc104040687"/>
      <w:bookmarkStart w:id="47" w:name="_Toc103216635"/>
      <w:r>
        <w:rPr>
          <w:rFonts w:hint="eastAsia"/>
          <w:b/>
          <w:bCs/>
          <w:color w:val="auto"/>
          <w:szCs w:val="21"/>
          <w:highlight w:val="none"/>
        </w:rPr>
        <w:t>说明：</w:t>
      </w:r>
    </w:p>
    <w:p w14:paraId="52CB5FB5">
      <w:pPr>
        <w:pStyle w:val="45"/>
        <w:keepNext w:val="0"/>
        <w:keepLines w:val="0"/>
        <w:pageBreakBefore w:val="0"/>
        <w:widowControl w:val="0"/>
        <w:kinsoku/>
        <w:wordWrap/>
        <w:overflowPunct/>
        <w:topLinePunct w:val="0"/>
        <w:autoSpaceDE/>
        <w:autoSpaceDN/>
        <w:bidi w:val="0"/>
        <w:spacing w:after="0" w:line="360" w:lineRule="auto"/>
        <w:ind w:left="0" w:leftChars="0" w:firstLine="422"/>
        <w:rPr>
          <w:rFonts w:hint="eastAsia"/>
          <w:b/>
          <w:bCs/>
          <w:color w:val="auto"/>
          <w:szCs w:val="21"/>
          <w:highlight w:val="none"/>
        </w:rPr>
      </w:pPr>
      <w:r>
        <w:rPr>
          <w:b/>
          <w:bCs/>
          <w:color w:val="auto"/>
          <w:szCs w:val="21"/>
          <w:highlight w:val="none"/>
        </w:rPr>
        <w:t>1.</w:t>
      </w:r>
      <w:r>
        <w:rPr>
          <w:rFonts w:hint="eastAsia"/>
          <w:b/>
          <w:bCs/>
          <w:color w:val="auto"/>
          <w:szCs w:val="21"/>
          <w:highlight w:val="none"/>
        </w:rPr>
        <w:t>供应商须对本项目的采购标的进行整体响应，任何只对本项目采购标的其中一部分内容或数量进行响应的，将作无效投标（响应）处理</w:t>
      </w:r>
      <w:r>
        <w:rPr>
          <w:b/>
          <w:bCs/>
          <w:color w:val="auto"/>
          <w:szCs w:val="21"/>
          <w:highlight w:val="none"/>
        </w:rPr>
        <w:t>。</w:t>
      </w:r>
    </w:p>
    <w:p w14:paraId="5F23856F">
      <w:pPr>
        <w:pStyle w:val="45"/>
        <w:keepNext w:val="0"/>
        <w:keepLines w:val="0"/>
        <w:pageBreakBefore w:val="0"/>
        <w:widowControl w:val="0"/>
        <w:kinsoku/>
        <w:wordWrap/>
        <w:overflowPunct/>
        <w:topLinePunct w:val="0"/>
        <w:autoSpaceDE/>
        <w:autoSpaceDN/>
        <w:bidi w:val="0"/>
        <w:spacing w:after="0" w:line="360" w:lineRule="auto"/>
        <w:ind w:left="0" w:leftChars="0" w:firstLine="422"/>
        <w:rPr>
          <w:rFonts w:hint="eastAsia"/>
          <w:b/>
          <w:bCs/>
          <w:color w:val="auto"/>
          <w:szCs w:val="21"/>
          <w:highlight w:val="none"/>
        </w:rPr>
      </w:pPr>
      <w:r>
        <w:rPr>
          <w:b/>
          <w:bCs/>
          <w:color w:val="auto"/>
          <w:szCs w:val="21"/>
          <w:highlight w:val="none"/>
        </w:rPr>
        <w:t>2.采购需求中标注“★”号条款为实质性条款，供应商须按要求对其进行逐条响应，当出现负偏离或未响应，将作无效</w:t>
      </w:r>
      <w:r>
        <w:rPr>
          <w:rFonts w:hint="eastAsia"/>
          <w:b/>
          <w:bCs/>
          <w:color w:val="auto"/>
          <w:szCs w:val="21"/>
          <w:highlight w:val="none"/>
        </w:rPr>
        <w:t>投标（响应）</w:t>
      </w:r>
      <w:r>
        <w:rPr>
          <w:b/>
          <w:bCs/>
          <w:color w:val="auto"/>
          <w:szCs w:val="21"/>
          <w:highlight w:val="none"/>
        </w:rPr>
        <w:t>处理；若要求提供证明材料，还须按要求提供证明材料，否则将作无效</w:t>
      </w:r>
      <w:r>
        <w:rPr>
          <w:rFonts w:hint="eastAsia"/>
          <w:b/>
          <w:bCs/>
          <w:color w:val="auto"/>
          <w:szCs w:val="21"/>
          <w:highlight w:val="none"/>
        </w:rPr>
        <w:t>投标（响应）</w:t>
      </w:r>
      <w:r>
        <w:rPr>
          <w:b/>
          <w:bCs/>
          <w:color w:val="auto"/>
          <w:szCs w:val="21"/>
          <w:highlight w:val="none"/>
        </w:rPr>
        <w:t>处理。</w:t>
      </w:r>
    </w:p>
    <w:p w14:paraId="70C2D5A1">
      <w:pPr>
        <w:pStyle w:val="45"/>
        <w:keepNext w:val="0"/>
        <w:keepLines w:val="0"/>
        <w:pageBreakBefore w:val="0"/>
        <w:widowControl w:val="0"/>
        <w:kinsoku/>
        <w:wordWrap/>
        <w:overflowPunct/>
        <w:topLinePunct w:val="0"/>
        <w:autoSpaceDE/>
        <w:autoSpaceDN/>
        <w:bidi w:val="0"/>
        <w:spacing w:after="0" w:line="360" w:lineRule="auto"/>
        <w:ind w:left="0" w:leftChars="0" w:firstLine="422"/>
        <w:rPr>
          <w:rFonts w:hint="eastAsia"/>
          <w:color w:val="auto"/>
          <w:szCs w:val="21"/>
          <w:highlight w:val="none"/>
        </w:rPr>
      </w:pPr>
      <w:r>
        <w:rPr>
          <w:b/>
          <w:bCs/>
          <w:color w:val="auto"/>
          <w:szCs w:val="21"/>
          <w:highlight w:val="none"/>
        </w:rPr>
        <w:t>3.采购需求中标注“▲”号条款为重要技术条款，供应商须按要求对其进行逐条响应，当出现负偏离或未响应，对应项将不予以计分，不会作无效</w:t>
      </w:r>
      <w:r>
        <w:rPr>
          <w:rFonts w:hint="eastAsia"/>
          <w:b/>
          <w:bCs/>
          <w:color w:val="auto"/>
          <w:szCs w:val="21"/>
          <w:highlight w:val="none"/>
        </w:rPr>
        <w:t>投标（响应）</w:t>
      </w:r>
      <w:r>
        <w:rPr>
          <w:b/>
          <w:bCs/>
          <w:color w:val="auto"/>
          <w:szCs w:val="21"/>
          <w:highlight w:val="none"/>
        </w:rPr>
        <w:t>处理；若要求提供证明材料，还须按要求提供证明材料，否则不予计分。</w:t>
      </w:r>
    </w:p>
    <w:p w14:paraId="7D8A6750">
      <w:pPr>
        <w:keepNext w:val="0"/>
        <w:keepLines w:val="0"/>
        <w:pageBreakBefore w:val="0"/>
        <w:widowControl w:val="0"/>
        <w:kinsoku/>
        <w:wordWrap/>
        <w:overflowPunct/>
        <w:topLinePunct w:val="0"/>
        <w:autoSpaceDE/>
        <w:autoSpaceDN/>
        <w:bidi w:val="0"/>
        <w:adjustRightInd w:val="0"/>
        <w:snapToGrid w:val="0"/>
        <w:rPr>
          <w:rFonts w:hint="eastAsia"/>
          <w:color w:val="auto"/>
          <w:szCs w:val="21"/>
          <w:highlight w:val="none"/>
        </w:rPr>
      </w:pPr>
    </w:p>
    <w:p w14:paraId="1921ABE9">
      <w:pPr>
        <w:keepNext w:val="0"/>
        <w:keepLines w:val="0"/>
        <w:pageBreakBefore w:val="0"/>
        <w:widowControl w:val="0"/>
        <w:kinsoku/>
        <w:wordWrap/>
        <w:overflowPunct/>
        <w:topLinePunct w:val="0"/>
        <w:autoSpaceDE/>
        <w:autoSpaceDN/>
        <w:bidi w:val="0"/>
        <w:outlineLvl w:val="1"/>
        <w:rPr>
          <w:rFonts w:hint="eastAsia"/>
          <w:b/>
          <w:bCs/>
          <w:color w:val="auto"/>
          <w:highlight w:val="none"/>
        </w:rPr>
      </w:pPr>
      <w:bookmarkStart w:id="48" w:name="_Toc10747"/>
      <w:bookmarkStart w:id="49" w:name="_Toc104040686"/>
      <w:bookmarkStart w:id="50" w:name="_Toc104160554"/>
      <w:bookmarkStart w:id="51" w:name="_Toc171529101"/>
      <w:r>
        <w:rPr>
          <w:rFonts w:hint="eastAsia"/>
          <w:b/>
          <w:bCs/>
          <w:color w:val="auto"/>
          <w:highlight w:val="none"/>
        </w:rPr>
        <w:t>一、项目概述</w:t>
      </w:r>
      <w:bookmarkEnd w:id="48"/>
      <w:bookmarkEnd w:id="49"/>
      <w:bookmarkEnd w:id="50"/>
      <w:bookmarkEnd w:id="51"/>
    </w:p>
    <w:p w14:paraId="1F1A3A15">
      <w:pPr>
        <w:pStyle w:val="356"/>
        <w:keepNext w:val="0"/>
        <w:keepLines w:val="0"/>
        <w:pageBreakBefore w:val="0"/>
        <w:widowControl/>
        <w:kinsoku/>
        <w:wordWrap/>
        <w:overflowPunct/>
        <w:topLinePunct w:val="0"/>
        <w:autoSpaceDE/>
        <w:autoSpaceDN/>
        <w:bidi w:val="0"/>
        <w:adjustRightInd/>
        <w:snapToGrid/>
        <w:ind w:firstLine="420" w:firstLineChars="200"/>
        <w:jc w:val="both"/>
        <w:textAlignment w:val="auto"/>
        <w:rPr>
          <w:rFonts w:hint="eastAsia"/>
          <w:color w:val="auto"/>
          <w:sz w:val="21"/>
          <w:szCs w:val="21"/>
          <w:highlight w:val="none"/>
          <w:lang w:eastAsia="zh-CN"/>
        </w:rPr>
      </w:pPr>
      <w:r>
        <w:rPr>
          <w:rFonts w:hint="eastAsia"/>
          <w:color w:val="auto"/>
          <w:sz w:val="21"/>
          <w:szCs w:val="21"/>
          <w:highlight w:val="none"/>
          <w:lang w:eastAsia="zh-CN"/>
        </w:rPr>
        <w:t>本项目主要是对青茂出入境边防检查站位于青茂口岸的食堂每天早餐、中餐、晚餐和宵夜食材配送服务进行采购。供应商根据采购人的计划和要求，负责采购和供应每天所需的各类物资，包括但不限于蔬菜类、瓜果类、水果类、肉类、海鲜类、蛋类、调料、饮料、奶制品、大米、食用油、零食、杂货以及其他食堂用品等；具体以采购人提供的食材需求清单为准。</w:t>
      </w:r>
    </w:p>
    <w:p w14:paraId="3AB7E9C5">
      <w:pPr>
        <w:pStyle w:val="356"/>
        <w:keepNext w:val="0"/>
        <w:keepLines w:val="0"/>
        <w:pageBreakBefore w:val="0"/>
        <w:widowControl/>
        <w:kinsoku/>
        <w:wordWrap/>
        <w:overflowPunct/>
        <w:topLinePunct w:val="0"/>
        <w:autoSpaceDE/>
        <w:autoSpaceDN/>
        <w:bidi w:val="0"/>
        <w:adjustRightInd/>
        <w:snapToGrid/>
        <w:ind w:firstLine="420" w:firstLineChars="200"/>
        <w:jc w:val="both"/>
        <w:textAlignment w:val="auto"/>
        <w:rPr>
          <w:rFonts w:hint="eastAsia"/>
          <w:color w:val="auto"/>
          <w:sz w:val="21"/>
          <w:szCs w:val="21"/>
          <w:highlight w:val="none"/>
          <w:lang w:eastAsia="zh-CN"/>
        </w:rPr>
      </w:pPr>
      <w:r>
        <w:rPr>
          <w:rFonts w:hint="eastAsia"/>
          <w:color w:val="auto"/>
          <w:sz w:val="21"/>
          <w:szCs w:val="21"/>
          <w:highlight w:val="none"/>
          <w:lang w:eastAsia="zh-CN"/>
        </w:rPr>
        <w:t>项目依据及标准：《中华人民共和国中华人民共和国食品安全法》、《餐饮业和集体用餐配送单位卫生规范》国家标准等。对于没有国家标准的应符合行业标准，其中国家有强制性技术标准要求的产品，还应符合国家强制性技术标准，确保配送的货物安全、卫生。所提供的货物必须满足采购文件的要求，保证合同货品均为正规生产的新鲜、检验合格、无毒、无公害、无污染、无辐射、无侵权货品，符合国家有关卫生、质量、包装和保质标准，货品必须在有效保质期内。严禁供应有害、有毒、腐烂变质、酸败、霉变、生虫、污垢不洁、混有异物或者其他感官性状异常、超过保质期限的食品。为确保项目质量，供应商不得转包、分包，否则采购人有权即刻终止合同，并要求供应商赔偿相应损失。</w:t>
      </w:r>
    </w:p>
    <w:p w14:paraId="44A8D078">
      <w:pPr>
        <w:pStyle w:val="356"/>
        <w:keepNext w:val="0"/>
        <w:keepLines w:val="0"/>
        <w:pageBreakBefore w:val="0"/>
        <w:widowControl/>
        <w:kinsoku/>
        <w:wordWrap/>
        <w:overflowPunct/>
        <w:topLinePunct w:val="0"/>
        <w:autoSpaceDE/>
        <w:autoSpaceDN/>
        <w:bidi w:val="0"/>
        <w:adjustRightInd/>
        <w:snapToGrid/>
        <w:ind w:firstLine="420" w:firstLineChars="200"/>
        <w:jc w:val="both"/>
        <w:textAlignment w:val="auto"/>
        <w:rPr>
          <w:rFonts w:hint="eastAsia"/>
          <w:color w:val="auto"/>
          <w:sz w:val="21"/>
          <w:szCs w:val="21"/>
          <w:highlight w:val="none"/>
          <w:lang w:eastAsia="zh-CN"/>
        </w:rPr>
      </w:pPr>
      <w:r>
        <w:rPr>
          <w:rFonts w:hint="eastAsia"/>
          <w:color w:val="auto"/>
          <w:sz w:val="21"/>
          <w:szCs w:val="21"/>
          <w:highlight w:val="none"/>
          <w:lang w:eastAsia="zh-CN"/>
        </w:rPr>
        <w:t>采购人有权根据财政部《政府购买服务管理办法》与成交供应商续约不超过三年（含本预算年）。</w:t>
      </w:r>
    </w:p>
    <w:p w14:paraId="158549F5">
      <w:pPr>
        <w:pStyle w:val="356"/>
        <w:keepNext w:val="0"/>
        <w:keepLines w:val="0"/>
        <w:pageBreakBefore w:val="0"/>
        <w:widowControl w:val="0"/>
        <w:kinsoku/>
        <w:wordWrap/>
        <w:overflowPunct/>
        <w:topLinePunct w:val="0"/>
        <w:autoSpaceDE w:val="0"/>
        <w:autoSpaceDN w:val="0"/>
        <w:bidi w:val="0"/>
        <w:adjustRightInd/>
        <w:snapToGrid/>
        <w:ind w:firstLine="422"/>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项目属性：</w:t>
      </w:r>
      <w:r>
        <w:rPr>
          <w:rFonts w:hint="eastAsia" w:ascii="宋体" w:hAnsi="宋体" w:eastAsia="宋体" w:cs="宋体"/>
          <w:color w:val="auto"/>
          <w:sz w:val="21"/>
          <w:szCs w:val="21"/>
          <w:highlight w:val="none"/>
        </w:rPr>
        <w:t>服务项目。</w:t>
      </w:r>
    </w:p>
    <w:p w14:paraId="585E9BF6">
      <w:pPr>
        <w:pStyle w:val="356"/>
        <w:keepNext w:val="0"/>
        <w:keepLines w:val="0"/>
        <w:pageBreakBefore w:val="0"/>
        <w:widowControl w:val="0"/>
        <w:kinsoku/>
        <w:wordWrap/>
        <w:overflowPunct/>
        <w:topLinePunct w:val="0"/>
        <w:autoSpaceDE w:val="0"/>
        <w:autoSpaceDN w:val="0"/>
        <w:bidi w:val="0"/>
        <w:adjustRightInd/>
        <w:snapToGrid/>
        <w:ind w:firstLine="422"/>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本项目采购标的对应的中小微企业划分标准所属行业为：</w:t>
      </w:r>
      <w:r>
        <w:rPr>
          <w:rFonts w:hint="eastAsia" w:ascii="宋体" w:hAnsi="宋体" w:eastAsia="宋体" w:cs="宋体"/>
          <w:b/>
          <w:bCs/>
          <w:color w:val="auto"/>
          <w:sz w:val="21"/>
          <w:szCs w:val="21"/>
          <w:highlight w:val="none"/>
          <w:lang w:val="en-US" w:eastAsia="zh-CN"/>
        </w:rPr>
        <w:t>批发</w:t>
      </w:r>
      <w:r>
        <w:rPr>
          <w:rFonts w:hint="eastAsia" w:ascii="宋体" w:hAnsi="宋体" w:eastAsia="宋体" w:cs="宋体"/>
          <w:b/>
          <w:bCs/>
          <w:color w:val="auto"/>
          <w:sz w:val="21"/>
          <w:szCs w:val="21"/>
          <w:highlight w:val="none"/>
        </w:rPr>
        <w:t>业</w:t>
      </w:r>
      <w:r>
        <w:rPr>
          <w:rFonts w:hint="eastAsia" w:ascii="宋体" w:hAnsi="宋体" w:eastAsia="宋体" w:cs="宋体"/>
          <w:color w:val="auto"/>
          <w:sz w:val="21"/>
          <w:szCs w:val="21"/>
          <w:highlight w:val="none"/>
          <w:lang w:eastAsia="zh-CN"/>
        </w:rPr>
        <w:t>。</w:t>
      </w:r>
    </w:p>
    <w:p w14:paraId="47BA8D3E">
      <w:pPr>
        <w:pStyle w:val="356"/>
        <w:keepNext w:val="0"/>
        <w:keepLines w:val="0"/>
        <w:pageBreakBefore w:val="0"/>
        <w:widowControl w:val="0"/>
        <w:kinsoku/>
        <w:wordWrap/>
        <w:overflowPunct/>
        <w:topLinePunct w:val="0"/>
        <w:autoSpaceDE w:val="0"/>
        <w:autoSpaceDN w:val="0"/>
        <w:bidi w:val="0"/>
        <w:adjustRightInd/>
        <w:snapToGrid/>
        <w:ind w:firstLine="422"/>
        <w:jc w:val="both"/>
        <w:textAlignment w:val="auto"/>
        <w:rPr>
          <w:rFonts w:hint="eastAsia" w:ascii="宋体" w:hAnsi="宋体" w:eastAsia="宋体" w:cs="宋体"/>
          <w:b/>
          <w:bCs/>
          <w:color w:val="auto"/>
          <w:spacing w:val="6"/>
          <w:sz w:val="21"/>
          <w:szCs w:val="21"/>
          <w:highlight w:val="none"/>
          <w:lang w:eastAsia="zh-CN"/>
        </w:rPr>
      </w:pPr>
      <w:r>
        <w:rPr>
          <w:rFonts w:hint="eastAsia" w:ascii="宋体" w:hAnsi="宋体" w:eastAsia="宋体" w:cs="宋体"/>
          <w:color w:val="auto"/>
          <w:sz w:val="21"/>
          <w:szCs w:val="21"/>
          <w:highlight w:val="none"/>
          <w:lang w:val="en-US" w:eastAsia="zh-CN"/>
        </w:rPr>
        <w:t>投标报价上限：≤</w:t>
      </w:r>
      <w:r>
        <w:rPr>
          <w:rFonts w:hint="eastAsia" w:ascii="宋体" w:hAnsi="宋体" w:eastAsia="宋体" w:cs="宋体"/>
          <w:b/>
          <w:bCs/>
          <w:color w:val="auto"/>
          <w:spacing w:val="6"/>
          <w:sz w:val="21"/>
          <w:szCs w:val="21"/>
          <w:highlight w:val="none"/>
        </w:rPr>
        <w:t>100.00%</w:t>
      </w:r>
      <w:r>
        <w:rPr>
          <w:rFonts w:hint="eastAsia" w:ascii="宋体" w:hAnsi="宋体" w:eastAsia="宋体" w:cs="宋体"/>
          <w:b/>
          <w:bCs/>
          <w:color w:val="auto"/>
          <w:spacing w:val="6"/>
          <w:sz w:val="21"/>
          <w:szCs w:val="21"/>
          <w:highlight w:val="none"/>
          <w:lang w:eastAsia="zh-CN"/>
        </w:rPr>
        <w:t>。</w:t>
      </w:r>
    </w:p>
    <w:p w14:paraId="654B5D23">
      <w:pPr>
        <w:pStyle w:val="356"/>
        <w:keepNext w:val="0"/>
        <w:keepLines w:val="0"/>
        <w:pageBreakBefore w:val="0"/>
        <w:widowControl w:val="0"/>
        <w:kinsoku/>
        <w:wordWrap/>
        <w:overflowPunct/>
        <w:topLinePunct w:val="0"/>
        <w:autoSpaceDE/>
        <w:autoSpaceDN/>
        <w:bidi w:val="0"/>
        <w:ind w:firstLine="0" w:firstLineChars="0"/>
        <w:rPr>
          <w:rFonts w:hint="eastAsia" w:ascii="宋体" w:hAnsi="宋体" w:eastAsia="宋体" w:cs="宋体"/>
          <w:b/>
          <w:bCs/>
          <w:color w:val="auto"/>
          <w:spacing w:val="6"/>
          <w:sz w:val="21"/>
          <w:szCs w:val="21"/>
          <w:highlight w:val="none"/>
          <w:lang w:eastAsia="zh-CN"/>
        </w:rPr>
      </w:pPr>
    </w:p>
    <w:p w14:paraId="25FDB41C">
      <w:pPr>
        <w:pStyle w:val="364"/>
        <w:keepNext w:val="0"/>
        <w:keepLines w:val="0"/>
        <w:pageBreakBefore w:val="0"/>
        <w:widowControl w:val="0"/>
        <w:kinsoku/>
        <w:wordWrap/>
        <w:overflowPunct/>
        <w:topLinePunct w:val="0"/>
        <w:autoSpaceDE/>
        <w:autoSpaceDN/>
        <w:bidi w:val="0"/>
        <w:rPr>
          <w:rFonts w:hint="eastAsia"/>
          <w:color w:val="auto"/>
          <w:sz w:val="21"/>
          <w:szCs w:val="21"/>
          <w:highlight w:val="none"/>
          <w:lang w:eastAsia="zh-CN"/>
        </w:rPr>
      </w:pPr>
      <w:bookmarkStart w:id="52" w:name="_Toc6375"/>
      <w:bookmarkStart w:id="53" w:name="_Toc171503946"/>
      <w:r>
        <w:rPr>
          <w:rFonts w:hint="eastAsia"/>
          <w:color w:val="auto"/>
          <w:sz w:val="21"/>
          <w:szCs w:val="21"/>
          <w:highlight w:val="none"/>
          <w:lang w:eastAsia="zh-CN"/>
        </w:rPr>
        <w:t>二、主要商务要求</w:t>
      </w:r>
      <w:bookmarkEnd w:id="52"/>
    </w:p>
    <w:p w14:paraId="10F358DC">
      <w:pPr>
        <w:pStyle w:val="45"/>
        <w:keepNext w:val="0"/>
        <w:keepLines w:val="0"/>
        <w:pageBreakBefore w:val="0"/>
        <w:widowControl w:val="0"/>
        <w:numPr>
          <w:ilvl w:val="0"/>
          <w:numId w:val="5"/>
        </w:numPr>
        <w:kinsoku/>
        <w:wordWrap/>
        <w:overflowPunct/>
        <w:topLinePunct w:val="0"/>
        <w:autoSpaceDE/>
        <w:autoSpaceDN/>
        <w:bidi w:val="0"/>
        <w:spacing w:after="0" w:line="360" w:lineRule="auto"/>
        <w:ind w:left="0" w:leftChars="0" w:firstLine="420"/>
        <w:jc w:val="left"/>
        <w:rPr>
          <w:rFonts w:hint="eastAsia"/>
          <w:color w:val="auto"/>
          <w:szCs w:val="21"/>
          <w:highlight w:val="none"/>
        </w:rPr>
      </w:pPr>
      <w:r>
        <w:rPr>
          <w:rFonts w:hint="eastAsia"/>
          <w:color w:val="auto"/>
          <w:szCs w:val="21"/>
          <w:highlight w:val="none"/>
        </w:rPr>
        <w:t>标的提供的时间：</w:t>
      </w:r>
      <w:r>
        <w:rPr>
          <w:rFonts w:hint="eastAsia"/>
          <w:color w:val="auto"/>
          <w:szCs w:val="21"/>
          <w:highlight w:val="none"/>
          <w:lang w:eastAsia="zh-CN"/>
        </w:rPr>
        <w:t>自合同签订之日起一年，或至采购预算用完为止</w:t>
      </w:r>
      <w:r>
        <w:rPr>
          <w:rFonts w:hint="eastAsia"/>
          <w:color w:val="auto"/>
          <w:szCs w:val="21"/>
          <w:highlight w:val="none"/>
        </w:rPr>
        <w:t>。</w:t>
      </w:r>
    </w:p>
    <w:p w14:paraId="62A4BCB9">
      <w:pPr>
        <w:pStyle w:val="45"/>
        <w:keepNext w:val="0"/>
        <w:keepLines w:val="0"/>
        <w:pageBreakBefore w:val="0"/>
        <w:widowControl w:val="0"/>
        <w:numPr>
          <w:ilvl w:val="0"/>
          <w:numId w:val="5"/>
        </w:numPr>
        <w:kinsoku/>
        <w:wordWrap/>
        <w:overflowPunct/>
        <w:topLinePunct w:val="0"/>
        <w:autoSpaceDE/>
        <w:autoSpaceDN/>
        <w:bidi w:val="0"/>
        <w:spacing w:after="0" w:line="360" w:lineRule="auto"/>
        <w:ind w:left="0" w:leftChars="0" w:firstLine="420"/>
        <w:jc w:val="left"/>
        <w:rPr>
          <w:rFonts w:hint="eastAsia"/>
          <w:color w:val="auto"/>
          <w:szCs w:val="21"/>
          <w:highlight w:val="none"/>
        </w:rPr>
      </w:pPr>
      <w:r>
        <w:rPr>
          <w:rFonts w:hint="eastAsia"/>
          <w:color w:val="auto"/>
          <w:szCs w:val="21"/>
          <w:highlight w:val="none"/>
        </w:rPr>
        <w:t>标的提供的地点：广东省珠海市国防路99号青茂口岸联检楼青茂出入境边防检查站。</w:t>
      </w:r>
    </w:p>
    <w:p w14:paraId="6F18CD75">
      <w:pPr>
        <w:pStyle w:val="45"/>
        <w:keepNext w:val="0"/>
        <w:keepLines w:val="0"/>
        <w:pageBreakBefore w:val="0"/>
        <w:widowControl w:val="0"/>
        <w:numPr>
          <w:ilvl w:val="0"/>
          <w:numId w:val="5"/>
        </w:numPr>
        <w:kinsoku/>
        <w:wordWrap/>
        <w:overflowPunct/>
        <w:topLinePunct w:val="0"/>
        <w:autoSpaceDE/>
        <w:autoSpaceDN/>
        <w:bidi w:val="0"/>
        <w:spacing w:after="0" w:line="360" w:lineRule="auto"/>
        <w:ind w:left="0" w:leftChars="0" w:firstLine="420"/>
        <w:jc w:val="left"/>
        <w:rPr>
          <w:rFonts w:hint="eastAsia"/>
          <w:color w:val="auto"/>
          <w:szCs w:val="21"/>
          <w:highlight w:val="none"/>
        </w:rPr>
      </w:pPr>
      <w:r>
        <w:rPr>
          <w:rFonts w:hint="eastAsia"/>
          <w:color w:val="auto"/>
          <w:szCs w:val="21"/>
          <w:highlight w:val="none"/>
        </w:rPr>
        <w:t>付款方式：</w:t>
      </w:r>
    </w:p>
    <w:p w14:paraId="000A806A">
      <w:pPr>
        <w:pStyle w:val="4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jc w:val="both"/>
        <w:textAlignment w:val="auto"/>
        <w:rPr>
          <w:rFonts w:hint="eastAsia"/>
          <w:color w:val="auto"/>
          <w:szCs w:val="21"/>
          <w:highlight w:val="none"/>
        </w:rPr>
      </w:pPr>
      <w:r>
        <w:rPr>
          <w:rFonts w:hint="eastAsia"/>
          <w:color w:val="auto"/>
          <w:szCs w:val="21"/>
          <w:highlight w:val="none"/>
        </w:rPr>
        <w:t>（1）</w:t>
      </w:r>
      <w:r>
        <w:rPr>
          <w:rFonts w:hint="eastAsia"/>
          <w:b/>
          <w:bCs/>
          <w:color w:val="auto"/>
          <w:szCs w:val="21"/>
          <w:highlight w:val="none"/>
        </w:rPr>
        <w:t>每月结算金额=∑（食材结算基准价×实际收货数量）×结算费率</w:t>
      </w:r>
      <w:r>
        <w:rPr>
          <w:rFonts w:hint="eastAsia"/>
          <w:color w:val="auto"/>
          <w:szCs w:val="21"/>
          <w:highlight w:val="none"/>
        </w:rPr>
        <w:t>，采购人按得出的每月结算金额与供应商进行结算，双方在每月上旬完成前一个月的结算金额核对、确认，在双方确认后，供应商按每月结算金额开具发票，采购人在收到发票并确认后的10个工作日内以银行转账方式结清货款。结算时，必须凭采购人验货后签字确认的送货清单方可办理相关结算手续。</w:t>
      </w:r>
    </w:p>
    <w:p w14:paraId="519BF04C">
      <w:pPr>
        <w:pStyle w:val="4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jc w:val="both"/>
        <w:textAlignment w:val="auto"/>
        <w:rPr>
          <w:rFonts w:hint="eastAsia"/>
          <w:color w:val="auto"/>
          <w:szCs w:val="21"/>
          <w:highlight w:val="none"/>
        </w:rPr>
      </w:pPr>
      <w:r>
        <w:rPr>
          <w:rFonts w:hint="eastAsia"/>
          <w:color w:val="auto"/>
          <w:szCs w:val="21"/>
          <w:highlight w:val="none"/>
          <w:lang w:eastAsia="zh-CN"/>
        </w:rPr>
        <w:t>（</w:t>
      </w:r>
      <w:r>
        <w:rPr>
          <w:rFonts w:hint="eastAsia"/>
          <w:color w:val="auto"/>
          <w:szCs w:val="21"/>
          <w:highlight w:val="none"/>
          <w:lang w:val="en-US" w:eastAsia="zh-CN"/>
        </w:rPr>
        <w:t>2</w:t>
      </w:r>
      <w:r>
        <w:rPr>
          <w:rFonts w:hint="eastAsia"/>
          <w:color w:val="auto"/>
          <w:szCs w:val="21"/>
          <w:highlight w:val="none"/>
          <w:lang w:eastAsia="zh-CN"/>
        </w:rPr>
        <w:t>）</w:t>
      </w:r>
      <w:r>
        <w:rPr>
          <w:rFonts w:hint="eastAsia"/>
          <w:color w:val="auto"/>
          <w:szCs w:val="21"/>
          <w:highlight w:val="none"/>
        </w:rPr>
        <w:t>供应商凭以下有效文件与采购人结算：</w:t>
      </w:r>
    </w:p>
    <w:p w14:paraId="073FC51C">
      <w:pPr>
        <w:pStyle w:val="4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jc w:val="both"/>
        <w:textAlignment w:val="auto"/>
        <w:rPr>
          <w:rFonts w:hint="eastAsia"/>
          <w:color w:val="auto"/>
          <w:szCs w:val="21"/>
          <w:highlight w:val="none"/>
        </w:rPr>
      </w:pPr>
      <w:r>
        <w:rPr>
          <w:rFonts w:hint="eastAsia"/>
          <w:color w:val="auto"/>
          <w:szCs w:val="21"/>
          <w:highlight w:val="none"/>
        </w:rPr>
        <w:t>供应商开具的真实有效的发票、本结算周期内每日的配送货品验收清单（送货人和验收人员签名，加盖供应商公章）。</w:t>
      </w:r>
    </w:p>
    <w:p w14:paraId="7E446908">
      <w:pPr>
        <w:pStyle w:val="4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jc w:val="both"/>
        <w:textAlignment w:val="auto"/>
        <w:rPr>
          <w:rFonts w:hint="eastAsia"/>
          <w:color w:val="auto"/>
          <w:szCs w:val="21"/>
          <w:highlight w:val="none"/>
        </w:rPr>
      </w:pPr>
      <w:r>
        <w:rPr>
          <w:rFonts w:hint="eastAsia"/>
          <w:color w:val="auto"/>
          <w:szCs w:val="21"/>
          <w:highlight w:val="none"/>
          <w:lang w:eastAsia="zh-CN"/>
        </w:rPr>
        <w:t>（</w:t>
      </w:r>
      <w:r>
        <w:rPr>
          <w:rFonts w:hint="eastAsia"/>
          <w:color w:val="auto"/>
          <w:szCs w:val="21"/>
          <w:highlight w:val="none"/>
          <w:lang w:val="en-US" w:eastAsia="zh-CN"/>
        </w:rPr>
        <w:t>3</w:t>
      </w:r>
      <w:r>
        <w:rPr>
          <w:rFonts w:hint="eastAsia"/>
          <w:color w:val="auto"/>
          <w:szCs w:val="21"/>
          <w:highlight w:val="none"/>
          <w:lang w:eastAsia="zh-CN"/>
        </w:rPr>
        <w:t>）</w:t>
      </w:r>
      <w:r>
        <w:rPr>
          <w:rFonts w:hint="eastAsia"/>
          <w:color w:val="auto"/>
          <w:szCs w:val="21"/>
          <w:highlight w:val="none"/>
        </w:rPr>
        <w:t>供应商与采购人每一个月确定一次结算基准价。供应商于每月25日前提供下个月食材零售价给采购人，采购人收到所提交的食材零售价后五个工作日内随机选定一个珠海市市场（夏湾市场、朝阳市场、拱北市场、前山市场、广富市场、湾仔市场、柠溪市场、南坑市场、吉莲市场）询价核实，供应商对核价有异议的，可以随机抽取其中一个市场双方共同核实，相关的食材零售价须经采购人相关管理人员核实后签字确认才可确定为结算基准价。若网上开通珠海市肉菜市场价公布平台，则零售价以当日公布珠海市肉菜市场的同等质量的最低零售单价为准。如有价格变动应及时通知采购人并经同意后方可执行。若在调整期间，双方对货品价格有疑问的，可协商解决。</w:t>
      </w:r>
    </w:p>
    <w:p w14:paraId="092F0DE9">
      <w:pPr>
        <w:pStyle w:val="4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jc w:val="both"/>
        <w:textAlignment w:val="auto"/>
        <w:rPr>
          <w:rFonts w:hint="eastAsia"/>
          <w:color w:val="auto"/>
          <w:szCs w:val="21"/>
          <w:highlight w:val="none"/>
        </w:rPr>
      </w:pPr>
      <w:r>
        <w:rPr>
          <w:rFonts w:hint="eastAsia"/>
          <w:color w:val="auto"/>
          <w:szCs w:val="21"/>
          <w:highlight w:val="none"/>
          <w:lang w:eastAsia="zh-CN"/>
        </w:rPr>
        <w:t>（</w:t>
      </w:r>
      <w:r>
        <w:rPr>
          <w:rFonts w:hint="eastAsia"/>
          <w:color w:val="auto"/>
          <w:szCs w:val="21"/>
          <w:highlight w:val="none"/>
          <w:lang w:val="en-US" w:eastAsia="zh-CN"/>
        </w:rPr>
        <w:t>4</w:t>
      </w:r>
      <w:r>
        <w:rPr>
          <w:rFonts w:hint="eastAsia"/>
          <w:color w:val="auto"/>
          <w:szCs w:val="21"/>
          <w:highlight w:val="none"/>
          <w:lang w:eastAsia="zh-CN"/>
        </w:rPr>
        <w:t>）</w:t>
      </w:r>
      <w:r>
        <w:rPr>
          <w:rFonts w:hint="eastAsia"/>
          <w:color w:val="auto"/>
          <w:szCs w:val="21"/>
          <w:highlight w:val="none"/>
        </w:rPr>
        <w:t>如遇台风暴雨极端天气、供求关系、宏观调控等原因造成的市场价格上涨或下降需临时调整时，供应商应提前书面通知采购人，由采购人和供应商以协调形式解决，征得采购人同意后方可调整。若在调整期间，双方对食材结算基准价有疑问的，可协商解决。报价内容包括但不限于：蔬菜类、瓜果类、肉类、海鲜类、蛋类、调料、饮料、奶制品、大米、食用油品等其他食品、原材料。每月结算基准价一经确定，任何一方不得擅自更改，如需变动，则需双方签字确认，并详细注明变动原因。</w:t>
      </w:r>
    </w:p>
    <w:p w14:paraId="123BB17D">
      <w:pPr>
        <w:pStyle w:val="45"/>
        <w:keepNext w:val="0"/>
        <w:keepLines w:val="0"/>
        <w:pageBreakBefore w:val="0"/>
        <w:widowControl w:val="0"/>
        <w:numPr>
          <w:ilvl w:val="0"/>
          <w:numId w:val="5"/>
        </w:numPr>
        <w:kinsoku/>
        <w:wordWrap/>
        <w:overflowPunct/>
        <w:topLinePunct w:val="0"/>
        <w:autoSpaceDE/>
        <w:autoSpaceDN/>
        <w:bidi w:val="0"/>
        <w:adjustRightInd/>
        <w:snapToGrid/>
        <w:spacing w:after="0" w:line="360" w:lineRule="auto"/>
        <w:ind w:left="0" w:leftChars="0" w:firstLine="420"/>
        <w:jc w:val="left"/>
        <w:textAlignment w:val="auto"/>
        <w:rPr>
          <w:rFonts w:hint="eastAsia"/>
          <w:color w:val="auto"/>
          <w:szCs w:val="21"/>
          <w:highlight w:val="none"/>
          <w:lang w:eastAsia="zh-CN"/>
        </w:rPr>
      </w:pPr>
      <w:r>
        <w:rPr>
          <w:rFonts w:hint="eastAsia"/>
          <w:color w:val="auto"/>
          <w:szCs w:val="21"/>
          <w:highlight w:val="none"/>
        </w:rPr>
        <w:t>验收要求</w:t>
      </w:r>
      <w:r>
        <w:rPr>
          <w:rFonts w:hint="eastAsia"/>
          <w:color w:val="auto"/>
          <w:szCs w:val="21"/>
          <w:highlight w:val="none"/>
          <w:lang w:eastAsia="zh-CN"/>
        </w:rPr>
        <w:t>：</w:t>
      </w:r>
    </w:p>
    <w:p w14:paraId="70E4335F">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default"/>
          <w:color w:val="auto"/>
          <w:szCs w:val="21"/>
          <w:highlight w:val="none"/>
          <w:lang w:val="en-US" w:eastAsia="zh-CN"/>
        </w:rPr>
      </w:pPr>
      <w:r>
        <w:rPr>
          <w:rFonts w:hint="eastAsia"/>
          <w:color w:val="auto"/>
          <w:szCs w:val="21"/>
          <w:highlight w:val="none"/>
          <w:lang w:eastAsia="zh-CN"/>
        </w:rPr>
        <w:t>（1）</w:t>
      </w:r>
      <w:r>
        <w:rPr>
          <w:rFonts w:hint="eastAsia"/>
          <w:color w:val="auto"/>
          <w:szCs w:val="21"/>
          <w:highlight w:val="none"/>
          <w:lang w:val="en-US" w:eastAsia="zh-CN"/>
        </w:rPr>
        <w:t>验收主体：由采购人负责验收工作，必要时可邀请第三方专业检测机构或专家参与验收工作。</w:t>
      </w:r>
    </w:p>
    <w:p w14:paraId="2BFBE886">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color w:val="auto"/>
          <w:szCs w:val="21"/>
          <w:highlight w:val="none"/>
          <w:lang w:eastAsia="zh-CN"/>
        </w:rPr>
      </w:pPr>
      <w:r>
        <w:rPr>
          <w:rFonts w:hint="eastAsia"/>
          <w:color w:val="auto"/>
          <w:szCs w:val="21"/>
          <w:highlight w:val="none"/>
          <w:lang w:eastAsia="zh-CN"/>
        </w:rPr>
        <w:t>（</w:t>
      </w:r>
      <w:r>
        <w:rPr>
          <w:rFonts w:hint="eastAsia"/>
          <w:color w:val="auto"/>
          <w:szCs w:val="21"/>
          <w:highlight w:val="none"/>
          <w:lang w:val="en-US" w:eastAsia="zh-CN"/>
        </w:rPr>
        <w:t>2</w:t>
      </w:r>
      <w:r>
        <w:rPr>
          <w:rFonts w:hint="eastAsia"/>
          <w:color w:val="auto"/>
          <w:szCs w:val="21"/>
          <w:highlight w:val="none"/>
          <w:lang w:eastAsia="zh-CN"/>
        </w:rPr>
        <w:t>）验收时间：</w:t>
      </w:r>
      <w:r>
        <w:rPr>
          <w:rFonts w:hint="eastAsia"/>
          <w:color w:val="auto"/>
          <w:szCs w:val="21"/>
          <w:highlight w:val="none"/>
          <w:lang w:val="en-US" w:eastAsia="zh-CN"/>
        </w:rPr>
        <w:t>分期验收；每日配送后</w:t>
      </w:r>
      <w:r>
        <w:rPr>
          <w:rFonts w:hint="eastAsia" w:ascii="宋体" w:hAnsi="宋体" w:eastAsia="宋体" w:cs="宋体"/>
          <w:color w:val="auto"/>
          <w:kern w:val="2"/>
          <w:sz w:val="21"/>
          <w:szCs w:val="21"/>
          <w:highlight w:val="none"/>
          <w:lang w:val="en-US" w:eastAsia="zh-CN"/>
        </w:rPr>
        <w:t>按次进行当日验收；服务期结束后15日内，采购人</w:t>
      </w:r>
      <w:r>
        <w:rPr>
          <w:rFonts w:hint="eastAsia" w:ascii="宋体" w:hAnsi="宋体" w:eastAsia="宋体" w:cs="宋体"/>
          <w:i w:val="0"/>
          <w:iCs w:val="0"/>
          <w:color w:val="auto"/>
          <w:sz w:val="21"/>
          <w:szCs w:val="21"/>
          <w:highlight w:val="none"/>
          <w:lang w:val="en-US" w:eastAsia="zh-CN"/>
        </w:rPr>
        <w:t>对供应商服务期内的服务情况给予总体评价。</w:t>
      </w:r>
    </w:p>
    <w:p w14:paraId="4EE56C6C">
      <w:pPr>
        <w:spacing w:line="360" w:lineRule="auto"/>
        <w:ind w:firstLine="420" w:firstLineChars="200"/>
        <w:rPr>
          <w:rFonts w:hint="eastAsia" w:eastAsia="宋体"/>
          <w:color w:val="auto"/>
          <w:szCs w:val="21"/>
          <w:highlight w:val="none"/>
          <w:lang w:eastAsia="zh-CN"/>
        </w:rPr>
      </w:pPr>
      <w:r>
        <w:rPr>
          <w:rFonts w:hint="eastAsia"/>
          <w:color w:val="auto"/>
          <w:szCs w:val="21"/>
          <w:highlight w:val="none"/>
          <w:lang w:eastAsia="zh-CN"/>
        </w:rPr>
        <w:t>（</w:t>
      </w:r>
      <w:r>
        <w:rPr>
          <w:rFonts w:hint="eastAsia"/>
          <w:color w:val="auto"/>
          <w:szCs w:val="21"/>
          <w:highlight w:val="none"/>
          <w:lang w:val="en-US" w:eastAsia="zh-CN"/>
        </w:rPr>
        <w:t>3</w:t>
      </w:r>
      <w:r>
        <w:rPr>
          <w:rFonts w:hint="eastAsia"/>
          <w:color w:val="auto"/>
          <w:szCs w:val="21"/>
          <w:highlight w:val="none"/>
          <w:lang w:eastAsia="zh-CN"/>
        </w:rPr>
        <w:t>）验收方式：</w:t>
      </w:r>
      <w:r>
        <w:rPr>
          <w:rFonts w:hint="eastAsia" w:ascii="宋体" w:hAnsi="宋体" w:eastAsia="宋体" w:cs="宋体"/>
          <w:color w:val="auto"/>
          <w:kern w:val="2"/>
          <w:sz w:val="21"/>
          <w:szCs w:val="21"/>
          <w:highlight w:val="none"/>
        </w:rPr>
        <w:t>合同期内分批验收</w:t>
      </w:r>
      <w:r>
        <w:rPr>
          <w:rFonts w:hint="eastAsia" w:ascii="宋体" w:hAnsi="宋体" w:eastAsia="宋体" w:cs="宋体"/>
          <w:color w:val="auto"/>
          <w:kern w:val="2"/>
          <w:sz w:val="21"/>
          <w:szCs w:val="21"/>
          <w:highlight w:val="none"/>
          <w:lang w:eastAsia="zh-CN"/>
        </w:rPr>
        <w:t>。</w:t>
      </w:r>
    </w:p>
    <w:p w14:paraId="3229B565">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color w:val="auto"/>
          <w:szCs w:val="21"/>
          <w:highlight w:val="none"/>
          <w:lang w:val="en-US" w:eastAsia="zh-CN"/>
        </w:rPr>
      </w:pPr>
      <w:r>
        <w:rPr>
          <w:rFonts w:hint="eastAsia"/>
          <w:color w:val="auto"/>
          <w:szCs w:val="21"/>
          <w:highlight w:val="none"/>
          <w:lang w:eastAsia="zh-CN"/>
        </w:rPr>
        <w:t>（</w:t>
      </w:r>
      <w:r>
        <w:rPr>
          <w:rFonts w:hint="eastAsia"/>
          <w:color w:val="auto"/>
          <w:szCs w:val="21"/>
          <w:highlight w:val="none"/>
          <w:lang w:val="en-US" w:eastAsia="zh-CN"/>
        </w:rPr>
        <w:t>4</w:t>
      </w:r>
      <w:r>
        <w:rPr>
          <w:rFonts w:hint="eastAsia"/>
          <w:color w:val="auto"/>
          <w:szCs w:val="21"/>
          <w:highlight w:val="none"/>
          <w:lang w:eastAsia="zh-CN"/>
        </w:rPr>
        <w:t>）</w:t>
      </w:r>
      <w:r>
        <w:rPr>
          <w:rFonts w:hint="eastAsia"/>
          <w:color w:val="auto"/>
          <w:szCs w:val="21"/>
          <w:highlight w:val="none"/>
          <w:lang w:val="en-US" w:eastAsia="zh-CN"/>
        </w:rPr>
        <w:t>验收内容：</w:t>
      </w:r>
    </w:p>
    <w:p w14:paraId="0A8913B0">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color w:val="auto"/>
          <w:szCs w:val="21"/>
          <w:highlight w:val="none"/>
          <w:lang w:eastAsia="zh-CN"/>
        </w:rPr>
      </w:pPr>
      <w:r>
        <w:rPr>
          <w:rFonts w:hint="eastAsia"/>
          <w:color w:val="auto"/>
          <w:szCs w:val="21"/>
          <w:highlight w:val="none"/>
          <w:lang w:val="en-US" w:eastAsia="zh-CN"/>
        </w:rPr>
        <w:t>①</w:t>
      </w:r>
      <w:r>
        <w:rPr>
          <w:rFonts w:hint="eastAsia"/>
          <w:color w:val="auto"/>
          <w:szCs w:val="21"/>
          <w:highlight w:val="none"/>
          <w:lang w:eastAsia="zh-CN"/>
        </w:rPr>
        <w:t>供应商将所应供食材送至采购人指定地点后，由采购人指定相关人员，对供应商所配送食材的品种、数量、质量等进行逐项验收，验收合格后双方签字确认；若发现与采购人要求不符的情况，采购人有权要求供应商纠正。验收中若发现不符合国家卫生要求的食品，供应商要无条件收回所供应的食品，造成的损失由供应商负责，并需在1小时内更换补充到位食堂当天所需物品。如果发现有食材、食品存在质量、数量等问题，供应商应负责按照采购人的要求采取补足、更换等处理措施，并承担由此发生的一切损失和费用。</w:t>
      </w:r>
    </w:p>
    <w:p w14:paraId="37238C23">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color w:val="auto"/>
          <w:szCs w:val="21"/>
          <w:highlight w:val="none"/>
          <w:lang w:eastAsia="zh-CN"/>
        </w:rPr>
      </w:pPr>
      <w:r>
        <w:rPr>
          <w:rFonts w:hint="eastAsia"/>
          <w:color w:val="auto"/>
          <w:szCs w:val="21"/>
          <w:highlight w:val="none"/>
          <w:lang w:val="en-US" w:eastAsia="zh-CN"/>
        </w:rPr>
        <w:t>②</w:t>
      </w:r>
      <w:r>
        <w:rPr>
          <w:rFonts w:hint="eastAsia"/>
          <w:color w:val="auto"/>
          <w:szCs w:val="21"/>
          <w:highlight w:val="none"/>
          <w:lang w:eastAsia="zh-CN"/>
        </w:rPr>
        <w:t>供应商保证所采购之货品全部通过正规渠道采购。符合国家食品安全相关标准，无毒、无害，具良好的感官性状。如因配送之货品导致食物中毒事件，全部经济和法律后果由供应商承担。</w:t>
      </w:r>
    </w:p>
    <w:p w14:paraId="7E011580">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color w:val="auto"/>
          <w:szCs w:val="21"/>
          <w:highlight w:val="none"/>
          <w:lang w:eastAsia="zh-CN"/>
        </w:rPr>
      </w:pPr>
      <w:r>
        <w:rPr>
          <w:rFonts w:hint="eastAsia"/>
          <w:color w:val="auto"/>
          <w:szCs w:val="21"/>
          <w:highlight w:val="none"/>
          <w:lang w:val="en-US" w:eastAsia="zh-CN"/>
        </w:rPr>
        <w:t>③</w:t>
      </w:r>
      <w:r>
        <w:rPr>
          <w:rFonts w:hint="eastAsia"/>
          <w:color w:val="auto"/>
          <w:szCs w:val="21"/>
          <w:highlight w:val="none"/>
          <w:lang w:eastAsia="zh-CN"/>
        </w:rPr>
        <w:t>供应商工作人员保持个人清洁卫生，禁止在食堂工作区域随意走动，遵守采购人相关管理规定。保证送货质量符合双方协商之标准，如所送的品种、规格不符合规定，采购人同意使用的，应按质论价，如有质量问题的，采购人可以追究供应商的违约责任；如采购人不同意使用，则根据货品的具体情况，由供应商负责包换，并承担由此产生的费用。</w:t>
      </w:r>
    </w:p>
    <w:p w14:paraId="64AFB306">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color w:val="auto"/>
          <w:szCs w:val="21"/>
          <w:highlight w:val="none"/>
          <w:lang w:eastAsia="zh-CN"/>
        </w:rPr>
      </w:pPr>
      <w:r>
        <w:rPr>
          <w:rFonts w:hint="eastAsia"/>
          <w:color w:val="auto"/>
          <w:szCs w:val="21"/>
          <w:highlight w:val="none"/>
          <w:lang w:val="en-US" w:eastAsia="zh-CN"/>
        </w:rPr>
        <w:t>④</w:t>
      </w:r>
      <w:r>
        <w:rPr>
          <w:rFonts w:hint="eastAsia"/>
          <w:color w:val="auto"/>
          <w:szCs w:val="21"/>
          <w:highlight w:val="none"/>
          <w:lang w:eastAsia="zh-CN"/>
        </w:rPr>
        <w:t>供应商负责所订货物的运输、搬运等工作，所产生的费用由供应商负责。每次送货，供应商负责货物的运输、过秤等，并协助采购人验收货物，货物的品种和重量以采购人验收的结果为准。</w:t>
      </w:r>
    </w:p>
    <w:p w14:paraId="2426A5D3">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default"/>
          <w:color w:val="auto"/>
          <w:szCs w:val="21"/>
          <w:highlight w:val="none"/>
          <w:lang w:val="en-US" w:eastAsia="zh-CN"/>
        </w:rPr>
      </w:pPr>
      <w:r>
        <w:rPr>
          <w:rFonts w:hint="eastAsia"/>
          <w:color w:val="auto"/>
          <w:szCs w:val="21"/>
          <w:highlight w:val="none"/>
          <w:lang w:val="en-US" w:eastAsia="zh-CN"/>
        </w:rPr>
        <w:t>⑤</w:t>
      </w:r>
      <w:r>
        <w:rPr>
          <w:rFonts w:hint="eastAsia"/>
          <w:color w:val="auto"/>
          <w:szCs w:val="21"/>
          <w:highlight w:val="none"/>
          <w:lang w:eastAsia="zh-CN"/>
        </w:rPr>
        <w:t>双方对质量有争议，如需将货物送至具有资质的质量检测机构检测的，检测费用由供应商支付。</w:t>
      </w:r>
    </w:p>
    <w:p w14:paraId="590BDDD6">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default"/>
          <w:color w:val="auto"/>
          <w:szCs w:val="21"/>
          <w:highlight w:val="none"/>
          <w:lang w:val="en-US" w:eastAsia="zh-CN"/>
        </w:rPr>
      </w:pPr>
      <w:r>
        <w:rPr>
          <w:rFonts w:hint="eastAsia"/>
          <w:color w:val="auto"/>
          <w:szCs w:val="21"/>
          <w:highlight w:val="none"/>
          <w:lang w:eastAsia="zh-CN"/>
        </w:rPr>
        <w:t>（</w:t>
      </w:r>
      <w:r>
        <w:rPr>
          <w:rFonts w:hint="eastAsia"/>
          <w:color w:val="auto"/>
          <w:szCs w:val="21"/>
          <w:highlight w:val="none"/>
          <w:lang w:val="en-US" w:eastAsia="zh-CN"/>
        </w:rPr>
        <w:t>5</w:t>
      </w:r>
      <w:r>
        <w:rPr>
          <w:rFonts w:hint="eastAsia"/>
          <w:color w:val="auto"/>
          <w:szCs w:val="21"/>
          <w:highlight w:val="none"/>
          <w:lang w:eastAsia="zh-CN"/>
        </w:rPr>
        <w:t>）验收标准：供应商提供的货物或服务质量符合国家及行业强制标准，采购文件要求、投标（响应）文件承诺及合同要求；</w:t>
      </w:r>
      <w:r>
        <w:rPr>
          <w:rFonts w:hint="eastAsia"/>
          <w:color w:val="auto"/>
          <w:szCs w:val="21"/>
          <w:highlight w:val="none"/>
          <w:lang w:val="en-US" w:eastAsia="zh-CN"/>
        </w:rPr>
        <w:t>以及满足以下标准要求：</w:t>
      </w:r>
    </w:p>
    <w:p w14:paraId="02ECF0DB">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color w:val="auto"/>
          <w:szCs w:val="21"/>
          <w:highlight w:val="none"/>
          <w:lang w:eastAsia="zh-CN"/>
        </w:rPr>
      </w:pPr>
      <w:r>
        <w:rPr>
          <w:rFonts w:hint="eastAsia"/>
          <w:color w:val="auto"/>
          <w:szCs w:val="21"/>
          <w:highlight w:val="none"/>
          <w:lang w:val="en-US" w:eastAsia="zh-CN"/>
        </w:rPr>
        <w:t>①</w:t>
      </w:r>
      <w:r>
        <w:rPr>
          <w:rFonts w:hint="eastAsia"/>
          <w:color w:val="auto"/>
          <w:szCs w:val="21"/>
          <w:highlight w:val="none"/>
          <w:lang w:eastAsia="zh-CN"/>
        </w:rPr>
        <w:t>供应商提供的货物或服务质量符合国家食品安全标准，对于没有国家标准的应符合行业标准，其中国家有强制性技术标准要求的产品，还应符合国家强制性技术标准，以及招标文件要求、投标（响应）文件承诺及合同要求；严格遵守《中华人民共和国食品安全法》《中华人民共和国中华人民共和国食品安全法实施条例》《中华人民共和国产品质量法》《动物检疫管理办法》等法律法规及属地食品安全相关规定。</w:t>
      </w:r>
    </w:p>
    <w:p w14:paraId="49E2A98C">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color w:val="auto"/>
          <w:szCs w:val="21"/>
          <w:highlight w:val="none"/>
          <w:lang w:eastAsia="zh-CN"/>
        </w:rPr>
      </w:pPr>
      <w:r>
        <w:rPr>
          <w:rFonts w:hint="eastAsia"/>
          <w:color w:val="auto"/>
          <w:szCs w:val="21"/>
          <w:highlight w:val="none"/>
          <w:lang w:val="en-US" w:eastAsia="zh-CN"/>
        </w:rPr>
        <w:t>②</w:t>
      </w:r>
      <w:r>
        <w:rPr>
          <w:rFonts w:hint="eastAsia"/>
          <w:color w:val="auto"/>
          <w:szCs w:val="21"/>
          <w:highlight w:val="none"/>
          <w:lang w:eastAsia="zh-CN"/>
        </w:rPr>
        <w:t>确保配送的货物安全、卫生。供应商所提供的货物必须保证均为正规生产的新鲜、检验合格、无毒、无公害、无污染、无辐射、无侵权货品，符合国家有关卫生、质量、包装和保质标准，货品必须在有效保质期内。严禁供应有害、有毒、腐烂变质、酸败、霉变、生虫、污垢不洁、混有异物或者其他感官性状异常、超过保质期限的食品。</w:t>
      </w:r>
    </w:p>
    <w:p w14:paraId="58AEDAEE">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color w:val="auto"/>
          <w:szCs w:val="21"/>
          <w:highlight w:val="none"/>
          <w:lang w:eastAsia="zh-CN"/>
        </w:rPr>
      </w:pPr>
      <w:r>
        <w:rPr>
          <w:rFonts w:hint="eastAsia"/>
          <w:color w:val="auto"/>
          <w:szCs w:val="21"/>
          <w:highlight w:val="none"/>
          <w:lang w:val="en-US" w:eastAsia="zh-CN"/>
        </w:rPr>
        <w:t>③</w:t>
      </w:r>
      <w:r>
        <w:rPr>
          <w:rFonts w:hint="eastAsia"/>
          <w:color w:val="auto"/>
          <w:szCs w:val="21"/>
          <w:highlight w:val="none"/>
          <w:lang w:eastAsia="zh-CN"/>
        </w:rPr>
        <w:t>供应商所提供的货物需具有追踪溯源体系，并可追踪溯源，根据采购人的要求递交溯源资料。清真类食材、食品应在外包装上标明“清真”字样；不接受转基因产品。</w:t>
      </w:r>
    </w:p>
    <w:p w14:paraId="241E78D0">
      <w:pPr>
        <w:pStyle w:val="45"/>
        <w:keepNext w:val="0"/>
        <w:keepLines w:val="0"/>
        <w:pageBreakBefore w:val="0"/>
        <w:widowControl w:val="0"/>
        <w:numPr>
          <w:ilvl w:val="0"/>
          <w:numId w:val="5"/>
        </w:numPr>
        <w:kinsoku/>
        <w:wordWrap/>
        <w:overflowPunct/>
        <w:topLinePunct w:val="0"/>
        <w:autoSpaceDE/>
        <w:autoSpaceDN/>
        <w:bidi w:val="0"/>
        <w:spacing w:after="0" w:line="360" w:lineRule="auto"/>
        <w:ind w:left="0" w:leftChars="0" w:firstLine="420"/>
        <w:jc w:val="left"/>
        <w:rPr>
          <w:rFonts w:hint="eastAsia"/>
          <w:color w:val="auto"/>
          <w:szCs w:val="21"/>
          <w:highlight w:val="none"/>
        </w:rPr>
      </w:pPr>
      <w:r>
        <w:rPr>
          <w:rFonts w:hint="eastAsia"/>
          <w:color w:val="auto"/>
          <w:szCs w:val="21"/>
          <w:highlight w:val="none"/>
        </w:rPr>
        <w:t>履约保证金：</w:t>
      </w:r>
    </w:p>
    <w:p w14:paraId="030725B4">
      <w:pPr>
        <w:pStyle w:val="45"/>
        <w:keepNext w:val="0"/>
        <w:keepLines w:val="0"/>
        <w:pageBreakBefore w:val="0"/>
        <w:widowControl w:val="0"/>
        <w:numPr>
          <w:ilvl w:val="0"/>
          <w:numId w:val="0"/>
        </w:numPr>
        <w:kinsoku/>
        <w:wordWrap/>
        <w:overflowPunct/>
        <w:topLinePunct w:val="0"/>
        <w:autoSpaceDE/>
        <w:autoSpaceDN/>
        <w:bidi w:val="0"/>
        <w:spacing w:after="0" w:line="360" w:lineRule="auto"/>
        <w:ind w:firstLine="420" w:firstLineChars="200"/>
        <w:jc w:val="left"/>
        <w:rPr>
          <w:rFonts w:hint="eastAsia" w:ascii="宋体" w:hAnsi="宋体" w:eastAsia="宋体" w:cs="Times New Roman"/>
          <w:color w:val="auto"/>
          <w:szCs w:val="21"/>
          <w:highlight w:val="none"/>
        </w:rPr>
      </w:pPr>
      <w:r>
        <w:rPr>
          <w:rFonts w:hint="eastAsia" w:cs="Times New Roman"/>
          <w:color w:val="auto"/>
          <w:szCs w:val="21"/>
          <w:highlight w:val="none"/>
          <w:lang w:eastAsia="zh-CN"/>
        </w:rPr>
        <w:t>（</w:t>
      </w:r>
      <w:r>
        <w:rPr>
          <w:rFonts w:hint="eastAsia" w:cs="Times New Roman"/>
          <w:color w:val="auto"/>
          <w:szCs w:val="21"/>
          <w:highlight w:val="none"/>
          <w:lang w:val="en-US" w:eastAsia="zh-CN"/>
        </w:rPr>
        <w:t>1</w:t>
      </w:r>
      <w:r>
        <w:rPr>
          <w:rFonts w:hint="eastAsia" w:cs="Times New Roman"/>
          <w:color w:val="auto"/>
          <w:szCs w:val="21"/>
          <w:highlight w:val="none"/>
          <w:lang w:eastAsia="zh-CN"/>
        </w:rPr>
        <w:t>）</w:t>
      </w:r>
      <w:r>
        <w:rPr>
          <w:rFonts w:hint="eastAsia" w:ascii="宋体" w:hAnsi="宋体" w:eastAsia="宋体" w:cs="Times New Roman"/>
          <w:color w:val="auto"/>
          <w:szCs w:val="21"/>
          <w:highlight w:val="none"/>
        </w:rPr>
        <w:t>成交供应商在收到成交通知书5个工作日内，向采购人以支票、汇票、银行保函等非现金形式提交</w:t>
      </w:r>
      <w:r>
        <w:rPr>
          <w:rFonts w:hint="eastAsia" w:ascii="宋体" w:hAnsi="宋体" w:eastAsia="宋体" w:cs="Times New Roman"/>
          <w:b/>
          <w:bCs/>
          <w:color w:val="auto"/>
          <w:szCs w:val="21"/>
          <w:highlight w:val="none"/>
        </w:rPr>
        <w:t>人民币壹拾万元</w:t>
      </w:r>
      <w:r>
        <w:rPr>
          <w:rFonts w:hint="eastAsia" w:ascii="宋体" w:hAnsi="宋体" w:eastAsia="宋体" w:cs="Times New Roman"/>
          <w:color w:val="auto"/>
          <w:szCs w:val="21"/>
          <w:highlight w:val="none"/>
        </w:rPr>
        <w:t>的履约保证金。</w:t>
      </w:r>
    </w:p>
    <w:p w14:paraId="22E5E537">
      <w:pPr>
        <w:pStyle w:val="45"/>
        <w:keepNext w:val="0"/>
        <w:keepLines w:val="0"/>
        <w:pageBreakBefore w:val="0"/>
        <w:widowControl w:val="0"/>
        <w:numPr>
          <w:ilvl w:val="0"/>
          <w:numId w:val="0"/>
        </w:numPr>
        <w:kinsoku/>
        <w:wordWrap/>
        <w:overflowPunct/>
        <w:topLinePunct w:val="0"/>
        <w:autoSpaceDE/>
        <w:autoSpaceDN/>
        <w:bidi w:val="0"/>
        <w:spacing w:after="0" w:line="360" w:lineRule="auto"/>
        <w:ind w:firstLine="420" w:firstLineChars="200"/>
        <w:jc w:val="left"/>
        <w:rPr>
          <w:rFonts w:hint="eastAsia" w:ascii="宋体" w:hAnsi="宋体" w:eastAsia="宋体" w:cs="Times New Roman"/>
          <w:color w:val="auto"/>
          <w:szCs w:val="21"/>
          <w:highlight w:val="none"/>
        </w:rPr>
      </w:pPr>
      <w:r>
        <w:rPr>
          <w:rFonts w:hint="eastAsia" w:cs="Times New Roman"/>
          <w:color w:val="auto"/>
          <w:szCs w:val="21"/>
          <w:highlight w:val="none"/>
          <w:lang w:eastAsia="zh-CN"/>
        </w:rPr>
        <w:t>（</w:t>
      </w:r>
      <w:r>
        <w:rPr>
          <w:rFonts w:hint="eastAsia" w:cs="Times New Roman"/>
          <w:color w:val="auto"/>
          <w:szCs w:val="21"/>
          <w:highlight w:val="none"/>
          <w:lang w:val="en-US" w:eastAsia="zh-CN"/>
        </w:rPr>
        <w:t>2</w:t>
      </w:r>
      <w:r>
        <w:rPr>
          <w:rFonts w:hint="eastAsia" w:cs="Times New Roman"/>
          <w:color w:val="auto"/>
          <w:szCs w:val="21"/>
          <w:highlight w:val="none"/>
          <w:lang w:eastAsia="zh-CN"/>
        </w:rPr>
        <w:t>）</w:t>
      </w:r>
      <w:r>
        <w:rPr>
          <w:rFonts w:hint="eastAsia" w:ascii="宋体" w:hAnsi="宋体" w:eastAsia="宋体" w:cs="Times New Roman"/>
          <w:color w:val="auto"/>
          <w:szCs w:val="21"/>
          <w:highlight w:val="none"/>
        </w:rPr>
        <w:t>如在合同执行期间因成交供应商违约导致履约保证金部分扣除的，成交供应商需在五个工作日内将扣除的履约保证金补齐。</w:t>
      </w:r>
    </w:p>
    <w:p w14:paraId="2D8EB544">
      <w:pPr>
        <w:pStyle w:val="45"/>
        <w:keepNext w:val="0"/>
        <w:keepLines w:val="0"/>
        <w:pageBreakBefore w:val="0"/>
        <w:widowControl w:val="0"/>
        <w:numPr>
          <w:ilvl w:val="0"/>
          <w:numId w:val="0"/>
        </w:numPr>
        <w:kinsoku/>
        <w:wordWrap/>
        <w:overflowPunct/>
        <w:topLinePunct w:val="0"/>
        <w:autoSpaceDE/>
        <w:autoSpaceDN/>
        <w:bidi w:val="0"/>
        <w:spacing w:after="0" w:line="360" w:lineRule="auto"/>
        <w:ind w:firstLine="420" w:firstLineChars="200"/>
        <w:jc w:val="left"/>
        <w:rPr>
          <w:rFonts w:hint="eastAsia" w:ascii="宋体" w:hAnsi="宋体" w:eastAsia="宋体" w:cs="Times New Roman"/>
          <w:color w:val="auto"/>
          <w:szCs w:val="21"/>
          <w:highlight w:val="none"/>
        </w:rPr>
      </w:pPr>
      <w:r>
        <w:rPr>
          <w:rFonts w:hint="eastAsia" w:cs="Times New Roman"/>
          <w:color w:val="auto"/>
          <w:szCs w:val="21"/>
          <w:highlight w:val="none"/>
          <w:lang w:eastAsia="zh-CN"/>
        </w:rPr>
        <w:t>（</w:t>
      </w:r>
      <w:r>
        <w:rPr>
          <w:rFonts w:hint="eastAsia" w:cs="Times New Roman"/>
          <w:color w:val="auto"/>
          <w:szCs w:val="21"/>
          <w:highlight w:val="none"/>
          <w:lang w:val="en-US" w:eastAsia="zh-CN"/>
        </w:rPr>
        <w:t>3</w:t>
      </w:r>
      <w:r>
        <w:rPr>
          <w:rFonts w:hint="eastAsia" w:cs="Times New Roman"/>
          <w:color w:val="auto"/>
          <w:szCs w:val="21"/>
          <w:highlight w:val="none"/>
          <w:lang w:eastAsia="zh-CN"/>
        </w:rPr>
        <w:t>）</w:t>
      </w:r>
      <w:r>
        <w:rPr>
          <w:rFonts w:hint="eastAsia" w:ascii="宋体" w:hAnsi="宋体" w:eastAsia="宋体" w:cs="Times New Roman"/>
          <w:color w:val="auto"/>
          <w:szCs w:val="21"/>
          <w:highlight w:val="none"/>
        </w:rPr>
        <w:t>如成交供应商在合同执行过程中单方面终止合同或违反合同条款被取消供应资格，履约保证金不退还。</w:t>
      </w:r>
    </w:p>
    <w:p w14:paraId="3B8F8CED">
      <w:pPr>
        <w:pStyle w:val="45"/>
        <w:keepNext w:val="0"/>
        <w:keepLines w:val="0"/>
        <w:pageBreakBefore w:val="0"/>
        <w:widowControl w:val="0"/>
        <w:numPr>
          <w:ilvl w:val="0"/>
          <w:numId w:val="0"/>
        </w:numPr>
        <w:kinsoku/>
        <w:wordWrap/>
        <w:overflowPunct/>
        <w:topLinePunct w:val="0"/>
        <w:autoSpaceDE/>
        <w:autoSpaceDN/>
        <w:bidi w:val="0"/>
        <w:spacing w:after="0" w:line="360" w:lineRule="auto"/>
        <w:ind w:firstLine="420" w:firstLineChars="200"/>
        <w:jc w:val="left"/>
        <w:rPr>
          <w:rFonts w:hint="eastAsia" w:ascii="宋体" w:hAnsi="宋体" w:eastAsia="宋体" w:cs="Times New Roman"/>
          <w:color w:val="auto"/>
          <w:szCs w:val="21"/>
          <w:highlight w:val="none"/>
        </w:rPr>
      </w:pPr>
      <w:r>
        <w:rPr>
          <w:rFonts w:hint="eastAsia" w:cs="Times New Roman"/>
          <w:color w:val="auto"/>
          <w:szCs w:val="21"/>
          <w:highlight w:val="none"/>
          <w:lang w:eastAsia="zh-CN"/>
        </w:rPr>
        <w:t>（</w:t>
      </w:r>
      <w:r>
        <w:rPr>
          <w:rFonts w:hint="eastAsia" w:cs="Times New Roman"/>
          <w:color w:val="auto"/>
          <w:szCs w:val="21"/>
          <w:highlight w:val="none"/>
          <w:lang w:val="en-US" w:eastAsia="zh-CN"/>
        </w:rPr>
        <w:t>4</w:t>
      </w:r>
      <w:r>
        <w:rPr>
          <w:rFonts w:hint="eastAsia" w:cs="Times New Roman"/>
          <w:color w:val="auto"/>
          <w:szCs w:val="21"/>
          <w:highlight w:val="none"/>
          <w:lang w:eastAsia="zh-CN"/>
        </w:rPr>
        <w:t>）</w:t>
      </w:r>
      <w:r>
        <w:rPr>
          <w:rFonts w:hint="eastAsia" w:ascii="宋体" w:hAnsi="宋体" w:eastAsia="宋体" w:cs="Times New Roman"/>
          <w:color w:val="auto"/>
          <w:szCs w:val="21"/>
          <w:highlight w:val="none"/>
        </w:rPr>
        <w:t>成交供应商无违约情况，在完成其合同义务，包括任何保证义务后30日内，一次性无息退还履约保证金。</w:t>
      </w:r>
    </w:p>
    <w:p w14:paraId="12AFC2BD">
      <w:pPr>
        <w:pStyle w:val="45"/>
        <w:keepNext w:val="0"/>
        <w:keepLines w:val="0"/>
        <w:pageBreakBefore w:val="0"/>
        <w:widowControl w:val="0"/>
        <w:numPr>
          <w:ilvl w:val="0"/>
          <w:numId w:val="5"/>
        </w:numPr>
        <w:kinsoku/>
        <w:wordWrap/>
        <w:overflowPunct/>
        <w:topLinePunct w:val="0"/>
        <w:autoSpaceDE/>
        <w:autoSpaceDN/>
        <w:bidi w:val="0"/>
        <w:spacing w:after="0" w:line="360" w:lineRule="auto"/>
        <w:ind w:left="0" w:leftChars="0" w:firstLine="420" w:firstLineChars="0"/>
        <w:jc w:val="left"/>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质量保证期</w:t>
      </w:r>
      <w:r>
        <w:rPr>
          <w:rFonts w:hint="eastAsia" w:cs="Times New Roman"/>
          <w:color w:val="auto"/>
          <w:szCs w:val="21"/>
          <w:highlight w:val="none"/>
          <w:lang w:eastAsia="zh-CN"/>
        </w:rPr>
        <w:t>：</w:t>
      </w:r>
    </w:p>
    <w:p w14:paraId="12350E4A">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本项目货物质量保证期要求不低于行业标准。质量保证期从货物供货且验收合格后开始计算。如遇换货，换货后的交货日期由采购人确认，新换取货物的质保期的起算日期的计算方式同上。</w:t>
      </w:r>
    </w:p>
    <w:p w14:paraId="7FC0A5B4">
      <w:pPr>
        <w:pStyle w:val="45"/>
        <w:keepNext w:val="0"/>
        <w:keepLines w:val="0"/>
        <w:pageBreakBefore w:val="0"/>
        <w:widowControl w:val="0"/>
        <w:numPr>
          <w:ilvl w:val="0"/>
          <w:numId w:val="5"/>
        </w:numPr>
        <w:kinsoku/>
        <w:wordWrap/>
        <w:overflowPunct/>
        <w:topLinePunct w:val="0"/>
        <w:autoSpaceDE/>
        <w:autoSpaceDN/>
        <w:bidi w:val="0"/>
        <w:spacing w:after="0" w:line="360" w:lineRule="auto"/>
        <w:ind w:left="0" w:leftChars="0" w:firstLine="420" w:firstLineChars="0"/>
        <w:jc w:val="left"/>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违约责任</w:t>
      </w:r>
      <w:r>
        <w:rPr>
          <w:rFonts w:hint="eastAsia" w:cs="Times New Roman"/>
          <w:color w:val="auto"/>
          <w:szCs w:val="21"/>
          <w:highlight w:val="none"/>
          <w:lang w:eastAsia="zh-CN"/>
        </w:rPr>
        <w:t>：</w:t>
      </w:r>
    </w:p>
    <w:p w14:paraId="6837DB31">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w:t>
      </w:r>
      <w:r>
        <w:rPr>
          <w:rFonts w:hint="eastAsia" w:ascii="宋体" w:hAnsi="宋体" w:eastAsia="宋体" w:cs="Times New Roman"/>
          <w:color w:val="auto"/>
          <w:szCs w:val="21"/>
          <w:highlight w:val="none"/>
          <w:lang w:val="en-US" w:eastAsia="zh-CN"/>
        </w:rPr>
        <w:t>1</w:t>
      </w:r>
      <w:r>
        <w:rPr>
          <w:rFonts w:hint="eastAsia" w:ascii="宋体" w:hAnsi="宋体" w:eastAsia="宋体" w:cs="Times New Roman"/>
          <w:color w:val="auto"/>
          <w:szCs w:val="21"/>
          <w:highlight w:val="none"/>
          <w:lang w:eastAsia="zh-CN"/>
        </w:rPr>
        <w:t>）一般性违约，主要指配送延误、服务态度、单据不符等。第一次违约，给予口头警告；第二次违约（同一问题或累计两次），采购人向供应商发出《书面整改通知书》，该批次食材按总价款的50%办理结算；第三次违约（或累计三次以上），该批次食材不予办理结算，约谈供应商负责人，采购人有权单方面解除合同。</w:t>
      </w:r>
    </w:p>
    <w:p w14:paraId="2B9C6EB7">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w:t>
      </w:r>
      <w:r>
        <w:rPr>
          <w:rFonts w:hint="eastAsia" w:ascii="宋体" w:hAnsi="宋体" w:eastAsia="宋体" w:cs="Times New Roman"/>
          <w:color w:val="auto"/>
          <w:szCs w:val="21"/>
          <w:highlight w:val="none"/>
          <w:lang w:val="en-US" w:eastAsia="zh-CN"/>
        </w:rPr>
        <w:t>2</w:t>
      </w:r>
      <w:r>
        <w:rPr>
          <w:rFonts w:hint="eastAsia" w:ascii="宋体" w:hAnsi="宋体" w:eastAsia="宋体" w:cs="Times New Roman"/>
          <w:color w:val="auto"/>
          <w:szCs w:val="21"/>
          <w:highlight w:val="none"/>
          <w:lang w:eastAsia="zh-CN"/>
        </w:rPr>
        <w:t>）质量与食品安全违约（如食材不新鲜、变质、异物、以次充好等）</w:t>
      </w:r>
    </w:p>
    <w:p w14:paraId="461AED78">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第一次违约，给予口头警告，该批次不合格产品无条件退货或换货，且必须在约定时间内补货到位；第二次违约（同一问题或累计两次），采购人向供应商发出《书面整改通知书》，该批次食材不予办理结算；第三次违约，扣除10%的履约保证金，约谈供应商负责人，采购人有权单方面解除合同。</w:t>
      </w:r>
    </w:p>
    <w:p w14:paraId="3E893669">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若因供应商提供食品造成食品安全事故等问题的，采购人当即取消供应商供货资格，没收全部的履约保证金，并追究相应的经济损失，供应商承担全部经济和法律责任。</w:t>
      </w:r>
    </w:p>
    <w:p w14:paraId="27DEA6F2">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w:t>
      </w:r>
      <w:r>
        <w:rPr>
          <w:rFonts w:hint="eastAsia" w:ascii="宋体" w:hAnsi="宋体" w:eastAsia="宋体" w:cs="Times New Roman"/>
          <w:color w:val="auto"/>
          <w:szCs w:val="21"/>
          <w:highlight w:val="none"/>
          <w:lang w:val="en-US" w:eastAsia="zh-CN"/>
        </w:rPr>
        <w:t>3</w:t>
      </w:r>
      <w:r>
        <w:rPr>
          <w:rFonts w:hint="eastAsia" w:ascii="宋体" w:hAnsi="宋体" w:eastAsia="宋体" w:cs="Times New Roman"/>
          <w:color w:val="auto"/>
          <w:szCs w:val="21"/>
          <w:highlight w:val="none"/>
          <w:lang w:eastAsia="zh-CN"/>
        </w:rPr>
        <w:t>）检验检疫与单据违约（如缺少检疫证明、票据不全）</w:t>
      </w:r>
    </w:p>
    <w:p w14:paraId="3E362268">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第一次违约，给予口头警告，拒收相关食材，要求立即补办手续；第二次违约（同一问题或累计两次），采购人向供应商发出《书面整改通知书》，要求供应商在限定时间内补办手续，该批次食材按总价款的50%办理结算；第三次违约（或累计三次以上），该批次食材不予办理结算，约谈供应商负责人，采购人有权单方面解除合同。</w:t>
      </w:r>
    </w:p>
    <w:p w14:paraId="7BB39CE9">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w:t>
      </w:r>
      <w:r>
        <w:rPr>
          <w:rFonts w:hint="eastAsia" w:ascii="宋体" w:hAnsi="宋体" w:eastAsia="宋体" w:cs="Times New Roman"/>
          <w:color w:val="auto"/>
          <w:szCs w:val="21"/>
          <w:highlight w:val="none"/>
          <w:lang w:val="en-US" w:eastAsia="zh-CN"/>
        </w:rPr>
        <w:t>4</w:t>
      </w:r>
      <w:r>
        <w:rPr>
          <w:rFonts w:hint="eastAsia" w:ascii="宋体" w:hAnsi="宋体" w:eastAsia="宋体" w:cs="Times New Roman"/>
          <w:color w:val="auto"/>
          <w:szCs w:val="21"/>
          <w:highlight w:val="none"/>
          <w:lang w:eastAsia="zh-CN"/>
        </w:rPr>
        <w:t>）供应商为食材供应安全主体责任人，应当做到食材渠道合法、透明、可溯源，确保食品安全。供应商供应以下食品或出现以下情形的，除全部退货以外，应当承担由此造成的一切经济责任和法律责任。</w:t>
      </w:r>
    </w:p>
    <w:p w14:paraId="4FB4616E">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1）腐败变质、油脂酸败、霉变、生虫、污秽不洁、混有异物或者其他感官性状异常，对人体健康有害的；</w:t>
      </w:r>
    </w:p>
    <w:p w14:paraId="588EA0AA">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2）含有毒、有害物质或者被有害物质污染，对人体健康有害的；</w:t>
      </w:r>
    </w:p>
    <w:p w14:paraId="0B7F25E7">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3）含有致病性寄生虫、微生物或者微生物含量超过国家限定标准的；</w:t>
      </w:r>
    </w:p>
    <w:p w14:paraId="0B136C2B">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4）未经动物检疫部门检疫、检验或者检疫、检验不合格的肉类及其制品；</w:t>
      </w:r>
    </w:p>
    <w:p w14:paraId="14EBC032">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5）病死、毒死或者死因不明的禽、畜、兽、水产动物等及其制品；</w:t>
      </w:r>
    </w:p>
    <w:p w14:paraId="59F34D83">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6）掺假、掺杂、伪造，影响营养、卫生的；</w:t>
      </w:r>
    </w:p>
    <w:p w14:paraId="5B1A8039">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7）用非食品原料加工的，加入非食品用化学物质或者将非食品当作食品的；</w:t>
      </w:r>
    </w:p>
    <w:p w14:paraId="058A539E">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8）超过保质期限的；</w:t>
      </w:r>
    </w:p>
    <w:p w14:paraId="742CF0E6">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9）使用有色、有毒塑料制品包装食材的。</w:t>
      </w:r>
    </w:p>
    <w:p w14:paraId="48C8EC39">
      <w:pPr>
        <w:pStyle w:val="23"/>
        <w:rPr>
          <w:rFonts w:hint="eastAsia"/>
          <w:color w:val="auto"/>
          <w:highlight w:val="none"/>
        </w:rPr>
      </w:pPr>
    </w:p>
    <w:p w14:paraId="24B1FE1A">
      <w:pPr>
        <w:pStyle w:val="364"/>
        <w:keepNext w:val="0"/>
        <w:keepLines w:val="0"/>
        <w:pageBreakBefore w:val="0"/>
        <w:widowControl w:val="0"/>
        <w:kinsoku/>
        <w:wordWrap/>
        <w:overflowPunct/>
        <w:topLinePunct w:val="0"/>
        <w:autoSpaceDE/>
        <w:autoSpaceDN/>
        <w:bidi w:val="0"/>
        <w:rPr>
          <w:rFonts w:hint="eastAsia"/>
          <w:color w:val="auto"/>
          <w:sz w:val="21"/>
          <w:szCs w:val="21"/>
          <w:highlight w:val="none"/>
          <w:lang w:eastAsia="zh-CN"/>
        </w:rPr>
      </w:pPr>
      <w:bookmarkStart w:id="54" w:name="_Toc27206"/>
      <w:r>
        <w:rPr>
          <w:rFonts w:hint="eastAsia"/>
          <w:color w:val="auto"/>
          <w:sz w:val="21"/>
          <w:szCs w:val="21"/>
          <w:highlight w:val="none"/>
          <w:lang w:eastAsia="zh-CN"/>
        </w:rPr>
        <w:t>三、技术标准与要求</w:t>
      </w:r>
      <w:bookmarkEnd w:id="54"/>
    </w:p>
    <w:p w14:paraId="75850F0B">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default" w:eastAsia="宋体"/>
          <w:b/>
          <w:bCs/>
          <w:color w:val="auto"/>
          <w:highlight w:val="none"/>
          <w:lang w:val="en-US" w:eastAsia="zh-CN"/>
        </w:rPr>
      </w:pPr>
      <w:r>
        <w:rPr>
          <w:rFonts w:hint="eastAsia"/>
          <w:b/>
          <w:bCs/>
          <w:color w:val="auto"/>
          <w:highlight w:val="none"/>
          <w:lang w:eastAsia="zh-CN"/>
        </w:rPr>
        <w:t>（</w:t>
      </w:r>
      <w:r>
        <w:rPr>
          <w:rFonts w:hint="eastAsia"/>
          <w:b/>
          <w:bCs/>
          <w:color w:val="auto"/>
          <w:highlight w:val="none"/>
          <w:lang w:val="en-US" w:eastAsia="zh-CN"/>
        </w:rPr>
        <w:t>一</w:t>
      </w:r>
      <w:r>
        <w:rPr>
          <w:rFonts w:hint="eastAsia"/>
          <w:b/>
          <w:bCs/>
          <w:color w:val="auto"/>
          <w:highlight w:val="none"/>
          <w:lang w:eastAsia="zh-CN"/>
        </w:rPr>
        <w:t>）</w:t>
      </w:r>
      <w:r>
        <w:rPr>
          <w:rFonts w:hint="eastAsia"/>
          <w:b/>
          <w:bCs/>
          <w:color w:val="auto"/>
          <w:highlight w:val="none"/>
          <w:lang w:val="en-US" w:eastAsia="zh-CN"/>
        </w:rPr>
        <w:t>服务要求</w:t>
      </w:r>
    </w:p>
    <w:p w14:paraId="4396B006">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1.采购人在每天20:00前，将第二天的食材需求清单发送给供应商。若发生计划不准确或不及时或有疏漏等情况，供应商有义务提醒采购人提供或修正第二天的食材需求清单。</w:t>
      </w:r>
    </w:p>
    <w:p w14:paraId="6C18A42B">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2.供应商根据采购人当日的食材需求清单，组织食材采购、配送、初加工等，按规定的品名、数量、质量要求进行供应。特殊情况需要更换食材供应品种时，须经采购人同意后实施。</w:t>
      </w:r>
    </w:p>
    <w:p w14:paraId="348A86F4">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3.若未按时将食材送达，导致采购人不能按时开餐，采购人有权追究供应商的违约责任。如遇到不可抗力情况不能如期提供食材配送，须尽早通知采购人并解决问题，由此产生的一切责任均由供应商承担。</w:t>
      </w:r>
    </w:p>
    <w:p w14:paraId="1B2572BB">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4.采购人如遇特殊情况临时增加的紧急需求，供应商需在采购人提出要求后及时响应，按时限送达，不得推诿延误。</w:t>
      </w:r>
    </w:p>
    <w:p w14:paraId="3F8F6BED">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5.供应商运输工具进入采购人区域，必须接受采购人统一管理，配送人员需遵守出入境管理法律法规及口岸限定区域管理规定，不得夹带走私，发生任何人员与设施损伤，均由供应商承担责任。</w:t>
      </w:r>
    </w:p>
    <w:p w14:paraId="433E0131">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6.供应商应当严格按照采购人要求配送食材。配送全流程应当符合以下要求：</w:t>
      </w:r>
    </w:p>
    <w:tbl>
      <w:tblPr>
        <w:tblStyle w:val="372"/>
        <w:tblW w:w="499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612"/>
        <w:gridCol w:w="8030"/>
      </w:tblGrid>
      <w:tr w14:paraId="2E7591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jc w:val="center"/>
        </w:trPr>
        <w:tc>
          <w:tcPr>
            <w:tcW w:w="836" w:type="pct"/>
            <w:noWrap w:val="0"/>
            <w:vAlign w:val="center"/>
          </w:tcPr>
          <w:p w14:paraId="09B5825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color w:val="auto"/>
                <w:kern w:val="2"/>
                <w:sz w:val="21"/>
                <w:szCs w:val="21"/>
                <w:highlight w:val="none"/>
                <w:u w:val="none"/>
                <w:lang w:val="en-US" w:eastAsia="zh-CN"/>
              </w:rPr>
            </w:pPr>
            <w:r>
              <w:rPr>
                <w:rFonts w:hint="eastAsia" w:ascii="宋体" w:hAnsi="宋体" w:eastAsia="宋体" w:cs="宋体"/>
                <w:b/>
                <w:bCs/>
                <w:color w:val="auto"/>
                <w:kern w:val="2"/>
                <w:sz w:val="21"/>
                <w:szCs w:val="21"/>
                <w:highlight w:val="none"/>
                <w:u w:val="none"/>
                <w:lang w:val="en-US" w:eastAsia="zh-CN"/>
              </w:rPr>
              <w:t>分类</w:t>
            </w:r>
          </w:p>
        </w:tc>
        <w:tc>
          <w:tcPr>
            <w:tcW w:w="4163" w:type="pct"/>
            <w:noWrap w:val="0"/>
            <w:vAlign w:val="center"/>
          </w:tcPr>
          <w:p w14:paraId="064D4F3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color w:val="auto"/>
                <w:kern w:val="2"/>
                <w:sz w:val="21"/>
                <w:szCs w:val="21"/>
                <w:highlight w:val="none"/>
                <w:u w:val="none"/>
                <w:lang w:val="en-US" w:eastAsia="zh-CN"/>
              </w:rPr>
            </w:pPr>
            <w:r>
              <w:rPr>
                <w:rFonts w:hint="eastAsia" w:ascii="宋体" w:hAnsi="宋体" w:eastAsia="宋体" w:cs="宋体"/>
                <w:b/>
                <w:bCs/>
                <w:color w:val="auto"/>
                <w:kern w:val="2"/>
                <w:sz w:val="21"/>
                <w:szCs w:val="21"/>
                <w:highlight w:val="none"/>
                <w:u w:val="none"/>
                <w:lang w:val="en-US" w:eastAsia="zh-CN"/>
              </w:rPr>
              <w:t>配送要求</w:t>
            </w:r>
          </w:p>
        </w:tc>
      </w:tr>
      <w:tr w14:paraId="222C73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8" w:hRule="atLeast"/>
          <w:jc w:val="center"/>
        </w:trPr>
        <w:tc>
          <w:tcPr>
            <w:tcW w:w="836" w:type="pct"/>
            <w:noWrap w:val="0"/>
            <w:vAlign w:val="center"/>
          </w:tcPr>
          <w:p w14:paraId="3AC913C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配送前</w:t>
            </w:r>
          </w:p>
        </w:tc>
        <w:tc>
          <w:tcPr>
            <w:tcW w:w="4163" w:type="pct"/>
            <w:noWrap w:val="0"/>
            <w:vAlign w:val="center"/>
          </w:tcPr>
          <w:p w14:paraId="602EE0E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严格查验食材种类、质量、数量及外包装情况，发现问题立即补充或更换。运输工具消毒并保持清洁。</w:t>
            </w:r>
          </w:p>
        </w:tc>
      </w:tr>
      <w:tr w14:paraId="41F969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8" w:hRule="atLeast"/>
          <w:jc w:val="center"/>
        </w:trPr>
        <w:tc>
          <w:tcPr>
            <w:tcW w:w="836" w:type="pct"/>
            <w:noWrap w:val="0"/>
            <w:vAlign w:val="center"/>
          </w:tcPr>
          <w:p w14:paraId="237C1D2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配送中</w:t>
            </w:r>
          </w:p>
        </w:tc>
        <w:tc>
          <w:tcPr>
            <w:tcW w:w="4163" w:type="pct"/>
            <w:noWrap w:val="0"/>
            <w:vAlign w:val="center"/>
          </w:tcPr>
          <w:p w14:paraId="707E8D2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保持运输环境温度、湿度稳定，科学分类运输，确保运输过程无挤压、无破损、无异味。</w:t>
            </w:r>
          </w:p>
        </w:tc>
      </w:tr>
      <w:tr w14:paraId="3D0C03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8" w:hRule="atLeast"/>
          <w:jc w:val="center"/>
        </w:trPr>
        <w:tc>
          <w:tcPr>
            <w:tcW w:w="836" w:type="pct"/>
            <w:noWrap w:val="0"/>
            <w:vAlign w:val="center"/>
          </w:tcPr>
          <w:p w14:paraId="2B0CD4AD">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配送后</w:t>
            </w:r>
          </w:p>
        </w:tc>
        <w:tc>
          <w:tcPr>
            <w:tcW w:w="4163" w:type="pct"/>
            <w:noWrap w:val="0"/>
            <w:vAlign w:val="center"/>
          </w:tcPr>
          <w:p w14:paraId="4A5B50C5">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到达指定地点后应当再次查验，如需换货，</w:t>
            </w:r>
            <w:r>
              <w:rPr>
                <w:rFonts w:hint="eastAsia" w:cs="宋体"/>
                <w:color w:val="auto"/>
                <w:kern w:val="2"/>
                <w:sz w:val="21"/>
                <w:szCs w:val="21"/>
                <w:highlight w:val="none"/>
                <w:u w:val="none"/>
                <w:lang w:val="en-US" w:eastAsia="zh-CN"/>
              </w:rPr>
              <w:t>应</w:t>
            </w:r>
            <w:r>
              <w:rPr>
                <w:rFonts w:hint="eastAsia" w:ascii="宋体" w:hAnsi="宋体" w:eastAsia="宋体" w:cs="宋体"/>
                <w:color w:val="auto"/>
                <w:kern w:val="2"/>
                <w:sz w:val="21"/>
                <w:szCs w:val="21"/>
                <w:highlight w:val="none"/>
                <w:u w:val="none"/>
                <w:lang w:val="en-US" w:eastAsia="zh-CN"/>
              </w:rPr>
              <w:t>当在规定时间内重新配送到位。</w:t>
            </w:r>
          </w:p>
        </w:tc>
      </w:tr>
    </w:tbl>
    <w:p w14:paraId="7359ACE6">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7.供应商应当具有线上下单系统，系统功能含食材展示、集中下单、追加订单、订单取消等，实现购买及供应的高效、便利。</w:t>
      </w:r>
    </w:p>
    <w:p w14:paraId="29070768">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8.供应商需指派一名项目负责人专门负责本项目的服务，并提供其联系手机、电话、传真、Email等；如项目负责人需要调整应及时通知采购人；定期有明确提示，及时向采购人提示货物质量与价格方面的变动等信息。</w:t>
      </w:r>
    </w:p>
    <w:p w14:paraId="2E23A316">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9.供应商需具有与经营相适应的配送中心，配备固定的服务团队，具备相对固定的配送人员，并指派一名配送专员跟单办理业务，按每天制订的计划提供配送服务。配送服务人员应具有食品从业人员健康证明和社保参保证明。</w:t>
      </w:r>
    </w:p>
    <w:p w14:paraId="32A33773">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10.供应商应当采用满足食材配送要求的专用运输车辆（含冷链运输车）将食材配送到采购人指定地点，车辆应相对固定、手续齐全。</w:t>
      </w:r>
    </w:p>
    <w:p w14:paraId="56E0FBEB">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11.供应商应当具备满足本项目物资需求的仓储保障能力，在特殊情况下，能满足7天以上物资供应不受影响。</w:t>
      </w:r>
    </w:p>
    <w:p w14:paraId="3DA34B16">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12.供应商应当随时做好食材配送相关联的人员、设备、车辆、场地消毒清洁等保障工作，并制定突发性公共卫生事件应对办法和响应机制，包括人员培训及消杀等应急物资储备。</w:t>
      </w:r>
    </w:p>
    <w:p w14:paraId="69329EAF">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13.供应商应建立食材配送响应机制，详细计划安排配送工作，按照约定的时间和地点完成每次配送，防止误点错送。</w:t>
      </w:r>
    </w:p>
    <w:p w14:paraId="5868052B">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14.供应商应当针对恶劣天气等不可抗力因素及突发情况等建立完善的应急保障机制，确保食材供应不中断。遇到应急配送时，应当及时启动应急保障措施，响应到位。</w:t>
      </w:r>
    </w:p>
    <w:p w14:paraId="07047EFF">
      <w:pPr>
        <w:rPr>
          <w:rFonts w:hint="eastAsia"/>
          <w:color w:val="auto"/>
          <w:highlight w:val="none"/>
        </w:rPr>
      </w:pPr>
    </w:p>
    <w:p w14:paraId="259F75C8">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Times New Roman"/>
          <w:b/>
          <w:bCs/>
          <w:color w:val="auto"/>
          <w:highlight w:val="none"/>
          <w:lang w:eastAsia="zh-CN"/>
        </w:rPr>
      </w:pPr>
      <w:r>
        <w:rPr>
          <w:rFonts w:hint="eastAsia" w:ascii="宋体" w:hAnsi="宋体" w:eastAsia="宋体" w:cs="Times New Roman"/>
          <w:b/>
          <w:bCs/>
          <w:color w:val="auto"/>
          <w:highlight w:val="none"/>
          <w:lang w:eastAsia="zh-CN"/>
        </w:rPr>
        <w:t>（</w:t>
      </w:r>
      <w:r>
        <w:rPr>
          <w:rFonts w:hint="eastAsia" w:ascii="宋体" w:hAnsi="宋体" w:eastAsia="宋体" w:cs="Times New Roman"/>
          <w:b/>
          <w:bCs/>
          <w:color w:val="auto"/>
          <w:highlight w:val="none"/>
          <w:lang w:val="en-US" w:eastAsia="zh-CN"/>
        </w:rPr>
        <w:t>二</w:t>
      </w:r>
      <w:r>
        <w:rPr>
          <w:rFonts w:hint="eastAsia" w:ascii="宋体" w:hAnsi="宋体" w:eastAsia="宋体" w:cs="Times New Roman"/>
          <w:b/>
          <w:bCs/>
          <w:color w:val="auto"/>
          <w:highlight w:val="none"/>
          <w:lang w:eastAsia="zh-CN"/>
        </w:rPr>
        <w:t>）食材溯源要求</w:t>
      </w:r>
    </w:p>
    <w:p w14:paraId="758FEF25">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ascii="宋体" w:hAnsi="宋体" w:eastAsia="宋体" w:cs="宋体"/>
          <w:color w:val="auto"/>
          <w:kern w:val="2"/>
          <w:sz w:val="21"/>
          <w:szCs w:val="21"/>
          <w:highlight w:val="none"/>
        </w:rPr>
        <w:t>供应商配送的所有食品来源必须清晰，</w:t>
      </w:r>
      <w:r>
        <w:rPr>
          <w:rFonts w:hint="eastAsia" w:ascii="宋体" w:hAnsi="宋体" w:eastAsia="宋体" w:cs="宋体"/>
          <w:color w:val="auto"/>
          <w:kern w:val="2"/>
          <w:sz w:val="21"/>
          <w:szCs w:val="21"/>
          <w:highlight w:val="none"/>
          <w:lang w:eastAsia="zh-CN"/>
        </w:rPr>
        <w:t>肉类应当具有市场检验检疫出具的合格证明；</w:t>
      </w:r>
      <w:r>
        <w:rPr>
          <w:rFonts w:hint="eastAsia" w:ascii="宋体" w:hAnsi="宋体" w:eastAsia="宋体" w:cs="宋体"/>
          <w:color w:val="auto"/>
          <w:kern w:val="2"/>
          <w:sz w:val="21"/>
          <w:szCs w:val="21"/>
          <w:highlight w:val="none"/>
        </w:rPr>
        <w:t>蔬菜应当来源于受到地方政府部门监管的自有基地、商品菜基地或蔬菜专业流通市场，严禁收购散户农民的蔬菜供应</w:t>
      </w:r>
      <w:r>
        <w:rPr>
          <w:rFonts w:hint="eastAsia"/>
          <w:color w:val="auto"/>
          <w:highlight w:val="none"/>
        </w:rPr>
        <w:t>。</w:t>
      </w:r>
    </w:p>
    <w:p w14:paraId="5C20BC5A">
      <w:pPr>
        <w:rPr>
          <w:rFonts w:hint="eastAsia"/>
          <w:color w:val="auto"/>
          <w:highlight w:val="none"/>
        </w:rPr>
      </w:pPr>
    </w:p>
    <w:p w14:paraId="3DAC4F60">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Times New Roman"/>
          <w:b/>
          <w:bCs/>
          <w:color w:val="auto"/>
          <w:highlight w:val="none"/>
          <w:lang w:eastAsia="zh-CN"/>
        </w:rPr>
      </w:pPr>
      <w:r>
        <w:rPr>
          <w:rFonts w:hint="eastAsia" w:ascii="宋体" w:hAnsi="宋体" w:eastAsia="宋体" w:cs="Times New Roman"/>
          <w:b/>
          <w:bCs/>
          <w:color w:val="auto"/>
          <w:highlight w:val="none"/>
          <w:lang w:eastAsia="zh-CN"/>
        </w:rPr>
        <w:t>（</w:t>
      </w:r>
      <w:r>
        <w:rPr>
          <w:rFonts w:hint="eastAsia" w:ascii="宋体" w:hAnsi="宋体" w:eastAsia="宋体" w:cs="Times New Roman"/>
          <w:b/>
          <w:bCs/>
          <w:color w:val="auto"/>
          <w:highlight w:val="none"/>
          <w:lang w:val="en-US" w:eastAsia="zh-CN"/>
        </w:rPr>
        <w:t>三</w:t>
      </w:r>
      <w:r>
        <w:rPr>
          <w:rFonts w:hint="eastAsia" w:ascii="宋体" w:hAnsi="宋体" w:eastAsia="宋体" w:cs="Times New Roman"/>
          <w:b/>
          <w:bCs/>
          <w:color w:val="auto"/>
          <w:highlight w:val="none"/>
          <w:lang w:eastAsia="zh-CN"/>
        </w:rPr>
        <w:t>）包装和运输要求</w:t>
      </w:r>
    </w:p>
    <w:p w14:paraId="00C8BC25">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1.供应商所提供的食材临时包装应规范、卫生、整齐、美观；肉类要按采购人要求进行分割，外包透明薄膜；冻类等用保鲜袋进行冷冻封装；鱼类、海鲜类用网袋装好，放置有加氧机的清水中，保持鲜活；干货、调料、水果类用纸箱包装；蔬菜瓜类用塑料筐盛装。供应商应每天使用专用冷链车运输采购人所需食材，送货车辆要保持清洁和定期消毒，车厢内无不良气味、异味。车厢内食品堆放科学合理，避免造成食品的交叉污染；如对温度有要求的食品应确定食品的温度，记录送货车辆温度，并记录存档。</w:t>
      </w:r>
    </w:p>
    <w:p w14:paraId="72F50DCB">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highlight w:val="none"/>
        </w:rPr>
      </w:pPr>
      <w:r>
        <w:rPr>
          <w:rFonts w:hint="eastAsia"/>
          <w:color w:val="auto"/>
          <w:highlight w:val="none"/>
        </w:rPr>
        <w:t>2.货物有包装的，包装必须完整清洁(无损、无污、无皱)，采购人有权拒收包装不整齐、已拆封的商品。采购人发现商品出现损坏(包括表面损坏)，或出现水渍、串味、受潮等导致货物性质改变的，供应商必须无条件退货或更换商品。</w:t>
      </w:r>
    </w:p>
    <w:bookmarkEnd w:id="53"/>
    <w:p w14:paraId="60428AD8">
      <w:pPr>
        <w:keepNext w:val="0"/>
        <w:keepLines w:val="0"/>
        <w:pageBreakBefore w:val="0"/>
        <w:widowControl w:val="0"/>
        <w:kinsoku/>
        <w:wordWrap/>
        <w:overflowPunct/>
        <w:topLinePunct w:val="0"/>
        <w:autoSpaceDE/>
        <w:autoSpaceDN/>
        <w:bidi w:val="0"/>
        <w:ind w:firstLine="420" w:firstLineChars="200"/>
        <w:rPr>
          <w:color w:val="auto"/>
          <w:highlight w:val="none"/>
        </w:rPr>
      </w:pPr>
    </w:p>
    <w:p w14:paraId="5C376FB6">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Times New Roman"/>
          <w:b/>
          <w:bCs/>
          <w:color w:val="auto"/>
          <w:highlight w:val="none"/>
          <w:lang w:eastAsia="zh-CN"/>
        </w:rPr>
      </w:pPr>
      <w:r>
        <w:rPr>
          <w:rFonts w:hint="eastAsia" w:ascii="宋体" w:hAnsi="宋体" w:eastAsia="宋体" w:cs="Times New Roman"/>
          <w:b/>
          <w:bCs/>
          <w:color w:val="auto"/>
          <w:highlight w:val="none"/>
          <w:lang w:eastAsia="zh-CN"/>
        </w:rPr>
        <w:t>（</w:t>
      </w:r>
      <w:r>
        <w:rPr>
          <w:rFonts w:hint="eastAsia" w:ascii="宋体" w:hAnsi="宋体" w:eastAsia="宋体" w:cs="Times New Roman"/>
          <w:b/>
          <w:bCs/>
          <w:color w:val="auto"/>
          <w:highlight w:val="none"/>
          <w:lang w:val="en-US" w:eastAsia="zh-CN"/>
        </w:rPr>
        <w:t>四</w:t>
      </w:r>
      <w:r>
        <w:rPr>
          <w:rFonts w:hint="eastAsia" w:ascii="宋体" w:hAnsi="宋体" w:eastAsia="宋体" w:cs="Times New Roman"/>
          <w:b/>
          <w:bCs/>
          <w:color w:val="auto"/>
          <w:highlight w:val="none"/>
          <w:lang w:eastAsia="zh-CN"/>
        </w:rPr>
        <w:t>）售后服务标准要求</w:t>
      </w:r>
    </w:p>
    <w:p w14:paraId="7F8671BE">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Times New Roman"/>
          <w:color w:val="auto"/>
          <w:highlight w:val="none"/>
          <w:lang w:eastAsia="zh-CN"/>
        </w:rPr>
      </w:pPr>
      <w:r>
        <w:rPr>
          <w:rFonts w:hint="eastAsia" w:ascii="宋体" w:hAnsi="宋体" w:eastAsia="宋体" w:cs="Times New Roman"/>
          <w:color w:val="auto"/>
          <w:highlight w:val="none"/>
          <w:lang w:eastAsia="zh-CN"/>
        </w:rPr>
        <w:t>1.退换货处理：对于货不对版或质量达不到要求的品种，采购人要求退换货，供应商应保证在采购人指定的时间内送到，因此所产生任何费用由供应商自行承担；采购人要求退货的，供应商应无条件退货。</w:t>
      </w:r>
    </w:p>
    <w:p w14:paraId="159879BC">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Times New Roman"/>
          <w:color w:val="auto"/>
          <w:highlight w:val="none"/>
          <w:lang w:eastAsia="zh-CN"/>
        </w:rPr>
      </w:pPr>
      <w:r>
        <w:rPr>
          <w:rFonts w:hint="eastAsia" w:ascii="宋体" w:hAnsi="宋体" w:eastAsia="宋体" w:cs="Times New Roman"/>
          <w:color w:val="auto"/>
          <w:highlight w:val="none"/>
          <w:lang w:eastAsia="zh-CN"/>
        </w:rPr>
        <w:t>2.临时补货处理：当采购人有临时补货任务时，供应商要在采购人要求的时限内完成补货，确保采购人准时开餐。</w:t>
      </w:r>
    </w:p>
    <w:p w14:paraId="1BC50332">
      <w:pPr>
        <w:rPr>
          <w:rFonts w:hint="eastAsia"/>
          <w:color w:val="auto"/>
          <w:highlight w:val="none"/>
          <w:lang w:eastAsia="zh-CN"/>
        </w:rPr>
      </w:pPr>
    </w:p>
    <w:p w14:paraId="28E61DA3">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Times New Roman"/>
          <w:b/>
          <w:bCs/>
          <w:color w:val="auto"/>
          <w:highlight w:val="none"/>
          <w:lang w:eastAsia="zh-CN"/>
        </w:rPr>
      </w:pPr>
      <w:r>
        <w:rPr>
          <w:rFonts w:hint="eastAsia" w:ascii="宋体" w:hAnsi="宋体" w:eastAsia="宋体" w:cs="Times New Roman"/>
          <w:b/>
          <w:bCs/>
          <w:color w:val="auto"/>
          <w:highlight w:val="none"/>
          <w:lang w:eastAsia="zh-CN"/>
        </w:rPr>
        <w:t>（</w:t>
      </w:r>
      <w:r>
        <w:rPr>
          <w:rFonts w:hint="eastAsia" w:ascii="宋体" w:hAnsi="宋体" w:eastAsia="宋体" w:cs="Times New Roman"/>
          <w:b/>
          <w:bCs/>
          <w:color w:val="auto"/>
          <w:highlight w:val="none"/>
          <w:lang w:val="en-US" w:eastAsia="zh-CN"/>
        </w:rPr>
        <w:t>五</w:t>
      </w:r>
      <w:r>
        <w:rPr>
          <w:rFonts w:hint="eastAsia" w:ascii="宋体" w:hAnsi="宋体" w:eastAsia="宋体" w:cs="Times New Roman"/>
          <w:b/>
          <w:bCs/>
          <w:color w:val="auto"/>
          <w:highlight w:val="none"/>
          <w:lang w:eastAsia="zh-CN"/>
        </w:rPr>
        <w:t>）服务响应</w:t>
      </w:r>
    </w:p>
    <w:p w14:paraId="2D3EE8EA">
      <w:pPr>
        <w:pStyle w:val="1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Times New Roman"/>
          <w:color w:val="auto"/>
          <w:highlight w:val="none"/>
          <w:lang w:eastAsia="zh-CN"/>
        </w:rPr>
      </w:pPr>
      <w:r>
        <w:rPr>
          <w:rFonts w:hint="eastAsia" w:ascii="宋体" w:hAnsi="宋体" w:eastAsia="宋体" w:cs="Times New Roman"/>
          <w:color w:val="auto"/>
          <w:highlight w:val="none"/>
          <w:lang w:eastAsia="zh-CN"/>
        </w:rPr>
        <w:t>为确保项目质量，供应商不得转包、分包，否则采购人有权即刻终止合同，并要求供应商赔偿相应损失。</w:t>
      </w:r>
    </w:p>
    <w:p w14:paraId="544AB194">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9"/>
        <w:rPr>
          <w:rFonts w:hint="eastAsia" w:ascii="宋体" w:hAnsi="宋体" w:eastAsia="宋体" w:cs="Times New Roman"/>
          <w:b/>
          <w:bCs/>
          <w:color w:val="auto"/>
          <w:highlight w:val="none"/>
          <w:lang w:eastAsia="zh-CN"/>
        </w:rPr>
      </w:pPr>
    </w:p>
    <w:p w14:paraId="440F3ACF">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Times New Roman"/>
          <w:b/>
          <w:bCs/>
          <w:color w:val="auto"/>
          <w:highlight w:val="none"/>
          <w:lang w:eastAsia="zh-CN"/>
        </w:rPr>
      </w:pPr>
      <w:r>
        <w:rPr>
          <w:rFonts w:hint="eastAsia" w:ascii="宋体" w:hAnsi="宋体" w:eastAsia="宋体" w:cs="Times New Roman"/>
          <w:b/>
          <w:bCs/>
          <w:color w:val="auto"/>
          <w:highlight w:val="none"/>
          <w:lang w:eastAsia="zh-CN"/>
        </w:rPr>
        <w:t>（</w:t>
      </w:r>
      <w:r>
        <w:rPr>
          <w:rFonts w:hint="eastAsia" w:ascii="宋体" w:hAnsi="宋体" w:eastAsia="宋体" w:cs="Times New Roman"/>
          <w:b/>
          <w:bCs/>
          <w:color w:val="auto"/>
          <w:highlight w:val="none"/>
          <w:lang w:val="en-US" w:eastAsia="zh-CN"/>
        </w:rPr>
        <w:t>六</w:t>
      </w:r>
      <w:r>
        <w:rPr>
          <w:rFonts w:hint="eastAsia" w:ascii="宋体" w:hAnsi="宋体" w:eastAsia="宋体" w:cs="Times New Roman"/>
          <w:b/>
          <w:bCs/>
          <w:color w:val="auto"/>
          <w:highlight w:val="none"/>
          <w:lang w:eastAsia="zh-CN"/>
        </w:rPr>
        <w:t>）食材检测</w:t>
      </w:r>
    </w:p>
    <w:p w14:paraId="2767D287">
      <w:pPr>
        <w:keepNext w:val="0"/>
        <w:keepLines w:val="0"/>
        <w:pageBreakBefore w:val="0"/>
        <w:widowControl w:val="0"/>
        <w:kinsoku/>
        <w:wordWrap/>
        <w:overflowPunct/>
        <w:topLinePunct w:val="0"/>
        <w:autoSpaceDE/>
        <w:autoSpaceDN/>
        <w:bidi w:val="0"/>
        <w:ind w:firstLine="420" w:firstLineChars="200"/>
        <w:rPr>
          <w:rFonts w:hint="eastAsia"/>
          <w:color w:val="auto"/>
          <w:highlight w:val="none"/>
        </w:rPr>
      </w:pPr>
      <w:r>
        <w:rPr>
          <w:rFonts w:hint="eastAsia"/>
          <w:color w:val="auto"/>
          <w:highlight w:val="none"/>
        </w:rPr>
        <w:t>为保障食材安全，供应商应当具备相应食材检测能力。并定期对所供食材交由第三方进行全面检测，并提交检测报告。检测事项应当包括但不限于以下内容：</w:t>
      </w:r>
    </w:p>
    <w:tbl>
      <w:tblPr>
        <w:tblStyle w:val="372"/>
        <w:tblW w:w="8600"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71"/>
        <w:gridCol w:w="7429"/>
      </w:tblGrid>
      <w:tr w14:paraId="046804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3035339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211" w:firstLineChars="100"/>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序号</w:t>
            </w:r>
          </w:p>
        </w:tc>
        <w:tc>
          <w:tcPr>
            <w:tcW w:w="7429" w:type="dxa"/>
            <w:noWrap w:val="0"/>
            <w:vAlign w:val="center"/>
          </w:tcPr>
          <w:p w14:paraId="2B17470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检测事项</w:t>
            </w:r>
          </w:p>
        </w:tc>
      </w:tr>
      <w:tr w14:paraId="46CE84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2A64D8F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1</w:t>
            </w:r>
          </w:p>
        </w:tc>
        <w:tc>
          <w:tcPr>
            <w:tcW w:w="7429" w:type="dxa"/>
            <w:noWrap w:val="0"/>
            <w:vAlign w:val="center"/>
          </w:tcPr>
          <w:p w14:paraId="4866E17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非食用物质检测，吊白块、三聚氰胺、瘦肉精等</w:t>
            </w:r>
          </w:p>
        </w:tc>
      </w:tr>
      <w:tr w14:paraId="43BFEC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1CB3A8A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2</w:t>
            </w:r>
          </w:p>
        </w:tc>
        <w:tc>
          <w:tcPr>
            <w:tcW w:w="7429" w:type="dxa"/>
            <w:noWrap w:val="0"/>
            <w:vAlign w:val="center"/>
          </w:tcPr>
          <w:p w14:paraId="0B4F47C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污染物质检测，重金属、黄曲霉毒素等</w:t>
            </w:r>
          </w:p>
        </w:tc>
      </w:tr>
      <w:tr w14:paraId="26863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76232C7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3</w:t>
            </w:r>
          </w:p>
        </w:tc>
        <w:tc>
          <w:tcPr>
            <w:tcW w:w="7429" w:type="dxa"/>
            <w:noWrap w:val="0"/>
            <w:vAlign w:val="center"/>
          </w:tcPr>
          <w:p w14:paraId="29C37965">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微生物检测</w:t>
            </w:r>
          </w:p>
        </w:tc>
      </w:tr>
      <w:tr w14:paraId="3C4DC6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560EDB4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4</w:t>
            </w:r>
          </w:p>
        </w:tc>
        <w:tc>
          <w:tcPr>
            <w:tcW w:w="7429" w:type="dxa"/>
            <w:noWrap w:val="0"/>
            <w:vAlign w:val="center"/>
          </w:tcPr>
          <w:p w14:paraId="5DFC4F6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转基因检测</w:t>
            </w:r>
          </w:p>
        </w:tc>
      </w:tr>
      <w:tr w14:paraId="2B623E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4227D70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5</w:t>
            </w:r>
          </w:p>
        </w:tc>
        <w:tc>
          <w:tcPr>
            <w:tcW w:w="7429" w:type="dxa"/>
            <w:noWrap w:val="0"/>
            <w:vAlign w:val="center"/>
          </w:tcPr>
          <w:p w14:paraId="41C7076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食品添加剂检测</w:t>
            </w:r>
          </w:p>
        </w:tc>
      </w:tr>
      <w:tr w14:paraId="4690A4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2D2503D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6</w:t>
            </w:r>
          </w:p>
        </w:tc>
        <w:tc>
          <w:tcPr>
            <w:tcW w:w="7429" w:type="dxa"/>
            <w:noWrap w:val="0"/>
            <w:vAlign w:val="center"/>
          </w:tcPr>
          <w:p w14:paraId="647ACB0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食品接触材料检测</w:t>
            </w:r>
          </w:p>
        </w:tc>
      </w:tr>
      <w:tr w14:paraId="5E92F0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1AC2EB9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7</w:t>
            </w:r>
          </w:p>
        </w:tc>
        <w:tc>
          <w:tcPr>
            <w:tcW w:w="7429" w:type="dxa"/>
            <w:noWrap w:val="0"/>
            <w:vAlign w:val="center"/>
          </w:tcPr>
          <w:p w14:paraId="701336D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农药残留检测</w:t>
            </w:r>
          </w:p>
        </w:tc>
      </w:tr>
      <w:tr w14:paraId="07BBB9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7BE43E2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8</w:t>
            </w:r>
          </w:p>
        </w:tc>
        <w:tc>
          <w:tcPr>
            <w:tcW w:w="7429" w:type="dxa"/>
            <w:noWrap w:val="0"/>
            <w:vAlign w:val="center"/>
          </w:tcPr>
          <w:p w14:paraId="36D72A2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水分检测</w:t>
            </w:r>
          </w:p>
        </w:tc>
      </w:tr>
      <w:tr w14:paraId="5BD5EA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78A350A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9</w:t>
            </w:r>
          </w:p>
        </w:tc>
        <w:tc>
          <w:tcPr>
            <w:tcW w:w="7429" w:type="dxa"/>
            <w:noWrap w:val="0"/>
            <w:vAlign w:val="center"/>
          </w:tcPr>
          <w:p w14:paraId="3C79D14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兽药残留检测</w:t>
            </w:r>
          </w:p>
        </w:tc>
      </w:tr>
      <w:tr w14:paraId="6E44B4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7BA0F3F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10</w:t>
            </w:r>
          </w:p>
        </w:tc>
        <w:tc>
          <w:tcPr>
            <w:tcW w:w="7429" w:type="dxa"/>
            <w:noWrap w:val="0"/>
            <w:vAlign w:val="center"/>
          </w:tcPr>
          <w:p w14:paraId="20D4477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抗生素检测</w:t>
            </w:r>
          </w:p>
        </w:tc>
      </w:tr>
      <w:tr w14:paraId="25B9BA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1171" w:type="dxa"/>
            <w:noWrap w:val="0"/>
            <w:vAlign w:val="center"/>
          </w:tcPr>
          <w:p w14:paraId="33C7710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11</w:t>
            </w:r>
          </w:p>
        </w:tc>
        <w:tc>
          <w:tcPr>
            <w:tcW w:w="7429" w:type="dxa"/>
            <w:noWrap w:val="0"/>
            <w:vAlign w:val="center"/>
          </w:tcPr>
          <w:p w14:paraId="5A1F225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亚硝酸盐检测、生物细菌检测、食用油检测、病害肉检测等</w:t>
            </w:r>
          </w:p>
        </w:tc>
      </w:tr>
    </w:tbl>
    <w:p w14:paraId="03BCE472">
      <w:pPr>
        <w:keepNext w:val="0"/>
        <w:keepLines w:val="0"/>
        <w:pageBreakBefore w:val="0"/>
        <w:widowControl w:val="0"/>
        <w:kinsoku/>
        <w:wordWrap/>
        <w:overflowPunct/>
        <w:topLinePunct w:val="0"/>
        <w:autoSpaceDE/>
        <w:autoSpaceDN/>
        <w:bidi w:val="0"/>
        <w:ind w:firstLine="420" w:firstLineChars="200"/>
        <w:rPr>
          <w:rFonts w:hint="eastAsia"/>
          <w:color w:val="auto"/>
          <w:highlight w:val="none"/>
        </w:rPr>
      </w:pPr>
    </w:p>
    <w:p w14:paraId="10494F2C">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Times New Roman"/>
          <w:b/>
          <w:bCs/>
          <w:color w:val="auto"/>
          <w:highlight w:val="none"/>
          <w:lang w:eastAsia="zh-CN"/>
        </w:rPr>
      </w:pPr>
      <w:r>
        <w:rPr>
          <w:rFonts w:hint="eastAsia" w:ascii="宋体" w:hAnsi="宋体" w:eastAsia="宋体" w:cs="Times New Roman"/>
          <w:b/>
          <w:bCs/>
          <w:color w:val="auto"/>
          <w:highlight w:val="none"/>
          <w:lang w:eastAsia="zh-CN"/>
        </w:rPr>
        <w:t>（</w:t>
      </w:r>
      <w:r>
        <w:rPr>
          <w:rFonts w:hint="eastAsia" w:ascii="宋体" w:hAnsi="宋体" w:eastAsia="宋体" w:cs="Times New Roman"/>
          <w:b/>
          <w:bCs/>
          <w:color w:val="auto"/>
          <w:highlight w:val="none"/>
          <w:lang w:val="en-US" w:eastAsia="zh-CN"/>
        </w:rPr>
        <w:t>五</w:t>
      </w:r>
      <w:r>
        <w:rPr>
          <w:rFonts w:hint="eastAsia" w:ascii="宋体" w:hAnsi="宋体" w:eastAsia="宋体" w:cs="Times New Roman"/>
          <w:b/>
          <w:bCs/>
          <w:color w:val="auto"/>
          <w:highlight w:val="none"/>
          <w:lang w:eastAsia="zh-CN"/>
        </w:rPr>
        <w:t>）产品质量要求</w:t>
      </w:r>
    </w:p>
    <w:p w14:paraId="7FBDAA33">
      <w:pPr>
        <w:keepNext w:val="0"/>
        <w:keepLines w:val="0"/>
        <w:pageBreakBefore w:val="0"/>
        <w:widowControl w:val="0"/>
        <w:kinsoku/>
        <w:wordWrap/>
        <w:overflowPunct/>
        <w:topLinePunct w:val="0"/>
        <w:autoSpaceDE/>
        <w:autoSpaceDN/>
        <w:bidi w:val="0"/>
        <w:ind w:firstLine="420" w:firstLineChars="200"/>
        <w:rPr>
          <w:rFonts w:hint="eastAsia"/>
          <w:color w:val="auto"/>
          <w:highlight w:val="none"/>
        </w:rPr>
      </w:pPr>
      <w:r>
        <w:rPr>
          <w:rFonts w:hint="eastAsia"/>
          <w:color w:val="auto"/>
          <w:highlight w:val="none"/>
        </w:rPr>
        <w:t>供应商所提供食材的质量标准按照国家标准或行业标准或企业标准确定。没有国家标准、行业标准和企业标准的，按照招标文件的标准及满足采购人需求实现合同目的原则确定。食材按品类可分为米面杂粮、食用油、肉禽蛋类（含冻货）、蔬菜水果、水产（含冻货）、副食调料（含速冻副食）等6大类，食材分类及相应质量应当符合以下要求。供应商根据采购人清单采购产品，包括但不限于以下品种：</w:t>
      </w:r>
    </w:p>
    <w:p w14:paraId="7CC068DB">
      <w:pPr>
        <w:keepNext w:val="0"/>
        <w:keepLines w:val="0"/>
        <w:pageBreakBefore w:val="0"/>
        <w:widowControl w:val="0"/>
        <w:kinsoku/>
        <w:wordWrap/>
        <w:overflowPunct/>
        <w:topLinePunct w:val="0"/>
        <w:autoSpaceDE/>
        <w:autoSpaceDN/>
        <w:bidi w:val="0"/>
        <w:ind w:firstLine="420" w:firstLineChars="200"/>
        <w:rPr>
          <w:rFonts w:hint="eastAsia"/>
          <w:color w:val="auto"/>
          <w:highlight w:val="none"/>
        </w:rPr>
      </w:pPr>
      <w:r>
        <w:rPr>
          <w:rFonts w:hint="eastAsia"/>
          <w:color w:val="auto"/>
          <w:highlight w:val="none"/>
        </w:rPr>
        <w:t>（1）米面杂粮分类及相应质量要求</w:t>
      </w:r>
    </w:p>
    <w:tbl>
      <w:tblPr>
        <w:tblStyle w:val="372"/>
        <w:tblW w:w="899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53"/>
        <w:gridCol w:w="3351"/>
        <w:gridCol w:w="4595"/>
      </w:tblGrid>
      <w:tr w14:paraId="151D61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jc w:val="center"/>
        </w:trPr>
        <w:tc>
          <w:tcPr>
            <w:tcW w:w="1053" w:type="dxa"/>
            <w:noWrap w:val="0"/>
            <w:vAlign w:val="center"/>
          </w:tcPr>
          <w:p w14:paraId="12D03D8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品名</w:t>
            </w:r>
          </w:p>
        </w:tc>
        <w:tc>
          <w:tcPr>
            <w:tcW w:w="3351" w:type="dxa"/>
            <w:noWrap w:val="0"/>
            <w:vAlign w:val="center"/>
          </w:tcPr>
          <w:p w14:paraId="4CC312B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分类</w:t>
            </w:r>
          </w:p>
        </w:tc>
        <w:tc>
          <w:tcPr>
            <w:tcW w:w="4595" w:type="dxa"/>
            <w:noWrap w:val="0"/>
            <w:vAlign w:val="center"/>
          </w:tcPr>
          <w:p w14:paraId="6AF440FE">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质量要求</w:t>
            </w:r>
          </w:p>
        </w:tc>
      </w:tr>
      <w:tr w14:paraId="6AA6E8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6" w:hRule="atLeast"/>
          <w:jc w:val="center"/>
        </w:trPr>
        <w:tc>
          <w:tcPr>
            <w:tcW w:w="1053" w:type="dxa"/>
            <w:noWrap w:val="0"/>
            <w:vAlign w:val="center"/>
          </w:tcPr>
          <w:p w14:paraId="35244AC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大米</w:t>
            </w:r>
          </w:p>
        </w:tc>
        <w:tc>
          <w:tcPr>
            <w:tcW w:w="3351" w:type="dxa"/>
            <w:noWrap w:val="0"/>
            <w:vAlign w:val="center"/>
          </w:tcPr>
          <w:p w14:paraId="65443E2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w:t>
            </w:r>
          </w:p>
        </w:tc>
        <w:tc>
          <w:tcPr>
            <w:tcW w:w="4595" w:type="dxa"/>
            <w:vMerge w:val="restart"/>
            <w:tcBorders>
              <w:bottom w:val="nil"/>
            </w:tcBorders>
            <w:noWrap w:val="0"/>
            <w:vAlign w:val="center"/>
          </w:tcPr>
          <w:p w14:paraId="67A2185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质量标准:大米符合（GB/T 1354-2018），小麦粉符合（GB/T 1355-2021）,荞麦符合（GB/T 10458-2008）。</w:t>
            </w:r>
          </w:p>
          <w:p w14:paraId="4C43235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标签标识符合《食品安全国家标准—预包装食品营养标签通则》（GB7718-2025）；</w:t>
            </w:r>
          </w:p>
          <w:p w14:paraId="48419B2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包装完好，表面无污渍，商标、厂址、重量等齐全；具有固有色泽，无异味或霉味（变），无虫蛀结块挂丝或杂质异物；</w:t>
            </w:r>
          </w:p>
          <w:p w14:paraId="42E3E8F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剩余保存期不少于保质期的三分之二。</w:t>
            </w:r>
          </w:p>
        </w:tc>
      </w:tr>
      <w:tr w14:paraId="35B082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7" w:hRule="atLeast"/>
          <w:jc w:val="center"/>
        </w:trPr>
        <w:tc>
          <w:tcPr>
            <w:tcW w:w="1053" w:type="dxa"/>
            <w:noWrap w:val="0"/>
            <w:vAlign w:val="center"/>
          </w:tcPr>
          <w:p w14:paraId="57FF759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面粉</w:t>
            </w:r>
          </w:p>
        </w:tc>
        <w:tc>
          <w:tcPr>
            <w:tcW w:w="3351" w:type="dxa"/>
            <w:noWrap w:val="0"/>
            <w:vAlign w:val="center"/>
          </w:tcPr>
          <w:p w14:paraId="2722D87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w:t>
            </w:r>
          </w:p>
        </w:tc>
        <w:tc>
          <w:tcPr>
            <w:tcW w:w="4595" w:type="dxa"/>
            <w:vMerge w:val="continue"/>
            <w:tcBorders>
              <w:top w:val="nil"/>
              <w:bottom w:val="nil"/>
            </w:tcBorders>
            <w:noWrap w:val="0"/>
            <w:vAlign w:val="center"/>
          </w:tcPr>
          <w:p w14:paraId="3C3A8D95">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r>
      <w:tr w14:paraId="053CC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96" w:hRule="atLeast"/>
          <w:jc w:val="center"/>
        </w:trPr>
        <w:tc>
          <w:tcPr>
            <w:tcW w:w="1053" w:type="dxa"/>
            <w:noWrap w:val="0"/>
            <w:vAlign w:val="center"/>
          </w:tcPr>
          <w:p w14:paraId="486FB58D">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杂粮</w:t>
            </w:r>
          </w:p>
        </w:tc>
        <w:tc>
          <w:tcPr>
            <w:tcW w:w="3351" w:type="dxa"/>
            <w:noWrap w:val="0"/>
            <w:vAlign w:val="center"/>
          </w:tcPr>
          <w:p w14:paraId="6022E31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fldChar w:fldCharType="begin"/>
            </w:r>
            <w:r>
              <w:rPr>
                <w:rFonts w:hint="eastAsia" w:ascii="宋体" w:hAnsi="宋体" w:eastAsia="宋体" w:cs="宋体"/>
                <w:i w:val="0"/>
                <w:iCs w:val="0"/>
                <w:color w:val="auto"/>
                <w:kern w:val="2"/>
                <w:sz w:val="21"/>
                <w:szCs w:val="21"/>
                <w:highlight w:val="none"/>
                <w:lang w:val="en-US" w:eastAsia="zh-CN" w:bidi="ar-SA"/>
              </w:rPr>
              <w:instrText xml:space="preserve"> HYPERLINK "https://baike.so.com/doc/5249913-5483109.html" </w:instrText>
            </w:r>
            <w:r>
              <w:rPr>
                <w:rFonts w:hint="eastAsia" w:ascii="宋体" w:hAnsi="宋体" w:eastAsia="宋体" w:cs="宋体"/>
                <w:i w:val="0"/>
                <w:iCs w:val="0"/>
                <w:color w:val="auto"/>
                <w:kern w:val="2"/>
                <w:sz w:val="21"/>
                <w:szCs w:val="21"/>
                <w:highlight w:val="none"/>
                <w:lang w:val="en-US" w:eastAsia="zh-CN" w:bidi="ar-SA"/>
              </w:rPr>
              <w:fldChar w:fldCharType="separate"/>
            </w:r>
            <w:r>
              <w:rPr>
                <w:rFonts w:hint="eastAsia" w:ascii="宋体" w:hAnsi="宋体" w:eastAsia="宋体" w:cs="宋体"/>
                <w:i w:val="0"/>
                <w:iCs w:val="0"/>
                <w:color w:val="auto"/>
                <w:kern w:val="2"/>
                <w:sz w:val="21"/>
                <w:szCs w:val="21"/>
                <w:highlight w:val="none"/>
                <w:lang w:val="en-US" w:eastAsia="zh-CN" w:bidi="ar-SA"/>
              </w:rPr>
              <w:t>荞麦</w:t>
            </w:r>
            <w:r>
              <w:rPr>
                <w:rFonts w:hint="eastAsia" w:ascii="宋体" w:hAnsi="宋体" w:eastAsia="宋体" w:cs="宋体"/>
                <w:i w:val="0"/>
                <w:iCs w:val="0"/>
                <w:color w:val="auto"/>
                <w:kern w:val="2"/>
                <w:sz w:val="21"/>
                <w:szCs w:val="21"/>
                <w:highlight w:val="none"/>
                <w:lang w:val="en-US" w:eastAsia="zh-CN" w:bidi="ar-SA"/>
              </w:rPr>
              <w:fldChar w:fldCharType="end"/>
            </w:r>
            <w:r>
              <w:rPr>
                <w:rFonts w:hint="eastAsia" w:ascii="宋体" w:hAnsi="宋体" w:eastAsia="宋体" w:cs="宋体"/>
                <w:i w:val="0"/>
                <w:iCs w:val="0"/>
                <w:color w:val="auto"/>
                <w:kern w:val="2"/>
                <w:sz w:val="21"/>
                <w:szCs w:val="21"/>
                <w:highlight w:val="none"/>
                <w:lang w:val="en-US" w:eastAsia="zh-CN" w:bidi="ar-SA"/>
              </w:rPr>
              <w:t>、</w:t>
            </w:r>
            <w:r>
              <w:rPr>
                <w:rFonts w:hint="eastAsia" w:ascii="宋体" w:hAnsi="宋体" w:eastAsia="宋体" w:cs="宋体"/>
                <w:i w:val="0"/>
                <w:iCs w:val="0"/>
                <w:color w:val="auto"/>
                <w:kern w:val="2"/>
                <w:sz w:val="21"/>
                <w:szCs w:val="21"/>
                <w:highlight w:val="none"/>
                <w:lang w:val="en-US" w:eastAsia="zh-CN" w:bidi="ar-SA"/>
              </w:rPr>
              <w:fldChar w:fldCharType="begin"/>
            </w:r>
            <w:r>
              <w:rPr>
                <w:rFonts w:hint="eastAsia" w:ascii="宋体" w:hAnsi="宋体" w:eastAsia="宋体" w:cs="宋体"/>
                <w:i w:val="0"/>
                <w:iCs w:val="0"/>
                <w:color w:val="auto"/>
                <w:kern w:val="2"/>
                <w:sz w:val="21"/>
                <w:szCs w:val="21"/>
                <w:highlight w:val="none"/>
                <w:lang w:val="en-US" w:eastAsia="zh-CN" w:bidi="ar-SA"/>
              </w:rPr>
              <w:instrText xml:space="preserve"> HYPERLINK "https://baike.so.com/doc/5367931-5603707.html" </w:instrText>
            </w:r>
            <w:r>
              <w:rPr>
                <w:rFonts w:hint="eastAsia" w:ascii="宋体" w:hAnsi="宋体" w:eastAsia="宋体" w:cs="宋体"/>
                <w:i w:val="0"/>
                <w:iCs w:val="0"/>
                <w:color w:val="auto"/>
                <w:kern w:val="2"/>
                <w:sz w:val="21"/>
                <w:szCs w:val="21"/>
                <w:highlight w:val="none"/>
                <w:lang w:val="en-US" w:eastAsia="zh-CN" w:bidi="ar-SA"/>
              </w:rPr>
              <w:fldChar w:fldCharType="separate"/>
            </w:r>
            <w:r>
              <w:rPr>
                <w:rFonts w:hint="eastAsia" w:ascii="宋体" w:hAnsi="宋体" w:eastAsia="宋体" w:cs="宋体"/>
                <w:i w:val="0"/>
                <w:iCs w:val="0"/>
                <w:color w:val="auto"/>
                <w:kern w:val="2"/>
                <w:sz w:val="21"/>
                <w:szCs w:val="21"/>
                <w:highlight w:val="none"/>
                <w:lang w:val="en-US" w:eastAsia="zh-CN" w:bidi="ar-SA"/>
              </w:rPr>
              <w:t>燕麦</w:t>
            </w:r>
            <w:r>
              <w:rPr>
                <w:rFonts w:hint="eastAsia" w:ascii="宋体" w:hAnsi="宋体" w:eastAsia="宋体" w:cs="宋体"/>
                <w:i w:val="0"/>
                <w:iCs w:val="0"/>
                <w:color w:val="auto"/>
                <w:kern w:val="2"/>
                <w:sz w:val="21"/>
                <w:szCs w:val="21"/>
                <w:highlight w:val="none"/>
                <w:lang w:val="en-US" w:eastAsia="zh-CN" w:bidi="ar-SA"/>
              </w:rPr>
              <w:fldChar w:fldCharType="end"/>
            </w:r>
            <w:r>
              <w:rPr>
                <w:rFonts w:hint="eastAsia" w:ascii="宋体" w:hAnsi="宋体" w:eastAsia="宋体" w:cs="宋体"/>
                <w:i w:val="0"/>
                <w:iCs w:val="0"/>
                <w:color w:val="auto"/>
                <w:kern w:val="2"/>
                <w:sz w:val="21"/>
                <w:szCs w:val="21"/>
                <w:highlight w:val="none"/>
                <w:lang w:val="en-US" w:eastAsia="zh-CN" w:bidi="ar-SA"/>
              </w:rPr>
              <w:t>、</w:t>
            </w:r>
            <w:r>
              <w:rPr>
                <w:rFonts w:hint="eastAsia" w:ascii="宋体" w:hAnsi="宋体" w:eastAsia="宋体" w:cs="宋体"/>
                <w:i w:val="0"/>
                <w:iCs w:val="0"/>
                <w:color w:val="auto"/>
                <w:kern w:val="2"/>
                <w:sz w:val="21"/>
                <w:szCs w:val="21"/>
                <w:highlight w:val="none"/>
                <w:lang w:val="en-US" w:eastAsia="zh-CN" w:bidi="ar-SA"/>
              </w:rPr>
              <w:fldChar w:fldCharType="begin"/>
            </w:r>
            <w:r>
              <w:rPr>
                <w:rFonts w:hint="eastAsia" w:ascii="宋体" w:hAnsi="宋体" w:eastAsia="宋体" w:cs="宋体"/>
                <w:i w:val="0"/>
                <w:iCs w:val="0"/>
                <w:color w:val="auto"/>
                <w:kern w:val="2"/>
                <w:sz w:val="21"/>
                <w:szCs w:val="21"/>
                <w:highlight w:val="none"/>
                <w:lang w:val="en-US" w:eastAsia="zh-CN" w:bidi="ar-SA"/>
              </w:rPr>
              <w:instrText xml:space="preserve"> HYPERLINK "https://baike.so.com/doc/5389501-5626081.html" </w:instrText>
            </w:r>
            <w:r>
              <w:rPr>
                <w:rFonts w:hint="eastAsia" w:ascii="宋体" w:hAnsi="宋体" w:eastAsia="宋体" w:cs="宋体"/>
                <w:i w:val="0"/>
                <w:iCs w:val="0"/>
                <w:color w:val="auto"/>
                <w:kern w:val="2"/>
                <w:sz w:val="21"/>
                <w:szCs w:val="21"/>
                <w:highlight w:val="none"/>
                <w:lang w:val="en-US" w:eastAsia="zh-CN" w:bidi="ar-SA"/>
              </w:rPr>
              <w:fldChar w:fldCharType="separate"/>
            </w:r>
            <w:r>
              <w:rPr>
                <w:rFonts w:hint="eastAsia" w:ascii="宋体" w:hAnsi="宋体" w:eastAsia="宋体" w:cs="宋体"/>
                <w:i w:val="0"/>
                <w:iCs w:val="0"/>
                <w:color w:val="auto"/>
                <w:kern w:val="2"/>
                <w:sz w:val="21"/>
                <w:szCs w:val="21"/>
                <w:highlight w:val="none"/>
                <w:lang w:val="en-US" w:eastAsia="zh-CN" w:bidi="ar-SA"/>
              </w:rPr>
              <w:t>薏仁</w:t>
            </w:r>
            <w:r>
              <w:rPr>
                <w:rFonts w:hint="eastAsia" w:ascii="宋体" w:hAnsi="宋体" w:eastAsia="宋体" w:cs="宋体"/>
                <w:i w:val="0"/>
                <w:iCs w:val="0"/>
                <w:color w:val="auto"/>
                <w:kern w:val="2"/>
                <w:sz w:val="21"/>
                <w:szCs w:val="21"/>
                <w:highlight w:val="none"/>
                <w:lang w:val="en-US" w:eastAsia="zh-CN" w:bidi="ar-SA"/>
              </w:rPr>
              <w:fldChar w:fldCharType="end"/>
            </w:r>
            <w:r>
              <w:rPr>
                <w:rFonts w:hint="eastAsia" w:ascii="宋体" w:hAnsi="宋体" w:eastAsia="宋体" w:cs="宋体"/>
                <w:i w:val="0"/>
                <w:iCs w:val="0"/>
                <w:color w:val="auto"/>
                <w:kern w:val="2"/>
                <w:sz w:val="21"/>
                <w:szCs w:val="21"/>
                <w:highlight w:val="none"/>
                <w:lang w:val="en-US" w:eastAsia="zh-CN" w:bidi="ar-SA"/>
              </w:rPr>
              <w:t>、</w:t>
            </w:r>
          </w:p>
          <w:p w14:paraId="003FA32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fldChar w:fldCharType="begin"/>
            </w:r>
            <w:r>
              <w:rPr>
                <w:rFonts w:hint="eastAsia" w:ascii="宋体" w:hAnsi="宋体" w:eastAsia="宋体" w:cs="宋体"/>
                <w:i w:val="0"/>
                <w:iCs w:val="0"/>
                <w:color w:val="auto"/>
                <w:kern w:val="2"/>
                <w:sz w:val="21"/>
                <w:szCs w:val="21"/>
                <w:highlight w:val="none"/>
                <w:lang w:val="en-US" w:eastAsia="zh-CN" w:bidi="ar-SA"/>
              </w:rPr>
              <w:instrText xml:space="preserve"> HYPERLINK "https://baike.so.com/doc/5351896-24898035.html" </w:instrText>
            </w:r>
            <w:r>
              <w:rPr>
                <w:rFonts w:hint="eastAsia" w:ascii="宋体" w:hAnsi="宋体" w:eastAsia="宋体" w:cs="宋体"/>
                <w:i w:val="0"/>
                <w:iCs w:val="0"/>
                <w:color w:val="auto"/>
                <w:kern w:val="2"/>
                <w:sz w:val="21"/>
                <w:szCs w:val="21"/>
                <w:highlight w:val="none"/>
                <w:lang w:val="en-US" w:eastAsia="zh-CN" w:bidi="ar-SA"/>
              </w:rPr>
              <w:fldChar w:fldCharType="separate"/>
            </w:r>
            <w:r>
              <w:rPr>
                <w:rFonts w:hint="eastAsia" w:ascii="宋体" w:hAnsi="宋体" w:eastAsia="宋体" w:cs="宋体"/>
                <w:i w:val="0"/>
                <w:iCs w:val="0"/>
                <w:color w:val="auto"/>
                <w:kern w:val="2"/>
                <w:sz w:val="21"/>
                <w:szCs w:val="21"/>
                <w:highlight w:val="none"/>
                <w:lang w:val="en-US" w:eastAsia="zh-CN" w:bidi="ar-SA"/>
              </w:rPr>
              <w:t>绿豆</w:t>
            </w:r>
            <w:r>
              <w:rPr>
                <w:rFonts w:hint="eastAsia" w:ascii="宋体" w:hAnsi="宋体" w:eastAsia="宋体" w:cs="宋体"/>
                <w:i w:val="0"/>
                <w:iCs w:val="0"/>
                <w:color w:val="auto"/>
                <w:kern w:val="2"/>
                <w:sz w:val="21"/>
                <w:szCs w:val="21"/>
                <w:highlight w:val="none"/>
                <w:lang w:val="en-US" w:eastAsia="zh-CN" w:bidi="ar-SA"/>
              </w:rPr>
              <w:fldChar w:fldCharType="end"/>
            </w:r>
            <w:r>
              <w:rPr>
                <w:rFonts w:hint="eastAsia" w:ascii="宋体" w:hAnsi="宋体" w:eastAsia="宋体" w:cs="宋体"/>
                <w:i w:val="0"/>
                <w:iCs w:val="0"/>
                <w:color w:val="auto"/>
                <w:kern w:val="2"/>
                <w:sz w:val="21"/>
                <w:szCs w:val="21"/>
                <w:highlight w:val="none"/>
                <w:lang w:val="en-US" w:eastAsia="zh-CN" w:bidi="ar-SA"/>
              </w:rPr>
              <w:t>、</w:t>
            </w:r>
            <w:r>
              <w:rPr>
                <w:rFonts w:hint="eastAsia" w:ascii="宋体" w:hAnsi="宋体" w:eastAsia="宋体" w:cs="宋体"/>
                <w:i w:val="0"/>
                <w:iCs w:val="0"/>
                <w:color w:val="auto"/>
                <w:kern w:val="2"/>
                <w:sz w:val="21"/>
                <w:szCs w:val="21"/>
                <w:highlight w:val="none"/>
                <w:lang w:val="en-US" w:eastAsia="zh-CN" w:bidi="ar-SA"/>
              </w:rPr>
              <w:fldChar w:fldCharType="begin"/>
            </w:r>
            <w:r>
              <w:rPr>
                <w:rFonts w:hint="eastAsia" w:ascii="宋体" w:hAnsi="宋体" w:eastAsia="宋体" w:cs="宋体"/>
                <w:i w:val="0"/>
                <w:iCs w:val="0"/>
                <w:color w:val="auto"/>
                <w:kern w:val="2"/>
                <w:sz w:val="21"/>
                <w:szCs w:val="21"/>
                <w:highlight w:val="none"/>
                <w:lang w:val="en-US" w:eastAsia="zh-CN" w:bidi="ar-SA"/>
              </w:rPr>
              <w:instrText xml:space="preserve"> HYPERLINK "https://baike.so.com/doc/10041334-10537373.html" </w:instrText>
            </w:r>
            <w:r>
              <w:rPr>
                <w:rFonts w:hint="eastAsia" w:ascii="宋体" w:hAnsi="宋体" w:eastAsia="宋体" w:cs="宋体"/>
                <w:i w:val="0"/>
                <w:iCs w:val="0"/>
                <w:color w:val="auto"/>
                <w:kern w:val="2"/>
                <w:sz w:val="21"/>
                <w:szCs w:val="21"/>
                <w:highlight w:val="none"/>
                <w:lang w:val="en-US" w:eastAsia="zh-CN" w:bidi="ar-SA"/>
              </w:rPr>
              <w:fldChar w:fldCharType="separate"/>
            </w:r>
            <w:r>
              <w:rPr>
                <w:rFonts w:hint="eastAsia" w:ascii="宋体" w:hAnsi="宋体" w:eastAsia="宋体" w:cs="宋体"/>
                <w:i w:val="0"/>
                <w:iCs w:val="0"/>
                <w:color w:val="auto"/>
                <w:kern w:val="2"/>
                <w:sz w:val="21"/>
                <w:szCs w:val="21"/>
                <w:highlight w:val="none"/>
                <w:lang w:val="en-US" w:eastAsia="zh-CN" w:bidi="ar-SA"/>
              </w:rPr>
              <w:t>小豆</w:t>
            </w:r>
            <w:r>
              <w:rPr>
                <w:rFonts w:hint="eastAsia" w:ascii="宋体" w:hAnsi="宋体" w:eastAsia="宋体" w:cs="宋体"/>
                <w:i w:val="0"/>
                <w:iCs w:val="0"/>
                <w:color w:val="auto"/>
                <w:kern w:val="2"/>
                <w:sz w:val="21"/>
                <w:szCs w:val="21"/>
                <w:highlight w:val="none"/>
                <w:lang w:val="en-US" w:eastAsia="zh-CN" w:bidi="ar-SA"/>
              </w:rPr>
              <w:fldChar w:fldCharType="end"/>
            </w:r>
            <w:r>
              <w:rPr>
                <w:rFonts w:hint="eastAsia" w:ascii="宋体" w:hAnsi="宋体" w:eastAsia="宋体" w:cs="宋体"/>
                <w:i w:val="0"/>
                <w:iCs w:val="0"/>
                <w:color w:val="auto"/>
                <w:kern w:val="2"/>
                <w:sz w:val="21"/>
                <w:szCs w:val="21"/>
                <w:highlight w:val="none"/>
                <w:lang w:val="en-US" w:eastAsia="zh-CN" w:bidi="ar-SA"/>
              </w:rPr>
              <w:t>（</w:t>
            </w:r>
            <w:r>
              <w:rPr>
                <w:rFonts w:hint="eastAsia" w:ascii="宋体" w:hAnsi="宋体" w:eastAsia="宋体" w:cs="宋体"/>
                <w:i w:val="0"/>
                <w:iCs w:val="0"/>
                <w:color w:val="auto"/>
                <w:kern w:val="2"/>
                <w:sz w:val="21"/>
                <w:szCs w:val="21"/>
                <w:highlight w:val="none"/>
                <w:lang w:val="en-US" w:eastAsia="zh-CN" w:bidi="ar-SA"/>
              </w:rPr>
              <w:fldChar w:fldCharType="begin"/>
            </w:r>
            <w:r>
              <w:rPr>
                <w:rFonts w:hint="eastAsia" w:ascii="宋体" w:hAnsi="宋体" w:eastAsia="宋体" w:cs="宋体"/>
                <w:i w:val="0"/>
                <w:iCs w:val="0"/>
                <w:color w:val="auto"/>
                <w:kern w:val="2"/>
                <w:sz w:val="21"/>
                <w:szCs w:val="21"/>
                <w:highlight w:val="none"/>
                <w:lang w:val="en-US" w:eastAsia="zh-CN" w:bidi="ar-SA"/>
              </w:rPr>
              <w:instrText xml:space="preserve"> HYPERLINK "https://baike.so.com/doc/5380284-5616551.html" </w:instrText>
            </w:r>
            <w:r>
              <w:rPr>
                <w:rFonts w:hint="eastAsia" w:ascii="宋体" w:hAnsi="宋体" w:eastAsia="宋体" w:cs="宋体"/>
                <w:i w:val="0"/>
                <w:iCs w:val="0"/>
                <w:color w:val="auto"/>
                <w:kern w:val="2"/>
                <w:sz w:val="21"/>
                <w:szCs w:val="21"/>
                <w:highlight w:val="none"/>
                <w:lang w:val="en-US" w:eastAsia="zh-CN" w:bidi="ar-SA"/>
              </w:rPr>
              <w:fldChar w:fldCharType="separate"/>
            </w:r>
            <w:r>
              <w:rPr>
                <w:rFonts w:hint="eastAsia" w:ascii="宋体" w:hAnsi="宋体" w:eastAsia="宋体" w:cs="宋体"/>
                <w:i w:val="0"/>
                <w:iCs w:val="0"/>
                <w:color w:val="auto"/>
                <w:kern w:val="2"/>
                <w:sz w:val="21"/>
                <w:szCs w:val="21"/>
                <w:highlight w:val="none"/>
                <w:lang w:val="en-US" w:eastAsia="zh-CN" w:bidi="ar-SA"/>
              </w:rPr>
              <w:t>红</w:t>
            </w:r>
            <w:r>
              <w:rPr>
                <w:rFonts w:hint="eastAsia" w:ascii="宋体" w:hAnsi="宋体" w:eastAsia="宋体" w:cs="宋体"/>
                <w:i w:val="0"/>
                <w:iCs w:val="0"/>
                <w:color w:val="auto"/>
                <w:kern w:val="2"/>
                <w:sz w:val="21"/>
                <w:szCs w:val="21"/>
                <w:highlight w:val="none"/>
                <w:lang w:val="en-US" w:eastAsia="zh-CN" w:bidi="ar-SA"/>
              </w:rPr>
              <w:fldChar w:fldCharType="end"/>
            </w:r>
            <w:r>
              <w:rPr>
                <w:rFonts w:hint="eastAsia" w:ascii="宋体" w:hAnsi="宋体" w:eastAsia="宋体" w:cs="宋体"/>
                <w:i w:val="0"/>
                <w:iCs w:val="0"/>
                <w:color w:val="auto"/>
                <w:kern w:val="2"/>
                <w:sz w:val="21"/>
                <w:szCs w:val="21"/>
                <w:highlight w:val="none"/>
                <w:lang w:val="en-US" w:eastAsia="zh-CN" w:bidi="ar-SA"/>
              </w:rPr>
              <w:t>小豆、</w:t>
            </w:r>
            <w:r>
              <w:rPr>
                <w:rFonts w:hint="eastAsia" w:ascii="宋体" w:hAnsi="宋体" w:eastAsia="宋体" w:cs="宋体"/>
                <w:i w:val="0"/>
                <w:iCs w:val="0"/>
                <w:color w:val="auto"/>
                <w:kern w:val="2"/>
                <w:sz w:val="21"/>
                <w:szCs w:val="21"/>
                <w:highlight w:val="none"/>
                <w:lang w:val="en-US" w:eastAsia="zh-CN" w:bidi="ar-SA"/>
              </w:rPr>
              <w:fldChar w:fldCharType="begin"/>
            </w:r>
            <w:r>
              <w:rPr>
                <w:rFonts w:hint="eastAsia" w:ascii="宋体" w:hAnsi="宋体" w:eastAsia="宋体" w:cs="宋体"/>
                <w:i w:val="0"/>
                <w:iCs w:val="0"/>
                <w:color w:val="auto"/>
                <w:kern w:val="2"/>
                <w:sz w:val="21"/>
                <w:szCs w:val="21"/>
                <w:highlight w:val="none"/>
                <w:lang w:val="en-US" w:eastAsia="zh-CN" w:bidi="ar-SA"/>
              </w:rPr>
              <w:instrText xml:space="preserve"> HYPERLINK "https://baike.so.com/doc/2191235-2318525.html" </w:instrText>
            </w:r>
            <w:r>
              <w:rPr>
                <w:rFonts w:hint="eastAsia" w:ascii="宋体" w:hAnsi="宋体" w:eastAsia="宋体" w:cs="宋体"/>
                <w:i w:val="0"/>
                <w:iCs w:val="0"/>
                <w:color w:val="auto"/>
                <w:kern w:val="2"/>
                <w:sz w:val="21"/>
                <w:szCs w:val="21"/>
                <w:highlight w:val="none"/>
                <w:lang w:val="en-US" w:eastAsia="zh-CN" w:bidi="ar-SA"/>
              </w:rPr>
              <w:fldChar w:fldCharType="separate"/>
            </w:r>
            <w:r>
              <w:rPr>
                <w:rFonts w:hint="eastAsia" w:ascii="宋体" w:hAnsi="宋体" w:eastAsia="宋体" w:cs="宋体"/>
                <w:i w:val="0"/>
                <w:iCs w:val="0"/>
                <w:color w:val="auto"/>
                <w:kern w:val="2"/>
                <w:sz w:val="21"/>
                <w:szCs w:val="21"/>
                <w:highlight w:val="none"/>
                <w:lang w:val="en-US" w:eastAsia="zh-CN" w:bidi="ar-SA"/>
              </w:rPr>
              <w:t>赤豆</w:t>
            </w:r>
            <w:r>
              <w:rPr>
                <w:rFonts w:hint="eastAsia" w:ascii="宋体" w:hAnsi="宋体" w:eastAsia="宋体" w:cs="宋体"/>
                <w:i w:val="0"/>
                <w:iCs w:val="0"/>
                <w:color w:val="auto"/>
                <w:kern w:val="2"/>
                <w:sz w:val="21"/>
                <w:szCs w:val="21"/>
                <w:highlight w:val="none"/>
                <w:lang w:val="en-US" w:eastAsia="zh-CN" w:bidi="ar-SA"/>
              </w:rPr>
              <w:fldChar w:fldCharType="end"/>
            </w:r>
            <w:r>
              <w:rPr>
                <w:rFonts w:hint="eastAsia" w:ascii="宋体" w:hAnsi="宋体" w:eastAsia="宋体" w:cs="宋体"/>
                <w:i w:val="0"/>
                <w:iCs w:val="0"/>
                <w:color w:val="auto"/>
                <w:kern w:val="2"/>
                <w:sz w:val="21"/>
                <w:szCs w:val="21"/>
                <w:highlight w:val="none"/>
                <w:lang w:val="en-US" w:eastAsia="zh-CN" w:bidi="ar-SA"/>
              </w:rPr>
              <w:t>）、</w:t>
            </w:r>
            <w:r>
              <w:rPr>
                <w:rFonts w:hint="eastAsia" w:ascii="宋体" w:hAnsi="宋体" w:eastAsia="宋体" w:cs="宋体"/>
                <w:i w:val="0"/>
                <w:iCs w:val="0"/>
                <w:color w:val="auto"/>
                <w:kern w:val="2"/>
                <w:sz w:val="21"/>
                <w:szCs w:val="21"/>
                <w:highlight w:val="none"/>
                <w:lang w:val="en-US" w:eastAsia="zh-CN" w:bidi="ar-SA"/>
              </w:rPr>
              <w:fldChar w:fldCharType="begin"/>
            </w:r>
            <w:r>
              <w:rPr>
                <w:rFonts w:hint="eastAsia" w:ascii="宋体" w:hAnsi="宋体" w:eastAsia="宋体" w:cs="宋体"/>
                <w:i w:val="0"/>
                <w:iCs w:val="0"/>
                <w:color w:val="auto"/>
                <w:kern w:val="2"/>
                <w:sz w:val="21"/>
                <w:szCs w:val="21"/>
                <w:highlight w:val="none"/>
                <w:lang w:val="en-US" w:eastAsia="zh-CN" w:bidi="ar-SA"/>
              </w:rPr>
              <w:instrText xml:space="preserve"> HYPERLINK "https://baike.so.com/doc/1438462-1520517.html" </w:instrText>
            </w:r>
            <w:r>
              <w:rPr>
                <w:rFonts w:hint="eastAsia" w:ascii="宋体" w:hAnsi="宋体" w:eastAsia="宋体" w:cs="宋体"/>
                <w:i w:val="0"/>
                <w:iCs w:val="0"/>
                <w:color w:val="auto"/>
                <w:kern w:val="2"/>
                <w:sz w:val="21"/>
                <w:szCs w:val="21"/>
                <w:highlight w:val="none"/>
                <w:lang w:val="en-US" w:eastAsia="zh-CN" w:bidi="ar-SA"/>
              </w:rPr>
              <w:fldChar w:fldCharType="separate"/>
            </w:r>
            <w:r>
              <w:rPr>
                <w:rFonts w:hint="eastAsia" w:ascii="宋体" w:hAnsi="宋体" w:eastAsia="宋体" w:cs="宋体"/>
                <w:i w:val="0"/>
                <w:iCs w:val="0"/>
                <w:color w:val="auto"/>
                <w:kern w:val="2"/>
                <w:sz w:val="21"/>
                <w:szCs w:val="21"/>
                <w:highlight w:val="none"/>
                <w:lang w:val="en-US" w:eastAsia="zh-CN" w:bidi="ar-SA"/>
              </w:rPr>
              <w:t>黑豆</w:t>
            </w:r>
            <w:r>
              <w:rPr>
                <w:rFonts w:hint="eastAsia" w:ascii="宋体" w:hAnsi="宋体" w:eastAsia="宋体" w:cs="宋体"/>
                <w:i w:val="0"/>
                <w:iCs w:val="0"/>
                <w:color w:val="auto"/>
                <w:kern w:val="2"/>
                <w:sz w:val="21"/>
                <w:szCs w:val="21"/>
                <w:highlight w:val="none"/>
                <w:lang w:val="en-US" w:eastAsia="zh-CN" w:bidi="ar-SA"/>
              </w:rPr>
              <w:fldChar w:fldCharType="end"/>
            </w:r>
            <w:r>
              <w:rPr>
                <w:rFonts w:hint="eastAsia" w:ascii="宋体" w:hAnsi="宋体" w:eastAsia="宋体" w:cs="宋体"/>
                <w:i w:val="0"/>
                <w:iCs w:val="0"/>
                <w:color w:val="auto"/>
                <w:kern w:val="2"/>
                <w:sz w:val="21"/>
                <w:szCs w:val="21"/>
                <w:highlight w:val="none"/>
                <w:lang w:val="en-US" w:eastAsia="zh-CN" w:bidi="ar-SA"/>
              </w:rPr>
              <w:t>等</w:t>
            </w:r>
          </w:p>
        </w:tc>
        <w:tc>
          <w:tcPr>
            <w:tcW w:w="4595" w:type="dxa"/>
            <w:vMerge w:val="continue"/>
            <w:tcBorders>
              <w:top w:val="nil"/>
            </w:tcBorders>
            <w:noWrap w:val="0"/>
            <w:vAlign w:val="center"/>
          </w:tcPr>
          <w:p w14:paraId="5ED7E80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r>
    </w:tbl>
    <w:p w14:paraId="23BE3CF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20" w:firstLineChars="200"/>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（2）食用油分类及相应质量要求</w:t>
      </w:r>
    </w:p>
    <w:tbl>
      <w:tblPr>
        <w:tblStyle w:val="372"/>
        <w:tblW w:w="900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56"/>
        <w:gridCol w:w="2285"/>
        <w:gridCol w:w="5668"/>
      </w:tblGrid>
      <w:tr w14:paraId="5BC8A3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jc w:val="center"/>
        </w:trPr>
        <w:tc>
          <w:tcPr>
            <w:tcW w:w="1056" w:type="dxa"/>
            <w:noWrap w:val="0"/>
            <w:vAlign w:val="center"/>
          </w:tcPr>
          <w:p w14:paraId="62836AE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品名</w:t>
            </w:r>
          </w:p>
        </w:tc>
        <w:tc>
          <w:tcPr>
            <w:tcW w:w="2285" w:type="dxa"/>
            <w:noWrap w:val="0"/>
            <w:vAlign w:val="center"/>
          </w:tcPr>
          <w:p w14:paraId="5BEBAB1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分类</w:t>
            </w:r>
          </w:p>
        </w:tc>
        <w:tc>
          <w:tcPr>
            <w:tcW w:w="5668" w:type="dxa"/>
            <w:noWrap w:val="0"/>
            <w:vAlign w:val="center"/>
          </w:tcPr>
          <w:p w14:paraId="4D6C3DE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质量要求</w:t>
            </w:r>
          </w:p>
        </w:tc>
      </w:tr>
      <w:tr w14:paraId="0948EE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41" w:hRule="atLeast"/>
          <w:jc w:val="center"/>
        </w:trPr>
        <w:tc>
          <w:tcPr>
            <w:tcW w:w="1056" w:type="dxa"/>
            <w:noWrap w:val="0"/>
            <w:vAlign w:val="center"/>
          </w:tcPr>
          <w:p w14:paraId="25A49DC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食用油</w:t>
            </w:r>
          </w:p>
        </w:tc>
        <w:tc>
          <w:tcPr>
            <w:tcW w:w="2285" w:type="dxa"/>
            <w:noWrap w:val="0"/>
            <w:vAlign w:val="center"/>
          </w:tcPr>
          <w:p w14:paraId="5E34A7C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菜油、大豆油、花生油等</w:t>
            </w:r>
          </w:p>
        </w:tc>
        <w:tc>
          <w:tcPr>
            <w:tcW w:w="5668" w:type="dxa"/>
            <w:noWrap w:val="0"/>
            <w:vAlign w:val="center"/>
          </w:tcPr>
          <w:p w14:paraId="70F27C4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植物油符合《食品安全国家标准 植物油》（GB 2716-2018）,菜籽油符合（GB/T 1536-2021），大豆油符合（GB/T 1535-2017），花生油符合（GB/T 1534-2017）。</w:t>
            </w:r>
          </w:p>
          <w:p w14:paraId="14E9C31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非转基因产品；</w:t>
            </w:r>
          </w:p>
          <w:p w14:paraId="5B243A9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标签标识符合《食品安全国家标准—预包装食品营养标签通则》（GB7718-2025）；</w:t>
            </w:r>
          </w:p>
          <w:p w14:paraId="29E7EEE4">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具有产品合格证，标明品名、厂名、生产日期、保质期、质量等级及加工工艺（即用浸出法生产，还是用压榨法生产）：正常的植物油色泽、透明度、气味，无焦臭、酸败及其他异味；剩余保存期不少于保质期的三分之二。</w:t>
            </w:r>
          </w:p>
        </w:tc>
      </w:tr>
    </w:tbl>
    <w:p w14:paraId="011CB15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20" w:firstLineChars="200"/>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（3）肉禽蛋类（含鲜肉、冷冻肉）分类及相应质量要求</w:t>
      </w:r>
    </w:p>
    <w:tbl>
      <w:tblPr>
        <w:tblStyle w:val="372"/>
        <w:tblW w:w="914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
        <w:gridCol w:w="1215"/>
        <w:gridCol w:w="2568"/>
        <w:gridCol w:w="1"/>
        <w:gridCol w:w="5361"/>
        <w:gridCol w:w="1"/>
      </w:tblGrid>
      <w:tr w14:paraId="254E46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Before w:val="1"/>
          <w:wBefore w:w="1" w:type="dxa"/>
          <w:trHeight w:val="569" w:hRule="atLeast"/>
          <w:jc w:val="center"/>
        </w:trPr>
        <w:tc>
          <w:tcPr>
            <w:tcW w:w="1215" w:type="dxa"/>
            <w:noWrap w:val="0"/>
            <w:vAlign w:val="center"/>
          </w:tcPr>
          <w:p w14:paraId="47AE159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品名</w:t>
            </w:r>
          </w:p>
        </w:tc>
        <w:tc>
          <w:tcPr>
            <w:tcW w:w="2569" w:type="dxa"/>
            <w:gridSpan w:val="2"/>
            <w:noWrap w:val="0"/>
            <w:vAlign w:val="center"/>
          </w:tcPr>
          <w:p w14:paraId="78009B1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分类</w:t>
            </w:r>
          </w:p>
        </w:tc>
        <w:tc>
          <w:tcPr>
            <w:tcW w:w="5362" w:type="dxa"/>
            <w:gridSpan w:val="2"/>
            <w:noWrap w:val="0"/>
            <w:vAlign w:val="center"/>
          </w:tcPr>
          <w:p w14:paraId="032A245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质量要求</w:t>
            </w:r>
          </w:p>
        </w:tc>
      </w:tr>
      <w:tr w14:paraId="16C90A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Before w:val="1"/>
          <w:wBefore w:w="1" w:type="dxa"/>
          <w:trHeight w:val="2008" w:hRule="atLeast"/>
          <w:jc w:val="center"/>
        </w:trPr>
        <w:tc>
          <w:tcPr>
            <w:tcW w:w="1215" w:type="dxa"/>
            <w:noWrap w:val="0"/>
            <w:vAlign w:val="center"/>
          </w:tcPr>
          <w:p w14:paraId="0D16DBC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猪肉</w:t>
            </w:r>
          </w:p>
        </w:tc>
        <w:tc>
          <w:tcPr>
            <w:tcW w:w="2569" w:type="dxa"/>
            <w:gridSpan w:val="2"/>
            <w:noWrap w:val="0"/>
            <w:vAlign w:val="center"/>
          </w:tcPr>
          <w:p w14:paraId="7BDB296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五花肉、瘦肉(Ⅱ号肉</w:t>
            </w:r>
          </w:p>
          <w:p w14:paraId="111D389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或Ⅳ号肉）、排骨、脊骨、棒骨等</w:t>
            </w:r>
          </w:p>
        </w:tc>
        <w:tc>
          <w:tcPr>
            <w:tcW w:w="5362" w:type="dxa"/>
            <w:gridSpan w:val="2"/>
            <w:noWrap w:val="0"/>
            <w:vAlign w:val="center"/>
          </w:tcPr>
          <w:p w14:paraId="7BC8A64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符合《食品安全国家标准鲜（冻）畜、禽产品》（GB 2707-2016）。</w:t>
            </w:r>
          </w:p>
          <w:p w14:paraId="6E0416F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表面呈均匀红色，脂肪洁白，有光泽，肉质紧密有弹性，外表微湿润或微干；</w:t>
            </w:r>
          </w:p>
          <w:p w14:paraId="6C3D4F3E">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无粘液，不粘手，无异味，无注水，冷冻食品解冻时间为4小时以内（室温20C），解冻后净重量不少于85%;</w:t>
            </w:r>
          </w:p>
          <w:p w14:paraId="0C82A704">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无种猪，无病、死猪，无瘦肉精残留。</w:t>
            </w:r>
          </w:p>
        </w:tc>
      </w:tr>
      <w:tr w14:paraId="6B9A73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Before w:val="1"/>
          <w:wBefore w:w="1" w:type="dxa"/>
          <w:trHeight w:val="2488" w:hRule="atLeast"/>
          <w:jc w:val="center"/>
        </w:trPr>
        <w:tc>
          <w:tcPr>
            <w:tcW w:w="1215" w:type="dxa"/>
            <w:noWrap w:val="0"/>
            <w:vAlign w:val="center"/>
          </w:tcPr>
          <w:p w14:paraId="76F1709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牛肉</w:t>
            </w:r>
          </w:p>
        </w:tc>
        <w:tc>
          <w:tcPr>
            <w:tcW w:w="2569" w:type="dxa"/>
            <w:gridSpan w:val="2"/>
            <w:noWrap w:val="0"/>
            <w:vAlign w:val="center"/>
          </w:tcPr>
          <w:p w14:paraId="332E9B9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牛里脊、牛腩、牛腱子等</w:t>
            </w:r>
          </w:p>
        </w:tc>
        <w:tc>
          <w:tcPr>
            <w:tcW w:w="5362" w:type="dxa"/>
            <w:gridSpan w:val="2"/>
            <w:noWrap w:val="0"/>
            <w:vAlign w:val="center"/>
          </w:tcPr>
          <w:p w14:paraId="22B3B97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符合《食品安全国家标准鲜（冻）畜、禽产品》（GB 2707-2016），鲜、冻分割牛肉符合（GB/T 17238-2022）。</w:t>
            </w:r>
          </w:p>
          <w:p w14:paraId="19BD300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表面呈鲜红状或暗红状，脂肪白色或淡黄色，有光泽，有正常油脂分泌，肌肉结构紧密，肌纤维韧性强，外表微干或有风干膜；</w:t>
            </w:r>
          </w:p>
          <w:p w14:paraId="03254EE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切面湿润不黏手，挤压无水溢出，无寄生虫，无注水，冷冻食品解冻时间为4小时以内（室温20C），解冻后净重量不少于85%;</w:t>
            </w:r>
          </w:p>
          <w:p w14:paraId="46FCF4E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无发酸发臭气味，无腐坏变色。</w:t>
            </w:r>
          </w:p>
        </w:tc>
      </w:tr>
      <w:tr w14:paraId="1B53B4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Before w:val="1"/>
          <w:wBefore w:w="1" w:type="dxa"/>
          <w:trHeight w:val="2018" w:hRule="atLeast"/>
          <w:jc w:val="center"/>
        </w:trPr>
        <w:tc>
          <w:tcPr>
            <w:tcW w:w="1215" w:type="dxa"/>
            <w:noWrap w:val="0"/>
            <w:vAlign w:val="center"/>
          </w:tcPr>
          <w:p w14:paraId="6602CE9D">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羊肉</w:t>
            </w:r>
          </w:p>
        </w:tc>
        <w:tc>
          <w:tcPr>
            <w:tcW w:w="2569" w:type="dxa"/>
            <w:gridSpan w:val="2"/>
            <w:noWrap w:val="0"/>
            <w:vAlign w:val="center"/>
          </w:tcPr>
          <w:p w14:paraId="1E870AD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羊肉、羊肉卷、羊腿、</w:t>
            </w:r>
          </w:p>
          <w:p w14:paraId="4C2D05F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羊蝎子等</w:t>
            </w:r>
          </w:p>
        </w:tc>
        <w:tc>
          <w:tcPr>
            <w:tcW w:w="5362" w:type="dxa"/>
            <w:gridSpan w:val="2"/>
            <w:noWrap w:val="0"/>
            <w:vAlign w:val="center"/>
          </w:tcPr>
          <w:p w14:paraId="457FB2B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符合《食品安全国家标准鲜（冻）畜、禽产品》（GB 2707-2016）。</w:t>
            </w:r>
          </w:p>
          <w:p w14:paraId="28A4E29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表面呈鲜红或深红色，脂肪白色或淡黄色，有光泽，肉质紧密细腻，有弹性，外表微干或有风干膜；</w:t>
            </w:r>
          </w:p>
          <w:p w14:paraId="777FAD7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切面湿润不黏手，挤压无水溢出，无注水，冷冻食品解冻时间为4小时以内（室温20C），解冻后净重量不少于85%;</w:t>
            </w:r>
          </w:p>
          <w:p w14:paraId="7A96545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无异味，无腐坏变色。</w:t>
            </w:r>
          </w:p>
        </w:tc>
      </w:tr>
      <w:tr w14:paraId="05104C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Before w:val="1"/>
          <w:wBefore w:w="1" w:type="dxa"/>
          <w:trHeight w:val="1844" w:hRule="atLeast"/>
          <w:jc w:val="center"/>
        </w:trPr>
        <w:tc>
          <w:tcPr>
            <w:tcW w:w="1215" w:type="dxa"/>
            <w:noWrap w:val="0"/>
            <w:vAlign w:val="center"/>
          </w:tcPr>
          <w:p w14:paraId="796EDC34">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禽类</w:t>
            </w:r>
          </w:p>
        </w:tc>
        <w:tc>
          <w:tcPr>
            <w:tcW w:w="2569" w:type="dxa"/>
            <w:gridSpan w:val="2"/>
            <w:noWrap w:val="0"/>
            <w:vAlign w:val="center"/>
          </w:tcPr>
          <w:p w14:paraId="0F42583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鸡、鸭、鹅等</w:t>
            </w:r>
          </w:p>
        </w:tc>
        <w:tc>
          <w:tcPr>
            <w:tcW w:w="5362" w:type="dxa"/>
            <w:gridSpan w:val="2"/>
            <w:noWrap w:val="0"/>
            <w:vAlign w:val="center"/>
          </w:tcPr>
          <w:p w14:paraId="3681DDD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符合《食品安全国家标准鲜（冻）畜、禽产品》（GB 2707-2016）。</w:t>
            </w:r>
          </w:p>
          <w:p w14:paraId="2D40146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表面呈固有颜色，有光泽，有弹性，无残羽；眼球无干缩凹陷或晶体状浑浊；</w:t>
            </w:r>
          </w:p>
          <w:p w14:paraId="625A17E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切面湿润不发粘，冷冻食品解冻时间为4小时以内（室温20C），解冻后净重量不少于85%;</w:t>
            </w:r>
          </w:p>
          <w:p w14:paraId="118D7E44">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无异味，无异常颜色，无破损，无残缺。</w:t>
            </w:r>
          </w:p>
        </w:tc>
      </w:tr>
      <w:tr w14:paraId="417E8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 w:type="dxa"/>
          <w:trHeight w:val="1411" w:hRule="atLeast"/>
          <w:jc w:val="center"/>
        </w:trPr>
        <w:tc>
          <w:tcPr>
            <w:tcW w:w="1216" w:type="dxa"/>
            <w:gridSpan w:val="2"/>
            <w:noWrap w:val="0"/>
            <w:vAlign w:val="center"/>
          </w:tcPr>
          <w:p w14:paraId="02E12BC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蛋类</w:t>
            </w:r>
          </w:p>
        </w:tc>
        <w:tc>
          <w:tcPr>
            <w:tcW w:w="2568" w:type="dxa"/>
            <w:noWrap w:val="0"/>
            <w:vAlign w:val="center"/>
          </w:tcPr>
          <w:p w14:paraId="64165AE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鸡蛋、鸭蛋、鹌鹑蛋等</w:t>
            </w:r>
          </w:p>
        </w:tc>
        <w:tc>
          <w:tcPr>
            <w:tcW w:w="5362" w:type="dxa"/>
            <w:gridSpan w:val="2"/>
            <w:noWrap w:val="0"/>
            <w:vAlign w:val="center"/>
          </w:tcPr>
          <w:p w14:paraId="5DBD0B4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符合《食品安全国家标准蛋与蛋制品》（GB 2749-2015）。</w:t>
            </w:r>
          </w:p>
          <w:p w14:paraId="345AF76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表面颜色正常，大小均匀完整；</w:t>
            </w:r>
          </w:p>
          <w:p w14:paraId="19A9277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打破后蛋黄凸起完整，有韧性，蛋白澄清透明，稀稠分明；</w:t>
            </w:r>
          </w:p>
          <w:p w14:paraId="02F65F6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无破损，无残留土、泥、粪污物，无异味。</w:t>
            </w:r>
          </w:p>
        </w:tc>
      </w:tr>
    </w:tbl>
    <w:p w14:paraId="72189B2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20" w:firstLineChars="200"/>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（4）蔬菜水果分类及相应质量要求</w:t>
      </w:r>
    </w:p>
    <w:tbl>
      <w:tblPr>
        <w:tblStyle w:val="372"/>
        <w:tblW w:w="91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246"/>
        <w:gridCol w:w="2418"/>
        <w:gridCol w:w="5535"/>
      </w:tblGrid>
      <w:tr w14:paraId="70A5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9" w:hRule="atLeast"/>
          <w:jc w:val="center"/>
        </w:trPr>
        <w:tc>
          <w:tcPr>
            <w:tcW w:w="1246" w:type="dxa"/>
            <w:noWrap w:val="0"/>
            <w:vAlign w:val="center"/>
          </w:tcPr>
          <w:p w14:paraId="105F8F0E">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品名</w:t>
            </w:r>
          </w:p>
        </w:tc>
        <w:tc>
          <w:tcPr>
            <w:tcW w:w="2418" w:type="dxa"/>
            <w:noWrap w:val="0"/>
            <w:vAlign w:val="center"/>
          </w:tcPr>
          <w:p w14:paraId="07031D2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分类</w:t>
            </w:r>
          </w:p>
        </w:tc>
        <w:tc>
          <w:tcPr>
            <w:tcW w:w="5535" w:type="dxa"/>
            <w:noWrap w:val="0"/>
            <w:vAlign w:val="center"/>
          </w:tcPr>
          <w:p w14:paraId="1317E95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质量描述</w:t>
            </w:r>
          </w:p>
        </w:tc>
      </w:tr>
      <w:tr w14:paraId="0D2D1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74" w:hRule="atLeast"/>
          <w:jc w:val="center"/>
        </w:trPr>
        <w:tc>
          <w:tcPr>
            <w:tcW w:w="1246" w:type="dxa"/>
            <w:vMerge w:val="restart"/>
            <w:noWrap w:val="0"/>
            <w:vAlign w:val="center"/>
          </w:tcPr>
          <w:p w14:paraId="541513D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蔬菜</w:t>
            </w:r>
          </w:p>
        </w:tc>
        <w:tc>
          <w:tcPr>
            <w:tcW w:w="2418" w:type="dxa"/>
            <w:noWrap w:val="0"/>
            <w:vAlign w:val="center"/>
          </w:tcPr>
          <w:p w14:paraId="581E4685">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叶菜类（大白菜、小白菜、菠菜、甘蓝、荠菜、</w:t>
            </w:r>
          </w:p>
          <w:p w14:paraId="2AC41B9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空心菜、茼蒿、苋菜、</w:t>
            </w:r>
          </w:p>
          <w:p w14:paraId="489A5B2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芹菜等）</w:t>
            </w:r>
          </w:p>
        </w:tc>
        <w:tc>
          <w:tcPr>
            <w:tcW w:w="5535" w:type="dxa"/>
            <w:noWrap w:val="0"/>
            <w:vAlign w:val="center"/>
          </w:tcPr>
          <w:p w14:paraId="0D8A919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肉质鲜嫩形态好，色泽正常，茎基部削平，无枯黄叶、病叶、泥土、明显机械伤和病虫害伤，无烧心焦边、腐烂等现象，无抽苔（菜心除外），无异味，结球叶菜要结球适度，花椰菜应新鲜洁白，不带叶麸，无畸形花。</w:t>
            </w:r>
          </w:p>
        </w:tc>
      </w:tr>
      <w:tr w14:paraId="73F07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4" w:hRule="atLeast"/>
          <w:jc w:val="center"/>
        </w:trPr>
        <w:tc>
          <w:tcPr>
            <w:tcW w:w="1246" w:type="dxa"/>
            <w:vMerge w:val="continue"/>
            <w:noWrap w:val="0"/>
            <w:vAlign w:val="center"/>
          </w:tcPr>
          <w:p w14:paraId="154809D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631383F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茄果类（番茄、茄子、甜椒、辣椒等）</w:t>
            </w:r>
          </w:p>
        </w:tc>
        <w:tc>
          <w:tcPr>
            <w:tcW w:w="5535" w:type="dxa"/>
            <w:noWrap w:val="0"/>
            <w:vAlign w:val="center"/>
          </w:tcPr>
          <w:p w14:paraId="09B8B4B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果实整洁，成熟度适中，无裂果及空洞现象，茄果不能有裂蒂及果皮变硬现象，无腐烂、异味，无明显机械伤。</w:t>
            </w:r>
          </w:p>
        </w:tc>
      </w:tr>
      <w:tr w14:paraId="378CC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4" w:hRule="atLeast"/>
          <w:jc w:val="center"/>
        </w:trPr>
        <w:tc>
          <w:tcPr>
            <w:tcW w:w="1246" w:type="dxa"/>
            <w:vMerge w:val="continue"/>
            <w:noWrap w:val="0"/>
            <w:vAlign w:val="center"/>
          </w:tcPr>
          <w:p w14:paraId="54D2691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129DD09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瓜果类（黄瓜、冬瓜、</w:t>
            </w:r>
          </w:p>
          <w:p w14:paraId="665D0C3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丝瓜、苦瓜、南瓜、毛节瓜等）</w:t>
            </w:r>
          </w:p>
        </w:tc>
        <w:tc>
          <w:tcPr>
            <w:tcW w:w="5535" w:type="dxa"/>
            <w:noWrap w:val="0"/>
            <w:vAlign w:val="center"/>
          </w:tcPr>
          <w:p w14:paraId="2C40FB5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色泽一致，无疤点，无断裂，无腐烂、异味、明显机械伤，不带泥土。</w:t>
            </w:r>
          </w:p>
        </w:tc>
      </w:tr>
      <w:tr w14:paraId="454A6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2" w:hRule="atLeast"/>
          <w:jc w:val="center"/>
        </w:trPr>
        <w:tc>
          <w:tcPr>
            <w:tcW w:w="1246" w:type="dxa"/>
            <w:vMerge w:val="continue"/>
            <w:noWrap w:val="0"/>
            <w:vAlign w:val="center"/>
          </w:tcPr>
          <w:p w14:paraId="707C9D7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29BF84D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根菜类（萝卜、胡萝卜等）</w:t>
            </w:r>
          </w:p>
        </w:tc>
        <w:tc>
          <w:tcPr>
            <w:tcW w:w="5535" w:type="dxa"/>
            <w:noWrap w:val="0"/>
            <w:vAlign w:val="center"/>
          </w:tcPr>
          <w:p w14:paraId="1948563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皮细光滑，肉质脆嫩致密新鲜，无腐烂、裂痕、糠心、异味，不带泥沙，不带茎叶和须根</w:t>
            </w:r>
          </w:p>
        </w:tc>
      </w:tr>
      <w:tr w14:paraId="7A3D4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4" w:hRule="atLeast"/>
          <w:jc w:val="center"/>
        </w:trPr>
        <w:tc>
          <w:tcPr>
            <w:tcW w:w="1246" w:type="dxa"/>
            <w:vMerge w:val="continue"/>
            <w:noWrap w:val="0"/>
            <w:vAlign w:val="center"/>
          </w:tcPr>
          <w:p w14:paraId="39C5D07E">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6BD16F7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薯芋类（马铃薯、芋、姜等）</w:t>
            </w:r>
          </w:p>
        </w:tc>
        <w:tc>
          <w:tcPr>
            <w:tcW w:w="5535" w:type="dxa"/>
            <w:noWrap w:val="0"/>
            <w:vAlign w:val="center"/>
          </w:tcPr>
          <w:p w14:paraId="039503C5">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色泽一致，不带泥沙，不带须根、茎叶，不干瘪，无腐烂、异味、明显机械伤、病虫害斑，马铃薯无发芽，皮不变绿。</w:t>
            </w:r>
          </w:p>
        </w:tc>
      </w:tr>
      <w:tr w14:paraId="4C819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1" w:hRule="atLeast"/>
          <w:jc w:val="center"/>
        </w:trPr>
        <w:tc>
          <w:tcPr>
            <w:tcW w:w="1246" w:type="dxa"/>
            <w:vMerge w:val="continue"/>
            <w:noWrap w:val="0"/>
            <w:vAlign w:val="center"/>
          </w:tcPr>
          <w:p w14:paraId="53C748E4">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0092A5E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葱蒜类（葱、蒜、韭菜、洋葱等）</w:t>
            </w:r>
          </w:p>
        </w:tc>
        <w:tc>
          <w:tcPr>
            <w:tcW w:w="5535" w:type="dxa"/>
            <w:noWrap w:val="0"/>
            <w:vAlign w:val="center"/>
          </w:tcPr>
          <w:p w14:paraId="16B7ABD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允许葱、青蒜类保留干净须根，葱、蒜、韭菜不带老叶，蒜头、洋葱去根去枯叶，可食部分新鲜幼嫩，无腐烂、异味。</w:t>
            </w:r>
          </w:p>
        </w:tc>
      </w:tr>
      <w:tr w14:paraId="7D10A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0" w:hRule="atLeast"/>
          <w:jc w:val="center"/>
        </w:trPr>
        <w:tc>
          <w:tcPr>
            <w:tcW w:w="1246" w:type="dxa"/>
            <w:vMerge w:val="continue"/>
            <w:noWrap w:val="0"/>
            <w:vAlign w:val="center"/>
          </w:tcPr>
          <w:p w14:paraId="6CC76FC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2206877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水生菜类（藕、慈菇、茭白、马蹄、菱等）</w:t>
            </w:r>
          </w:p>
        </w:tc>
        <w:tc>
          <w:tcPr>
            <w:tcW w:w="5535" w:type="dxa"/>
            <w:noWrap w:val="0"/>
            <w:vAlign w:val="center"/>
          </w:tcPr>
          <w:p w14:paraId="179CB82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肉质嫩，成熟度适中，无腐烂、异味，无明显机械伤，不带泥土和杂质，不干瘪，茭白不黑心。</w:t>
            </w:r>
          </w:p>
        </w:tc>
      </w:tr>
      <w:tr w14:paraId="16889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246" w:type="dxa"/>
            <w:vMerge w:val="continue"/>
            <w:noWrap w:val="0"/>
            <w:vAlign w:val="center"/>
          </w:tcPr>
          <w:p w14:paraId="6FEE118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5A11628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芽苗类（绿豆芽、黄豆芽、香樁苗等）</w:t>
            </w:r>
          </w:p>
        </w:tc>
        <w:tc>
          <w:tcPr>
            <w:tcW w:w="5535" w:type="dxa"/>
            <w:noWrap w:val="0"/>
            <w:vAlign w:val="center"/>
          </w:tcPr>
          <w:p w14:paraId="72A4593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芽苗幼嫩，不带豆壳杂质，新鲜，不浸水，无腐烂、异味。</w:t>
            </w:r>
          </w:p>
        </w:tc>
      </w:tr>
      <w:tr w14:paraId="1A518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9" w:hRule="atLeast"/>
          <w:jc w:val="center"/>
        </w:trPr>
        <w:tc>
          <w:tcPr>
            <w:tcW w:w="1246" w:type="dxa"/>
            <w:vMerge w:val="restart"/>
            <w:noWrap w:val="0"/>
            <w:vAlign w:val="center"/>
          </w:tcPr>
          <w:p w14:paraId="59AE22CE">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水果</w:t>
            </w:r>
          </w:p>
        </w:tc>
        <w:tc>
          <w:tcPr>
            <w:tcW w:w="2418" w:type="dxa"/>
            <w:noWrap w:val="0"/>
            <w:vAlign w:val="center"/>
          </w:tcPr>
          <w:p w14:paraId="53C7CCDD">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浆果类（葡萄、猕猴桃、树莓、草莓、石榴等）</w:t>
            </w:r>
          </w:p>
        </w:tc>
        <w:tc>
          <w:tcPr>
            <w:tcW w:w="5535" w:type="dxa"/>
            <w:vMerge w:val="restart"/>
            <w:noWrap w:val="0"/>
            <w:vAlign w:val="center"/>
          </w:tcPr>
          <w:p w14:paraId="545765B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外观饱满，无空壳，皱皮，干涩；色泽鲜亮，无变色；软硬适中；无外力造成的机械伤（挤伤、压伤、碰伤、切口，裂伤等）；无病虫害，表面无虫眼，中间无虫卵遗留；成熟度适中，无过熟，未熟情况；无污染残留农药；包装完整干净。</w:t>
            </w:r>
          </w:p>
        </w:tc>
      </w:tr>
      <w:tr w14:paraId="0D73A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9" w:hRule="atLeast"/>
          <w:jc w:val="center"/>
        </w:trPr>
        <w:tc>
          <w:tcPr>
            <w:tcW w:w="1246" w:type="dxa"/>
            <w:vMerge w:val="continue"/>
            <w:noWrap w:val="0"/>
            <w:vAlign w:val="center"/>
          </w:tcPr>
          <w:p w14:paraId="41751B0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67E04CB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瓜果类（西瓜、哈密瓜、甜瓜等）</w:t>
            </w:r>
          </w:p>
        </w:tc>
        <w:tc>
          <w:tcPr>
            <w:tcW w:w="5535" w:type="dxa"/>
            <w:vMerge w:val="continue"/>
            <w:noWrap w:val="0"/>
            <w:vAlign w:val="center"/>
          </w:tcPr>
          <w:p w14:paraId="5C335C4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p>
        </w:tc>
      </w:tr>
      <w:tr w14:paraId="4F741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9" w:hRule="atLeast"/>
          <w:jc w:val="center"/>
        </w:trPr>
        <w:tc>
          <w:tcPr>
            <w:tcW w:w="1246" w:type="dxa"/>
            <w:vMerge w:val="continue"/>
            <w:noWrap w:val="0"/>
            <w:vAlign w:val="center"/>
          </w:tcPr>
          <w:p w14:paraId="728DF78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6D81AFC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柑橘类（柑、橘、橙、柚、柠檬等）</w:t>
            </w:r>
          </w:p>
        </w:tc>
        <w:tc>
          <w:tcPr>
            <w:tcW w:w="5535" w:type="dxa"/>
            <w:vMerge w:val="continue"/>
            <w:noWrap w:val="0"/>
            <w:vAlign w:val="center"/>
          </w:tcPr>
          <w:p w14:paraId="4A46B7BD">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p>
        </w:tc>
      </w:tr>
      <w:tr w14:paraId="38943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1" w:hRule="atLeast"/>
          <w:jc w:val="center"/>
        </w:trPr>
        <w:tc>
          <w:tcPr>
            <w:tcW w:w="1246" w:type="dxa"/>
            <w:vMerge w:val="continue"/>
            <w:noWrap w:val="0"/>
            <w:vAlign w:val="center"/>
          </w:tcPr>
          <w:p w14:paraId="47827C6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p>
        </w:tc>
        <w:tc>
          <w:tcPr>
            <w:tcW w:w="2418" w:type="dxa"/>
            <w:noWrap w:val="0"/>
            <w:vAlign w:val="center"/>
          </w:tcPr>
          <w:p w14:paraId="02A3010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核果类（桃、杏、李、樱桃、梅子等）</w:t>
            </w:r>
          </w:p>
        </w:tc>
        <w:tc>
          <w:tcPr>
            <w:tcW w:w="5535" w:type="dxa"/>
            <w:vMerge w:val="continue"/>
            <w:noWrap w:val="0"/>
            <w:vAlign w:val="center"/>
          </w:tcPr>
          <w:p w14:paraId="7819AFD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auto"/>
                <w:kern w:val="2"/>
                <w:sz w:val="21"/>
                <w:szCs w:val="21"/>
                <w:highlight w:val="none"/>
                <w:lang w:val="en-US" w:eastAsia="zh-CN" w:bidi="ar-SA"/>
              </w:rPr>
            </w:pPr>
          </w:p>
        </w:tc>
      </w:tr>
    </w:tbl>
    <w:p w14:paraId="634CDCA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20" w:firstLineChars="200"/>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（5）冻货水产分类及相应质量要求</w:t>
      </w:r>
    </w:p>
    <w:tbl>
      <w:tblPr>
        <w:tblStyle w:val="372"/>
        <w:tblW w:w="925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35"/>
        <w:gridCol w:w="2580"/>
        <w:gridCol w:w="5436"/>
      </w:tblGrid>
      <w:tr w14:paraId="4EA85B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9" w:hRule="atLeast"/>
          <w:jc w:val="center"/>
        </w:trPr>
        <w:tc>
          <w:tcPr>
            <w:tcW w:w="1235" w:type="dxa"/>
            <w:noWrap w:val="0"/>
            <w:vAlign w:val="center"/>
          </w:tcPr>
          <w:p w14:paraId="12D2443E">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品名</w:t>
            </w:r>
          </w:p>
        </w:tc>
        <w:tc>
          <w:tcPr>
            <w:tcW w:w="2580" w:type="dxa"/>
            <w:noWrap w:val="0"/>
            <w:vAlign w:val="center"/>
          </w:tcPr>
          <w:p w14:paraId="7CE296B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分类</w:t>
            </w:r>
          </w:p>
        </w:tc>
        <w:tc>
          <w:tcPr>
            <w:tcW w:w="5436" w:type="dxa"/>
            <w:noWrap w:val="0"/>
            <w:vAlign w:val="center"/>
          </w:tcPr>
          <w:p w14:paraId="44E1489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质量要求</w:t>
            </w:r>
          </w:p>
        </w:tc>
      </w:tr>
      <w:tr w14:paraId="5CD027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33" w:hRule="atLeast"/>
          <w:jc w:val="center"/>
        </w:trPr>
        <w:tc>
          <w:tcPr>
            <w:tcW w:w="1235" w:type="dxa"/>
            <w:noWrap w:val="0"/>
            <w:vAlign w:val="center"/>
          </w:tcPr>
          <w:p w14:paraId="78180D24">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冻货</w:t>
            </w:r>
          </w:p>
        </w:tc>
        <w:tc>
          <w:tcPr>
            <w:tcW w:w="2580" w:type="dxa"/>
            <w:noWrap w:val="0"/>
            <w:vAlign w:val="center"/>
          </w:tcPr>
          <w:p w14:paraId="04204D5D">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速冻水饺、</w:t>
            </w:r>
            <w:r>
              <w:rPr>
                <w:rFonts w:hint="eastAsia" w:cs="宋体"/>
                <w:i w:val="0"/>
                <w:iCs w:val="0"/>
                <w:color w:val="auto"/>
                <w:kern w:val="2"/>
                <w:sz w:val="21"/>
                <w:szCs w:val="21"/>
                <w:highlight w:val="none"/>
                <w:lang w:val="en-US" w:eastAsia="zh-CN" w:bidi="ar-SA"/>
              </w:rPr>
              <w:t>馄饨</w:t>
            </w:r>
            <w:r>
              <w:rPr>
                <w:rFonts w:hint="eastAsia" w:ascii="宋体" w:hAnsi="宋体" w:eastAsia="宋体" w:cs="宋体"/>
                <w:i w:val="0"/>
                <w:iCs w:val="0"/>
                <w:color w:val="auto"/>
                <w:kern w:val="2"/>
                <w:sz w:val="21"/>
                <w:szCs w:val="21"/>
                <w:highlight w:val="none"/>
                <w:lang w:val="en-US" w:eastAsia="zh-CN" w:bidi="ar-SA"/>
              </w:rPr>
              <w:t>、汤圆等</w:t>
            </w:r>
          </w:p>
        </w:tc>
        <w:tc>
          <w:tcPr>
            <w:tcW w:w="5436" w:type="dxa"/>
            <w:noWrap w:val="0"/>
            <w:vAlign w:val="center"/>
          </w:tcPr>
          <w:p w14:paraId="18510F5D">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包装列出食品名称、配料清单、配料的定量标示、净含量和沥干物（固形物）含量、生产厂商名称和地址、日期标示和贮藏说明、产品标准号、质量（品质）等级等。</w:t>
            </w:r>
          </w:p>
        </w:tc>
      </w:tr>
      <w:tr w14:paraId="2C2313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6" w:hRule="atLeast"/>
          <w:jc w:val="center"/>
        </w:trPr>
        <w:tc>
          <w:tcPr>
            <w:tcW w:w="1235" w:type="dxa"/>
            <w:noWrap w:val="0"/>
            <w:vAlign w:val="center"/>
          </w:tcPr>
          <w:p w14:paraId="5052282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水产</w:t>
            </w:r>
          </w:p>
        </w:tc>
        <w:tc>
          <w:tcPr>
            <w:tcW w:w="2580" w:type="dxa"/>
            <w:noWrap w:val="0"/>
            <w:vAlign w:val="center"/>
          </w:tcPr>
          <w:p w14:paraId="0BFC06F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鱼、虾等</w:t>
            </w:r>
          </w:p>
        </w:tc>
        <w:tc>
          <w:tcPr>
            <w:tcW w:w="5436" w:type="dxa"/>
            <w:noWrap w:val="0"/>
            <w:vAlign w:val="center"/>
          </w:tcPr>
          <w:p w14:paraId="6277EF8D">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符合《食品安全国家标准动物性水产制品》（GB 10136-2015）。《鲜、冻动物性水产品》（GB 2733-2015）</w:t>
            </w:r>
          </w:p>
          <w:p w14:paraId="77C311E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鲜活水产体表粘液清洁、透明；</w:t>
            </w:r>
          </w:p>
          <w:p w14:paraId="6096C03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眼睛澄清、明亮、饱满，眼球黑白界限分明；</w:t>
            </w:r>
          </w:p>
          <w:p w14:paraId="4746C08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鱼鳞或外壳有光泽，紧贴鱼体，轮层明显、完整而无脱落；</w:t>
            </w:r>
          </w:p>
          <w:p w14:paraId="00EC16D4">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肉质坚实有弹性，用手指压凹陷处能立即复原；具有水产特有的鲜腥味，无腐臭味。</w:t>
            </w:r>
          </w:p>
          <w:p w14:paraId="3A187B2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冷冻水产解冻时间为4小时以内（室温20℃),解冻后净重量不少于85%;</w:t>
            </w:r>
          </w:p>
          <w:p w14:paraId="68BFA48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包装应当列出产品品牌、规格、类型、包装方式、包装净重、含冰量等。</w:t>
            </w:r>
          </w:p>
          <w:p w14:paraId="36AE4D20">
            <w:pPr>
              <w:widowControl w:val="0"/>
              <w:numPr>
                <w:ilvl w:val="0"/>
                <w:numId w:val="0"/>
              </w:numPr>
              <w:spacing w:line="24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auto"/>
                <w:kern w:val="2"/>
                <w:sz w:val="21"/>
                <w:szCs w:val="21"/>
                <w:highlight w:val="none"/>
                <w:lang w:val="en-US" w:eastAsia="zh-CN" w:bidi="ar-SA"/>
              </w:rPr>
              <w:t>剩余保存期不少于保质期的三分之二。</w:t>
            </w:r>
          </w:p>
        </w:tc>
      </w:tr>
    </w:tbl>
    <w:p w14:paraId="7D1D178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20" w:firstLineChars="200"/>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（6）副食调料分类及相应质量要求</w:t>
      </w:r>
    </w:p>
    <w:tbl>
      <w:tblPr>
        <w:tblStyle w:val="372"/>
        <w:tblW w:w="924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8"/>
        <w:gridCol w:w="2454"/>
        <w:gridCol w:w="5569"/>
      </w:tblGrid>
      <w:tr w14:paraId="107E12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66" w:hRule="atLeast"/>
          <w:jc w:val="center"/>
        </w:trPr>
        <w:tc>
          <w:tcPr>
            <w:tcW w:w="1218" w:type="dxa"/>
            <w:noWrap w:val="0"/>
            <w:vAlign w:val="center"/>
          </w:tcPr>
          <w:p w14:paraId="23161A2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品名</w:t>
            </w:r>
          </w:p>
        </w:tc>
        <w:tc>
          <w:tcPr>
            <w:tcW w:w="2454" w:type="dxa"/>
            <w:noWrap w:val="0"/>
            <w:vAlign w:val="center"/>
          </w:tcPr>
          <w:p w14:paraId="4D13196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分类</w:t>
            </w:r>
          </w:p>
        </w:tc>
        <w:tc>
          <w:tcPr>
            <w:tcW w:w="5569" w:type="dxa"/>
            <w:noWrap w:val="0"/>
            <w:vAlign w:val="center"/>
          </w:tcPr>
          <w:p w14:paraId="41E5DF8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i w:val="0"/>
                <w:iCs w:val="0"/>
                <w:color w:val="auto"/>
                <w:kern w:val="2"/>
                <w:sz w:val="21"/>
                <w:szCs w:val="21"/>
                <w:highlight w:val="none"/>
                <w:lang w:val="en-US" w:eastAsia="zh-CN" w:bidi="ar-SA"/>
              </w:rPr>
            </w:pPr>
            <w:r>
              <w:rPr>
                <w:rFonts w:hint="eastAsia" w:ascii="宋体" w:hAnsi="宋体" w:eastAsia="宋体" w:cs="宋体"/>
                <w:b/>
                <w:bCs/>
                <w:i w:val="0"/>
                <w:iCs w:val="0"/>
                <w:color w:val="auto"/>
                <w:kern w:val="2"/>
                <w:sz w:val="21"/>
                <w:szCs w:val="21"/>
                <w:highlight w:val="none"/>
                <w:lang w:val="en-US" w:eastAsia="zh-CN" w:bidi="ar-SA"/>
              </w:rPr>
              <w:t>质量要求</w:t>
            </w:r>
          </w:p>
        </w:tc>
      </w:tr>
      <w:tr w14:paraId="730933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52" w:hRule="atLeast"/>
          <w:jc w:val="center"/>
        </w:trPr>
        <w:tc>
          <w:tcPr>
            <w:tcW w:w="1218" w:type="dxa"/>
            <w:noWrap w:val="0"/>
            <w:vAlign w:val="center"/>
          </w:tcPr>
          <w:p w14:paraId="283334E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副食</w:t>
            </w:r>
          </w:p>
        </w:tc>
        <w:tc>
          <w:tcPr>
            <w:tcW w:w="2454" w:type="dxa"/>
            <w:noWrap w:val="0"/>
            <w:vAlign w:val="top"/>
          </w:tcPr>
          <w:p w14:paraId="41555BD1">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豆制品、方便食品、菌菇类（干、湿）、罐头、淀粉制品等</w:t>
            </w:r>
          </w:p>
        </w:tc>
        <w:tc>
          <w:tcPr>
            <w:tcW w:w="5569" w:type="dxa"/>
            <w:vMerge w:val="restart"/>
            <w:noWrap w:val="0"/>
            <w:vAlign w:val="top"/>
          </w:tcPr>
          <w:p w14:paraId="38732E3B">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符合食品安全国家标准，如豆制品符合《食品安全国家标准豆制品》（GB 2712-2014），酱腌菜符合《食品安全国家标准酱腌菜》（GB 2714-2015）,酱油符合《食品安全国家标准酱油》（GB 2717-2018），食醋符合《食品安全国家标准食醋》（GB 2719-2018）等。</w:t>
            </w:r>
          </w:p>
          <w:p w14:paraId="7D65136E">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包装列出食品名称、配料清单、配料的定量标示、净含量和沥干物（固形物）含量、生产厂商名称和地址、日期标示和贮藏说明、产品标准号、质量（品质）等级等。</w:t>
            </w:r>
          </w:p>
          <w:p w14:paraId="15FDD05F">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外观形态、色泽、气味、滋味和硬度（稠度）符合食品品种应有要求；</w:t>
            </w:r>
          </w:p>
          <w:p w14:paraId="52500707">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无杂质，无变质，无异味。</w:t>
            </w:r>
          </w:p>
          <w:p w14:paraId="1EEBDE60">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剩余保存期不少于保质期的三分之二。</w:t>
            </w:r>
          </w:p>
        </w:tc>
      </w:tr>
      <w:tr w14:paraId="50A4F2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12" w:hRule="atLeast"/>
          <w:jc w:val="center"/>
        </w:trPr>
        <w:tc>
          <w:tcPr>
            <w:tcW w:w="1218" w:type="dxa"/>
            <w:noWrap w:val="0"/>
            <w:vAlign w:val="center"/>
          </w:tcPr>
          <w:p w14:paraId="3A029BDD">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调料</w:t>
            </w:r>
          </w:p>
        </w:tc>
        <w:tc>
          <w:tcPr>
            <w:tcW w:w="2454" w:type="dxa"/>
            <w:noWrap w:val="0"/>
            <w:vAlign w:val="top"/>
          </w:tcPr>
          <w:p w14:paraId="47D651D6">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auto"/>
                <w:kern w:val="2"/>
                <w:sz w:val="21"/>
                <w:szCs w:val="21"/>
                <w:highlight w:val="none"/>
                <w:lang w:val="en-US" w:eastAsia="zh-CN" w:bidi="ar-SA"/>
              </w:rPr>
            </w:pPr>
            <w:r>
              <w:rPr>
                <w:rFonts w:hint="eastAsia" w:ascii="宋体" w:hAnsi="宋体" w:eastAsia="宋体" w:cs="宋体"/>
                <w:i w:val="0"/>
                <w:iCs w:val="0"/>
                <w:color w:val="auto"/>
                <w:kern w:val="2"/>
                <w:sz w:val="21"/>
                <w:szCs w:val="21"/>
                <w:highlight w:val="none"/>
                <w:lang w:val="en-US" w:eastAsia="zh-CN" w:bidi="ar-SA"/>
              </w:rPr>
              <w:t>味精、食盐、糖、酱油、醋、料酒、酱腌菜、辛辣料（五香粉、胡椒粉、花椒粉、咖喱粉、芥末粉等，主要原料有八角、花椒、胡椒、桂皮、小茴香、大茴香、辣椒、孜然等）等</w:t>
            </w:r>
          </w:p>
        </w:tc>
        <w:tc>
          <w:tcPr>
            <w:tcW w:w="5569" w:type="dxa"/>
            <w:vMerge w:val="continue"/>
            <w:noWrap w:val="0"/>
            <w:vAlign w:val="top"/>
          </w:tcPr>
          <w:p w14:paraId="51CFE00D">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auto"/>
                <w:kern w:val="2"/>
                <w:sz w:val="21"/>
                <w:szCs w:val="21"/>
                <w:highlight w:val="none"/>
                <w:lang w:val="en-US" w:eastAsia="zh-CN" w:bidi="ar-SA"/>
              </w:rPr>
            </w:pPr>
          </w:p>
        </w:tc>
      </w:tr>
    </w:tbl>
    <w:p w14:paraId="0713B423">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9"/>
        <w:rPr>
          <w:rFonts w:hint="eastAsia" w:ascii="宋体" w:hAnsi="宋体" w:eastAsia="宋体" w:cs="Times New Roman"/>
          <w:b/>
          <w:bCs/>
          <w:color w:val="auto"/>
          <w:highlight w:val="none"/>
          <w:lang w:eastAsia="zh-CN"/>
        </w:rPr>
      </w:pPr>
    </w:p>
    <w:p w14:paraId="59679FA5">
      <w:pPr>
        <w:pStyle w:val="19"/>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Times New Roman"/>
          <w:b/>
          <w:bCs/>
          <w:color w:val="auto"/>
          <w:highlight w:val="none"/>
          <w:lang w:eastAsia="zh-CN"/>
        </w:rPr>
      </w:pPr>
      <w:r>
        <w:rPr>
          <w:rFonts w:hint="eastAsia" w:ascii="宋体" w:hAnsi="宋体" w:eastAsia="宋体" w:cs="Times New Roman"/>
          <w:b/>
          <w:bCs/>
          <w:color w:val="auto"/>
          <w:highlight w:val="none"/>
          <w:lang w:eastAsia="zh-CN"/>
        </w:rPr>
        <w:t>（</w:t>
      </w:r>
      <w:r>
        <w:rPr>
          <w:rFonts w:hint="eastAsia" w:ascii="宋体" w:hAnsi="宋体" w:eastAsia="宋体" w:cs="Times New Roman"/>
          <w:b/>
          <w:bCs/>
          <w:color w:val="auto"/>
          <w:highlight w:val="none"/>
          <w:lang w:val="en-US" w:eastAsia="zh-CN"/>
        </w:rPr>
        <w:t>六</w:t>
      </w:r>
      <w:r>
        <w:rPr>
          <w:rFonts w:hint="eastAsia" w:ascii="宋体" w:hAnsi="宋体" w:eastAsia="宋体" w:cs="Times New Roman"/>
          <w:b/>
          <w:bCs/>
          <w:color w:val="auto"/>
          <w:highlight w:val="none"/>
          <w:lang w:eastAsia="zh-CN"/>
        </w:rPr>
        <w:t>）其他要求</w:t>
      </w:r>
    </w:p>
    <w:p w14:paraId="30E414CB">
      <w:pPr>
        <w:keepNext w:val="0"/>
        <w:keepLines w:val="0"/>
        <w:pageBreakBefore w:val="0"/>
        <w:widowControl w:val="0"/>
        <w:kinsoku/>
        <w:wordWrap/>
        <w:overflowPunct/>
        <w:topLinePunct w:val="0"/>
        <w:autoSpaceDE/>
        <w:autoSpaceDN/>
        <w:bidi w:val="0"/>
        <w:ind w:firstLine="420" w:firstLineChars="200"/>
        <w:rPr>
          <w:rFonts w:hint="eastAsia"/>
          <w:color w:val="auto"/>
          <w:highlight w:val="none"/>
        </w:rPr>
      </w:pPr>
      <w:r>
        <w:rPr>
          <w:rFonts w:hint="eastAsia"/>
          <w:color w:val="auto"/>
          <w:highlight w:val="none"/>
        </w:rPr>
        <w:t>1.供应商配送人员应遵守法律行规，不得与采购人经办人员、餐饮公司运营人员乱拉关系，不得有任何不法利益往来，一经发现，采购人有权单方面终止合同，并予以相应处罚。</w:t>
      </w:r>
    </w:p>
    <w:p w14:paraId="026973ED">
      <w:pPr>
        <w:keepNext w:val="0"/>
        <w:keepLines w:val="0"/>
        <w:pageBreakBefore w:val="0"/>
        <w:widowControl w:val="0"/>
        <w:kinsoku/>
        <w:wordWrap/>
        <w:overflowPunct/>
        <w:topLinePunct w:val="0"/>
        <w:autoSpaceDE/>
        <w:autoSpaceDN/>
        <w:bidi w:val="0"/>
        <w:ind w:firstLine="420" w:firstLineChars="200"/>
        <w:rPr>
          <w:rFonts w:hint="eastAsia"/>
          <w:color w:val="auto"/>
          <w:highlight w:val="none"/>
        </w:rPr>
      </w:pPr>
      <w:r>
        <w:rPr>
          <w:rFonts w:hint="eastAsia"/>
          <w:color w:val="auto"/>
          <w:highlight w:val="none"/>
        </w:rPr>
        <w:t>2.如采购人因采用供应商提供的食品，所造成饮食安全上的一切问题，由供应商承担所有的法律责任，并做出相关赔偿。</w:t>
      </w:r>
    </w:p>
    <w:p w14:paraId="663BB625">
      <w:pPr>
        <w:keepNext w:val="0"/>
        <w:keepLines w:val="0"/>
        <w:pageBreakBefore w:val="0"/>
        <w:widowControl w:val="0"/>
        <w:kinsoku/>
        <w:wordWrap/>
        <w:overflowPunct/>
        <w:topLinePunct w:val="0"/>
        <w:autoSpaceDE/>
        <w:autoSpaceDN/>
        <w:bidi w:val="0"/>
        <w:ind w:firstLine="420" w:firstLineChars="200"/>
        <w:rPr>
          <w:rFonts w:hint="eastAsia"/>
          <w:color w:val="auto"/>
          <w:highlight w:val="none"/>
        </w:rPr>
      </w:pPr>
      <w:r>
        <w:rPr>
          <w:rFonts w:hint="eastAsia"/>
          <w:color w:val="auto"/>
          <w:highlight w:val="none"/>
        </w:rPr>
        <w:t>3.如遇政策变更，采购人因机构变动导致布局调整，出现增容或人员减少导致采购规模大幅扩大或缩减的情况，供应商必须具备相应供货能力，供应商充分考虑自身供货能力，须在（投标）响应文件中对此做出承诺，采购人不因此承担任何责任。</w:t>
      </w:r>
      <w:r>
        <w:rPr>
          <w:color w:val="auto"/>
          <w:highlight w:val="none"/>
        </w:rPr>
        <w:br w:type="page"/>
      </w:r>
    </w:p>
    <w:p w14:paraId="369087D0">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55" w:name="_Toc7154"/>
      <w:r>
        <w:rPr>
          <w:rFonts w:hint="eastAsia" w:eastAsia="宋体"/>
          <w:color w:val="auto"/>
          <w:sz w:val="24"/>
          <w:szCs w:val="24"/>
          <w:highlight w:val="none"/>
        </w:rPr>
        <w:t>第三章</w:t>
      </w:r>
      <w:r>
        <w:rPr>
          <w:rFonts w:eastAsia="宋体"/>
          <w:color w:val="auto"/>
          <w:sz w:val="24"/>
          <w:szCs w:val="24"/>
          <w:highlight w:val="none"/>
        </w:rPr>
        <w:t xml:space="preserve"> </w:t>
      </w:r>
      <w:r>
        <w:rPr>
          <w:rFonts w:hint="eastAsia" w:eastAsia="宋体"/>
          <w:color w:val="auto"/>
          <w:sz w:val="24"/>
          <w:szCs w:val="24"/>
          <w:highlight w:val="none"/>
        </w:rPr>
        <w:t>供应商须知</w:t>
      </w:r>
      <w:bookmarkEnd w:id="43"/>
      <w:bookmarkEnd w:id="44"/>
      <w:bookmarkEnd w:id="45"/>
      <w:bookmarkEnd w:id="46"/>
      <w:bookmarkEnd w:id="47"/>
      <w:bookmarkEnd w:id="55"/>
    </w:p>
    <w:p w14:paraId="5DFA4B04">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供应商必须认真阅读磋商文件中所有的事项、格式、条款和采购需求等。供应商没有按照磋商文件要求提交全部资料，或者响应文件没有对磋商文件在各方面都做出实质性响应的可能导致其响应无效或被拒绝。</w:t>
      </w:r>
    </w:p>
    <w:p w14:paraId="569857F2">
      <w:pPr>
        <w:pStyle w:val="3"/>
        <w:keepNext w:val="0"/>
        <w:keepLines w:val="0"/>
        <w:pageBreakBefore w:val="0"/>
        <w:widowControl w:val="0"/>
        <w:numPr>
          <w:ilvl w:val="0"/>
          <w:numId w:val="6"/>
        </w:numPr>
        <w:kinsoku/>
        <w:wordWrap/>
        <w:overflowPunct/>
        <w:topLinePunct w:val="0"/>
        <w:autoSpaceDE/>
        <w:autoSpaceDN/>
        <w:bidi w:val="0"/>
        <w:spacing w:before="120" w:after="120" w:line="360" w:lineRule="auto"/>
        <w:ind w:left="0" w:firstLine="0"/>
        <w:jc w:val="left"/>
        <w:rPr>
          <w:rFonts w:hint="eastAsia" w:ascii="宋体" w:hAnsi="宋体" w:eastAsia="宋体"/>
          <w:color w:val="auto"/>
          <w:sz w:val="21"/>
          <w:szCs w:val="21"/>
          <w:highlight w:val="none"/>
        </w:rPr>
      </w:pPr>
      <w:bookmarkStart w:id="56" w:name="_Toc104040688"/>
      <w:bookmarkStart w:id="57" w:name="_Toc104040742"/>
      <w:bookmarkStart w:id="58" w:name="_Toc21764"/>
      <w:r>
        <w:rPr>
          <w:rFonts w:hint="eastAsia" w:ascii="宋体" w:hAnsi="宋体" w:eastAsia="宋体"/>
          <w:color w:val="auto"/>
          <w:sz w:val="21"/>
          <w:szCs w:val="21"/>
          <w:highlight w:val="none"/>
        </w:rPr>
        <w:t>名词解释</w:t>
      </w:r>
      <w:bookmarkEnd w:id="56"/>
      <w:bookmarkEnd w:id="57"/>
      <w:bookmarkEnd w:id="58"/>
    </w:p>
    <w:p w14:paraId="6C6956A1">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16" w:firstLineChars="200"/>
        <w:rPr>
          <w:rFonts w:hint="eastAsia"/>
          <w:color w:val="auto"/>
          <w:sz w:val="21"/>
          <w:szCs w:val="21"/>
          <w:highlight w:val="none"/>
        </w:rPr>
      </w:pPr>
      <w:r>
        <w:rPr>
          <w:rFonts w:hint="eastAsia"/>
          <w:color w:val="auto"/>
          <w:spacing w:val="-1"/>
          <w:sz w:val="21"/>
          <w:szCs w:val="21"/>
          <w:highlight w:val="none"/>
        </w:rPr>
        <w:t>采购代理机构：本项目是指公诚管理咨询有限公司，负责整个采购活动的组织，依法负责编制和发布磋商文件，对磋商文</w:t>
      </w:r>
      <w:r>
        <w:rPr>
          <w:rFonts w:hint="eastAsia"/>
          <w:color w:val="auto"/>
          <w:sz w:val="21"/>
          <w:szCs w:val="21"/>
          <w:highlight w:val="none"/>
        </w:rPr>
        <w:t>件拥有最终的解释权，不以任何身份出任磋商小组成员。</w:t>
      </w:r>
    </w:p>
    <w:p w14:paraId="202D5E8B">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16" w:firstLineChars="200"/>
        <w:rPr>
          <w:rFonts w:hint="eastAsia"/>
          <w:color w:val="auto"/>
          <w:sz w:val="21"/>
          <w:szCs w:val="21"/>
          <w:highlight w:val="none"/>
        </w:rPr>
      </w:pPr>
      <w:r>
        <w:rPr>
          <w:rFonts w:hint="eastAsia"/>
          <w:color w:val="auto"/>
          <w:spacing w:val="-1"/>
          <w:sz w:val="21"/>
          <w:szCs w:val="21"/>
          <w:highlight w:val="none"/>
        </w:rPr>
        <w:t>采购人：本项目采购人详见采购公告，是采购活动当事人之一，负责项目的整体规划、技术方案可行性设</w:t>
      </w:r>
      <w:r>
        <w:rPr>
          <w:rFonts w:hint="eastAsia"/>
          <w:color w:val="auto"/>
          <w:sz w:val="21"/>
          <w:szCs w:val="21"/>
          <w:highlight w:val="none"/>
        </w:rPr>
        <w:t>计论证与实施，作为合同采购方（用户）的主体承担质疑回复、履行合同、验收与评价等义务。</w:t>
      </w:r>
    </w:p>
    <w:p w14:paraId="0790BE4F">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供应商：是指通过诚E招电子采购交易平台获取了采购文件，并提交响应文件的供应商。</w:t>
      </w:r>
    </w:p>
    <w:p w14:paraId="56E19EEF">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04" w:firstLineChars="200"/>
        <w:rPr>
          <w:rFonts w:hint="eastAsia"/>
          <w:color w:val="auto"/>
          <w:sz w:val="21"/>
          <w:szCs w:val="21"/>
          <w:highlight w:val="none"/>
        </w:rPr>
      </w:pPr>
      <w:r>
        <w:rPr>
          <w:rFonts w:hint="eastAsia"/>
          <w:color w:val="auto"/>
          <w:spacing w:val="-4"/>
          <w:sz w:val="21"/>
          <w:szCs w:val="21"/>
          <w:highlight w:val="none"/>
        </w:rPr>
        <w:t>“</w:t>
      </w:r>
      <w:r>
        <w:rPr>
          <w:rFonts w:hint="eastAsia"/>
          <w:color w:val="auto"/>
          <w:sz w:val="21"/>
          <w:szCs w:val="21"/>
          <w:highlight w:val="none"/>
        </w:rPr>
        <w:t>磋商小组</w:t>
      </w:r>
      <w:r>
        <w:rPr>
          <w:rFonts w:hint="eastAsia"/>
          <w:color w:val="auto"/>
          <w:spacing w:val="-4"/>
          <w:sz w:val="21"/>
          <w:szCs w:val="21"/>
          <w:highlight w:val="none"/>
        </w:rPr>
        <w:t>”</w:t>
      </w:r>
      <w:r>
        <w:rPr>
          <w:rFonts w:hint="eastAsia"/>
          <w:color w:val="auto"/>
          <w:spacing w:val="-1"/>
          <w:sz w:val="21"/>
          <w:szCs w:val="21"/>
          <w:highlight w:val="none"/>
        </w:rPr>
        <w:t>是指根据《中华人民共和国政府采购法》等法律法规规定，由采购人代表和有关专家组成以确定成交供应商</w:t>
      </w:r>
      <w:r>
        <w:rPr>
          <w:rFonts w:hint="eastAsia"/>
          <w:color w:val="auto"/>
          <w:sz w:val="21"/>
          <w:szCs w:val="21"/>
          <w:highlight w:val="none"/>
        </w:rPr>
        <w:t>或者推荐成交候选供应商的临时组织。</w:t>
      </w:r>
    </w:p>
    <w:p w14:paraId="289B268B">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04" w:firstLineChars="200"/>
        <w:rPr>
          <w:rFonts w:hint="eastAsia"/>
          <w:color w:val="auto"/>
          <w:sz w:val="21"/>
          <w:szCs w:val="21"/>
          <w:highlight w:val="none"/>
        </w:rPr>
      </w:pPr>
      <w:r>
        <w:rPr>
          <w:rFonts w:hint="eastAsia"/>
          <w:color w:val="auto"/>
          <w:spacing w:val="-4"/>
          <w:sz w:val="21"/>
          <w:szCs w:val="21"/>
          <w:highlight w:val="none"/>
        </w:rPr>
        <w:t>“</w:t>
      </w:r>
      <w:r>
        <w:rPr>
          <w:rFonts w:hint="eastAsia"/>
          <w:color w:val="auto"/>
          <w:sz w:val="21"/>
          <w:szCs w:val="21"/>
          <w:highlight w:val="none"/>
        </w:rPr>
        <w:t>成交供应商</w:t>
      </w:r>
      <w:r>
        <w:rPr>
          <w:rFonts w:hint="eastAsia"/>
          <w:color w:val="auto"/>
          <w:spacing w:val="-4"/>
          <w:sz w:val="21"/>
          <w:szCs w:val="21"/>
          <w:highlight w:val="none"/>
        </w:rPr>
        <w:t>”</w:t>
      </w:r>
      <w:r>
        <w:rPr>
          <w:rFonts w:hint="eastAsia"/>
          <w:color w:val="auto"/>
          <w:spacing w:val="-1"/>
          <w:sz w:val="21"/>
          <w:szCs w:val="21"/>
          <w:highlight w:val="none"/>
        </w:rPr>
        <w:t>是指经磋商小组评审确定的对磋商文件做出实质性响应，经采购人按照规定在磋商小组推荐的成交候选供</w:t>
      </w:r>
      <w:r>
        <w:rPr>
          <w:rFonts w:hint="eastAsia"/>
          <w:color w:val="auto"/>
          <w:sz w:val="21"/>
          <w:szCs w:val="21"/>
          <w:highlight w:val="none"/>
        </w:rPr>
        <w:t>应商中确定的或磋商小组受采购人委托直接确认的供应商。</w:t>
      </w:r>
    </w:p>
    <w:p w14:paraId="632275AA">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磋商文件：是指包括磋商公告和磋商文件及其补充、变更和澄清等一系列文件。</w:t>
      </w:r>
    </w:p>
    <w:p w14:paraId="3C08EC6D">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响应文件：是指供应商提交的响应文件。</w:t>
      </w:r>
    </w:p>
    <w:p w14:paraId="35AE3EE6">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04" w:firstLineChars="200"/>
        <w:rPr>
          <w:rFonts w:hint="eastAsia"/>
          <w:color w:val="auto"/>
          <w:sz w:val="21"/>
          <w:szCs w:val="21"/>
          <w:highlight w:val="none"/>
        </w:rPr>
      </w:pPr>
      <w:r>
        <w:rPr>
          <w:rFonts w:hint="eastAsia"/>
          <w:color w:val="auto"/>
          <w:spacing w:val="-4"/>
          <w:sz w:val="21"/>
          <w:szCs w:val="21"/>
          <w:highlight w:val="none"/>
        </w:rPr>
        <w:t>“全称”、“公司全称”、“投标人/供应商名称”、“加盖单位公章”、“加盖公章”及“公章”：在投标（响应）文件及相关的其他资料中，涉及“全称”或“公司全称”或“投标人/供应商名称”的应在对应文件编辑时使用文本录入方式，或在纸质投标（响应）文件上进行填写，或直接盖单位公章；涉及“加盖单位公章”、“加盖公章”和“公章”应使用投标人单位的公章进行盖章</w:t>
      </w:r>
      <w:r>
        <w:rPr>
          <w:rFonts w:hint="eastAsia"/>
          <w:color w:val="auto"/>
          <w:sz w:val="21"/>
          <w:szCs w:val="21"/>
          <w:highlight w:val="none"/>
        </w:rPr>
        <w:t>。</w:t>
      </w:r>
    </w:p>
    <w:p w14:paraId="78AFCC4D">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04" w:firstLineChars="200"/>
        <w:rPr>
          <w:rFonts w:hint="eastAsia"/>
          <w:color w:val="auto"/>
          <w:sz w:val="21"/>
          <w:szCs w:val="21"/>
          <w:highlight w:val="none"/>
        </w:rPr>
      </w:pPr>
      <w:r>
        <w:rPr>
          <w:rFonts w:hint="eastAsia"/>
          <w:color w:val="auto"/>
          <w:spacing w:val="-4"/>
          <w:sz w:val="21"/>
          <w:szCs w:val="21"/>
          <w:highlight w:val="none"/>
        </w:rPr>
        <w:t>“</w:t>
      </w:r>
      <w:r>
        <w:rPr>
          <w:rFonts w:hint="eastAsia"/>
          <w:color w:val="auto"/>
          <w:sz w:val="21"/>
          <w:szCs w:val="21"/>
          <w:highlight w:val="none"/>
        </w:rPr>
        <w:t>供应商代表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”及“授权代表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”：在响应文件及相关的其他资料中，涉及“供应商代表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”或“授权代表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”应在纸质响应文件上进行手写签名或加盖个人印章（签名章或方章）。</w:t>
      </w:r>
    </w:p>
    <w:p w14:paraId="56846D78">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04" w:firstLineChars="200"/>
        <w:rPr>
          <w:rFonts w:hint="eastAsia"/>
          <w:color w:val="auto"/>
          <w:sz w:val="21"/>
          <w:szCs w:val="21"/>
          <w:highlight w:val="none"/>
        </w:rPr>
      </w:pPr>
      <w:r>
        <w:rPr>
          <w:rFonts w:hint="eastAsia"/>
          <w:color w:val="auto"/>
          <w:spacing w:val="-4"/>
          <w:sz w:val="21"/>
          <w:szCs w:val="21"/>
          <w:highlight w:val="none"/>
        </w:rPr>
        <w:t>“</w:t>
      </w:r>
      <w:r>
        <w:rPr>
          <w:rFonts w:hint="eastAsia"/>
          <w:color w:val="auto"/>
          <w:sz w:val="21"/>
          <w:szCs w:val="21"/>
          <w:highlight w:val="none"/>
        </w:rPr>
        <w:t>法定代表人</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”：在响应文件及相关的其他资料中，涉及“法定代表人</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”应在纸质响应文件上进行手写签名或加盖个人印章（签名章或方章）。</w:t>
      </w:r>
    </w:p>
    <w:p w14:paraId="56900481">
      <w:pPr>
        <w:pStyle w:val="366"/>
        <w:keepNext w:val="0"/>
        <w:keepLines w:val="0"/>
        <w:pageBreakBefore w:val="0"/>
        <w:widowControl w:val="0"/>
        <w:numPr>
          <w:ilvl w:val="1"/>
          <w:numId w:val="6"/>
        </w:numPr>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日期、天数、时间：未有特别说明时，均为公历日（天）及北京时间。</w:t>
      </w:r>
    </w:p>
    <w:p w14:paraId="0C1FA37C">
      <w:pPr>
        <w:pStyle w:val="366"/>
        <w:keepNext w:val="0"/>
        <w:keepLines w:val="0"/>
        <w:pageBreakBefore w:val="0"/>
        <w:widowControl w:val="0"/>
        <w:kinsoku/>
        <w:wordWrap/>
        <w:overflowPunct/>
        <w:topLinePunct w:val="0"/>
        <w:autoSpaceDE/>
        <w:autoSpaceDN/>
        <w:bidi w:val="0"/>
        <w:spacing w:line="360" w:lineRule="auto"/>
        <w:ind w:left="0" w:firstLine="0"/>
        <w:rPr>
          <w:rFonts w:hint="eastAsia"/>
          <w:color w:val="auto"/>
          <w:sz w:val="21"/>
          <w:szCs w:val="21"/>
          <w:highlight w:val="none"/>
        </w:rPr>
      </w:pPr>
    </w:p>
    <w:p w14:paraId="4C01563B">
      <w:pPr>
        <w:pStyle w:val="3"/>
        <w:keepNext w:val="0"/>
        <w:keepLines w:val="0"/>
        <w:pageBreakBefore w:val="0"/>
        <w:widowControl w:val="0"/>
        <w:numPr>
          <w:ilvl w:val="0"/>
          <w:numId w:val="6"/>
        </w:numPr>
        <w:kinsoku/>
        <w:wordWrap/>
        <w:overflowPunct/>
        <w:topLinePunct w:val="0"/>
        <w:autoSpaceDE/>
        <w:autoSpaceDN/>
        <w:bidi w:val="0"/>
        <w:spacing w:before="120" w:after="120" w:line="360" w:lineRule="auto"/>
        <w:ind w:left="0" w:firstLine="0"/>
        <w:jc w:val="left"/>
        <w:rPr>
          <w:rFonts w:hint="eastAsia" w:ascii="宋体" w:hAnsi="宋体" w:eastAsia="宋体"/>
          <w:color w:val="auto"/>
          <w:sz w:val="21"/>
          <w:szCs w:val="21"/>
          <w:highlight w:val="none"/>
        </w:rPr>
      </w:pPr>
      <w:bookmarkStart w:id="59" w:name="_Toc16702"/>
      <w:bookmarkStart w:id="60" w:name="_Toc104040743"/>
      <w:bookmarkStart w:id="61" w:name="_Toc104040689"/>
      <w:r>
        <w:rPr>
          <w:rFonts w:hint="eastAsia" w:ascii="宋体" w:hAnsi="宋体" w:eastAsia="宋体"/>
          <w:color w:val="auto"/>
          <w:sz w:val="21"/>
          <w:szCs w:val="21"/>
          <w:highlight w:val="none"/>
        </w:rPr>
        <w:t>须知前附表</w:t>
      </w:r>
      <w:bookmarkEnd w:id="59"/>
      <w:bookmarkEnd w:id="60"/>
      <w:bookmarkEnd w:id="61"/>
    </w:p>
    <w:tbl>
      <w:tblPr>
        <w:tblStyle w:val="4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985"/>
        <w:gridCol w:w="7047"/>
      </w:tblGrid>
      <w:tr w14:paraId="1160B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736" w:type="dxa"/>
            <w:gridSpan w:val="3"/>
            <w:vAlign w:val="center"/>
          </w:tcPr>
          <w:p w14:paraId="45420904">
            <w:pPr>
              <w:pStyle w:val="19"/>
              <w:keepNext w:val="0"/>
              <w:keepLines w:val="0"/>
              <w:pageBreakBefore w:val="0"/>
              <w:widowControl w:val="0"/>
              <w:kinsoku/>
              <w:wordWrap/>
              <w:overflowPunct/>
              <w:topLinePunct w:val="0"/>
              <w:autoSpaceDE/>
              <w:autoSpaceDN/>
              <w:bidi w:val="0"/>
              <w:spacing w:line="240" w:lineRule="auto"/>
              <w:jc w:val="center"/>
              <w:rPr>
                <w:rFonts w:hint="eastAsia"/>
                <w:b/>
                <w:bCs/>
                <w:color w:val="auto"/>
                <w:szCs w:val="21"/>
                <w:highlight w:val="none"/>
              </w:rPr>
            </w:pPr>
            <w:r>
              <w:rPr>
                <w:rFonts w:hint="eastAsia"/>
                <w:b/>
                <w:bCs/>
                <w:color w:val="auto"/>
                <w:szCs w:val="21"/>
                <w:highlight w:val="none"/>
              </w:rPr>
              <w:t>本表与磋商文件对应章节的内容若不一致，以本表为准。</w:t>
            </w:r>
          </w:p>
        </w:tc>
      </w:tr>
      <w:tr w14:paraId="1B260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46658899">
            <w:pPr>
              <w:pStyle w:val="19"/>
              <w:keepNext w:val="0"/>
              <w:keepLines w:val="0"/>
              <w:pageBreakBefore w:val="0"/>
              <w:widowControl w:val="0"/>
              <w:kinsoku/>
              <w:wordWrap/>
              <w:overflowPunct/>
              <w:topLinePunct w:val="0"/>
              <w:autoSpaceDE/>
              <w:autoSpaceDN/>
              <w:bidi w:val="0"/>
              <w:spacing w:line="240" w:lineRule="auto"/>
              <w:ind w:left="-111" w:leftChars="-53" w:right="-103" w:rightChars="-49"/>
              <w:jc w:val="center"/>
              <w:rPr>
                <w:rFonts w:hint="eastAsia"/>
                <w:b/>
                <w:bCs/>
                <w:color w:val="auto"/>
                <w:szCs w:val="21"/>
                <w:highlight w:val="none"/>
              </w:rPr>
            </w:pPr>
            <w:r>
              <w:rPr>
                <w:rFonts w:hint="eastAsia"/>
                <w:b/>
                <w:bCs/>
                <w:color w:val="auto"/>
                <w:szCs w:val="21"/>
                <w:highlight w:val="none"/>
              </w:rPr>
              <w:t>序号</w:t>
            </w:r>
          </w:p>
        </w:tc>
        <w:tc>
          <w:tcPr>
            <w:tcW w:w="1985" w:type="dxa"/>
            <w:vAlign w:val="center"/>
          </w:tcPr>
          <w:p w14:paraId="40363E2F">
            <w:pPr>
              <w:pStyle w:val="19"/>
              <w:keepNext w:val="0"/>
              <w:keepLines w:val="0"/>
              <w:pageBreakBefore w:val="0"/>
              <w:widowControl w:val="0"/>
              <w:kinsoku/>
              <w:wordWrap/>
              <w:overflowPunct/>
              <w:topLinePunct w:val="0"/>
              <w:autoSpaceDE/>
              <w:autoSpaceDN/>
              <w:bidi w:val="0"/>
              <w:spacing w:line="240" w:lineRule="auto"/>
              <w:jc w:val="center"/>
              <w:rPr>
                <w:rFonts w:hint="eastAsia"/>
                <w:b/>
                <w:bCs/>
                <w:color w:val="auto"/>
                <w:szCs w:val="21"/>
                <w:highlight w:val="none"/>
              </w:rPr>
            </w:pPr>
            <w:r>
              <w:rPr>
                <w:rFonts w:hint="eastAsia"/>
                <w:b/>
                <w:bCs/>
                <w:color w:val="auto"/>
                <w:szCs w:val="21"/>
                <w:highlight w:val="none"/>
              </w:rPr>
              <w:t>条款名称</w:t>
            </w:r>
          </w:p>
        </w:tc>
        <w:tc>
          <w:tcPr>
            <w:tcW w:w="7047" w:type="dxa"/>
            <w:vAlign w:val="center"/>
          </w:tcPr>
          <w:p w14:paraId="7BFC5A6D">
            <w:pPr>
              <w:pStyle w:val="19"/>
              <w:keepNext w:val="0"/>
              <w:keepLines w:val="0"/>
              <w:pageBreakBefore w:val="0"/>
              <w:widowControl w:val="0"/>
              <w:kinsoku/>
              <w:wordWrap/>
              <w:overflowPunct/>
              <w:topLinePunct w:val="0"/>
              <w:autoSpaceDE/>
              <w:autoSpaceDN/>
              <w:bidi w:val="0"/>
              <w:spacing w:line="240" w:lineRule="auto"/>
              <w:jc w:val="center"/>
              <w:rPr>
                <w:rFonts w:hint="eastAsia"/>
                <w:b/>
                <w:bCs/>
                <w:color w:val="auto"/>
                <w:szCs w:val="21"/>
                <w:highlight w:val="none"/>
              </w:rPr>
            </w:pPr>
            <w:r>
              <w:rPr>
                <w:rFonts w:hint="eastAsia"/>
                <w:b/>
                <w:bCs/>
                <w:color w:val="auto"/>
                <w:szCs w:val="21"/>
                <w:highlight w:val="none"/>
              </w:rPr>
              <w:t>内容及要求</w:t>
            </w:r>
          </w:p>
        </w:tc>
      </w:tr>
      <w:tr w14:paraId="661F3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161D2CAC">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78477F19">
            <w:pPr>
              <w:pStyle w:val="19"/>
              <w:keepNext w:val="0"/>
              <w:keepLines w:val="0"/>
              <w:pageBreakBefore w:val="0"/>
              <w:widowControl w:val="0"/>
              <w:kinsoku/>
              <w:wordWrap/>
              <w:overflowPunct/>
              <w:topLinePunct w:val="0"/>
              <w:autoSpaceDE/>
              <w:autoSpaceDN/>
              <w:bidi w:val="0"/>
              <w:spacing w:line="240" w:lineRule="auto"/>
              <w:jc w:val="center"/>
              <w:rPr>
                <w:rFonts w:hint="eastAsia"/>
                <w:b/>
                <w:bCs/>
                <w:color w:val="auto"/>
                <w:szCs w:val="21"/>
                <w:highlight w:val="none"/>
              </w:rPr>
            </w:pPr>
            <w:r>
              <w:rPr>
                <w:rFonts w:hint="eastAsia"/>
                <w:color w:val="auto"/>
                <w:szCs w:val="21"/>
                <w:highlight w:val="none"/>
              </w:rPr>
              <w:t>采购包情况</w:t>
            </w:r>
          </w:p>
        </w:tc>
        <w:tc>
          <w:tcPr>
            <w:tcW w:w="7047" w:type="dxa"/>
            <w:vAlign w:val="center"/>
          </w:tcPr>
          <w:p w14:paraId="69E3E042">
            <w:pPr>
              <w:pStyle w:val="19"/>
              <w:keepNext w:val="0"/>
              <w:keepLines w:val="0"/>
              <w:pageBreakBefore w:val="0"/>
              <w:widowControl w:val="0"/>
              <w:kinsoku/>
              <w:wordWrap/>
              <w:overflowPunct/>
              <w:topLinePunct w:val="0"/>
              <w:autoSpaceDE/>
              <w:autoSpaceDN/>
              <w:bidi w:val="0"/>
              <w:spacing w:line="240" w:lineRule="auto"/>
              <w:rPr>
                <w:rFonts w:hint="eastAsia"/>
                <w:b/>
                <w:bCs/>
                <w:color w:val="auto"/>
                <w:szCs w:val="21"/>
                <w:highlight w:val="none"/>
              </w:rPr>
            </w:pPr>
            <w:r>
              <w:rPr>
                <w:rFonts w:hint="eastAsia"/>
                <w:color w:val="auto"/>
                <w:szCs w:val="21"/>
                <w:highlight w:val="none"/>
              </w:rPr>
              <w:t>本项目共1个采购包</w:t>
            </w:r>
          </w:p>
        </w:tc>
      </w:tr>
      <w:tr w14:paraId="69EC9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195EFC58">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6C038313">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资金来源</w:t>
            </w:r>
          </w:p>
        </w:tc>
        <w:tc>
          <w:tcPr>
            <w:tcW w:w="7047" w:type="dxa"/>
            <w:vAlign w:val="center"/>
          </w:tcPr>
          <w:p w14:paraId="5DC85833">
            <w:pPr>
              <w:keepNext w:val="0"/>
              <w:keepLines w:val="0"/>
              <w:pageBreakBefore w:val="0"/>
              <w:widowControl w:val="0"/>
              <w:kinsoku/>
              <w:wordWrap/>
              <w:overflowPunct/>
              <w:topLinePunct w:val="0"/>
              <w:autoSpaceDE/>
              <w:autoSpaceDN/>
              <w:bidi w:val="0"/>
              <w:rPr>
                <w:rFonts w:hint="eastAsia"/>
                <w:color w:val="auto"/>
                <w:szCs w:val="21"/>
                <w:highlight w:val="none"/>
              </w:rPr>
            </w:pPr>
            <w:r>
              <w:rPr>
                <w:color w:val="auto"/>
                <w:szCs w:val="21"/>
                <w:highlight w:val="none"/>
                <w:lang w:eastAsia="zh-CN"/>
              </w:rPr>
              <w:t>■</w:t>
            </w:r>
            <w:r>
              <w:rPr>
                <w:rFonts w:hint="eastAsia"/>
                <w:color w:val="auto"/>
                <w:szCs w:val="21"/>
                <w:highlight w:val="none"/>
                <w:lang w:eastAsia="zh-CN"/>
              </w:rPr>
              <w:t>国库集中支付</w:t>
            </w:r>
            <w:r>
              <w:rPr>
                <w:rFonts w:hint="eastAsia"/>
                <w:color w:val="auto"/>
                <w:szCs w:val="21"/>
                <w:highlight w:val="none"/>
                <w:lang w:val="en-US" w:eastAsia="zh-CN"/>
              </w:rPr>
              <w:t xml:space="preserve"> / </w:t>
            </w:r>
            <w:r>
              <w:rPr>
                <w:rFonts w:hint="eastAsia"/>
                <w:color w:val="auto"/>
                <w:szCs w:val="21"/>
                <w:highlight w:val="none"/>
                <w:lang w:eastAsia="zh-CN"/>
              </w:rPr>
              <w:t>□单位自行支付</w:t>
            </w:r>
            <w:r>
              <w:rPr>
                <w:rFonts w:hint="eastAsia"/>
                <w:color w:val="auto"/>
                <w:szCs w:val="21"/>
                <w:highlight w:val="none"/>
                <w:lang w:val="en-US" w:eastAsia="zh-CN"/>
              </w:rPr>
              <w:t xml:space="preserve"> / </w:t>
            </w:r>
            <w:r>
              <w:rPr>
                <w:rFonts w:hint="eastAsia" w:ascii="宋体" w:hAnsi="宋体" w:eastAsia="宋体"/>
                <w:color w:val="auto"/>
                <w:szCs w:val="21"/>
                <w:highlight w:val="none"/>
                <w:lang w:eastAsia="zh-CN"/>
              </w:rPr>
              <w:t>□</w:t>
            </w:r>
            <w:r>
              <w:rPr>
                <w:rFonts w:hint="eastAsia" w:ascii="宋体" w:hAnsi="宋体" w:eastAsia="宋体"/>
                <w:color w:val="auto"/>
                <w:szCs w:val="21"/>
                <w:highlight w:val="none"/>
                <w:lang w:val="en-US" w:eastAsia="zh-CN"/>
              </w:rPr>
              <w:t>其他：</w:t>
            </w:r>
            <w:r>
              <w:rPr>
                <w:rFonts w:hint="eastAsia" w:ascii="宋体" w:hAnsi="宋体" w:eastAsia="宋体"/>
                <w:color w:val="auto"/>
                <w:szCs w:val="21"/>
                <w:highlight w:val="none"/>
                <w:u w:val="single"/>
                <w:lang w:val="en-US" w:eastAsia="zh-CN"/>
              </w:rPr>
              <w:t xml:space="preserve">     </w:t>
            </w:r>
          </w:p>
        </w:tc>
      </w:tr>
      <w:tr w14:paraId="607A1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4F930045">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557E254A">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公告发布媒介</w:t>
            </w:r>
          </w:p>
        </w:tc>
        <w:tc>
          <w:tcPr>
            <w:tcW w:w="7047" w:type="dxa"/>
            <w:vAlign w:val="center"/>
          </w:tcPr>
          <w:p w14:paraId="1E7D1218">
            <w:pPr>
              <w:rPr>
                <w:rFonts w:hint="eastAsia"/>
                <w:color w:val="auto"/>
                <w:szCs w:val="21"/>
                <w:highlight w:val="none"/>
              </w:rPr>
            </w:pPr>
            <w:r>
              <w:rPr>
                <w:color w:val="auto"/>
                <w:szCs w:val="21"/>
                <w:highlight w:val="none"/>
              </w:rPr>
              <w:t>■</w:t>
            </w:r>
            <w:r>
              <w:rPr>
                <w:rFonts w:hint="eastAsia"/>
                <w:color w:val="auto"/>
                <w:szCs w:val="21"/>
                <w:highlight w:val="none"/>
              </w:rPr>
              <w:t>中国政府采购网（http://www.ccgp.gov.cn/）</w:t>
            </w:r>
          </w:p>
          <w:p w14:paraId="51DADBAB">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■诚E招电子采购交易平台（https://www.chengezhao.com/）</w:t>
            </w:r>
          </w:p>
          <w:p w14:paraId="636979FF">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相关公告在以上媒体上公布之日即视为有效送达，不再另行通知。</w:t>
            </w:r>
          </w:p>
        </w:tc>
      </w:tr>
      <w:tr w14:paraId="6851E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1C0640CF">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36F0F54E">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开启方式</w:t>
            </w:r>
          </w:p>
        </w:tc>
        <w:tc>
          <w:tcPr>
            <w:tcW w:w="7047" w:type="dxa"/>
            <w:vAlign w:val="center"/>
          </w:tcPr>
          <w:p w14:paraId="54FF7C57">
            <w:pPr>
              <w:pStyle w:val="19"/>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rFonts w:hint="eastAsia"/>
                <w:color w:val="auto"/>
                <w:szCs w:val="21"/>
                <w:highlight w:val="none"/>
              </w:rPr>
              <w:t>现场开启</w:t>
            </w:r>
          </w:p>
        </w:tc>
      </w:tr>
      <w:tr w14:paraId="3EA31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295625DB">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68F71354">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评审方式</w:t>
            </w:r>
          </w:p>
        </w:tc>
        <w:tc>
          <w:tcPr>
            <w:tcW w:w="7047" w:type="dxa"/>
            <w:vAlign w:val="center"/>
          </w:tcPr>
          <w:p w14:paraId="69AD765F">
            <w:pPr>
              <w:pStyle w:val="19"/>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rFonts w:hint="eastAsia"/>
                <w:color w:val="auto"/>
                <w:szCs w:val="21"/>
                <w:highlight w:val="none"/>
              </w:rPr>
              <w:t>现场评审</w:t>
            </w:r>
          </w:p>
        </w:tc>
      </w:tr>
      <w:tr w14:paraId="0F36D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12309110">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6C39BC52">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评审办法</w:t>
            </w:r>
          </w:p>
        </w:tc>
        <w:tc>
          <w:tcPr>
            <w:tcW w:w="7047" w:type="dxa"/>
            <w:vAlign w:val="center"/>
          </w:tcPr>
          <w:p w14:paraId="7DFA87C0">
            <w:pPr>
              <w:pStyle w:val="19"/>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rFonts w:hint="eastAsia"/>
                <w:color w:val="auto"/>
                <w:szCs w:val="21"/>
                <w:highlight w:val="none"/>
              </w:rPr>
              <w:t>综合评分法</w:t>
            </w:r>
          </w:p>
        </w:tc>
      </w:tr>
      <w:tr w14:paraId="432AD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46932006">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15405CCD">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报价形式</w:t>
            </w:r>
          </w:p>
        </w:tc>
        <w:tc>
          <w:tcPr>
            <w:tcW w:w="7047" w:type="dxa"/>
            <w:vAlign w:val="center"/>
          </w:tcPr>
          <w:p w14:paraId="6134D70C">
            <w:pPr>
              <w:pStyle w:val="19"/>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color w:val="auto"/>
                <w:szCs w:val="21"/>
                <w:highlight w:val="none"/>
              </w:rPr>
              <w:t>□</w:t>
            </w:r>
            <w:r>
              <w:rPr>
                <w:rFonts w:hint="eastAsia"/>
                <w:color w:val="auto"/>
                <w:szCs w:val="21"/>
                <w:highlight w:val="none"/>
              </w:rPr>
              <w:t>总价 /</w:t>
            </w:r>
            <w:r>
              <w:rPr>
                <w:color w:val="auto"/>
                <w:szCs w:val="21"/>
                <w:highlight w:val="none"/>
              </w:rPr>
              <w:t xml:space="preserve"> □</w:t>
            </w:r>
            <w:r>
              <w:rPr>
                <w:rFonts w:hint="eastAsia"/>
                <w:color w:val="auto"/>
                <w:szCs w:val="21"/>
                <w:highlight w:val="none"/>
              </w:rPr>
              <w:t xml:space="preserve">单价 / </w:t>
            </w:r>
            <w:r>
              <w:rPr>
                <w:color w:val="auto"/>
                <w:szCs w:val="21"/>
                <w:highlight w:val="none"/>
              </w:rPr>
              <w:t>■</w:t>
            </w:r>
            <w:r>
              <w:rPr>
                <w:rFonts w:hint="eastAsia"/>
                <w:color w:val="auto"/>
                <w:szCs w:val="21"/>
                <w:highlight w:val="none"/>
                <w:lang w:val="en-US" w:eastAsia="zh-CN"/>
              </w:rPr>
              <w:t>费率</w:t>
            </w:r>
            <w:r>
              <w:rPr>
                <w:rFonts w:hint="eastAsia"/>
                <w:color w:val="auto"/>
                <w:szCs w:val="21"/>
                <w:highlight w:val="none"/>
              </w:rPr>
              <w:t xml:space="preserve"> /</w:t>
            </w:r>
            <w:r>
              <w:rPr>
                <w:color w:val="auto"/>
                <w:szCs w:val="21"/>
                <w:highlight w:val="none"/>
              </w:rPr>
              <w:t xml:space="preserve"> □</w:t>
            </w:r>
            <w:r>
              <w:rPr>
                <w:rFonts w:hint="eastAsia"/>
                <w:color w:val="auto"/>
                <w:szCs w:val="21"/>
                <w:highlight w:val="none"/>
              </w:rPr>
              <w:t>下浮率</w:t>
            </w:r>
          </w:p>
        </w:tc>
      </w:tr>
      <w:tr w14:paraId="3F3D3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704" w:type="dxa"/>
            <w:vAlign w:val="center"/>
          </w:tcPr>
          <w:p w14:paraId="5DC08AFA">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3EA088EA">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报价要求</w:t>
            </w:r>
          </w:p>
        </w:tc>
        <w:tc>
          <w:tcPr>
            <w:tcW w:w="7047" w:type="dxa"/>
            <w:vAlign w:val="center"/>
          </w:tcPr>
          <w:p w14:paraId="58816F07">
            <w:pP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报价需包括但不限于完成合同约定所需的所有食材材料价款、售后服务、搬运费、装卸车费、途中损耗费、包装费、运输费、人力成本（包括但不限于人工费、配送费等）、专家费、保险、管理费、检查费、质保期服务费、因供应商原因导致换货和退货费用、利润、税费以及服务期内的所有相关食品采购、检验费用在内的全包价，包括供应商履行合同义务承担合同责任和风险的全部对价。供应商漏报或不报，采购人将视为该漏报或不报部分的费用已包括在已报的报价中而不予支付。供应商</w:t>
            </w:r>
            <w:r>
              <w:rPr>
                <w:rFonts w:hint="eastAsia" w:cs="宋体"/>
                <w:color w:val="auto"/>
                <w:szCs w:val="21"/>
                <w:highlight w:val="none"/>
                <w:lang w:eastAsia="zh-CN"/>
              </w:rPr>
              <w:t>响应</w:t>
            </w:r>
            <w:r>
              <w:rPr>
                <w:rFonts w:hint="eastAsia" w:ascii="宋体" w:hAnsi="宋体" w:eastAsia="宋体" w:cs="宋体"/>
                <w:color w:val="auto"/>
                <w:szCs w:val="21"/>
                <w:highlight w:val="none"/>
                <w:lang w:eastAsia="zh-CN"/>
              </w:rPr>
              <w:t>报价不得高于预算总金额或最高限价，否则作无效投标处理。</w:t>
            </w:r>
          </w:p>
          <w:p w14:paraId="3B63B582">
            <w:pP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（2）最高限价：100%；供应商所</w:t>
            </w:r>
            <w:r>
              <w:rPr>
                <w:rFonts w:hint="eastAsia" w:cs="宋体"/>
                <w:color w:val="auto"/>
                <w:szCs w:val="21"/>
                <w:highlight w:val="none"/>
                <w:lang w:eastAsia="zh-CN"/>
              </w:rPr>
              <w:t>响应的报</w:t>
            </w:r>
            <w:r>
              <w:rPr>
                <w:rFonts w:hint="eastAsia" w:ascii="宋体" w:hAnsi="宋体" w:eastAsia="宋体" w:cs="宋体"/>
                <w:color w:val="auto"/>
                <w:szCs w:val="21"/>
                <w:highlight w:val="none"/>
                <w:lang w:eastAsia="zh-CN"/>
              </w:rPr>
              <w:t>价在合同执行过程中是固定不变的，不得以任何理由予以变更。</w:t>
            </w:r>
          </w:p>
          <w:p w14:paraId="1130DA46">
            <w:pP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w:t>
            </w:r>
            <w:r>
              <w:rPr>
                <w:rFonts w:hint="eastAsia"/>
                <w:b/>
                <w:bCs/>
                <w:color w:val="auto"/>
                <w:szCs w:val="21"/>
                <w:highlight w:val="none"/>
              </w:rPr>
              <w:t>每月结算金额=∑（食材结算基准价×实际收货数量）×结算费率</w:t>
            </w:r>
          </w:p>
          <w:p w14:paraId="11945AC0">
            <w:pPr>
              <w:pStyle w:val="19"/>
              <w:rPr>
                <w:rFonts w:hint="eastAsia"/>
                <w:color w:val="auto"/>
                <w:szCs w:val="21"/>
                <w:highlight w:val="none"/>
              </w:rPr>
            </w:pPr>
            <w:r>
              <w:rPr>
                <w:rFonts w:hint="eastAsia" w:ascii="宋体" w:hAnsi="宋体" w:eastAsia="宋体" w:cs="宋体"/>
                <w:i/>
                <w:iCs/>
                <w:color w:val="auto"/>
                <w:szCs w:val="21"/>
                <w:highlight w:val="none"/>
                <w:lang w:eastAsia="zh-CN"/>
              </w:rPr>
              <w:t>举例：如</w:t>
            </w:r>
            <w:r>
              <w:rPr>
                <w:rFonts w:hint="eastAsia" w:ascii="宋体" w:hAnsi="宋体" w:eastAsia="宋体" w:cs="宋体"/>
                <w:i/>
                <w:iCs/>
                <w:color w:val="auto"/>
                <w:szCs w:val="21"/>
                <w:highlight w:val="none"/>
                <w:lang w:val="en-US" w:eastAsia="zh-CN"/>
              </w:rPr>
              <w:t>当月提供10斤猪肉，</w:t>
            </w:r>
            <w:r>
              <w:rPr>
                <w:rFonts w:hint="eastAsia" w:ascii="宋体" w:hAnsi="宋体" w:eastAsia="宋体" w:cs="宋体"/>
                <w:i/>
                <w:iCs/>
                <w:color w:val="auto"/>
                <w:szCs w:val="21"/>
                <w:highlight w:val="none"/>
                <w:lang w:eastAsia="zh-CN"/>
              </w:rPr>
              <w:t>一斤猪肉基准价格为10元，</w:t>
            </w:r>
            <w:r>
              <w:rPr>
                <w:rFonts w:hint="eastAsia" w:ascii="宋体" w:hAnsi="宋体" w:eastAsia="宋体" w:cs="宋体"/>
                <w:i/>
                <w:iCs/>
                <w:color w:val="auto"/>
                <w:szCs w:val="21"/>
                <w:highlight w:val="none"/>
                <w:lang w:val="en-US" w:eastAsia="zh-CN"/>
              </w:rPr>
              <w:t>结算费率</w:t>
            </w:r>
            <w:r>
              <w:rPr>
                <w:rFonts w:hint="eastAsia" w:ascii="宋体" w:hAnsi="宋体" w:eastAsia="宋体" w:cs="宋体"/>
                <w:i/>
                <w:iCs/>
                <w:color w:val="auto"/>
                <w:szCs w:val="21"/>
                <w:highlight w:val="none"/>
                <w:lang w:eastAsia="zh-CN"/>
              </w:rPr>
              <w:t>为80%，则</w:t>
            </w:r>
            <w:r>
              <w:rPr>
                <w:rFonts w:hint="eastAsia" w:ascii="宋体" w:hAnsi="宋体" w:eastAsia="宋体" w:cs="宋体"/>
                <w:i/>
                <w:iCs/>
                <w:color w:val="auto"/>
                <w:szCs w:val="21"/>
                <w:highlight w:val="none"/>
                <w:lang w:val="en-US" w:eastAsia="zh-CN"/>
              </w:rPr>
              <w:t>每月</w:t>
            </w:r>
            <w:r>
              <w:rPr>
                <w:rFonts w:hint="eastAsia" w:ascii="宋体" w:hAnsi="宋体" w:eastAsia="宋体" w:cs="宋体"/>
                <w:i/>
                <w:iCs/>
                <w:color w:val="auto"/>
                <w:szCs w:val="21"/>
                <w:highlight w:val="none"/>
                <w:lang w:eastAsia="zh-CN"/>
              </w:rPr>
              <w:t>结算</w:t>
            </w:r>
            <w:r>
              <w:rPr>
                <w:rFonts w:hint="eastAsia" w:ascii="宋体" w:hAnsi="宋体" w:eastAsia="宋体" w:cs="宋体"/>
                <w:i/>
                <w:iCs/>
                <w:color w:val="auto"/>
                <w:szCs w:val="21"/>
                <w:highlight w:val="none"/>
                <w:lang w:val="en-US" w:eastAsia="zh-CN"/>
              </w:rPr>
              <w:t>金额</w:t>
            </w:r>
            <w:r>
              <w:rPr>
                <w:rFonts w:hint="eastAsia" w:ascii="宋体" w:hAnsi="宋体" w:eastAsia="宋体" w:cs="宋体"/>
                <w:i/>
                <w:iCs/>
                <w:color w:val="auto"/>
                <w:szCs w:val="21"/>
                <w:highlight w:val="none"/>
                <w:lang w:eastAsia="zh-CN"/>
              </w:rPr>
              <w:t>=10（</w:t>
            </w:r>
            <w:r>
              <w:rPr>
                <w:rFonts w:hint="eastAsia" w:ascii="宋体" w:hAnsi="宋体" w:eastAsia="宋体" w:cs="宋体"/>
                <w:i/>
                <w:iCs/>
                <w:color w:val="auto"/>
                <w:szCs w:val="21"/>
                <w:highlight w:val="none"/>
                <w:lang w:val="en-US" w:eastAsia="zh-CN"/>
              </w:rPr>
              <w:t>元</w:t>
            </w:r>
            <w:r>
              <w:rPr>
                <w:rFonts w:hint="eastAsia" w:ascii="宋体" w:hAnsi="宋体" w:eastAsia="宋体" w:cs="宋体"/>
                <w:i/>
                <w:iCs/>
                <w:color w:val="auto"/>
                <w:szCs w:val="21"/>
                <w:highlight w:val="none"/>
                <w:lang w:eastAsia="zh-CN"/>
              </w:rPr>
              <w:t>）×1</w:t>
            </w:r>
            <w:r>
              <w:rPr>
                <w:rFonts w:hint="eastAsia" w:ascii="宋体" w:hAnsi="宋体" w:eastAsia="宋体" w:cs="宋体"/>
                <w:i/>
                <w:iCs/>
                <w:color w:val="auto"/>
                <w:szCs w:val="21"/>
                <w:highlight w:val="none"/>
                <w:lang w:val="en-US" w:eastAsia="zh-CN"/>
              </w:rPr>
              <w:t>0（斤）</w:t>
            </w:r>
            <w:r>
              <w:rPr>
                <w:rFonts w:hint="eastAsia" w:ascii="宋体" w:hAnsi="宋体" w:eastAsia="宋体" w:cs="宋体"/>
                <w:i/>
                <w:iCs/>
                <w:color w:val="auto"/>
                <w:szCs w:val="21"/>
                <w:highlight w:val="none"/>
                <w:lang w:eastAsia="zh-CN"/>
              </w:rPr>
              <w:t>×80%=8</w:t>
            </w:r>
            <w:r>
              <w:rPr>
                <w:rFonts w:hint="eastAsia" w:ascii="宋体" w:hAnsi="宋体" w:eastAsia="宋体" w:cs="宋体"/>
                <w:i/>
                <w:iCs/>
                <w:color w:val="auto"/>
                <w:szCs w:val="21"/>
                <w:highlight w:val="none"/>
                <w:lang w:val="en-US" w:eastAsia="zh-CN"/>
              </w:rPr>
              <w:t>0</w:t>
            </w:r>
            <w:r>
              <w:rPr>
                <w:rFonts w:hint="eastAsia" w:ascii="宋体" w:hAnsi="宋体" w:eastAsia="宋体" w:cs="宋体"/>
                <w:i/>
                <w:iCs/>
                <w:color w:val="auto"/>
                <w:szCs w:val="21"/>
                <w:highlight w:val="none"/>
                <w:lang w:eastAsia="zh-CN"/>
              </w:rPr>
              <w:t>元。</w:t>
            </w:r>
          </w:p>
        </w:tc>
      </w:tr>
      <w:tr w14:paraId="09079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61698021">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27655C50">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核心产品</w:t>
            </w:r>
          </w:p>
        </w:tc>
        <w:tc>
          <w:tcPr>
            <w:tcW w:w="7047" w:type="dxa"/>
            <w:vAlign w:val="center"/>
          </w:tcPr>
          <w:p w14:paraId="1631DFB7">
            <w:pPr>
              <w:keepNext w:val="0"/>
              <w:keepLines w:val="0"/>
              <w:pageBreakBefore w:val="0"/>
              <w:widowControl w:val="0"/>
              <w:kinsoku/>
              <w:wordWrap/>
              <w:overflowPunct/>
              <w:topLinePunct w:val="0"/>
              <w:autoSpaceDE/>
              <w:autoSpaceDN/>
              <w:bidi w:val="0"/>
              <w:rPr>
                <w:rFonts w:hint="eastAsia" w:ascii="宋体" w:hAnsi="宋体" w:eastAsia="宋体" w:cs="宋体"/>
                <w:color w:val="auto"/>
                <w:szCs w:val="21"/>
                <w:highlight w:val="none"/>
                <w:lang w:eastAsia="zh-CN"/>
              </w:rPr>
            </w:pPr>
            <w:r>
              <w:rPr>
                <w:rFonts w:ascii="宋体" w:hAnsi="宋体" w:eastAsia="宋体" w:cs="宋体"/>
                <w:color w:val="auto"/>
                <w:szCs w:val="21"/>
                <w:highlight w:val="none"/>
                <w:lang w:eastAsia="zh-CN"/>
              </w:rPr>
              <w:t>■</w:t>
            </w:r>
            <w:r>
              <w:rPr>
                <w:rFonts w:hint="eastAsia" w:ascii="宋体" w:hAnsi="宋体" w:eastAsia="宋体" w:cs="宋体"/>
                <w:color w:val="auto"/>
                <w:szCs w:val="21"/>
                <w:highlight w:val="none"/>
                <w:lang w:eastAsia="zh-CN"/>
              </w:rPr>
              <w:t>本项目不适用。</w:t>
            </w:r>
          </w:p>
          <w:p w14:paraId="66CD2934">
            <w:pPr>
              <w:keepNext w:val="0"/>
              <w:keepLines w:val="0"/>
              <w:pageBreakBefore w:val="0"/>
              <w:widowControl w:val="0"/>
              <w:kinsoku/>
              <w:wordWrap/>
              <w:overflowPunct/>
              <w:topLinePunct w:val="0"/>
              <w:autoSpaceDE/>
              <w:autoSpaceDN/>
              <w:bidi w:val="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□本项目为单一产品采购项目。</w:t>
            </w:r>
          </w:p>
          <w:p w14:paraId="12126818">
            <w:pPr>
              <w:pStyle w:val="19"/>
              <w:keepNext w:val="0"/>
              <w:keepLines w:val="0"/>
              <w:pageBreakBefore w:val="0"/>
              <w:widowControl w:val="0"/>
              <w:kinsoku/>
              <w:wordWrap/>
              <w:overflowPunct/>
              <w:topLinePunct w:val="0"/>
              <w:autoSpaceDE/>
              <w:autoSpaceDN/>
              <w:bidi w:val="0"/>
              <w:spacing w:line="240" w:lineRule="auto"/>
              <w:rPr>
                <w:rFonts w:hint="eastAsia"/>
                <w:b/>
                <w:bCs/>
                <w:color w:val="auto"/>
                <w:szCs w:val="21"/>
                <w:highlight w:val="none"/>
              </w:rPr>
            </w:pPr>
            <w:r>
              <w:rPr>
                <w:rFonts w:hint="eastAsia" w:ascii="宋体" w:hAnsi="宋体" w:eastAsia="宋体" w:cs="宋体"/>
                <w:color w:val="auto"/>
                <w:szCs w:val="21"/>
                <w:highlight w:val="none"/>
                <w:lang w:eastAsia="zh-CN"/>
              </w:rPr>
              <w:t>□本项目为非单一产品采购项目，核心产品为：</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eastAsia="zh-CN"/>
              </w:rPr>
              <w:t>。</w:t>
            </w:r>
          </w:p>
        </w:tc>
      </w:tr>
      <w:tr w14:paraId="2F877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29B78D20">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01ADC644">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现场踏勘</w:t>
            </w:r>
          </w:p>
        </w:tc>
        <w:tc>
          <w:tcPr>
            <w:tcW w:w="7047" w:type="dxa"/>
            <w:vAlign w:val="center"/>
          </w:tcPr>
          <w:p w14:paraId="146C850C">
            <w:pPr>
              <w:keepNext w:val="0"/>
              <w:keepLines w:val="0"/>
              <w:pageBreakBefore w:val="0"/>
              <w:widowControl w:val="0"/>
              <w:kinsoku/>
              <w:wordWrap/>
              <w:overflowPunct/>
              <w:topLinePunct w:val="0"/>
              <w:autoSpaceDE/>
              <w:autoSpaceDN/>
              <w:bidi w:val="0"/>
              <w:rPr>
                <w:rFonts w:hint="eastAsia"/>
                <w:color w:val="auto"/>
                <w:szCs w:val="21"/>
                <w:highlight w:val="none"/>
              </w:rPr>
            </w:pPr>
            <w:r>
              <w:rPr>
                <w:color w:val="auto"/>
                <w:szCs w:val="21"/>
                <w:highlight w:val="none"/>
              </w:rPr>
              <w:t>■</w:t>
            </w:r>
            <w:r>
              <w:rPr>
                <w:rFonts w:hint="eastAsia"/>
                <w:color w:val="auto"/>
                <w:szCs w:val="21"/>
                <w:highlight w:val="none"/>
              </w:rPr>
              <w:t>否 /</w:t>
            </w:r>
            <w:r>
              <w:rPr>
                <w:color w:val="auto"/>
                <w:szCs w:val="21"/>
                <w:highlight w:val="none"/>
              </w:rPr>
              <w:t xml:space="preserve"> □</w:t>
            </w:r>
            <w:r>
              <w:rPr>
                <w:rFonts w:hint="eastAsia"/>
                <w:color w:val="auto"/>
                <w:szCs w:val="21"/>
                <w:highlight w:val="none"/>
              </w:rPr>
              <w:t>是，踏勘详细要求：</w:t>
            </w:r>
          </w:p>
          <w:p w14:paraId="2238DBC7">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时间：</w:t>
            </w:r>
            <w:r>
              <w:rPr>
                <w:color w:val="auto"/>
                <w:szCs w:val="21"/>
                <w:highlight w:val="none"/>
              </w:rPr>
              <w:t>/</w:t>
            </w:r>
          </w:p>
          <w:p w14:paraId="7A542087">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地点：</w:t>
            </w:r>
            <w:r>
              <w:rPr>
                <w:color w:val="auto"/>
                <w:szCs w:val="21"/>
                <w:highlight w:val="none"/>
              </w:rPr>
              <w:t>/</w:t>
            </w:r>
          </w:p>
          <w:p w14:paraId="0870E6F0">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联系人：</w:t>
            </w:r>
            <w:r>
              <w:rPr>
                <w:color w:val="auto"/>
                <w:szCs w:val="21"/>
                <w:highlight w:val="none"/>
              </w:rPr>
              <w:t>/</w:t>
            </w:r>
          </w:p>
          <w:p w14:paraId="029BD6AE">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说明：</w:t>
            </w:r>
            <w:r>
              <w:rPr>
                <w:color w:val="auto"/>
                <w:szCs w:val="21"/>
                <w:highlight w:val="none"/>
              </w:rPr>
              <w:t>/</w:t>
            </w:r>
          </w:p>
        </w:tc>
      </w:tr>
      <w:tr w14:paraId="2ED81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7B2B716D">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4CAB5CF5">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响应有效期</w:t>
            </w:r>
          </w:p>
        </w:tc>
        <w:tc>
          <w:tcPr>
            <w:tcW w:w="7047" w:type="dxa"/>
            <w:vAlign w:val="center"/>
          </w:tcPr>
          <w:p w14:paraId="6519EE4E">
            <w:pPr>
              <w:pStyle w:val="19"/>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rFonts w:hint="eastAsia"/>
                <w:color w:val="auto"/>
                <w:szCs w:val="21"/>
                <w:highlight w:val="none"/>
              </w:rPr>
              <w:t>从提交投标（响应）文件的截止之日起90日历天</w:t>
            </w:r>
          </w:p>
        </w:tc>
      </w:tr>
      <w:tr w14:paraId="616AF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32B34BAE">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236B247C">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响应保证金</w:t>
            </w:r>
          </w:p>
        </w:tc>
        <w:tc>
          <w:tcPr>
            <w:tcW w:w="7047" w:type="dxa"/>
          </w:tcPr>
          <w:p w14:paraId="03AF8733">
            <w:pPr>
              <w:keepNext w:val="0"/>
              <w:keepLines w:val="0"/>
              <w:pageBreakBefore w:val="0"/>
              <w:widowControl w:val="0"/>
              <w:kinsoku/>
              <w:wordWrap/>
              <w:overflowPunct/>
              <w:topLinePunct w:val="0"/>
              <w:autoSpaceDE/>
              <w:autoSpaceDN/>
              <w:bidi w:val="0"/>
              <w:rPr>
                <w:rFonts w:hint="eastAsia"/>
                <w:color w:val="auto"/>
                <w:szCs w:val="21"/>
                <w:highlight w:val="none"/>
              </w:rPr>
            </w:pPr>
            <w:r>
              <w:rPr>
                <w:color w:val="auto"/>
                <w:szCs w:val="21"/>
                <w:highlight w:val="none"/>
              </w:rPr>
              <w:t>■</w:t>
            </w:r>
            <w:r>
              <w:rPr>
                <w:rFonts w:hint="eastAsia"/>
                <w:color w:val="auto"/>
                <w:szCs w:val="21"/>
                <w:highlight w:val="none"/>
              </w:rPr>
              <w:t>本项目无需递交响应保证金</w:t>
            </w:r>
          </w:p>
          <w:p w14:paraId="7FE27009">
            <w:pPr>
              <w:keepNext w:val="0"/>
              <w:keepLines w:val="0"/>
              <w:pageBreakBefore w:val="0"/>
              <w:widowControl w:val="0"/>
              <w:kinsoku/>
              <w:wordWrap/>
              <w:overflowPunct/>
              <w:topLinePunct w:val="0"/>
              <w:autoSpaceDE/>
              <w:autoSpaceDN/>
              <w:bidi w:val="0"/>
              <w:rPr>
                <w:rFonts w:hint="eastAsia"/>
                <w:color w:val="auto"/>
                <w:szCs w:val="21"/>
                <w:highlight w:val="none"/>
              </w:rPr>
            </w:pPr>
            <w:r>
              <w:rPr>
                <w:color w:val="auto"/>
                <w:szCs w:val="21"/>
                <w:highlight w:val="none"/>
              </w:rPr>
              <w:t>□</w:t>
            </w:r>
            <w:r>
              <w:rPr>
                <w:rFonts w:hint="eastAsia"/>
                <w:color w:val="auto"/>
                <w:szCs w:val="21"/>
                <w:highlight w:val="none"/>
              </w:rPr>
              <w:t>本项目需要递交响应保证金，要求如下：</w:t>
            </w:r>
          </w:p>
          <w:p w14:paraId="2CF11889">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保证金人民币：</w:t>
            </w:r>
            <w:r>
              <w:rPr>
                <w:color w:val="auto"/>
                <w:szCs w:val="21"/>
                <w:highlight w:val="none"/>
              </w:rPr>
              <w:t>0.00元整</w:t>
            </w:r>
          </w:p>
          <w:p w14:paraId="3846FEA3">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开户单位：公诚管理咨询有限公司</w:t>
            </w:r>
          </w:p>
          <w:p w14:paraId="16A375E7">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开户账号：/</w:t>
            </w:r>
          </w:p>
          <w:p w14:paraId="17EEEBB9">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开户银行：中信银行广州花园支行</w:t>
            </w:r>
          </w:p>
          <w:p w14:paraId="43D5D2A7">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提交方式：</w:t>
            </w:r>
            <w:r>
              <w:rPr>
                <w:rFonts w:hint="eastAsia" w:ascii="宋体" w:hAnsi="宋体" w:eastAsia="宋体"/>
                <w:color w:val="auto"/>
                <w:highlight w:val="none"/>
              </w:rPr>
              <w:t>转账、支票、汇票、本票或者金融机构、担保机构出具的保函等非现金形式</w:t>
            </w:r>
            <w:r>
              <w:rPr>
                <w:rFonts w:hint="eastAsia"/>
                <w:color w:val="auto"/>
                <w:highlight w:val="none"/>
                <w:lang w:val="en-US" w:eastAsia="zh-CN"/>
              </w:rPr>
              <w:t>提交</w:t>
            </w:r>
            <w:r>
              <w:rPr>
                <w:rFonts w:hint="eastAsia"/>
                <w:color w:val="auto"/>
                <w:szCs w:val="21"/>
                <w:highlight w:val="none"/>
              </w:rPr>
              <w:t>。</w:t>
            </w:r>
          </w:p>
          <w:p w14:paraId="7CFF1E37">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响应保证金有效期：与响应有效期一致。</w:t>
            </w:r>
          </w:p>
          <w:p w14:paraId="6237241B">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电子保函：供应商可以通过登录“诚</w:t>
            </w:r>
            <w:r>
              <w:rPr>
                <w:color w:val="auto"/>
                <w:szCs w:val="21"/>
                <w:highlight w:val="none"/>
              </w:rPr>
              <w:t>E招（www.chengezhao.com）”在线申请办理</w:t>
            </w:r>
            <w:r>
              <w:rPr>
                <w:rFonts w:hint="eastAsia" w:ascii="宋体" w:hAnsi="宋体" w:eastAsia="宋体"/>
                <w:color w:val="auto"/>
                <w:highlight w:val="none"/>
              </w:rPr>
              <w:t>金融机构</w:t>
            </w:r>
            <w:r>
              <w:rPr>
                <w:rFonts w:hint="eastAsia"/>
                <w:color w:val="auto"/>
                <w:highlight w:val="none"/>
                <w:lang w:val="en-US" w:eastAsia="zh-CN"/>
              </w:rPr>
              <w:t>或</w:t>
            </w:r>
            <w:r>
              <w:rPr>
                <w:rFonts w:hint="eastAsia" w:ascii="宋体" w:hAnsi="宋体" w:eastAsia="宋体"/>
                <w:color w:val="auto"/>
                <w:highlight w:val="none"/>
              </w:rPr>
              <w:t>担保机构出具的</w:t>
            </w:r>
            <w:r>
              <w:rPr>
                <w:color w:val="auto"/>
                <w:szCs w:val="21"/>
                <w:highlight w:val="none"/>
              </w:rPr>
              <w:t>电子保函</w:t>
            </w:r>
            <w:r>
              <w:rPr>
                <w:rFonts w:hint="eastAsia"/>
                <w:color w:val="auto"/>
                <w:szCs w:val="21"/>
                <w:highlight w:val="none"/>
                <w:lang w:eastAsia="zh-CN"/>
              </w:rPr>
              <w:t>（</w:t>
            </w:r>
            <w:r>
              <w:rPr>
                <w:rFonts w:hint="eastAsia"/>
                <w:color w:val="auto"/>
                <w:szCs w:val="21"/>
                <w:highlight w:val="none"/>
                <w:lang w:val="en-US" w:eastAsia="zh-CN"/>
              </w:rPr>
              <w:t>客服热线：020-89524219</w:t>
            </w:r>
            <w:r>
              <w:rPr>
                <w:rFonts w:hint="eastAsia"/>
                <w:color w:val="auto"/>
                <w:szCs w:val="21"/>
                <w:highlight w:val="none"/>
                <w:lang w:eastAsia="zh-CN"/>
              </w:rPr>
              <w:t>）</w:t>
            </w:r>
            <w:r>
              <w:rPr>
                <w:color w:val="auto"/>
                <w:szCs w:val="21"/>
                <w:highlight w:val="none"/>
              </w:rPr>
              <w:t>，成功出函并点击生效之后等效于缴纳了保证金；如选择其他具有电子投标保函资质的机构开具电子投标保函，电子投标保函中须载明线上查验方法，且保函查验结果为真，同时将电子保函上传至诚E招</w:t>
            </w:r>
            <w:r>
              <w:rPr>
                <w:rFonts w:hint="eastAsia"/>
                <w:color w:val="auto"/>
                <w:szCs w:val="21"/>
                <w:highlight w:val="none"/>
              </w:rPr>
              <w:t>，打印件制作在投标（响应）文件中</w:t>
            </w:r>
            <w:r>
              <w:rPr>
                <w:color w:val="auto"/>
                <w:szCs w:val="21"/>
                <w:highlight w:val="none"/>
              </w:rPr>
              <w:t>。（电子保函递交之后可致电采购代理机构核实）。</w:t>
            </w:r>
          </w:p>
          <w:p w14:paraId="60636D74">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纸质保函：通过金融机构</w:t>
            </w:r>
            <w:r>
              <w:rPr>
                <w:rFonts w:hint="eastAsia"/>
                <w:color w:val="auto"/>
                <w:szCs w:val="21"/>
                <w:highlight w:val="none"/>
                <w:lang w:val="en-US" w:eastAsia="zh-CN"/>
              </w:rPr>
              <w:t>或</w:t>
            </w:r>
            <w:r>
              <w:rPr>
                <w:rFonts w:hint="eastAsia"/>
                <w:color w:val="auto"/>
                <w:szCs w:val="21"/>
                <w:highlight w:val="none"/>
              </w:rPr>
              <w:t>担保机构开具的纸质保函，须密封递交原件。</w:t>
            </w:r>
          </w:p>
        </w:tc>
      </w:tr>
      <w:tr w14:paraId="64A61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704" w:type="dxa"/>
            <w:vAlign w:val="center"/>
          </w:tcPr>
          <w:p w14:paraId="5F4A9B60">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4C37880B">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成交候选供应商推荐家数</w:t>
            </w:r>
          </w:p>
        </w:tc>
        <w:tc>
          <w:tcPr>
            <w:tcW w:w="7047" w:type="dxa"/>
            <w:vAlign w:val="center"/>
          </w:tcPr>
          <w:p w14:paraId="096AE37E">
            <w:pPr>
              <w:pStyle w:val="19"/>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rFonts w:hint="eastAsia"/>
                <w:color w:val="auto"/>
                <w:szCs w:val="21"/>
                <w:highlight w:val="none"/>
              </w:rPr>
              <w:t>3家</w:t>
            </w:r>
          </w:p>
        </w:tc>
      </w:tr>
      <w:tr w14:paraId="19DE9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52A3943D">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687AC704">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成交供应商家数</w:t>
            </w:r>
          </w:p>
        </w:tc>
        <w:tc>
          <w:tcPr>
            <w:tcW w:w="7047" w:type="dxa"/>
            <w:vAlign w:val="center"/>
          </w:tcPr>
          <w:p w14:paraId="4931E302">
            <w:pPr>
              <w:pStyle w:val="19"/>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rFonts w:hint="eastAsia"/>
                <w:color w:val="auto"/>
                <w:szCs w:val="21"/>
                <w:highlight w:val="none"/>
              </w:rPr>
              <w:t>1家</w:t>
            </w:r>
          </w:p>
        </w:tc>
      </w:tr>
      <w:tr w14:paraId="1DDE4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704" w:type="dxa"/>
            <w:vAlign w:val="center"/>
          </w:tcPr>
          <w:p w14:paraId="0B1C0330">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4CB30E6C">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有效供应商家数</w:t>
            </w:r>
          </w:p>
        </w:tc>
        <w:tc>
          <w:tcPr>
            <w:tcW w:w="7047" w:type="dxa"/>
            <w:vAlign w:val="center"/>
          </w:tcPr>
          <w:p w14:paraId="0C3D11BD">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3家。此人数约定了开启与评审过程中的最低有效供应商家数，当家数不足时项目将不得开启、不得评审或直接终止采购。</w:t>
            </w:r>
          </w:p>
        </w:tc>
      </w:tr>
      <w:tr w14:paraId="2F98E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704" w:type="dxa"/>
            <w:vAlign w:val="center"/>
          </w:tcPr>
          <w:p w14:paraId="72FA5940">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093EEAE2">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项目兼投兼中（兼投不兼中）规则</w:t>
            </w:r>
          </w:p>
        </w:tc>
        <w:tc>
          <w:tcPr>
            <w:tcW w:w="7047" w:type="dxa"/>
            <w:vAlign w:val="center"/>
          </w:tcPr>
          <w:p w14:paraId="4DC592AD">
            <w:pPr>
              <w:pStyle w:val="19"/>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rFonts w:hint="eastAsia"/>
                <w:color w:val="auto"/>
                <w:szCs w:val="21"/>
                <w:highlight w:val="none"/>
              </w:rPr>
              <w:t>本项目不涉及</w:t>
            </w:r>
          </w:p>
        </w:tc>
      </w:tr>
      <w:tr w14:paraId="73732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 w:hRule="atLeast"/>
        </w:trPr>
        <w:tc>
          <w:tcPr>
            <w:tcW w:w="704" w:type="dxa"/>
            <w:vAlign w:val="center"/>
          </w:tcPr>
          <w:p w14:paraId="1808B964">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21BCFB0F">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成交供应商确定方式</w:t>
            </w:r>
          </w:p>
        </w:tc>
        <w:tc>
          <w:tcPr>
            <w:tcW w:w="7047" w:type="dxa"/>
            <w:vAlign w:val="center"/>
          </w:tcPr>
          <w:p w14:paraId="69F83E19">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color w:val="auto"/>
                <w:szCs w:val="21"/>
                <w:highlight w:val="none"/>
              </w:rPr>
              <w:t>■</w:t>
            </w:r>
            <w:r>
              <w:rPr>
                <w:rFonts w:hint="eastAsia"/>
                <w:color w:val="auto"/>
                <w:szCs w:val="21"/>
                <w:highlight w:val="none"/>
              </w:rPr>
              <w:t>采购人按照评</w:t>
            </w:r>
            <w:r>
              <w:rPr>
                <w:rFonts w:hint="eastAsia"/>
                <w:color w:val="auto"/>
                <w:szCs w:val="21"/>
                <w:highlight w:val="none"/>
                <w:lang w:val="en-US" w:eastAsia="zh-CN"/>
              </w:rPr>
              <w:t>审</w:t>
            </w:r>
            <w:r>
              <w:rPr>
                <w:rFonts w:hint="eastAsia"/>
                <w:color w:val="auto"/>
                <w:szCs w:val="21"/>
                <w:highlight w:val="none"/>
              </w:rPr>
              <w:t>报告中推荐的</w:t>
            </w:r>
            <w:r>
              <w:rPr>
                <w:rFonts w:hint="eastAsia"/>
                <w:color w:val="auto"/>
                <w:szCs w:val="21"/>
                <w:highlight w:val="none"/>
                <w:lang w:val="en-US" w:eastAsia="zh-CN"/>
              </w:rPr>
              <w:t>成交</w:t>
            </w:r>
            <w:r>
              <w:rPr>
                <w:rFonts w:hint="eastAsia"/>
                <w:color w:val="auto"/>
                <w:szCs w:val="21"/>
                <w:highlight w:val="none"/>
              </w:rPr>
              <w:t>候选人确定</w:t>
            </w:r>
            <w:r>
              <w:rPr>
                <w:rFonts w:hint="eastAsia"/>
                <w:color w:val="auto"/>
                <w:szCs w:val="21"/>
                <w:highlight w:val="none"/>
                <w:lang w:val="en-US" w:eastAsia="zh-CN"/>
              </w:rPr>
              <w:t>成交</w:t>
            </w:r>
            <w:r>
              <w:rPr>
                <w:rFonts w:hint="eastAsia"/>
                <w:color w:val="auto"/>
                <w:szCs w:val="21"/>
                <w:highlight w:val="none"/>
              </w:rPr>
              <w:t>人。 /</w:t>
            </w:r>
            <w:r>
              <w:rPr>
                <w:color w:val="auto"/>
                <w:szCs w:val="21"/>
                <w:highlight w:val="none"/>
              </w:rPr>
              <w:t xml:space="preserve"> □</w:t>
            </w:r>
            <w:r>
              <w:rPr>
                <w:rFonts w:hint="eastAsia"/>
                <w:color w:val="auto"/>
                <w:szCs w:val="21"/>
                <w:highlight w:val="none"/>
              </w:rPr>
              <w:t>采购人授权评</w:t>
            </w:r>
            <w:r>
              <w:rPr>
                <w:rFonts w:hint="eastAsia"/>
                <w:color w:val="auto"/>
                <w:szCs w:val="21"/>
                <w:highlight w:val="none"/>
                <w:lang w:val="en-US" w:eastAsia="zh-CN"/>
              </w:rPr>
              <w:t>审</w:t>
            </w:r>
            <w:r>
              <w:rPr>
                <w:rFonts w:hint="eastAsia"/>
                <w:color w:val="auto"/>
                <w:szCs w:val="21"/>
                <w:highlight w:val="none"/>
              </w:rPr>
              <w:t>委员会按照评审原则直接确定</w:t>
            </w:r>
            <w:r>
              <w:rPr>
                <w:rFonts w:hint="eastAsia"/>
                <w:color w:val="auto"/>
                <w:szCs w:val="21"/>
                <w:highlight w:val="none"/>
                <w:lang w:val="en-US" w:eastAsia="zh-CN"/>
              </w:rPr>
              <w:t>成交</w:t>
            </w:r>
            <w:r>
              <w:rPr>
                <w:rFonts w:hint="eastAsia"/>
                <w:color w:val="auto"/>
                <w:szCs w:val="21"/>
                <w:highlight w:val="none"/>
              </w:rPr>
              <w:t>人。</w:t>
            </w:r>
          </w:p>
        </w:tc>
      </w:tr>
      <w:tr w14:paraId="318C1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22F1AFD9">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2CF3D98C">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代理服务费</w:t>
            </w:r>
          </w:p>
        </w:tc>
        <w:tc>
          <w:tcPr>
            <w:tcW w:w="7047" w:type="dxa"/>
            <w:vAlign w:val="center"/>
          </w:tcPr>
          <w:p w14:paraId="21ED8ECD">
            <w:pPr>
              <w:pStyle w:val="19"/>
              <w:keepNext w:val="0"/>
              <w:keepLines w:val="0"/>
              <w:pageBreakBefore w:val="0"/>
              <w:widowControl w:val="0"/>
              <w:kinsoku/>
              <w:wordWrap/>
              <w:overflowPunct/>
              <w:topLinePunct w:val="0"/>
              <w:autoSpaceDE/>
              <w:autoSpaceDN/>
              <w:bidi w:val="0"/>
              <w:rPr>
                <w:rFonts w:hint="eastAsia" w:eastAsia="宋体"/>
                <w:color w:val="auto"/>
                <w:szCs w:val="21"/>
                <w:highlight w:val="none"/>
                <w:lang w:eastAsia="zh-CN"/>
              </w:rPr>
            </w:pPr>
            <w:r>
              <w:rPr>
                <w:rFonts w:hint="eastAsia"/>
                <w:color w:val="auto"/>
                <w:szCs w:val="21"/>
                <w:highlight w:val="none"/>
              </w:rPr>
              <w:t>收费标准：依照收费标准下浮8%计取，以项目预算金额作为基数按照差额定率累进法计算代理服务费。收费标准</w:t>
            </w:r>
            <w:r>
              <w:rPr>
                <w:rFonts w:hint="eastAsia"/>
                <w:color w:val="auto"/>
                <w:highlight w:val="none"/>
              </w:rPr>
              <w:t>的各部分费率如下：成交金额在人民币100万元以下部分的收费费率为1.50%；成交金额在人民币100-500万元部分的收费费率为0.80%</w:t>
            </w:r>
            <w:r>
              <w:rPr>
                <w:rFonts w:hint="eastAsia"/>
                <w:color w:val="auto"/>
                <w:highlight w:val="none"/>
                <w:lang w:eastAsia="zh-CN"/>
              </w:rPr>
              <w:t>。</w:t>
            </w:r>
          </w:p>
        </w:tc>
      </w:tr>
      <w:tr w14:paraId="1243B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trPr>
        <w:tc>
          <w:tcPr>
            <w:tcW w:w="704" w:type="dxa"/>
            <w:vAlign w:val="center"/>
          </w:tcPr>
          <w:p w14:paraId="668672AB">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4EE9EB4D">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代理服务费收取方式</w:t>
            </w:r>
          </w:p>
        </w:tc>
        <w:tc>
          <w:tcPr>
            <w:tcW w:w="7047" w:type="dxa"/>
            <w:vAlign w:val="center"/>
          </w:tcPr>
          <w:p w14:paraId="7EF4D95D">
            <w:pPr>
              <w:pStyle w:val="19"/>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rFonts w:hint="eastAsia"/>
                <w:color w:val="auto"/>
                <w:szCs w:val="21"/>
                <w:highlight w:val="none"/>
              </w:rPr>
              <w:t>向中标/成交供应商收取</w:t>
            </w:r>
          </w:p>
        </w:tc>
      </w:tr>
      <w:tr w14:paraId="01EE0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49CF935A">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3B54B691">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响应文件数量和要求</w:t>
            </w:r>
          </w:p>
        </w:tc>
        <w:tc>
          <w:tcPr>
            <w:tcW w:w="7047" w:type="dxa"/>
          </w:tcPr>
          <w:p w14:paraId="5A472273">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1.正本1份，副本2份，电子文件1份。正本与副本不一致时，以正本为准。</w:t>
            </w:r>
          </w:p>
          <w:p w14:paraId="6909793F">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2.电子文件：应包含纸质响应文件全部内容，以U盘或者光盘形式存储；电子文件中应包含Word、Excel等可编辑文档和签字盖章版的PDF扫描件；响应文件包括的其他电子文档（如视频等）也应包含在内；若有分项报价表（非固定格式，自行提供的），需提供Excel版本。</w:t>
            </w:r>
          </w:p>
          <w:p w14:paraId="3BECAE78">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color w:val="auto"/>
                <w:szCs w:val="21"/>
                <w:highlight w:val="none"/>
              </w:rPr>
              <w:t>3.针对多个采购包项目，若在评审要求相同的情况下，供应商可以选择编制一份或者多份投标（响应）文件，但须明确适用于“采购包1、采购包2、…”，若某些投标（响应）内容不可同时适用于多个采购包，则需分别进行明确，如报价部分的内容等文件。</w:t>
            </w:r>
          </w:p>
        </w:tc>
      </w:tr>
      <w:tr w14:paraId="712C2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4EF704E4">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75837584">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响应文件密封要求</w:t>
            </w:r>
          </w:p>
        </w:tc>
        <w:tc>
          <w:tcPr>
            <w:tcW w:w="7047" w:type="dxa"/>
            <w:vAlign w:val="center"/>
          </w:tcPr>
          <w:p w14:paraId="4F404F39">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响应文件正本与副本可以单独密封包装，也可以所有响应文件密封包装在一个密封袋内，密封袋的封口处应粘贴处理。</w:t>
            </w:r>
          </w:p>
        </w:tc>
      </w:tr>
      <w:tr w14:paraId="37889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720E4414">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2856A349">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合同签订</w:t>
            </w:r>
          </w:p>
        </w:tc>
        <w:tc>
          <w:tcPr>
            <w:tcW w:w="7047" w:type="dxa"/>
            <w:vAlign w:val="center"/>
          </w:tcPr>
          <w:p w14:paraId="1EC2F047">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本采购文件提供的合同文本仅供参考，具体条款内容由采购人和成交供应商协商确定，但不得对采购文件和响应文件的实质性条款作出变更，且必须包括但不限于标的名称，采购标的质量、数量（规模），履行时间（期限）、地点和方式，包装方式（如有），价款或者报酬、付款进度安排、资金支付方式，验收、交付标准和方法，质量保修范围（如有）和保修期（如有），违约责任与解决争议的方法等内容。</w:t>
            </w:r>
          </w:p>
        </w:tc>
      </w:tr>
      <w:tr w14:paraId="56DC2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4ED42683">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3BD647EE">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本项目采购标的对应的中小企业划分标准所属行业</w:t>
            </w:r>
          </w:p>
        </w:tc>
        <w:tc>
          <w:tcPr>
            <w:tcW w:w="7047" w:type="dxa"/>
            <w:vAlign w:val="center"/>
          </w:tcPr>
          <w:tbl>
            <w:tblPr>
              <w:tblStyle w:val="47"/>
              <w:tblW w:w="69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02"/>
              <w:gridCol w:w="2829"/>
            </w:tblGrid>
            <w:tr w14:paraId="00B10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732" w:type="dxa"/>
                  <w:vAlign w:val="center"/>
                </w:tcPr>
                <w:p w14:paraId="5D83EF76">
                  <w:pPr>
                    <w:keepNext w:val="0"/>
                    <w:keepLines w:val="0"/>
                    <w:pageBreakBefore w:val="0"/>
                    <w:widowControl w:val="0"/>
                    <w:kinsoku/>
                    <w:wordWrap/>
                    <w:overflowPunct/>
                    <w:topLinePunct w:val="0"/>
                    <w:autoSpaceDE/>
                    <w:autoSpaceDN/>
                    <w:bidi w:val="0"/>
                    <w:spacing w:line="240" w:lineRule="auto"/>
                    <w:jc w:val="center"/>
                    <w:rPr>
                      <w:rFonts w:hint="eastAsia"/>
                      <w:b/>
                      <w:bCs/>
                      <w:color w:val="auto"/>
                      <w:szCs w:val="21"/>
                      <w:highlight w:val="none"/>
                    </w:rPr>
                  </w:pPr>
                  <w:r>
                    <w:rPr>
                      <w:rFonts w:hint="eastAsia"/>
                      <w:b/>
                      <w:bCs/>
                      <w:color w:val="auto"/>
                      <w:szCs w:val="21"/>
                      <w:highlight w:val="none"/>
                    </w:rPr>
                    <w:t>包号</w:t>
                  </w:r>
                </w:p>
              </w:tc>
              <w:tc>
                <w:tcPr>
                  <w:tcW w:w="3402" w:type="dxa"/>
                  <w:vAlign w:val="center"/>
                </w:tcPr>
                <w:p w14:paraId="2986787B">
                  <w:pPr>
                    <w:keepNext w:val="0"/>
                    <w:keepLines w:val="0"/>
                    <w:pageBreakBefore w:val="0"/>
                    <w:widowControl w:val="0"/>
                    <w:kinsoku/>
                    <w:wordWrap/>
                    <w:overflowPunct/>
                    <w:topLinePunct w:val="0"/>
                    <w:autoSpaceDE/>
                    <w:autoSpaceDN/>
                    <w:bidi w:val="0"/>
                    <w:spacing w:line="240" w:lineRule="auto"/>
                    <w:jc w:val="center"/>
                    <w:rPr>
                      <w:rFonts w:hint="eastAsia"/>
                      <w:b/>
                      <w:bCs/>
                      <w:color w:val="auto"/>
                      <w:szCs w:val="21"/>
                      <w:highlight w:val="none"/>
                    </w:rPr>
                  </w:pPr>
                  <w:r>
                    <w:rPr>
                      <w:rFonts w:hint="eastAsia"/>
                      <w:b/>
                      <w:bCs/>
                      <w:color w:val="auto"/>
                      <w:szCs w:val="21"/>
                      <w:highlight w:val="none"/>
                    </w:rPr>
                    <w:t>标的名称</w:t>
                  </w:r>
                </w:p>
              </w:tc>
              <w:tc>
                <w:tcPr>
                  <w:tcW w:w="2829" w:type="dxa"/>
                  <w:vAlign w:val="center"/>
                </w:tcPr>
                <w:p w14:paraId="26C8CEC4">
                  <w:pPr>
                    <w:keepNext w:val="0"/>
                    <w:keepLines w:val="0"/>
                    <w:pageBreakBefore w:val="0"/>
                    <w:widowControl w:val="0"/>
                    <w:kinsoku/>
                    <w:wordWrap/>
                    <w:overflowPunct/>
                    <w:topLinePunct w:val="0"/>
                    <w:autoSpaceDE/>
                    <w:autoSpaceDN/>
                    <w:bidi w:val="0"/>
                    <w:spacing w:line="240" w:lineRule="auto"/>
                    <w:jc w:val="center"/>
                    <w:rPr>
                      <w:rFonts w:hint="eastAsia"/>
                      <w:b/>
                      <w:bCs/>
                      <w:color w:val="auto"/>
                      <w:szCs w:val="21"/>
                      <w:highlight w:val="none"/>
                    </w:rPr>
                  </w:pPr>
                  <w:r>
                    <w:rPr>
                      <w:rFonts w:hint="eastAsia"/>
                      <w:b/>
                      <w:bCs/>
                      <w:color w:val="auto"/>
                      <w:szCs w:val="21"/>
                      <w:highlight w:val="none"/>
                    </w:rPr>
                    <w:t>中小企业划分标准所属行业</w:t>
                  </w:r>
                </w:p>
              </w:tc>
            </w:tr>
            <w:tr w14:paraId="66578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vAlign w:val="center"/>
                </w:tcPr>
                <w:p w14:paraId="2219BC00">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1</w:t>
                  </w:r>
                </w:p>
              </w:tc>
              <w:tc>
                <w:tcPr>
                  <w:tcW w:w="3402" w:type="dxa"/>
                  <w:vAlign w:val="center"/>
                </w:tcPr>
                <w:p w14:paraId="504E0E2A">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lang w:eastAsia="zh-CN"/>
                    </w:rPr>
                    <w:t>2026年度食堂食材配送服务</w:t>
                  </w:r>
                </w:p>
              </w:tc>
              <w:tc>
                <w:tcPr>
                  <w:tcW w:w="2829" w:type="dxa"/>
                  <w:vAlign w:val="center"/>
                </w:tcPr>
                <w:p w14:paraId="5D822F25">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highlight w:val="none"/>
                    </w:rPr>
                    <w:t>批发业</w:t>
                  </w:r>
                </w:p>
              </w:tc>
            </w:tr>
          </w:tbl>
          <w:p w14:paraId="26925539">
            <w:pPr>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p>
        </w:tc>
      </w:tr>
      <w:tr w14:paraId="422E8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2419D46C">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0DF6ED3C">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项目属性</w:t>
            </w:r>
          </w:p>
        </w:tc>
        <w:tc>
          <w:tcPr>
            <w:tcW w:w="7047" w:type="dxa"/>
            <w:vAlign w:val="center"/>
          </w:tcPr>
          <w:p w14:paraId="54F7D18A">
            <w:pPr>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color w:val="auto"/>
                <w:szCs w:val="21"/>
                <w:highlight w:val="none"/>
              </w:rPr>
              <w:t>□</w:t>
            </w:r>
            <w:r>
              <w:rPr>
                <w:rFonts w:hint="eastAsia"/>
                <w:color w:val="auto"/>
                <w:szCs w:val="21"/>
                <w:highlight w:val="none"/>
              </w:rPr>
              <w:t xml:space="preserve">货物项目 / </w:t>
            </w:r>
            <w:r>
              <w:rPr>
                <w:color w:val="auto"/>
                <w:szCs w:val="21"/>
                <w:highlight w:val="none"/>
              </w:rPr>
              <w:t>■</w:t>
            </w:r>
            <w:r>
              <w:rPr>
                <w:rFonts w:hint="eastAsia"/>
                <w:color w:val="auto"/>
                <w:szCs w:val="21"/>
                <w:highlight w:val="none"/>
              </w:rPr>
              <w:t xml:space="preserve">服务项目 / </w:t>
            </w:r>
            <w:r>
              <w:rPr>
                <w:color w:val="auto"/>
                <w:szCs w:val="21"/>
                <w:highlight w:val="none"/>
              </w:rPr>
              <w:t>□</w:t>
            </w:r>
            <w:r>
              <w:rPr>
                <w:rFonts w:hint="eastAsia"/>
                <w:color w:val="auto"/>
                <w:szCs w:val="21"/>
                <w:highlight w:val="none"/>
              </w:rPr>
              <w:t>工程项目</w:t>
            </w:r>
          </w:p>
        </w:tc>
      </w:tr>
      <w:tr w14:paraId="50602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79D64506">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2C22E720">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是否允许进口产品</w:t>
            </w:r>
          </w:p>
        </w:tc>
        <w:tc>
          <w:tcPr>
            <w:tcW w:w="7047" w:type="dxa"/>
            <w:vAlign w:val="center"/>
          </w:tcPr>
          <w:p w14:paraId="5209787C">
            <w:pPr>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color w:val="auto"/>
                <w:szCs w:val="21"/>
                <w:highlight w:val="none"/>
              </w:rPr>
              <w:t>□</w:t>
            </w:r>
            <w:r>
              <w:rPr>
                <w:rFonts w:hint="eastAsia"/>
                <w:color w:val="auto"/>
                <w:szCs w:val="21"/>
                <w:highlight w:val="none"/>
              </w:rPr>
              <w:t>是 /</w:t>
            </w:r>
            <w:r>
              <w:rPr>
                <w:color w:val="auto"/>
                <w:szCs w:val="21"/>
                <w:highlight w:val="none"/>
              </w:rPr>
              <w:t xml:space="preserve"> ■</w:t>
            </w:r>
            <w:r>
              <w:rPr>
                <w:rFonts w:hint="eastAsia"/>
                <w:color w:val="auto"/>
                <w:szCs w:val="21"/>
                <w:highlight w:val="none"/>
              </w:rPr>
              <w:t>否</w:t>
            </w:r>
          </w:p>
        </w:tc>
      </w:tr>
      <w:tr w14:paraId="792BB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060C5584">
            <w:pPr>
              <w:pStyle w:val="19"/>
              <w:keepNext w:val="0"/>
              <w:keepLines w:val="0"/>
              <w:pageBreakBefore w:val="0"/>
              <w:widowControl w:val="0"/>
              <w:numPr>
                <w:ilvl w:val="0"/>
                <w:numId w:val="7"/>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985" w:type="dxa"/>
            <w:vAlign w:val="center"/>
          </w:tcPr>
          <w:p w14:paraId="22395371">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合同分包</w:t>
            </w:r>
          </w:p>
        </w:tc>
        <w:tc>
          <w:tcPr>
            <w:tcW w:w="7047" w:type="dxa"/>
            <w:vAlign w:val="center"/>
          </w:tcPr>
          <w:p w14:paraId="6B833B14">
            <w:pPr>
              <w:pStyle w:val="356"/>
              <w:keepNext w:val="0"/>
              <w:keepLines w:val="0"/>
              <w:pageBreakBefore w:val="0"/>
              <w:widowControl w:val="0"/>
              <w:kinsoku/>
              <w:wordWrap/>
              <w:overflowPunct/>
              <w:topLinePunct w:val="0"/>
              <w:autoSpaceDE/>
              <w:autoSpaceDN/>
              <w:bidi w:val="0"/>
              <w:ind w:firstLine="0" w:firstLineChars="0"/>
              <w:rPr>
                <w:rFonts w:hint="eastAsia"/>
                <w:color w:val="auto"/>
                <w:sz w:val="21"/>
                <w:szCs w:val="21"/>
                <w:highlight w:val="none"/>
                <w:lang w:eastAsia="zh-CN"/>
              </w:rPr>
            </w:pPr>
            <w:r>
              <w:rPr>
                <w:rFonts w:hint="eastAsia"/>
                <w:color w:val="auto"/>
                <w:sz w:val="21"/>
                <w:szCs w:val="21"/>
                <w:highlight w:val="none"/>
                <w:lang w:eastAsia="zh-CN"/>
              </w:rPr>
              <w:t xml:space="preserve">本项目的非主体、非关键性工作是否允许分包： </w:t>
            </w:r>
          </w:p>
          <w:p w14:paraId="247E5BBD">
            <w:pPr>
              <w:pStyle w:val="356"/>
              <w:keepNext w:val="0"/>
              <w:keepLines w:val="0"/>
              <w:pageBreakBefore w:val="0"/>
              <w:widowControl w:val="0"/>
              <w:kinsoku/>
              <w:wordWrap/>
              <w:overflowPunct/>
              <w:topLinePunct w:val="0"/>
              <w:autoSpaceDE/>
              <w:autoSpaceDN/>
              <w:bidi w:val="0"/>
              <w:ind w:firstLine="0" w:firstLineChars="0"/>
              <w:rPr>
                <w:rFonts w:hint="eastAsia"/>
                <w:color w:val="auto"/>
                <w:sz w:val="21"/>
                <w:szCs w:val="21"/>
                <w:highlight w:val="none"/>
                <w:lang w:eastAsia="zh-CN"/>
              </w:rPr>
            </w:pPr>
            <w:r>
              <w:rPr>
                <w:rFonts w:hint="eastAsia"/>
                <w:color w:val="auto"/>
                <w:sz w:val="21"/>
                <w:szCs w:val="21"/>
                <w:highlight w:val="none"/>
                <w:lang w:eastAsia="zh-CN"/>
              </w:rPr>
              <w:t>■不允许</w:t>
            </w:r>
          </w:p>
          <w:p w14:paraId="1E9223AD">
            <w:pPr>
              <w:pStyle w:val="356"/>
              <w:keepNext w:val="0"/>
              <w:keepLines w:val="0"/>
              <w:pageBreakBefore w:val="0"/>
              <w:widowControl w:val="0"/>
              <w:kinsoku/>
              <w:wordWrap/>
              <w:overflowPunct/>
              <w:topLinePunct w:val="0"/>
              <w:autoSpaceDE/>
              <w:autoSpaceDN/>
              <w:bidi w:val="0"/>
              <w:ind w:firstLine="0" w:firstLineChars="0"/>
              <w:rPr>
                <w:rFonts w:hint="eastAsia"/>
                <w:color w:val="auto"/>
                <w:sz w:val="21"/>
                <w:szCs w:val="21"/>
                <w:highlight w:val="none"/>
                <w:lang w:eastAsia="zh-CN"/>
              </w:rPr>
            </w:pPr>
            <w:r>
              <w:rPr>
                <w:rFonts w:hint="eastAsia"/>
                <w:color w:val="auto"/>
                <w:sz w:val="21"/>
                <w:szCs w:val="21"/>
                <w:highlight w:val="none"/>
                <w:lang w:eastAsia="zh-CN"/>
              </w:rPr>
              <w:t>□允许，具体要求：</w:t>
            </w:r>
          </w:p>
          <w:p w14:paraId="676F584C">
            <w:pPr>
              <w:pStyle w:val="356"/>
              <w:keepNext w:val="0"/>
              <w:keepLines w:val="0"/>
              <w:pageBreakBefore w:val="0"/>
              <w:widowControl w:val="0"/>
              <w:kinsoku/>
              <w:wordWrap/>
              <w:overflowPunct/>
              <w:topLinePunct w:val="0"/>
              <w:autoSpaceDE/>
              <w:autoSpaceDN/>
              <w:bidi w:val="0"/>
              <w:ind w:firstLine="0" w:firstLineChars="0"/>
              <w:rPr>
                <w:rFonts w:hint="eastAsia"/>
                <w:color w:val="auto"/>
                <w:sz w:val="21"/>
                <w:szCs w:val="21"/>
                <w:highlight w:val="none"/>
                <w:lang w:eastAsia="zh-CN"/>
              </w:rPr>
            </w:pPr>
            <w:r>
              <w:rPr>
                <w:rFonts w:hint="eastAsia"/>
                <w:color w:val="auto"/>
                <w:sz w:val="21"/>
                <w:szCs w:val="21"/>
                <w:highlight w:val="none"/>
                <w:lang w:eastAsia="zh-CN"/>
              </w:rPr>
              <w:t>（1）可以分包履行的具体内容：_____；</w:t>
            </w:r>
          </w:p>
          <w:p w14:paraId="359B3B25">
            <w:pPr>
              <w:pStyle w:val="356"/>
              <w:keepNext w:val="0"/>
              <w:keepLines w:val="0"/>
              <w:pageBreakBefore w:val="0"/>
              <w:widowControl w:val="0"/>
              <w:kinsoku/>
              <w:wordWrap/>
              <w:overflowPunct/>
              <w:topLinePunct w:val="0"/>
              <w:autoSpaceDE/>
              <w:autoSpaceDN/>
              <w:bidi w:val="0"/>
              <w:ind w:firstLine="0" w:firstLineChars="0"/>
              <w:rPr>
                <w:rFonts w:hint="eastAsia"/>
                <w:color w:val="auto"/>
                <w:sz w:val="21"/>
                <w:szCs w:val="21"/>
                <w:highlight w:val="none"/>
                <w:lang w:eastAsia="zh-CN"/>
              </w:rPr>
            </w:pPr>
            <w:r>
              <w:rPr>
                <w:rFonts w:hint="eastAsia"/>
                <w:color w:val="auto"/>
                <w:sz w:val="21"/>
                <w:szCs w:val="21"/>
                <w:highlight w:val="none"/>
                <w:lang w:eastAsia="zh-CN"/>
              </w:rPr>
              <w:t>（2）允许分包的金额或者比例：_____；</w:t>
            </w:r>
          </w:p>
          <w:p w14:paraId="1F38C49F">
            <w:pPr>
              <w:pStyle w:val="356"/>
              <w:keepNext w:val="0"/>
              <w:keepLines w:val="0"/>
              <w:pageBreakBefore w:val="0"/>
              <w:widowControl w:val="0"/>
              <w:kinsoku/>
              <w:wordWrap/>
              <w:overflowPunct/>
              <w:topLinePunct w:val="0"/>
              <w:autoSpaceDE/>
              <w:autoSpaceDN/>
              <w:bidi w:val="0"/>
              <w:ind w:firstLine="0" w:firstLineChars="0"/>
              <w:rPr>
                <w:rFonts w:hint="eastAsia"/>
                <w:color w:val="auto"/>
                <w:sz w:val="21"/>
                <w:szCs w:val="21"/>
                <w:highlight w:val="none"/>
                <w:lang w:eastAsia="zh-CN"/>
              </w:rPr>
            </w:pPr>
            <w:r>
              <w:rPr>
                <w:rFonts w:hint="eastAsia"/>
                <w:color w:val="auto"/>
                <w:sz w:val="21"/>
                <w:szCs w:val="21"/>
                <w:highlight w:val="none"/>
                <w:lang w:eastAsia="zh-CN"/>
              </w:rPr>
              <w:t>（3）分包供应商必须具备的资质：_____；</w:t>
            </w:r>
          </w:p>
          <w:p w14:paraId="0C42C928">
            <w:pPr>
              <w:keepNext w:val="0"/>
              <w:keepLines w:val="0"/>
              <w:pageBreakBefore w:val="0"/>
              <w:widowControl w:val="0"/>
              <w:kinsoku/>
              <w:wordWrap/>
              <w:overflowPunct/>
              <w:topLinePunct w:val="0"/>
              <w:autoSpaceDE/>
              <w:autoSpaceDN/>
              <w:bidi w:val="0"/>
              <w:spacing w:line="240" w:lineRule="auto"/>
              <w:rPr>
                <w:rFonts w:hint="eastAsia"/>
                <w:color w:val="auto"/>
                <w:szCs w:val="21"/>
                <w:highlight w:val="none"/>
              </w:rPr>
            </w:pPr>
            <w:r>
              <w:rPr>
                <w:rFonts w:hint="eastAsia"/>
                <w:color w:val="auto"/>
                <w:szCs w:val="21"/>
                <w:highlight w:val="none"/>
              </w:rPr>
              <w:t>（4）其他要求：_____。</w:t>
            </w:r>
          </w:p>
        </w:tc>
      </w:tr>
    </w:tbl>
    <w:p w14:paraId="0B5E5133">
      <w:pPr>
        <w:keepNext w:val="0"/>
        <w:keepLines w:val="0"/>
        <w:pageBreakBefore w:val="0"/>
        <w:widowControl w:val="0"/>
        <w:kinsoku/>
        <w:wordWrap/>
        <w:overflowPunct/>
        <w:topLinePunct w:val="0"/>
        <w:autoSpaceDE/>
        <w:autoSpaceDN/>
        <w:bidi w:val="0"/>
        <w:rPr>
          <w:rFonts w:hint="eastAsia"/>
          <w:color w:val="auto"/>
          <w:highlight w:val="none"/>
        </w:rPr>
      </w:pPr>
      <w:bookmarkStart w:id="62" w:name="_Toc104040690"/>
      <w:bookmarkStart w:id="63" w:name="_Toc104040744"/>
    </w:p>
    <w:p w14:paraId="3F8A6FFB">
      <w:pPr>
        <w:pStyle w:val="3"/>
        <w:keepNext w:val="0"/>
        <w:keepLines w:val="0"/>
        <w:pageBreakBefore w:val="0"/>
        <w:widowControl w:val="0"/>
        <w:numPr>
          <w:ilvl w:val="0"/>
          <w:numId w:val="6"/>
        </w:numPr>
        <w:kinsoku/>
        <w:wordWrap/>
        <w:overflowPunct/>
        <w:topLinePunct w:val="0"/>
        <w:autoSpaceDE/>
        <w:autoSpaceDN/>
        <w:bidi w:val="0"/>
        <w:spacing w:before="120" w:after="120" w:line="360" w:lineRule="auto"/>
        <w:ind w:left="0" w:firstLine="0"/>
        <w:jc w:val="left"/>
        <w:rPr>
          <w:rFonts w:hint="eastAsia" w:ascii="宋体" w:hAnsi="宋体" w:eastAsia="宋体"/>
          <w:color w:val="auto"/>
          <w:sz w:val="21"/>
          <w:szCs w:val="21"/>
          <w:highlight w:val="none"/>
        </w:rPr>
      </w:pPr>
      <w:bookmarkStart w:id="64" w:name="_Toc28972"/>
      <w:r>
        <w:rPr>
          <w:rFonts w:hint="eastAsia" w:ascii="宋体" w:hAnsi="宋体" w:eastAsia="宋体"/>
          <w:color w:val="auto"/>
          <w:sz w:val="21"/>
          <w:szCs w:val="21"/>
          <w:highlight w:val="none"/>
        </w:rPr>
        <w:t>说明</w:t>
      </w:r>
      <w:bookmarkEnd w:id="62"/>
      <w:bookmarkEnd w:id="63"/>
      <w:bookmarkEnd w:id="64"/>
    </w:p>
    <w:p w14:paraId="78CBDD91">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总则</w:t>
      </w:r>
    </w:p>
    <w:p w14:paraId="15B025C4">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本磋商文件依据《中华人民共和国政府采购法》、《中华人民共和国政府采购法实施条例》（国务院令第658号）和《政府采购竞争性磋商采购方式管理暂行办法》（财库〔2014〕214号）及国家有关法律、法规、规章制度编制。</w:t>
      </w:r>
    </w:p>
    <w:p w14:paraId="649A08D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供应商应仔细阅读本项目信息公告及磋商文件的所有内容（包括变更、补充、澄清以及修改等，且均为磋商文件的组成部分），按照磋商文件要求以及格式编制响应文件，并保证其真实性，否则一切后果自负。</w:t>
      </w:r>
    </w:p>
    <w:p w14:paraId="20A5DD5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本次竞争性磋商项目，是以磋商公告的方式邀请非特定的供应商参加磋商。</w:t>
      </w:r>
    </w:p>
    <w:p w14:paraId="45CD9A5A">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适用范围</w:t>
      </w:r>
    </w:p>
    <w:p w14:paraId="5A23B22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本磋商文件仅适用于本次磋商公告中所涉及的项目和内容。</w:t>
      </w:r>
    </w:p>
    <w:p w14:paraId="6914D87B">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进口产品</w:t>
      </w:r>
    </w:p>
    <w:p w14:paraId="5D9C1F1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指通过中国海关报关验放进入中国境内且产自关境外的产品，包括已经进入中国境内的进口产品。关于进口产品的相关规定依据《政府采购进口产品管理办法》（财库〔2007〕119号文）、《关于政府采购进口产品管理有关问题的通知》（财办库〔2008〕248号文）。</w:t>
      </w:r>
    </w:p>
    <w:p w14:paraId="620D1CD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若本项目允许采购进口产品，供应商应保证所投产品可履行合法报通关手续进入中国关境内。</w:t>
      </w:r>
    </w:p>
    <w:p w14:paraId="2C6A482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若本项目不允许采购进口产品，如供应商所投产品为进口产品，其响应将被认定为响应无效。</w:t>
      </w:r>
    </w:p>
    <w:p w14:paraId="045E997F">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磋商费用</w:t>
      </w:r>
    </w:p>
    <w:p w14:paraId="57F88AA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不论磋商结果如何，供应商应承担所有与准备和参加磋商有关的费用。采购代理机构和采购人均无义务和责任承担相关费用。</w:t>
      </w:r>
    </w:p>
    <w:p w14:paraId="3F5A58DF">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r>
        <w:rPr>
          <w:rFonts w:hint="eastAsia" w:ascii="宋体" w:hAnsi="宋体"/>
          <w:b/>
          <w:bCs/>
          <w:color w:val="auto"/>
          <w:highlight w:val="none"/>
          <w:lang w:eastAsia="zh-CN"/>
        </w:rPr>
        <w:t>以联合体形式磋商的，应符合以下规定：</w:t>
      </w:r>
    </w:p>
    <w:p w14:paraId="6801ABB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5.1联合体各方均应当满足《</w:t>
      </w:r>
      <w:bookmarkStart w:id="65" w:name="_Hlk112002922"/>
      <w:r>
        <w:rPr>
          <w:rFonts w:hint="eastAsia"/>
          <w:color w:val="auto"/>
          <w:szCs w:val="20"/>
          <w:highlight w:val="none"/>
        </w:rPr>
        <w:t>中华人民共和国政府采购法</w:t>
      </w:r>
      <w:bookmarkEnd w:id="65"/>
      <w:r>
        <w:rPr>
          <w:rFonts w:hint="eastAsia"/>
          <w:color w:val="auto"/>
          <w:szCs w:val="20"/>
          <w:highlight w:val="none"/>
        </w:rPr>
        <w:t>》第二十二条规定的条件，并在响应文件中提供联合体各方的相关证明材料。</w:t>
      </w:r>
    </w:p>
    <w:p w14:paraId="232530B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5.2联合体各方之间应签订联合体协议书并在响应文件中提交，明确约定联合体各方承担的工作和相应的责任。联合体各方签订联合体协议书后，不得再以自己名义单独在同一项目中响应，也不得组成新的联合体参加同一项目响应，若违反规定则其参与的所有响应将视为无效响应。</w:t>
      </w:r>
    </w:p>
    <w:p w14:paraId="5716450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5.3联合体名称需与联合体共同响应协议书签署方一致。对于需交响应保证金的，以牵头方名义缴纳。</w:t>
      </w:r>
    </w:p>
    <w:p w14:paraId="0C6257D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5.4联合体成员存在不良信用记录的，视同联合体存在不良信用记录。</w:t>
      </w:r>
    </w:p>
    <w:p w14:paraId="04B3819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14:paraId="757FA0D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5.6联合体各方应当共同与采购人签订采购合同，就合同约定的事项对采购人承担连带责任。</w:t>
      </w:r>
    </w:p>
    <w:p w14:paraId="0D146F9B">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5.7大中型企业、其他自然人、法人或者非法人组织与小型、微型企业组成联合体共同参加投标（响应），共同响应协议中应写明小型、微型企业的协议合同金额占到共同响应协议投标</w:t>
      </w:r>
      <w:bookmarkStart w:id="66" w:name="_Hlk175748018"/>
      <w:r>
        <w:rPr>
          <w:rFonts w:hint="eastAsia"/>
          <w:color w:val="auto"/>
          <w:szCs w:val="20"/>
          <w:highlight w:val="none"/>
        </w:rPr>
        <w:t>（响应）</w:t>
      </w:r>
      <w:bookmarkEnd w:id="66"/>
      <w:r>
        <w:rPr>
          <w:rFonts w:hint="eastAsia"/>
          <w:color w:val="auto"/>
          <w:szCs w:val="20"/>
          <w:highlight w:val="none"/>
        </w:rPr>
        <w:t>总金额的比例。</w:t>
      </w:r>
    </w:p>
    <w:p w14:paraId="50BDDFBA">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关联企业响应说明</w:t>
      </w:r>
    </w:p>
    <w:p w14:paraId="2E800E1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6.1对于不接受联合体响应的采购项目（采购包）：法定代表人或单位负责人为同一个人或者存在直接控股、管理关系的不同供应商，不得同时参加同一项目或同一采购包的响应。如同时参加，则评审时将同时被拒绝。</w:t>
      </w:r>
    </w:p>
    <w:p w14:paraId="2224E14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w:t>
      </w:r>
      <w:r>
        <w:rPr>
          <w:color w:val="auto"/>
          <w:szCs w:val="20"/>
          <w:highlight w:val="none"/>
        </w:rPr>
        <w:t>.2</w:t>
      </w:r>
      <w:r>
        <w:rPr>
          <w:rFonts w:hint="eastAsia"/>
          <w:color w:val="auto"/>
          <w:szCs w:val="20"/>
          <w:highlight w:val="none"/>
        </w:rPr>
        <w:t>对于接受联合体响应的采购项目（采购包）：除联合体外，法定代表人或单位负责人为同一个人或者存在直接控股、管理关系的不同供应商，不得同时参加同一项目或同一采购包的响应。如同时参加，则评审时将同时被拒绝。</w:t>
      </w:r>
    </w:p>
    <w:p w14:paraId="2F3FCDFC">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关于中小微企业响应</w:t>
      </w:r>
    </w:p>
    <w:p w14:paraId="506A14B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中小企业划分见《关于印发中小企业划型标准规定的通知》（工信部联企业〔2011〕300号) 和《金融业企业划型标准规定》（银发〔</w:t>
      </w:r>
      <w:r>
        <w:rPr>
          <w:color w:val="auto"/>
          <w:szCs w:val="20"/>
          <w:highlight w:val="none"/>
        </w:rPr>
        <w:t>2015〕309号）</w:t>
      </w:r>
      <w:r>
        <w:rPr>
          <w:rFonts w:hint="eastAsia"/>
          <w:color w:val="auto"/>
          <w:szCs w:val="20"/>
          <w:highlight w:val="none"/>
        </w:rPr>
        <w:t>。</w:t>
      </w:r>
    </w:p>
    <w:p w14:paraId="018C295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根据财库〔2014〕68号《财政部</w:t>
      </w:r>
      <w:r>
        <w:rPr>
          <w:color w:val="auto"/>
          <w:szCs w:val="20"/>
          <w:highlight w:val="none"/>
        </w:rPr>
        <w:t xml:space="preserve"> </w:t>
      </w:r>
      <w:r>
        <w:rPr>
          <w:rFonts w:hint="eastAsia"/>
          <w:color w:val="auto"/>
          <w:szCs w:val="20"/>
          <w:highlight w:val="none"/>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响应时，提供由省级以上监狱管理局、戒毒管理局(含新疆生产建设兵团)出具的属于监狱企业的证明文件，不再提供《中小企业声明函》。</w:t>
      </w:r>
    </w:p>
    <w:p w14:paraId="77BD7E0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w:t>
      </w:r>
    </w:p>
    <w:p w14:paraId="34FD371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（1）安置的残疾人占本单位在职职工人数的比例不低于25%（含25%），并且安置的残疾人人数不少于10 人（含10 人）；</w:t>
      </w:r>
    </w:p>
    <w:p w14:paraId="7137B7E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（2）依法与安置的每位残疾人签订了一年以上（含一年）的劳动合同或服务协议；</w:t>
      </w:r>
    </w:p>
    <w:p w14:paraId="0196585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（3）为安置的每位残疾人按月足额缴纳了基本养老保险、基本医疗保险、失业保险、工伤保险和生育保险等社会保险费；</w:t>
      </w:r>
    </w:p>
    <w:p w14:paraId="7FC778D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（4）通过银行等金融机构向安置的每位残疾人，按月支付了不低于单位所在区县适用的经省级人民政府批准的月最低工资标准的工资；</w:t>
      </w:r>
    </w:p>
    <w:p w14:paraId="2273A04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（5）提供本单位制造的货物、承担的工程或者服务（以下简称产品），或者提供其他残疾人福利性单位制造的货物（不包括使用非残疾人福利性单位注册商标的货物）。</w:t>
      </w:r>
    </w:p>
    <w:p w14:paraId="48D8B6CF">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前款所称残疾人是指法定劳动年龄内，持有《中华人民共和国残疾人证》或者《中华人民共和国残疾军人证（1 至8 级）》的自然人，包括具有劳动条件和劳动意愿的精神残疾人。在职职工人数是指与残疾人福利性单位建立劳动关系并依法签订劳动合同或服务协议的雇员人数。</w:t>
      </w:r>
    </w:p>
    <w:p w14:paraId="08F7DD2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残疾人福利性单位属于小型、微型企业的，不重复享受政策。符合条件的残疾人福利性单位在参加政府采购活动时，应当提供《残疾人福利性单位声明函》，并对声明的真实性负责。</w:t>
      </w:r>
    </w:p>
    <w:p w14:paraId="2F6BDEC1">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纪律与保密事项</w:t>
      </w:r>
    </w:p>
    <w:p w14:paraId="2635327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8.1供应商不得相互串通磋商报价，不得妨碍其他供应商的公平竞争，不得损害采购人或其他供应商的合法权益，供应商不得以向采购人、磋商小组成员行贿或者采取其他不正当手段谋取成交。</w:t>
      </w:r>
    </w:p>
    <w:p w14:paraId="61DDE5C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8.2供应商不得与采购人就响应价格、响应方案等实质性内容进行磋商，也不得私下接触磋商小组成员。</w:t>
      </w:r>
    </w:p>
    <w:p w14:paraId="18C6033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8.3在确定成交供应商之前，供应商试图在响应文件审查、澄清、比较和评价时对磋商小组、采购人和采购代理机构施加任何影响都可能导致其响应无效。</w:t>
      </w:r>
    </w:p>
    <w:p w14:paraId="7F76976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8.4获得本磋商文件者，须履行本磋商项目下保密义务，不得将因本次磋商获得的信息向第三人外传，不得将磋商文件用作本次响应以外的任何用途。</w:t>
      </w:r>
    </w:p>
    <w:p w14:paraId="039BCB6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8.5由采购人向供应商提供的图纸、详细资料、样品、模型、模件和所有其它资料，均为保密资料，仅被用于它所规定的用途。除非得到采购人的同意，不能向任何第三方透露。开启结束后，应采购人要求，供应商应归还所有从采购人处获得的保密资料。</w:t>
      </w:r>
    </w:p>
    <w:p w14:paraId="0AD7C947">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8.6采购人或采购代理机构有权将供应商提供的所有资料向有关政府部门或磋商小组披露。</w:t>
      </w:r>
    </w:p>
    <w:p w14:paraId="2A56424B">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8</w:t>
      </w:r>
      <w:r>
        <w:rPr>
          <w:color w:val="auto"/>
          <w:szCs w:val="20"/>
          <w:highlight w:val="none"/>
        </w:rPr>
        <w:t>.7</w:t>
      </w:r>
      <w:r>
        <w:rPr>
          <w:rFonts w:hint="eastAsia"/>
          <w:color w:val="auto"/>
          <w:szCs w:val="20"/>
          <w:highlight w:val="none"/>
        </w:rPr>
        <w:t>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14:paraId="30573680">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r>
        <w:rPr>
          <w:rFonts w:hint="eastAsia" w:ascii="宋体" w:hAnsi="宋体"/>
          <w:b/>
          <w:bCs/>
          <w:color w:val="auto"/>
          <w:highlight w:val="none"/>
          <w:lang w:eastAsia="zh-CN"/>
        </w:rPr>
        <w:t>语言文字以及度量衡单位</w:t>
      </w:r>
    </w:p>
    <w:p w14:paraId="7A66E81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9.1除磋商文件另有规定外，响应文件应使用中文文本，若有不同文本，以中文文本为准。响应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58E3B1D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9.2除非磋商文件的技术规格中另有规定，供应商在响应文件中及其与采购人和采购代理机构的所有往来文件中的计量单位均应采用中华人民共和国法定计量单位。</w:t>
      </w:r>
    </w:p>
    <w:p w14:paraId="4A727D7B">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9.3供应商所提供的货物和服务均应以人民币报价，货币单位：元。</w:t>
      </w:r>
    </w:p>
    <w:p w14:paraId="3C95914F">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现场踏勘（如有）</w:t>
      </w:r>
    </w:p>
    <w:p w14:paraId="2B146C9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10.1磋商文件规定组织踏勘现场的，采购人按磋商文件规定的时间、地点组织供应商踏勘项目现场。</w:t>
      </w:r>
    </w:p>
    <w:p w14:paraId="49970B5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10.2供应商自行承担踏勘现场发生的责任、风险和自身费用。</w:t>
      </w:r>
    </w:p>
    <w:p w14:paraId="1209D46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10.3采购人在踏勘现场中介绍的资料和数据等，不构成对磋商文件的修改或不作为供应商编制响应文件的依据。</w:t>
      </w:r>
    </w:p>
    <w:p w14:paraId="29990451">
      <w:pPr>
        <w:pStyle w:val="127"/>
        <w:keepNext w:val="0"/>
        <w:keepLines w:val="0"/>
        <w:pageBreakBefore w:val="0"/>
        <w:widowControl w:val="0"/>
        <w:numPr>
          <w:ilvl w:val="1"/>
          <w:numId w:val="8"/>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转包与分包</w:t>
      </w:r>
    </w:p>
    <w:p w14:paraId="6E475E9B">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color w:val="auto"/>
          <w:sz w:val="21"/>
          <w:szCs w:val="21"/>
          <w:highlight w:val="none"/>
          <w:lang w:eastAsia="zh-CN"/>
        </w:rPr>
        <w:t>11.1本项目不允许转包。</w:t>
      </w:r>
    </w:p>
    <w:p w14:paraId="43054F94">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color w:val="auto"/>
          <w:sz w:val="21"/>
          <w:szCs w:val="21"/>
          <w:highlight w:val="none"/>
          <w:lang w:eastAsia="zh-CN"/>
        </w:rPr>
        <w:t>11.2本项目是否允许分包详见“须知前附表”，本项目不允许违法分包。允许分包的非主体、非关键性工作，根据法律法规规定承担该工作需要行政许可的，如该工作由</w:t>
      </w:r>
      <w:r>
        <w:rPr>
          <w:rFonts w:hint="eastAsia"/>
          <w:color w:val="auto"/>
          <w:sz w:val="21"/>
          <w:szCs w:val="21"/>
          <w:highlight w:val="none"/>
          <w:lang w:eastAsia="zh-CN"/>
        </w:rPr>
        <w:t>供应商</w:t>
      </w:r>
      <w:r>
        <w:rPr>
          <w:color w:val="auto"/>
          <w:sz w:val="21"/>
          <w:szCs w:val="21"/>
          <w:highlight w:val="none"/>
          <w:lang w:eastAsia="zh-CN"/>
        </w:rPr>
        <w:t>自行承担，</w:t>
      </w:r>
      <w:r>
        <w:rPr>
          <w:rFonts w:hint="eastAsia"/>
          <w:color w:val="auto"/>
          <w:sz w:val="21"/>
          <w:szCs w:val="21"/>
          <w:highlight w:val="none"/>
          <w:lang w:eastAsia="zh-CN"/>
        </w:rPr>
        <w:t>供应商</w:t>
      </w:r>
      <w:r>
        <w:rPr>
          <w:color w:val="auto"/>
          <w:sz w:val="21"/>
          <w:szCs w:val="21"/>
          <w:highlight w:val="none"/>
          <w:lang w:eastAsia="zh-CN"/>
        </w:rPr>
        <w:t>应具备相应的行政许可，如</w:t>
      </w:r>
      <w:r>
        <w:rPr>
          <w:rFonts w:hint="eastAsia"/>
          <w:color w:val="auto"/>
          <w:sz w:val="21"/>
          <w:szCs w:val="21"/>
          <w:highlight w:val="none"/>
          <w:lang w:eastAsia="zh-CN"/>
        </w:rPr>
        <w:t>供应商</w:t>
      </w:r>
      <w:r>
        <w:rPr>
          <w:color w:val="auto"/>
          <w:sz w:val="21"/>
          <w:szCs w:val="21"/>
          <w:highlight w:val="none"/>
          <w:lang w:eastAsia="zh-CN"/>
        </w:rPr>
        <w:t>不具备相应的行政许可必须采用分包的方式，但分包</w:t>
      </w:r>
      <w:r>
        <w:rPr>
          <w:rFonts w:hint="eastAsia"/>
          <w:color w:val="auto"/>
          <w:sz w:val="21"/>
          <w:szCs w:val="21"/>
          <w:highlight w:val="none"/>
          <w:lang w:eastAsia="zh-CN"/>
        </w:rPr>
        <w:t>供应商</w:t>
      </w:r>
      <w:r>
        <w:rPr>
          <w:color w:val="auto"/>
          <w:sz w:val="21"/>
          <w:szCs w:val="21"/>
          <w:highlight w:val="none"/>
          <w:lang w:eastAsia="zh-CN"/>
        </w:rPr>
        <w:t>应具备相应行政许可。</w:t>
      </w:r>
    </w:p>
    <w:p w14:paraId="3DCAB091">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color w:val="auto"/>
          <w:sz w:val="21"/>
          <w:szCs w:val="21"/>
          <w:highlight w:val="none"/>
          <w:lang w:eastAsia="zh-CN"/>
        </w:rPr>
        <w:t>11.3</w:t>
      </w:r>
      <w:r>
        <w:rPr>
          <w:rFonts w:hint="eastAsia"/>
          <w:color w:val="auto"/>
          <w:sz w:val="21"/>
          <w:szCs w:val="21"/>
          <w:highlight w:val="none"/>
          <w:lang w:eastAsia="zh-CN"/>
        </w:rPr>
        <w:t>供应商</w:t>
      </w:r>
      <w:r>
        <w:rPr>
          <w:color w:val="auto"/>
          <w:sz w:val="21"/>
          <w:szCs w:val="21"/>
          <w:highlight w:val="none"/>
          <w:lang w:eastAsia="zh-CN"/>
        </w:rPr>
        <w:t>根据</w:t>
      </w:r>
      <w:r>
        <w:rPr>
          <w:rFonts w:hint="eastAsia"/>
          <w:color w:val="auto"/>
          <w:sz w:val="21"/>
          <w:szCs w:val="21"/>
          <w:highlight w:val="none"/>
          <w:lang w:eastAsia="zh-CN"/>
        </w:rPr>
        <w:t>采购</w:t>
      </w:r>
      <w:r>
        <w:rPr>
          <w:color w:val="auto"/>
          <w:sz w:val="21"/>
          <w:szCs w:val="21"/>
          <w:highlight w:val="none"/>
          <w:lang w:eastAsia="zh-CN"/>
        </w:rPr>
        <w:t>文件的规定和采购项目的实际情况，拟在</w:t>
      </w:r>
      <w:r>
        <w:rPr>
          <w:rFonts w:hint="eastAsia"/>
          <w:color w:val="auto"/>
          <w:sz w:val="21"/>
          <w:szCs w:val="21"/>
          <w:highlight w:val="none"/>
          <w:lang w:eastAsia="zh-CN"/>
        </w:rPr>
        <w:t>成交</w:t>
      </w:r>
      <w:r>
        <w:rPr>
          <w:color w:val="auto"/>
          <w:sz w:val="21"/>
          <w:szCs w:val="21"/>
          <w:highlight w:val="none"/>
          <w:lang w:eastAsia="zh-CN"/>
        </w:rPr>
        <w:t>后将</w:t>
      </w:r>
      <w:r>
        <w:rPr>
          <w:rFonts w:hint="eastAsia"/>
          <w:color w:val="auto"/>
          <w:sz w:val="21"/>
          <w:szCs w:val="21"/>
          <w:highlight w:val="none"/>
          <w:lang w:eastAsia="zh-CN"/>
        </w:rPr>
        <w:t>成交</w:t>
      </w:r>
      <w:r>
        <w:rPr>
          <w:color w:val="auto"/>
          <w:sz w:val="21"/>
          <w:szCs w:val="21"/>
          <w:highlight w:val="none"/>
          <w:lang w:eastAsia="zh-CN"/>
        </w:rPr>
        <w:t>项目的非主体、非关键性工作分包的，应当在</w:t>
      </w:r>
      <w:r>
        <w:rPr>
          <w:rFonts w:hint="eastAsia"/>
          <w:color w:val="auto"/>
          <w:sz w:val="21"/>
          <w:szCs w:val="21"/>
          <w:highlight w:val="none"/>
          <w:lang w:eastAsia="zh-CN"/>
        </w:rPr>
        <w:t>响应</w:t>
      </w:r>
      <w:r>
        <w:rPr>
          <w:color w:val="auto"/>
          <w:sz w:val="21"/>
          <w:szCs w:val="21"/>
          <w:highlight w:val="none"/>
          <w:lang w:eastAsia="zh-CN"/>
        </w:rPr>
        <w:t>文件中载明分包承担主体，分包承担主体应当具备相应资质条件且不得再次分包。</w:t>
      </w:r>
    </w:p>
    <w:p w14:paraId="23E46F50">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1.4</w:t>
      </w:r>
      <w:r>
        <w:rPr>
          <w:rFonts w:hint="eastAsia"/>
          <w:color w:val="auto"/>
          <w:sz w:val="21"/>
          <w:szCs w:val="21"/>
          <w:highlight w:val="none"/>
          <w:lang w:eastAsia="zh-CN"/>
        </w:rPr>
        <w:t>享受中小企业扶持政策获得政府采购合同的，小微企业不得将合同分包给大中型企业，中型企业不得将合同分包给大型企业。</w:t>
      </w:r>
    </w:p>
    <w:p w14:paraId="0D8F123A">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1.5</w:t>
      </w:r>
      <w:r>
        <w:rPr>
          <w:rFonts w:hint="eastAsia"/>
          <w:color w:val="auto"/>
          <w:sz w:val="21"/>
          <w:szCs w:val="21"/>
          <w:highlight w:val="none"/>
          <w:lang w:eastAsia="zh-CN"/>
        </w:rPr>
        <w:t>供应商应在签订政府采购合同前向采购人提供分包合同，否则，采购人有权拒绝签订采购合同。</w:t>
      </w:r>
    </w:p>
    <w:p w14:paraId="4D8996D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p>
    <w:p w14:paraId="7DCA1B40">
      <w:pPr>
        <w:pStyle w:val="3"/>
        <w:keepNext w:val="0"/>
        <w:keepLines w:val="0"/>
        <w:pageBreakBefore w:val="0"/>
        <w:widowControl w:val="0"/>
        <w:numPr>
          <w:ilvl w:val="0"/>
          <w:numId w:val="6"/>
        </w:numPr>
        <w:kinsoku/>
        <w:wordWrap/>
        <w:overflowPunct/>
        <w:topLinePunct w:val="0"/>
        <w:autoSpaceDE/>
        <w:autoSpaceDN/>
        <w:bidi w:val="0"/>
        <w:spacing w:before="120" w:after="120" w:line="360" w:lineRule="auto"/>
        <w:ind w:left="0" w:firstLine="0"/>
        <w:jc w:val="left"/>
        <w:rPr>
          <w:rFonts w:hint="eastAsia" w:ascii="宋体" w:hAnsi="宋体" w:eastAsia="宋体"/>
          <w:color w:val="auto"/>
          <w:sz w:val="21"/>
          <w:szCs w:val="21"/>
          <w:highlight w:val="none"/>
        </w:rPr>
      </w:pPr>
      <w:bookmarkStart w:id="67" w:name="_Toc4804"/>
      <w:bookmarkStart w:id="68" w:name="_Toc104040691"/>
      <w:bookmarkStart w:id="69" w:name="_Toc104040745"/>
      <w:r>
        <w:rPr>
          <w:rFonts w:hint="eastAsia" w:ascii="宋体" w:hAnsi="宋体" w:eastAsia="宋体"/>
          <w:color w:val="auto"/>
          <w:sz w:val="21"/>
          <w:szCs w:val="21"/>
          <w:highlight w:val="none"/>
        </w:rPr>
        <w:t>磋商文件的澄清和修改</w:t>
      </w:r>
      <w:bookmarkEnd w:id="67"/>
      <w:bookmarkEnd w:id="68"/>
      <w:bookmarkEnd w:id="69"/>
    </w:p>
    <w:p w14:paraId="15DB7E2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采购代理机构对磋商文件进行必要的澄清或者修改的，在指定媒体上发布更正公告。澄清或者修改的内容可能影响响应文件编制的，更正公告在递交响应文件截止时间至少5日前发出；不足5日的，代理机构顺延提交响应文件截止时间。</w:t>
      </w:r>
    </w:p>
    <w:p w14:paraId="2082832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更正公告及其所发布的内容或信息（包括但不限于：磋商文件的澄清或修改、现场考察或答疑会的有关事宜等）作为磋商文件的组成部分，对供应商具有约束力。一经在指定媒体上发布后，更正公告将作为通知所有磋商文件收受人的书面形式。</w:t>
      </w:r>
    </w:p>
    <w:p w14:paraId="15F64D0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3.如更正公告有重新发布磋商文件的，供应商应重新获取最新发布的磋商文件制作响应文件。</w:t>
      </w:r>
    </w:p>
    <w:p w14:paraId="0DF9B2FF">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4.供应商在规定的时间内未对磋商文件提出疑问、质疑或要求澄清的，将视其为无异议。对磋商文件中描述有歧义或前后不一致的地方，磋商小组有权进行评判，但对同一条款的评判应适用于每个供应商。</w:t>
      </w:r>
    </w:p>
    <w:p w14:paraId="2C061F0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p>
    <w:p w14:paraId="2C9A5900">
      <w:pPr>
        <w:pStyle w:val="3"/>
        <w:keepNext w:val="0"/>
        <w:keepLines w:val="0"/>
        <w:pageBreakBefore w:val="0"/>
        <w:widowControl w:val="0"/>
        <w:numPr>
          <w:ilvl w:val="0"/>
          <w:numId w:val="6"/>
        </w:numPr>
        <w:kinsoku/>
        <w:wordWrap/>
        <w:overflowPunct/>
        <w:topLinePunct w:val="0"/>
        <w:autoSpaceDE/>
        <w:autoSpaceDN/>
        <w:bidi w:val="0"/>
        <w:spacing w:before="120" w:after="120" w:line="360" w:lineRule="auto"/>
        <w:ind w:left="0" w:firstLine="0"/>
        <w:jc w:val="left"/>
        <w:rPr>
          <w:rFonts w:hint="eastAsia" w:ascii="宋体" w:hAnsi="宋体" w:eastAsia="宋体"/>
          <w:color w:val="auto"/>
          <w:sz w:val="21"/>
          <w:szCs w:val="21"/>
          <w:highlight w:val="none"/>
        </w:rPr>
      </w:pPr>
      <w:bookmarkStart w:id="70" w:name="_Toc104040746"/>
      <w:bookmarkStart w:id="71" w:name="_Toc11333"/>
      <w:bookmarkStart w:id="72" w:name="_Toc104040692"/>
      <w:r>
        <w:rPr>
          <w:rFonts w:hint="eastAsia" w:ascii="宋体" w:hAnsi="宋体" w:eastAsia="宋体"/>
          <w:color w:val="auto"/>
          <w:sz w:val="21"/>
          <w:szCs w:val="21"/>
          <w:highlight w:val="none"/>
        </w:rPr>
        <w:t>响应要求</w:t>
      </w:r>
      <w:bookmarkEnd w:id="70"/>
      <w:bookmarkEnd w:id="71"/>
      <w:bookmarkEnd w:id="72"/>
    </w:p>
    <w:p w14:paraId="286D692E">
      <w:pPr>
        <w:pStyle w:val="127"/>
        <w:keepNext w:val="0"/>
        <w:keepLines w:val="0"/>
        <w:pageBreakBefore w:val="0"/>
        <w:widowControl w:val="0"/>
        <w:numPr>
          <w:ilvl w:val="0"/>
          <w:numId w:val="9"/>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响应</w:t>
      </w:r>
      <w:r>
        <w:rPr>
          <w:rFonts w:hint="eastAsia" w:ascii="宋体" w:hAnsi="宋体"/>
          <w:b/>
          <w:bCs/>
          <w:color w:val="auto"/>
          <w:highlight w:val="none"/>
          <w:lang w:eastAsia="zh-CN"/>
        </w:rPr>
        <w:t>登记</w:t>
      </w:r>
    </w:p>
    <w:p w14:paraId="1207C595">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color w:val="auto"/>
          <w:highlight w:val="none"/>
        </w:rPr>
      </w:pPr>
      <w:r>
        <w:rPr>
          <w:rFonts w:hint="eastAsia"/>
          <w:color w:val="auto"/>
          <w:highlight w:val="none"/>
        </w:rPr>
        <w:t xml:space="preserve">供应商应按照本项目“第一章 </w:t>
      </w:r>
      <w:r>
        <w:rPr>
          <w:rFonts w:hint="eastAsia"/>
          <w:color w:val="auto"/>
          <w:highlight w:val="none"/>
          <w:lang w:val="en-US" w:eastAsia="zh-CN"/>
        </w:rPr>
        <w:t>磋商</w:t>
      </w:r>
      <w:r>
        <w:rPr>
          <w:rFonts w:hint="eastAsia"/>
          <w:color w:val="auto"/>
          <w:highlight w:val="none"/>
        </w:rPr>
        <w:t>邀请”中规定的“获取采购文件方式”去获取采购文件（未按上述方式获取采购文件的供应商，其响应资格将被视为无效）。</w:t>
      </w:r>
    </w:p>
    <w:p w14:paraId="3A288260">
      <w:pPr>
        <w:pStyle w:val="127"/>
        <w:keepNext w:val="0"/>
        <w:keepLines w:val="0"/>
        <w:pageBreakBefore w:val="0"/>
        <w:widowControl w:val="0"/>
        <w:numPr>
          <w:ilvl w:val="0"/>
          <w:numId w:val="9"/>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响应文件的制作</w:t>
      </w:r>
    </w:p>
    <w:p w14:paraId="592E0CF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2.1响应文件格式要求详见第六章说明。</w:t>
      </w:r>
    </w:p>
    <w:p w14:paraId="5B06DBA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color w:val="auto"/>
          <w:szCs w:val="20"/>
          <w:highlight w:val="none"/>
        </w:rPr>
        <w:t>2.2</w:t>
      </w:r>
      <w:r>
        <w:rPr>
          <w:rFonts w:hint="eastAsia"/>
          <w:color w:val="auto"/>
          <w:szCs w:val="20"/>
          <w:highlight w:val="none"/>
        </w:rPr>
        <w:t>关于磋商报价说明如下：</w:t>
      </w:r>
    </w:p>
    <w:p w14:paraId="312542B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供应商应按照“第二章采购需求”的需求内容、责任范围以及合同条款进行报价。并按“首轮报价表”和“分项报价表（如有）”规定的格式报出总价和分项价格（如有）。磋商总价中不得包含磋商文件要求以外的内容，否则，在评审时不予核减。</w:t>
      </w:r>
    </w:p>
    <w:p w14:paraId="3D3387D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（2）供应商的报价应包括为完成本项目所发生的一切费用和税费，采购人将不再支付报价以外的任何费用。供应商的报价应包括但不限于下列内容，《须知前附表》中有特殊规定的，从其规定。</w:t>
      </w:r>
    </w:p>
    <w:p w14:paraId="7CEFD99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①投标（响应）货物及标准附件、备品备件、专用工具等的出厂价（包括已在中国国内的进口货物完税后的仓库交货价、展室交货价或货架交货价）和运至最终目的地的运输费和保险费，安装调试、检验、技术服务、培训、质量保证、售后服务、税费等按照采购文件要求完成本项目的全部相关服务费用；</w:t>
      </w:r>
    </w:p>
    <w:p w14:paraId="187C3BF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②按照采购文件要求完成本项目的全部相关服务费用。</w:t>
      </w:r>
    </w:p>
    <w:p w14:paraId="7114799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（3）供应商不能提供任何有选择性或可调整</w:t>
      </w:r>
      <w:bookmarkStart w:id="73" w:name="_Hlk175727978"/>
      <w:r>
        <w:rPr>
          <w:rFonts w:hint="eastAsia"/>
          <w:color w:val="auto"/>
          <w:szCs w:val="20"/>
          <w:highlight w:val="none"/>
        </w:rPr>
        <w:t>或附有条件</w:t>
      </w:r>
      <w:bookmarkEnd w:id="73"/>
      <w:r>
        <w:rPr>
          <w:rFonts w:hint="eastAsia"/>
          <w:color w:val="auto"/>
          <w:szCs w:val="20"/>
          <w:highlight w:val="none"/>
        </w:rPr>
        <w:t>的报价，否则将导致响应无效。</w:t>
      </w:r>
    </w:p>
    <w:p w14:paraId="4BDD4FA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2.3如有对多个采购包响应的，要对每个采购包独立制作响应文件，或者分别制作通用册和专用册的响应文件，且需在响应文件中明示对应采购包情况。</w:t>
      </w:r>
    </w:p>
    <w:p w14:paraId="04469AF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2.4供应商不得将同一个项目或同一个采购包的内容拆开响应，否则其报价将被视为非实质性响应，</w:t>
      </w:r>
      <w:r>
        <w:rPr>
          <w:rFonts w:hint="eastAsia"/>
          <w:color w:val="auto"/>
          <w:szCs w:val="21"/>
          <w:highlight w:val="none"/>
        </w:rPr>
        <w:t>并作无效响应处理</w:t>
      </w:r>
      <w:r>
        <w:rPr>
          <w:rFonts w:hint="eastAsia"/>
          <w:color w:val="auto"/>
          <w:szCs w:val="20"/>
          <w:highlight w:val="none"/>
        </w:rPr>
        <w:t>。</w:t>
      </w:r>
    </w:p>
    <w:p w14:paraId="23B36D3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2.5供应商须对磋商文件的对应要求给予唯一的实质性响应，否则将视为不响应。</w:t>
      </w:r>
    </w:p>
    <w:p w14:paraId="3570AF84">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2.6磋商文件中，凡标有“★”的地方均为实质性响应条款，供应商若有一项带“★”的条款未响应或不满足，将按无效响应处理。</w:t>
      </w:r>
    </w:p>
    <w:p w14:paraId="3F0A361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2.7供应商必须按磋商文件指定的格式填写各种报价，各报价应计算正确。除在磋商文件另有规定外（如：报折扣、报优惠率等），计量单位应使用中华人民共和国法定计量单位，以人民币填报所有报价。</w:t>
      </w:r>
    </w:p>
    <w:p w14:paraId="05C8FF3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2.8响应文件以及供应商与采购人、代理机构就有关响应的往来函电均应使用中文。供应商提交的支持性文件和印制的文件可以用另一种语言，但相应内容应翻译成中文，在解释响应文件时以中文文本为准。</w:t>
      </w:r>
    </w:p>
    <w:p w14:paraId="0D196F0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.9</w:t>
      </w:r>
      <w:r>
        <w:rPr>
          <w:rFonts w:hint="eastAsia"/>
          <w:color w:val="auto"/>
          <w:szCs w:val="20"/>
          <w:highlight w:val="none"/>
        </w:rPr>
        <w:t>供应商应按磋商文件的规定及附件要求的内容和格式完整地填写和提供资料。供应商必须对响应文件所提供的全部资料的真实性承担法律责任，并无条件接受采购人和政府采购监督管理部门对其中任何资料进行核实（核对原件）的要求。采购人核对发现有不一致或供应商无正当理由不按时提供原件的，应当书面知会代理机构，并书面报告本级人民政府财政部门。</w:t>
      </w:r>
    </w:p>
    <w:p w14:paraId="1B8F099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2.10供应商应按本采购文件规定的格式和顺序编制、装订响应文件并标注页码，响应文件内容不完整、编排混乱导致响应文件被误读、漏读或者查找不到相关内容的，由此引发的后果由供应商承担。</w:t>
      </w:r>
    </w:p>
    <w:p w14:paraId="596FDA9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2.11响应文件的正本应用不褪色的材料书写或者打印，响应文件正本须按照采购文件明确的规定提供原件或复印件，副本可为正本签字、盖章后的复印件，当副本和正本不一致时，以正本为准。</w:t>
      </w:r>
    </w:p>
    <w:p w14:paraId="3321D2E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2.12响应文件须由供应商在规定位置盖公章并签字（具体以第六章响应文件格式与要求规定的为准） ，否则按无效响应处理。骑缝位置盖公章不视为在规定位置盖章。</w:t>
      </w:r>
    </w:p>
    <w:p w14:paraId="33A4F86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2.13响应文件中标注的供应商名称应与主体资格证明（如营业执照、事业单位法人证书、执业许可证、自然人身份证等）及公章一致，否则按无效响应处理。</w:t>
      </w:r>
    </w:p>
    <w:p w14:paraId="5AD982D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2.14响应文件应尽量避免涂改、行间插字或者删除。如果出现上述情况，改动之处应由供应商的法定代表人或者其委托代理人签字或者加盖公章。响应文件因字迹潦草或者表达不清所引起的后果由供应商承担。</w:t>
      </w:r>
    </w:p>
    <w:p w14:paraId="69D3C791">
      <w:pPr>
        <w:pStyle w:val="127"/>
        <w:keepNext w:val="0"/>
        <w:keepLines w:val="0"/>
        <w:pageBreakBefore w:val="0"/>
        <w:widowControl w:val="0"/>
        <w:numPr>
          <w:ilvl w:val="0"/>
          <w:numId w:val="9"/>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响应文件的提交</w:t>
      </w:r>
    </w:p>
    <w:p w14:paraId="1439588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3.1在响应文件提交截止时间前，供应商须将响应文件提交至采购公告所示的提交响应文件地址。时间以北京时间为准，递交响应文件截止时间结束后，将不再接收响应文件。</w:t>
      </w:r>
    </w:p>
    <w:p w14:paraId="5BC58FA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3.2</w:t>
      </w:r>
      <w:r>
        <w:rPr>
          <w:rFonts w:hint="eastAsia"/>
          <w:color w:val="auto"/>
          <w:szCs w:val="21"/>
          <w:highlight w:val="none"/>
        </w:rPr>
        <w:t xml:space="preserve">供应商须按照“须知前附表”规定的密封要求对响应文件进行密封包装，以保证自己的响应信息在开启前不被透露，否则代理机构应当拒收。 </w:t>
      </w:r>
    </w:p>
    <w:p w14:paraId="743FB81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3.3代理机构对因不可抗力事件造成的响应文件的损坏、丢失的，不承担责任。</w:t>
      </w:r>
    </w:p>
    <w:p w14:paraId="629B44DC">
      <w:pPr>
        <w:pStyle w:val="127"/>
        <w:keepNext w:val="0"/>
        <w:keepLines w:val="0"/>
        <w:pageBreakBefore w:val="0"/>
        <w:widowControl w:val="0"/>
        <w:numPr>
          <w:ilvl w:val="0"/>
          <w:numId w:val="9"/>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r>
        <w:rPr>
          <w:rFonts w:hint="eastAsia" w:ascii="宋体" w:hAnsi="宋体"/>
          <w:b/>
          <w:bCs/>
          <w:color w:val="auto"/>
          <w:highlight w:val="none"/>
          <w:lang w:eastAsia="zh-CN"/>
        </w:rPr>
        <w:t>响应文件的修改、撤回与撤销</w:t>
      </w:r>
    </w:p>
    <w:p w14:paraId="6892D74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4.1在提交响应文件截止时间前，供应商可以修改或撤回响应文件，并于提交响应文件截止时间前将修改后的响应文件送达至采购公告所示的提交响应文件地址，到达响应文件提交截止时间后，将不允许修改或撤回。</w:t>
      </w:r>
    </w:p>
    <w:p w14:paraId="160A9D9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4.2在提交响应文件截止时间后，供应商不得补充、修改和更换响应文件。</w:t>
      </w:r>
    </w:p>
    <w:p w14:paraId="443C417F">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0"/>
          <w:highlight w:val="none"/>
        </w:rPr>
        <w:t>4.3</w:t>
      </w:r>
      <w:r>
        <w:rPr>
          <w:rFonts w:hint="eastAsia"/>
          <w:color w:val="auto"/>
          <w:szCs w:val="21"/>
          <w:highlight w:val="none"/>
        </w:rPr>
        <w:t>投标（响应）截止时间后，供应商在响应有效期内撤销投标（响应）的，其撤销投标（响应）的行为无效。</w:t>
      </w:r>
    </w:p>
    <w:p w14:paraId="56A98DA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1"/>
          <w:highlight w:val="none"/>
        </w:rPr>
        <w:t>4.4除供应商不足</w:t>
      </w:r>
      <w:r>
        <w:rPr>
          <w:color w:val="auto"/>
          <w:szCs w:val="21"/>
          <w:highlight w:val="none"/>
        </w:rPr>
        <w:t>3家未开</w:t>
      </w:r>
      <w:r>
        <w:rPr>
          <w:rFonts w:hint="eastAsia"/>
          <w:color w:val="auto"/>
          <w:szCs w:val="21"/>
          <w:highlight w:val="none"/>
        </w:rPr>
        <w:t>启</w:t>
      </w:r>
      <w:r>
        <w:rPr>
          <w:color w:val="auto"/>
          <w:szCs w:val="21"/>
          <w:highlight w:val="none"/>
        </w:rPr>
        <w:t>外，采购人和采购代理机构对所接收</w:t>
      </w:r>
      <w:r>
        <w:rPr>
          <w:rFonts w:hint="eastAsia"/>
          <w:color w:val="auto"/>
          <w:szCs w:val="21"/>
          <w:highlight w:val="none"/>
        </w:rPr>
        <w:t>响应</w:t>
      </w:r>
      <w:r>
        <w:rPr>
          <w:color w:val="auto"/>
          <w:szCs w:val="21"/>
          <w:highlight w:val="none"/>
        </w:rPr>
        <w:t>文件概不退回。</w:t>
      </w:r>
    </w:p>
    <w:p w14:paraId="6F5C4131">
      <w:pPr>
        <w:pStyle w:val="127"/>
        <w:keepNext w:val="0"/>
        <w:keepLines w:val="0"/>
        <w:pageBreakBefore w:val="0"/>
        <w:widowControl w:val="0"/>
        <w:numPr>
          <w:ilvl w:val="0"/>
          <w:numId w:val="9"/>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响应保证金</w:t>
      </w:r>
    </w:p>
    <w:p w14:paraId="3305F4D7">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5.1响应保证金的缴纳</w:t>
      </w:r>
    </w:p>
    <w:p w14:paraId="068EA75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供应商在提交响应文件的同时，应按供应商须知前附表规定的金额和缴纳要求缴纳响应保证金，并作为其响应文件的组成部分。</w:t>
      </w:r>
    </w:p>
    <w:p w14:paraId="5255528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联合体投标（响应）的，可以由联合体中的一方或者共同提交响应保证金，以一方名义提交响应保证金的，对联合体各方均具有约束力。</w:t>
      </w:r>
    </w:p>
    <w:p w14:paraId="29B64FC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如采用转账、支票、本票、汇票形式提交的，响应保证金从供应商账户递交，由公诚管理咨询有限公司代收。具体操作要求详见公诚管理咨询有限公司有关指引，递交事宜请自行咨询公诚管理咨询有限公司；请各供应商在响应文件递交截止时间前按须知前附表规定的金额递交至公诚管理咨询有限公司，到账情况以开启时公诚管理咨询有限公司查询的信息为准。</w:t>
      </w:r>
    </w:p>
    <w:p w14:paraId="52206934">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如采用金融机构、专业担保机构开具的投标（响应）担保函、投标（响应）保证保险函等形式提交响应保证金的，投标（响应）担保函或投标（响应）保证保险函须开具给采购人（保险受益人须为采购人），并与响应文件一同递交。</w:t>
      </w:r>
    </w:p>
    <w:p w14:paraId="4070C1C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供应商可登录"诚E招电子采购交易平台"（https://www.chengezhao.com/），申请办理电子保函，电子保函与纸质保函具有同样效力。</w:t>
      </w:r>
    </w:p>
    <w:p w14:paraId="40C72A5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注意事项：供应商通过线下方式缴纳保证金（转账、支票、汇票、本票、纸质保函）的，需准备缴纳凭证的扫描件作为核验凭证；通过电子保函形式缴纳保证金的，如遇开启或评审现场无法获取电子保函信息时，可提供电子保函打印件或购买凭证作为核验凭证。相关凭证应上传至诚E招电子采购交易平台归档保存。</w:t>
      </w:r>
    </w:p>
    <w:p w14:paraId="33AF274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5.2响应保证金的退还：</w:t>
      </w:r>
    </w:p>
    <w:p w14:paraId="40B464D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（1）供应商在投标（响应）截止时间前撤回已提交的响应文件的，自收到供应商书面撤回通知之日起5个工作日内退还已收取的响应保证金。</w:t>
      </w:r>
    </w:p>
    <w:p w14:paraId="638D8F0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（2）未成交的供应商保证金，在成交通知书发出后5个工作日内原额退还。</w:t>
      </w:r>
    </w:p>
    <w:p w14:paraId="48B3FFB7">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（3）成交供应商的响应保证金,在成交供应商与采购人签订采购合同后5个工作日内原额退还。</w:t>
      </w:r>
    </w:p>
    <w:p w14:paraId="3C65EDF7">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（4）终止采购项目已经收取响应保证金的，自终止采购活动后5个工作日内退还已收取的响应保证金及其在银行产生的孳息。</w:t>
      </w:r>
    </w:p>
    <w:p w14:paraId="2D66F87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（5）在满足退保条件的情况下，供应商应及时联系保证金收受单位办理退还响应保证金手续。</w:t>
      </w:r>
    </w:p>
    <w:p w14:paraId="6255ED7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备注：因供应商自身原因导致无法及时退还的，采购人或采购代理机构将不承担相应责任。</w:t>
      </w:r>
    </w:p>
    <w:p w14:paraId="2D73D4F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5.3有下列情形之一的，响应保证金将不予退还：</w:t>
      </w:r>
    </w:p>
    <w:p w14:paraId="4FBE246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（1）提供虚假材料谋取成交的；</w:t>
      </w:r>
    </w:p>
    <w:p w14:paraId="4C877C5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（2）供应商在磋商文件规定的响应有效期内撤销其响应；</w:t>
      </w:r>
    </w:p>
    <w:p w14:paraId="04BA68FB">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（3）成交后，无正当理由放弃成交资格；</w:t>
      </w:r>
    </w:p>
    <w:p w14:paraId="7E5A285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（4）成交后，无正当理由不与采购人签订合同；</w:t>
      </w:r>
    </w:p>
    <w:p w14:paraId="2437DD7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（5）在签订合同时，向采购人提出附加条件的；</w:t>
      </w:r>
    </w:p>
    <w:p w14:paraId="06BBBDA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（6）不按照采购文件要求提交履约保证金的；</w:t>
      </w:r>
    </w:p>
    <w:p w14:paraId="6CC8226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（7）法律法规和磋商文件规定的其他情形。</w:t>
      </w:r>
    </w:p>
    <w:p w14:paraId="6CF0AEE3">
      <w:pPr>
        <w:pStyle w:val="127"/>
        <w:keepNext w:val="0"/>
        <w:keepLines w:val="0"/>
        <w:pageBreakBefore w:val="0"/>
        <w:widowControl w:val="0"/>
        <w:numPr>
          <w:ilvl w:val="0"/>
          <w:numId w:val="9"/>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响应有效期</w:t>
      </w:r>
    </w:p>
    <w:p w14:paraId="469FB6F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color w:val="auto"/>
          <w:szCs w:val="20"/>
          <w:highlight w:val="none"/>
        </w:rPr>
        <w:t>6</w:t>
      </w:r>
      <w:r>
        <w:rPr>
          <w:rFonts w:hint="eastAsia"/>
          <w:color w:val="auto"/>
          <w:szCs w:val="20"/>
          <w:highlight w:val="none"/>
        </w:rPr>
        <w:t>.1响应有效期内供应商撤销响应文件的，采购人或者采购代理机构可以不退还响应保证金（如有）。采用响应保函方式替代保证金的，采购人或者采购代理机构可以向担保机构索赔保证金。</w:t>
      </w:r>
    </w:p>
    <w:p w14:paraId="08CE181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color w:val="auto"/>
          <w:szCs w:val="20"/>
          <w:highlight w:val="none"/>
        </w:rPr>
        <w:t>6</w:t>
      </w:r>
      <w:r>
        <w:rPr>
          <w:rFonts w:hint="eastAsia"/>
          <w:color w:val="auto"/>
          <w:szCs w:val="20"/>
          <w:highlight w:val="none"/>
        </w:rPr>
        <w:t>.2出现特殊情况需延长响应有效期的，采购人或采购代理机构可于响应有效期满之前要求供应商同意延长有效期，要求与答复均以书面形式通知所有供应商。供应商同意延长的，应相应延长其响应保证金（如有）的有效期，但不得要求或被允许修改或撤销其响应文件；供应商可以拒绝延长有效期，但其响应将会被视为无效，拒绝延长有效期的供应商有权收回其响应保证金（如有）。采用响应保函方式替代保证金的，响应有效期超出保函有效期的，采购人或者采购代理机构应提示响应供应商重新开函，未获得有效保函的响应供应商其响应将会被视为无效。</w:t>
      </w:r>
    </w:p>
    <w:p w14:paraId="55F6BA68">
      <w:pPr>
        <w:pStyle w:val="127"/>
        <w:keepNext w:val="0"/>
        <w:keepLines w:val="0"/>
        <w:pageBreakBefore w:val="0"/>
        <w:widowControl w:val="0"/>
        <w:numPr>
          <w:ilvl w:val="0"/>
          <w:numId w:val="9"/>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样品（演示）</w:t>
      </w:r>
    </w:p>
    <w:p w14:paraId="761E360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color w:val="auto"/>
          <w:szCs w:val="20"/>
          <w:highlight w:val="none"/>
        </w:rPr>
        <w:t>7</w:t>
      </w:r>
      <w:r>
        <w:rPr>
          <w:rFonts w:hint="eastAsia"/>
          <w:color w:val="auto"/>
          <w:szCs w:val="20"/>
          <w:highlight w:val="none"/>
        </w:rPr>
        <w:t>.1磋商文件规定供应商提交样品的，样品属于响应文件的组成部分。样品的生产、运输、安装、保全等一切费用由供应商自理。</w:t>
      </w:r>
    </w:p>
    <w:p w14:paraId="000AAF1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color w:val="auto"/>
          <w:szCs w:val="20"/>
          <w:highlight w:val="none"/>
        </w:rPr>
        <w:t>7</w:t>
      </w:r>
      <w:r>
        <w:rPr>
          <w:rFonts w:hint="eastAsia"/>
          <w:color w:val="auto"/>
          <w:szCs w:val="20"/>
          <w:highlight w:val="none"/>
        </w:rPr>
        <w:t>.2递交响应文件截止时间前，供应商应将样品送达至指定地点</w:t>
      </w:r>
      <w:r>
        <w:rPr>
          <w:rFonts w:hint="eastAsia"/>
          <w:color w:val="auto"/>
          <w:szCs w:val="21"/>
          <w:highlight w:val="none"/>
        </w:rPr>
        <w:t>，按要求摆放并做好展示</w:t>
      </w:r>
      <w:r>
        <w:rPr>
          <w:rFonts w:hint="eastAsia"/>
          <w:color w:val="auto"/>
          <w:szCs w:val="20"/>
          <w:highlight w:val="none"/>
        </w:rPr>
        <w:t>。若需要现场演示的，供应商应提前做好演示准备（包括演示设备）。</w:t>
      </w:r>
    </w:p>
    <w:p w14:paraId="05A73C8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color w:val="auto"/>
          <w:szCs w:val="20"/>
          <w:highlight w:val="none"/>
        </w:rPr>
        <w:t>7</w:t>
      </w:r>
      <w:r>
        <w:rPr>
          <w:rFonts w:hint="eastAsia"/>
          <w:color w:val="auto"/>
          <w:szCs w:val="20"/>
          <w:highlight w:val="none"/>
        </w:rPr>
        <w:t>.3采购结果公告发布后，成交供应商的样品由采购人封存，作为履约验收的依据之一。未成交供应商在接到采购代理机构通知后，应按规定时间尽快自行取回样品，否则视同供应商不再认领，代理机构有权进行处理。</w:t>
      </w:r>
    </w:p>
    <w:p w14:paraId="037FE5AA">
      <w:pPr>
        <w:pStyle w:val="127"/>
        <w:keepNext w:val="0"/>
        <w:keepLines w:val="0"/>
        <w:pageBreakBefore w:val="0"/>
        <w:widowControl w:val="0"/>
        <w:numPr>
          <w:ilvl w:val="0"/>
          <w:numId w:val="9"/>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bookmarkStart w:id="74" w:name="_Hlk172149274"/>
      <w:r>
        <w:rPr>
          <w:rFonts w:hint="eastAsia" w:ascii="宋体" w:hAnsi="宋体"/>
          <w:b/>
          <w:bCs/>
          <w:color w:val="auto"/>
          <w:highlight w:val="none"/>
          <w:lang w:eastAsia="zh-CN"/>
        </w:rPr>
        <w:t>商品包装和快递包装（如有）</w:t>
      </w:r>
    </w:p>
    <w:p w14:paraId="5C9A60B4">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本项目中如涉及商品包装和快递包装的，其包装需求标准应不低于《关于印发〈商品包装政府采购需求标准（</w:t>
      </w:r>
      <w:r>
        <w:rPr>
          <w:color w:val="auto"/>
          <w:sz w:val="21"/>
          <w:szCs w:val="21"/>
          <w:highlight w:val="none"/>
          <w:lang w:eastAsia="zh-CN"/>
        </w:rPr>
        <w:t>试行</w:t>
      </w:r>
      <w:r>
        <w:rPr>
          <w:rFonts w:hint="eastAsia"/>
          <w:color w:val="auto"/>
          <w:sz w:val="21"/>
          <w:szCs w:val="21"/>
          <w:highlight w:val="none"/>
          <w:lang w:eastAsia="zh-CN"/>
        </w:rPr>
        <w:t>）</w:t>
      </w:r>
      <w:r>
        <w:rPr>
          <w:color w:val="auto"/>
          <w:sz w:val="21"/>
          <w:szCs w:val="21"/>
          <w:highlight w:val="none"/>
          <w:lang w:eastAsia="zh-CN"/>
        </w:rPr>
        <w:t>〉、〈快递包装政府采购需求标准</w:t>
      </w:r>
      <w:r>
        <w:rPr>
          <w:rFonts w:hint="eastAsia"/>
          <w:color w:val="auto"/>
          <w:sz w:val="21"/>
          <w:szCs w:val="21"/>
          <w:highlight w:val="none"/>
          <w:lang w:eastAsia="zh-CN"/>
        </w:rPr>
        <w:t>（</w:t>
      </w:r>
      <w:r>
        <w:rPr>
          <w:color w:val="auto"/>
          <w:sz w:val="21"/>
          <w:szCs w:val="21"/>
          <w:highlight w:val="none"/>
          <w:lang w:eastAsia="zh-CN"/>
        </w:rPr>
        <w:t>试行</w:t>
      </w:r>
      <w:r>
        <w:rPr>
          <w:rFonts w:hint="eastAsia"/>
          <w:color w:val="auto"/>
          <w:sz w:val="21"/>
          <w:szCs w:val="21"/>
          <w:highlight w:val="none"/>
          <w:lang w:eastAsia="zh-CN"/>
        </w:rPr>
        <w:t>）</w:t>
      </w:r>
      <w:r>
        <w:rPr>
          <w:color w:val="auto"/>
          <w:sz w:val="21"/>
          <w:szCs w:val="21"/>
          <w:highlight w:val="none"/>
          <w:lang w:eastAsia="zh-CN"/>
        </w:rPr>
        <w:t>〉的通知》（财办库〔2020〕123号）规定的包装要求，其他包装需求详见</w:t>
      </w:r>
      <w:r>
        <w:rPr>
          <w:rFonts w:hint="eastAsia"/>
          <w:color w:val="auto"/>
          <w:sz w:val="21"/>
          <w:szCs w:val="21"/>
          <w:highlight w:val="none"/>
          <w:lang w:eastAsia="zh-CN"/>
        </w:rPr>
        <w:t>采购</w:t>
      </w:r>
      <w:r>
        <w:rPr>
          <w:color w:val="auto"/>
          <w:sz w:val="21"/>
          <w:szCs w:val="21"/>
          <w:highlight w:val="none"/>
          <w:lang w:eastAsia="zh-CN"/>
        </w:rPr>
        <w:t>文件具体规定。</w:t>
      </w:r>
    </w:p>
    <w:bookmarkEnd w:id="74"/>
    <w:p w14:paraId="487EFCA8">
      <w:pPr>
        <w:pStyle w:val="127"/>
        <w:keepNext w:val="0"/>
        <w:keepLines w:val="0"/>
        <w:pageBreakBefore w:val="0"/>
        <w:widowControl w:val="0"/>
        <w:numPr>
          <w:ilvl w:val="0"/>
          <w:numId w:val="9"/>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r>
        <w:rPr>
          <w:rFonts w:hint="eastAsia" w:ascii="宋体" w:hAnsi="宋体"/>
          <w:b/>
          <w:bCs/>
          <w:color w:val="auto"/>
          <w:highlight w:val="none"/>
          <w:lang w:eastAsia="zh-CN"/>
        </w:rPr>
        <w:t>除磋商文件另有规定外，有下列情形之一的，响应无效：</w:t>
      </w:r>
    </w:p>
    <w:p w14:paraId="080B4F39">
      <w:pPr>
        <w:pStyle w:val="19"/>
        <w:keepNext w:val="0"/>
        <w:keepLines w:val="0"/>
        <w:pageBreakBefore w:val="0"/>
        <w:widowControl w:val="0"/>
        <w:kinsoku/>
        <w:wordWrap/>
        <w:overflowPunct/>
        <w:topLinePunct w:val="0"/>
        <w:autoSpaceDE/>
        <w:autoSpaceDN/>
        <w:bidi w:val="0"/>
        <w:ind w:left="420"/>
        <w:rPr>
          <w:rFonts w:hint="eastAsia"/>
          <w:color w:val="auto"/>
          <w:szCs w:val="20"/>
          <w:highlight w:val="none"/>
        </w:rPr>
      </w:pPr>
      <w:r>
        <w:rPr>
          <w:rFonts w:hint="eastAsia"/>
          <w:color w:val="auto"/>
          <w:szCs w:val="20"/>
          <w:highlight w:val="none"/>
        </w:rPr>
        <w:t>9.1未按采购文件的规定提交响应保证金的；</w:t>
      </w:r>
    </w:p>
    <w:p w14:paraId="34EAEF50">
      <w:pPr>
        <w:pStyle w:val="19"/>
        <w:keepNext w:val="0"/>
        <w:keepLines w:val="0"/>
        <w:pageBreakBefore w:val="0"/>
        <w:widowControl w:val="0"/>
        <w:kinsoku/>
        <w:wordWrap/>
        <w:overflowPunct/>
        <w:topLinePunct w:val="0"/>
        <w:autoSpaceDE/>
        <w:autoSpaceDN/>
        <w:bidi w:val="0"/>
        <w:ind w:left="420"/>
        <w:rPr>
          <w:rFonts w:hint="eastAsia"/>
          <w:color w:val="auto"/>
          <w:szCs w:val="20"/>
          <w:highlight w:val="none"/>
        </w:rPr>
      </w:pPr>
      <w:r>
        <w:rPr>
          <w:rFonts w:hint="eastAsia"/>
          <w:color w:val="auto"/>
          <w:szCs w:val="20"/>
          <w:highlight w:val="none"/>
        </w:rPr>
        <w:t>9.2响应文件未按照采购文件要求签署、盖章；</w:t>
      </w:r>
    </w:p>
    <w:p w14:paraId="33EB8CFB">
      <w:pPr>
        <w:pStyle w:val="19"/>
        <w:keepNext w:val="0"/>
        <w:keepLines w:val="0"/>
        <w:pageBreakBefore w:val="0"/>
        <w:widowControl w:val="0"/>
        <w:kinsoku/>
        <w:wordWrap/>
        <w:overflowPunct/>
        <w:topLinePunct w:val="0"/>
        <w:autoSpaceDE/>
        <w:autoSpaceDN/>
        <w:bidi w:val="0"/>
        <w:ind w:left="420"/>
        <w:rPr>
          <w:rFonts w:hint="eastAsia"/>
          <w:color w:val="auto"/>
          <w:szCs w:val="20"/>
          <w:highlight w:val="none"/>
        </w:rPr>
      </w:pPr>
      <w:r>
        <w:rPr>
          <w:rFonts w:hint="eastAsia"/>
          <w:color w:val="auto"/>
          <w:szCs w:val="20"/>
          <w:highlight w:val="none"/>
        </w:rPr>
        <w:t>9.3不符合采购文件中规定的资格要求；</w:t>
      </w:r>
    </w:p>
    <w:p w14:paraId="6E8C4682">
      <w:pPr>
        <w:pStyle w:val="19"/>
        <w:keepNext w:val="0"/>
        <w:keepLines w:val="0"/>
        <w:pageBreakBefore w:val="0"/>
        <w:widowControl w:val="0"/>
        <w:kinsoku/>
        <w:wordWrap/>
        <w:overflowPunct/>
        <w:topLinePunct w:val="0"/>
        <w:autoSpaceDE/>
        <w:autoSpaceDN/>
        <w:bidi w:val="0"/>
        <w:ind w:left="420"/>
        <w:rPr>
          <w:rFonts w:hint="eastAsia"/>
          <w:color w:val="auto"/>
          <w:szCs w:val="20"/>
          <w:highlight w:val="none"/>
        </w:rPr>
      </w:pPr>
      <w:r>
        <w:rPr>
          <w:rFonts w:hint="eastAsia"/>
          <w:color w:val="auto"/>
          <w:szCs w:val="20"/>
          <w:highlight w:val="none"/>
        </w:rPr>
        <w:t>9.4响应报价超过采购文件中规定的预算金额或最高限价；</w:t>
      </w:r>
    </w:p>
    <w:p w14:paraId="1679D474">
      <w:pPr>
        <w:pStyle w:val="19"/>
        <w:keepNext w:val="0"/>
        <w:keepLines w:val="0"/>
        <w:pageBreakBefore w:val="0"/>
        <w:widowControl w:val="0"/>
        <w:kinsoku/>
        <w:wordWrap/>
        <w:overflowPunct/>
        <w:topLinePunct w:val="0"/>
        <w:autoSpaceDE/>
        <w:autoSpaceDN/>
        <w:bidi w:val="0"/>
        <w:ind w:firstLine="424" w:firstLineChars="202"/>
        <w:rPr>
          <w:rFonts w:hint="eastAsia"/>
          <w:color w:val="auto"/>
          <w:szCs w:val="20"/>
          <w:highlight w:val="none"/>
        </w:rPr>
      </w:pPr>
      <w:r>
        <w:rPr>
          <w:rFonts w:hint="eastAsia"/>
          <w:color w:val="auto"/>
          <w:szCs w:val="20"/>
          <w:highlight w:val="none"/>
        </w:rPr>
        <w:t>9.5磋商小组认为供应商的报价明显低于其他通过符合性审查供应商的报价，有可能影响履约的，且供应商未按照规定证明其报价合理性的；</w:t>
      </w:r>
    </w:p>
    <w:p w14:paraId="5AD816EB">
      <w:pPr>
        <w:pStyle w:val="19"/>
        <w:keepNext w:val="0"/>
        <w:keepLines w:val="0"/>
        <w:pageBreakBefore w:val="0"/>
        <w:widowControl w:val="0"/>
        <w:kinsoku/>
        <w:wordWrap/>
        <w:overflowPunct/>
        <w:topLinePunct w:val="0"/>
        <w:autoSpaceDE/>
        <w:autoSpaceDN/>
        <w:bidi w:val="0"/>
        <w:ind w:left="420"/>
        <w:rPr>
          <w:rFonts w:hint="eastAsia"/>
          <w:color w:val="auto"/>
          <w:szCs w:val="20"/>
          <w:highlight w:val="none"/>
        </w:rPr>
      </w:pPr>
      <w:r>
        <w:rPr>
          <w:rFonts w:hint="eastAsia"/>
          <w:color w:val="auto"/>
          <w:szCs w:val="20"/>
          <w:highlight w:val="none"/>
        </w:rPr>
        <w:t>9.6响应文件含有采购人不能接受的附加条件；</w:t>
      </w:r>
    </w:p>
    <w:p w14:paraId="2EF418BA">
      <w:pPr>
        <w:pStyle w:val="19"/>
        <w:keepNext w:val="0"/>
        <w:keepLines w:val="0"/>
        <w:pageBreakBefore w:val="0"/>
        <w:widowControl w:val="0"/>
        <w:kinsoku/>
        <w:wordWrap/>
        <w:overflowPunct/>
        <w:topLinePunct w:val="0"/>
        <w:autoSpaceDE/>
        <w:autoSpaceDN/>
        <w:bidi w:val="0"/>
        <w:ind w:left="420"/>
        <w:rPr>
          <w:rFonts w:hint="eastAsia"/>
          <w:color w:val="auto"/>
          <w:szCs w:val="20"/>
          <w:highlight w:val="none"/>
        </w:rPr>
      </w:pPr>
      <w:r>
        <w:rPr>
          <w:rFonts w:hint="eastAsia"/>
          <w:color w:val="auto"/>
          <w:szCs w:val="20"/>
          <w:highlight w:val="none"/>
        </w:rPr>
        <w:t>9</w:t>
      </w:r>
      <w:r>
        <w:rPr>
          <w:color w:val="auto"/>
          <w:szCs w:val="20"/>
          <w:highlight w:val="none"/>
        </w:rPr>
        <w:t>.</w:t>
      </w:r>
      <w:r>
        <w:rPr>
          <w:rFonts w:hint="eastAsia"/>
          <w:color w:val="auto"/>
          <w:szCs w:val="20"/>
          <w:highlight w:val="none"/>
        </w:rPr>
        <w:t>7有关法律、法规和规章及采购文件规定的其他无效情形。</w:t>
      </w:r>
    </w:p>
    <w:p w14:paraId="7936452F">
      <w:pPr>
        <w:pStyle w:val="19"/>
        <w:keepNext w:val="0"/>
        <w:keepLines w:val="0"/>
        <w:pageBreakBefore w:val="0"/>
        <w:widowControl w:val="0"/>
        <w:kinsoku/>
        <w:wordWrap/>
        <w:overflowPunct/>
        <w:topLinePunct w:val="0"/>
        <w:autoSpaceDE/>
        <w:autoSpaceDN/>
        <w:bidi w:val="0"/>
        <w:ind w:left="420"/>
        <w:rPr>
          <w:rFonts w:hint="eastAsia"/>
          <w:color w:val="auto"/>
          <w:szCs w:val="20"/>
          <w:highlight w:val="none"/>
        </w:rPr>
      </w:pPr>
    </w:p>
    <w:p w14:paraId="4AC8A05D">
      <w:pPr>
        <w:pStyle w:val="3"/>
        <w:keepNext w:val="0"/>
        <w:keepLines w:val="0"/>
        <w:pageBreakBefore w:val="0"/>
        <w:widowControl w:val="0"/>
        <w:numPr>
          <w:ilvl w:val="0"/>
          <w:numId w:val="6"/>
        </w:numPr>
        <w:kinsoku/>
        <w:wordWrap/>
        <w:overflowPunct/>
        <w:topLinePunct w:val="0"/>
        <w:autoSpaceDE/>
        <w:autoSpaceDN/>
        <w:bidi w:val="0"/>
        <w:spacing w:before="120" w:after="120" w:line="360" w:lineRule="auto"/>
        <w:ind w:left="0" w:firstLine="0"/>
        <w:jc w:val="left"/>
        <w:rPr>
          <w:rFonts w:hint="eastAsia" w:ascii="宋体" w:hAnsi="宋体" w:eastAsia="宋体"/>
          <w:color w:val="auto"/>
          <w:sz w:val="21"/>
          <w:szCs w:val="21"/>
          <w:highlight w:val="none"/>
        </w:rPr>
      </w:pPr>
      <w:bookmarkStart w:id="75" w:name="_Toc104040693"/>
      <w:bookmarkStart w:id="76" w:name="_Toc104040747"/>
      <w:bookmarkStart w:id="77" w:name="_Toc28050"/>
      <w:r>
        <w:rPr>
          <w:rFonts w:hint="eastAsia" w:ascii="宋体" w:hAnsi="宋体" w:eastAsia="宋体"/>
          <w:color w:val="auto"/>
          <w:sz w:val="21"/>
          <w:szCs w:val="21"/>
          <w:highlight w:val="none"/>
        </w:rPr>
        <w:t>磋商、评审和结果</w:t>
      </w:r>
      <w:bookmarkEnd w:id="75"/>
      <w:bookmarkEnd w:id="76"/>
      <w:r>
        <w:rPr>
          <w:rFonts w:hint="eastAsia" w:ascii="宋体" w:hAnsi="宋体" w:eastAsia="宋体"/>
          <w:color w:val="auto"/>
          <w:sz w:val="21"/>
          <w:szCs w:val="21"/>
          <w:highlight w:val="none"/>
        </w:rPr>
        <w:t>确认</w:t>
      </w:r>
      <w:bookmarkEnd w:id="77"/>
    </w:p>
    <w:p w14:paraId="190B6F8F">
      <w:pPr>
        <w:pStyle w:val="127"/>
        <w:keepNext w:val="0"/>
        <w:keepLines w:val="0"/>
        <w:pageBreakBefore w:val="0"/>
        <w:widowControl w:val="0"/>
        <w:numPr>
          <w:ilvl w:val="0"/>
          <w:numId w:val="10"/>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响应文件的开启</w:t>
      </w:r>
    </w:p>
    <w:p w14:paraId="009BDE87">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1.1开启程序</w:t>
      </w:r>
    </w:p>
    <w:p w14:paraId="76B4A23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工作人员按磋商公告规定的时间进行开启，由采购人或者采购代理机构工作人员宣布供应商名称和采购文件规定的需要宣布的其他内容。</w:t>
      </w:r>
    </w:p>
    <w:p w14:paraId="0AC08C54">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采用现场开启的：供应商的法定代表人或其委托代理人应当携带本人身份证等材料按照本采购公告载明的时间和地点前往参加现场开启会议。</w:t>
      </w:r>
    </w:p>
    <w:p w14:paraId="17D417E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1.2异议</w:t>
      </w:r>
    </w:p>
    <w:p w14:paraId="26A88AC7">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供应商代表对开启过程和开启记录有疑义，以及认为采购人、采购代理机构相关工作人员有需要回避的情形的，应当场提出询问或者回避申请。供应商未参加开启的，视同认可开启结果。</w:t>
      </w:r>
    </w:p>
    <w:p w14:paraId="09E6E758">
      <w:pPr>
        <w:pStyle w:val="127"/>
        <w:keepNext w:val="0"/>
        <w:keepLines w:val="0"/>
        <w:pageBreakBefore w:val="0"/>
        <w:widowControl w:val="0"/>
        <w:numPr>
          <w:ilvl w:val="0"/>
          <w:numId w:val="10"/>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评审（详见第四章）</w:t>
      </w:r>
    </w:p>
    <w:p w14:paraId="1E00711A">
      <w:pPr>
        <w:pStyle w:val="127"/>
        <w:keepNext w:val="0"/>
        <w:keepLines w:val="0"/>
        <w:pageBreakBefore w:val="0"/>
        <w:widowControl w:val="0"/>
        <w:numPr>
          <w:ilvl w:val="0"/>
          <w:numId w:val="10"/>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成交</w:t>
      </w:r>
    </w:p>
    <w:p w14:paraId="45E1738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3.1成交结果公告：</w:t>
      </w:r>
    </w:p>
    <w:p w14:paraId="7519444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成交供应商确定之日起2个工作日内，采购人或采购代理机构将在相关公告发布媒介（与采购公告发布媒介一致）上以公告的形式发布成交结果，结果公告的公告期限为1个工作日。结果公告同时作为采购代理机构通知除成交供应商外的其他供应商没有成交的书面形式，采购代理机构不再以其它方式另行通知。</w:t>
      </w:r>
    </w:p>
    <w:p w14:paraId="655E246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3.2成交通知书：</w:t>
      </w:r>
    </w:p>
    <w:p w14:paraId="67A7429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采购人或采购代理机构在发布结果公告时，将给成交供应商发送《成交通知书》，《成交通知书》将作为授予合同资格的唯一合法依据。成交通知书发出后，采购人不得违法改变成交结果，成交供应商不得放弃成交。成交供应商放弃成交的，应当依法承担相应的法律责任。</w:t>
      </w:r>
    </w:p>
    <w:p w14:paraId="16B22CB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3.3终止公告：</w:t>
      </w:r>
    </w:p>
    <w:p w14:paraId="1D74931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终止磋商采购活动后，采购人或采购代理机构将在相关公告发布媒介（与采购公告发布媒介一致）上发布终止公告，终止公告的公告期限为1个工作日。</w:t>
      </w:r>
    </w:p>
    <w:p w14:paraId="340718D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p>
    <w:p w14:paraId="31B0CEE8">
      <w:pPr>
        <w:pStyle w:val="3"/>
        <w:keepNext w:val="0"/>
        <w:keepLines w:val="0"/>
        <w:pageBreakBefore w:val="0"/>
        <w:widowControl w:val="0"/>
        <w:numPr>
          <w:ilvl w:val="0"/>
          <w:numId w:val="6"/>
        </w:numPr>
        <w:kinsoku/>
        <w:wordWrap/>
        <w:overflowPunct/>
        <w:topLinePunct w:val="0"/>
        <w:autoSpaceDE/>
        <w:autoSpaceDN/>
        <w:bidi w:val="0"/>
        <w:spacing w:before="120" w:after="120" w:line="360" w:lineRule="auto"/>
        <w:ind w:left="0" w:firstLine="0"/>
        <w:jc w:val="left"/>
        <w:rPr>
          <w:rFonts w:hint="eastAsia" w:ascii="宋体" w:hAnsi="宋体" w:eastAsia="宋体"/>
          <w:color w:val="auto"/>
          <w:sz w:val="21"/>
          <w:szCs w:val="21"/>
          <w:highlight w:val="none"/>
        </w:rPr>
      </w:pPr>
      <w:bookmarkStart w:id="78" w:name="_Toc104040694"/>
      <w:bookmarkStart w:id="79" w:name="_Toc9770"/>
      <w:bookmarkStart w:id="80" w:name="_Toc104040748"/>
      <w:r>
        <w:rPr>
          <w:rFonts w:hint="eastAsia" w:ascii="宋体" w:hAnsi="宋体" w:eastAsia="宋体"/>
          <w:color w:val="auto"/>
          <w:sz w:val="21"/>
          <w:szCs w:val="21"/>
          <w:highlight w:val="none"/>
        </w:rPr>
        <w:t>询问、质疑与投诉</w:t>
      </w:r>
      <w:bookmarkEnd w:id="78"/>
      <w:bookmarkEnd w:id="79"/>
      <w:bookmarkEnd w:id="80"/>
    </w:p>
    <w:p w14:paraId="1EFB7346">
      <w:pPr>
        <w:pStyle w:val="127"/>
        <w:keepNext w:val="0"/>
        <w:keepLines w:val="0"/>
        <w:pageBreakBefore w:val="0"/>
        <w:widowControl w:val="0"/>
        <w:numPr>
          <w:ilvl w:val="0"/>
          <w:numId w:val="11"/>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询问</w:t>
      </w:r>
    </w:p>
    <w:p w14:paraId="4B8B717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供应商对政府采购活动事项（磋商文件、采购过程和成交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响应邀请函》中“采购人、采购代理机构的名称、地址和联系方式”。</w:t>
      </w:r>
    </w:p>
    <w:p w14:paraId="5AC2D886">
      <w:pPr>
        <w:pStyle w:val="127"/>
        <w:keepNext w:val="0"/>
        <w:keepLines w:val="0"/>
        <w:pageBreakBefore w:val="0"/>
        <w:widowControl w:val="0"/>
        <w:numPr>
          <w:ilvl w:val="0"/>
          <w:numId w:val="11"/>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质疑</w:t>
      </w:r>
    </w:p>
    <w:p w14:paraId="18A549A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2.1供应商认为磋商文件、采购过程和成交结果使自己的权益受到损害的，可以在知道或者应知其权益受到损害之日起七个工作日内，以书面原件形式向采购人或采购代理机构一次性提出针对同一采购程序环节的质疑，逾期质疑无效。</w:t>
      </w:r>
      <w:r>
        <w:rPr>
          <w:rFonts w:hint="eastAsia"/>
          <w:color w:val="auto"/>
          <w:szCs w:val="21"/>
          <w:highlight w:val="none"/>
        </w:rPr>
        <w:t>法定质疑期内针对同一采购程序环节再次提出的质疑，采购人、采购代理机构有权不予答复。</w:t>
      </w:r>
    </w:p>
    <w:p w14:paraId="11FE29B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供应商应知其权益受到损害之日是指：</w:t>
      </w:r>
    </w:p>
    <w:p w14:paraId="5E93280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（1）对磋商文件提出质疑的，为获取磋商文件之日或者磋商文件公告期限届满之日；</w:t>
      </w:r>
    </w:p>
    <w:p w14:paraId="4E734027">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（2）对采购过程提出质疑的，为各采购程序环节结束之日；</w:t>
      </w:r>
    </w:p>
    <w:p w14:paraId="3670E71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（3）对成交结果提出质疑的，为成交结果公告期限届满之日。</w:t>
      </w:r>
    </w:p>
    <w:p w14:paraId="245D5B4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2.2质疑函应当包括下列主要内容：</w:t>
      </w:r>
    </w:p>
    <w:p w14:paraId="2C83A66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（1）质疑供应商和相关供应商的名称、地址、邮编、联系人及联系电话等；</w:t>
      </w:r>
    </w:p>
    <w:p w14:paraId="5193C80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（2）质疑项目名称及编号、具体明确的质疑事项和与质疑事项相关的请求；</w:t>
      </w:r>
    </w:p>
    <w:p w14:paraId="6AAF508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（3）认为磋商文件、采购过程和成交结果使自己的合法权益受到损害的法律依据、事实依据、相关证明材料及证据来源；</w:t>
      </w:r>
    </w:p>
    <w:p w14:paraId="62B0B3E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（4）提出质疑的日期。</w:t>
      </w:r>
    </w:p>
    <w:p w14:paraId="72FB993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2.3质疑函应当署名。质疑供应商为自然人的，应当由本人签字；质疑供应商为法人或者其他组织的，应当由法定代表人、主要负责人，或者其授权代表签字或者盖章，并加盖公章。</w:t>
      </w:r>
    </w:p>
    <w:p w14:paraId="3931123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2.4以联合体形式参加政府采购活动的，其质疑应当由联合体成员委托主体提出。</w:t>
      </w:r>
    </w:p>
    <w:p w14:paraId="319FDD8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14:paraId="12416FA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.6</w:t>
      </w:r>
      <w:r>
        <w:rPr>
          <w:rFonts w:hint="eastAsia"/>
          <w:color w:val="auto"/>
          <w:szCs w:val="20"/>
          <w:highlight w:val="none"/>
        </w:rPr>
        <w:t xml:space="preserve">质疑联系方式如下： </w:t>
      </w:r>
    </w:p>
    <w:p w14:paraId="7C5C18FB">
      <w:pPr>
        <w:pStyle w:val="19"/>
        <w:keepNext w:val="0"/>
        <w:keepLines w:val="0"/>
        <w:pageBreakBefore w:val="0"/>
        <w:widowControl w:val="0"/>
        <w:kinsoku/>
        <w:wordWrap/>
        <w:overflowPunct/>
        <w:topLinePunct w:val="0"/>
        <w:autoSpaceDE/>
        <w:autoSpaceDN/>
        <w:bidi w:val="0"/>
        <w:ind w:firstLine="420" w:firstLineChars="200"/>
        <w:rPr>
          <w:rFonts w:hint="eastAsia" w:eastAsia="宋体"/>
          <w:color w:val="auto"/>
          <w:szCs w:val="20"/>
          <w:highlight w:val="none"/>
          <w:lang w:eastAsia="zh-CN"/>
        </w:rPr>
      </w:pPr>
      <w:r>
        <w:rPr>
          <w:rFonts w:hint="eastAsia"/>
          <w:color w:val="auto"/>
          <w:szCs w:val="20"/>
          <w:highlight w:val="none"/>
        </w:rPr>
        <w:t>质疑联系人：</w:t>
      </w:r>
      <w:r>
        <w:rPr>
          <w:rFonts w:hint="eastAsia"/>
          <w:color w:val="auto"/>
          <w:szCs w:val="20"/>
          <w:highlight w:val="none"/>
          <w:lang w:val="en-US" w:eastAsia="zh-CN"/>
        </w:rPr>
        <w:t>杨述文</w:t>
      </w:r>
    </w:p>
    <w:p w14:paraId="743743D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电话：0756-2666861</w:t>
      </w:r>
    </w:p>
    <w:p w14:paraId="46D3C42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0"/>
          <w:highlight w:val="none"/>
        </w:rPr>
        <w:t>地址：</w:t>
      </w:r>
      <w:bookmarkStart w:id="81" w:name="_Hlk111914743"/>
      <w:r>
        <w:rPr>
          <w:rFonts w:hint="eastAsia"/>
          <w:color w:val="auto"/>
          <w:szCs w:val="21"/>
          <w:highlight w:val="none"/>
        </w:rPr>
        <w:t>广东省珠海市香洲区兴华路</w:t>
      </w:r>
      <w:r>
        <w:rPr>
          <w:color w:val="auto"/>
          <w:szCs w:val="21"/>
          <w:highlight w:val="none"/>
        </w:rPr>
        <w:t>192号</w:t>
      </w:r>
      <w:r>
        <w:rPr>
          <w:rFonts w:hint="eastAsia"/>
          <w:color w:val="auto"/>
          <w:szCs w:val="21"/>
          <w:highlight w:val="none"/>
        </w:rPr>
        <w:t>2号楼4楼公诚管理咨询有限公司</w:t>
      </w:r>
      <w:bookmarkEnd w:id="81"/>
    </w:p>
    <w:p w14:paraId="5C01F9E9">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rPr>
      </w:pPr>
      <w:r>
        <w:rPr>
          <w:rFonts w:hint="eastAsia"/>
          <w:color w:val="auto"/>
          <w:sz w:val="21"/>
          <w:szCs w:val="21"/>
          <w:highlight w:val="none"/>
        </w:rPr>
        <w:t>邮箱：</w:t>
      </w:r>
      <w:r>
        <w:rPr>
          <w:rFonts w:hint="eastAsia"/>
          <w:color w:val="auto"/>
          <w:sz w:val="21"/>
          <w:szCs w:val="21"/>
          <w:highlight w:val="none"/>
          <w:lang w:eastAsia="zh-CN"/>
        </w:rPr>
        <w:t>yangshuwen</w:t>
      </w:r>
      <w:r>
        <w:rPr>
          <w:color w:val="auto"/>
          <w:sz w:val="21"/>
          <w:szCs w:val="21"/>
          <w:highlight w:val="none"/>
        </w:rPr>
        <w:t>.gcmc.gd@chinaccs.cn</w:t>
      </w:r>
    </w:p>
    <w:p w14:paraId="4E0A2F82">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rPr>
      </w:pPr>
      <w:r>
        <w:rPr>
          <w:rFonts w:hint="eastAsia"/>
          <w:color w:val="auto"/>
          <w:sz w:val="21"/>
          <w:szCs w:val="21"/>
          <w:highlight w:val="none"/>
        </w:rPr>
        <w:t>邮编：5</w:t>
      </w:r>
      <w:r>
        <w:rPr>
          <w:color w:val="auto"/>
          <w:sz w:val="21"/>
          <w:szCs w:val="21"/>
          <w:highlight w:val="none"/>
        </w:rPr>
        <w:t>19000</w:t>
      </w:r>
    </w:p>
    <w:p w14:paraId="3CC45D8E">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rPr>
      </w:pPr>
      <w:r>
        <w:rPr>
          <w:rFonts w:hint="eastAsia"/>
          <w:color w:val="auto"/>
          <w:sz w:val="21"/>
          <w:szCs w:val="21"/>
          <w:highlight w:val="none"/>
        </w:rPr>
        <w:t>2</w:t>
      </w:r>
      <w:r>
        <w:rPr>
          <w:color w:val="auto"/>
          <w:sz w:val="21"/>
          <w:szCs w:val="21"/>
          <w:highlight w:val="none"/>
        </w:rPr>
        <w:t>.7</w:t>
      </w:r>
      <w:r>
        <w:rPr>
          <w:rFonts w:hint="eastAsia"/>
          <w:color w:val="auto"/>
          <w:sz w:val="21"/>
          <w:szCs w:val="21"/>
          <w:highlight w:val="none"/>
        </w:rPr>
        <w:t>质疑提交方式</w:t>
      </w:r>
    </w:p>
    <w:p w14:paraId="2907AB5D">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rPr>
      </w:pPr>
      <w:r>
        <w:rPr>
          <w:rFonts w:hint="eastAsia"/>
          <w:color w:val="auto"/>
          <w:sz w:val="21"/>
          <w:szCs w:val="21"/>
          <w:highlight w:val="none"/>
        </w:rPr>
        <w:t>在法定质疑期内</w:t>
      </w:r>
      <w:r>
        <w:rPr>
          <w:rFonts w:hint="eastAsia"/>
          <w:color w:val="auto"/>
          <w:sz w:val="21"/>
          <w:szCs w:val="21"/>
          <w:highlight w:val="none"/>
          <w:lang w:val="en-US" w:eastAsia="zh-CN"/>
        </w:rPr>
        <w:t>通过</w:t>
      </w:r>
      <w:r>
        <w:rPr>
          <w:rFonts w:hint="eastAsia"/>
          <w:color w:val="auto"/>
          <w:sz w:val="21"/>
          <w:szCs w:val="21"/>
          <w:highlight w:val="none"/>
          <w:lang w:eastAsia="zh-CN"/>
        </w:rPr>
        <w:t>“</w:t>
      </w:r>
      <w:r>
        <w:rPr>
          <w:rFonts w:hint="eastAsia"/>
          <w:color w:val="auto"/>
          <w:sz w:val="21"/>
          <w:szCs w:val="21"/>
          <w:highlight w:val="none"/>
        </w:rPr>
        <w:t>现场提交</w:t>
      </w:r>
      <w:r>
        <w:rPr>
          <w:rFonts w:hint="eastAsia"/>
          <w:color w:val="auto"/>
          <w:sz w:val="21"/>
          <w:szCs w:val="21"/>
          <w:highlight w:val="none"/>
          <w:lang w:eastAsia="zh-CN"/>
        </w:rPr>
        <w:t>”</w:t>
      </w:r>
      <w:r>
        <w:rPr>
          <w:rFonts w:hint="eastAsia"/>
          <w:color w:val="auto"/>
          <w:sz w:val="21"/>
          <w:szCs w:val="21"/>
          <w:highlight w:val="none"/>
          <w:lang w:val="en-US" w:eastAsia="zh-CN"/>
        </w:rPr>
        <w:t>或</w:t>
      </w:r>
      <w:r>
        <w:rPr>
          <w:rFonts w:hint="eastAsia"/>
          <w:color w:val="auto"/>
          <w:sz w:val="21"/>
          <w:szCs w:val="21"/>
          <w:highlight w:val="none"/>
          <w:lang w:eastAsia="zh-CN"/>
        </w:rPr>
        <w:t>“</w:t>
      </w:r>
      <w:r>
        <w:rPr>
          <w:rFonts w:hint="eastAsia"/>
          <w:color w:val="auto"/>
          <w:sz w:val="21"/>
          <w:szCs w:val="21"/>
          <w:highlight w:val="none"/>
        </w:rPr>
        <w:t>邮寄</w:t>
      </w:r>
      <w:r>
        <w:rPr>
          <w:rFonts w:hint="eastAsia"/>
          <w:color w:val="auto"/>
          <w:sz w:val="21"/>
          <w:szCs w:val="21"/>
          <w:highlight w:val="none"/>
          <w:lang w:eastAsia="zh-CN"/>
        </w:rPr>
        <w:t>”</w:t>
      </w:r>
      <w:r>
        <w:rPr>
          <w:rFonts w:hint="eastAsia"/>
          <w:color w:val="auto"/>
          <w:sz w:val="21"/>
          <w:szCs w:val="21"/>
          <w:highlight w:val="none"/>
          <w:lang w:val="en-US" w:eastAsia="zh-CN"/>
        </w:rPr>
        <w:t>或</w:t>
      </w:r>
      <w:r>
        <w:rPr>
          <w:rFonts w:hint="eastAsia"/>
          <w:color w:val="auto"/>
          <w:sz w:val="21"/>
          <w:szCs w:val="21"/>
          <w:highlight w:val="none"/>
          <w:lang w:eastAsia="zh-CN"/>
        </w:rPr>
        <w:t>“</w:t>
      </w:r>
      <w:r>
        <w:rPr>
          <w:rFonts w:hint="eastAsia"/>
          <w:color w:val="auto"/>
          <w:sz w:val="21"/>
          <w:szCs w:val="21"/>
          <w:highlight w:val="none"/>
        </w:rPr>
        <w:t>快递（不接收到付件）</w:t>
      </w:r>
      <w:r>
        <w:rPr>
          <w:rFonts w:hint="eastAsia"/>
          <w:color w:val="auto"/>
          <w:sz w:val="21"/>
          <w:szCs w:val="21"/>
          <w:highlight w:val="none"/>
          <w:lang w:eastAsia="zh-CN"/>
        </w:rPr>
        <w:t>”</w:t>
      </w:r>
      <w:r>
        <w:rPr>
          <w:rFonts w:hint="eastAsia"/>
          <w:color w:val="auto"/>
          <w:sz w:val="21"/>
          <w:szCs w:val="21"/>
          <w:highlight w:val="none"/>
          <w:lang w:val="en-US" w:eastAsia="zh-CN"/>
        </w:rPr>
        <w:t>的形式递交纸质质疑函</w:t>
      </w:r>
      <w:r>
        <w:rPr>
          <w:rFonts w:hint="eastAsia"/>
          <w:color w:val="auto"/>
          <w:sz w:val="21"/>
          <w:szCs w:val="21"/>
          <w:highlight w:val="none"/>
        </w:rPr>
        <w:t>。</w:t>
      </w:r>
    </w:p>
    <w:p w14:paraId="626A5A43">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rPr>
      </w:pPr>
      <w:r>
        <w:rPr>
          <w:rFonts w:hint="eastAsia"/>
          <w:color w:val="auto"/>
          <w:sz w:val="21"/>
          <w:szCs w:val="21"/>
          <w:highlight w:val="none"/>
        </w:rPr>
        <w:t>（1）</w:t>
      </w:r>
      <w:r>
        <w:rPr>
          <w:color w:val="auto"/>
          <w:sz w:val="21"/>
          <w:szCs w:val="21"/>
          <w:highlight w:val="none"/>
        </w:rPr>
        <w:t>以邮寄、快递方式递交的，质疑提起日期应当以邮寄件上的戳记日期、邮政快递件上的戳记日期或非邮政快递件上的签注日期，受理日期为</w:t>
      </w:r>
      <w:r>
        <w:rPr>
          <w:rFonts w:hint="eastAsia"/>
          <w:color w:val="auto"/>
          <w:sz w:val="21"/>
          <w:szCs w:val="21"/>
          <w:highlight w:val="none"/>
        </w:rPr>
        <w:t>公诚管理咨询有限公司</w:t>
      </w:r>
      <w:r>
        <w:rPr>
          <w:color w:val="auto"/>
          <w:sz w:val="21"/>
          <w:szCs w:val="21"/>
          <w:highlight w:val="none"/>
        </w:rPr>
        <w:t>收到符合规定的质疑材料之日。若质疑材料不符合受理条件的，</w:t>
      </w:r>
      <w:r>
        <w:rPr>
          <w:rFonts w:hint="eastAsia"/>
          <w:color w:val="auto"/>
          <w:sz w:val="21"/>
          <w:szCs w:val="21"/>
          <w:highlight w:val="none"/>
        </w:rPr>
        <w:t>公诚管理咨询有限公司</w:t>
      </w:r>
      <w:r>
        <w:rPr>
          <w:color w:val="auto"/>
          <w:sz w:val="21"/>
          <w:szCs w:val="21"/>
          <w:highlight w:val="none"/>
        </w:rPr>
        <w:t>向供应商出具</w:t>
      </w:r>
      <w:r>
        <w:rPr>
          <w:rFonts w:hint="eastAsia"/>
          <w:color w:val="auto"/>
          <w:sz w:val="21"/>
          <w:szCs w:val="21"/>
          <w:highlight w:val="none"/>
        </w:rPr>
        <w:t>质疑补正通知书或无效质疑告知书</w:t>
      </w:r>
      <w:r>
        <w:rPr>
          <w:color w:val="auto"/>
          <w:sz w:val="21"/>
          <w:szCs w:val="21"/>
          <w:highlight w:val="none"/>
        </w:rPr>
        <w:t>。</w:t>
      </w:r>
    </w:p>
    <w:p w14:paraId="70BDB233">
      <w:pPr>
        <w:pStyle w:val="356"/>
        <w:keepNext w:val="0"/>
        <w:keepLines w:val="0"/>
        <w:pageBreakBefore w:val="0"/>
        <w:widowControl w:val="0"/>
        <w:kinsoku/>
        <w:wordWrap/>
        <w:overflowPunct/>
        <w:topLinePunct w:val="0"/>
        <w:autoSpaceDE/>
        <w:autoSpaceDN/>
        <w:bidi w:val="0"/>
        <w:ind w:firstLine="420"/>
        <w:rPr>
          <w:color w:val="auto"/>
          <w:sz w:val="21"/>
          <w:szCs w:val="21"/>
          <w:highlight w:val="none"/>
        </w:rPr>
      </w:pPr>
      <w:r>
        <w:rPr>
          <w:rFonts w:hint="eastAsia"/>
          <w:color w:val="auto"/>
          <w:sz w:val="21"/>
          <w:szCs w:val="21"/>
          <w:highlight w:val="none"/>
          <w:lang w:eastAsia="zh-CN"/>
        </w:rPr>
        <w:t>（</w:t>
      </w:r>
      <w:r>
        <w:rPr>
          <w:rFonts w:hint="eastAsia"/>
          <w:color w:val="auto"/>
          <w:sz w:val="21"/>
          <w:szCs w:val="21"/>
          <w:highlight w:val="none"/>
          <w:lang w:val="en-US" w:eastAsia="zh-CN"/>
        </w:rPr>
        <w:t>2</w:t>
      </w:r>
      <w:r>
        <w:rPr>
          <w:rFonts w:hint="eastAsia"/>
          <w:color w:val="auto"/>
          <w:sz w:val="21"/>
          <w:szCs w:val="21"/>
          <w:highlight w:val="none"/>
          <w:lang w:eastAsia="zh-CN"/>
        </w:rPr>
        <w:t>）</w:t>
      </w:r>
      <w:r>
        <w:rPr>
          <w:color w:val="auto"/>
          <w:sz w:val="21"/>
          <w:szCs w:val="21"/>
          <w:highlight w:val="none"/>
        </w:rPr>
        <w:t>递交</w:t>
      </w:r>
      <w:r>
        <w:rPr>
          <w:rFonts w:hint="eastAsia"/>
          <w:color w:val="auto"/>
          <w:sz w:val="21"/>
          <w:szCs w:val="21"/>
          <w:highlight w:val="none"/>
          <w:lang w:val="en-US" w:eastAsia="zh-CN"/>
        </w:rPr>
        <w:t>纸质</w:t>
      </w:r>
      <w:r>
        <w:rPr>
          <w:color w:val="auto"/>
          <w:sz w:val="21"/>
          <w:szCs w:val="21"/>
          <w:highlight w:val="none"/>
        </w:rPr>
        <w:t>质疑函后，质疑人</w:t>
      </w:r>
      <w:r>
        <w:rPr>
          <w:rFonts w:hint="eastAsia"/>
          <w:color w:val="auto"/>
          <w:sz w:val="21"/>
          <w:szCs w:val="21"/>
          <w:highlight w:val="none"/>
          <w:lang w:val="en-US" w:eastAsia="zh-CN"/>
        </w:rPr>
        <w:t>需要</w:t>
      </w:r>
      <w:r>
        <w:rPr>
          <w:color w:val="auto"/>
          <w:sz w:val="21"/>
          <w:szCs w:val="21"/>
          <w:highlight w:val="none"/>
        </w:rPr>
        <w:t>通过</w:t>
      </w:r>
      <w:r>
        <w:rPr>
          <w:rFonts w:hint="eastAsia"/>
          <w:color w:val="auto"/>
          <w:sz w:val="21"/>
          <w:szCs w:val="21"/>
          <w:highlight w:val="none"/>
          <w:lang w:eastAsia="zh-CN"/>
        </w:rPr>
        <w:t>“</w:t>
      </w:r>
      <w:r>
        <w:rPr>
          <w:color w:val="auto"/>
          <w:sz w:val="21"/>
          <w:szCs w:val="21"/>
          <w:highlight w:val="none"/>
        </w:rPr>
        <w:t>电子邮件</w:t>
      </w:r>
      <w:r>
        <w:rPr>
          <w:rFonts w:hint="eastAsia"/>
          <w:color w:val="auto"/>
          <w:sz w:val="21"/>
          <w:szCs w:val="21"/>
          <w:highlight w:val="none"/>
          <w:lang w:eastAsia="zh-CN"/>
        </w:rPr>
        <w:t>”</w:t>
      </w:r>
      <w:r>
        <w:rPr>
          <w:rFonts w:hint="eastAsia"/>
          <w:color w:val="auto"/>
          <w:sz w:val="21"/>
          <w:szCs w:val="21"/>
          <w:highlight w:val="none"/>
          <w:lang w:val="en-US" w:eastAsia="zh-CN"/>
        </w:rPr>
        <w:t>等方式</w:t>
      </w:r>
      <w:r>
        <w:rPr>
          <w:color w:val="auto"/>
          <w:sz w:val="21"/>
          <w:szCs w:val="21"/>
          <w:highlight w:val="none"/>
        </w:rPr>
        <w:t>将</w:t>
      </w:r>
      <w:r>
        <w:rPr>
          <w:rFonts w:hint="eastAsia"/>
          <w:color w:val="auto"/>
          <w:sz w:val="21"/>
          <w:szCs w:val="21"/>
          <w:highlight w:val="none"/>
          <w:lang w:eastAsia="zh-CN"/>
        </w:rPr>
        <w:t>“</w:t>
      </w:r>
      <w:r>
        <w:rPr>
          <w:rFonts w:hint="eastAsia"/>
          <w:color w:val="auto"/>
          <w:sz w:val="21"/>
          <w:szCs w:val="21"/>
          <w:highlight w:val="none"/>
        </w:rPr>
        <w:t>签字盖章版</w:t>
      </w:r>
      <w:r>
        <w:rPr>
          <w:rFonts w:hint="eastAsia"/>
          <w:color w:val="auto"/>
          <w:sz w:val="21"/>
          <w:szCs w:val="21"/>
          <w:highlight w:val="none"/>
          <w:lang w:val="en-US" w:eastAsia="zh-CN"/>
        </w:rPr>
        <w:t>和</w:t>
      </w:r>
      <w:r>
        <w:rPr>
          <w:rFonts w:hint="eastAsia"/>
          <w:color w:val="auto"/>
          <w:sz w:val="21"/>
          <w:szCs w:val="21"/>
          <w:highlight w:val="none"/>
        </w:rPr>
        <w:t>WORD可编辑版的质疑函</w:t>
      </w:r>
      <w:r>
        <w:rPr>
          <w:rFonts w:hint="eastAsia"/>
          <w:color w:val="auto"/>
          <w:sz w:val="21"/>
          <w:szCs w:val="21"/>
          <w:highlight w:val="none"/>
          <w:lang w:val="en-US" w:eastAsia="zh-CN"/>
        </w:rPr>
        <w:t>以及快递单号（如有）</w:t>
      </w:r>
      <w:r>
        <w:rPr>
          <w:rFonts w:hint="eastAsia"/>
          <w:color w:val="auto"/>
          <w:sz w:val="21"/>
          <w:szCs w:val="21"/>
          <w:highlight w:val="none"/>
          <w:lang w:eastAsia="zh-CN"/>
        </w:rPr>
        <w:t>”</w:t>
      </w:r>
      <w:r>
        <w:rPr>
          <w:color w:val="auto"/>
          <w:sz w:val="21"/>
          <w:szCs w:val="21"/>
          <w:highlight w:val="none"/>
        </w:rPr>
        <w:t>发送至采购代理机构电子邮箱</w:t>
      </w:r>
      <w:r>
        <w:rPr>
          <w:rFonts w:hint="eastAsia"/>
          <w:color w:val="auto"/>
          <w:sz w:val="21"/>
          <w:szCs w:val="21"/>
          <w:highlight w:val="none"/>
        </w:rPr>
        <w:t>，并且在工作日时间（</w:t>
      </w:r>
      <w:r>
        <w:rPr>
          <w:color w:val="auto"/>
          <w:sz w:val="21"/>
          <w:szCs w:val="21"/>
          <w:highlight w:val="none"/>
        </w:rPr>
        <w:t>8:30-12:00和14:00-17:30）电话告知采购代理机构</w:t>
      </w:r>
      <w:r>
        <w:rPr>
          <w:rFonts w:hint="eastAsia"/>
          <w:color w:val="auto"/>
          <w:sz w:val="21"/>
          <w:szCs w:val="21"/>
          <w:highlight w:val="none"/>
        </w:rPr>
        <w:t>查收</w:t>
      </w:r>
      <w:r>
        <w:rPr>
          <w:color w:val="auto"/>
          <w:sz w:val="21"/>
          <w:szCs w:val="21"/>
          <w:highlight w:val="none"/>
        </w:rPr>
        <w:t>。</w:t>
      </w:r>
    </w:p>
    <w:p w14:paraId="2CF52AD1">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rPr>
      </w:pPr>
      <w:r>
        <w:rPr>
          <w:rFonts w:hint="eastAsia"/>
          <w:color w:val="auto"/>
          <w:sz w:val="21"/>
          <w:szCs w:val="21"/>
          <w:highlight w:val="none"/>
          <w:lang w:val="en-US" w:eastAsia="zh-CN"/>
        </w:rPr>
        <w:t>（3）质疑答复结果将通过“现场领取”或“邮寄”</w:t>
      </w:r>
      <w:r>
        <w:rPr>
          <w:rFonts w:hint="eastAsia"/>
          <w:color w:val="auto"/>
          <w:sz w:val="21"/>
          <w:szCs w:val="21"/>
          <w:highlight w:val="none"/>
        </w:rPr>
        <w:t>或</w:t>
      </w:r>
      <w:r>
        <w:rPr>
          <w:rFonts w:hint="eastAsia"/>
          <w:color w:val="auto"/>
          <w:sz w:val="21"/>
          <w:szCs w:val="21"/>
          <w:highlight w:val="none"/>
          <w:lang w:val="en-US" w:eastAsia="zh-CN"/>
        </w:rPr>
        <w:t>“</w:t>
      </w:r>
      <w:r>
        <w:rPr>
          <w:rFonts w:hint="eastAsia"/>
          <w:color w:val="auto"/>
          <w:sz w:val="21"/>
          <w:szCs w:val="21"/>
          <w:highlight w:val="none"/>
        </w:rPr>
        <w:t>快递</w:t>
      </w:r>
      <w:r>
        <w:rPr>
          <w:rFonts w:hint="default"/>
          <w:color w:val="auto"/>
          <w:sz w:val="21"/>
          <w:szCs w:val="21"/>
          <w:highlight w:val="none"/>
          <w:lang w:val="en-US" w:eastAsia="zh-CN"/>
        </w:rPr>
        <w:t>”</w:t>
      </w:r>
      <w:r>
        <w:rPr>
          <w:rFonts w:hint="eastAsia"/>
          <w:color w:val="auto"/>
          <w:sz w:val="21"/>
          <w:szCs w:val="21"/>
          <w:highlight w:val="none"/>
          <w:lang w:val="en-US" w:eastAsia="zh-CN"/>
        </w:rPr>
        <w:t>或“电子邮件</w:t>
      </w:r>
      <w:r>
        <w:rPr>
          <w:rFonts w:hint="default"/>
          <w:color w:val="auto"/>
          <w:sz w:val="21"/>
          <w:szCs w:val="21"/>
          <w:highlight w:val="none"/>
          <w:lang w:val="en-US" w:eastAsia="zh-CN"/>
        </w:rPr>
        <w:t>”</w:t>
      </w:r>
      <w:r>
        <w:rPr>
          <w:rFonts w:hint="eastAsia"/>
          <w:color w:val="auto"/>
          <w:sz w:val="21"/>
          <w:szCs w:val="21"/>
          <w:highlight w:val="none"/>
          <w:lang w:val="en-US" w:eastAsia="zh-CN"/>
        </w:rPr>
        <w:t>等书面形式送达至质疑人，请质疑人及时查收质疑答复结果。</w:t>
      </w:r>
    </w:p>
    <w:p w14:paraId="755A4B9C">
      <w:pPr>
        <w:pStyle w:val="127"/>
        <w:keepNext w:val="0"/>
        <w:keepLines w:val="0"/>
        <w:pageBreakBefore w:val="0"/>
        <w:widowControl w:val="0"/>
        <w:numPr>
          <w:ilvl w:val="0"/>
          <w:numId w:val="11"/>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投诉</w:t>
      </w:r>
    </w:p>
    <w:p w14:paraId="6BAF8EF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质疑人对采购人或采购代理机构的质疑答复不满意或在规定时间内未得到答复的，可以在答复期满后15个工作日内，向本项目监督管理部门提起投诉。</w:t>
      </w:r>
    </w:p>
    <w:p w14:paraId="476F182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p>
    <w:p w14:paraId="383A75FC">
      <w:pPr>
        <w:pStyle w:val="3"/>
        <w:keepNext w:val="0"/>
        <w:keepLines w:val="0"/>
        <w:pageBreakBefore w:val="0"/>
        <w:widowControl w:val="0"/>
        <w:numPr>
          <w:ilvl w:val="0"/>
          <w:numId w:val="6"/>
        </w:numPr>
        <w:kinsoku/>
        <w:wordWrap/>
        <w:overflowPunct/>
        <w:topLinePunct w:val="0"/>
        <w:autoSpaceDE/>
        <w:autoSpaceDN/>
        <w:bidi w:val="0"/>
        <w:spacing w:before="120" w:after="120" w:line="360" w:lineRule="auto"/>
        <w:ind w:left="0" w:firstLine="0"/>
        <w:jc w:val="left"/>
        <w:rPr>
          <w:rFonts w:hint="eastAsia" w:ascii="宋体" w:hAnsi="宋体" w:eastAsia="宋体"/>
          <w:color w:val="auto"/>
          <w:sz w:val="21"/>
          <w:szCs w:val="21"/>
          <w:highlight w:val="none"/>
        </w:rPr>
      </w:pPr>
      <w:bookmarkStart w:id="82" w:name="_Toc21784"/>
      <w:bookmarkStart w:id="83" w:name="_Toc104040749"/>
      <w:bookmarkStart w:id="84" w:name="_Toc104040695"/>
      <w:r>
        <w:rPr>
          <w:rFonts w:hint="eastAsia" w:ascii="宋体" w:hAnsi="宋体" w:eastAsia="宋体"/>
          <w:color w:val="auto"/>
          <w:sz w:val="21"/>
          <w:szCs w:val="21"/>
          <w:highlight w:val="none"/>
        </w:rPr>
        <w:t>合同签订和履行</w:t>
      </w:r>
      <w:bookmarkEnd w:id="82"/>
      <w:bookmarkEnd w:id="83"/>
      <w:bookmarkEnd w:id="84"/>
    </w:p>
    <w:p w14:paraId="35CD23A2">
      <w:pPr>
        <w:pStyle w:val="127"/>
        <w:keepNext w:val="0"/>
        <w:keepLines w:val="0"/>
        <w:pageBreakBefore w:val="0"/>
        <w:widowControl w:val="0"/>
        <w:numPr>
          <w:ilvl w:val="0"/>
          <w:numId w:val="12"/>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合同签订</w:t>
      </w:r>
    </w:p>
    <w:p w14:paraId="29BF8D2F">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1.1采购人应当自《成交通知书》发出之日起三十日内，按照磋商文件和成交供应商响应文件的约定，与成交供应商签订合同。所签订的合同不得对磋商文件和成交供应商响应文件作实质性修改。</w:t>
      </w:r>
    </w:p>
    <w:p w14:paraId="3498026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1.2采购人不得提出试用合格等任何不合理的要求作为签订合同的条件，且不得与成交供应商私下订立背离合同实质性内容的协议。</w:t>
      </w:r>
    </w:p>
    <w:p w14:paraId="49E15880">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bookmarkStart w:id="85" w:name="_Hlk175747511"/>
      <w:r>
        <w:rPr>
          <w:rFonts w:hint="eastAsia"/>
          <w:color w:val="auto"/>
          <w:sz w:val="21"/>
          <w:szCs w:val="21"/>
          <w:highlight w:val="none"/>
          <w:lang w:eastAsia="zh-CN"/>
        </w:rPr>
        <w:t>1.3合同条款中应规定，</w:t>
      </w:r>
      <w:bookmarkStart w:id="86" w:name="_Hlk175737978"/>
      <w:r>
        <w:rPr>
          <w:rFonts w:hint="eastAsia"/>
          <w:color w:val="auto"/>
          <w:sz w:val="21"/>
          <w:szCs w:val="21"/>
          <w:highlight w:val="none"/>
          <w:lang w:eastAsia="zh-CN"/>
        </w:rPr>
        <w:t>乙方完全遵守《中华人民共和国劳动合同法》有关规定和《中华人民共和国妇女权益保障法》中关于“劳动和社会保障权益”的有关要求。</w:t>
      </w:r>
      <w:bookmarkEnd w:id="86"/>
    </w:p>
    <w:p w14:paraId="650D1218">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w:t>
      </w:r>
      <w:r>
        <w:rPr>
          <w:rFonts w:hint="eastAsia"/>
          <w:color w:val="auto"/>
          <w:sz w:val="21"/>
          <w:szCs w:val="21"/>
          <w:highlight w:val="none"/>
          <w:lang w:eastAsia="zh-CN"/>
        </w:rPr>
        <w:t>4成交人拒绝签订政府采购合同（包括但不限于放弃成交、因不可抗力不能履行合同而放弃签订合同），采购人可以按照评审报告推荐的成交候选人名单排序，确定下一候选人为成交供应商，也可以重新开展采购活动。</w:t>
      </w:r>
    </w:p>
    <w:p w14:paraId="417C1CA1">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w:t>
      </w:r>
      <w:r>
        <w:rPr>
          <w:rFonts w:hint="eastAsia"/>
          <w:color w:val="auto"/>
          <w:sz w:val="21"/>
          <w:szCs w:val="21"/>
          <w:highlight w:val="none"/>
          <w:lang w:eastAsia="zh-CN"/>
        </w:rPr>
        <w:t>5签订合同后，成交人不得将货物及其他相关服务进行转包。未经采购人同意，成交人也不得采用分包的形式履行合同，否则采购人有权终止合同，成交人的履约保证金（如有）将不予退还。转包或分包造成采购人损失的，成交人应承担相应赔偿责任。</w:t>
      </w:r>
    </w:p>
    <w:bookmarkEnd w:id="85"/>
    <w:p w14:paraId="46A17B24">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bookmarkStart w:id="87" w:name="_Hlk112008176"/>
      <w:r>
        <w:rPr>
          <w:rFonts w:hint="eastAsia"/>
          <w:color w:val="auto"/>
          <w:szCs w:val="20"/>
          <w:highlight w:val="none"/>
        </w:rPr>
        <w:t>1.6采购人应当自政府采购合同签订之日起2个工作日内，将政府采购合同在省级以上人民政府财政部门指定的媒体上公告，但政府采购合同中涉及国家秘密、商业秘密的内容除外。</w:t>
      </w:r>
    </w:p>
    <w:bookmarkEnd w:id="87"/>
    <w:p w14:paraId="64D2161B">
      <w:pPr>
        <w:pStyle w:val="127"/>
        <w:keepNext w:val="0"/>
        <w:keepLines w:val="0"/>
        <w:pageBreakBefore w:val="0"/>
        <w:widowControl w:val="0"/>
        <w:numPr>
          <w:ilvl w:val="0"/>
          <w:numId w:val="12"/>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合同的履行</w:t>
      </w:r>
    </w:p>
    <w:p w14:paraId="45B430F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2.1政府采购合同订立后，合同各方不得擅自变更、中止或者终止合同。政府采购合同需要变更的，采购人应将有关合同变更内容，以书面形式报政府采购监督管理机关备案；因特殊情况需要中止或终止合同的，采购人应将中止或终止合同的理由以及相应措施，以书面形式报政府采购监督管理机关备案。</w:t>
      </w:r>
    </w:p>
    <w:p w14:paraId="3E2D970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.2</w:t>
      </w:r>
      <w:r>
        <w:rPr>
          <w:rFonts w:hint="eastAsia"/>
          <w:color w:val="auto"/>
          <w:szCs w:val="20"/>
          <w:highlight w:val="none"/>
        </w:rPr>
        <w:t>政府采购合同履行中，采购人需追加与合同标的相同的货物、工程或者服务的，在不改变合同其他条款的前提下，可以与成交供应商签订补充合同，但所补充合同的采购金额不得超过原采购金额的10%。</w:t>
      </w:r>
    </w:p>
    <w:p w14:paraId="5F7A3BCA">
      <w:pPr>
        <w:pStyle w:val="127"/>
        <w:keepNext w:val="0"/>
        <w:keepLines w:val="0"/>
        <w:pageBreakBefore w:val="0"/>
        <w:widowControl w:val="0"/>
        <w:numPr>
          <w:ilvl w:val="0"/>
          <w:numId w:val="12"/>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r>
        <w:rPr>
          <w:rFonts w:hint="eastAsia" w:ascii="宋体" w:hAnsi="宋体"/>
          <w:b/>
          <w:bCs/>
          <w:color w:val="auto"/>
          <w:highlight w:val="none"/>
          <w:lang w:eastAsia="zh-CN"/>
        </w:rPr>
        <w:t>履约保证金不予退还情形</w:t>
      </w:r>
    </w:p>
    <w:p w14:paraId="6F54A812">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3</w:t>
      </w:r>
      <w:r>
        <w:rPr>
          <w:color w:val="auto"/>
          <w:sz w:val="21"/>
          <w:szCs w:val="21"/>
          <w:highlight w:val="none"/>
          <w:lang w:eastAsia="zh-CN"/>
        </w:rPr>
        <w:t>.1</w:t>
      </w:r>
      <w:r>
        <w:rPr>
          <w:rFonts w:hint="eastAsia"/>
          <w:color w:val="auto"/>
          <w:sz w:val="21"/>
          <w:szCs w:val="21"/>
          <w:highlight w:val="none"/>
          <w:lang w:eastAsia="zh-CN"/>
        </w:rPr>
        <w:t>成交人不履行与采购人订立合同的，履约保证金不予退还，给采购人造成的损失超过履约保证金数额的，还应当对超过部分予以赔偿；</w:t>
      </w:r>
    </w:p>
    <w:p w14:paraId="1DC0A5C4">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3</w:t>
      </w:r>
      <w:r>
        <w:rPr>
          <w:color w:val="auto"/>
          <w:sz w:val="21"/>
          <w:szCs w:val="21"/>
          <w:highlight w:val="none"/>
          <w:lang w:eastAsia="zh-CN"/>
        </w:rPr>
        <w:t>.2</w:t>
      </w:r>
      <w:r>
        <w:rPr>
          <w:rFonts w:hint="eastAsia"/>
          <w:color w:val="auto"/>
          <w:sz w:val="21"/>
          <w:szCs w:val="21"/>
          <w:highlight w:val="none"/>
          <w:lang w:eastAsia="zh-CN"/>
        </w:rPr>
        <w:t>项目验收结果不合格的，履约保证金将不予退还；</w:t>
      </w:r>
    </w:p>
    <w:p w14:paraId="02A400FC">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3</w:t>
      </w:r>
      <w:r>
        <w:rPr>
          <w:color w:val="auto"/>
          <w:sz w:val="21"/>
          <w:szCs w:val="21"/>
          <w:highlight w:val="none"/>
          <w:lang w:eastAsia="zh-CN"/>
        </w:rPr>
        <w:t>.3</w:t>
      </w:r>
      <w:r>
        <w:rPr>
          <w:rFonts w:hint="eastAsia"/>
          <w:color w:val="auto"/>
          <w:sz w:val="21"/>
          <w:szCs w:val="21"/>
          <w:highlight w:val="none"/>
          <w:lang w:eastAsia="zh-CN"/>
        </w:rPr>
        <w:t>其他违反国家相关法律法规的情形。</w:t>
      </w:r>
    </w:p>
    <w:p w14:paraId="4973B1B7">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p>
    <w:bookmarkEnd w:id="6"/>
    <w:p w14:paraId="5EA65F58">
      <w:pPr>
        <w:keepNext w:val="0"/>
        <w:keepLines w:val="0"/>
        <w:pageBreakBefore w:val="0"/>
        <w:widowControl w:val="0"/>
        <w:kinsoku/>
        <w:wordWrap/>
        <w:overflowPunct/>
        <w:topLinePunct w:val="0"/>
        <w:autoSpaceDE/>
        <w:autoSpaceDN/>
        <w:bidi w:val="0"/>
        <w:rPr>
          <w:rFonts w:hint="eastAsia"/>
          <w:b/>
          <w:bCs/>
          <w:color w:val="auto"/>
          <w:kern w:val="44"/>
          <w:sz w:val="36"/>
          <w:szCs w:val="36"/>
          <w:highlight w:val="none"/>
        </w:rPr>
      </w:pPr>
      <w:bookmarkStart w:id="88" w:name="_Toc102936912"/>
      <w:bookmarkStart w:id="89" w:name="_Toc50864444"/>
      <w:bookmarkStart w:id="90" w:name="_Toc35342046"/>
      <w:bookmarkStart w:id="91" w:name="_Toc103033213"/>
      <w:bookmarkStart w:id="92" w:name="_Toc67046845"/>
      <w:r>
        <w:rPr>
          <w:color w:val="auto"/>
          <w:sz w:val="36"/>
          <w:szCs w:val="36"/>
          <w:highlight w:val="none"/>
        </w:rPr>
        <w:br w:type="page"/>
      </w:r>
    </w:p>
    <w:p w14:paraId="56A2865F">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93" w:name="_Toc104040750"/>
      <w:bookmarkStart w:id="94" w:name="_Toc103216636"/>
      <w:bookmarkStart w:id="95" w:name="_Toc5018"/>
      <w:bookmarkStart w:id="96" w:name="_Toc104040696"/>
      <w:r>
        <w:rPr>
          <w:rFonts w:hint="eastAsia" w:eastAsia="宋体"/>
          <w:color w:val="auto"/>
          <w:sz w:val="24"/>
          <w:szCs w:val="24"/>
          <w:highlight w:val="none"/>
        </w:rPr>
        <w:t>第四章 评审</w:t>
      </w:r>
      <w:bookmarkEnd w:id="88"/>
      <w:bookmarkEnd w:id="89"/>
      <w:bookmarkEnd w:id="90"/>
      <w:bookmarkEnd w:id="91"/>
      <w:bookmarkEnd w:id="93"/>
      <w:bookmarkEnd w:id="94"/>
      <w:bookmarkEnd w:id="95"/>
      <w:bookmarkEnd w:id="96"/>
    </w:p>
    <w:p w14:paraId="62B13F49">
      <w:pPr>
        <w:pStyle w:val="3"/>
        <w:keepNext w:val="0"/>
        <w:keepLines w:val="0"/>
        <w:pageBreakBefore w:val="0"/>
        <w:widowControl w:val="0"/>
        <w:numPr>
          <w:ilvl w:val="0"/>
          <w:numId w:val="13"/>
        </w:numPr>
        <w:kinsoku/>
        <w:wordWrap/>
        <w:overflowPunct/>
        <w:topLinePunct w:val="0"/>
        <w:autoSpaceDE/>
        <w:autoSpaceDN/>
        <w:bidi w:val="0"/>
        <w:spacing w:before="120" w:after="120" w:line="360" w:lineRule="auto"/>
        <w:jc w:val="left"/>
        <w:rPr>
          <w:rFonts w:hint="eastAsia" w:ascii="宋体" w:hAnsi="宋体" w:eastAsia="宋体"/>
          <w:color w:val="auto"/>
          <w:sz w:val="21"/>
          <w:szCs w:val="21"/>
          <w:highlight w:val="none"/>
        </w:rPr>
      </w:pPr>
      <w:bookmarkStart w:id="97" w:name="_Toc13793"/>
      <w:bookmarkStart w:id="98" w:name="_Toc104040751"/>
      <w:bookmarkStart w:id="99" w:name="_Toc104040697"/>
      <w:r>
        <w:rPr>
          <w:rFonts w:hint="eastAsia" w:ascii="宋体" w:hAnsi="宋体" w:eastAsia="宋体"/>
          <w:color w:val="auto"/>
          <w:sz w:val="21"/>
          <w:szCs w:val="21"/>
          <w:highlight w:val="none"/>
        </w:rPr>
        <w:t>评审要求</w:t>
      </w:r>
      <w:bookmarkEnd w:id="97"/>
      <w:bookmarkEnd w:id="98"/>
      <w:bookmarkEnd w:id="99"/>
    </w:p>
    <w:p w14:paraId="44D5B48D">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评审方法</w:t>
      </w:r>
    </w:p>
    <w:p w14:paraId="557C67AD">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综合评分法,是指响应文件满足磋商文件全部实质性要求，且按照评审因素的量化指标评审得分最高的供应商为成交候选人的评标方法。（最低报价不是成交的唯一依据。）</w:t>
      </w:r>
    </w:p>
    <w:p w14:paraId="20A24B9D">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评审原则</w:t>
      </w:r>
    </w:p>
    <w:p w14:paraId="5A088761">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2.1评审活动遵循公平、公正、科学和择优的原则，以磋商文件和响应文件为评审的基本依据，并按照磋商文件规定的评审方法和评审标准进行评审。</w:t>
      </w:r>
    </w:p>
    <w:p w14:paraId="41579E3B">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2</w:t>
      </w:r>
      <w:r>
        <w:rPr>
          <w:bCs/>
          <w:color w:val="auto"/>
          <w:szCs w:val="21"/>
          <w:highlight w:val="none"/>
        </w:rPr>
        <w:t>.2</w:t>
      </w:r>
      <w:r>
        <w:rPr>
          <w:rFonts w:hint="eastAsia"/>
          <w:bCs/>
          <w:color w:val="auto"/>
          <w:szCs w:val="21"/>
          <w:highlight w:val="none"/>
        </w:rPr>
        <w:t>具体评审事项由磋商小组负责，并按磋商文件的规定办法进行评审。对磋商文件中描述有歧义或前后不一致的地方，磋商小组有权按法律法规的规定进行评判，但对同一条款的评判应适用于每个响应供应商。</w:t>
      </w:r>
    </w:p>
    <w:p w14:paraId="595E1A32">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磋商小组</w:t>
      </w:r>
    </w:p>
    <w:p w14:paraId="2AA3F609">
      <w:pPr>
        <w:keepNext w:val="0"/>
        <w:keepLines w:val="0"/>
        <w:pageBreakBefore w:val="0"/>
        <w:widowControl w:val="0"/>
        <w:kinsoku/>
        <w:wordWrap/>
        <w:overflowPunct/>
        <w:topLinePunct w:val="0"/>
        <w:autoSpaceDE/>
        <w:autoSpaceDN/>
        <w:bidi w:val="0"/>
        <w:ind w:firstLine="420" w:firstLineChars="200"/>
        <w:jc w:val="left"/>
        <w:rPr>
          <w:rFonts w:hint="eastAsia"/>
          <w:bCs/>
          <w:color w:val="auto"/>
          <w:kern w:val="1"/>
          <w:szCs w:val="21"/>
          <w:highlight w:val="none"/>
        </w:rPr>
      </w:pPr>
      <w:r>
        <w:rPr>
          <w:rFonts w:hint="eastAsia"/>
          <w:bCs/>
          <w:color w:val="auto"/>
          <w:kern w:val="1"/>
          <w:szCs w:val="21"/>
          <w:highlight w:val="none"/>
        </w:rPr>
        <w:t>3.1磋商小组由采购人代表和评审专家组成，成员人数应当为3人及以上单数，其中技术、经济等方面的评审专家不得少于成员总数的三分之二。</w:t>
      </w:r>
    </w:p>
    <w:p w14:paraId="6F2276E2">
      <w:pPr>
        <w:keepNext w:val="0"/>
        <w:keepLines w:val="0"/>
        <w:pageBreakBefore w:val="0"/>
        <w:widowControl w:val="0"/>
        <w:kinsoku/>
        <w:wordWrap/>
        <w:overflowPunct/>
        <w:topLinePunct w:val="0"/>
        <w:autoSpaceDE/>
        <w:autoSpaceDN/>
        <w:bidi w:val="0"/>
        <w:ind w:firstLine="420" w:firstLineChars="200"/>
        <w:jc w:val="left"/>
        <w:rPr>
          <w:rFonts w:hint="eastAsia"/>
          <w:bCs/>
          <w:color w:val="auto"/>
          <w:kern w:val="1"/>
          <w:szCs w:val="21"/>
          <w:highlight w:val="none"/>
        </w:rPr>
      </w:pPr>
      <w:r>
        <w:rPr>
          <w:rFonts w:hint="eastAsia"/>
          <w:bCs/>
          <w:color w:val="auto"/>
          <w:kern w:val="1"/>
          <w:szCs w:val="21"/>
          <w:highlight w:val="none"/>
        </w:rPr>
        <w:t>3.2评审应遵守下列评审纪律：</w:t>
      </w:r>
    </w:p>
    <w:p w14:paraId="18379E1C">
      <w:pPr>
        <w:keepNext w:val="0"/>
        <w:keepLines w:val="0"/>
        <w:pageBreakBefore w:val="0"/>
        <w:widowControl w:val="0"/>
        <w:kinsoku/>
        <w:wordWrap/>
        <w:overflowPunct/>
        <w:topLinePunct w:val="0"/>
        <w:autoSpaceDE/>
        <w:autoSpaceDN/>
        <w:bidi w:val="0"/>
        <w:ind w:firstLine="420" w:firstLineChars="200"/>
        <w:jc w:val="left"/>
        <w:rPr>
          <w:rFonts w:hint="eastAsia"/>
          <w:bCs/>
          <w:color w:val="auto"/>
          <w:kern w:val="1"/>
          <w:szCs w:val="21"/>
          <w:highlight w:val="none"/>
        </w:rPr>
      </w:pPr>
      <w:r>
        <w:rPr>
          <w:rFonts w:hint="eastAsia"/>
          <w:bCs/>
          <w:color w:val="auto"/>
          <w:kern w:val="1"/>
          <w:szCs w:val="21"/>
          <w:highlight w:val="none"/>
        </w:rPr>
        <w:t>（1）评审情况不得私自外泄，有关信息由公诚管理咨询有限公司统一对外发布。</w:t>
      </w:r>
    </w:p>
    <w:p w14:paraId="28B96221">
      <w:pPr>
        <w:keepNext w:val="0"/>
        <w:keepLines w:val="0"/>
        <w:pageBreakBefore w:val="0"/>
        <w:widowControl w:val="0"/>
        <w:kinsoku/>
        <w:wordWrap/>
        <w:overflowPunct/>
        <w:topLinePunct w:val="0"/>
        <w:autoSpaceDE/>
        <w:autoSpaceDN/>
        <w:bidi w:val="0"/>
        <w:ind w:firstLine="420" w:firstLineChars="200"/>
        <w:jc w:val="left"/>
        <w:rPr>
          <w:rFonts w:hint="eastAsia"/>
          <w:bCs/>
          <w:color w:val="auto"/>
          <w:kern w:val="1"/>
          <w:szCs w:val="21"/>
          <w:highlight w:val="none"/>
        </w:rPr>
      </w:pPr>
      <w:r>
        <w:rPr>
          <w:rFonts w:hint="eastAsia"/>
          <w:bCs/>
          <w:color w:val="auto"/>
          <w:kern w:val="1"/>
          <w:szCs w:val="21"/>
          <w:highlight w:val="none"/>
        </w:rPr>
        <w:t>（2）对公诚管理咨询有限公司或供应商提供的要求保密的资料，不得摘记翻印和外传。</w:t>
      </w:r>
    </w:p>
    <w:p w14:paraId="6AF64A2D">
      <w:pPr>
        <w:keepNext w:val="0"/>
        <w:keepLines w:val="0"/>
        <w:pageBreakBefore w:val="0"/>
        <w:widowControl w:val="0"/>
        <w:kinsoku/>
        <w:wordWrap/>
        <w:overflowPunct/>
        <w:topLinePunct w:val="0"/>
        <w:autoSpaceDE/>
        <w:autoSpaceDN/>
        <w:bidi w:val="0"/>
        <w:ind w:firstLine="420" w:firstLineChars="200"/>
        <w:jc w:val="left"/>
        <w:rPr>
          <w:rFonts w:hint="eastAsia"/>
          <w:bCs/>
          <w:color w:val="auto"/>
          <w:kern w:val="1"/>
          <w:szCs w:val="21"/>
          <w:highlight w:val="none"/>
        </w:rPr>
      </w:pPr>
      <w:r>
        <w:rPr>
          <w:rFonts w:hint="eastAsia"/>
          <w:bCs/>
          <w:color w:val="auto"/>
          <w:kern w:val="1"/>
          <w:szCs w:val="21"/>
          <w:highlight w:val="none"/>
        </w:rPr>
        <w:t>（3）不得收受响应供应商或有关人员的任何礼物，不得串联鼓动其他人袒护某供应商。若与供应商存在利害关系，则应主动声明并回避。</w:t>
      </w:r>
    </w:p>
    <w:p w14:paraId="0588976A">
      <w:pPr>
        <w:keepNext w:val="0"/>
        <w:keepLines w:val="0"/>
        <w:pageBreakBefore w:val="0"/>
        <w:widowControl w:val="0"/>
        <w:kinsoku/>
        <w:wordWrap/>
        <w:overflowPunct/>
        <w:topLinePunct w:val="0"/>
        <w:autoSpaceDE/>
        <w:autoSpaceDN/>
        <w:bidi w:val="0"/>
        <w:ind w:firstLine="420" w:firstLineChars="200"/>
        <w:jc w:val="left"/>
        <w:rPr>
          <w:rFonts w:hint="eastAsia"/>
          <w:bCs/>
          <w:color w:val="auto"/>
          <w:kern w:val="1"/>
          <w:szCs w:val="21"/>
          <w:highlight w:val="none"/>
        </w:rPr>
      </w:pPr>
      <w:r>
        <w:rPr>
          <w:rFonts w:hint="eastAsia"/>
          <w:bCs/>
          <w:color w:val="auto"/>
          <w:kern w:val="1"/>
          <w:szCs w:val="21"/>
          <w:highlight w:val="none"/>
        </w:rPr>
        <w:t>（4）全体评委应按照磋商文件规定进行评审，一切认定事项应查有实据且不得弄虚作假。</w:t>
      </w:r>
    </w:p>
    <w:p w14:paraId="080459CF">
      <w:pPr>
        <w:keepNext w:val="0"/>
        <w:keepLines w:val="0"/>
        <w:pageBreakBefore w:val="0"/>
        <w:widowControl w:val="0"/>
        <w:kinsoku/>
        <w:wordWrap/>
        <w:overflowPunct/>
        <w:topLinePunct w:val="0"/>
        <w:autoSpaceDE/>
        <w:autoSpaceDN/>
        <w:bidi w:val="0"/>
        <w:ind w:firstLine="420" w:firstLineChars="200"/>
        <w:jc w:val="left"/>
        <w:rPr>
          <w:rFonts w:hint="eastAsia"/>
          <w:bCs/>
          <w:color w:val="auto"/>
          <w:kern w:val="1"/>
          <w:szCs w:val="21"/>
          <w:highlight w:val="none"/>
        </w:rPr>
      </w:pPr>
      <w:r>
        <w:rPr>
          <w:rFonts w:hint="eastAsia"/>
          <w:bCs/>
          <w:color w:val="auto"/>
          <w:kern w:val="1"/>
          <w:szCs w:val="21"/>
          <w:highlight w:val="none"/>
        </w:rPr>
        <w:t>（5）磋商小组各成员应当独立对每个响应供应商的响应文件进行评价，并对评价意见承担个人责任。评审过程中，不得发表倾向性言论。</w:t>
      </w:r>
    </w:p>
    <w:p w14:paraId="53F850EE">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kern w:val="1"/>
          <w:szCs w:val="21"/>
          <w:highlight w:val="none"/>
        </w:rPr>
        <w:t>对违反评审纪律的评委，将取消其评委资格，对评审工作造成严重损失者将予以通报批评乃至追究法律责任</w:t>
      </w:r>
      <w:r>
        <w:rPr>
          <w:rFonts w:hint="eastAsia"/>
          <w:bCs/>
          <w:color w:val="auto"/>
          <w:szCs w:val="21"/>
          <w:highlight w:val="none"/>
        </w:rPr>
        <w:t>。</w:t>
      </w:r>
    </w:p>
    <w:p w14:paraId="2CBBAB45">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r>
        <w:rPr>
          <w:rFonts w:ascii="宋体" w:hAnsi="宋体"/>
          <w:b/>
          <w:bCs/>
          <w:color w:val="auto"/>
          <w:highlight w:val="none"/>
          <w:lang w:eastAsia="zh-CN"/>
        </w:rPr>
        <w:t>有下列情形之一的，属于恶意串通，对</w:t>
      </w:r>
      <w:r>
        <w:rPr>
          <w:rFonts w:hint="eastAsia" w:ascii="宋体" w:hAnsi="宋体"/>
          <w:b/>
          <w:bCs/>
          <w:color w:val="auto"/>
          <w:highlight w:val="none"/>
          <w:lang w:eastAsia="zh-CN"/>
        </w:rPr>
        <w:t>供应商依照</w:t>
      </w:r>
      <w:r>
        <w:rPr>
          <w:rFonts w:ascii="宋体" w:hAnsi="宋体"/>
          <w:b/>
          <w:bCs/>
          <w:color w:val="auto"/>
          <w:highlight w:val="none"/>
          <w:lang w:eastAsia="zh-CN"/>
        </w:rPr>
        <w:t>政府采购法第七十七条第一款的规定追究法律责任：</w:t>
      </w:r>
    </w:p>
    <w:p w14:paraId="36A650E1">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.1</w:t>
      </w:r>
      <w:r>
        <w:rPr>
          <w:rFonts w:hint="eastAsia"/>
          <w:color w:val="auto"/>
          <w:sz w:val="21"/>
          <w:szCs w:val="21"/>
          <w:highlight w:val="none"/>
          <w:lang w:eastAsia="zh-CN"/>
        </w:rPr>
        <w:t>供应商</w:t>
      </w:r>
      <w:r>
        <w:rPr>
          <w:color w:val="auto"/>
          <w:sz w:val="21"/>
          <w:szCs w:val="21"/>
          <w:highlight w:val="none"/>
          <w:lang w:eastAsia="zh-CN"/>
        </w:rPr>
        <w:t>直接或者间接从采购人或者采购代理机构处获得其他</w:t>
      </w:r>
      <w:r>
        <w:rPr>
          <w:rFonts w:hint="eastAsia"/>
          <w:color w:val="auto"/>
          <w:sz w:val="21"/>
          <w:szCs w:val="21"/>
          <w:highlight w:val="none"/>
          <w:lang w:eastAsia="zh-CN"/>
        </w:rPr>
        <w:t>供应商</w:t>
      </w:r>
      <w:r>
        <w:rPr>
          <w:color w:val="auto"/>
          <w:sz w:val="21"/>
          <w:szCs w:val="21"/>
          <w:highlight w:val="none"/>
          <w:lang w:eastAsia="zh-CN"/>
        </w:rPr>
        <w:t>的相关情况并修改其</w:t>
      </w:r>
      <w:r>
        <w:rPr>
          <w:rFonts w:hint="eastAsia"/>
          <w:color w:val="auto"/>
          <w:sz w:val="21"/>
          <w:szCs w:val="21"/>
          <w:highlight w:val="none"/>
          <w:lang w:eastAsia="zh-CN"/>
        </w:rPr>
        <w:t>响应</w:t>
      </w:r>
      <w:r>
        <w:rPr>
          <w:color w:val="auto"/>
          <w:sz w:val="21"/>
          <w:szCs w:val="21"/>
          <w:highlight w:val="none"/>
          <w:lang w:eastAsia="zh-CN"/>
        </w:rPr>
        <w:t>文件；</w:t>
      </w:r>
    </w:p>
    <w:p w14:paraId="2579A746">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.2</w:t>
      </w:r>
      <w:r>
        <w:rPr>
          <w:rFonts w:hint="eastAsia"/>
          <w:color w:val="auto"/>
          <w:sz w:val="21"/>
          <w:szCs w:val="21"/>
          <w:highlight w:val="none"/>
          <w:lang w:eastAsia="zh-CN"/>
        </w:rPr>
        <w:t>供应商</w:t>
      </w:r>
      <w:r>
        <w:rPr>
          <w:color w:val="auto"/>
          <w:sz w:val="21"/>
          <w:szCs w:val="21"/>
          <w:highlight w:val="none"/>
          <w:lang w:eastAsia="zh-CN"/>
        </w:rPr>
        <w:t>按照采购人或者采购代理机构的授意撤换、修改</w:t>
      </w:r>
      <w:r>
        <w:rPr>
          <w:rFonts w:hint="eastAsia"/>
          <w:color w:val="auto"/>
          <w:sz w:val="21"/>
          <w:szCs w:val="21"/>
          <w:highlight w:val="none"/>
          <w:lang w:eastAsia="zh-CN"/>
        </w:rPr>
        <w:t>响应</w:t>
      </w:r>
      <w:r>
        <w:rPr>
          <w:color w:val="auto"/>
          <w:sz w:val="21"/>
          <w:szCs w:val="21"/>
          <w:highlight w:val="none"/>
          <w:lang w:eastAsia="zh-CN"/>
        </w:rPr>
        <w:t>文件；</w:t>
      </w:r>
    </w:p>
    <w:p w14:paraId="4712F29C">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.3</w:t>
      </w:r>
      <w:r>
        <w:rPr>
          <w:rFonts w:hint="eastAsia"/>
          <w:color w:val="auto"/>
          <w:sz w:val="21"/>
          <w:szCs w:val="21"/>
          <w:highlight w:val="none"/>
          <w:lang w:eastAsia="zh-CN"/>
        </w:rPr>
        <w:t>供应商</w:t>
      </w:r>
      <w:r>
        <w:rPr>
          <w:color w:val="auto"/>
          <w:sz w:val="21"/>
          <w:szCs w:val="21"/>
          <w:highlight w:val="none"/>
          <w:lang w:eastAsia="zh-CN"/>
        </w:rPr>
        <w:t>之间协商报价、技术方案等</w:t>
      </w:r>
      <w:r>
        <w:rPr>
          <w:rFonts w:hint="eastAsia"/>
          <w:color w:val="auto"/>
          <w:sz w:val="21"/>
          <w:szCs w:val="21"/>
          <w:highlight w:val="none"/>
          <w:lang w:eastAsia="zh-CN"/>
        </w:rPr>
        <w:t>响应</w:t>
      </w:r>
      <w:r>
        <w:rPr>
          <w:color w:val="auto"/>
          <w:sz w:val="21"/>
          <w:szCs w:val="21"/>
          <w:highlight w:val="none"/>
          <w:lang w:eastAsia="zh-CN"/>
        </w:rPr>
        <w:t>文件的实质性内容；</w:t>
      </w:r>
    </w:p>
    <w:p w14:paraId="3CF21DC5">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.4属于同一集团、协会、商会等组织成员的</w:t>
      </w:r>
      <w:r>
        <w:rPr>
          <w:rFonts w:hint="eastAsia"/>
          <w:color w:val="auto"/>
          <w:sz w:val="21"/>
          <w:szCs w:val="21"/>
          <w:highlight w:val="none"/>
          <w:lang w:eastAsia="zh-CN"/>
        </w:rPr>
        <w:t>供应商</w:t>
      </w:r>
      <w:r>
        <w:rPr>
          <w:color w:val="auto"/>
          <w:sz w:val="21"/>
          <w:szCs w:val="21"/>
          <w:highlight w:val="none"/>
          <w:lang w:eastAsia="zh-CN"/>
        </w:rPr>
        <w:t>按照该组织要求协同参加</w:t>
      </w:r>
      <w:r>
        <w:rPr>
          <w:rFonts w:hint="eastAsia"/>
          <w:color w:val="auto"/>
          <w:sz w:val="21"/>
          <w:szCs w:val="21"/>
          <w:highlight w:val="none"/>
          <w:lang w:eastAsia="zh-CN"/>
        </w:rPr>
        <w:t>政府</w:t>
      </w:r>
      <w:r>
        <w:rPr>
          <w:color w:val="auto"/>
          <w:sz w:val="21"/>
          <w:szCs w:val="21"/>
          <w:highlight w:val="none"/>
          <w:lang w:eastAsia="zh-CN"/>
        </w:rPr>
        <w:t>采购活动；</w:t>
      </w:r>
    </w:p>
    <w:p w14:paraId="2F6CD2E7">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.5</w:t>
      </w:r>
      <w:r>
        <w:rPr>
          <w:rFonts w:hint="eastAsia"/>
          <w:color w:val="auto"/>
          <w:sz w:val="21"/>
          <w:szCs w:val="21"/>
          <w:highlight w:val="none"/>
          <w:lang w:eastAsia="zh-CN"/>
        </w:rPr>
        <w:t>供应商</w:t>
      </w:r>
      <w:r>
        <w:rPr>
          <w:color w:val="auto"/>
          <w:sz w:val="21"/>
          <w:szCs w:val="21"/>
          <w:highlight w:val="none"/>
          <w:lang w:eastAsia="zh-CN"/>
        </w:rPr>
        <w:t>之间事先约定由某一特定</w:t>
      </w:r>
      <w:r>
        <w:rPr>
          <w:rFonts w:hint="eastAsia"/>
          <w:color w:val="auto"/>
          <w:sz w:val="21"/>
          <w:szCs w:val="21"/>
          <w:highlight w:val="none"/>
          <w:lang w:eastAsia="zh-CN"/>
        </w:rPr>
        <w:t>供应商成交</w:t>
      </w:r>
      <w:r>
        <w:rPr>
          <w:color w:val="auto"/>
          <w:sz w:val="21"/>
          <w:szCs w:val="21"/>
          <w:highlight w:val="none"/>
          <w:lang w:eastAsia="zh-CN"/>
        </w:rPr>
        <w:t>；</w:t>
      </w:r>
    </w:p>
    <w:p w14:paraId="7CE3B491">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.6</w:t>
      </w:r>
      <w:r>
        <w:rPr>
          <w:rFonts w:hint="eastAsia"/>
          <w:color w:val="auto"/>
          <w:sz w:val="21"/>
          <w:szCs w:val="21"/>
          <w:highlight w:val="none"/>
          <w:lang w:eastAsia="zh-CN"/>
        </w:rPr>
        <w:t>供应商</w:t>
      </w:r>
      <w:r>
        <w:rPr>
          <w:color w:val="auto"/>
          <w:sz w:val="21"/>
          <w:szCs w:val="21"/>
          <w:highlight w:val="none"/>
          <w:lang w:eastAsia="zh-CN"/>
        </w:rPr>
        <w:t>之间商定部分</w:t>
      </w:r>
      <w:r>
        <w:rPr>
          <w:rFonts w:hint="eastAsia"/>
          <w:color w:val="auto"/>
          <w:sz w:val="21"/>
          <w:szCs w:val="21"/>
          <w:highlight w:val="none"/>
          <w:lang w:eastAsia="zh-CN"/>
        </w:rPr>
        <w:t>供应商</w:t>
      </w:r>
      <w:r>
        <w:rPr>
          <w:color w:val="auto"/>
          <w:sz w:val="21"/>
          <w:szCs w:val="21"/>
          <w:highlight w:val="none"/>
          <w:lang w:eastAsia="zh-CN"/>
        </w:rPr>
        <w:t>放弃参加</w:t>
      </w:r>
      <w:r>
        <w:rPr>
          <w:rFonts w:hint="eastAsia"/>
          <w:color w:val="auto"/>
          <w:sz w:val="21"/>
          <w:szCs w:val="21"/>
          <w:highlight w:val="none"/>
          <w:lang w:eastAsia="zh-CN"/>
        </w:rPr>
        <w:t>政府</w:t>
      </w:r>
      <w:r>
        <w:rPr>
          <w:color w:val="auto"/>
          <w:sz w:val="21"/>
          <w:szCs w:val="21"/>
          <w:highlight w:val="none"/>
          <w:lang w:eastAsia="zh-CN"/>
        </w:rPr>
        <w:t>采购活动或者放弃</w:t>
      </w:r>
      <w:r>
        <w:rPr>
          <w:rFonts w:hint="eastAsia"/>
          <w:color w:val="auto"/>
          <w:sz w:val="21"/>
          <w:szCs w:val="21"/>
          <w:highlight w:val="none"/>
          <w:lang w:eastAsia="zh-CN"/>
        </w:rPr>
        <w:t>成交</w:t>
      </w:r>
      <w:r>
        <w:rPr>
          <w:color w:val="auto"/>
          <w:sz w:val="21"/>
          <w:szCs w:val="21"/>
          <w:highlight w:val="none"/>
          <w:lang w:eastAsia="zh-CN"/>
        </w:rPr>
        <w:t>；</w:t>
      </w:r>
    </w:p>
    <w:p w14:paraId="469317E9">
      <w:pPr>
        <w:pStyle w:val="356"/>
        <w:keepNext w:val="0"/>
        <w:keepLines w:val="0"/>
        <w:pageBreakBefore w:val="0"/>
        <w:widowControl w:val="0"/>
        <w:kinsoku/>
        <w:wordWrap/>
        <w:overflowPunct/>
        <w:topLinePunct w:val="0"/>
        <w:autoSpaceDE/>
        <w:autoSpaceDN/>
        <w:bidi w:val="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.7</w:t>
      </w:r>
      <w:r>
        <w:rPr>
          <w:rFonts w:hint="eastAsia"/>
          <w:color w:val="auto"/>
          <w:sz w:val="21"/>
          <w:szCs w:val="21"/>
          <w:highlight w:val="none"/>
          <w:lang w:eastAsia="zh-CN"/>
        </w:rPr>
        <w:t>供应商</w:t>
      </w:r>
      <w:r>
        <w:rPr>
          <w:color w:val="auto"/>
          <w:sz w:val="21"/>
          <w:szCs w:val="21"/>
          <w:highlight w:val="none"/>
          <w:lang w:eastAsia="zh-CN"/>
        </w:rPr>
        <w:t>与采购人或者采购代理机构之间、</w:t>
      </w:r>
      <w:r>
        <w:rPr>
          <w:rFonts w:hint="eastAsia"/>
          <w:color w:val="auto"/>
          <w:sz w:val="21"/>
          <w:szCs w:val="21"/>
          <w:highlight w:val="none"/>
          <w:lang w:eastAsia="zh-CN"/>
        </w:rPr>
        <w:t>供应商</w:t>
      </w:r>
      <w:r>
        <w:rPr>
          <w:color w:val="auto"/>
          <w:sz w:val="21"/>
          <w:szCs w:val="21"/>
          <w:highlight w:val="none"/>
          <w:lang w:eastAsia="zh-CN"/>
        </w:rPr>
        <w:t>相互之间，为谋求特定</w:t>
      </w:r>
      <w:r>
        <w:rPr>
          <w:rFonts w:hint="eastAsia"/>
          <w:color w:val="auto"/>
          <w:sz w:val="21"/>
          <w:szCs w:val="21"/>
          <w:highlight w:val="none"/>
          <w:lang w:eastAsia="zh-CN"/>
        </w:rPr>
        <w:t>供应商成交</w:t>
      </w:r>
      <w:r>
        <w:rPr>
          <w:color w:val="auto"/>
          <w:sz w:val="21"/>
          <w:szCs w:val="21"/>
          <w:highlight w:val="none"/>
          <w:lang w:eastAsia="zh-CN"/>
        </w:rPr>
        <w:t>或者排斥其他</w:t>
      </w:r>
      <w:r>
        <w:rPr>
          <w:rFonts w:hint="eastAsia"/>
          <w:color w:val="auto"/>
          <w:sz w:val="21"/>
          <w:szCs w:val="21"/>
          <w:highlight w:val="none"/>
          <w:lang w:eastAsia="zh-CN"/>
        </w:rPr>
        <w:t>供应商</w:t>
      </w:r>
      <w:r>
        <w:rPr>
          <w:color w:val="auto"/>
          <w:sz w:val="21"/>
          <w:szCs w:val="21"/>
          <w:highlight w:val="none"/>
          <w:lang w:eastAsia="zh-CN"/>
        </w:rPr>
        <w:t>的其他串通行为。</w:t>
      </w:r>
    </w:p>
    <w:p w14:paraId="7845AB4D">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r>
        <w:rPr>
          <w:rFonts w:hint="eastAsia" w:ascii="宋体" w:hAnsi="宋体"/>
          <w:b/>
          <w:bCs/>
          <w:color w:val="auto"/>
          <w:highlight w:val="none"/>
          <w:lang w:eastAsia="zh-CN"/>
        </w:rPr>
        <w:t>有下列情形之一的，视为供应商串通响应，其响应无效</w:t>
      </w:r>
    </w:p>
    <w:p w14:paraId="144CEF4D">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5.1不同供应商的响应文件由同一单位或者个人编制；</w:t>
      </w:r>
    </w:p>
    <w:p w14:paraId="66851099">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5.2不同供应商委托同一单位或者个人办理响应事宜；</w:t>
      </w:r>
    </w:p>
    <w:p w14:paraId="19DA9D31">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5.3不同供应商的响应文件载明的项目管理成员或者联系人员为同一人；</w:t>
      </w:r>
    </w:p>
    <w:p w14:paraId="72CD31F2">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5.4不同供应商的响应文件异常一致或者响应报价呈规律性差异；</w:t>
      </w:r>
    </w:p>
    <w:p w14:paraId="79B6B078">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5.5不同供应商的响应文件相互混装；</w:t>
      </w:r>
    </w:p>
    <w:p w14:paraId="709CE905">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5.6不同供应商的响应保证金或购买电子保函支付款为从同一单位或个人的账户转出。</w:t>
      </w:r>
    </w:p>
    <w:p w14:paraId="781BBD18">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说明：在评审过程中发现供应商有上述情形的，磋商小组应当认定其响应无效。同时，项目评审时被认定为串通响应的供应商不得参加该合同项下的采购活动。</w:t>
      </w:r>
    </w:p>
    <w:p w14:paraId="5B3234E2">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r>
        <w:rPr>
          <w:rFonts w:hint="eastAsia" w:ascii="宋体" w:hAnsi="宋体"/>
          <w:b/>
          <w:bCs/>
          <w:color w:val="auto"/>
          <w:highlight w:val="none"/>
          <w:lang w:eastAsia="zh-CN"/>
        </w:rPr>
        <w:t>有下列情形之一的，属于恶意串通响应：</w:t>
      </w:r>
    </w:p>
    <w:p w14:paraId="674A005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6.1供应商直接或者间接从采购人或者采购代理机构处获得其他供应商的相关情况并修改其响应文件；</w:t>
      </w:r>
    </w:p>
    <w:p w14:paraId="1CFCF4A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6.2供应商按照采购人或者采购代理机构的授意撤换、修改响应文件；</w:t>
      </w:r>
    </w:p>
    <w:p w14:paraId="2F41C69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6.3供应商之间协商报价、技术方案等响应文件的实质性内容；</w:t>
      </w:r>
    </w:p>
    <w:p w14:paraId="096B68B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6.4属于同一集团、协会、商会等组织成员的供应商按照该组织要求协同参加政府采购活动；</w:t>
      </w:r>
    </w:p>
    <w:p w14:paraId="789E001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6.5供应商之间事先约定由某一特定供应商成交；</w:t>
      </w:r>
    </w:p>
    <w:p w14:paraId="6077302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6.6供应商之间商定部分供应商放弃参加政府采购活动或者放弃成交；</w:t>
      </w:r>
    </w:p>
    <w:p w14:paraId="3023A2F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6.7供应商与采购人或者采购代理机构之间、供应商相互之间，为谋求特定供应商成交或者排斥其他供应商的其他串通行为。</w:t>
      </w:r>
    </w:p>
    <w:p w14:paraId="21631271">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其他响应无效的情形</w:t>
      </w:r>
    </w:p>
    <w:p w14:paraId="70C74FBD">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详见资格性审查、符合性审查和磋商文件其他响应无效条款。</w:t>
      </w:r>
    </w:p>
    <w:p w14:paraId="3F15967B">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lang w:eastAsia="zh-CN"/>
        </w:rPr>
      </w:pPr>
      <w:r>
        <w:rPr>
          <w:rFonts w:hint="eastAsia" w:ascii="宋体" w:hAnsi="宋体"/>
          <w:b/>
          <w:bCs/>
          <w:color w:val="auto"/>
          <w:highlight w:val="none"/>
          <w:lang w:eastAsia="zh-CN"/>
        </w:rPr>
        <w:t>终止竞争性磋商采购活动的情形</w:t>
      </w:r>
    </w:p>
    <w:p w14:paraId="1BD51389">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出现下列情形之一的，采购人或者采购代理机构应当终止竞争性磋商采购活动，发布项目终止公告并说明原因，重新开展采购活动：</w:t>
      </w:r>
    </w:p>
    <w:p w14:paraId="585B4037">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（1）因情况变化，不再符合规定的竞争性磋商采购方式适用情形的；</w:t>
      </w:r>
    </w:p>
    <w:p w14:paraId="3FBB68D4">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（2）出现影响采购公正的违法、违规行为的；</w:t>
      </w:r>
    </w:p>
    <w:p w14:paraId="13B1679B">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3）除《政府采购竞争性磋商采购方式暂行办法》第二十一条第三款，《财政部关于政府采购竞争性磋商采购方式管理暂行办法有关问题的补充通知》（财库〔2015〕124号）规定的情形外，在采购过程中符合要求的供应商或者报价未超过采购预算的供应商不足3家的；</w:t>
      </w:r>
    </w:p>
    <w:p w14:paraId="424BF757">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（4）法律、法规以及磋商文件规定其他情形。</w:t>
      </w:r>
    </w:p>
    <w:p w14:paraId="775C9DCE">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确定成交供应商</w:t>
      </w:r>
    </w:p>
    <w:p w14:paraId="371EDE39">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磋商小组按照磋商文件确定的评审方法、步骤、标准，对响应文件进行评审。评审结束后，对供应商的评审名次进行排序，确定成交供应商或者推荐成交候选供应商。</w:t>
      </w:r>
    </w:p>
    <w:p w14:paraId="36400A3F">
      <w:pPr>
        <w:pStyle w:val="127"/>
        <w:keepNext w:val="0"/>
        <w:keepLines w:val="0"/>
        <w:pageBreakBefore w:val="0"/>
        <w:widowControl w:val="0"/>
        <w:numPr>
          <w:ilvl w:val="0"/>
          <w:numId w:val="14"/>
        </w:numPr>
        <w:kinsoku/>
        <w:wordWrap/>
        <w:overflowPunct/>
        <w:topLinePunct w:val="0"/>
        <w:autoSpaceDE/>
        <w:autoSpaceDN/>
        <w:bidi w:val="0"/>
        <w:spacing w:before="120" w:beforeLines="50" w:after="120" w:afterLines="50"/>
        <w:outlineLvl w:val="2"/>
        <w:rPr>
          <w:rFonts w:hint="eastAsia" w:ascii="宋体" w:hAnsi="宋体"/>
          <w:b/>
          <w:bCs/>
          <w:color w:val="auto"/>
          <w:highlight w:val="none"/>
        </w:rPr>
      </w:pPr>
      <w:r>
        <w:rPr>
          <w:rFonts w:hint="eastAsia" w:ascii="宋体" w:hAnsi="宋体"/>
          <w:b/>
          <w:bCs/>
          <w:color w:val="auto"/>
          <w:highlight w:val="none"/>
        </w:rPr>
        <w:t>价格修正</w:t>
      </w:r>
    </w:p>
    <w:p w14:paraId="7354E349">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对报价的计算错误按以下原则修正：</w:t>
      </w:r>
    </w:p>
    <w:p w14:paraId="1AA069D3">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（1）响应文件中首轮报价表（报价表）内容与响应文件中相应内容不一致的，以首轮报价表（报价表）为准；</w:t>
      </w:r>
    </w:p>
    <w:p w14:paraId="17087256">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（2）大写金额和小写金额不一致的，以大写金额为准；</w:t>
      </w:r>
    </w:p>
    <w:p w14:paraId="3A1706F0">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（3）单价金额小数点或者百分比有明显错位的，以首轮报价表的总价为准，并修改单价；</w:t>
      </w:r>
    </w:p>
    <w:p w14:paraId="2071F9C9">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（4）总价金额与按单价汇总金额不一致的，以单价金额计算结果为准。但是单价金额计算结果超过预算价的，对其按无效响应处理；</w:t>
      </w:r>
    </w:p>
    <w:p w14:paraId="1F0ECF4D">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注：同时出现两种以上不一致的，按照前款规定的顺序进行价格澄清。供应商澄清后的价格加盖供应商公章，或法定代表人签字或盖章，或法定代表人授权委托人签字或盖章确认后产生约束力，但不得超出响应文件的范围或者改变响应文件的实质性内容，供应商不确认的，其响应无效。</w:t>
      </w:r>
    </w:p>
    <w:p w14:paraId="16338B33">
      <w:pPr>
        <w:pStyle w:val="3"/>
        <w:keepNext w:val="0"/>
        <w:keepLines w:val="0"/>
        <w:pageBreakBefore w:val="0"/>
        <w:widowControl w:val="0"/>
        <w:numPr>
          <w:ilvl w:val="0"/>
          <w:numId w:val="13"/>
        </w:numPr>
        <w:kinsoku/>
        <w:wordWrap/>
        <w:overflowPunct/>
        <w:topLinePunct w:val="0"/>
        <w:autoSpaceDE/>
        <w:autoSpaceDN/>
        <w:bidi w:val="0"/>
        <w:spacing w:before="120" w:after="120" w:line="360" w:lineRule="auto"/>
        <w:jc w:val="left"/>
        <w:rPr>
          <w:rFonts w:hint="eastAsia" w:ascii="宋体" w:hAnsi="宋体" w:eastAsia="宋体"/>
          <w:color w:val="auto"/>
          <w:sz w:val="21"/>
          <w:szCs w:val="21"/>
          <w:highlight w:val="none"/>
        </w:rPr>
      </w:pPr>
      <w:bookmarkStart w:id="100" w:name="_Toc104040752"/>
      <w:bookmarkStart w:id="101" w:name="_Toc13978"/>
      <w:bookmarkStart w:id="102" w:name="_Toc104040698"/>
      <w:r>
        <w:rPr>
          <w:rFonts w:hint="eastAsia" w:ascii="宋体" w:hAnsi="宋体" w:eastAsia="宋体"/>
          <w:color w:val="auto"/>
          <w:sz w:val="21"/>
          <w:szCs w:val="21"/>
          <w:highlight w:val="none"/>
        </w:rPr>
        <w:t>政府采购政策落实</w:t>
      </w:r>
      <w:bookmarkEnd w:id="100"/>
      <w:bookmarkEnd w:id="101"/>
      <w:bookmarkEnd w:id="102"/>
    </w:p>
    <w:p w14:paraId="526FEF47">
      <w:pPr>
        <w:pStyle w:val="127"/>
        <w:keepNext w:val="0"/>
        <w:keepLines w:val="0"/>
        <w:pageBreakBefore w:val="0"/>
        <w:widowControl w:val="0"/>
        <w:numPr>
          <w:ilvl w:val="1"/>
          <w:numId w:val="15"/>
        </w:numPr>
        <w:kinsoku/>
        <w:wordWrap/>
        <w:overflowPunct/>
        <w:topLinePunct w:val="0"/>
        <w:autoSpaceDE/>
        <w:autoSpaceDN/>
        <w:bidi w:val="0"/>
        <w:ind w:left="0" w:firstLine="0"/>
        <w:jc w:val="left"/>
        <w:outlineLvl w:val="2"/>
        <w:rPr>
          <w:rFonts w:hint="eastAsia" w:ascii="宋体" w:hAnsi="宋体"/>
          <w:b/>
          <w:color w:val="auto"/>
          <w:szCs w:val="21"/>
          <w:highlight w:val="none"/>
        </w:rPr>
      </w:pPr>
      <w:r>
        <w:rPr>
          <w:rFonts w:hint="eastAsia" w:ascii="宋体" w:hAnsi="宋体"/>
          <w:b/>
          <w:color w:val="auto"/>
          <w:szCs w:val="21"/>
          <w:highlight w:val="none"/>
        </w:rPr>
        <w:t>节能、环保要求</w:t>
      </w:r>
    </w:p>
    <w:p w14:paraId="27E8DF64">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采购的产品属于品目清单范围的，将依据国家确定的认证机构出具的、处于有效期之内的节能产品、环境标志产品认证证书，对获得证书的产品实施政府优先采购或强制采购，具体按照本磋商文件相关要求执行。</w:t>
      </w:r>
    </w:p>
    <w:p w14:paraId="40BDB851">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相关认证机构和获证产品信息以市场监管总局组织建立的节能产品、环境标志产品认证结果信息发布平台公布为准。</w:t>
      </w:r>
    </w:p>
    <w:p w14:paraId="5F6AC899">
      <w:pPr>
        <w:pStyle w:val="127"/>
        <w:keepNext w:val="0"/>
        <w:keepLines w:val="0"/>
        <w:pageBreakBefore w:val="0"/>
        <w:widowControl w:val="0"/>
        <w:numPr>
          <w:ilvl w:val="1"/>
          <w:numId w:val="15"/>
        </w:numPr>
        <w:kinsoku/>
        <w:wordWrap/>
        <w:overflowPunct/>
        <w:topLinePunct w:val="0"/>
        <w:autoSpaceDE/>
        <w:autoSpaceDN/>
        <w:bidi w:val="0"/>
        <w:ind w:left="0" w:firstLine="0"/>
        <w:jc w:val="left"/>
        <w:outlineLvl w:val="2"/>
        <w:rPr>
          <w:rFonts w:hint="eastAsia" w:ascii="宋体" w:hAnsi="宋体" w:eastAsia="宋体" w:cs="Times New Roman"/>
          <w:b/>
          <w:color w:val="auto"/>
          <w:szCs w:val="21"/>
          <w:highlight w:val="none"/>
        </w:rPr>
      </w:pPr>
      <w:r>
        <w:rPr>
          <w:rFonts w:hint="eastAsia" w:ascii="宋体" w:hAnsi="宋体" w:eastAsia="宋体" w:cs="Times New Roman"/>
          <w:b/>
          <w:color w:val="auto"/>
          <w:szCs w:val="21"/>
          <w:highlight w:val="none"/>
        </w:rPr>
        <w:t>对符合本国产品标准的产品给予价格扣除</w:t>
      </w:r>
    </w:p>
    <w:p w14:paraId="6132ED58">
      <w:pPr>
        <w:pStyle w:val="356"/>
        <w:autoSpaceDE/>
        <w:autoSpaceDN/>
        <w:ind w:firstLine="420"/>
        <w:rPr>
          <w:rFonts w:hint="eastAsia"/>
          <w:color w:val="auto"/>
          <w:sz w:val="21"/>
          <w:szCs w:val="21"/>
          <w:highlight w:val="none"/>
        </w:rPr>
      </w:pPr>
      <w:r>
        <w:rPr>
          <w:rFonts w:hint="eastAsia"/>
          <w:color w:val="auto"/>
          <w:sz w:val="21"/>
          <w:szCs w:val="21"/>
          <w:highlight w:val="none"/>
        </w:rPr>
        <w:t>依照《国务院办公厅关于在政府采购中实施本国产品标准及相关政策的通知》（国办发〔2025〕34号）及《财政部关于贯彻落实&lt;国务院办公厅关于在政府采购中实施本国产品标准及相关政策的通知&gt;的意见》（财库〔2025〕30号）等相关规定。</w:t>
      </w:r>
    </w:p>
    <w:p w14:paraId="0899F3E0">
      <w:pPr>
        <w:pStyle w:val="356"/>
        <w:autoSpaceDE/>
        <w:autoSpaceDN/>
        <w:ind w:firstLine="420"/>
        <w:rPr>
          <w:rFonts w:hint="eastAsia"/>
          <w:color w:val="auto"/>
          <w:sz w:val="21"/>
          <w:szCs w:val="21"/>
          <w:highlight w:val="none"/>
        </w:rPr>
      </w:pPr>
      <w:r>
        <w:rPr>
          <w:rFonts w:hint="eastAsia"/>
          <w:color w:val="auto"/>
          <w:sz w:val="21"/>
          <w:szCs w:val="21"/>
          <w:highlight w:val="none"/>
        </w:rPr>
        <w:t>（1）本国产品标准的适用范围。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2D013D8B">
      <w:pPr>
        <w:pStyle w:val="356"/>
        <w:autoSpaceDE/>
        <w:autoSpaceDN/>
        <w:ind w:firstLine="420"/>
        <w:rPr>
          <w:rFonts w:hint="eastAsia"/>
          <w:color w:val="auto"/>
          <w:sz w:val="21"/>
          <w:szCs w:val="21"/>
          <w:highlight w:val="none"/>
        </w:rPr>
      </w:pPr>
      <w:r>
        <w:rPr>
          <w:rFonts w:hint="eastAsia"/>
          <w:color w:val="auto"/>
          <w:sz w:val="21"/>
          <w:szCs w:val="21"/>
          <w:highlight w:val="none"/>
        </w:rPr>
        <w:t>（2）准确界定产品在中国境内生产。本国产品应当在中国境内生产，即在中华人民共和国关境内实现从原材料、组件到产品的属性改变。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14:paraId="6B742E27">
      <w:pPr>
        <w:pStyle w:val="356"/>
        <w:autoSpaceDE/>
        <w:autoSpaceDN/>
        <w:ind w:firstLine="420"/>
        <w:rPr>
          <w:rFonts w:hint="eastAsia"/>
          <w:color w:val="auto"/>
          <w:sz w:val="21"/>
          <w:szCs w:val="21"/>
          <w:highlight w:val="none"/>
        </w:rPr>
      </w:pPr>
      <w:r>
        <w:rPr>
          <w:rFonts w:hint="eastAsia"/>
          <w:color w:val="auto"/>
          <w:sz w:val="21"/>
          <w:szCs w:val="21"/>
          <w:highlight w:val="none"/>
        </w:rPr>
        <w:t>（3）对本国产品的支持政策。政府采购活动中既有本国产品又有非本国产品参与竞争的，依法对本国产品给予价格评审优惠，对本国产品的报价给予20%的价格扣除，用扣除后的价格参与评审。</w:t>
      </w:r>
    </w:p>
    <w:p w14:paraId="605FEA01">
      <w:pPr>
        <w:pStyle w:val="356"/>
        <w:autoSpaceDE/>
        <w:autoSpaceDN/>
        <w:ind w:firstLine="420"/>
        <w:rPr>
          <w:rFonts w:hint="eastAsia"/>
          <w:color w:val="auto"/>
          <w:sz w:val="21"/>
          <w:szCs w:val="21"/>
          <w:highlight w:val="none"/>
        </w:rPr>
      </w:pPr>
      <w:r>
        <w:rPr>
          <w:rFonts w:hint="eastAsia"/>
          <w:color w:val="auto"/>
          <w:sz w:val="21"/>
          <w:szCs w:val="21"/>
          <w:highlight w:val="none"/>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051118BD">
      <w:pPr>
        <w:pStyle w:val="356"/>
        <w:autoSpaceDE/>
        <w:autoSpaceDN/>
        <w:ind w:firstLine="42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4）认真审查有关证明文件。采购人应当在采购文件中明确对供应商所出具的《关于符合本国产品标准的声明函》（以下简称《声明函》）的完整性、准确性进行审查的要求，评审中发现《声明函》内容含义不明确、同类事项与投标（响应）文件表述不一致或者有明显文字错误等情况的，应当以书面形式要求供应商作出必要的澄清、说明或者补正。经澄清、说明或者补正的《声明函》仍然不符合《通知》规定要求的，供应商提供的相关产品视为不符合本国产品标准。</w:t>
      </w:r>
    </w:p>
    <w:p w14:paraId="4954D112">
      <w:pPr>
        <w:pStyle w:val="127"/>
        <w:keepNext w:val="0"/>
        <w:keepLines w:val="0"/>
        <w:pageBreakBefore w:val="0"/>
        <w:widowControl w:val="0"/>
        <w:numPr>
          <w:ilvl w:val="1"/>
          <w:numId w:val="15"/>
        </w:numPr>
        <w:kinsoku/>
        <w:wordWrap/>
        <w:overflowPunct/>
        <w:topLinePunct w:val="0"/>
        <w:autoSpaceDE/>
        <w:autoSpaceDN/>
        <w:bidi w:val="0"/>
        <w:ind w:left="0" w:firstLine="0"/>
        <w:jc w:val="left"/>
        <w:outlineLvl w:val="2"/>
        <w:rPr>
          <w:rFonts w:hint="eastAsia" w:ascii="宋体" w:hAnsi="宋体"/>
          <w:b/>
          <w:color w:val="auto"/>
          <w:szCs w:val="21"/>
          <w:highlight w:val="none"/>
          <w:lang w:eastAsia="zh-CN"/>
        </w:rPr>
      </w:pPr>
      <w:r>
        <w:rPr>
          <w:rFonts w:hint="eastAsia" w:ascii="宋体" w:hAnsi="宋体"/>
          <w:b/>
          <w:color w:val="auto"/>
          <w:szCs w:val="21"/>
          <w:highlight w:val="none"/>
          <w:lang w:eastAsia="zh-CN"/>
        </w:rPr>
        <w:t>对小型、微型企业、监狱企业或残疾人福利性单位给予价格扣除</w:t>
      </w:r>
    </w:p>
    <w:p w14:paraId="76C6F677">
      <w:pPr>
        <w:keepNext w:val="0"/>
        <w:keepLines w:val="0"/>
        <w:pageBreakBefore w:val="0"/>
        <w:widowControl w:val="0"/>
        <w:kinsoku/>
        <w:wordWrap/>
        <w:overflowPunct/>
        <w:topLinePunct w:val="0"/>
        <w:autoSpaceDE/>
        <w:autoSpaceDN/>
        <w:bidi w:val="0"/>
        <w:ind w:firstLine="420" w:firstLineChars="200"/>
        <w:jc w:val="left"/>
        <w:rPr>
          <w:rFonts w:hint="eastAsia"/>
          <w:bCs/>
          <w:color w:val="auto"/>
          <w:szCs w:val="21"/>
          <w:highlight w:val="none"/>
        </w:rPr>
      </w:pPr>
      <w:r>
        <w:rPr>
          <w:rFonts w:hint="eastAsia"/>
          <w:bCs/>
          <w:color w:val="auto"/>
          <w:szCs w:val="21"/>
          <w:highlight w:val="none"/>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14:paraId="7A5AC200">
      <w:pPr>
        <w:pStyle w:val="127"/>
        <w:keepNext w:val="0"/>
        <w:keepLines w:val="0"/>
        <w:pageBreakBefore w:val="0"/>
        <w:widowControl w:val="0"/>
        <w:numPr>
          <w:ilvl w:val="1"/>
          <w:numId w:val="15"/>
        </w:numPr>
        <w:kinsoku/>
        <w:wordWrap/>
        <w:overflowPunct/>
        <w:topLinePunct w:val="0"/>
        <w:autoSpaceDE/>
        <w:autoSpaceDN/>
        <w:bidi w:val="0"/>
        <w:ind w:left="0" w:firstLine="0"/>
        <w:jc w:val="left"/>
        <w:outlineLvl w:val="2"/>
        <w:rPr>
          <w:rFonts w:hint="eastAsia" w:ascii="宋体" w:hAnsi="宋体"/>
          <w:b/>
          <w:color w:val="auto"/>
          <w:szCs w:val="21"/>
          <w:highlight w:val="none"/>
        </w:rPr>
      </w:pPr>
      <w:r>
        <w:rPr>
          <w:rFonts w:hint="eastAsia" w:ascii="宋体" w:hAnsi="宋体"/>
          <w:b/>
          <w:color w:val="auto"/>
          <w:szCs w:val="21"/>
          <w:highlight w:val="none"/>
        </w:rPr>
        <w:t>价格扣除相关要求</w:t>
      </w:r>
    </w:p>
    <w:tbl>
      <w:tblPr>
        <w:tblStyle w:val="4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
        <w:gridCol w:w="1200"/>
        <w:gridCol w:w="4427"/>
        <w:gridCol w:w="866"/>
        <w:gridCol w:w="2532"/>
      </w:tblGrid>
      <w:tr w14:paraId="50A86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 w:hRule="atLeast"/>
        </w:trPr>
        <w:tc>
          <w:tcPr>
            <w:tcW w:w="711" w:type="dxa"/>
            <w:vAlign w:val="center"/>
          </w:tcPr>
          <w:p w14:paraId="2B4B59EB">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b/>
                <w:color w:val="auto"/>
                <w:szCs w:val="21"/>
                <w:highlight w:val="none"/>
              </w:rPr>
              <w:t>序号</w:t>
            </w:r>
          </w:p>
        </w:tc>
        <w:tc>
          <w:tcPr>
            <w:tcW w:w="1200" w:type="dxa"/>
            <w:vAlign w:val="center"/>
          </w:tcPr>
          <w:p w14:paraId="04C55BE0">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b/>
                <w:color w:val="auto"/>
                <w:szCs w:val="21"/>
                <w:highlight w:val="none"/>
              </w:rPr>
              <w:t>情形</w:t>
            </w:r>
          </w:p>
        </w:tc>
        <w:tc>
          <w:tcPr>
            <w:tcW w:w="4427" w:type="dxa"/>
            <w:vAlign w:val="center"/>
          </w:tcPr>
          <w:p w14:paraId="22624923">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b/>
                <w:color w:val="auto"/>
                <w:szCs w:val="21"/>
                <w:highlight w:val="none"/>
              </w:rPr>
              <w:t>适用对象</w:t>
            </w:r>
          </w:p>
        </w:tc>
        <w:tc>
          <w:tcPr>
            <w:tcW w:w="866" w:type="dxa"/>
            <w:vAlign w:val="center"/>
          </w:tcPr>
          <w:p w14:paraId="2F9C965D">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b/>
                <w:color w:val="auto"/>
                <w:szCs w:val="21"/>
                <w:highlight w:val="none"/>
              </w:rPr>
              <w:t>价格扣除比例</w:t>
            </w:r>
          </w:p>
        </w:tc>
        <w:tc>
          <w:tcPr>
            <w:tcW w:w="2532" w:type="dxa"/>
            <w:vAlign w:val="center"/>
          </w:tcPr>
          <w:p w14:paraId="25412EAD">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b/>
                <w:color w:val="auto"/>
                <w:szCs w:val="21"/>
                <w:highlight w:val="none"/>
              </w:rPr>
              <w:t>计算公式</w:t>
            </w:r>
          </w:p>
        </w:tc>
      </w:tr>
      <w:tr w14:paraId="637CF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1" w:type="dxa"/>
            <w:vAlign w:val="center"/>
          </w:tcPr>
          <w:p w14:paraId="7DC65A18">
            <w:pPr>
              <w:pStyle w:val="19"/>
              <w:keepNext w:val="0"/>
              <w:keepLines w:val="0"/>
              <w:pageBreakBefore w:val="0"/>
              <w:widowControl w:val="0"/>
              <w:numPr>
                <w:ilvl w:val="0"/>
                <w:numId w:val="16"/>
              </w:numPr>
              <w:kinsoku/>
              <w:wordWrap/>
              <w:overflowPunct/>
              <w:topLinePunct w:val="0"/>
              <w:autoSpaceDE/>
              <w:autoSpaceDN/>
              <w:bidi w:val="0"/>
              <w:spacing w:line="240" w:lineRule="auto"/>
              <w:ind w:left="0" w:firstLine="0"/>
              <w:jc w:val="center"/>
              <w:rPr>
                <w:rFonts w:hint="eastAsia"/>
                <w:color w:val="auto"/>
                <w:szCs w:val="21"/>
                <w:highlight w:val="none"/>
              </w:rPr>
            </w:pPr>
          </w:p>
        </w:tc>
        <w:tc>
          <w:tcPr>
            <w:tcW w:w="1200" w:type="dxa"/>
            <w:vAlign w:val="center"/>
          </w:tcPr>
          <w:p w14:paraId="3D7B4693">
            <w:pPr>
              <w:pStyle w:val="19"/>
              <w:keepNext w:val="0"/>
              <w:keepLines w:val="0"/>
              <w:pageBreakBefore w:val="0"/>
              <w:widowControl w:val="0"/>
              <w:kinsoku/>
              <w:wordWrap/>
              <w:overflowPunct/>
              <w:topLinePunct w:val="0"/>
              <w:autoSpaceDE/>
              <w:autoSpaceDN/>
              <w:bidi w:val="0"/>
              <w:jc w:val="center"/>
              <w:rPr>
                <w:rFonts w:hint="eastAsia"/>
                <w:color w:val="auto"/>
                <w:szCs w:val="21"/>
                <w:highlight w:val="none"/>
              </w:rPr>
            </w:pPr>
            <w:r>
              <w:rPr>
                <w:rFonts w:hint="eastAsia"/>
                <w:color w:val="auto"/>
                <w:szCs w:val="21"/>
                <w:highlight w:val="none"/>
              </w:rPr>
              <w:t>属于政府采购品目清单的节能产品、环境标志产品</w:t>
            </w:r>
          </w:p>
        </w:tc>
        <w:tc>
          <w:tcPr>
            <w:tcW w:w="4427" w:type="dxa"/>
            <w:vAlign w:val="center"/>
          </w:tcPr>
          <w:p w14:paraId="3D4F58FC">
            <w:pPr>
              <w:pStyle w:val="19"/>
              <w:keepNext w:val="0"/>
              <w:keepLines w:val="0"/>
              <w:pageBreakBefore w:val="0"/>
              <w:widowControl w:val="0"/>
              <w:kinsoku/>
              <w:wordWrap/>
              <w:overflowPunct/>
              <w:topLinePunct w:val="0"/>
              <w:autoSpaceDE/>
              <w:autoSpaceDN/>
              <w:bidi w:val="0"/>
              <w:jc w:val="both"/>
              <w:rPr>
                <w:rFonts w:hint="eastAsia"/>
                <w:color w:val="auto"/>
                <w:szCs w:val="21"/>
                <w:highlight w:val="none"/>
              </w:rPr>
            </w:pPr>
            <w:r>
              <w:rPr>
                <w:rFonts w:hint="eastAsia"/>
                <w:color w:val="auto"/>
                <w:szCs w:val="21"/>
                <w:highlight w:val="none"/>
              </w:rPr>
              <w:t>投标（响应）产品属于政府采购清单中的非强制采购节能产品或环境标志产品，且提供了有效的节能产品认证证书或环境标志产品认证证书，以及中国政府采购网（</w:t>
            </w:r>
            <w:r>
              <w:rPr>
                <w:color w:val="auto"/>
                <w:szCs w:val="21"/>
                <w:highlight w:val="none"/>
              </w:rPr>
              <w:t>http://www.ccgp.gov.cn/jnhb/jnhbqd/）查询截图（网页查询的证书编号必须与认证证书的一致，且状态为有效；如公开网页信息中无法查询，或证书信息与公开网页信息不一致的，可提供认证单位出具的说明文件，否则视为不满足要求）</w:t>
            </w:r>
          </w:p>
        </w:tc>
        <w:tc>
          <w:tcPr>
            <w:tcW w:w="866" w:type="dxa"/>
            <w:vAlign w:val="center"/>
          </w:tcPr>
          <w:p w14:paraId="28157E62">
            <w:pPr>
              <w:pStyle w:val="19"/>
              <w:keepNext w:val="0"/>
              <w:keepLines w:val="0"/>
              <w:pageBreakBefore w:val="0"/>
              <w:widowControl w:val="0"/>
              <w:kinsoku/>
              <w:wordWrap/>
              <w:overflowPunct/>
              <w:topLinePunct w:val="0"/>
              <w:autoSpaceDE/>
              <w:autoSpaceDN/>
              <w:bidi w:val="0"/>
              <w:jc w:val="center"/>
              <w:rPr>
                <w:rFonts w:hint="eastAsia"/>
                <w:color w:val="auto"/>
                <w:szCs w:val="21"/>
                <w:highlight w:val="none"/>
              </w:rPr>
            </w:pPr>
            <w:r>
              <w:rPr>
                <w:color w:val="auto"/>
                <w:szCs w:val="21"/>
                <w:highlight w:val="none"/>
              </w:rPr>
              <w:t>5%</w:t>
            </w:r>
          </w:p>
        </w:tc>
        <w:tc>
          <w:tcPr>
            <w:tcW w:w="2532" w:type="dxa"/>
            <w:vAlign w:val="center"/>
          </w:tcPr>
          <w:p w14:paraId="5B9E5057">
            <w:pPr>
              <w:pStyle w:val="19"/>
              <w:keepNext w:val="0"/>
              <w:keepLines w:val="0"/>
              <w:pageBreakBefore w:val="0"/>
              <w:widowControl w:val="0"/>
              <w:kinsoku/>
              <w:wordWrap/>
              <w:overflowPunct/>
              <w:topLinePunct w:val="0"/>
              <w:autoSpaceDE/>
              <w:autoSpaceDN/>
              <w:bidi w:val="0"/>
              <w:jc w:val="left"/>
              <w:rPr>
                <w:rFonts w:hint="eastAsia"/>
                <w:color w:val="auto"/>
                <w:szCs w:val="21"/>
                <w:highlight w:val="none"/>
              </w:rPr>
            </w:pPr>
            <w:r>
              <w:rPr>
                <w:rFonts w:hint="eastAsia"/>
                <w:color w:val="auto"/>
                <w:szCs w:val="21"/>
                <w:highlight w:val="none"/>
              </w:rPr>
              <w:t>对满足要求的所有节能产品和环境标志产品的总报价给予价格扣除</w:t>
            </w:r>
            <w:r>
              <w:rPr>
                <w:color w:val="auto"/>
                <w:szCs w:val="21"/>
                <w:highlight w:val="none"/>
              </w:rPr>
              <w:t>C2，即：该类产品评审价＝该类产品最终报价×（1-C2）；当同一产品同时获得节能产品认证证书和环境标志产品认证证书时，不可重复进行价格扣除。</w:t>
            </w:r>
          </w:p>
        </w:tc>
      </w:tr>
      <w:tr w14:paraId="6D7AF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36" w:type="dxa"/>
            <w:gridSpan w:val="5"/>
            <w:vAlign w:val="center"/>
          </w:tcPr>
          <w:p w14:paraId="6F88CEB3">
            <w:pPr>
              <w:pStyle w:val="19"/>
              <w:keepNext w:val="0"/>
              <w:keepLines w:val="0"/>
              <w:pageBreakBefore w:val="0"/>
              <w:widowControl w:val="0"/>
              <w:kinsoku/>
              <w:wordWrap/>
              <w:overflowPunct/>
              <w:topLinePunct w:val="0"/>
              <w:autoSpaceDE/>
              <w:autoSpaceDN/>
              <w:bidi w:val="0"/>
              <w:rPr>
                <w:rFonts w:hint="eastAsia"/>
                <w:color w:val="auto"/>
                <w:szCs w:val="21"/>
                <w:highlight w:val="none"/>
                <w:lang w:eastAsia="zh-CN"/>
              </w:rPr>
            </w:pPr>
            <w:r>
              <w:rPr>
                <w:rFonts w:hint="eastAsia"/>
                <w:color w:val="auto"/>
                <w:szCs w:val="21"/>
                <w:highlight w:val="none"/>
              </w:rPr>
              <w:t>注</w:t>
            </w:r>
            <w:r>
              <w:rPr>
                <w:rFonts w:hint="eastAsia"/>
                <w:color w:val="auto"/>
                <w:szCs w:val="21"/>
                <w:highlight w:val="none"/>
                <w:lang w:eastAsia="zh-CN"/>
              </w:rPr>
              <w:t>：</w:t>
            </w:r>
          </w:p>
          <w:p w14:paraId="35F568F6">
            <w:pPr>
              <w:pStyle w:val="19"/>
              <w:keepNext w:val="0"/>
              <w:keepLines w:val="0"/>
              <w:pageBreakBefore w:val="0"/>
              <w:widowControl w:val="0"/>
              <w:numPr>
                <w:ilvl w:val="0"/>
                <w:numId w:val="17"/>
              </w:numPr>
              <w:kinsoku/>
              <w:wordWrap/>
              <w:overflowPunct/>
              <w:topLinePunct w:val="0"/>
              <w:autoSpaceDE/>
              <w:autoSpaceDN/>
              <w:bidi w:val="0"/>
              <w:rPr>
                <w:rFonts w:hint="eastAsia"/>
                <w:color w:val="auto"/>
                <w:szCs w:val="21"/>
                <w:highlight w:val="none"/>
              </w:rPr>
            </w:pPr>
            <w:r>
              <w:rPr>
                <w:rFonts w:hint="eastAsia"/>
                <w:color w:val="auto"/>
                <w:szCs w:val="21"/>
                <w:highlight w:val="none"/>
              </w:rPr>
              <w:t xml:space="preserve">上述评审价仅用于计算价格分，成交金额以实际响应价为准。 </w:t>
            </w:r>
          </w:p>
          <w:p w14:paraId="61A3CA01">
            <w:pPr>
              <w:pStyle w:val="19"/>
              <w:keepNext w:val="0"/>
              <w:keepLines w:val="0"/>
              <w:pageBreakBefore w:val="0"/>
              <w:widowControl w:val="0"/>
              <w:numPr>
                <w:ilvl w:val="0"/>
                <w:numId w:val="17"/>
              </w:numPr>
              <w:kinsoku/>
              <w:wordWrap/>
              <w:overflowPunct/>
              <w:topLinePunct w:val="0"/>
              <w:autoSpaceDE/>
              <w:autoSpaceDN/>
              <w:bidi w:val="0"/>
              <w:rPr>
                <w:rFonts w:hint="eastAsia"/>
                <w:color w:val="auto"/>
                <w:highlight w:val="none"/>
              </w:rPr>
            </w:pPr>
            <w:r>
              <w:rPr>
                <w:rFonts w:hint="eastAsia"/>
                <w:color w:val="auto"/>
                <w:szCs w:val="21"/>
                <w:highlight w:val="none"/>
              </w:rPr>
              <w:t>组成联合体的大中型企业和其他自然人、法人或者其他组织、与小型、微型企业之间不得存在投资关系。</w:t>
            </w:r>
          </w:p>
          <w:p w14:paraId="7B9913B6">
            <w:pPr>
              <w:pStyle w:val="19"/>
              <w:keepNext w:val="0"/>
              <w:keepLines w:val="0"/>
              <w:pageBreakBefore w:val="0"/>
              <w:widowControl w:val="0"/>
              <w:numPr>
                <w:ilvl w:val="0"/>
                <w:numId w:val="17"/>
              </w:numPr>
              <w:kinsoku/>
              <w:wordWrap/>
              <w:overflowPunct/>
              <w:topLinePunct w:val="0"/>
              <w:autoSpaceDE/>
              <w:autoSpaceDN/>
              <w:bidi w:val="0"/>
              <w:rPr>
                <w:rFonts w:hint="eastAsia"/>
                <w:color w:val="auto"/>
                <w:highlight w:val="none"/>
              </w:rPr>
            </w:pPr>
            <w:r>
              <w:rPr>
                <w:rFonts w:hint="eastAsia"/>
                <w:color w:val="auto"/>
                <w:szCs w:val="21"/>
                <w:highlight w:val="none"/>
                <w:lang w:eastAsia="zh-CN"/>
              </w:rPr>
              <w:t>组成联合体或者接受分包的小微企业与联合体内其他企业、分包企业之间存在直接控股、管理关系的，不享受价格扣除优惠政策。</w:t>
            </w:r>
          </w:p>
        </w:tc>
      </w:tr>
    </w:tbl>
    <w:p w14:paraId="1E15C4A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（1）所称小型和微型企业应当符合以下条件：</w:t>
      </w:r>
    </w:p>
    <w:p w14:paraId="44251C4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在中华人民共和国境内依法设立，依据国务院批准的中小企业划分标准确定的小型企业和微型企业，但与大企业的负责人为同一人，或者与大企业存在直接控股、管理关系的除外。符合中小企业划分标准的个体工商户，在政府采购活动中视同中小企业。提供本企业制造的货物或者提供其他小型或微型企业制造的货物。</w:t>
      </w:r>
    </w:p>
    <w:p w14:paraId="5EBA5D5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符合中小企业划分标准的个体工商户，在政府采购活动中视同中小企业。</w:t>
      </w:r>
    </w:p>
    <w:p w14:paraId="2E9C412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提供本企业（属于小微企业）制造的货物或者提供其他小型或微型企业制造的货物/提供本企业（属于小微企业）承接的服务。</w:t>
      </w:r>
    </w:p>
    <w:p w14:paraId="4F682D5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2）符合中小企业扶持政策的供应商应填写《中小企业声明函》；监狱企业须供应商提供由监狱管理局、戒毒管理局（含新疆生产建设兵团）出具的属于监狱企业的证明文件；残疾人福利性单位应填写《残疾人福利性单位声明函》，否则不认定价格扣除。</w:t>
      </w:r>
    </w:p>
    <w:p w14:paraId="6F036C9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说明：供应商应当对其出具的《中小企业声明函》真实性负责，供应商出具的《中小企业声明函》内容不实的，属于提供虚假材料谋取成交。</w:t>
      </w:r>
    </w:p>
    <w:p w14:paraId="3C34CC6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3）联合体各方均为小型、微型企业的，各方均应提供《中小企业声明函》；中小微企业作为联合体一方参与政府采购活动，且联合体协议书中约定，小型、微型企业的协议合同金额占到联合体协议合同总金额30%以上的，应附中小微企业的《中小企业声明函》。</w:t>
      </w:r>
    </w:p>
    <w:p w14:paraId="48435D72">
      <w:pPr>
        <w:pStyle w:val="3"/>
        <w:keepNext w:val="0"/>
        <w:keepLines w:val="0"/>
        <w:pageBreakBefore w:val="0"/>
        <w:widowControl w:val="0"/>
        <w:numPr>
          <w:ilvl w:val="0"/>
          <w:numId w:val="13"/>
        </w:numPr>
        <w:kinsoku/>
        <w:wordWrap/>
        <w:overflowPunct/>
        <w:topLinePunct w:val="0"/>
        <w:autoSpaceDE/>
        <w:autoSpaceDN/>
        <w:bidi w:val="0"/>
        <w:spacing w:before="120" w:after="120" w:line="360" w:lineRule="auto"/>
        <w:jc w:val="left"/>
        <w:rPr>
          <w:rFonts w:hint="eastAsia" w:ascii="宋体" w:hAnsi="宋体" w:eastAsia="宋体"/>
          <w:color w:val="auto"/>
          <w:sz w:val="21"/>
          <w:szCs w:val="21"/>
          <w:highlight w:val="none"/>
        </w:rPr>
      </w:pPr>
      <w:bookmarkStart w:id="103" w:name="_Toc104040753"/>
      <w:bookmarkStart w:id="104" w:name="_Toc15092"/>
      <w:bookmarkStart w:id="105" w:name="_Toc104040699"/>
      <w:r>
        <w:rPr>
          <w:rFonts w:hint="eastAsia" w:ascii="宋体" w:hAnsi="宋体" w:eastAsia="宋体"/>
          <w:color w:val="auto"/>
          <w:sz w:val="21"/>
          <w:szCs w:val="21"/>
          <w:highlight w:val="none"/>
        </w:rPr>
        <w:t>评审程序</w:t>
      </w:r>
      <w:bookmarkEnd w:id="103"/>
      <w:bookmarkEnd w:id="104"/>
      <w:bookmarkEnd w:id="105"/>
    </w:p>
    <w:p w14:paraId="65AE0BD0">
      <w:pPr>
        <w:pStyle w:val="356"/>
        <w:keepNext w:val="0"/>
        <w:keepLines w:val="0"/>
        <w:pageBreakBefore w:val="0"/>
        <w:widowControl w:val="0"/>
        <w:kinsoku/>
        <w:wordWrap/>
        <w:overflowPunct/>
        <w:topLinePunct w:val="0"/>
        <w:autoSpaceDE/>
        <w:autoSpaceDN/>
        <w:bidi w:val="0"/>
        <w:ind w:firstLine="0" w:firstLineChars="0"/>
        <w:outlineLvl w:val="2"/>
        <w:rPr>
          <w:rFonts w:hint="eastAsia"/>
          <w:b/>
          <w:bCs/>
          <w:color w:val="auto"/>
          <w:sz w:val="21"/>
          <w:szCs w:val="21"/>
          <w:highlight w:val="none"/>
        </w:rPr>
      </w:pPr>
      <w:r>
        <w:rPr>
          <w:b/>
          <w:bCs/>
          <w:color w:val="auto"/>
          <w:sz w:val="21"/>
          <w:szCs w:val="21"/>
          <w:highlight w:val="none"/>
        </w:rPr>
        <w:t>1.资格性审查</w:t>
      </w:r>
      <w:r>
        <w:rPr>
          <w:rFonts w:hint="eastAsia"/>
          <w:b/>
          <w:bCs/>
          <w:color w:val="auto"/>
          <w:sz w:val="21"/>
          <w:szCs w:val="21"/>
          <w:highlight w:val="none"/>
          <w:lang w:eastAsia="zh-CN"/>
        </w:rPr>
        <w:t>、</w:t>
      </w:r>
      <w:r>
        <w:rPr>
          <w:b/>
          <w:bCs/>
          <w:color w:val="auto"/>
          <w:sz w:val="21"/>
          <w:szCs w:val="21"/>
          <w:highlight w:val="none"/>
        </w:rPr>
        <w:t>符合性审查</w:t>
      </w:r>
      <w:r>
        <w:rPr>
          <w:rFonts w:hint="eastAsia"/>
          <w:b/>
          <w:bCs/>
          <w:color w:val="auto"/>
          <w:sz w:val="21"/>
          <w:szCs w:val="21"/>
          <w:highlight w:val="none"/>
        </w:rPr>
        <w:t>和异常低价审查</w:t>
      </w:r>
    </w:p>
    <w:p w14:paraId="13416DE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磋商小组根据《资格性审查表》（附表一）、《符合性审查表》（附表二）和《异常低价审查表》（附表三）的内容逐条对响应文件进行评审，审查每份响应文件的相关资格证明文件是否齐全有效。审查每份响应文件是否实质上响应了磋商文件的要求，只要不满足《资格性审查表》、《符合性审查表》和《异常低价审查表》所列各项要求之一的，将被认定为无效响应。对响应有效性认定意见不一致的，磋商小组按少数服从多数原则表决决定。</w:t>
      </w:r>
    </w:p>
    <w:p w14:paraId="4ACC9A4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磋商小组启动异常低价投标（响应）审查后，应当要求相关供应商在评审现场合理的时间内提供书面说明及必要的证明材料，对投标（响应）价格作出解释。书面说明、证明材料主要是项目具体成本测算等与报价合理性相关的说明、材料。</w:t>
      </w:r>
    </w:p>
    <w:p w14:paraId="40D4FA0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被启动异常低价审查的供应商，如果不提供书面说明、证明材料，或者提供的书面说明、证明材料不能证明其报价合理性的，应当将其作为无效投标（响应）处理。</w:t>
      </w:r>
    </w:p>
    <w:p w14:paraId="56CB692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通过异常低价审查的不足3家，不得进入详细评审。</w:t>
      </w:r>
    </w:p>
    <w:p w14:paraId="1CAD4871">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资格性审查、符合性审查、异常低价审查中凡有其中任意一项未通过的，评审结果为未通过，未通过资格性审查、符合性审查、异常低价审查的</w:t>
      </w:r>
      <w:r>
        <w:rPr>
          <w:rFonts w:hint="eastAsia"/>
          <w:color w:val="auto"/>
          <w:szCs w:val="21"/>
          <w:highlight w:val="none"/>
          <w:lang w:val="en-US" w:eastAsia="zh-CN"/>
        </w:rPr>
        <w:t>供应商</w:t>
      </w:r>
      <w:r>
        <w:rPr>
          <w:rFonts w:hint="eastAsia"/>
          <w:color w:val="auto"/>
          <w:szCs w:val="21"/>
          <w:highlight w:val="none"/>
        </w:rPr>
        <w:t>按无效投标处理。</w:t>
      </w:r>
    </w:p>
    <w:p w14:paraId="77B9256F">
      <w:pPr>
        <w:pStyle w:val="19"/>
        <w:keepNext w:val="0"/>
        <w:keepLines w:val="0"/>
        <w:pageBreakBefore w:val="0"/>
        <w:widowControl w:val="0"/>
        <w:kinsoku/>
        <w:wordWrap/>
        <w:overflowPunct/>
        <w:topLinePunct w:val="0"/>
        <w:autoSpaceDE/>
        <w:autoSpaceDN/>
        <w:bidi w:val="0"/>
        <w:ind w:firstLine="420" w:firstLineChars="200"/>
        <w:rPr>
          <w:color w:val="auto"/>
          <w:highlight w:val="none"/>
        </w:rPr>
      </w:pPr>
      <w:r>
        <w:rPr>
          <w:rFonts w:hint="eastAsia"/>
          <w:color w:val="auto"/>
          <w:szCs w:val="21"/>
          <w:highlight w:val="none"/>
        </w:rPr>
        <w:t>磋商小组对各磋商供应商进行资格性、符合性审查和异常低价审查过程中，对初步被认定为初审不合格或无效响应者应实行及时告知，由磋商小组组长或采购人代表将集体意见及时告知报价当事人。采购代理机构应在资格审查报告或评审报告中以书面形式解释其排除的具体原因。</w:t>
      </w:r>
    </w:p>
    <w:p w14:paraId="68099EC0">
      <w:pPr>
        <w:pStyle w:val="19"/>
        <w:keepNext w:val="0"/>
        <w:keepLines w:val="0"/>
        <w:pageBreakBefore w:val="0"/>
        <w:widowControl w:val="0"/>
        <w:kinsoku/>
        <w:wordWrap/>
        <w:overflowPunct/>
        <w:topLinePunct w:val="0"/>
        <w:autoSpaceDE/>
        <w:autoSpaceDN/>
        <w:bidi w:val="0"/>
        <w:ind w:firstLine="420" w:firstLineChars="200"/>
        <w:rPr>
          <w:rFonts w:hint="eastAsia"/>
          <w:color w:val="auto"/>
          <w:highlight w:val="none"/>
        </w:rPr>
      </w:pPr>
    </w:p>
    <w:p w14:paraId="3FA959E7">
      <w:pPr>
        <w:keepNext w:val="0"/>
        <w:keepLines w:val="0"/>
        <w:pageBreakBefore w:val="0"/>
        <w:widowControl w:val="0"/>
        <w:kinsoku/>
        <w:wordWrap/>
        <w:overflowPunct/>
        <w:topLinePunct w:val="0"/>
        <w:autoSpaceDE/>
        <w:autoSpaceDN/>
        <w:bidi w:val="0"/>
        <w:ind w:firstLine="422" w:firstLineChars="200"/>
        <w:jc w:val="left"/>
        <w:outlineLvl w:val="3"/>
        <w:rPr>
          <w:rFonts w:hint="eastAsia" w:cs="Futura-Heavy"/>
          <w:b/>
          <w:bCs/>
          <w:color w:val="auto"/>
          <w:kern w:val="0"/>
          <w:szCs w:val="21"/>
          <w:highlight w:val="none"/>
        </w:rPr>
      </w:pPr>
      <w:r>
        <w:rPr>
          <w:rFonts w:hint="eastAsia" w:cs="Futura-Heavy"/>
          <w:b/>
          <w:bCs/>
          <w:color w:val="auto"/>
          <w:kern w:val="0"/>
          <w:szCs w:val="21"/>
          <w:highlight w:val="none"/>
        </w:rPr>
        <w:t>表一：资格性审查表</w:t>
      </w:r>
      <w:bookmarkEnd w:id="92"/>
    </w:p>
    <w:tbl>
      <w:tblPr>
        <w:tblStyle w:val="4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2440"/>
        <w:gridCol w:w="6705"/>
      </w:tblGrid>
      <w:tr w14:paraId="27345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7845E4F5">
            <w:pPr>
              <w:keepNext w:val="0"/>
              <w:keepLines w:val="0"/>
              <w:pageBreakBefore w:val="0"/>
              <w:widowControl w:val="0"/>
              <w:kinsoku/>
              <w:wordWrap/>
              <w:overflowPunct/>
              <w:topLinePunct w:val="0"/>
              <w:autoSpaceDE/>
              <w:autoSpaceDN/>
              <w:bidi w:val="0"/>
              <w:snapToGrid w:val="0"/>
              <w:spacing w:before="120" w:beforeLines="50" w:after="120" w:afterLines="50" w:line="240" w:lineRule="auto"/>
              <w:jc w:val="center"/>
              <w:rPr>
                <w:rFonts w:hint="eastAsia"/>
                <w:b/>
                <w:color w:val="auto"/>
                <w:szCs w:val="21"/>
                <w:highlight w:val="none"/>
              </w:rPr>
            </w:pPr>
            <w:r>
              <w:rPr>
                <w:b/>
                <w:color w:val="auto"/>
                <w:szCs w:val="21"/>
                <w:highlight w:val="none"/>
              </w:rPr>
              <w:t>序号</w:t>
            </w:r>
          </w:p>
        </w:tc>
        <w:tc>
          <w:tcPr>
            <w:tcW w:w="4639" w:type="pct"/>
            <w:gridSpan w:val="2"/>
            <w:vAlign w:val="center"/>
          </w:tcPr>
          <w:p w14:paraId="00011356">
            <w:pPr>
              <w:keepNext w:val="0"/>
              <w:keepLines w:val="0"/>
              <w:pageBreakBefore w:val="0"/>
              <w:widowControl w:val="0"/>
              <w:kinsoku/>
              <w:wordWrap/>
              <w:overflowPunct/>
              <w:topLinePunct w:val="0"/>
              <w:autoSpaceDE/>
              <w:autoSpaceDN/>
              <w:bidi w:val="0"/>
              <w:snapToGrid w:val="0"/>
              <w:spacing w:before="120" w:beforeLines="50" w:after="120" w:afterLines="50" w:line="240" w:lineRule="auto"/>
              <w:jc w:val="center"/>
              <w:rPr>
                <w:rFonts w:hint="eastAsia"/>
                <w:b/>
                <w:color w:val="auto"/>
                <w:szCs w:val="21"/>
                <w:highlight w:val="none"/>
              </w:rPr>
            </w:pPr>
            <w:r>
              <w:rPr>
                <w:rFonts w:hint="eastAsia"/>
                <w:b/>
                <w:color w:val="auto"/>
                <w:szCs w:val="21"/>
                <w:highlight w:val="none"/>
              </w:rPr>
              <w:t>资格审查内容</w:t>
            </w:r>
          </w:p>
        </w:tc>
      </w:tr>
      <w:tr w14:paraId="71B0D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1E95E48E">
            <w:pPr>
              <w:pStyle w:val="127"/>
              <w:keepNext w:val="0"/>
              <w:keepLines w:val="0"/>
              <w:pageBreakBefore w:val="0"/>
              <w:widowControl w:val="0"/>
              <w:numPr>
                <w:ilvl w:val="0"/>
                <w:numId w:val="18"/>
              </w:numPr>
              <w:kinsoku/>
              <w:wordWrap/>
              <w:overflowPunct/>
              <w:topLinePunct w:val="0"/>
              <w:autoSpaceDE/>
              <w:autoSpaceDN/>
              <w:bidi w:val="0"/>
              <w:snapToGrid w:val="0"/>
              <w:ind w:left="0" w:firstLine="0"/>
              <w:jc w:val="center"/>
              <w:rPr>
                <w:rFonts w:hint="eastAsia" w:ascii="宋体" w:hAnsi="宋体"/>
                <w:bCs/>
                <w:color w:val="auto"/>
                <w:szCs w:val="21"/>
                <w:highlight w:val="none"/>
              </w:rPr>
            </w:pPr>
          </w:p>
        </w:tc>
        <w:tc>
          <w:tcPr>
            <w:tcW w:w="1238" w:type="pct"/>
            <w:vAlign w:val="center"/>
          </w:tcPr>
          <w:p w14:paraId="776DE576">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color w:val="auto"/>
                <w:szCs w:val="21"/>
                <w:highlight w:val="none"/>
              </w:rPr>
              <w:t>具有独立承担民事责任的能力</w:t>
            </w:r>
          </w:p>
        </w:tc>
        <w:tc>
          <w:tcPr>
            <w:tcW w:w="3401" w:type="pct"/>
            <w:vAlign w:val="center"/>
          </w:tcPr>
          <w:p w14:paraId="4E08E3D1">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ascii="宋体" w:hAnsi="宋体"/>
                <w:color w:val="auto"/>
                <w:szCs w:val="21"/>
                <w:highlight w:val="none"/>
                <w:lang w:eastAsia="zh-CN"/>
              </w:rPr>
              <w:t>在中华人民共和国境内注册的法人或其他组织或自然人，</w:t>
            </w:r>
            <w:r>
              <w:rPr>
                <w:rFonts w:hint="eastAsia"/>
                <w:color w:val="auto"/>
                <w:szCs w:val="21"/>
                <w:highlight w:val="none"/>
                <w:lang w:eastAsia="zh-CN"/>
              </w:rPr>
              <w:t>响应文件中须提供</w:t>
            </w:r>
            <w:r>
              <w:rPr>
                <w:rFonts w:hint="eastAsia" w:ascii="宋体" w:hAnsi="宋体"/>
                <w:color w:val="auto"/>
                <w:szCs w:val="21"/>
                <w:highlight w:val="none"/>
                <w:lang w:eastAsia="zh-CN"/>
              </w:rPr>
              <w:t>有效的营业执照（或事业法人登记证或身份证等相关证明）</w:t>
            </w:r>
            <w:r>
              <w:rPr>
                <w:rFonts w:hint="eastAsia"/>
                <w:color w:val="auto"/>
                <w:szCs w:val="21"/>
                <w:highlight w:val="none"/>
                <w:lang w:eastAsia="zh-CN"/>
              </w:rPr>
              <w:t>复印件</w:t>
            </w:r>
            <w:r>
              <w:rPr>
                <w:rFonts w:hint="eastAsia" w:ascii="宋体" w:hAnsi="宋体"/>
                <w:color w:val="auto"/>
                <w:szCs w:val="21"/>
                <w:highlight w:val="none"/>
                <w:lang w:eastAsia="zh-CN"/>
              </w:rPr>
              <w:t>。分支机构响应的，</w:t>
            </w:r>
            <w:r>
              <w:rPr>
                <w:rFonts w:hint="eastAsia"/>
                <w:color w:val="auto"/>
                <w:szCs w:val="21"/>
                <w:highlight w:val="none"/>
                <w:lang w:eastAsia="zh-CN"/>
              </w:rPr>
              <w:t>响应文件中须</w:t>
            </w:r>
            <w:r>
              <w:rPr>
                <w:rFonts w:hint="eastAsia" w:ascii="宋体" w:hAnsi="宋体"/>
                <w:color w:val="auto"/>
                <w:szCs w:val="21"/>
                <w:highlight w:val="none"/>
                <w:lang w:eastAsia="zh-CN"/>
              </w:rPr>
              <w:t>提供总公司和分公司营业执照</w:t>
            </w:r>
            <w:r>
              <w:rPr>
                <w:rFonts w:hint="eastAsia"/>
                <w:color w:val="auto"/>
                <w:szCs w:val="21"/>
                <w:highlight w:val="none"/>
                <w:lang w:eastAsia="zh-CN"/>
              </w:rPr>
              <w:t>复印件</w:t>
            </w:r>
            <w:r>
              <w:rPr>
                <w:rFonts w:hint="eastAsia" w:ascii="宋体" w:hAnsi="宋体"/>
                <w:color w:val="auto"/>
                <w:szCs w:val="21"/>
                <w:highlight w:val="none"/>
                <w:lang w:eastAsia="zh-CN"/>
              </w:rPr>
              <w:t>，总公司出具给分支机构的授权书。</w:t>
            </w:r>
          </w:p>
        </w:tc>
      </w:tr>
      <w:tr w14:paraId="0BA2B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0F9B4762">
            <w:pPr>
              <w:pStyle w:val="127"/>
              <w:keepNext w:val="0"/>
              <w:keepLines w:val="0"/>
              <w:pageBreakBefore w:val="0"/>
              <w:widowControl w:val="0"/>
              <w:numPr>
                <w:ilvl w:val="0"/>
                <w:numId w:val="18"/>
              </w:numPr>
              <w:kinsoku/>
              <w:wordWrap/>
              <w:overflowPunct/>
              <w:topLinePunct w:val="0"/>
              <w:autoSpaceDE/>
              <w:autoSpaceDN/>
              <w:bidi w:val="0"/>
              <w:snapToGrid w:val="0"/>
              <w:ind w:left="0" w:firstLine="0"/>
              <w:jc w:val="center"/>
              <w:rPr>
                <w:rFonts w:hint="eastAsia" w:ascii="宋体" w:hAnsi="宋体"/>
                <w:bCs/>
                <w:color w:val="auto"/>
                <w:szCs w:val="21"/>
                <w:highlight w:val="none"/>
                <w:lang w:eastAsia="zh-CN"/>
              </w:rPr>
            </w:pPr>
          </w:p>
        </w:tc>
        <w:tc>
          <w:tcPr>
            <w:tcW w:w="1238" w:type="pct"/>
            <w:vAlign w:val="center"/>
          </w:tcPr>
          <w:p w14:paraId="530E36FE">
            <w:pPr>
              <w:keepNext w:val="0"/>
              <w:keepLines w:val="0"/>
              <w:pageBreakBefore w:val="0"/>
              <w:widowControl w:val="0"/>
              <w:kinsoku/>
              <w:wordWrap/>
              <w:overflowPunct/>
              <w:topLinePunct w:val="0"/>
              <w:autoSpaceDE/>
              <w:autoSpaceDN/>
              <w:bidi w:val="0"/>
              <w:snapToGrid w:val="0"/>
              <w:jc w:val="center"/>
              <w:rPr>
                <w:rFonts w:hint="eastAsia"/>
                <w:color w:val="auto"/>
                <w:szCs w:val="21"/>
                <w:highlight w:val="none"/>
              </w:rPr>
            </w:pPr>
            <w:r>
              <w:rPr>
                <w:rFonts w:hint="eastAsia"/>
                <w:color w:val="auto"/>
                <w:szCs w:val="21"/>
                <w:highlight w:val="none"/>
              </w:rPr>
              <w:t>有依法缴纳税收和社会保障资金的良好记录</w:t>
            </w:r>
          </w:p>
        </w:tc>
        <w:tc>
          <w:tcPr>
            <w:tcW w:w="3401" w:type="pct"/>
            <w:vAlign w:val="center"/>
          </w:tcPr>
          <w:p w14:paraId="6360978C">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color w:val="auto"/>
                <w:szCs w:val="21"/>
                <w:highlight w:val="none"/>
              </w:rPr>
              <w:t>响应文件中须提供</w:t>
            </w:r>
            <w:r>
              <w:rPr>
                <w:color w:val="auto"/>
                <w:szCs w:val="21"/>
                <w:highlight w:val="none"/>
              </w:rPr>
              <w:t>20</w:t>
            </w:r>
            <w:r>
              <w:rPr>
                <w:rFonts w:hint="eastAsia"/>
                <w:color w:val="auto"/>
                <w:szCs w:val="21"/>
                <w:highlight w:val="none"/>
                <w:lang w:val="en-US" w:eastAsia="zh-CN"/>
              </w:rPr>
              <w:t>25</w:t>
            </w:r>
            <w:r>
              <w:rPr>
                <w:color w:val="auto"/>
                <w:szCs w:val="21"/>
                <w:highlight w:val="none"/>
              </w:rPr>
              <w:t>年</w:t>
            </w:r>
            <w:r>
              <w:rPr>
                <w:rFonts w:hint="eastAsia"/>
                <w:color w:val="auto"/>
                <w:szCs w:val="21"/>
                <w:highlight w:val="none"/>
                <w:lang w:val="en-US" w:eastAsia="zh-CN"/>
              </w:rPr>
              <w:t>6</w:t>
            </w:r>
            <w:r>
              <w:rPr>
                <w:color w:val="auto"/>
                <w:szCs w:val="21"/>
                <w:highlight w:val="none"/>
              </w:rPr>
              <w:t>月至今任意1个月依法缴纳税收和社会保障资金的相关材料。如依法免税或不需要缴纳社会保障资金的，提供相应证明材料</w:t>
            </w:r>
            <w:r>
              <w:rPr>
                <w:rFonts w:hint="eastAsia"/>
                <w:color w:val="auto"/>
                <w:szCs w:val="21"/>
                <w:highlight w:val="none"/>
              </w:rPr>
              <w:t>。</w:t>
            </w:r>
          </w:p>
        </w:tc>
      </w:tr>
      <w:tr w14:paraId="6D8DA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618EFDC0">
            <w:pPr>
              <w:pStyle w:val="127"/>
              <w:keepNext w:val="0"/>
              <w:keepLines w:val="0"/>
              <w:pageBreakBefore w:val="0"/>
              <w:widowControl w:val="0"/>
              <w:numPr>
                <w:ilvl w:val="0"/>
                <w:numId w:val="18"/>
              </w:numPr>
              <w:kinsoku/>
              <w:wordWrap/>
              <w:overflowPunct/>
              <w:topLinePunct w:val="0"/>
              <w:autoSpaceDE/>
              <w:autoSpaceDN/>
              <w:bidi w:val="0"/>
              <w:snapToGrid w:val="0"/>
              <w:ind w:left="0" w:firstLine="0"/>
              <w:jc w:val="center"/>
              <w:rPr>
                <w:rFonts w:hint="eastAsia" w:ascii="宋体" w:hAnsi="宋体"/>
                <w:bCs/>
                <w:color w:val="auto"/>
                <w:szCs w:val="21"/>
                <w:highlight w:val="none"/>
                <w:lang w:eastAsia="zh-CN"/>
              </w:rPr>
            </w:pPr>
          </w:p>
        </w:tc>
        <w:tc>
          <w:tcPr>
            <w:tcW w:w="1238" w:type="pct"/>
            <w:vAlign w:val="center"/>
          </w:tcPr>
          <w:p w14:paraId="45A997E0">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color w:val="auto"/>
                <w:szCs w:val="21"/>
                <w:highlight w:val="none"/>
              </w:rPr>
              <w:t>具有良好的商业信誉和健全的财务会计制度</w:t>
            </w:r>
          </w:p>
        </w:tc>
        <w:tc>
          <w:tcPr>
            <w:tcW w:w="3401" w:type="pct"/>
            <w:vAlign w:val="center"/>
          </w:tcPr>
          <w:p w14:paraId="16344026">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color w:val="auto"/>
                <w:szCs w:val="21"/>
                <w:highlight w:val="none"/>
              </w:rPr>
              <w:t>响应文件中须提供</w:t>
            </w:r>
            <w:r>
              <w:rPr>
                <w:color w:val="auto"/>
                <w:szCs w:val="21"/>
                <w:highlight w:val="none"/>
              </w:rPr>
              <w:t>20</w:t>
            </w:r>
            <w:r>
              <w:rPr>
                <w:rFonts w:hint="eastAsia"/>
                <w:color w:val="auto"/>
                <w:szCs w:val="21"/>
                <w:highlight w:val="none"/>
                <w:lang w:val="en-US" w:eastAsia="zh-CN"/>
              </w:rPr>
              <w:t>24</w:t>
            </w:r>
            <w:r>
              <w:rPr>
                <w:color w:val="auto"/>
                <w:szCs w:val="21"/>
                <w:highlight w:val="none"/>
              </w:rPr>
              <w:t>年度</w:t>
            </w:r>
            <w:r>
              <w:rPr>
                <w:rFonts w:hint="eastAsia"/>
                <w:color w:val="FF0000"/>
                <w:szCs w:val="21"/>
                <w:highlight w:val="none"/>
                <w:lang w:val="en-US" w:eastAsia="zh-CN"/>
              </w:rPr>
              <w:t>或2025年度</w:t>
            </w:r>
            <w:r>
              <w:rPr>
                <w:color w:val="auto"/>
                <w:szCs w:val="21"/>
                <w:highlight w:val="none"/>
              </w:rPr>
              <w:t>经审计的财务状况报告，或20</w:t>
            </w:r>
            <w:r>
              <w:rPr>
                <w:rFonts w:hint="eastAsia"/>
                <w:color w:val="auto"/>
                <w:szCs w:val="21"/>
                <w:highlight w:val="none"/>
                <w:lang w:val="en-US" w:eastAsia="zh-CN"/>
              </w:rPr>
              <w:t>25</w:t>
            </w:r>
            <w:r>
              <w:rPr>
                <w:color w:val="auto"/>
                <w:szCs w:val="21"/>
                <w:highlight w:val="none"/>
              </w:rPr>
              <w:t>年</w:t>
            </w:r>
            <w:r>
              <w:rPr>
                <w:rFonts w:hint="eastAsia"/>
                <w:color w:val="auto"/>
                <w:szCs w:val="21"/>
                <w:highlight w:val="none"/>
                <w:lang w:val="en-US" w:eastAsia="zh-CN"/>
              </w:rPr>
              <w:t>6</w:t>
            </w:r>
            <w:r>
              <w:rPr>
                <w:color w:val="auto"/>
                <w:szCs w:val="21"/>
                <w:highlight w:val="none"/>
              </w:rPr>
              <w:t>月至今任意1个月的会计报表，或银行出具的资信证明</w:t>
            </w:r>
            <w:r>
              <w:rPr>
                <w:rFonts w:hint="eastAsia"/>
                <w:color w:val="auto"/>
                <w:szCs w:val="21"/>
                <w:highlight w:val="none"/>
              </w:rPr>
              <w:t>（资信证明应在有效期内；未注明有效期的，银行出具时间至提交响应文件截止时间不超过一年）。</w:t>
            </w:r>
          </w:p>
        </w:tc>
      </w:tr>
      <w:tr w14:paraId="63847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175B0E60">
            <w:pPr>
              <w:pStyle w:val="127"/>
              <w:keepNext w:val="0"/>
              <w:keepLines w:val="0"/>
              <w:pageBreakBefore w:val="0"/>
              <w:widowControl w:val="0"/>
              <w:numPr>
                <w:ilvl w:val="0"/>
                <w:numId w:val="18"/>
              </w:numPr>
              <w:kinsoku/>
              <w:wordWrap/>
              <w:overflowPunct/>
              <w:topLinePunct w:val="0"/>
              <w:autoSpaceDE/>
              <w:autoSpaceDN/>
              <w:bidi w:val="0"/>
              <w:snapToGrid w:val="0"/>
              <w:ind w:left="0" w:firstLine="0"/>
              <w:jc w:val="center"/>
              <w:rPr>
                <w:rFonts w:hint="eastAsia" w:ascii="宋体" w:hAnsi="宋体"/>
                <w:bCs/>
                <w:color w:val="auto"/>
                <w:szCs w:val="21"/>
                <w:highlight w:val="none"/>
                <w:lang w:eastAsia="zh-CN"/>
              </w:rPr>
            </w:pPr>
          </w:p>
        </w:tc>
        <w:tc>
          <w:tcPr>
            <w:tcW w:w="1238" w:type="pct"/>
            <w:vAlign w:val="center"/>
          </w:tcPr>
          <w:p w14:paraId="1B433100">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color w:val="auto"/>
                <w:szCs w:val="21"/>
                <w:highlight w:val="none"/>
              </w:rPr>
              <w:t>履行合同所必需的设备和专业技术能力</w:t>
            </w:r>
          </w:p>
        </w:tc>
        <w:tc>
          <w:tcPr>
            <w:tcW w:w="3401" w:type="pct"/>
            <w:vAlign w:val="center"/>
          </w:tcPr>
          <w:p w14:paraId="7BBB8258">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color w:val="auto"/>
                <w:szCs w:val="21"/>
                <w:highlight w:val="none"/>
              </w:rPr>
              <w:t>响应文件中须提供设备和专业技术能力情况表。</w:t>
            </w:r>
          </w:p>
        </w:tc>
      </w:tr>
      <w:tr w14:paraId="184BE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61D04BE3">
            <w:pPr>
              <w:pStyle w:val="127"/>
              <w:keepNext w:val="0"/>
              <w:keepLines w:val="0"/>
              <w:pageBreakBefore w:val="0"/>
              <w:widowControl w:val="0"/>
              <w:numPr>
                <w:ilvl w:val="0"/>
                <w:numId w:val="18"/>
              </w:numPr>
              <w:kinsoku/>
              <w:wordWrap/>
              <w:overflowPunct/>
              <w:topLinePunct w:val="0"/>
              <w:autoSpaceDE/>
              <w:autoSpaceDN/>
              <w:bidi w:val="0"/>
              <w:snapToGrid w:val="0"/>
              <w:ind w:left="0" w:firstLine="0"/>
              <w:jc w:val="center"/>
              <w:rPr>
                <w:rFonts w:hint="eastAsia" w:ascii="宋体" w:hAnsi="宋体"/>
                <w:bCs/>
                <w:color w:val="auto"/>
                <w:szCs w:val="21"/>
                <w:highlight w:val="none"/>
                <w:lang w:eastAsia="zh-CN"/>
              </w:rPr>
            </w:pPr>
          </w:p>
        </w:tc>
        <w:tc>
          <w:tcPr>
            <w:tcW w:w="1238" w:type="pct"/>
            <w:vAlign w:val="center"/>
          </w:tcPr>
          <w:p w14:paraId="0EFC2D91">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color w:val="auto"/>
                <w:szCs w:val="21"/>
                <w:highlight w:val="none"/>
              </w:rPr>
              <w:t>参加采购活动前3年内，在经营活动中没有重大违法记录</w:t>
            </w:r>
          </w:p>
        </w:tc>
        <w:tc>
          <w:tcPr>
            <w:tcW w:w="3401" w:type="pct"/>
            <w:vAlign w:val="center"/>
          </w:tcPr>
          <w:p w14:paraId="7B6CCEF1">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color w:val="auto"/>
                <w:szCs w:val="21"/>
                <w:highlight w:val="none"/>
              </w:rPr>
              <w:t>在《响应承诺函》中进行相关申明。重大违法记录，是指供应商因违法经营受到刑事处罚或者责令停产停业、吊销许可证或者执照、较大数额罚款等行政处罚。（根据财库〔</w:t>
            </w:r>
            <w:r>
              <w:rPr>
                <w:color w:val="auto"/>
                <w:szCs w:val="21"/>
                <w:highlight w:val="none"/>
              </w:rPr>
              <w:t>2022〕3号文，“较大数额罚款”认定为200万元以上的罚款，法律、行政法规以及国务院有关部门明确规定相关领域“较大数额罚款”标准高于200万元的，从其规定。</w:t>
            </w:r>
            <w:r>
              <w:rPr>
                <w:rFonts w:hint="eastAsia"/>
                <w:color w:val="auto"/>
                <w:szCs w:val="21"/>
                <w:highlight w:val="none"/>
              </w:rPr>
              <w:t>）</w:t>
            </w:r>
          </w:p>
        </w:tc>
      </w:tr>
      <w:tr w14:paraId="03003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225A8F75">
            <w:pPr>
              <w:pStyle w:val="127"/>
              <w:keepNext w:val="0"/>
              <w:keepLines w:val="0"/>
              <w:pageBreakBefore w:val="0"/>
              <w:widowControl w:val="0"/>
              <w:numPr>
                <w:ilvl w:val="0"/>
                <w:numId w:val="18"/>
              </w:numPr>
              <w:kinsoku/>
              <w:wordWrap/>
              <w:overflowPunct/>
              <w:topLinePunct w:val="0"/>
              <w:autoSpaceDE/>
              <w:autoSpaceDN/>
              <w:bidi w:val="0"/>
              <w:snapToGrid w:val="0"/>
              <w:ind w:left="0" w:firstLine="0"/>
              <w:jc w:val="center"/>
              <w:rPr>
                <w:rFonts w:hint="eastAsia" w:ascii="宋体" w:hAnsi="宋体"/>
                <w:bCs/>
                <w:color w:val="auto"/>
                <w:szCs w:val="21"/>
                <w:highlight w:val="none"/>
              </w:rPr>
            </w:pPr>
          </w:p>
        </w:tc>
        <w:tc>
          <w:tcPr>
            <w:tcW w:w="1238" w:type="pct"/>
            <w:vAlign w:val="center"/>
          </w:tcPr>
          <w:p w14:paraId="7E2423D5">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color w:val="auto"/>
                <w:szCs w:val="21"/>
                <w:highlight w:val="none"/>
              </w:rPr>
              <w:t>落实政府采购政策需满足的资格要求</w:t>
            </w:r>
          </w:p>
        </w:tc>
        <w:tc>
          <w:tcPr>
            <w:tcW w:w="3401" w:type="pct"/>
          </w:tcPr>
          <w:p w14:paraId="1F3FACCC">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color w:val="auto"/>
                <w:highlight w:val="none"/>
              </w:rPr>
              <w:t>本项目整体专门面向中小企业采购，供应商应为中小微企业或监狱企业或残疾人福利性单位，须提供《中小企业声明函（工程、服务）》，或省级以上监狱管理局、戒毒管理局（含新疆生产建设兵团）出具的属于监狱企业的证明文件，或《残疾人福利性单位声明函》。</w:t>
            </w:r>
          </w:p>
        </w:tc>
      </w:tr>
      <w:tr w14:paraId="25DDB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35CDC397">
            <w:pPr>
              <w:pStyle w:val="127"/>
              <w:keepNext w:val="0"/>
              <w:keepLines w:val="0"/>
              <w:pageBreakBefore w:val="0"/>
              <w:widowControl w:val="0"/>
              <w:numPr>
                <w:ilvl w:val="0"/>
                <w:numId w:val="18"/>
              </w:numPr>
              <w:kinsoku/>
              <w:wordWrap/>
              <w:overflowPunct/>
              <w:topLinePunct w:val="0"/>
              <w:autoSpaceDE/>
              <w:autoSpaceDN/>
              <w:bidi w:val="0"/>
              <w:snapToGrid w:val="0"/>
              <w:ind w:left="0" w:firstLine="0"/>
              <w:jc w:val="center"/>
              <w:rPr>
                <w:rFonts w:hint="eastAsia" w:ascii="宋体" w:hAnsi="宋体"/>
                <w:bCs/>
                <w:color w:val="auto"/>
                <w:szCs w:val="21"/>
                <w:highlight w:val="none"/>
                <w:lang w:eastAsia="zh-CN"/>
              </w:rPr>
            </w:pPr>
          </w:p>
        </w:tc>
        <w:tc>
          <w:tcPr>
            <w:tcW w:w="1238" w:type="pct"/>
            <w:vAlign w:val="center"/>
          </w:tcPr>
          <w:p w14:paraId="0E77191F">
            <w:pPr>
              <w:keepNext w:val="0"/>
              <w:keepLines w:val="0"/>
              <w:pageBreakBefore w:val="0"/>
              <w:widowControl w:val="0"/>
              <w:kinsoku/>
              <w:wordWrap/>
              <w:overflowPunct/>
              <w:topLinePunct w:val="0"/>
              <w:autoSpaceDE/>
              <w:autoSpaceDN/>
              <w:bidi w:val="0"/>
              <w:snapToGrid w:val="0"/>
              <w:jc w:val="center"/>
              <w:rPr>
                <w:rFonts w:hint="eastAsia" w:eastAsia="宋体"/>
                <w:bCs/>
                <w:color w:val="auto"/>
                <w:szCs w:val="21"/>
                <w:highlight w:val="none"/>
                <w:lang w:val="en-US" w:eastAsia="zh-CN"/>
              </w:rPr>
            </w:pPr>
            <w:r>
              <w:rPr>
                <w:rFonts w:hint="eastAsia"/>
                <w:bCs/>
                <w:color w:val="auto"/>
                <w:szCs w:val="21"/>
                <w:highlight w:val="none"/>
                <w:lang w:val="en-US" w:eastAsia="zh-CN"/>
              </w:rPr>
              <w:t>特定资格要求</w:t>
            </w:r>
          </w:p>
        </w:tc>
        <w:tc>
          <w:tcPr>
            <w:tcW w:w="3401" w:type="pct"/>
            <w:vAlign w:val="center"/>
          </w:tcPr>
          <w:p w14:paraId="7DDFCC7F">
            <w:pPr>
              <w:keepNext w:val="0"/>
              <w:keepLines w:val="0"/>
              <w:pageBreakBefore w:val="0"/>
              <w:widowControl w:val="0"/>
              <w:kinsoku/>
              <w:wordWrap/>
              <w:overflowPunct/>
              <w:topLinePunct w:val="0"/>
              <w:autoSpaceDE/>
              <w:autoSpaceDN/>
              <w:bidi w:val="0"/>
              <w:snapToGrid w:val="0"/>
              <w:rPr>
                <w:color w:val="auto"/>
                <w:highlight w:val="none"/>
              </w:rPr>
            </w:pPr>
            <w:r>
              <w:rPr>
                <w:rFonts w:hint="eastAsia" w:ascii="宋体" w:hAnsi="宋体" w:eastAsia="宋体" w:cs="宋体"/>
                <w:color w:val="auto"/>
                <w:szCs w:val="21"/>
                <w:highlight w:val="none"/>
                <w:lang w:eastAsia="zh-CN"/>
              </w:rPr>
              <w:t>供应商须具有合法有效的</w:t>
            </w:r>
            <w:r>
              <w:rPr>
                <w:rFonts w:hint="eastAsia" w:ascii="宋体" w:hAnsi="宋体" w:eastAsia="宋体" w:cs="宋体"/>
                <w:b/>
                <w:bCs/>
                <w:color w:val="auto"/>
                <w:szCs w:val="21"/>
                <w:highlight w:val="none"/>
                <w:lang w:eastAsia="zh-CN"/>
              </w:rPr>
              <w:t>《食品经营许可证》</w:t>
            </w:r>
            <w:r>
              <w:rPr>
                <w:rFonts w:hint="eastAsia" w:ascii="宋体" w:hAnsi="宋体" w:eastAsia="宋体" w:cs="宋体"/>
                <w:color w:val="auto"/>
                <w:szCs w:val="21"/>
                <w:highlight w:val="none"/>
                <w:lang w:eastAsia="zh-CN"/>
              </w:rPr>
              <w:t>（须提供证书复印件，加盖公章；如供应商的《食品经营许可证》与营业执照合并办理的，提供扫描营业执照二维码后的有效备案信息截图，加盖公章。）</w:t>
            </w:r>
          </w:p>
        </w:tc>
      </w:tr>
      <w:tr w14:paraId="1BBE8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39676090">
            <w:pPr>
              <w:pStyle w:val="127"/>
              <w:keepNext w:val="0"/>
              <w:keepLines w:val="0"/>
              <w:pageBreakBefore w:val="0"/>
              <w:widowControl w:val="0"/>
              <w:numPr>
                <w:ilvl w:val="0"/>
                <w:numId w:val="18"/>
              </w:numPr>
              <w:kinsoku/>
              <w:wordWrap/>
              <w:overflowPunct/>
              <w:topLinePunct w:val="0"/>
              <w:autoSpaceDE/>
              <w:autoSpaceDN/>
              <w:bidi w:val="0"/>
              <w:snapToGrid w:val="0"/>
              <w:ind w:left="0" w:firstLine="0"/>
              <w:jc w:val="center"/>
              <w:rPr>
                <w:rFonts w:hint="eastAsia" w:ascii="宋体" w:hAnsi="宋体"/>
                <w:bCs/>
                <w:color w:val="auto"/>
                <w:szCs w:val="21"/>
                <w:highlight w:val="none"/>
                <w:lang w:eastAsia="zh-CN"/>
              </w:rPr>
            </w:pPr>
          </w:p>
        </w:tc>
        <w:tc>
          <w:tcPr>
            <w:tcW w:w="1238" w:type="pct"/>
            <w:vAlign w:val="center"/>
          </w:tcPr>
          <w:p w14:paraId="5BC253C1">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bCs/>
                <w:color w:val="auto"/>
                <w:szCs w:val="21"/>
                <w:highlight w:val="none"/>
              </w:rPr>
              <w:t>供应商符合法律、行政法规规定的其他条件</w:t>
            </w:r>
          </w:p>
        </w:tc>
        <w:tc>
          <w:tcPr>
            <w:tcW w:w="3401" w:type="pct"/>
            <w:vAlign w:val="center"/>
          </w:tcPr>
          <w:p w14:paraId="68B173E2">
            <w:pPr>
              <w:keepNext w:val="0"/>
              <w:keepLines w:val="0"/>
              <w:pageBreakBefore w:val="0"/>
              <w:widowControl w:val="0"/>
              <w:kinsoku/>
              <w:wordWrap/>
              <w:overflowPunct/>
              <w:topLinePunct w:val="0"/>
              <w:autoSpaceDE/>
              <w:autoSpaceDN/>
              <w:bidi w:val="0"/>
              <w:snapToGrid w:val="0"/>
              <w:rPr>
                <w:rFonts w:hint="eastAsia"/>
                <w:color w:val="auto"/>
                <w:highlight w:val="none"/>
              </w:rPr>
            </w:pPr>
            <w:r>
              <w:rPr>
                <w:color w:val="auto"/>
                <w:szCs w:val="21"/>
                <w:highlight w:val="none"/>
              </w:rPr>
              <w:t>单位负责人为同一人或者存在直接控股、管理关系的不同供应商，不得同时参加本采购项目（或采购包）投标（响应）。为本项目提供整体设计、规范编制或者项目管理、监理、检测等服务的供应商，不得再参与本项目投标（响应）。</w:t>
            </w:r>
            <w:r>
              <w:rPr>
                <w:rFonts w:hint="eastAsia"/>
                <w:color w:val="auto"/>
                <w:szCs w:val="21"/>
                <w:highlight w:val="none"/>
              </w:rPr>
              <w:t>在《响应承诺函》中进行相关申明。</w:t>
            </w:r>
          </w:p>
        </w:tc>
      </w:tr>
      <w:tr w14:paraId="3A32B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37DF7E78">
            <w:pPr>
              <w:pStyle w:val="127"/>
              <w:keepNext w:val="0"/>
              <w:keepLines w:val="0"/>
              <w:pageBreakBefore w:val="0"/>
              <w:widowControl w:val="0"/>
              <w:numPr>
                <w:ilvl w:val="0"/>
                <w:numId w:val="18"/>
              </w:numPr>
              <w:kinsoku/>
              <w:wordWrap/>
              <w:overflowPunct/>
              <w:topLinePunct w:val="0"/>
              <w:autoSpaceDE/>
              <w:autoSpaceDN/>
              <w:bidi w:val="0"/>
              <w:snapToGrid w:val="0"/>
              <w:ind w:left="0" w:firstLine="0"/>
              <w:jc w:val="center"/>
              <w:rPr>
                <w:rFonts w:hint="eastAsia" w:ascii="宋体" w:hAnsi="宋体"/>
                <w:bCs/>
                <w:color w:val="auto"/>
                <w:szCs w:val="21"/>
                <w:highlight w:val="none"/>
                <w:lang w:eastAsia="zh-CN"/>
              </w:rPr>
            </w:pPr>
          </w:p>
        </w:tc>
        <w:tc>
          <w:tcPr>
            <w:tcW w:w="1238" w:type="pct"/>
            <w:vAlign w:val="center"/>
          </w:tcPr>
          <w:p w14:paraId="609BBD9D">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bCs/>
                <w:color w:val="auto"/>
                <w:szCs w:val="21"/>
                <w:highlight w:val="none"/>
              </w:rPr>
              <w:t>信用记录</w:t>
            </w:r>
          </w:p>
        </w:tc>
        <w:tc>
          <w:tcPr>
            <w:tcW w:w="3401" w:type="pct"/>
            <w:vAlign w:val="center"/>
          </w:tcPr>
          <w:p w14:paraId="51C6297E">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以采购代理机构于投标（响应）截止时间当天在上述网站查询结果为准，如在上述网站查询结果均显示没有相关记录，视为没有上述不良信用记录；如相关失信记录已失效，供应商须提供相关证明资料。</w:t>
            </w:r>
            <w:r>
              <w:rPr>
                <w:color w:val="auto"/>
                <w:szCs w:val="21"/>
                <w:highlight w:val="none"/>
              </w:rPr>
              <w:t>）</w:t>
            </w:r>
          </w:p>
        </w:tc>
      </w:tr>
      <w:tr w14:paraId="3733A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3"/>
            <w:vAlign w:val="center"/>
          </w:tcPr>
          <w:p w14:paraId="0A4293FA">
            <w:pPr>
              <w:keepNext w:val="0"/>
              <w:keepLines w:val="0"/>
              <w:pageBreakBefore w:val="0"/>
              <w:widowControl w:val="0"/>
              <w:kinsoku/>
              <w:wordWrap/>
              <w:overflowPunct/>
              <w:topLinePunct w:val="0"/>
              <w:autoSpaceDE/>
              <w:autoSpaceDN/>
              <w:bidi w:val="0"/>
              <w:snapToGrid w:val="0"/>
              <w:jc w:val="center"/>
              <w:rPr>
                <w:rFonts w:hint="eastAsia"/>
                <w:b/>
                <w:color w:val="auto"/>
                <w:szCs w:val="21"/>
                <w:highlight w:val="none"/>
              </w:rPr>
            </w:pPr>
            <w:r>
              <w:rPr>
                <w:rFonts w:hint="eastAsia"/>
                <w:b/>
                <w:color w:val="auto"/>
                <w:szCs w:val="21"/>
                <w:highlight w:val="none"/>
              </w:rPr>
              <w:t>结论</w:t>
            </w:r>
          </w:p>
        </w:tc>
      </w:tr>
      <w:tr w14:paraId="04682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3"/>
            <w:vAlign w:val="center"/>
          </w:tcPr>
          <w:p w14:paraId="606418EC">
            <w:pPr>
              <w:keepNext w:val="0"/>
              <w:keepLines w:val="0"/>
              <w:pageBreakBefore w:val="0"/>
              <w:widowControl w:val="0"/>
              <w:kinsoku/>
              <w:wordWrap/>
              <w:overflowPunct/>
              <w:topLinePunct w:val="0"/>
              <w:autoSpaceDE/>
              <w:autoSpaceDN/>
              <w:bidi w:val="0"/>
              <w:jc w:val="left"/>
              <w:rPr>
                <w:rFonts w:hint="eastAsia"/>
                <w:bCs/>
                <w:color w:val="auto"/>
                <w:szCs w:val="21"/>
                <w:highlight w:val="none"/>
              </w:rPr>
            </w:pPr>
            <w:r>
              <w:rPr>
                <w:rFonts w:hint="eastAsia"/>
                <w:bCs/>
                <w:color w:val="auto"/>
                <w:szCs w:val="21"/>
                <w:highlight w:val="none"/>
              </w:rPr>
              <w:t>填表说明：</w:t>
            </w:r>
          </w:p>
          <w:p w14:paraId="7B1CFD48">
            <w:pPr>
              <w:keepNext w:val="0"/>
              <w:keepLines w:val="0"/>
              <w:pageBreakBefore w:val="0"/>
              <w:widowControl w:val="0"/>
              <w:kinsoku/>
              <w:wordWrap/>
              <w:overflowPunct/>
              <w:topLinePunct w:val="0"/>
              <w:autoSpaceDE/>
              <w:autoSpaceDN/>
              <w:bidi w:val="0"/>
              <w:jc w:val="left"/>
              <w:rPr>
                <w:rFonts w:hint="eastAsia"/>
                <w:bCs/>
                <w:color w:val="auto"/>
                <w:szCs w:val="21"/>
                <w:highlight w:val="none"/>
              </w:rPr>
            </w:pPr>
            <w:r>
              <w:rPr>
                <w:rFonts w:hint="eastAsia"/>
                <w:bCs/>
                <w:color w:val="auto"/>
                <w:szCs w:val="21"/>
                <w:highlight w:val="none"/>
              </w:rPr>
              <w:t>1.“通过”打“√”，“未通过”打“×”；</w:t>
            </w:r>
          </w:p>
          <w:p w14:paraId="222DB469">
            <w:pPr>
              <w:keepNext w:val="0"/>
              <w:keepLines w:val="0"/>
              <w:pageBreakBefore w:val="0"/>
              <w:widowControl w:val="0"/>
              <w:kinsoku/>
              <w:wordWrap/>
              <w:overflowPunct/>
              <w:topLinePunct w:val="0"/>
              <w:autoSpaceDE/>
              <w:autoSpaceDN/>
              <w:bidi w:val="0"/>
              <w:jc w:val="left"/>
              <w:rPr>
                <w:rFonts w:hint="eastAsia"/>
                <w:bCs/>
                <w:color w:val="auto"/>
                <w:szCs w:val="21"/>
                <w:highlight w:val="none"/>
              </w:rPr>
            </w:pPr>
            <w:r>
              <w:rPr>
                <w:rFonts w:hint="eastAsia"/>
                <w:bCs/>
                <w:color w:val="auto"/>
                <w:szCs w:val="21"/>
                <w:highlight w:val="none"/>
              </w:rPr>
              <w:t>2.在结论栏中填写“通过”或“未通过”；</w:t>
            </w:r>
          </w:p>
          <w:p w14:paraId="7E725D09">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bCs/>
                <w:color w:val="auto"/>
                <w:szCs w:val="21"/>
                <w:highlight w:val="none"/>
              </w:rPr>
              <w:t>3.供应商有一个“未通过”，审查结论视为“未通过”。</w:t>
            </w:r>
          </w:p>
        </w:tc>
      </w:tr>
    </w:tbl>
    <w:p w14:paraId="5A44F24C">
      <w:pPr>
        <w:keepNext w:val="0"/>
        <w:keepLines w:val="0"/>
        <w:pageBreakBefore w:val="0"/>
        <w:widowControl w:val="0"/>
        <w:kinsoku/>
        <w:wordWrap/>
        <w:overflowPunct/>
        <w:topLinePunct w:val="0"/>
        <w:autoSpaceDE/>
        <w:autoSpaceDN/>
        <w:bidi w:val="0"/>
        <w:jc w:val="left"/>
        <w:rPr>
          <w:rFonts w:hint="eastAsia"/>
          <w:color w:val="auto"/>
          <w:highlight w:val="none"/>
        </w:rPr>
      </w:pPr>
    </w:p>
    <w:p w14:paraId="3C71AB56">
      <w:pPr>
        <w:keepNext w:val="0"/>
        <w:keepLines w:val="0"/>
        <w:pageBreakBefore w:val="0"/>
        <w:widowControl w:val="0"/>
        <w:kinsoku/>
        <w:wordWrap/>
        <w:overflowPunct/>
        <w:topLinePunct w:val="0"/>
        <w:autoSpaceDE/>
        <w:autoSpaceDN/>
        <w:bidi w:val="0"/>
        <w:ind w:firstLine="422" w:firstLineChars="200"/>
        <w:jc w:val="left"/>
        <w:outlineLvl w:val="3"/>
        <w:rPr>
          <w:rStyle w:val="59"/>
          <w:color w:val="auto"/>
          <w:highlight w:val="none"/>
        </w:rPr>
      </w:pPr>
      <w:r>
        <w:rPr>
          <w:rFonts w:hint="eastAsia" w:cs="Futura-Heavy"/>
          <w:b/>
          <w:bCs/>
          <w:color w:val="auto"/>
          <w:kern w:val="0"/>
          <w:szCs w:val="21"/>
          <w:highlight w:val="none"/>
        </w:rPr>
        <w:t>表二：符合性审查表</w:t>
      </w:r>
    </w:p>
    <w:tbl>
      <w:tblPr>
        <w:tblStyle w:val="4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2292"/>
        <w:gridCol w:w="6851"/>
      </w:tblGrid>
      <w:tr w14:paraId="77A58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1" w:type="pct"/>
            <w:vAlign w:val="center"/>
          </w:tcPr>
          <w:p w14:paraId="656F22C7">
            <w:pPr>
              <w:keepNext w:val="0"/>
              <w:keepLines w:val="0"/>
              <w:pageBreakBefore w:val="0"/>
              <w:widowControl w:val="0"/>
              <w:kinsoku/>
              <w:wordWrap/>
              <w:overflowPunct/>
              <w:topLinePunct w:val="0"/>
              <w:autoSpaceDE/>
              <w:autoSpaceDN/>
              <w:bidi w:val="0"/>
              <w:snapToGrid w:val="0"/>
              <w:spacing w:before="120" w:beforeLines="50" w:after="120" w:afterLines="50" w:line="240" w:lineRule="auto"/>
              <w:jc w:val="center"/>
              <w:rPr>
                <w:rFonts w:hint="eastAsia"/>
                <w:b/>
                <w:color w:val="auto"/>
                <w:szCs w:val="21"/>
                <w:highlight w:val="none"/>
              </w:rPr>
            </w:pPr>
            <w:r>
              <w:rPr>
                <w:b/>
                <w:color w:val="auto"/>
                <w:szCs w:val="21"/>
                <w:highlight w:val="none"/>
              </w:rPr>
              <w:t>序号</w:t>
            </w:r>
          </w:p>
        </w:tc>
        <w:tc>
          <w:tcPr>
            <w:tcW w:w="1163" w:type="pct"/>
            <w:vAlign w:val="center"/>
          </w:tcPr>
          <w:p w14:paraId="739615CA">
            <w:pPr>
              <w:keepNext w:val="0"/>
              <w:keepLines w:val="0"/>
              <w:pageBreakBefore w:val="0"/>
              <w:widowControl w:val="0"/>
              <w:kinsoku/>
              <w:wordWrap/>
              <w:overflowPunct/>
              <w:topLinePunct w:val="0"/>
              <w:autoSpaceDE/>
              <w:autoSpaceDN/>
              <w:bidi w:val="0"/>
              <w:snapToGrid w:val="0"/>
              <w:spacing w:before="120" w:beforeLines="50" w:after="120" w:afterLines="50" w:line="240" w:lineRule="auto"/>
              <w:jc w:val="center"/>
              <w:rPr>
                <w:rFonts w:hint="eastAsia"/>
                <w:b/>
                <w:color w:val="auto"/>
                <w:szCs w:val="21"/>
                <w:highlight w:val="none"/>
              </w:rPr>
            </w:pPr>
            <w:r>
              <w:rPr>
                <w:rFonts w:hint="eastAsia"/>
                <w:b/>
                <w:color w:val="auto"/>
                <w:szCs w:val="21"/>
                <w:highlight w:val="none"/>
              </w:rPr>
              <w:t>评审点要求概况</w:t>
            </w:r>
          </w:p>
        </w:tc>
        <w:tc>
          <w:tcPr>
            <w:tcW w:w="3474" w:type="pct"/>
            <w:vAlign w:val="center"/>
          </w:tcPr>
          <w:p w14:paraId="5FCEDCFE">
            <w:pPr>
              <w:keepNext w:val="0"/>
              <w:keepLines w:val="0"/>
              <w:pageBreakBefore w:val="0"/>
              <w:widowControl w:val="0"/>
              <w:kinsoku/>
              <w:wordWrap/>
              <w:overflowPunct/>
              <w:topLinePunct w:val="0"/>
              <w:autoSpaceDE/>
              <w:autoSpaceDN/>
              <w:bidi w:val="0"/>
              <w:snapToGrid w:val="0"/>
              <w:spacing w:before="120" w:beforeLines="50" w:after="120" w:afterLines="50" w:line="240" w:lineRule="auto"/>
              <w:jc w:val="center"/>
              <w:rPr>
                <w:rFonts w:hint="eastAsia"/>
                <w:b/>
                <w:color w:val="auto"/>
                <w:szCs w:val="21"/>
                <w:highlight w:val="none"/>
              </w:rPr>
            </w:pPr>
            <w:r>
              <w:rPr>
                <w:rFonts w:hint="eastAsia"/>
                <w:b/>
                <w:color w:val="auto"/>
                <w:szCs w:val="21"/>
                <w:highlight w:val="none"/>
              </w:rPr>
              <w:t>评审点具体描述</w:t>
            </w:r>
          </w:p>
        </w:tc>
      </w:tr>
      <w:tr w14:paraId="5E32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1" w:type="pct"/>
            <w:vAlign w:val="center"/>
          </w:tcPr>
          <w:p w14:paraId="24B0F938">
            <w:pPr>
              <w:pStyle w:val="127"/>
              <w:keepNext w:val="0"/>
              <w:keepLines w:val="0"/>
              <w:pageBreakBefore w:val="0"/>
              <w:widowControl w:val="0"/>
              <w:numPr>
                <w:ilvl w:val="0"/>
                <w:numId w:val="19"/>
              </w:numPr>
              <w:kinsoku/>
              <w:wordWrap/>
              <w:overflowPunct/>
              <w:topLinePunct w:val="0"/>
              <w:autoSpaceDE/>
              <w:autoSpaceDN/>
              <w:bidi w:val="0"/>
              <w:ind w:left="0" w:firstLine="0"/>
              <w:jc w:val="center"/>
              <w:rPr>
                <w:rFonts w:hint="eastAsia" w:ascii="宋体" w:hAnsi="宋体"/>
                <w:color w:val="auto"/>
                <w:highlight w:val="none"/>
              </w:rPr>
            </w:pPr>
          </w:p>
        </w:tc>
        <w:tc>
          <w:tcPr>
            <w:tcW w:w="1163" w:type="pct"/>
            <w:vAlign w:val="center"/>
          </w:tcPr>
          <w:p w14:paraId="34559C1B">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bCs/>
                <w:color w:val="auto"/>
                <w:szCs w:val="21"/>
                <w:highlight w:val="none"/>
              </w:rPr>
              <w:t>响应承诺函</w:t>
            </w:r>
          </w:p>
        </w:tc>
        <w:tc>
          <w:tcPr>
            <w:tcW w:w="3474" w:type="pct"/>
            <w:vAlign w:val="center"/>
          </w:tcPr>
          <w:p w14:paraId="53528B94">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bCs/>
                <w:color w:val="auto"/>
                <w:szCs w:val="21"/>
                <w:highlight w:val="none"/>
              </w:rPr>
              <w:t>按采购文件要求提交响应承诺函，内容完整，无重大错漏，按对应格式文件签署和盖章。</w:t>
            </w:r>
          </w:p>
        </w:tc>
      </w:tr>
      <w:tr w14:paraId="096FD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1" w:type="pct"/>
            <w:vAlign w:val="center"/>
          </w:tcPr>
          <w:p w14:paraId="603B8843">
            <w:pPr>
              <w:pStyle w:val="127"/>
              <w:keepNext w:val="0"/>
              <w:keepLines w:val="0"/>
              <w:pageBreakBefore w:val="0"/>
              <w:widowControl w:val="0"/>
              <w:numPr>
                <w:ilvl w:val="0"/>
                <w:numId w:val="19"/>
              </w:numPr>
              <w:kinsoku/>
              <w:wordWrap/>
              <w:overflowPunct/>
              <w:topLinePunct w:val="0"/>
              <w:autoSpaceDE/>
              <w:autoSpaceDN/>
              <w:bidi w:val="0"/>
              <w:ind w:left="0" w:firstLine="0"/>
              <w:jc w:val="center"/>
              <w:rPr>
                <w:rFonts w:hint="eastAsia" w:ascii="宋体" w:hAnsi="宋体"/>
                <w:color w:val="auto"/>
                <w:highlight w:val="none"/>
                <w:lang w:eastAsia="zh-CN"/>
              </w:rPr>
            </w:pPr>
          </w:p>
        </w:tc>
        <w:tc>
          <w:tcPr>
            <w:tcW w:w="1163" w:type="pct"/>
            <w:vAlign w:val="center"/>
          </w:tcPr>
          <w:p w14:paraId="66E754F2">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bCs/>
                <w:color w:val="auto"/>
                <w:szCs w:val="21"/>
                <w:highlight w:val="none"/>
              </w:rPr>
              <w:t>响应</w:t>
            </w:r>
            <w:r>
              <w:rPr>
                <w:bCs/>
                <w:color w:val="auto"/>
                <w:szCs w:val="21"/>
                <w:highlight w:val="none"/>
              </w:rPr>
              <w:t>有效期</w:t>
            </w:r>
          </w:p>
        </w:tc>
        <w:tc>
          <w:tcPr>
            <w:tcW w:w="3474" w:type="pct"/>
            <w:vAlign w:val="center"/>
          </w:tcPr>
          <w:p w14:paraId="53B2A340">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bCs/>
                <w:color w:val="auto"/>
                <w:szCs w:val="21"/>
                <w:highlight w:val="none"/>
              </w:rPr>
              <w:t>响应有效期不少于采购文件中载明的响应有效期。</w:t>
            </w:r>
          </w:p>
        </w:tc>
      </w:tr>
      <w:tr w14:paraId="4649A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1" w:type="pct"/>
            <w:vAlign w:val="center"/>
          </w:tcPr>
          <w:p w14:paraId="3F3B9DB0">
            <w:pPr>
              <w:pStyle w:val="127"/>
              <w:keepNext w:val="0"/>
              <w:keepLines w:val="0"/>
              <w:pageBreakBefore w:val="0"/>
              <w:widowControl w:val="0"/>
              <w:numPr>
                <w:ilvl w:val="0"/>
                <w:numId w:val="19"/>
              </w:numPr>
              <w:kinsoku/>
              <w:wordWrap/>
              <w:overflowPunct/>
              <w:topLinePunct w:val="0"/>
              <w:autoSpaceDE/>
              <w:autoSpaceDN/>
              <w:bidi w:val="0"/>
              <w:ind w:left="0" w:firstLine="0"/>
              <w:jc w:val="center"/>
              <w:rPr>
                <w:rFonts w:hint="eastAsia" w:ascii="宋体" w:hAnsi="宋体"/>
                <w:color w:val="auto"/>
                <w:highlight w:val="none"/>
                <w:lang w:eastAsia="zh-CN"/>
              </w:rPr>
            </w:pPr>
          </w:p>
        </w:tc>
        <w:tc>
          <w:tcPr>
            <w:tcW w:w="1163" w:type="pct"/>
            <w:vAlign w:val="center"/>
          </w:tcPr>
          <w:p w14:paraId="6D1D2DB8">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bCs/>
                <w:color w:val="auto"/>
                <w:szCs w:val="21"/>
                <w:highlight w:val="none"/>
              </w:rPr>
              <w:t>响应</w:t>
            </w:r>
            <w:r>
              <w:rPr>
                <w:bCs/>
                <w:color w:val="auto"/>
                <w:szCs w:val="21"/>
                <w:highlight w:val="none"/>
              </w:rPr>
              <w:t>报价</w:t>
            </w:r>
          </w:p>
        </w:tc>
        <w:tc>
          <w:tcPr>
            <w:tcW w:w="3474" w:type="pct"/>
            <w:vAlign w:val="center"/>
          </w:tcPr>
          <w:p w14:paraId="7B3BEFD2">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bCs/>
                <w:color w:val="auto"/>
                <w:szCs w:val="21"/>
                <w:highlight w:val="none"/>
              </w:rPr>
              <w:t>1.响应报价是固定价且是唯一的，未超过项目预算总金额</w:t>
            </w:r>
            <w:r>
              <w:rPr>
                <w:rFonts w:hint="eastAsia"/>
                <w:bCs/>
                <w:color w:val="auto"/>
                <w:szCs w:val="21"/>
                <w:highlight w:val="none"/>
                <w:lang w:val="en-US" w:eastAsia="zh-CN"/>
              </w:rPr>
              <w:t>和</w:t>
            </w:r>
            <w:r>
              <w:rPr>
                <w:rFonts w:hint="eastAsia"/>
                <w:bCs/>
                <w:color w:val="auto"/>
                <w:szCs w:val="21"/>
                <w:highlight w:val="none"/>
              </w:rPr>
              <w:t>最高限价的。</w:t>
            </w:r>
          </w:p>
          <w:p w14:paraId="17BACD36">
            <w:pPr>
              <w:keepNext w:val="0"/>
              <w:keepLines w:val="0"/>
              <w:pageBreakBefore w:val="0"/>
              <w:widowControl w:val="0"/>
              <w:kinsoku/>
              <w:wordWrap/>
              <w:overflowPunct/>
              <w:topLinePunct w:val="0"/>
              <w:autoSpaceDE/>
              <w:autoSpaceDN/>
              <w:bidi w:val="0"/>
              <w:snapToGrid w:val="0"/>
              <w:rPr>
                <w:rFonts w:hint="eastAsia"/>
                <w:color w:val="auto"/>
                <w:highlight w:val="none"/>
              </w:rPr>
            </w:pPr>
            <w:r>
              <w:rPr>
                <w:rFonts w:hint="eastAsia"/>
                <w:bCs/>
                <w:color w:val="auto"/>
                <w:szCs w:val="21"/>
                <w:highlight w:val="none"/>
              </w:rPr>
              <w:t>2.价格修正：若出现响应报价错误的，按采购文件规定的价格修正原则处理，供应商按规定书面确认报价。</w:t>
            </w:r>
          </w:p>
        </w:tc>
      </w:tr>
      <w:tr w14:paraId="469CE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1" w:type="pct"/>
            <w:vAlign w:val="center"/>
          </w:tcPr>
          <w:p w14:paraId="22B0B899">
            <w:pPr>
              <w:pStyle w:val="127"/>
              <w:keepNext w:val="0"/>
              <w:keepLines w:val="0"/>
              <w:pageBreakBefore w:val="0"/>
              <w:widowControl w:val="0"/>
              <w:numPr>
                <w:ilvl w:val="0"/>
                <w:numId w:val="19"/>
              </w:numPr>
              <w:kinsoku/>
              <w:wordWrap/>
              <w:overflowPunct/>
              <w:topLinePunct w:val="0"/>
              <w:autoSpaceDE/>
              <w:autoSpaceDN/>
              <w:bidi w:val="0"/>
              <w:ind w:left="0" w:firstLine="0"/>
              <w:jc w:val="center"/>
              <w:rPr>
                <w:rFonts w:hint="eastAsia" w:ascii="宋体" w:hAnsi="宋体"/>
                <w:color w:val="auto"/>
                <w:highlight w:val="none"/>
                <w:lang w:eastAsia="zh-CN"/>
              </w:rPr>
            </w:pPr>
          </w:p>
        </w:tc>
        <w:tc>
          <w:tcPr>
            <w:tcW w:w="1163" w:type="pct"/>
            <w:vAlign w:val="center"/>
          </w:tcPr>
          <w:p w14:paraId="70A68F62">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bookmarkStart w:id="106" w:name="_Hlk69329880"/>
            <w:r>
              <w:rPr>
                <w:rFonts w:hint="eastAsia"/>
                <w:bCs/>
                <w:color w:val="auto"/>
                <w:szCs w:val="21"/>
                <w:highlight w:val="none"/>
              </w:rPr>
              <w:t>法定代表人证明书和</w:t>
            </w:r>
            <w:bookmarkEnd w:id="106"/>
            <w:r>
              <w:rPr>
                <w:rFonts w:hint="eastAsia"/>
                <w:bCs/>
                <w:color w:val="auto"/>
                <w:szCs w:val="21"/>
                <w:highlight w:val="none"/>
              </w:rPr>
              <w:t>法定代表人授权书</w:t>
            </w:r>
          </w:p>
        </w:tc>
        <w:tc>
          <w:tcPr>
            <w:tcW w:w="3474" w:type="pct"/>
            <w:vAlign w:val="center"/>
          </w:tcPr>
          <w:p w14:paraId="40D79F95">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bCs/>
                <w:color w:val="auto"/>
                <w:szCs w:val="21"/>
                <w:highlight w:val="none"/>
              </w:rPr>
              <w:t>响应供应商提供的法定代表人证明书及法定代表人授权书原件</w:t>
            </w:r>
            <w:r>
              <w:rPr>
                <w:rFonts w:hint="eastAsia"/>
                <w:color w:val="auto"/>
                <w:szCs w:val="21"/>
                <w:highlight w:val="none"/>
              </w:rPr>
              <w:t>，</w:t>
            </w:r>
            <w:r>
              <w:rPr>
                <w:rFonts w:hint="eastAsia"/>
                <w:bCs/>
                <w:color w:val="auto"/>
                <w:szCs w:val="21"/>
                <w:highlight w:val="none"/>
              </w:rPr>
              <w:t>按格式要求签署并盖章；</w:t>
            </w:r>
            <w:r>
              <w:rPr>
                <w:rFonts w:hint="eastAsia"/>
                <w:color w:val="auto"/>
                <w:szCs w:val="21"/>
                <w:highlight w:val="none"/>
              </w:rPr>
              <w:t>若法定代表人作为供应商代表参加响应，则只需提供法定代表人证明书</w:t>
            </w:r>
            <w:r>
              <w:rPr>
                <w:rFonts w:hint="eastAsia"/>
                <w:bCs/>
                <w:color w:val="auto"/>
                <w:szCs w:val="21"/>
                <w:highlight w:val="none"/>
              </w:rPr>
              <w:t>。</w:t>
            </w:r>
          </w:p>
        </w:tc>
      </w:tr>
      <w:tr w14:paraId="090F3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1" w:type="pct"/>
            <w:vAlign w:val="center"/>
          </w:tcPr>
          <w:p w14:paraId="304EB40A">
            <w:pPr>
              <w:pStyle w:val="127"/>
              <w:keepNext w:val="0"/>
              <w:keepLines w:val="0"/>
              <w:pageBreakBefore w:val="0"/>
              <w:widowControl w:val="0"/>
              <w:numPr>
                <w:ilvl w:val="0"/>
                <w:numId w:val="19"/>
              </w:numPr>
              <w:kinsoku/>
              <w:wordWrap/>
              <w:overflowPunct/>
              <w:topLinePunct w:val="0"/>
              <w:autoSpaceDE/>
              <w:autoSpaceDN/>
              <w:bidi w:val="0"/>
              <w:ind w:left="0" w:firstLine="0"/>
              <w:jc w:val="center"/>
              <w:rPr>
                <w:rFonts w:hint="eastAsia" w:ascii="宋体" w:hAnsi="宋体"/>
                <w:color w:val="auto"/>
                <w:highlight w:val="none"/>
                <w:lang w:eastAsia="zh-CN"/>
              </w:rPr>
            </w:pPr>
          </w:p>
        </w:tc>
        <w:tc>
          <w:tcPr>
            <w:tcW w:w="1163" w:type="pct"/>
            <w:vAlign w:val="center"/>
          </w:tcPr>
          <w:p w14:paraId="565DB228">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bCs/>
                <w:color w:val="auto"/>
                <w:szCs w:val="21"/>
                <w:highlight w:val="none"/>
              </w:rPr>
              <w:t>附加条件</w:t>
            </w:r>
          </w:p>
        </w:tc>
        <w:tc>
          <w:tcPr>
            <w:tcW w:w="3474" w:type="pct"/>
            <w:vAlign w:val="center"/>
          </w:tcPr>
          <w:p w14:paraId="63889028">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bCs/>
                <w:color w:val="auto"/>
                <w:szCs w:val="21"/>
                <w:highlight w:val="none"/>
              </w:rPr>
              <w:t>响应文件中未含有采购人不能接受的附加条件。</w:t>
            </w:r>
          </w:p>
        </w:tc>
      </w:tr>
      <w:tr w14:paraId="45721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1" w:type="pct"/>
            <w:vAlign w:val="center"/>
          </w:tcPr>
          <w:p w14:paraId="257590DC">
            <w:pPr>
              <w:pStyle w:val="127"/>
              <w:keepNext w:val="0"/>
              <w:keepLines w:val="0"/>
              <w:pageBreakBefore w:val="0"/>
              <w:widowControl w:val="0"/>
              <w:numPr>
                <w:ilvl w:val="0"/>
                <w:numId w:val="19"/>
              </w:numPr>
              <w:kinsoku/>
              <w:wordWrap/>
              <w:overflowPunct/>
              <w:topLinePunct w:val="0"/>
              <w:autoSpaceDE/>
              <w:autoSpaceDN/>
              <w:bidi w:val="0"/>
              <w:ind w:left="0" w:firstLine="0"/>
              <w:jc w:val="center"/>
              <w:rPr>
                <w:rFonts w:hint="eastAsia" w:ascii="宋体" w:hAnsi="宋体"/>
                <w:color w:val="auto"/>
                <w:highlight w:val="none"/>
                <w:lang w:eastAsia="zh-CN"/>
              </w:rPr>
            </w:pPr>
          </w:p>
        </w:tc>
        <w:tc>
          <w:tcPr>
            <w:tcW w:w="1163" w:type="pct"/>
            <w:vAlign w:val="center"/>
          </w:tcPr>
          <w:p w14:paraId="2A431746">
            <w:pPr>
              <w:keepNext w:val="0"/>
              <w:keepLines w:val="0"/>
              <w:pageBreakBefore w:val="0"/>
              <w:widowControl w:val="0"/>
              <w:kinsoku/>
              <w:wordWrap/>
              <w:overflowPunct/>
              <w:topLinePunct w:val="0"/>
              <w:autoSpaceDE/>
              <w:autoSpaceDN/>
              <w:bidi w:val="0"/>
              <w:snapToGrid w:val="0"/>
              <w:jc w:val="center"/>
              <w:rPr>
                <w:rFonts w:hint="eastAsia"/>
                <w:color w:val="auto"/>
                <w:szCs w:val="21"/>
                <w:highlight w:val="none"/>
              </w:rPr>
            </w:pPr>
            <w:r>
              <w:rPr>
                <w:color w:val="auto"/>
                <w:szCs w:val="21"/>
                <w:highlight w:val="none"/>
              </w:rPr>
              <w:t>商务条款响应情况</w:t>
            </w:r>
          </w:p>
        </w:tc>
        <w:tc>
          <w:tcPr>
            <w:tcW w:w="3474" w:type="pct"/>
            <w:vAlign w:val="center"/>
          </w:tcPr>
          <w:p w14:paraId="6AE0999D">
            <w:pPr>
              <w:keepNext w:val="0"/>
              <w:keepLines w:val="0"/>
              <w:pageBreakBefore w:val="0"/>
              <w:widowControl w:val="0"/>
              <w:kinsoku/>
              <w:wordWrap/>
              <w:overflowPunct/>
              <w:topLinePunct w:val="0"/>
              <w:autoSpaceDE/>
              <w:autoSpaceDN/>
              <w:bidi w:val="0"/>
              <w:snapToGrid w:val="0"/>
              <w:rPr>
                <w:rFonts w:hint="eastAsia"/>
                <w:color w:val="auto"/>
                <w:szCs w:val="21"/>
                <w:highlight w:val="none"/>
              </w:rPr>
            </w:pPr>
            <w:r>
              <w:rPr>
                <w:rFonts w:hint="eastAsia"/>
                <w:color w:val="auto"/>
                <w:szCs w:val="21"/>
                <w:highlight w:val="none"/>
              </w:rPr>
              <w:t>满足采购文件中“采购需求”的“主要商务要求”，提供《商务条款响应表》，且不存在负偏离或不满足的情况。</w:t>
            </w:r>
          </w:p>
        </w:tc>
      </w:tr>
      <w:tr w14:paraId="43B60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1" w:type="pct"/>
            <w:vAlign w:val="center"/>
          </w:tcPr>
          <w:p w14:paraId="70585086">
            <w:pPr>
              <w:pStyle w:val="127"/>
              <w:keepNext w:val="0"/>
              <w:keepLines w:val="0"/>
              <w:pageBreakBefore w:val="0"/>
              <w:widowControl w:val="0"/>
              <w:numPr>
                <w:ilvl w:val="0"/>
                <w:numId w:val="19"/>
              </w:numPr>
              <w:kinsoku/>
              <w:wordWrap/>
              <w:overflowPunct/>
              <w:topLinePunct w:val="0"/>
              <w:autoSpaceDE/>
              <w:autoSpaceDN/>
              <w:bidi w:val="0"/>
              <w:ind w:left="0" w:firstLine="0"/>
              <w:jc w:val="center"/>
              <w:rPr>
                <w:rFonts w:hint="eastAsia" w:ascii="宋体" w:hAnsi="宋体"/>
                <w:color w:val="auto"/>
                <w:highlight w:val="none"/>
                <w:lang w:eastAsia="zh-CN"/>
              </w:rPr>
            </w:pPr>
          </w:p>
        </w:tc>
        <w:tc>
          <w:tcPr>
            <w:tcW w:w="1163" w:type="pct"/>
            <w:vAlign w:val="center"/>
          </w:tcPr>
          <w:p w14:paraId="07160C4F">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bCs/>
                <w:color w:val="auto"/>
                <w:szCs w:val="21"/>
                <w:highlight w:val="none"/>
              </w:rPr>
              <w:t>响应</w:t>
            </w:r>
            <w:r>
              <w:rPr>
                <w:bCs/>
                <w:color w:val="auto"/>
                <w:szCs w:val="21"/>
                <w:highlight w:val="none"/>
              </w:rPr>
              <w:t>文件</w:t>
            </w:r>
            <w:r>
              <w:rPr>
                <w:rFonts w:hint="eastAsia"/>
                <w:bCs/>
                <w:color w:val="auto"/>
                <w:szCs w:val="21"/>
                <w:highlight w:val="none"/>
              </w:rPr>
              <w:t>签署、</w:t>
            </w:r>
            <w:r>
              <w:rPr>
                <w:bCs/>
                <w:color w:val="auto"/>
                <w:szCs w:val="21"/>
                <w:highlight w:val="none"/>
              </w:rPr>
              <w:t>盖章</w:t>
            </w:r>
          </w:p>
        </w:tc>
        <w:tc>
          <w:tcPr>
            <w:tcW w:w="3474" w:type="pct"/>
            <w:vAlign w:val="center"/>
          </w:tcPr>
          <w:p w14:paraId="73E2EE44">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bCs/>
                <w:color w:val="auto"/>
                <w:szCs w:val="21"/>
                <w:highlight w:val="none"/>
              </w:rPr>
              <w:t>响应文件按照磋商文件要求签署、盖章。</w:t>
            </w:r>
          </w:p>
        </w:tc>
      </w:tr>
      <w:tr w14:paraId="50716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1" w:type="pct"/>
            <w:vAlign w:val="center"/>
          </w:tcPr>
          <w:p w14:paraId="60B5DA96">
            <w:pPr>
              <w:pStyle w:val="127"/>
              <w:keepNext w:val="0"/>
              <w:keepLines w:val="0"/>
              <w:pageBreakBefore w:val="0"/>
              <w:widowControl w:val="0"/>
              <w:numPr>
                <w:ilvl w:val="0"/>
                <w:numId w:val="19"/>
              </w:numPr>
              <w:kinsoku/>
              <w:wordWrap/>
              <w:overflowPunct/>
              <w:topLinePunct w:val="0"/>
              <w:autoSpaceDE/>
              <w:autoSpaceDN/>
              <w:bidi w:val="0"/>
              <w:ind w:left="0" w:firstLine="0"/>
              <w:jc w:val="center"/>
              <w:rPr>
                <w:rFonts w:hint="eastAsia" w:ascii="宋体" w:hAnsi="宋体"/>
                <w:color w:val="auto"/>
                <w:highlight w:val="none"/>
                <w:lang w:eastAsia="zh-CN"/>
              </w:rPr>
            </w:pPr>
          </w:p>
        </w:tc>
        <w:tc>
          <w:tcPr>
            <w:tcW w:w="1163" w:type="pct"/>
            <w:vAlign w:val="center"/>
          </w:tcPr>
          <w:p w14:paraId="3B8F8E0D">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r>
              <w:rPr>
                <w:rFonts w:hint="eastAsia"/>
                <w:bCs/>
                <w:color w:val="auto"/>
                <w:szCs w:val="21"/>
                <w:highlight w:val="none"/>
              </w:rPr>
              <w:t>其他无效情形</w:t>
            </w:r>
          </w:p>
        </w:tc>
        <w:tc>
          <w:tcPr>
            <w:tcW w:w="3474" w:type="pct"/>
            <w:vAlign w:val="center"/>
          </w:tcPr>
          <w:p w14:paraId="0D494F3C">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bCs/>
                <w:color w:val="auto"/>
                <w:szCs w:val="21"/>
                <w:highlight w:val="none"/>
              </w:rPr>
              <w:t>响应文件中不存在有关法律、法规和规章及采购文件规定的其他无效情形。</w:t>
            </w:r>
          </w:p>
        </w:tc>
      </w:tr>
      <w:tr w14:paraId="23A39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5000" w:type="pct"/>
            <w:gridSpan w:val="3"/>
            <w:vAlign w:val="center"/>
          </w:tcPr>
          <w:p w14:paraId="77D78F5B">
            <w:pPr>
              <w:keepNext w:val="0"/>
              <w:keepLines w:val="0"/>
              <w:pageBreakBefore w:val="0"/>
              <w:widowControl w:val="0"/>
              <w:kinsoku/>
              <w:wordWrap/>
              <w:overflowPunct/>
              <w:topLinePunct w:val="0"/>
              <w:autoSpaceDE/>
              <w:autoSpaceDN/>
              <w:bidi w:val="0"/>
              <w:snapToGrid w:val="0"/>
              <w:jc w:val="center"/>
              <w:rPr>
                <w:rFonts w:hint="eastAsia"/>
                <w:bCs/>
                <w:color w:val="auto"/>
                <w:szCs w:val="21"/>
                <w:highlight w:val="none"/>
              </w:rPr>
            </w:pPr>
            <w:bookmarkStart w:id="107" w:name="_Toc76397748"/>
            <w:bookmarkStart w:id="108" w:name="_Toc67046846"/>
            <w:bookmarkStart w:id="109" w:name="_Toc496088680"/>
            <w:bookmarkStart w:id="110" w:name="_Toc68789512"/>
            <w:bookmarkStart w:id="111" w:name="_Toc70528437"/>
            <w:bookmarkStart w:id="112" w:name="_Hlk45712320"/>
            <w:bookmarkStart w:id="113" w:name="_Toc276645572"/>
            <w:bookmarkStart w:id="114" w:name="_Toc462677180"/>
            <w:r>
              <w:rPr>
                <w:rFonts w:hint="eastAsia"/>
                <w:b/>
                <w:color w:val="auto"/>
                <w:szCs w:val="21"/>
                <w:highlight w:val="none"/>
              </w:rPr>
              <w:t>结论</w:t>
            </w:r>
          </w:p>
        </w:tc>
      </w:tr>
      <w:tr w14:paraId="7F0DC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5000" w:type="pct"/>
            <w:gridSpan w:val="3"/>
            <w:vAlign w:val="center"/>
          </w:tcPr>
          <w:p w14:paraId="2FE43B0F">
            <w:pPr>
              <w:keepNext w:val="0"/>
              <w:keepLines w:val="0"/>
              <w:pageBreakBefore w:val="0"/>
              <w:widowControl w:val="0"/>
              <w:kinsoku/>
              <w:wordWrap/>
              <w:overflowPunct/>
              <w:topLinePunct w:val="0"/>
              <w:autoSpaceDE/>
              <w:autoSpaceDN/>
              <w:bidi w:val="0"/>
              <w:jc w:val="left"/>
              <w:rPr>
                <w:rFonts w:hint="eastAsia"/>
                <w:bCs/>
                <w:color w:val="auto"/>
                <w:szCs w:val="21"/>
                <w:highlight w:val="none"/>
              </w:rPr>
            </w:pPr>
            <w:r>
              <w:rPr>
                <w:rFonts w:hint="eastAsia"/>
                <w:bCs/>
                <w:color w:val="auto"/>
                <w:szCs w:val="21"/>
                <w:highlight w:val="none"/>
              </w:rPr>
              <w:t>填表说明：</w:t>
            </w:r>
          </w:p>
          <w:p w14:paraId="61BA68F7">
            <w:pPr>
              <w:keepNext w:val="0"/>
              <w:keepLines w:val="0"/>
              <w:pageBreakBefore w:val="0"/>
              <w:widowControl w:val="0"/>
              <w:kinsoku/>
              <w:wordWrap/>
              <w:overflowPunct/>
              <w:topLinePunct w:val="0"/>
              <w:autoSpaceDE/>
              <w:autoSpaceDN/>
              <w:bidi w:val="0"/>
              <w:jc w:val="left"/>
              <w:rPr>
                <w:rFonts w:hint="eastAsia"/>
                <w:bCs/>
                <w:color w:val="auto"/>
                <w:szCs w:val="21"/>
                <w:highlight w:val="none"/>
              </w:rPr>
            </w:pPr>
            <w:r>
              <w:rPr>
                <w:rFonts w:hint="eastAsia"/>
                <w:bCs/>
                <w:color w:val="auto"/>
                <w:szCs w:val="21"/>
                <w:highlight w:val="none"/>
              </w:rPr>
              <w:t>1.“通过”打“√”，“未通过”打“×”；</w:t>
            </w:r>
          </w:p>
          <w:p w14:paraId="4759C69D">
            <w:pPr>
              <w:keepNext w:val="0"/>
              <w:keepLines w:val="0"/>
              <w:pageBreakBefore w:val="0"/>
              <w:widowControl w:val="0"/>
              <w:kinsoku/>
              <w:wordWrap/>
              <w:overflowPunct/>
              <w:topLinePunct w:val="0"/>
              <w:autoSpaceDE/>
              <w:autoSpaceDN/>
              <w:bidi w:val="0"/>
              <w:jc w:val="left"/>
              <w:rPr>
                <w:rFonts w:hint="eastAsia"/>
                <w:bCs/>
                <w:color w:val="auto"/>
                <w:szCs w:val="21"/>
                <w:highlight w:val="none"/>
              </w:rPr>
            </w:pPr>
            <w:r>
              <w:rPr>
                <w:rFonts w:hint="eastAsia"/>
                <w:bCs/>
                <w:color w:val="auto"/>
                <w:szCs w:val="21"/>
                <w:highlight w:val="none"/>
              </w:rPr>
              <w:t>2.在结论栏中填写“通过”或“未通过”；</w:t>
            </w:r>
          </w:p>
          <w:p w14:paraId="11AEEEDA">
            <w:pPr>
              <w:keepNext w:val="0"/>
              <w:keepLines w:val="0"/>
              <w:pageBreakBefore w:val="0"/>
              <w:widowControl w:val="0"/>
              <w:kinsoku/>
              <w:wordWrap/>
              <w:overflowPunct/>
              <w:topLinePunct w:val="0"/>
              <w:autoSpaceDE/>
              <w:autoSpaceDN/>
              <w:bidi w:val="0"/>
              <w:snapToGrid w:val="0"/>
              <w:rPr>
                <w:rFonts w:hint="eastAsia"/>
                <w:bCs/>
                <w:color w:val="auto"/>
                <w:szCs w:val="21"/>
                <w:highlight w:val="none"/>
              </w:rPr>
            </w:pPr>
            <w:r>
              <w:rPr>
                <w:rFonts w:hint="eastAsia"/>
                <w:bCs/>
                <w:color w:val="auto"/>
                <w:szCs w:val="21"/>
                <w:highlight w:val="none"/>
              </w:rPr>
              <w:t>3.供应商有一个“未通过”，审查结论视为“未通过”。</w:t>
            </w:r>
          </w:p>
        </w:tc>
      </w:tr>
    </w:tbl>
    <w:p w14:paraId="5DEA978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p>
    <w:p w14:paraId="14C069F3">
      <w:pPr>
        <w:pStyle w:val="356"/>
        <w:keepNext w:val="0"/>
        <w:keepLines w:val="0"/>
        <w:pageBreakBefore w:val="0"/>
        <w:widowControl w:val="0"/>
        <w:wordWrap/>
        <w:overflowPunct/>
        <w:topLinePunct w:val="0"/>
        <w:autoSpaceDE/>
        <w:autoSpaceDN/>
        <w:bidi w:val="0"/>
        <w:spacing w:line="360" w:lineRule="auto"/>
        <w:ind w:firstLine="422"/>
        <w:outlineLvl w:val="3"/>
        <w:rPr>
          <w:rFonts w:hint="eastAsia"/>
          <w:b/>
          <w:bCs/>
          <w:color w:val="auto"/>
          <w:sz w:val="21"/>
          <w:szCs w:val="21"/>
          <w:highlight w:val="none"/>
        </w:rPr>
      </w:pPr>
      <w:r>
        <w:rPr>
          <w:rFonts w:hint="eastAsia"/>
          <w:b/>
          <w:bCs/>
          <w:color w:val="auto"/>
          <w:sz w:val="21"/>
          <w:szCs w:val="21"/>
          <w:highlight w:val="none"/>
        </w:rPr>
        <w:t>表</w:t>
      </w:r>
      <w:r>
        <w:rPr>
          <w:rFonts w:hint="eastAsia"/>
          <w:b/>
          <w:bCs/>
          <w:color w:val="auto"/>
          <w:sz w:val="21"/>
          <w:szCs w:val="21"/>
          <w:highlight w:val="none"/>
          <w:lang w:val="en-US" w:eastAsia="zh-CN"/>
        </w:rPr>
        <w:t>三</w:t>
      </w:r>
      <w:r>
        <w:rPr>
          <w:rFonts w:hint="eastAsia"/>
          <w:b/>
          <w:bCs/>
          <w:color w:val="auto"/>
          <w:sz w:val="21"/>
          <w:szCs w:val="21"/>
          <w:highlight w:val="none"/>
        </w:rPr>
        <w:t>：异常低价审查表</w:t>
      </w:r>
    </w:p>
    <w:tbl>
      <w:tblPr>
        <w:tblStyle w:val="46"/>
        <w:tblW w:w="5062"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10"/>
        <w:gridCol w:w="1071"/>
        <w:gridCol w:w="6066"/>
        <w:gridCol w:w="2127"/>
      </w:tblGrid>
      <w:tr w14:paraId="1718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6" w:hRule="atLeast"/>
        </w:trPr>
        <w:tc>
          <w:tcPr>
            <w:tcW w:w="261" w:type="pct"/>
            <w:shd w:val="clear" w:color="auto" w:fill="F4F4F4"/>
            <w:vAlign w:val="center"/>
          </w:tcPr>
          <w:p w14:paraId="1839E8D6">
            <w:pPr>
              <w:pStyle w:val="328"/>
              <w:keepNext w:val="0"/>
              <w:keepLines w:val="0"/>
              <w:pageBreakBefore w:val="0"/>
              <w:widowControl w:val="0"/>
              <w:kinsoku/>
              <w:wordWrap/>
              <w:overflowPunct/>
              <w:topLinePunct w:val="0"/>
              <w:autoSpaceDE/>
              <w:autoSpaceDN/>
              <w:bidi w:val="0"/>
              <w:adjustRightInd/>
              <w:snapToGrid/>
              <w:spacing w:before="60"/>
              <w:jc w:val="center"/>
              <w:textAlignment w:val="auto"/>
              <w:outlineLvl w:val="9"/>
              <w:rPr>
                <w:rFonts w:hint="eastAsia"/>
                <w:b/>
                <w:color w:val="auto"/>
                <w:sz w:val="21"/>
                <w:szCs w:val="21"/>
                <w:highlight w:val="none"/>
              </w:rPr>
            </w:pPr>
            <w:r>
              <w:rPr>
                <w:b/>
                <w:color w:val="auto"/>
                <w:sz w:val="21"/>
                <w:szCs w:val="21"/>
                <w:highlight w:val="none"/>
              </w:rPr>
              <w:t>序号</w:t>
            </w:r>
          </w:p>
        </w:tc>
        <w:tc>
          <w:tcPr>
            <w:tcW w:w="548" w:type="pct"/>
            <w:shd w:val="clear" w:color="auto" w:fill="F4F4F4"/>
            <w:vAlign w:val="center"/>
          </w:tcPr>
          <w:p w14:paraId="71BF1D55">
            <w:pPr>
              <w:pStyle w:val="328"/>
              <w:keepNext w:val="0"/>
              <w:keepLines w:val="0"/>
              <w:pageBreakBefore w:val="0"/>
              <w:widowControl w:val="0"/>
              <w:kinsoku/>
              <w:wordWrap/>
              <w:overflowPunct/>
              <w:topLinePunct w:val="0"/>
              <w:autoSpaceDE/>
              <w:autoSpaceDN/>
              <w:bidi w:val="0"/>
              <w:adjustRightInd/>
              <w:snapToGrid/>
              <w:spacing w:before="60"/>
              <w:ind w:left="-3"/>
              <w:jc w:val="center"/>
              <w:textAlignment w:val="auto"/>
              <w:outlineLvl w:val="9"/>
              <w:rPr>
                <w:rFonts w:hint="default" w:eastAsia="宋体"/>
                <w:b/>
                <w:color w:val="auto"/>
                <w:sz w:val="21"/>
                <w:szCs w:val="21"/>
                <w:highlight w:val="none"/>
                <w:lang w:val="en-US" w:eastAsia="zh-CN"/>
              </w:rPr>
            </w:pPr>
            <w:r>
              <w:rPr>
                <w:rFonts w:hint="eastAsia"/>
                <w:b/>
                <w:color w:val="auto"/>
                <w:sz w:val="21"/>
                <w:szCs w:val="21"/>
                <w:highlight w:val="none"/>
                <w:lang w:val="en-US" w:eastAsia="zh-CN"/>
              </w:rPr>
              <w:t>评审点要求概况</w:t>
            </w:r>
          </w:p>
        </w:tc>
        <w:tc>
          <w:tcPr>
            <w:tcW w:w="3103" w:type="pct"/>
            <w:shd w:val="clear" w:color="auto" w:fill="F4F4F4"/>
            <w:vAlign w:val="center"/>
          </w:tcPr>
          <w:p w14:paraId="18F4ADED">
            <w:pPr>
              <w:pStyle w:val="328"/>
              <w:keepNext w:val="0"/>
              <w:keepLines w:val="0"/>
              <w:pageBreakBefore w:val="0"/>
              <w:widowControl w:val="0"/>
              <w:kinsoku/>
              <w:wordWrap/>
              <w:overflowPunct/>
              <w:topLinePunct w:val="0"/>
              <w:autoSpaceDE/>
              <w:autoSpaceDN/>
              <w:bidi w:val="0"/>
              <w:adjustRightInd/>
              <w:snapToGrid/>
              <w:spacing w:before="60"/>
              <w:ind w:left="-3"/>
              <w:jc w:val="center"/>
              <w:textAlignment w:val="auto"/>
              <w:outlineLvl w:val="9"/>
              <w:rPr>
                <w:rFonts w:hint="default" w:eastAsia="宋体"/>
                <w:b/>
                <w:color w:val="auto"/>
                <w:sz w:val="21"/>
                <w:szCs w:val="21"/>
                <w:highlight w:val="none"/>
                <w:lang w:val="en-US" w:eastAsia="zh-CN"/>
              </w:rPr>
            </w:pPr>
            <w:r>
              <w:rPr>
                <w:rFonts w:hint="eastAsia"/>
                <w:b/>
                <w:color w:val="auto"/>
                <w:sz w:val="21"/>
                <w:szCs w:val="21"/>
                <w:highlight w:val="none"/>
                <w:lang w:val="en-US" w:eastAsia="zh-CN"/>
              </w:rPr>
              <w:t>异常低价的情形</w:t>
            </w:r>
          </w:p>
        </w:tc>
        <w:tc>
          <w:tcPr>
            <w:tcW w:w="1085" w:type="pct"/>
            <w:shd w:val="clear" w:color="auto" w:fill="F4F4F4"/>
            <w:vAlign w:val="center"/>
          </w:tcPr>
          <w:p w14:paraId="3D84FBE0">
            <w:pPr>
              <w:pStyle w:val="328"/>
              <w:keepNext w:val="0"/>
              <w:keepLines w:val="0"/>
              <w:pageBreakBefore w:val="0"/>
              <w:widowControl w:val="0"/>
              <w:kinsoku/>
              <w:wordWrap/>
              <w:overflowPunct/>
              <w:topLinePunct w:val="0"/>
              <w:autoSpaceDE/>
              <w:autoSpaceDN/>
              <w:bidi w:val="0"/>
              <w:adjustRightInd/>
              <w:snapToGrid/>
              <w:spacing w:before="60"/>
              <w:jc w:val="center"/>
              <w:textAlignment w:val="auto"/>
              <w:outlineLvl w:val="9"/>
              <w:rPr>
                <w:rFonts w:hint="eastAsia"/>
                <w:b/>
                <w:color w:val="auto"/>
                <w:sz w:val="21"/>
                <w:szCs w:val="21"/>
                <w:highlight w:val="none"/>
              </w:rPr>
            </w:pPr>
            <w:r>
              <w:rPr>
                <w:b/>
                <w:color w:val="auto"/>
                <w:sz w:val="21"/>
                <w:szCs w:val="21"/>
                <w:highlight w:val="none"/>
              </w:rPr>
              <w:t>评审点具体描述</w:t>
            </w:r>
          </w:p>
        </w:tc>
      </w:tr>
      <w:tr w14:paraId="4AA6E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261" w:type="pct"/>
            <w:vAlign w:val="center"/>
          </w:tcPr>
          <w:p w14:paraId="0E981020">
            <w:pPr>
              <w:pStyle w:val="328"/>
              <w:keepNext w:val="0"/>
              <w:keepLines w:val="0"/>
              <w:pageBreakBefore w:val="0"/>
              <w:widowControl w:val="0"/>
              <w:numPr>
                <w:ilvl w:val="0"/>
                <w:numId w:val="0"/>
              </w:numPr>
              <w:kinsoku/>
              <w:wordWrap/>
              <w:overflowPunct/>
              <w:topLinePunct w:val="0"/>
              <w:autoSpaceDE/>
              <w:autoSpaceDN/>
              <w:bidi w:val="0"/>
              <w:adjustRightInd/>
              <w:snapToGrid/>
              <w:spacing w:before="60"/>
              <w:ind w:leftChars="0"/>
              <w:jc w:val="center"/>
              <w:textAlignment w:val="auto"/>
              <w:outlineLvl w:val="9"/>
              <w:rPr>
                <w:rFonts w:hint="eastAsia" w:eastAsia="宋体"/>
                <w:color w:val="auto"/>
                <w:sz w:val="21"/>
                <w:szCs w:val="21"/>
                <w:highlight w:val="none"/>
                <w:lang w:val="en-US" w:eastAsia="zh-CN"/>
              </w:rPr>
            </w:pPr>
            <w:r>
              <w:rPr>
                <w:rFonts w:hint="eastAsia"/>
                <w:color w:val="auto"/>
                <w:sz w:val="21"/>
                <w:szCs w:val="21"/>
                <w:highlight w:val="none"/>
                <w:lang w:val="en-US" w:eastAsia="zh-CN"/>
              </w:rPr>
              <w:t>1</w:t>
            </w:r>
          </w:p>
        </w:tc>
        <w:tc>
          <w:tcPr>
            <w:tcW w:w="548" w:type="pct"/>
            <w:vAlign w:val="center"/>
          </w:tcPr>
          <w:p w14:paraId="5C3CCBCD">
            <w:pPr>
              <w:pStyle w:val="328"/>
              <w:keepNext w:val="0"/>
              <w:keepLines w:val="0"/>
              <w:pageBreakBefore w:val="0"/>
              <w:widowControl w:val="0"/>
              <w:kinsoku/>
              <w:wordWrap/>
              <w:overflowPunct/>
              <w:topLinePunct w:val="0"/>
              <w:autoSpaceDE/>
              <w:autoSpaceDN/>
              <w:bidi w:val="0"/>
              <w:adjustRightInd/>
              <w:snapToGrid/>
              <w:spacing w:before="60" w:line="380" w:lineRule="auto"/>
              <w:ind w:left="38" w:leftChars="18" w:right="102"/>
              <w:jc w:val="center"/>
              <w:textAlignment w:val="auto"/>
              <w:outlineLvl w:val="9"/>
              <w:rPr>
                <w:rFonts w:hint="eastAsia"/>
                <w:color w:val="auto"/>
                <w:sz w:val="21"/>
                <w:szCs w:val="21"/>
                <w:highlight w:val="none"/>
                <w:lang w:eastAsia="zh-CN"/>
              </w:rPr>
            </w:pPr>
            <w:r>
              <w:rPr>
                <w:rFonts w:hint="eastAsia"/>
                <w:color w:val="auto"/>
                <w:sz w:val="21"/>
                <w:szCs w:val="21"/>
                <w:highlight w:val="none"/>
                <w:lang w:eastAsia="zh-CN"/>
              </w:rPr>
              <w:t>异常低价审查</w:t>
            </w:r>
          </w:p>
        </w:tc>
        <w:tc>
          <w:tcPr>
            <w:tcW w:w="3103" w:type="pct"/>
            <w:vAlign w:val="center"/>
          </w:tcPr>
          <w:p w14:paraId="3CAD9B3A">
            <w:pPr>
              <w:pStyle w:val="328"/>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color w:val="auto"/>
                <w:sz w:val="21"/>
                <w:szCs w:val="21"/>
                <w:highlight w:val="none"/>
                <w:lang w:eastAsia="zh-CN"/>
              </w:rPr>
            </w:pPr>
            <w:r>
              <w:rPr>
                <w:rFonts w:hint="eastAsia"/>
                <w:color w:val="auto"/>
                <w:sz w:val="21"/>
                <w:szCs w:val="21"/>
                <w:highlight w:val="none"/>
                <w:lang w:val="en-US" w:eastAsia="zh-CN"/>
              </w:rPr>
              <w:t>1.</w:t>
            </w:r>
            <w:r>
              <w:rPr>
                <w:rFonts w:hint="eastAsia"/>
                <w:color w:val="auto"/>
                <w:sz w:val="21"/>
                <w:szCs w:val="21"/>
                <w:highlight w:val="none"/>
                <w:lang w:eastAsia="zh-CN"/>
              </w:rPr>
              <w:t>投标（响应）报价低于全部通过符合性审查供应商投标（响应）报价平均值×50%的，即投标（响应）报价&lt;全部通过符合性审查供应商投标（响应）报价平均值×50%。</w:t>
            </w:r>
          </w:p>
          <w:p w14:paraId="765B83E3">
            <w:pPr>
              <w:pStyle w:val="328"/>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color w:val="auto"/>
                <w:sz w:val="21"/>
                <w:szCs w:val="21"/>
                <w:highlight w:val="none"/>
                <w:lang w:eastAsia="zh-CN"/>
              </w:rPr>
            </w:pPr>
            <w:r>
              <w:rPr>
                <w:rFonts w:hint="eastAsia"/>
                <w:color w:val="auto"/>
                <w:sz w:val="21"/>
                <w:szCs w:val="21"/>
                <w:highlight w:val="none"/>
                <w:lang w:val="en-US" w:eastAsia="zh-CN"/>
              </w:rPr>
              <w:t>2.</w:t>
            </w:r>
            <w:r>
              <w:rPr>
                <w:rFonts w:hint="eastAsia"/>
                <w:color w:val="auto"/>
                <w:sz w:val="21"/>
                <w:szCs w:val="21"/>
                <w:highlight w:val="none"/>
                <w:lang w:eastAsia="zh-CN"/>
              </w:rPr>
              <w:t>投标（响应）报价低于通过符合性审查且报价次低供应商投标（响应）报价×50%的，即投标（响应）报价&lt;通过符合性审查且报价次低供应商投标（响应）报价×50%。</w:t>
            </w:r>
          </w:p>
          <w:p w14:paraId="7E79AEB0">
            <w:pPr>
              <w:pStyle w:val="328"/>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color w:val="auto"/>
                <w:sz w:val="21"/>
                <w:szCs w:val="21"/>
                <w:highlight w:val="none"/>
                <w:lang w:eastAsia="zh-CN"/>
              </w:rPr>
            </w:pPr>
            <w:r>
              <w:rPr>
                <w:rFonts w:hint="eastAsia"/>
                <w:color w:val="auto"/>
                <w:sz w:val="21"/>
                <w:szCs w:val="21"/>
                <w:highlight w:val="none"/>
                <w:lang w:val="en-US" w:eastAsia="zh-CN"/>
              </w:rPr>
              <w:t>3.</w:t>
            </w:r>
            <w:r>
              <w:rPr>
                <w:rFonts w:hint="eastAsia"/>
                <w:color w:val="auto"/>
                <w:sz w:val="21"/>
                <w:szCs w:val="21"/>
                <w:highlight w:val="none"/>
                <w:lang w:eastAsia="zh-CN"/>
              </w:rPr>
              <w:t>投标（响应）报价低于采购项目最高限价45%的，即投标（响应）报价&lt;采购项目最高限价×45%。</w:t>
            </w:r>
          </w:p>
          <w:p w14:paraId="2DB7A771">
            <w:pPr>
              <w:pStyle w:val="328"/>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color w:val="auto"/>
                <w:sz w:val="21"/>
                <w:szCs w:val="21"/>
                <w:highlight w:val="none"/>
                <w:lang w:eastAsia="zh-CN"/>
              </w:rPr>
            </w:pPr>
            <w:r>
              <w:rPr>
                <w:rFonts w:hint="eastAsia"/>
                <w:color w:val="auto"/>
                <w:sz w:val="21"/>
                <w:szCs w:val="21"/>
                <w:highlight w:val="none"/>
                <w:lang w:val="en-US" w:eastAsia="zh-CN"/>
              </w:rPr>
              <w:t>4.</w:t>
            </w:r>
            <w:r>
              <w:rPr>
                <w:rFonts w:hint="eastAsia"/>
                <w:color w:val="auto"/>
                <w:sz w:val="21"/>
                <w:szCs w:val="21"/>
                <w:highlight w:val="none"/>
                <w:lang w:eastAsia="zh-CN"/>
              </w:rPr>
              <w:t>评审委员会基于专业判断，认为供应商报价过低，有可能影响产品质量或者不能诚信履约的其他情形。</w:t>
            </w:r>
          </w:p>
        </w:tc>
        <w:tc>
          <w:tcPr>
            <w:tcW w:w="1085" w:type="pct"/>
            <w:vAlign w:val="center"/>
          </w:tcPr>
          <w:p w14:paraId="736FB7C3">
            <w:pPr>
              <w:pStyle w:val="328"/>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color w:val="auto"/>
                <w:sz w:val="21"/>
                <w:szCs w:val="21"/>
                <w:highlight w:val="none"/>
                <w:lang w:eastAsia="zh-CN"/>
              </w:rPr>
            </w:pPr>
            <w:r>
              <w:rPr>
                <w:rFonts w:hint="eastAsia"/>
                <w:color w:val="auto"/>
                <w:sz w:val="21"/>
                <w:szCs w:val="21"/>
                <w:highlight w:val="none"/>
                <w:lang w:eastAsia="zh-CN"/>
              </w:rPr>
              <w:t>投标（响应）报价出现异常低价的，供应商需在评审现场合理时间内对投标（响应）价格作出解释，提供项目具体成本测算等与报价合理性相关的书面说明及必要的证明材料，包括但不限于原材料成本、人工成本、制造费用等。</w:t>
            </w:r>
          </w:p>
        </w:tc>
      </w:tr>
      <w:tr w14:paraId="55258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5000" w:type="pct"/>
            <w:gridSpan w:val="4"/>
            <w:vAlign w:val="center"/>
          </w:tcPr>
          <w:p w14:paraId="27824474">
            <w:pPr>
              <w:pStyle w:val="328"/>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center"/>
              <w:textAlignment w:val="auto"/>
              <w:outlineLvl w:val="9"/>
              <w:rPr>
                <w:rFonts w:hint="eastAsia"/>
                <w:color w:val="auto"/>
                <w:sz w:val="21"/>
                <w:szCs w:val="21"/>
                <w:highlight w:val="none"/>
                <w:lang w:eastAsia="zh-CN"/>
              </w:rPr>
            </w:pPr>
            <w:r>
              <w:rPr>
                <w:rFonts w:hint="eastAsia"/>
                <w:b/>
                <w:bCs/>
                <w:color w:val="auto"/>
                <w:sz w:val="21"/>
                <w:szCs w:val="21"/>
                <w:highlight w:val="none"/>
                <w:lang w:eastAsia="zh-CN"/>
              </w:rPr>
              <w:t>结论</w:t>
            </w:r>
          </w:p>
        </w:tc>
      </w:tr>
      <w:tr w14:paraId="5D8F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5000" w:type="pct"/>
            <w:gridSpan w:val="4"/>
            <w:vAlign w:val="center"/>
          </w:tcPr>
          <w:p w14:paraId="16F1A882">
            <w:pPr>
              <w:keepNext w:val="0"/>
              <w:keepLines w:val="0"/>
              <w:pageBreakBefore w:val="0"/>
              <w:widowControl w:val="0"/>
              <w:kinsoku/>
              <w:wordWrap/>
              <w:overflowPunct/>
              <w:topLinePunct w:val="0"/>
              <w:autoSpaceDE/>
              <w:autoSpaceDN/>
              <w:bidi w:val="0"/>
              <w:adjustRightInd/>
              <w:snapToGrid/>
              <w:ind w:left="38" w:leftChars="18" w:right="38" w:rightChars="18"/>
              <w:textAlignment w:val="auto"/>
              <w:rPr>
                <w:rFonts w:hint="eastAsia"/>
                <w:bCs/>
                <w:color w:val="auto"/>
                <w:sz w:val="21"/>
                <w:szCs w:val="21"/>
                <w:highlight w:val="none"/>
                <w:lang w:eastAsia="zh-CN"/>
              </w:rPr>
            </w:pPr>
            <w:r>
              <w:rPr>
                <w:rFonts w:hint="eastAsia"/>
                <w:bCs/>
                <w:color w:val="auto"/>
                <w:sz w:val="21"/>
                <w:szCs w:val="21"/>
                <w:highlight w:val="none"/>
                <w:lang w:eastAsia="zh-CN"/>
              </w:rPr>
              <w:t>填表说明：</w:t>
            </w:r>
          </w:p>
          <w:p w14:paraId="41570A54">
            <w:pPr>
              <w:keepNext w:val="0"/>
              <w:keepLines w:val="0"/>
              <w:pageBreakBefore w:val="0"/>
              <w:widowControl w:val="0"/>
              <w:kinsoku/>
              <w:wordWrap/>
              <w:overflowPunct/>
              <w:topLinePunct w:val="0"/>
              <w:autoSpaceDE/>
              <w:autoSpaceDN/>
              <w:bidi w:val="0"/>
              <w:adjustRightInd/>
              <w:snapToGrid/>
              <w:ind w:left="38" w:leftChars="18" w:right="38" w:rightChars="18"/>
              <w:textAlignment w:val="auto"/>
              <w:rPr>
                <w:rFonts w:hint="eastAsia"/>
                <w:bCs/>
                <w:color w:val="auto"/>
                <w:sz w:val="21"/>
                <w:szCs w:val="21"/>
                <w:highlight w:val="none"/>
                <w:lang w:eastAsia="zh-CN"/>
              </w:rPr>
            </w:pPr>
            <w:r>
              <w:rPr>
                <w:bCs/>
                <w:color w:val="auto"/>
                <w:sz w:val="21"/>
                <w:szCs w:val="21"/>
                <w:highlight w:val="none"/>
                <w:lang w:eastAsia="zh-CN"/>
              </w:rPr>
              <w:t>1.“通过”打“√”，“未通过”打“×”；</w:t>
            </w:r>
          </w:p>
          <w:p w14:paraId="299ED590">
            <w:pPr>
              <w:keepNext w:val="0"/>
              <w:keepLines w:val="0"/>
              <w:pageBreakBefore w:val="0"/>
              <w:widowControl w:val="0"/>
              <w:kinsoku/>
              <w:wordWrap/>
              <w:overflowPunct/>
              <w:topLinePunct w:val="0"/>
              <w:autoSpaceDE/>
              <w:autoSpaceDN/>
              <w:bidi w:val="0"/>
              <w:adjustRightInd/>
              <w:snapToGrid/>
              <w:ind w:left="38" w:leftChars="18" w:right="38" w:rightChars="18"/>
              <w:textAlignment w:val="auto"/>
              <w:rPr>
                <w:rFonts w:hint="eastAsia"/>
                <w:bCs/>
                <w:color w:val="auto"/>
                <w:sz w:val="21"/>
                <w:szCs w:val="21"/>
                <w:highlight w:val="none"/>
                <w:lang w:eastAsia="zh-CN"/>
              </w:rPr>
            </w:pPr>
            <w:r>
              <w:rPr>
                <w:bCs/>
                <w:color w:val="auto"/>
                <w:sz w:val="21"/>
                <w:szCs w:val="21"/>
                <w:highlight w:val="none"/>
                <w:lang w:eastAsia="zh-CN"/>
              </w:rPr>
              <w:t>2.在结论栏中填写“通过”或“未通过”；</w:t>
            </w:r>
          </w:p>
          <w:p w14:paraId="4B3CCFBA">
            <w:pPr>
              <w:pStyle w:val="328"/>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color w:val="auto"/>
                <w:sz w:val="21"/>
                <w:szCs w:val="21"/>
                <w:highlight w:val="none"/>
                <w:lang w:eastAsia="zh-CN"/>
              </w:rPr>
            </w:pPr>
            <w:r>
              <w:rPr>
                <w:bCs/>
                <w:color w:val="auto"/>
                <w:sz w:val="21"/>
                <w:szCs w:val="21"/>
                <w:highlight w:val="none"/>
                <w:lang w:eastAsia="zh-CN"/>
              </w:rPr>
              <w:t>3.投标人有一个“未通过”，审查结论视为“未通过”。</w:t>
            </w:r>
          </w:p>
        </w:tc>
      </w:tr>
    </w:tbl>
    <w:p w14:paraId="1B0DA08D">
      <w:pPr>
        <w:pStyle w:val="356"/>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eastAsia"/>
          <w:b w:val="0"/>
          <w:bCs w:val="0"/>
          <w:color w:val="auto"/>
          <w:sz w:val="21"/>
          <w:szCs w:val="21"/>
          <w:highlight w:val="none"/>
        </w:rPr>
      </w:pPr>
      <w:r>
        <w:rPr>
          <w:rFonts w:hint="eastAsia"/>
          <w:b w:val="0"/>
          <w:bCs w:val="0"/>
          <w:color w:val="auto"/>
          <w:sz w:val="21"/>
          <w:szCs w:val="21"/>
          <w:highlight w:val="none"/>
        </w:rPr>
        <w:t>备注：</w:t>
      </w:r>
    </w:p>
    <w:p w14:paraId="797C36C5">
      <w:pPr>
        <w:pStyle w:val="356"/>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eastAsia"/>
          <w:b w:val="0"/>
          <w:bCs w:val="0"/>
          <w:color w:val="auto"/>
          <w:sz w:val="21"/>
          <w:szCs w:val="21"/>
          <w:highlight w:val="none"/>
        </w:rPr>
      </w:pPr>
      <w:r>
        <w:rPr>
          <w:rFonts w:hint="eastAsia"/>
          <w:b w:val="0"/>
          <w:bCs w:val="0"/>
          <w:color w:val="auto"/>
          <w:sz w:val="21"/>
          <w:szCs w:val="21"/>
          <w:highlight w:val="none"/>
        </w:rPr>
        <w:t>如项目（包组）采用下浮率报价，上述投标（响应）报价应为（1-下浮率报价）。</w:t>
      </w:r>
    </w:p>
    <w:p w14:paraId="27DD4DD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p>
    <w:p w14:paraId="70AC8DA2">
      <w:pPr>
        <w:pStyle w:val="127"/>
        <w:keepNext w:val="0"/>
        <w:keepLines w:val="0"/>
        <w:pageBreakBefore w:val="0"/>
        <w:widowControl w:val="0"/>
        <w:numPr>
          <w:ilvl w:val="0"/>
          <w:numId w:val="0"/>
        </w:numPr>
        <w:kinsoku/>
        <w:wordWrap/>
        <w:overflowPunct/>
        <w:topLinePunct w:val="0"/>
        <w:autoSpaceDE/>
        <w:autoSpaceDN/>
        <w:bidi w:val="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2</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响应文件澄清</w:t>
      </w:r>
    </w:p>
    <w:p w14:paraId="641B05D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2.1对于响应文件中含义不明确、同类问题表述不一致或者有明显文字和计算错误的内容，磋商小组可在评审过程中发起澄清，要求供应商针对价格或内容做出必要的澄清、说明或补正。代理机构可根据开启环节记录的授权代表人联系方式发送短信提醒或电话告知。</w:t>
      </w:r>
    </w:p>
    <w:p w14:paraId="7BBB55C7">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供应商需在规定时间内完成澄清（响应），并加盖供应商公章，或法定代表人签字或盖章，或法定代表人授权委托人签字或盖章。</w:t>
      </w:r>
    </w:p>
    <w:p w14:paraId="5CD6BA3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若因供应商联系方式错误未接收短信、未接听电话或超时未进行澄清（响应）造成的不利后果由供应商自行承担。供应商的澄清、说明或者补正不得超出响应文件的范围或者改变响应文件的实质性内容。</w:t>
      </w:r>
    </w:p>
    <w:p w14:paraId="34B3953F">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2.2磋商小组不接受供应商主动提出的澄清、说明或补正。</w:t>
      </w:r>
    </w:p>
    <w:p w14:paraId="4168A28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2.3磋商小组对供应商提交的澄清、说明或补正有疑问的，可以要求供应商进一步澄清、说明或补正。</w:t>
      </w:r>
    </w:p>
    <w:p w14:paraId="66307095">
      <w:pPr>
        <w:pStyle w:val="127"/>
        <w:keepNext w:val="0"/>
        <w:keepLines w:val="0"/>
        <w:pageBreakBefore w:val="0"/>
        <w:widowControl w:val="0"/>
        <w:numPr>
          <w:ilvl w:val="0"/>
          <w:numId w:val="0"/>
        </w:numPr>
        <w:kinsoku/>
        <w:wordWrap/>
        <w:overflowPunct/>
        <w:topLinePunct w:val="0"/>
        <w:autoSpaceDE/>
        <w:autoSpaceDN/>
        <w:bidi w:val="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3</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磋商</w:t>
      </w:r>
    </w:p>
    <w:p w14:paraId="0A766624">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3.1磋商小组所有成员应当集中与单一供应商分别进行磋商，并给予所有参加磋商的供应商平等的磋商机会。</w:t>
      </w:r>
    </w:p>
    <w:p w14:paraId="7B391B9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3.2在磋商过程中，磋商小组可以根据磋商文件和磋商情况实质性变动采购需求中的技术、服务要求以及合同草案条款，但不得变动磋商文件中的其他内容。实质性变动的内容，须经采购人代表确认。</w:t>
      </w:r>
    </w:p>
    <w:p w14:paraId="58E53A2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3.3对磋商文件作出的实质性变动是磋商文件的有效组成部分，磋商小组应当及时、同时通知所有参加磋商的供应商。</w:t>
      </w:r>
    </w:p>
    <w:p w14:paraId="256386F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w:t>
      </w:r>
      <w:r>
        <w:rPr>
          <w:color w:val="auto"/>
          <w:szCs w:val="20"/>
          <w:highlight w:val="none"/>
        </w:rPr>
        <w:t>.4</w:t>
      </w:r>
      <w:r>
        <w:rPr>
          <w:rFonts w:hint="eastAsia"/>
          <w:color w:val="auto"/>
          <w:szCs w:val="20"/>
          <w:highlight w:val="none"/>
        </w:rPr>
        <w:t>供应商应当按照磋商文件的变动情况和磋商小组的要求进行最终报价或重新提交响应文件，并由其法定代表人或授权代表签字(或盖私章)或者加盖公章。</w:t>
      </w:r>
    </w:p>
    <w:p w14:paraId="763C7B47">
      <w:pPr>
        <w:pStyle w:val="127"/>
        <w:keepNext w:val="0"/>
        <w:keepLines w:val="0"/>
        <w:pageBreakBefore w:val="0"/>
        <w:widowControl w:val="0"/>
        <w:numPr>
          <w:ilvl w:val="0"/>
          <w:numId w:val="0"/>
        </w:numPr>
        <w:kinsoku/>
        <w:wordWrap/>
        <w:overflowPunct/>
        <w:topLinePunct w:val="0"/>
        <w:autoSpaceDE/>
        <w:autoSpaceDN/>
        <w:bidi w:val="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4</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最后报价</w:t>
      </w:r>
    </w:p>
    <w:p w14:paraId="64A7BF6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4.1磋商结束后，磋商小组应当要求所有实质性响应的供应商在规定时间内提交最后报价。最后报价是供应商响应文件的有效组成部分。</w:t>
      </w:r>
    </w:p>
    <w:p w14:paraId="1265ABB5">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4.2已提交响应文件的供应商，在提交最后报价之前，可以根据磋商情况退出磋商。</w:t>
      </w:r>
    </w:p>
    <w:p w14:paraId="4A76849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color w:val="auto"/>
          <w:szCs w:val="20"/>
          <w:highlight w:val="none"/>
        </w:rPr>
        <w:t>4.3</w:t>
      </w:r>
      <w:r>
        <w:rPr>
          <w:rFonts w:hint="eastAsia"/>
          <w:color w:val="auto"/>
          <w:szCs w:val="20"/>
          <w:highlight w:val="none"/>
        </w:rPr>
        <w:t>除法规规定的特殊性情形外，提交最后报价的供应商不得少于3家。</w:t>
      </w:r>
    </w:p>
    <w:p w14:paraId="49C1449F">
      <w:pPr>
        <w:pStyle w:val="127"/>
        <w:keepNext w:val="0"/>
        <w:keepLines w:val="0"/>
        <w:pageBreakBefore w:val="0"/>
        <w:widowControl w:val="0"/>
        <w:numPr>
          <w:ilvl w:val="0"/>
          <w:numId w:val="0"/>
        </w:numPr>
        <w:kinsoku/>
        <w:wordWrap/>
        <w:overflowPunct/>
        <w:topLinePunct w:val="0"/>
        <w:autoSpaceDE/>
        <w:autoSpaceDN/>
        <w:bidi w:val="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5</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详细评审</w:t>
      </w:r>
    </w:p>
    <w:bookmarkEnd w:id="107"/>
    <w:bookmarkEnd w:id="108"/>
    <w:bookmarkEnd w:id="109"/>
    <w:bookmarkEnd w:id="110"/>
    <w:bookmarkEnd w:id="111"/>
    <w:p w14:paraId="50BC192C">
      <w:pPr>
        <w:ind w:firstLine="422" w:firstLineChars="200"/>
        <w:jc w:val="left"/>
        <w:outlineLvl w:val="3"/>
        <w:rPr>
          <w:rFonts w:hint="eastAsia" w:cs="Futura-Heavy"/>
          <w:b/>
          <w:bCs/>
          <w:color w:val="auto"/>
          <w:kern w:val="0"/>
          <w:szCs w:val="21"/>
          <w:highlight w:val="none"/>
        </w:rPr>
      </w:pPr>
      <w:bookmarkStart w:id="115" w:name="_Toc6322232"/>
      <w:bookmarkStart w:id="116" w:name="_Toc67046848"/>
      <w:r>
        <w:rPr>
          <w:rFonts w:hint="eastAsia" w:cs="Futura-Heavy"/>
          <w:b/>
          <w:bCs/>
          <w:color w:val="auto"/>
          <w:kern w:val="0"/>
          <w:szCs w:val="21"/>
          <w:highlight w:val="none"/>
        </w:rPr>
        <w:t>表</w:t>
      </w:r>
      <w:r>
        <w:rPr>
          <w:rFonts w:hint="eastAsia" w:cs="Futura-Heavy"/>
          <w:b/>
          <w:bCs/>
          <w:color w:val="auto"/>
          <w:kern w:val="0"/>
          <w:szCs w:val="21"/>
          <w:highlight w:val="none"/>
          <w:lang w:val="en-US" w:eastAsia="zh-CN"/>
        </w:rPr>
        <w:t>四</w:t>
      </w:r>
      <w:r>
        <w:rPr>
          <w:rFonts w:hint="eastAsia" w:cs="Futura-Heavy"/>
          <w:b/>
          <w:bCs/>
          <w:color w:val="auto"/>
          <w:kern w:val="0"/>
          <w:szCs w:val="21"/>
          <w:highlight w:val="none"/>
        </w:rPr>
        <w:t>：商务评分细则表（</w:t>
      </w:r>
      <w:r>
        <w:rPr>
          <w:rFonts w:hint="eastAsia" w:cs="Futura-Heavy"/>
          <w:b/>
          <w:bCs/>
          <w:color w:val="FF0000"/>
          <w:kern w:val="0"/>
          <w:szCs w:val="21"/>
          <w:highlight w:val="none"/>
          <w:lang w:val="en-US" w:eastAsia="zh-CN"/>
        </w:rPr>
        <w:t>45</w:t>
      </w:r>
      <w:r>
        <w:rPr>
          <w:rFonts w:hint="eastAsia" w:cs="Futura-Heavy"/>
          <w:b/>
          <w:bCs/>
          <w:color w:val="FF0000"/>
          <w:kern w:val="0"/>
          <w:szCs w:val="21"/>
          <w:highlight w:val="none"/>
        </w:rPr>
        <w:t>分</w:t>
      </w:r>
      <w:r>
        <w:rPr>
          <w:rFonts w:hint="eastAsia" w:cs="Futura-Heavy"/>
          <w:b/>
          <w:bCs/>
          <w:color w:val="auto"/>
          <w:kern w:val="0"/>
          <w:szCs w:val="21"/>
          <w:highlight w:val="none"/>
        </w:rPr>
        <w:t>）</w:t>
      </w:r>
      <w:bookmarkEnd w:id="115"/>
      <w:bookmarkEnd w:id="116"/>
      <w:r>
        <w:rPr>
          <w:rFonts w:cs="Futura-Heavy"/>
          <w:b/>
          <w:bCs/>
          <w:color w:val="auto"/>
          <w:kern w:val="0"/>
          <w:szCs w:val="21"/>
          <w:highlight w:val="none"/>
        </w:rPr>
        <w:t xml:space="preserve"> </w:t>
      </w:r>
    </w:p>
    <w:tbl>
      <w:tblPr>
        <w:tblStyle w:val="4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1"/>
        <w:gridCol w:w="1224"/>
        <w:gridCol w:w="6870"/>
        <w:gridCol w:w="939"/>
      </w:tblGrid>
      <w:tr w14:paraId="30C3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7" w:type="pct"/>
            <w:shd w:val="clear" w:color="auto" w:fill="F1F1F1"/>
            <w:noWrap w:val="0"/>
            <w:vAlign w:val="center"/>
          </w:tcPr>
          <w:p w14:paraId="361F2ABC">
            <w:pPr>
              <w:pStyle w:val="328"/>
              <w:jc w:val="center"/>
              <w:rPr>
                <w:rFonts w:hint="eastAsia" w:ascii="宋体" w:hAnsi="宋体" w:eastAsia="宋体" w:cs="宋体"/>
                <w:b/>
                <w:color w:val="auto"/>
                <w:szCs w:val="21"/>
                <w:highlight w:val="none"/>
              </w:rPr>
            </w:pPr>
            <w:bookmarkStart w:id="117" w:name="_Hlk43300484"/>
            <w:r>
              <w:rPr>
                <w:rFonts w:hint="eastAsia" w:ascii="宋体" w:hAnsi="宋体" w:eastAsia="宋体" w:cs="宋体"/>
                <w:b/>
                <w:color w:val="auto"/>
                <w:szCs w:val="21"/>
                <w:highlight w:val="none"/>
              </w:rPr>
              <w:t>序号</w:t>
            </w:r>
          </w:p>
        </w:tc>
        <w:tc>
          <w:tcPr>
            <w:tcW w:w="621" w:type="pct"/>
            <w:shd w:val="clear" w:color="auto" w:fill="F1F1F1"/>
            <w:noWrap w:val="0"/>
            <w:vAlign w:val="center"/>
          </w:tcPr>
          <w:p w14:paraId="6843CBDB">
            <w:pPr>
              <w:pStyle w:val="328"/>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3485" w:type="pct"/>
            <w:shd w:val="clear" w:color="auto" w:fill="F1F1F1"/>
            <w:noWrap w:val="0"/>
            <w:vAlign w:val="center"/>
          </w:tcPr>
          <w:p w14:paraId="457AE25D">
            <w:pPr>
              <w:pStyle w:val="328"/>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476" w:type="pct"/>
            <w:shd w:val="clear" w:color="auto" w:fill="F1F1F1"/>
            <w:noWrap w:val="0"/>
            <w:vAlign w:val="center"/>
          </w:tcPr>
          <w:p w14:paraId="6662DDFC">
            <w:pPr>
              <w:pStyle w:val="328"/>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2B887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7" w:type="pct"/>
            <w:noWrap w:val="0"/>
            <w:vAlign w:val="center"/>
          </w:tcPr>
          <w:p w14:paraId="5A6AD1AC">
            <w:pPr>
              <w:pStyle w:val="127"/>
              <w:numPr>
                <w:ilvl w:val="0"/>
                <w:numId w:val="20"/>
              </w:numPr>
              <w:ind w:firstLineChars="0"/>
              <w:jc w:val="center"/>
              <w:rPr>
                <w:rFonts w:hint="eastAsia" w:ascii="宋体" w:hAnsi="宋体" w:eastAsia="宋体" w:cs="宋体"/>
                <w:color w:val="auto"/>
                <w:szCs w:val="21"/>
                <w:highlight w:val="none"/>
              </w:rPr>
            </w:pPr>
          </w:p>
        </w:tc>
        <w:tc>
          <w:tcPr>
            <w:tcW w:w="621" w:type="pct"/>
            <w:noWrap w:val="0"/>
            <w:vAlign w:val="center"/>
          </w:tcPr>
          <w:p w14:paraId="170B454F">
            <w:pPr>
              <w:tabs>
                <w:tab w:val="left" w:pos="778"/>
              </w:tabs>
              <w:autoSpaceDE/>
              <w:autoSpaceDN/>
              <w:adjustRightInd w:val="0"/>
              <w:jc w:val="center"/>
              <w:rPr>
                <w:rFonts w:hint="eastAsia" w:ascii="宋体" w:hAnsi="宋体" w:eastAsia="宋体" w:cs="宋体"/>
                <w:color w:val="auto"/>
                <w:sz w:val="21"/>
                <w:szCs w:val="21"/>
                <w:highlight w:val="none"/>
                <w:lang w:val="en-US" w:eastAsia="en-US" w:bidi="ar-SA"/>
              </w:rPr>
            </w:pPr>
            <w:r>
              <w:rPr>
                <w:rFonts w:hint="eastAsia" w:ascii="宋体" w:hAnsi="宋体" w:eastAsia="宋体" w:cs="宋体"/>
                <w:color w:val="auto"/>
                <w:szCs w:val="21"/>
                <w:highlight w:val="none"/>
                <w:lang w:eastAsia="zh-CN"/>
              </w:rPr>
              <w:t>类似项目</w:t>
            </w:r>
            <w:r>
              <w:rPr>
                <w:rFonts w:hint="eastAsia" w:ascii="宋体" w:hAnsi="宋体" w:eastAsia="宋体" w:cs="宋体"/>
                <w:color w:val="auto"/>
                <w:szCs w:val="21"/>
                <w:highlight w:val="none"/>
              </w:rPr>
              <w:t>业绩</w:t>
            </w:r>
          </w:p>
        </w:tc>
        <w:tc>
          <w:tcPr>
            <w:tcW w:w="3485" w:type="pct"/>
            <w:noWrap w:val="0"/>
            <w:vAlign w:val="center"/>
          </w:tcPr>
          <w:p w14:paraId="67BA02F4">
            <w:pPr>
              <w:pStyle w:val="373"/>
              <w:autoSpaceDE/>
              <w:autoSpaceDN/>
              <w:adjustRightInd w:val="0"/>
              <w:ind w:firstLine="0" w:firstLineChars="0"/>
              <w:jc w:val="both"/>
              <w:rPr>
                <w:rFonts w:hint="eastAsia" w:ascii="宋体" w:hAnsi="宋体" w:eastAsia="宋体" w:cs="宋体"/>
                <w:bCs/>
                <w:color w:val="auto"/>
                <w:sz w:val="21"/>
                <w:szCs w:val="21"/>
                <w:highlight w:val="none"/>
                <w:lang w:eastAsia="zh-CN"/>
              </w:rPr>
            </w:pPr>
            <w:r>
              <w:rPr>
                <w:rFonts w:hint="eastAsia" w:eastAsia="宋体" w:cs="宋体"/>
                <w:bCs/>
                <w:color w:val="auto"/>
                <w:sz w:val="21"/>
                <w:szCs w:val="21"/>
                <w:highlight w:val="none"/>
                <w:lang w:eastAsia="zh-CN"/>
              </w:rPr>
              <w:t>响应供应商</w:t>
            </w:r>
            <w:r>
              <w:rPr>
                <w:rFonts w:hint="eastAsia" w:ascii="宋体" w:hAnsi="宋体" w:eastAsia="宋体" w:cs="宋体"/>
                <w:bCs/>
                <w:color w:val="auto"/>
                <w:sz w:val="21"/>
                <w:szCs w:val="21"/>
                <w:highlight w:val="none"/>
                <w:lang w:eastAsia="zh-CN"/>
              </w:rPr>
              <w:t>自202</w:t>
            </w:r>
            <w:r>
              <w:rPr>
                <w:rFonts w:hint="eastAsia"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lang w:eastAsia="zh-CN"/>
              </w:rPr>
              <w:t>年01月01日</w:t>
            </w:r>
            <w:r>
              <w:rPr>
                <w:rFonts w:hint="eastAsia" w:ascii="宋体" w:hAnsi="宋体" w:eastAsia="宋体" w:cs="宋体"/>
                <w:bCs/>
                <w:color w:val="auto"/>
                <w:sz w:val="21"/>
                <w:szCs w:val="21"/>
                <w:highlight w:val="none"/>
                <w:lang w:val="en-US" w:eastAsia="zh-CN"/>
              </w:rPr>
              <w:t>以来</w:t>
            </w:r>
            <w:r>
              <w:rPr>
                <w:rFonts w:hint="eastAsia" w:ascii="宋体" w:hAnsi="宋体" w:eastAsia="宋体" w:cs="宋体"/>
                <w:color w:val="auto"/>
                <w:sz w:val="21"/>
                <w:szCs w:val="21"/>
                <w:highlight w:val="none"/>
              </w:rPr>
              <w:t>具有</w:t>
            </w:r>
            <w:r>
              <w:rPr>
                <w:rFonts w:hint="eastAsia" w:ascii="宋体" w:hAnsi="宋体" w:eastAsia="宋体" w:cs="宋体"/>
                <w:color w:val="auto"/>
                <w:sz w:val="21"/>
                <w:szCs w:val="21"/>
                <w:highlight w:val="none"/>
                <w:lang w:val="en-US" w:eastAsia="zh-CN"/>
              </w:rPr>
              <w:t>类似（</w:t>
            </w:r>
            <w:r>
              <w:rPr>
                <w:rFonts w:hint="eastAsia" w:ascii="宋体" w:hAnsi="宋体" w:eastAsia="宋体" w:cs="宋体"/>
                <w:b/>
                <w:bCs w:val="0"/>
                <w:color w:val="auto"/>
                <w:sz w:val="21"/>
                <w:szCs w:val="21"/>
                <w:highlight w:val="none"/>
                <w:lang w:eastAsia="zh-CN"/>
              </w:rPr>
              <w:t>食堂食材配送</w:t>
            </w:r>
            <w:r>
              <w:rPr>
                <w:rFonts w:hint="eastAsia" w:ascii="宋体" w:hAnsi="宋体" w:eastAsia="宋体" w:cs="宋体"/>
                <w:color w:val="auto"/>
                <w:sz w:val="21"/>
                <w:szCs w:val="21"/>
                <w:highlight w:val="none"/>
                <w:lang w:val="en-US" w:eastAsia="zh-CN"/>
              </w:rPr>
              <w:t>）</w:t>
            </w:r>
            <w:r>
              <w:rPr>
                <w:rFonts w:hint="eastAsia" w:ascii="宋体" w:hAnsi="宋体" w:eastAsia="宋体" w:cs="宋体"/>
                <w:bCs/>
                <w:color w:val="auto"/>
                <w:sz w:val="21"/>
                <w:szCs w:val="21"/>
                <w:highlight w:val="none"/>
                <w:lang w:eastAsia="zh-CN"/>
              </w:rPr>
              <w:t>项目</w:t>
            </w:r>
            <w:r>
              <w:rPr>
                <w:rFonts w:hint="eastAsia" w:ascii="宋体" w:hAnsi="宋体" w:eastAsia="宋体" w:cs="宋体"/>
                <w:color w:val="auto"/>
                <w:sz w:val="21"/>
                <w:szCs w:val="21"/>
                <w:highlight w:val="none"/>
              </w:rPr>
              <w:t>业绩</w:t>
            </w:r>
            <w:r>
              <w:rPr>
                <w:rFonts w:hint="eastAsia" w:ascii="宋体" w:hAnsi="宋体" w:eastAsia="宋体" w:cs="宋体"/>
                <w:bCs/>
                <w:color w:val="auto"/>
                <w:sz w:val="21"/>
                <w:szCs w:val="21"/>
                <w:highlight w:val="none"/>
                <w:lang w:eastAsia="zh-CN"/>
              </w:rPr>
              <w:t>（不含</w:t>
            </w:r>
            <w:r>
              <w:rPr>
                <w:rFonts w:hint="eastAsia" w:eastAsia="宋体" w:cs="宋体"/>
                <w:bCs/>
                <w:color w:val="auto"/>
                <w:sz w:val="21"/>
                <w:szCs w:val="21"/>
                <w:highlight w:val="none"/>
                <w:lang w:eastAsia="zh-CN"/>
              </w:rPr>
              <w:t>响应供应商</w:t>
            </w:r>
            <w:r>
              <w:rPr>
                <w:rFonts w:hint="eastAsia" w:ascii="宋体" w:hAnsi="宋体" w:eastAsia="宋体" w:cs="宋体"/>
                <w:bCs/>
                <w:color w:val="auto"/>
                <w:sz w:val="21"/>
                <w:szCs w:val="21"/>
                <w:highlight w:val="none"/>
                <w:lang w:eastAsia="zh-CN"/>
              </w:rPr>
              <w:t>承接的饭堂经营权项目），每提供1个业绩得</w:t>
            </w:r>
            <w:r>
              <w:rPr>
                <w:rFonts w:hint="eastAsia" w:eastAsia="宋体" w:cs="宋体"/>
                <w:bCs/>
                <w:color w:val="auto"/>
                <w:sz w:val="21"/>
                <w:szCs w:val="21"/>
                <w:highlight w:val="none"/>
                <w:lang w:val="en-US" w:eastAsia="zh-CN"/>
              </w:rPr>
              <w:t>2</w:t>
            </w:r>
            <w:r>
              <w:rPr>
                <w:rFonts w:hint="eastAsia" w:ascii="宋体" w:hAnsi="宋体" w:eastAsia="宋体" w:cs="宋体"/>
                <w:bCs/>
                <w:color w:val="auto"/>
                <w:sz w:val="21"/>
                <w:szCs w:val="21"/>
                <w:highlight w:val="none"/>
                <w:lang w:eastAsia="zh-CN"/>
              </w:rPr>
              <w:t>分，本项最多计算</w:t>
            </w:r>
            <w:r>
              <w:rPr>
                <w:rFonts w:hint="eastAsia" w:ascii="宋体" w:hAnsi="宋体" w:eastAsia="宋体" w:cs="宋体"/>
                <w:bCs/>
                <w:color w:val="auto"/>
                <w:sz w:val="21"/>
                <w:szCs w:val="21"/>
                <w:highlight w:val="none"/>
                <w:lang w:val="en-US" w:eastAsia="zh-CN"/>
              </w:rPr>
              <w:t>5</w:t>
            </w:r>
            <w:r>
              <w:rPr>
                <w:rFonts w:hint="eastAsia" w:ascii="宋体" w:hAnsi="宋体" w:eastAsia="宋体" w:cs="宋体"/>
                <w:bCs/>
                <w:color w:val="auto"/>
                <w:sz w:val="21"/>
                <w:szCs w:val="21"/>
                <w:highlight w:val="none"/>
                <w:lang w:eastAsia="zh-CN"/>
              </w:rPr>
              <w:t>个单项业绩，满分</w:t>
            </w:r>
            <w:r>
              <w:rPr>
                <w:rFonts w:hint="eastAsia" w:eastAsia="宋体" w:cs="宋体"/>
                <w:bCs/>
                <w:color w:val="auto"/>
                <w:sz w:val="21"/>
                <w:szCs w:val="21"/>
                <w:highlight w:val="none"/>
                <w:lang w:val="en-US" w:eastAsia="zh-CN"/>
              </w:rPr>
              <w:t>10</w:t>
            </w:r>
            <w:r>
              <w:rPr>
                <w:rFonts w:hint="eastAsia" w:ascii="宋体" w:hAnsi="宋体" w:eastAsia="宋体" w:cs="宋体"/>
                <w:bCs/>
                <w:color w:val="auto"/>
                <w:sz w:val="21"/>
                <w:szCs w:val="21"/>
                <w:highlight w:val="none"/>
                <w:lang w:eastAsia="zh-CN"/>
              </w:rPr>
              <w:t>分。</w:t>
            </w:r>
          </w:p>
          <w:p w14:paraId="7D587F09">
            <w:pPr>
              <w:widowControl/>
              <w:autoSpaceDE/>
              <w:autoSpaceDN/>
              <w:adjustRightInd w:val="0"/>
              <w:jc w:val="both"/>
              <w:rPr>
                <w:rFonts w:hint="eastAsia" w:ascii="宋体" w:hAnsi="宋体" w:eastAsia="宋体" w:cs="宋体"/>
                <w:color w:val="auto"/>
                <w:sz w:val="21"/>
                <w:szCs w:val="21"/>
                <w:highlight w:val="none"/>
                <w:lang w:val="en-US" w:eastAsia="zh-CN" w:bidi="ar-SA"/>
              </w:rPr>
            </w:pPr>
            <w:r>
              <w:rPr>
                <w:rFonts w:hint="eastAsia" w:ascii="宋体" w:hAnsi="宋体" w:eastAsia="宋体" w:cs="宋体"/>
                <w:b/>
                <w:color w:val="auto"/>
                <w:szCs w:val="21"/>
                <w:highlight w:val="none"/>
                <w:lang w:eastAsia="zh-CN"/>
              </w:rPr>
              <w:t>注：同一个项目或同一个单位的业绩只计一次。</w:t>
            </w:r>
            <w:r>
              <w:rPr>
                <w:rFonts w:hint="eastAsia" w:cs="宋体"/>
                <w:b/>
                <w:color w:val="auto"/>
                <w:szCs w:val="21"/>
                <w:highlight w:val="none"/>
                <w:lang w:eastAsia="zh-CN"/>
              </w:rPr>
              <w:t>（</w:t>
            </w:r>
            <w:r>
              <w:rPr>
                <w:rFonts w:hint="eastAsia" w:cs="宋体"/>
                <w:b/>
                <w:color w:val="auto"/>
                <w:szCs w:val="21"/>
                <w:highlight w:val="none"/>
                <w:lang w:val="en-US" w:eastAsia="zh-CN"/>
              </w:rPr>
              <w:t>1</w:t>
            </w:r>
            <w:r>
              <w:rPr>
                <w:rFonts w:hint="eastAsia" w:cs="宋体"/>
                <w:b/>
                <w:color w:val="auto"/>
                <w:szCs w:val="21"/>
                <w:highlight w:val="none"/>
                <w:lang w:eastAsia="zh-CN"/>
              </w:rPr>
              <w:t>）</w:t>
            </w:r>
            <w:r>
              <w:rPr>
                <w:rFonts w:hint="eastAsia" w:ascii="宋体" w:hAnsi="宋体" w:eastAsia="宋体" w:cs="宋体"/>
                <w:b/>
                <w:color w:val="auto"/>
                <w:szCs w:val="21"/>
                <w:highlight w:val="none"/>
                <w:lang w:eastAsia="zh-CN"/>
              </w:rPr>
              <w:t>响应文件中须提供合同关键页复印件（包括但不限于合同名称页、合同主要内容页、合同签订日期页、合同双方签字盖章页），并加盖供应商公章，否则不得分。</w:t>
            </w:r>
            <w:r>
              <w:rPr>
                <w:rFonts w:hint="eastAsia" w:cs="宋体"/>
                <w:b/>
                <w:color w:val="auto"/>
                <w:szCs w:val="21"/>
                <w:highlight w:val="none"/>
                <w:lang w:val="en-US" w:eastAsia="zh-CN"/>
              </w:rPr>
              <w:t>（2）</w:t>
            </w:r>
            <w:r>
              <w:rPr>
                <w:rFonts w:hint="eastAsia" w:ascii="宋体" w:hAnsi="宋体" w:eastAsia="宋体" w:cs="宋体"/>
                <w:b/>
                <w:color w:val="auto"/>
                <w:szCs w:val="21"/>
                <w:highlight w:val="none"/>
                <w:lang w:eastAsia="zh-CN"/>
              </w:rPr>
              <w:t>合同体现签订日期的，以合同签订日期为准；合同未体现签订日期的，但是合同履行期限能明显判断在202</w:t>
            </w:r>
            <w:r>
              <w:rPr>
                <w:rFonts w:hint="eastAsia" w:ascii="宋体" w:hAnsi="宋体" w:eastAsia="宋体" w:cs="宋体"/>
                <w:b/>
                <w:color w:val="auto"/>
                <w:szCs w:val="21"/>
                <w:highlight w:val="none"/>
                <w:lang w:val="en-US" w:eastAsia="zh-CN"/>
              </w:rPr>
              <w:t>3</w:t>
            </w:r>
            <w:r>
              <w:rPr>
                <w:rFonts w:hint="eastAsia" w:ascii="宋体" w:hAnsi="宋体" w:eastAsia="宋体" w:cs="宋体"/>
                <w:b/>
                <w:color w:val="auto"/>
                <w:szCs w:val="21"/>
                <w:highlight w:val="none"/>
                <w:lang w:eastAsia="zh-CN"/>
              </w:rPr>
              <w:t>年</w:t>
            </w:r>
            <w:r>
              <w:rPr>
                <w:rFonts w:hint="eastAsia" w:ascii="宋体" w:hAnsi="宋体" w:eastAsia="宋体" w:cs="宋体"/>
                <w:b/>
                <w:color w:val="auto"/>
                <w:szCs w:val="21"/>
                <w:highlight w:val="none"/>
                <w:lang w:val="en-US" w:eastAsia="zh-CN"/>
              </w:rPr>
              <w:t>0</w:t>
            </w:r>
            <w:r>
              <w:rPr>
                <w:rFonts w:hint="eastAsia" w:ascii="宋体" w:hAnsi="宋体" w:eastAsia="宋体" w:cs="宋体"/>
                <w:b/>
                <w:color w:val="auto"/>
                <w:szCs w:val="21"/>
                <w:highlight w:val="none"/>
                <w:lang w:eastAsia="zh-CN"/>
              </w:rPr>
              <w:t>1月</w:t>
            </w:r>
            <w:r>
              <w:rPr>
                <w:rFonts w:hint="eastAsia" w:ascii="宋体" w:hAnsi="宋体" w:eastAsia="宋体" w:cs="宋体"/>
                <w:b/>
                <w:color w:val="auto"/>
                <w:szCs w:val="21"/>
                <w:highlight w:val="none"/>
                <w:lang w:val="en-US" w:eastAsia="zh-CN"/>
              </w:rPr>
              <w:t>0</w:t>
            </w:r>
            <w:r>
              <w:rPr>
                <w:rFonts w:hint="eastAsia" w:ascii="宋体" w:hAnsi="宋体" w:eastAsia="宋体" w:cs="宋体"/>
                <w:b/>
                <w:color w:val="auto"/>
                <w:szCs w:val="21"/>
                <w:highlight w:val="none"/>
                <w:lang w:eastAsia="zh-CN"/>
              </w:rPr>
              <w:t>1日或之后开始实施的，该合同应予以认可。</w:t>
            </w:r>
            <w:r>
              <w:rPr>
                <w:rFonts w:hint="eastAsia" w:cs="宋体"/>
                <w:b/>
                <w:color w:val="auto"/>
                <w:szCs w:val="21"/>
                <w:highlight w:val="none"/>
                <w:lang w:val="en-US" w:eastAsia="zh-CN"/>
              </w:rPr>
              <w:t>（3）</w:t>
            </w:r>
            <w:r>
              <w:rPr>
                <w:rFonts w:hint="eastAsia" w:ascii="宋体" w:hAnsi="宋体" w:eastAsia="宋体" w:cs="宋体"/>
                <w:b/>
                <w:color w:val="auto"/>
                <w:szCs w:val="21"/>
                <w:highlight w:val="none"/>
                <w:lang w:eastAsia="zh-CN"/>
              </w:rPr>
              <w:t>若合同无法体现具体内容的，可增加客户方提供的证明材料作为佐证材料，否则不得分。</w:t>
            </w:r>
          </w:p>
        </w:tc>
        <w:tc>
          <w:tcPr>
            <w:tcW w:w="476" w:type="pct"/>
            <w:noWrap w:val="0"/>
            <w:vAlign w:val="center"/>
          </w:tcPr>
          <w:p w14:paraId="30E8983C">
            <w:pPr>
              <w:jc w:val="center"/>
              <w:rPr>
                <w:rFonts w:hint="default" w:ascii="宋体" w:hAnsi="宋体" w:eastAsia="宋体" w:cs="宋体"/>
                <w:color w:val="auto"/>
                <w:sz w:val="21"/>
                <w:szCs w:val="21"/>
                <w:highlight w:val="none"/>
                <w:lang w:val="en-US" w:eastAsia="zh-CN" w:bidi="ar-SA"/>
              </w:rPr>
            </w:pPr>
            <w:r>
              <w:rPr>
                <w:rFonts w:hint="eastAsia" w:cs="宋体"/>
                <w:color w:val="auto"/>
                <w:szCs w:val="21"/>
                <w:highlight w:val="none"/>
                <w:lang w:val="en-US" w:eastAsia="zh-CN"/>
              </w:rPr>
              <w:t>10</w:t>
            </w:r>
          </w:p>
        </w:tc>
      </w:tr>
      <w:tr w14:paraId="76AF9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7" w:type="pct"/>
            <w:noWrap w:val="0"/>
            <w:vAlign w:val="center"/>
          </w:tcPr>
          <w:p w14:paraId="1B5D8CC1">
            <w:pPr>
              <w:pStyle w:val="127"/>
              <w:numPr>
                <w:ilvl w:val="0"/>
                <w:numId w:val="20"/>
              </w:numPr>
              <w:ind w:firstLineChars="0"/>
              <w:jc w:val="center"/>
              <w:rPr>
                <w:rFonts w:hint="eastAsia" w:ascii="宋体" w:hAnsi="宋体" w:eastAsia="宋体" w:cs="宋体"/>
                <w:color w:val="auto"/>
                <w:szCs w:val="21"/>
                <w:highlight w:val="none"/>
              </w:rPr>
            </w:pPr>
          </w:p>
        </w:tc>
        <w:tc>
          <w:tcPr>
            <w:tcW w:w="621" w:type="pct"/>
            <w:noWrap w:val="0"/>
            <w:vAlign w:val="center"/>
          </w:tcPr>
          <w:p w14:paraId="1674B915">
            <w:pPr>
              <w:tabs>
                <w:tab w:val="left" w:pos="778"/>
              </w:tabs>
              <w:autoSpaceDE/>
              <w:autoSpaceDN/>
              <w:adjustRightInd w:val="0"/>
              <w:jc w:val="center"/>
              <w:rPr>
                <w:rFonts w:hint="eastAsia" w:ascii="宋体" w:hAnsi="宋体" w:eastAsia="宋体" w:cs="宋体"/>
                <w:color w:val="auto"/>
                <w:sz w:val="21"/>
                <w:szCs w:val="21"/>
                <w:highlight w:val="none"/>
                <w:lang w:val="en-US" w:eastAsia="en-US" w:bidi="ar-SA"/>
              </w:rPr>
            </w:pPr>
            <w:r>
              <w:rPr>
                <w:rFonts w:hint="eastAsia" w:ascii="宋体" w:hAnsi="宋体" w:eastAsia="宋体" w:cs="宋体"/>
                <w:color w:val="auto"/>
                <w:szCs w:val="21"/>
                <w:highlight w:val="none"/>
              </w:rPr>
              <w:t>认证</w:t>
            </w:r>
            <w:r>
              <w:rPr>
                <w:rFonts w:hint="eastAsia" w:ascii="宋体" w:hAnsi="宋体" w:eastAsia="宋体" w:cs="宋体"/>
                <w:color w:val="auto"/>
                <w:szCs w:val="21"/>
                <w:highlight w:val="none"/>
                <w:lang w:eastAsia="zh-CN"/>
              </w:rPr>
              <w:t>情况</w:t>
            </w:r>
          </w:p>
        </w:tc>
        <w:tc>
          <w:tcPr>
            <w:tcW w:w="3485" w:type="pct"/>
            <w:noWrap w:val="0"/>
            <w:vAlign w:val="center"/>
          </w:tcPr>
          <w:p w14:paraId="4B98582E">
            <w:pPr>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根据</w:t>
            </w:r>
            <w:r>
              <w:rPr>
                <w:rFonts w:hint="eastAsia" w:cs="宋体"/>
                <w:color w:val="auto"/>
                <w:szCs w:val="21"/>
                <w:highlight w:val="none"/>
                <w:lang w:eastAsia="zh-CN"/>
              </w:rPr>
              <w:t>响应供应商</w:t>
            </w:r>
            <w:r>
              <w:rPr>
                <w:rFonts w:hint="eastAsia" w:ascii="宋体" w:hAnsi="宋体" w:eastAsia="宋体" w:cs="宋体"/>
                <w:color w:val="auto"/>
                <w:szCs w:val="21"/>
                <w:highlight w:val="none"/>
                <w:lang w:eastAsia="zh-CN"/>
              </w:rPr>
              <w:t>提供的认证情况进行评分：</w:t>
            </w:r>
          </w:p>
          <w:p w14:paraId="3743CCD2">
            <w:pPr>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1、具有有效的质量管理体系认证证书，得</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分；</w:t>
            </w:r>
          </w:p>
          <w:p w14:paraId="0897B34D">
            <w:pPr>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2、具有有效的环境管理体系认证，得</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分；</w:t>
            </w:r>
          </w:p>
          <w:p w14:paraId="5794C37A">
            <w:pPr>
              <w:pStyle w:val="19"/>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3、具有有效的职业健康安全体系认证证书，得</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分；</w:t>
            </w:r>
          </w:p>
          <w:p w14:paraId="4D370425">
            <w:pPr>
              <w:pStyle w:val="19"/>
              <w:autoSpaceDE/>
              <w:autoSpaceDN/>
              <w:adjustRightInd w:val="0"/>
              <w:jc w:val="both"/>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具有有效的</w:t>
            </w:r>
            <w:r>
              <w:rPr>
                <w:rFonts w:hint="eastAsia" w:ascii="宋体" w:hAnsi="宋体" w:eastAsia="宋体" w:cs="宋体"/>
                <w:color w:val="auto"/>
                <w:szCs w:val="21"/>
                <w:highlight w:val="none"/>
                <w:lang w:val="en-US" w:eastAsia="zh-CN"/>
              </w:rPr>
              <w:t>食品安全管理体系</w:t>
            </w:r>
            <w:r>
              <w:rPr>
                <w:rFonts w:hint="eastAsia" w:ascii="宋体" w:hAnsi="宋体" w:eastAsia="宋体" w:cs="宋体"/>
                <w:color w:val="auto"/>
                <w:szCs w:val="21"/>
                <w:highlight w:val="none"/>
                <w:lang w:eastAsia="zh-CN"/>
              </w:rPr>
              <w:t>认证证书，得</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分</w:t>
            </w:r>
            <w:r>
              <w:rPr>
                <w:rFonts w:hint="eastAsia" w:ascii="宋体" w:hAnsi="宋体" w:eastAsia="宋体" w:cs="宋体"/>
                <w:color w:val="auto"/>
                <w:szCs w:val="21"/>
                <w:highlight w:val="none"/>
                <w:lang w:val="en-US" w:eastAsia="zh-CN"/>
              </w:rPr>
              <w:t>。</w:t>
            </w:r>
          </w:p>
          <w:p w14:paraId="02CD60C3">
            <w:pPr>
              <w:pStyle w:val="19"/>
              <w:autoSpaceDE/>
              <w:autoSpaceDN/>
              <w:adjustRightInd w:val="0"/>
              <w:jc w:val="both"/>
              <w:rPr>
                <w:rFonts w:hint="eastAsia" w:ascii="宋体" w:hAnsi="宋体" w:eastAsia="宋体" w:cs="宋体"/>
                <w:color w:val="auto"/>
                <w:sz w:val="21"/>
                <w:szCs w:val="21"/>
                <w:highlight w:val="none"/>
                <w:lang w:val="en-US" w:eastAsia="zh-CN" w:bidi="ar-SA"/>
              </w:rPr>
            </w:pPr>
            <w:r>
              <w:rPr>
                <w:rFonts w:hint="eastAsia" w:ascii="宋体" w:hAnsi="宋体" w:eastAsia="宋体" w:cs="宋体"/>
                <w:b/>
                <w:color w:val="auto"/>
                <w:szCs w:val="21"/>
                <w:highlight w:val="none"/>
              </w:rPr>
              <w:t>注：</w:t>
            </w:r>
            <w:r>
              <w:rPr>
                <w:rFonts w:hint="eastAsia" w:cs="宋体"/>
                <w:b/>
                <w:color w:val="auto"/>
                <w:szCs w:val="21"/>
                <w:highlight w:val="none"/>
                <w:lang w:eastAsia="zh-CN"/>
              </w:rPr>
              <w:t>响应文件</w:t>
            </w:r>
            <w:r>
              <w:rPr>
                <w:rFonts w:hint="eastAsia" w:ascii="宋体" w:hAnsi="宋体" w:eastAsia="宋体" w:cs="宋体"/>
                <w:b/>
                <w:color w:val="auto"/>
                <w:szCs w:val="21"/>
                <w:highlight w:val="none"/>
              </w:rPr>
              <w:t>中</w:t>
            </w:r>
            <w:r>
              <w:rPr>
                <w:rFonts w:hint="eastAsia" w:ascii="宋体" w:hAnsi="宋体" w:eastAsia="宋体" w:cs="宋体"/>
                <w:b/>
                <w:color w:val="auto"/>
                <w:szCs w:val="21"/>
                <w:highlight w:val="none"/>
                <w:lang w:eastAsia="zh-CN"/>
              </w:rPr>
              <w:t>须同时</w:t>
            </w:r>
            <w:r>
              <w:rPr>
                <w:rFonts w:hint="eastAsia" w:ascii="宋体" w:hAnsi="宋体" w:eastAsia="宋体" w:cs="宋体"/>
                <w:b/>
                <w:color w:val="auto"/>
                <w:szCs w:val="21"/>
                <w:highlight w:val="none"/>
              </w:rPr>
              <w:t>提供上述证书复印件</w:t>
            </w:r>
            <w:r>
              <w:rPr>
                <w:rFonts w:hint="eastAsia" w:ascii="宋体" w:hAnsi="宋体" w:eastAsia="宋体" w:cs="宋体"/>
                <w:b/>
                <w:color w:val="auto"/>
                <w:szCs w:val="21"/>
                <w:highlight w:val="none"/>
                <w:lang w:eastAsia="zh-CN"/>
              </w:rPr>
              <w:t>（</w:t>
            </w:r>
            <w:r>
              <w:rPr>
                <w:rFonts w:hint="eastAsia" w:cs="宋体"/>
                <w:b/>
                <w:color w:val="auto"/>
                <w:szCs w:val="21"/>
                <w:highlight w:val="none"/>
                <w:lang w:eastAsia="zh-CN"/>
              </w:rPr>
              <w:t>加盖供应商</w:t>
            </w:r>
            <w:r>
              <w:rPr>
                <w:rFonts w:hint="eastAsia" w:ascii="宋体" w:hAnsi="宋体" w:eastAsia="宋体" w:cs="宋体"/>
                <w:b/>
                <w:color w:val="auto"/>
                <w:szCs w:val="21"/>
                <w:highlight w:val="none"/>
              </w:rPr>
              <w:t>公章</w:t>
            </w:r>
            <w:r>
              <w:rPr>
                <w:rFonts w:hint="eastAsia" w:ascii="宋体" w:hAnsi="宋体" w:eastAsia="宋体" w:cs="宋体"/>
                <w:b/>
                <w:color w:val="auto"/>
                <w:szCs w:val="21"/>
                <w:highlight w:val="none"/>
                <w:lang w:eastAsia="zh-CN"/>
              </w:rPr>
              <w:t>）和</w:t>
            </w:r>
            <w:r>
              <w:rPr>
                <w:rFonts w:hint="eastAsia" w:ascii="宋体" w:hAnsi="宋体" w:eastAsia="宋体" w:cs="宋体"/>
                <w:b/>
                <w:color w:val="auto"/>
                <w:szCs w:val="21"/>
                <w:highlight w:val="none"/>
              </w:rPr>
              <w:t>证书信息在全国认证认可信息公共服务平台（http://cx.cnca.cn/）查询的网页</w:t>
            </w:r>
            <w:r>
              <w:rPr>
                <w:rFonts w:hint="eastAsia" w:ascii="宋体" w:hAnsi="宋体" w:eastAsia="宋体" w:cs="宋体"/>
                <w:b/>
                <w:color w:val="auto"/>
                <w:szCs w:val="21"/>
                <w:highlight w:val="none"/>
                <w:lang w:eastAsia="zh-CN"/>
              </w:rPr>
              <w:t>截图并</w:t>
            </w:r>
            <w:r>
              <w:rPr>
                <w:rFonts w:hint="eastAsia" w:cs="宋体"/>
                <w:b/>
                <w:color w:val="auto"/>
                <w:szCs w:val="21"/>
                <w:highlight w:val="none"/>
                <w:lang w:eastAsia="zh-CN"/>
              </w:rPr>
              <w:t>加盖供应商</w:t>
            </w:r>
            <w:r>
              <w:rPr>
                <w:rFonts w:hint="eastAsia" w:ascii="宋体" w:hAnsi="宋体" w:eastAsia="宋体" w:cs="宋体"/>
                <w:b/>
                <w:color w:val="auto"/>
                <w:szCs w:val="21"/>
                <w:highlight w:val="none"/>
              </w:rPr>
              <w:t>公章，</w:t>
            </w:r>
            <w:r>
              <w:rPr>
                <w:rFonts w:hint="eastAsia" w:ascii="宋体" w:hAnsi="宋体" w:eastAsia="宋体" w:cs="宋体"/>
                <w:b/>
                <w:color w:val="auto"/>
                <w:szCs w:val="21"/>
                <w:highlight w:val="none"/>
                <w:lang w:eastAsia="zh-CN"/>
              </w:rPr>
              <w:t>否则不得分</w:t>
            </w:r>
            <w:r>
              <w:rPr>
                <w:rFonts w:hint="eastAsia" w:ascii="宋体" w:hAnsi="宋体" w:eastAsia="宋体" w:cs="宋体"/>
                <w:b/>
                <w:color w:val="auto"/>
                <w:szCs w:val="21"/>
                <w:highlight w:val="none"/>
              </w:rPr>
              <w:t>。</w:t>
            </w:r>
            <w:r>
              <w:rPr>
                <w:rFonts w:hint="eastAsia" w:ascii="宋体" w:hAnsi="宋体" w:eastAsia="宋体" w:cs="宋体"/>
                <w:b/>
                <w:color w:val="auto"/>
                <w:szCs w:val="21"/>
                <w:highlight w:val="none"/>
                <w:lang w:eastAsia="zh-CN"/>
              </w:rPr>
              <w:t>如公开信息中无法查询或与公开信息不一致的，不得分。</w:t>
            </w:r>
          </w:p>
        </w:tc>
        <w:tc>
          <w:tcPr>
            <w:tcW w:w="476" w:type="pct"/>
            <w:noWrap w:val="0"/>
            <w:vAlign w:val="center"/>
          </w:tcPr>
          <w:p w14:paraId="645006ED">
            <w:pPr>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 w:val="21"/>
                <w:szCs w:val="21"/>
                <w:highlight w:val="none"/>
                <w:lang w:val="en-US" w:eastAsia="zh-CN" w:bidi="ar-SA"/>
              </w:rPr>
              <w:t>8</w:t>
            </w:r>
          </w:p>
        </w:tc>
      </w:tr>
      <w:tr w14:paraId="1917F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7" w:type="pct"/>
            <w:noWrap w:val="0"/>
            <w:vAlign w:val="center"/>
          </w:tcPr>
          <w:p w14:paraId="2AB936AE">
            <w:pPr>
              <w:pStyle w:val="127"/>
              <w:numPr>
                <w:ilvl w:val="0"/>
                <w:numId w:val="20"/>
              </w:numPr>
              <w:ind w:firstLineChars="0"/>
              <w:jc w:val="center"/>
              <w:rPr>
                <w:rFonts w:hint="eastAsia" w:ascii="宋体" w:hAnsi="宋体" w:eastAsia="宋体" w:cs="宋体"/>
                <w:color w:val="auto"/>
                <w:szCs w:val="21"/>
                <w:highlight w:val="none"/>
              </w:rPr>
            </w:pPr>
          </w:p>
        </w:tc>
        <w:tc>
          <w:tcPr>
            <w:tcW w:w="621" w:type="pct"/>
            <w:noWrap w:val="0"/>
            <w:vAlign w:val="center"/>
          </w:tcPr>
          <w:p w14:paraId="3355E9D8">
            <w:pPr>
              <w:tabs>
                <w:tab w:val="left" w:pos="778"/>
              </w:tabs>
              <w:autoSpaceDE/>
              <w:autoSpaceDN/>
              <w:adjustRightInd w:val="0"/>
              <w:jc w:val="center"/>
              <w:rPr>
                <w:rFonts w:hint="eastAsia" w:ascii="宋体" w:hAnsi="宋体" w:eastAsia="宋体" w:cs="宋体"/>
                <w:color w:val="auto"/>
                <w:sz w:val="21"/>
                <w:szCs w:val="21"/>
                <w:highlight w:val="none"/>
                <w:lang w:val="en-US" w:eastAsia="en-US" w:bidi="ar-SA"/>
              </w:rPr>
            </w:pPr>
            <w:r>
              <w:rPr>
                <w:rFonts w:hint="eastAsia" w:ascii="宋体" w:hAnsi="宋体" w:eastAsia="宋体" w:cs="宋体"/>
                <w:color w:val="auto"/>
                <w:szCs w:val="21"/>
                <w:highlight w:val="none"/>
                <w:lang w:eastAsia="zh-CN"/>
              </w:rPr>
              <w:t>配送车辆情况</w:t>
            </w:r>
          </w:p>
        </w:tc>
        <w:tc>
          <w:tcPr>
            <w:tcW w:w="3485" w:type="pct"/>
            <w:noWrap w:val="0"/>
            <w:vAlign w:val="center"/>
          </w:tcPr>
          <w:p w14:paraId="6F53FF07">
            <w:pPr>
              <w:autoSpaceDE/>
              <w:autoSpaceDN/>
              <w:adjustRightInd w:val="0"/>
              <w:jc w:val="both"/>
              <w:rPr>
                <w:rFonts w:hint="eastAsia" w:ascii="宋体" w:hAnsi="宋体" w:eastAsia="宋体" w:cs="宋体"/>
                <w:color w:val="auto"/>
                <w:szCs w:val="21"/>
                <w:highlight w:val="none"/>
                <w:lang w:eastAsia="zh-CN"/>
              </w:rPr>
            </w:pPr>
            <w:r>
              <w:rPr>
                <w:rFonts w:hint="eastAsia" w:cs="宋体"/>
                <w:color w:val="auto"/>
                <w:szCs w:val="21"/>
                <w:highlight w:val="none"/>
                <w:lang w:eastAsia="zh-CN"/>
              </w:rPr>
              <w:t>响应供应商</w:t>
            </w:r>
            <w:r>
              <w:rPr>
                <w:rFonts w:hint="eastAsia" w:ascii="宋体" w:hAnsi="宋体" w:eastAsia="宋体" w:cs="宋体"/>
                <w:color w:val="auto"/>
                <w:szCs w:val="21"/>
                <w:highlight w:val="none"/>
                <w:lang w:eastAsia="zh-CN"/>
              </w:rPr>
              <w:t>自有或租赁的配送车辆情况进行评分：一辆冷链车或冷藏车得1分，本项最多计</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辆车，最高得</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分。</w:t>
            </w:r>
          </w:p>
          <w:p w14:paraId="39B77E13">
            <w:pPr>
              <w:autoSpaceDE/>
              <w:autoSpaceDN/>
              <w:adjustRightInd w:val="0"/>
              <w:jc w:val="both"/>
              <w:rPr>
                <w:rFonts w:hint="eastAsia" w:ascii="宋体" w:hAnsi="宋体" w:eastAsia="宋体" w:cs="宋体"/>
                <w:color w:val="auto"/>
                <w:sz w:val="21"/>
                <w:szCs w:val="21"/>
                <w:highlight w:val="none"/>
                <w:lang w:val="en-US" w:eastAsia="zh-CN" w:bidi="ar-SA"/>
              </w:rPr>
            </w:pPr>
            <w:r>
              <w:rPr>
                <w:rFonts w:hint="eastAsia" w:ascii="宋体" w:hAnsi="宋体" w:eastAsia="宋体" w:cs="宋体"/>
                <w:b/>
                <w:color w:val="auto"/>
                <w:szCs w:val="21"/>
                <w:highlight w:val="none"/>
                <w:lang w:eastAsia="zh-CN"/>
              </w:rPr>
              <w:t>注：（1）自有车辆：提供年审有效期内的《机动车行驶证》、车辆照片、车辆购置发票复印件，</w:t>
            </w:r>
            <w:r>
              <w:rPr>
                <w:rFonts w:hint="eastAsia" w:cs="宋体"/>
                <w:b/>
                <w:color w:val="auto"/>
                <w:szCs w:val="21"/>
                <w:highlight w:val="none"/>
                <w:lang w:eastAsia="zh-CN"/>
              </w:rPr>
              <w:t>加盖供应商</w:t>
            </w:r>
            <w:r>
              <w:rPr>
                <w:rFonts w:hint="eastAsia" w:ascii="宋体" w:hAnsi="宋体" w:eastAsia="宋体" w:cs="宋体"/>
                <w:b/>
                <w:color w:val="auto"/>
                <w:szCs w:val="21"/>
                <w:highlight w:val="none"/>
                <w:lang w:eastAsia="zh-CN"/>
              </w:rPr>
              <w:t>公章；车辆注册用户须和</w:t>
            </w:r>
            <w:r>
              <w:rPr>
                <w:rFonts w:hint="eastAsia" w:cs="宋体"/>
                <w:b/>
                <w:color w:val="auto"/>
                <w:szCs w:val="21"/>
                <w:highlight w:val="none"/>
                <w:lang w:eastAsia="zh-CN"/>
              </w:rPr>
              <w:t>响应供应商</w:t>
            </w:r>
            <w:r>
              <w:rPr>
                <w:rFonts w:hint="eastAsia" w:ascii="宋体" w:hAnsi="宋体" w:eastAsia="宋体" w:cs="宋体"/>
                <w:b/>
                <w:color w:val="auto"/>
                <w:szCs w:val="21"/>
                <w:highlight w:val="none"/>
                <w:lang w:eastAsia="zh-CN"/>
              </w:rPr>
              <w:t>名称一致。（2）租赁车辆：提供开标当日仍在租赁有效期内的车辆租赁合同、租赁期内租赁费用的银行转账凭证或租赁发票、《机动车行驶证》、车辆照片、车辆购置发票复印件或扫描件，加盖</w:t>
            </w:r>
            <w:r>
              <w:rPr>
                <w:rFonts w:hint="eastAsia" w:cs="宋体"/>
                <w:b/>
                <w:bCs/>
                <w:color w:val="auto"/>
                <w:szCs w:val="21"/>
                <w:highlight w:val="none"/>
                <w:lang w:eastAsia="zh-CN"/>
              </w:rPr>
              <w:t>供应商</w:t>
            </w:r>
            <w:r>
              <w:rPr>
                <w:rFonts w:hint="eastAsia" w:ascii="宋体" w:hAnsi="宋体" w:eastAsia="宋体" w:cs="宋体"/>
                <w:b/>
                <w:color w:val="auto"/>
                <w:szCs w:val="21"/>
                <w:highlight w:val="none"/>
                <w:lang w:eastAsia="zh-CN"/>
              </w:rPr>
              <w:t>公章；承租方须与</w:t>
            </w:r>
            <w:r>
              <w:rPr>
                <w:rFonts w:hint="eastAsia" w:cs="宋体"/>
                <w:b/>
                <w:bCs/>
                <w:color w:val="auto"/>
                <w:szCs w:val="21"/>
                <w:highlight w:val="none"/>
                <w:lang w:eastAsia="zh-CN"/>
              </w:rPr>
              <w:t>供应商</w:t>
            </w:r>
            <w:r>
              <w:rPr>
                <w:rFonts w:hint="eastAsia" w:ascii="宋体" w:hAnsi="宋体" w:eastAsia="宋体" w:cs="宋体"/>
                <w:b/>
                <w:color w:val="auto"/>
                <w:szCs w:val="21"/>
                <w:highlight w:val="none"/>
                <w:lang w:eastAsia="zh-CN"/>
              </w:rPr>
              <w:t>名称一致；（3）车辆类型以行驶证或车辆购置发票或出厂合格证书所载车辆类型为准。（4）</w:t>
            </w:r>
            <w:r>
              <w:rPr>
                <w:rFonts w:hint="eastAsia" w:ascii="宋体" w:hAnsi="宋体" w:eastAsia="宋体" w:cs="宋体"/>
                <w:b/>
                <w:color w:val="auto"/>
                <w:szCs w:val="21"/>
                <w:highlight w:val="none"/>
              </w:rPr>
              <w:t>未按要求提供</w:t>
            </w:r>
            <w:r>
              <w:rPr>
                <w:rFonts w:hint="eastAsia" w:ascii="宋体" w:hAnsi="宋体" w:eastAsia="宋体" w:cs="宋体"/>
                <w:b/>
                <w:color w:val="auto"/>
                <w:szCs w:val="21"/>
                <w:highlight w:val="none"/>
                <w:lang w:eastAsia="zh-CN"/>
              </w:rPr>
              <w:t>或未提供</w:t>
            </w:r>
            <w:r>
              <w:rPr>
                <w:rFonts w:hint="eastAsia" w:ascii="宋体" w:hAnsi="宋体" w:eastAsia="宋体" w:cs="宋体"/>
                <w:b/>
                <w:color w:val="auto"/>
                <w:szCs w:val="21"/>
                <w:highlight w:val="none"/>
              </w:rPr>
              <w:t>的</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rPr>
              <w:t>不得分。</w:t>
            </w:r>
          </w:p>
        </w:tc>
        <w:tc>
          <w:tcPr>
            <w:tcW w:w="476" w:type="pct"/>
            <w:noWrap w:val="0"/>
            <w:vAlign w:val="center"/>
          </w:tcPr>
          <w:p w14:paraId="00D4FD2E">
            <w:pPr>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4</w:t>
            </w:r>
          </w:p>
        </w:tc>
      </w:tr>
      <w:tr w14:paraId="582DF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 w:hRule="atLeast"/>
          <w:jc w:val="center"/>
        </w:trPr>
        <w:tc>
          <w:tcPr>
            <w:tcW w:w="417" w:type="pct"/>
            <w:noWrap w:val="0"/>
            <w:vAlign w:val="center"/>
          </w:tcPr>
          <w:p w14:paraId="30E9CDA3">
            <w:pPr>
              <w:pStyle w:val="127"/>
              <w:numPr>
                <w:ilvl w:val="0"/>
                <w:numId w:val="20"/>
              </w:numPr>
              <w:ind w:firstLineChars="0"/>
              <w:jc w:val="center"/>
              <w:rPr>
                <w:rFonts w:hint="eastAsia" w:ascii="宋体" w:hAnsi="宋体" w:eastAsia="宋体" w:cs="宋体"/>
                <w:color w:val="auto"/>
                <w:szCs w:val="21"/>
                <w:highlight w:val="none"/>
              </w:rPr>
            </w:pPr>
          </w:p>
        </w:tc>
        <w:tc>
          <w:tcPr>
            <w:tcW w:w="621" w:type="pct"/>
            <w:noWrap w:val="0"/>
            <w:vAlign w:val="center"/>
          </w:tcPr>
          <w:p w14:paraId="35338133">
            <w:pPr>
              <w:tabs>
                <w:tab w:val="left" w:pos="778"/>
              </w:tabs>
              <w:autoSpaceDE/>
              <w:autoSpaceDN/>
              <w:adjustRightInd w:val="0"/>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eastAsia="zh-CN"/>
              </w:rPr>
              <w:t>供货渠道多样性</w:t>
            </w:r>
          </w:p>
        </w:tc>
        <w:tc>
          <w:tcPr>
            <w:tcW w:w="3485" w:type="pct"/>
            <w:noWrap w:val="0"/>
            <w:vAlign w:val="center"/>
          </w:tcPr>
          <w:p w14:paraId="61001142">
            <w:pPr>
              <w:pStyle w:val="19"/>
              <w:numPr>
                <w:ilvl w:val="0"/>
                <w:numId w:val="0"/>
              </w:numPr>
              <w:autoSpaceDE/>
              <w:autoSpaceDN/>
              <w:adjustRightInd w:val="0"/>
              <w:jc w:val="both"/>
              <w:rPr>
                <w:rFonts w:hint="eastAsia" w:ascii="宋体" w:hAnsi="宋体" w:eastAsia="宋体" w:cs="宋体"/>
                <w:color w:val="auto"/>
                <w:szCs w:val="21"/>
                <w:highlight w:val="none"/>
                <w:lang w:eastAsia="zh-CN"/>
              </w:rPr>
            </w:pPr>
            <w:r>
              <w:rPr>
                <w:rFonts w:hint="eastAsia" w:cs="宋体"/>
                <w:color w:val="auto"/>
                <w:szCs w:val="21"/>
                <w:highlight w:val="none"/>
                <w:lang w:eastAsia="zh-CN"/>
              </w:rPr>
              <w:t>响应供应商</w:t>
            </w:r>
            <w:r>
              <w:rPr>
                <w:rFonts w:hint="eastAsia" w:ascii="宋体" w:hAnsi="宋体" w:eastAsia="宋体" w:cs="宋体"/>
                <w:color w:val="auto"/>
                <w:szCs w:val="21"/>
                <w:highlight w:val="none"/>
                <w:lang w:eastAsia="zh-CN"/>
              </w:rPr>
              <w:t>具有猪肉、牛肉、羊肉、禽类、蛋类、蔬菜、水果、大米、面粉、食用油、冻货、水产以上12类产品的商品直销证明或地区代理经销商资格或其他相关货源渠道证明的，每提供一类证明得0.5分，最高得6分。</w:t>
            </w:r>
          </w:p>
          <w:p w14:paraId="3721457A">
            <w:pPr>
              <w:pStyle w:val="19"/>
              <w:autoSpaceDE/>
              <w:autoSpaceDN/>
              <w:adjustRightInd w:val="0"/>
              <w:jc w:val="both"/>
              <w:rPr>
                <w:rFonts w:hint="eastAsia" w:ascii="宋体" w:hAnsi="宋体" w:eastAsia="宋体" w:cs="宋体"/>
                <w:color w:val="auto"/>
                <w:sz w:val="21"/>
                <w:szCs w:val="21"/>
                <w:highlight w:val="none"/>
                <w:lang w:val="en-US" w:eastAsia="zh-CN" w:bidi="ar-SA"/>
              </w:rPr>
            </w:pPr>
            <w:r>
              <w:rPr>
                <w:rFonts w:hint="eastAsia" w:ascii="宋体" w:hAnsi="宋体" w:eastAsia="宋体" w:cs="宋体"/>
                <w:b/>
                <w:bCs/>
                <w:color w:val="auto"/>
                <w:szCs w:val="21"/>
                <w:highlight w:val="none"/>
                <w:lang w:eastAsia="zh-CN"/>
              </w:rPr>
              <w:t>注：</w:t>
            </w:r>
            <w:r>
              <w:rPr>
                <w:rFonts w:hint="eastAsia" w:cs="宋体"/>
                <w:b/>
                <w:bCs/>
                <w:color w:val="auto"/>
                <w:szCs w:val="21"/>
                <w:highlight w:val="none"/>
                <w:lang w:eastAsia="zh-CN"/>
              </w:rPr>
              <w:t>响应文件</w:t>
            </w:r>
            <w:r>
              <w:rPr>
                <w:rFonts w:hint="eastAsia" w:ascii="宋体" w:hAnsi="宋体" w:eastAsia="宋体" w:cs="宋体"/>
                <w:b/>
                <w:bCs/>
                <w:color w:val="auto"/>
                <w:szCs w:val="21"/>
                <w:highlight w:val="none"/>
                <w:lang w:eastAsia="zh-CN"/>
              </w:rPr>
              <w:t>中须提供相关食品供货渠道的证明文件复印件，</w:t>
            </w:r>
            <w:r>
              <w:rPr>
                <w:rFonts w:hint="eastAsia" w:cs="宋体"/>
                <w:b/>
                <w:bCs/>
                <w:color w:val="auto"/>
                <w:szCs w:val="21"/>
                <w:highlight w:val="none"/>
                <w:lang w:eastAsia="zh-CN"/>
              </w:rPr>
              <w:t>加盖供应商</w:t>
            </w:r>
            <w:r>
              <w:rPr>
                <w:rFonts w:hint="eastAsia" w:ascii="宋体" w:hAnsi="宋体" w:eastAsia="宋体" w:cs="宋体"/>
                <w:b/>
                <w:bCs/>
                <w:color w:val="auto"/>
                <w:szCs w:val="21"/>
                <w:highlight w:val="none"/>
                <w:lang w:eastAsia="zh-CN"/>
              </w:rPr>
              <w:t>公章，否则不得分。</w:t>
            </w:r>
          </w:p>
        </w:tc>
        <w:tc>
          <w:tcPr>
            <w:tcW w:w="476" w:type="pct"/>
            <w:noWrap w:val="0"/>
            <w:vAlign w:val="center"/>
          </w:tcPr>
          <w:p w14:paraId="3481C260">
            <w:pPr>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eastAsia="zh-CN"/>
              </w:rPr>
              <w:t>6</w:t>
            </w:r>
          </w:p>
        </w:tc>
      </w:tr>
      <w:tr w14:paraId="1CA6A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8" w:hRule="atLeast"/>
          <w:jc w:val="center"/>
        </w:trPr>
        <w:tc>
          <w:tcPr>
            <w:tcW w:w="417" w:type="pct"/>
            <w:noWrap w:val="0"/>
            <w:vAlign w:val="center"/>
          </w:tcPr>
          <w:p w14:paraId="38454BEB">
            <w:pPr>
              <w:pStyle w:val="127"/>
              <w:numPr>
                <w:ilvl w:val="0"/>
                <w:numId w:val="20"/>
              </w:numPr>
              <w:ind w:firstLineChars="0"/>
              <w:jc w:val="center"/>
              <w:rPr>
                <w:rFonts w:hint="eastAsia" w:ascii="宋体" w:hAnsi="宋体" w:eastAsia="宋体" w:cs="宋体"/>
                <w:color w:val="auto"/>
                <w:szCs w:val="21"/>
                <w:highlight w:val="none"/>
              </w:rPr>
            </w:pPr>
          </w:p>
        </w:tc>
        <w:tc>
          <w:tcPr>
            <w:tcW w:w="621" w:type="pct"/>
            <w:noWrap w:val="0"/>
            <w:vAlign w:val="center"/>
          </w:tcPr>
          <w:p w14:paraId="5C1C2102">
            <w:pPr>
              <w:tabs>
                <w:tab w:val="left" w:pos="778"/>
              </w:tabs>
              <w:autoSpaceDE/>
              <w:autoSpaceDN/>
              <w:adjustRightIn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食材供应保障</w:t>
            </w:r>
          </w:p>
        </w:tc>
        <w:tc>
          <w:tcPr>
            <w:tcW w:w="3485" w:type="pct"/>
            <w:noWrap w:val="0"/>
            <w:vAlign w:val="center"/>
          </w:tcPr>
          <w:p w14:paraId="66CB7856">
            <w:pPr>
              <w:numPr>
                <w:ilvl w:val="0"/>
                <w:numId w:val="0"/>
              </w:numPr>
              <w:autoSpaceDE/>
              <w:autoSpaceDN/>
              <w:adjustRightInd w:val="0"/>
              <w:jc w:val="both"/>
              <w:rPr>
                <w:rFonts w:hint="eastAsia" w:ascii="宋体" w:hAnsi="宋体" w:eastAsia="宋体" w:cs="宋体"/>
                <w:bCs/>
                <w:color w:val="auto"/>
                <w:szCs w:val="21"/>
                <w:highlight w:val="none"/>
                <w:lang w:eastAsia="zh-CN"/>
              </w:rPr>
            </w:pPr>
            <w:r>
              <w:rPr>
                <w:rFonts w:hint="eastAsia" w:cs="宋体"/>
                <w:bCs/>
                <w:color w:val="auto"/>
                <w:szCs w:val="21"/>
                <w:highlight w:val="none"/>
                <w:lang w:eastAsia="zh-CN"/>
              </w:rPr>
              <w:t>响应供应商</w:t>
            </w:r>
            <w:r>
              <w:rPr>
                <w:rFonts w:hint="eastAsia" w:ascii="宋体" w:hAnsi="宋体" w:eastAsia="宋体" w:cs="宋体"/>
                <w:bCs/>
                <w:color w:val="auto"/>
                <w:szCs w:val="21"/>
                <w:highlight w:val="none"/>
                <w:lang w:eastAsia="zh-CN"/>
              </w:rPr>
              <w:t>自有或签约的在有效期内的果蔬</w:t>
            </w:r>
            <w:r>
              <w:rPr>
                <w:rFonts w:hint="eastAsia" w:ascii="宋体" w:hAnsi="宋体" w:eastAsia="宋体" w:cs="宋体"/>
                <w:bCs/>
                <w:color w:val="auto"/>
                <w:szCs w:val="21"/>
                <w:highlight w:val="none"/>
                <w:lang w:val="en-US" w:eastAsia="zh-CN"/>
              </w:rPr>
              <w:t>农场</w:t>
            </w:r>
            <w:r>
              <w:rPr>
                <w:rFonts w:hint="eastAsia" w:ascii="宋体" w:hAnsi="宋体" w:eastAsia="宋体" w:cs="宋体"/>
                <w:bCs/>
                <w:color w:val="auto"/>
                <w:szCs w:val="21"/>
                <w:highlight w:val="none"/>
                <w:lang w:eastAsia="zh-CN"/>
              </w:rPr>
              <w:t>、养殖场，每提供一个证明文件得</w:t>
            </w:r>
            <w:r>
              <w:rPr>
                <w:rFonts w:hint="eastAsia" w:ascii="宋体" w:hAnsi="宋体" w:eastAsia="宋体" w:cs="宋体"/>
                <w:bCs/>
                <w:color w:val="auto"/>
                <w:szCs w:val="21"/>
                <w:highlight w:val="none"/>
                <w:lang w:val="en-US" w:eastAsia="zh-CN"/>
              </w:rPr>
              <w:t>1</w:t>
            </w:r>
            <w:r>
              <w:rPr>
                <w:rFonts w:hint="eastAsia" w:ascii="宋体" w:hAnsi="宋体" w:eastAsia="宋体" w:cs="宋体"/>
                <w:bCs/>
                <w:color w:val="auto"/>
                <w:szCs w:val="21"/>
                <w:highlight w:val="none"/>
                <w:lang w:eastAsia="zh-CN"/>
              </w:rPr>
              <w:t>分，最高得</w:t>
            </w:r>
            <w:r>
              <w:rPr>
                <w:rFonts w:hint="eastAsia" w:ascii="宋体" w:hAnsi="宋体" w:eastAsia="宋体" w:cs="宋体"/>
                <w:bCs/>
                <w:color w:val="auto"/>
                <w:szCs w:val="21"/>
                <w:highlight w:val="none"/>
                <w:lang w:val="en-US" w:eastAsia="zh-CN"/>
              </w:rPr>
              <w:t>2</w:t>
            </w:r>
            <w:r>
              <w:rPr>
                <w:rFonts w:hint="eastAsia" w:ascii="宋体" w:hAnsi="宋体" w:eastAsia="宋体" w:cs="宋体"/>
                <w:bCs/>
                <w:color w:val="auto"/>
                <w:szCs w:val="21"/>
                <w:highlight w:val="none"/>
                <w:lang w:eastAsia="zh-CN"/>
              </w:rPr>
              <w:t>分。</w:t>
            </w:r>
          </w:p>
          <w:p w14:paraId="2F02547F">
            <w:pPr>
              <w:pStyle w:val="19"/>
              <w:autoSpaceDE/>
              <w:autoSpaceDN/>
              <w:adjustRightInd w:val="0"/>
              <w:jc w:val="both"/>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注：（1）</w:t>
            </w:r>
            <w:r>
              <w:rPr>
                <w:rFonts w:hint="eastAsia" w:cs="宋体"/>
                <w:b/>
                <w:bCs/>
                <w:color w:val="auto"/>
                <w:szCs w:val="21"/>
                <w:highlight w:val="none"/>
                <w:lang w:eastAsia="zh-CN"/>
              </w:rPr>
              <w:t>响应文件</w:t>
            </w:r>
            <w:r>
              <w:rPr>
                <w:rFonts w:hint="eastAsia" w:ascii="宋体" w:hAnsi="宋体" w:eastAsia="宋体" w:cs="宋体"/>
                <w:b/>
                <w:bCs/>
                <w:color w:val="auto"/>
                <w:szCs w:val="21"/>
                <w:highlight w:val="none"/>
                <w:lang w:eastAsia="zh-CN"/>
              </w:rPr>
              <w:t>中须同时提供①相关图片和文字性说明；②产权证明或有效期内的租赁合同或合作合同（协议）等相关证明文件的复印件，</w:t>
            </w:r>
            <w:r>
              <w:rPr>
                <w:rFonts w:hint="eastAsia" w:cs="宋体"/>
                <w:b/>
                <w:bCs/>
                <w:color w:val="auto"/>
                <w:szCs w:val="21"/>
                <w:highlight w:val="none"/>
                <w:lang w:eastAsia="zh-CN"/>
              </w:rPr>
              <w:t>加盖供应商</w:t>
            </w:r>
            <w:r>
              <w:rPr>
                <w:rFonts w:hint="eastAsia" w:ascii="宋体" w:hAnsi="宋体" w:eastAsia="宋体" w:cs="宋体"/>
                <w:b/>
                <w:bCs/>
                <w:color w:val="auto"/>
                <w:szCs w:val="21"/>
                <w:highlight w:val="none"/>
                <w:lang w:eastAsia="zh-CN"/>
              </w:rPr>
              <w:t>公章；不满足不得分。（2）产权证的产权人须与</w:t>
            </w:r>
            <w:r>
              <w:rPr>
                <w:rFonts w:hint="eastAsia" w:cs="宋体"/>
                <w:b/>
                <w:bCs/>
                <w:color w:val="auto"/>
                <w:szCs w:val="21"/>
                <w:highlight w:val="none"/>
                <w:lang w:eastAsia="zh-CN"/>
              </w:rPr>
              <w:t>响应供应商</w:t>
            </w:r>
            <w:r>
              <w:rPr>
                <w:rFonts w:hint="eastAsia" w:ascii="宋体" w:hAnsi="宋体" w:eastAsia="宋体" w:cs="宋体"/>
                <w:b/>
                <w:bCs/>
                <w:color w:val="auto"/>
                <w:szCs w:val="21"/>
                <w:highlight w:val="none"/>
                <w:lang w:eastAsia="zh-CN"/>
              </w:rPr>
              <w:t>名称或其法人代表名称一致；租赁合同或合作合同（协议）的一方须与</w:t>
            </w:r>
            <w:r>
              <w:rPr>
                <w:rFonts w:hint="eastAsia" w:cs="宋体"/>
                <w:b/>
                <w:bCs/>
                <w:color w:val="auto"/>
                <w:szCs w:val="21"/>
                <w:highlight w:val="none"/>
                <w:lang w:eastAsia="zh-CN"/>
              </w:rPr>
              <w:t>响应供应商</w:t>
            </w:r>
            <w:r>
              <w:rPr>
                <w:rFonts w:hint="eastAsia" w:ascii="宋体" w:hAnsi="宋体" w:eastAsia="宋体" w:cs="宋体"/>
                <w:b/>
                <w:bCs/>
                <w:color w:val="auto"/>
                <w:szCs w:val="21"/>
                <w:highlight w:val="none"/>
                <w:lang w:eastAsia="zh-CN"/>
              </w:rPr>
              <w:t>名称或其法人代表名称一致；不满足不得分。</w:t>
            </w:r>
          </w:p>
        </w:tc>
        <w:tc>
          <w:tcPr>
            <w:tcW w:w="476" w:type="pct"/>
            <w:noWrap w:val="0"/>
            <w:vAlign w:val="center"/>
          </w:tcPr>
          <w:p w14:paraId="210F5B08">
            <w:pPr>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w:t>
            </w:r>
          </w:p>
        </w:tc>
      </w:tr>
      <w:tr w14:paraId="36538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8" w:hRule="atLeast"/>
          <w:jc w:val="center"/>
        </w:trPr>
        <w:tc>
          <w:tcPr>
            <w:tcW w:w="417" w:type="pct"/>
            <w:noWrap w:val="0"/>
            <w:vAlign w:val="center"/>
          </w:tcPr>
          <w:p w14:paraId="0F6BBFD6">
            <w:pPr>
              <w:pStyle w:val="127"/>
              <w:numPr>
                <w:ilvl w:val="0"/>
                <w:numId w:val="20"/>
              </w:numPr>
              <w:ind w:firstLineChars="0"/>
              <w:jc w:val="center"/>
              <w:rPr>
                <w:rFonts w:hint="eastAsia" w:ascii="宋体" w:hAnsi="宋体" w:eastAsia="宋体" w:cs="宋体"/>
                <w:color w:val="auto"/>
                <w:szCs w:val="21"/>
                <w:highlight w:val="none"/>
              </w:rPr>
            </w:pPr>
          </w:p>
        </w:tc>
        <w:tc>
          <w:tcPr>
            <w:tcW w:w="621" w:type="pct"/>
            <w:noWrap w:val="0"/>
            <w:vAlign w:val="center"/>
          </w:tcPr>
          <w:p w14:paraId="465AA821">
            <w:pPr>
              <w:tabs>
                <w:tab w:val="left" w:pos="778"/>
              </w:tabs>
              <w:autoSpaceDE/>
              <w:autoSpaceDN/>
              <w:adjustRightInd w:val="0"/>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rPr>
              <w:t>食</w:t>
            </w:r>
            <w:r>
              <w:rPr>
                <w:rFonts w:hint="eastAsia" w:ascii="宋体" w:hAnsi="宋体" w:eastAsia="宋体" w:cs="宋体"/>
                <w:color w:val="auto"/>
                <w:szCs w:val="21"/>
                <w:highlight w:val="none"/>
                <w:lang w:eastAsia="zh-CN"/>
              </w:rPr>
              <w:t>材检测能力</w:t>
            </w:r>
          </w:p>
        </w:tc>
        <w:tc>
          <w:tcPr>
            <w:tcW w:w="3485" w:type="pct"/>
            <w:noWrap w:val="0"/>
            <w:vAlign w:val="center"/>
          </w:tcPr>
          <w:p w14:paraId="58FDCE3B">
            <w:pPr>
              <w:widowControl/>
              <w:autoSpaceDE/>
              <w:autoSpaceDN/>
              <w:adjustRightInd w:val="0"/>
              <w:jc w:val="both"/>
              <w:rPr>
                <w:rFonts w:hint="eastAsia" w:ascii="宋体" w:hAnsi="宋体" w:eastAsia="宋体" w:cs="宋体"/>
                <w:color w:val="auto"/>
                <w:szCs w:val="21"/>
                <w:highlight w:val="none"/>
                <w:lang w:eastAsia="zh-CN"/>
              </w:rPr>
            </w:pPr>
            <w:r>
              <w:rPr>
                <w:rFonts w:hint="eastAsia" w:cs="宋体"/>
                <w:color w:val="auto"/>
                <w:szCs w:val="21"/>
                <w:highlight w:val="none"/>
                <w:lang w:eastAsia="zh-CN"/>
              </w:rPr>
              <w:t>响应供应商</w:t>
            </w:r>
            <w:r>
              <w:rPr>
                <w:rFonts w:hint="eastAsia" w:ascii="宋体" w:hAnsi="宋体" w:eastAsia="宋体" w:cs="宋体"/>
                <w:color w:val="auto"/>
                <w:szCs w:val="21"/>
                <w:highlight w:val="none"/>
                <w:lang w:eastAsia="zh-CN"/>
              </w:rPr>
              <w:t>自有或租赁的检测设备，</w:t>
            </w:r>
            <w:r>
              <w:rPr>
                <w:rFonts w:hint="eastAsia" w:ascii="宋体" w:hAnsi="宋体" w:eastAsia="宋体" w:cs="宋体"/>
                <w:color w:val="auto"/>
                <w:szCs w:val="21"/>
                <w:highlight w:val="none"/>
                <w:lang w:val="en-US" w:eastAsia="zh-CN"/>
              </w:rPr>
              <w:t>具备以下12项</w:t>
            </w:r>
            <w:r>
              <w:rPr>
                <w:rFonts w:hint="eastAsia" w:ascii="宋体" w:hAnsi="宋体" w:eastAsia="宋体" w:cs="宋体"/>
                <w:color w:val="auto"/>
                <w:szCs w:val="21"/>
                <w:highlight w:val="none"/>
                <w:lang w:eastAsia="zh-CN"/>
              </w:rPr>
              <w:t>检测能力：</w:t>
            </w:r>
          </w:p>
          <w:p w14:paraId="4248463B">
            <w:pPr>
              <w:widowControl/>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①吊白块；②亚硝酸盐；③瘦肉精；④重金属；⑤黄曲霉毒素；⑥生物细菌检测；⑦食品添加剂检测；⑧食用油检测；⑨农药残留检测；⑩水分检测；⑪兽药残留检测；⑫病害肉检测。</w:t>
            </w:r>
          </w:p>
          <w:p w14:paraId="7114174C">
            <w:pPr>
              <w:widowControl/>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每提供以上一项</w:t>
            </w:r>
            <w:r>
              <w:rPr>
                <w:rFonts w:hint="eastAsia" w:cs="宋体"/>
                <w:color w:val="auto"/>
                <w:szCs w:val="21"/>
                <w:highlight w:val="none"/>
                <w:lang w:val="en-US" w:eastAsia="zh-CN"/>
              </w:rPr>
              <w:t>具备</w:t>
            </w:r>
            <w:r>
              <w:rPr>
                <w:rFonts w:hint="eastAsia" w:ascii="宋体" w:hAnsi="宋体" w:eastAsia="宋体" w:cs="宋体"/>
                <w:color w:val="auto"/>
                <w:szCs w:val="21"/>
                <w:highlight w:val="none"/>
                <w:lang w:val="en-US" w:eastAsia="zh-CN"/>
              </w:rPr>
              <w:t>检测能力</w:t>
            </w:r>
            <w:r>
              <w:rPr>
                <w:rFonts w:hint="eastAsia" w:cs="宋体"/>
                <w:color w:val="auto"/>
                <w:szCs w:val="21"/>
                <w:highlight w:val="none"/>
                <w:lang w:val="en-US" w:eastAsia="zh-CN"/>
              </w:rPr>
              <w:t>的</w:t>
            </w:r>
            <w:r>
              <w:rPr>
                <w:rFonts w:hint="eastAsia" w:ascii="宋体" w:hAnsi="宋体" w:eastAsia="宋体" w:cs="宋体"/>
                <w:color w:val="auto"/>
                <w:szCs w:val="21"/>
                <w:highlight w:val="none"/>
                <w:lang w:val="en-US" w:eastAsia="zh-CN"/>
              </w:rPr>
              <w:t>证明材料</w:t>
            </w:r>
            <w:r>
              <w:rPr>
                <w:rFonts w:hint="eastAsia" w:ascii="宋体" w:hAnsi="宋体" w:eastAsia="宋体" w:cs="宋体"/>
                <w:color w:val="auto"/>
                <w:szCs w:val="21"/>
                <w:highlight w:val="none"/>
                <w:lang w:eastAsia="zh-CN"/>
              </w:rPr>
              <w:t>得</w:t>
            </w:r>
            <w:r>
              <w:rPr>
                <w:rFonts w:hint="eastAsia" w:ascii="宋体" w:hAnsi="宋体" w:eastAsia="宋体" w:cs="宋体"/>
                <w:color w:val="auto"/>
                <w:szCs w:val="21"/>
                <w:highlight w:val="none"/>
                <w:lang w:val="en-US" w:eastAsia="zh-CN"/>
              </w:rPr>
              <w:t>0.5</w:t>
            </w:r>
            <w:r>
              <w:rPr>
                <w:rFonts w:hint="eastAsia" w:ascii="宋体" w:hAnsi="宋体" w:eastAsia="宋体" w:cs="宋体"/>
                <w:color w:val="auto"/>
                <w:szCs w:val="21"/>
                <w:highlight w:val="none"/>
                <w:lang w:eastAsia="zh-CN"/>
              </w:rPr>
              <w:t>分</w:t>
            </w:r>
            <w:r>
              <w:rPr>
                <w:rFonts w:hint="eastAsia" w:cs="宋体"/>
                <w:color w:val="auto"/>
                <w:szCs w:val="21"/>
                <w:highlight w:val="none"/>
                <w:lang w:eastAsia="zh-CN"/>
              </w:rPr>
              <w:t>；相同检测仪器不重复计分，同一个仪器可以检测多项内容的按检测项计分；最高得6分</w:t>
            </w:r>
            <w:r>
              <w:rPr>
                <w:rFonts w:hint="eastAsia" w:ascii="宋体" w:hAnsi="宋体" w:eastAsia="宋体" w:cs="宋体"/>
                <w:color w:val="auto"/>
                <w:szCs w:val="21"/>
                <w:highlight w:val="none"/>
                <w:lang w:eastAsia="zh-CN"/>
              </w:rPr>
              <w:t>。</w:t>
            </w:r>
          </w:p>
          <w:p w14:paraId="7F70B521">
            <w:pPr>
              <w:widowControl/>
              <w:autoSpaceDE/>
              <w:autoSpaceDN/>
              <w:adjustRightInd w:val="0"/>
              <w:jc w:val="both"/>
              <w:rPr>
                <w:rFonts w:hint="eastAsia" w:ascii="宋体" w:hAnsi="宋体" w:eastAsia="宋体" w:cs="宋体"/>
                <w:color w:val="auto"/>
                <w:sz w:val="21"/>
                <w:szCs w:val="21"/>
                <w:highlight w:val="none"/>
                <w:lang w:val="en-US" w:eastAsia="zh-CN" w:bidi="ar-SA"/>
              </w:rPr>
            </w:pPr>
            <w:r>
              <w:rPr>
                <w:rFonts w:hint="eastAsia" w:ascii="宋体" w:hAnsi="宋体" w:eastAsia="宋体" w:cs="宋体"/>
                <w:b/>
                <w:bCs/>
                <w:color w:val="auto"/>
                <w:szCs w:val="21"/>
                <w:highlight w:val="none"/>
                <w:lang w:eastAsia="zh-CN"/>
              </w:rPr>
              <w:t>注：（1）自有设备须提供设备照片、设备购置发票复印件，发票内容须体现食品相关的检测设备名称；</w:t>
            </w:r>
            <w:r>
              <w:rPr>
                <w:rFonts w:hint="eastAsia" w:cs="宋体"/>
                <w:b/>
                <w:bCs/>
                <w:color w:val="auto"/>
                <w:szCs w:val="21"/>
                <w:highlight w:val="none"/>
                <w:lang w:eastAsia="zh-CN"/>
              </w:rPr>
              <w:t>加盖供应商</w:t>
            </w:r>
            <w:r>
              <w:rPr>
                <w:rFonts w:hint="eastAsia" w:ascii="宋体" w:hAnsi="宋体" w:eastAsia="宋体" w:cs="宋体"/>
                <w:b/>
                <w:bCs/>
                <w:color w:val="auto"/>
                <w:szCs w:val="21"/>
                <w:highlight w:val="none"/>
                <w:lang w:eastAsia="zh-CN"/>
              </w:rPr>
              <w:t>公章。（</w:t>
            </w:r>
            <w:r>
              <w:rPr>
                <w:rFonts w:hint="eastAsia" w:ascii="宋体" w:hAnsi="宋体" w:eastAsia="宋体" w:cs="宋体"/>
                <w:b/>
                <w:bCs/>
                <w:color w:val="auto"/>
                <w:szCs w:val="21"/>
                <w:highlight w:val="none"/>
                <w:lang w:val="en-US" w:eastAsia="zh-CN"/>
              </w:rPr>
              <w:t>2</w:t>
            </w:r>
            <w:r>
              <w:rPr>
                <w:rFonts w:hint="eastAsia" w:ascii="宋体" w:hAnsi="宋体" w:eastAsia="宋体" w:cs="宋体"/>
                <w:b/>
                <w:bCs/>
                <w:color w:val="auto"/>
                <w:szCs w:val="21"/>
                <w:highlight w:val="none"/>
                <w:lang w:eastAsia="zh-CN"/>
              </w:rPr>
              <w:t>）租赁设备须提供设备照片、有效期内的租赁合同、出租方购置设备的发票复印件，租赁合同</w:t>
            </w:r>
            <w:r>
              <w:rPr>
                <w:rFonts w:hint="eastAsia" w:ascii="宋体" w:hAnsi="宋体" w:eastAsia="宋体" w:cs="宋体"/>
                <w:b/>
                <w:bCs/>
                <w:color w:val="auto"/>
                <w:szCs w:val="21"/>
                <w:highlight w:val="none"/>
                <w:lang w:val="en-US" w:eastAsia="zh-CN"/>
              </w:rPr>
              <w:t>和</w:t>
            </w:r>
            <w:r>
              <w:rPr>
                <w:rFonts w:hint="eastAsia" w:ascii="宋体" w:hAnsi="宋体" w:eastAsia="宋体" w:cs="宋体"/>
                <w:b/>
                <w:bCs/>
                <w:color w:val="auto"/>
                <w:szCs w:val="21"/>
                <w:highlight w:val="none"/>
                <w:lang w:eastAsia="zh-CN"/>
              </w:rPr>
              <w:t>发票内容须体现食品相关的检测设备名称；</w:t>
            </w:r>
            <w:r>
              <w:rPr>
                <w:rFonts w:hint="eastAsia" w:cs="宋体"/>
                <w:b/>
                <w:bCs/>
                <w:color w:val="auto"/>
                <w:szCs w:val="21"/>
                <w:highlight w:val="none"/>
                <w:lang w:eastAsia="zh-CN"/>
              </w:rPr>
              <w:t>加盖供应商</w:t>
            </w:r>
            <w:r>
              <w:rPr>
                <w:rFonts w:hint="eastAsia" w:ascii="宋体" w:hAnsi="宋体" w:eastAsia="宋体" w:cs="宋体"/>
                <w:b/>
                <w:bCs/>
                <w:color w:val="auto"/>
                <w:szCs w:val="21"/>
                <w:highlight w:val="none"/>
                <w:lang w:eastAsia="zh-CN"/>
              </w:rPr>
              <w:t>公章。（</w:t>
            </w:r>
            <w:r>
              <w:rPr>
                <w:rFonts w:hint="eastAsia" w:ascii="宋体" w:hAnsi="宋体" w:eastAsia="宋体" w:cs="宋体"/>
                <w:b/>
                <w:bCs/>
                <w:color w:val="auto"/>
                <w:szCs w:val="21"/>
                <w:highlight w:val="none"/>
                <w:lang w:val="en-US" w:eastAsia="zh-CN"/>
              </w:rPr>
              <w:t>3</w:t>
            </w:r>
            <w:r>
              <w:rPr>
                <w:rFonts w:hint="eastAsia" w:ascii="宋体" w:hAnsi="宋体" w:eastAsia="宋体" w:cs="宋体"/>
                <w:b/>
                <w:bCs/>
                <w:color w:val="auto"/>
                <w:szCs w:val="21"/>
                <w:highlight w:val="none"/>
                <w:lang w:eastAsia="zh-CN"/>
              </w:rPr>
              <w:t>）未按要求提供的不得分。</w:t>
            </w:r>
          </w:p>
        </w:tc>
        <w:tc>
          <w:tcPr>
            <w:tcW w:w="476" w:type="pct"/>
            <w:noWrap w:val="0"/>
            <w:vAlign w:val="center"/>
          </w:tcPr>
          <w:p w14:paraId="145CE836">
            <w:pPr>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6</w:t>
            </w:r>
          </w:p>
        </w:tc>
      </w:tr>
      <w:tr w14:paraId="03757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8" w:hRule="atLeast"/>
          <w:jc w:val="center"/>
        </w:trPr>
        <w:tc>
          <w:tcPr>
            <w:tcW w:w="417" w:type="pct"/>
            <w:noWrap w:val="0"/>
            <w:vAlign w:val="center"/>
          </w:tcPr>
          <w:p w14:paraId="0BCC7E1F">
            <w:pPr>
              <w:pStyle w:val="127"/>
              <w:numPr>
                <w:ilvl w:val="0"/>
                <w:numId w:val="20"/>
              </w:numPr>
              <w:ind w:firstLineChars="0"/>
              <w:jc w:val="center"/>
              <w:rPr>
                <w:rFonts w:hint="eastAsia" w:ascii="宋体" w:hAnsi="宋体" w:eastAsia="宋体" w:cs="宋体"/>
                <w:color w:val="auto"/>
                <w:szCs w:val="21"/>
                <w:highlight w:val="none"/>
              </w:rPr>
            </w:pPr>
          </w:p>
        </w:tc>
        <w:tc>
          <w:tcPr>
            <w:tcW w:w="621" w:type="pct"/>
            <w:noWrap w:val="0"/>
            <w:vAlign w:val="center"/>
          </w:tcPr>
          <w:p w14:paraId="594444CA">
            <w:pPr>
              <w:tabs>
                <w:tab w:val="left" w:pos="778"/>
              </w:tabs>
              <w:autoSpaceDE/>
              <w:autoSpaceDN/>
              <w:adjustRightIn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食</w:t>
            </w:r>
            <w:r>
              <w:rPr>
                <w:rFonts w:hint="eastAsia" w:ascii="宋体" w:hAnsi="宋体" w:eastAsia="宋体" w:cs="宋体"/>
                <w:color w:val="auto"/>
                <w:szCs w:val="21"/>
                <w:highlight w:val="none"/>
                <w:lang w:eastAsia="zh-CN"/>
              </w:rPr>
              <w:t>材储存能力</w:t>
            </w:r>
          </w:p>
        </w:tc>
        <w:tc>
          <w:tcPr>
            <w:tcW w:w="3485" w:type="pct"/>
            <w:noWrap w:val="0"/>
            <w:vAlign w:val="center"/>
          </w:tcPr>
          <w:p w14:paraId="1F29789A">
            <w:pPr>
              <w:pStyle w:val="19"/>
              <w:autoSpaceDE/>
              <w:autoSpaceDN/>
              <w:adjustRightInd w:val="0"/>
              <w:jc w:val="both"/>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根据</w:t>
            </w:r>
            <w:r>
              <w:rPr>
                <w:rFonts w:hint="eastAsia" w:cs="宋体"/>
                <w:color w:val="auto"/>
                <w:szCs w:val="21"/>
                <w:highlight w:val="none"/>
                <w:lang w:val="en-US" w:eastAsia="zh-CN"/>
              </w:rPr>
              <w:t>响应供应商</w:t>
            </w:r>
            <w:r>
              <w:rPr>
                <w:rFonts w:hint="eastAsia" w:ascii="宋体" w:hAnsi="宋体" w:eastAsia="宋体" w:cs="宋体"/>
                <w:color w:val="auto"/>
                <w:szCs w:val="21"/>
                <w:highlight w:val="none"/>
                <w:lang w:val="en-US" w:eastAsia="zh-CN"/>
              </w:rPr>
              <w:t>自有或租赁的食材仓储仓库进行评分：</w:t>
            </w:r>
          </w:p>
          <w:p w14:paraId="22A486D3">
            <w:pPr>
              <w:pStyle w:val="19"/>
              <w:autoSpaceDE/>
              <w:autoSpaceDN/>
              <w:adjustRightInd w:val="0"/>
              <w:jc w:val="both"/>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lang w:eastAsia="zh-CN"/>
              </w:rPr>
              <w:t>常温仓库，</w:t>
            </w:r>
            <w:r>
              <w:rPr>
                <w:rFonts w:hint="eastAsia" w:ascii="宋体" w:hAnsi="宋体" w:eastAsia="宋体" w:cs="宋体"/>
                <w:color w:val="auto"/>
                <w:szCs w:val="21"/>
                <w:highlight w:val="none"/>
                <w:lang w:val="en-US" w:eastAsia="zh-CN"/>
              </w:rPr>
              <w:t>得1分；</w:t>
            </w:r>
          </w:p>
          <w:p w14:paraId="0BED13F3">
            <w:pPr>
              <w:pStyle w:val="19"/>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冷藏（保鲜）库或冷冻库，</w:t>
            </w:r>
            <w:r>
              <w:rPr>
                <w:rFonts w:hint="eastAsia" w:ascii="宋体" w:hAnsi="宋体" w:eastAsia="宋体" w:cs="宋体"/>
                <w:color w:val="auto"/>
                <w:szCs w:val="21"/>
                <w:highlight w:val="none"/>
                <w:lang w:val="en-US" w:eastAsia="zh-CN"/>
              </w:rPr>
              <w:t>得1分</w:t>
            </w:r>
            <w:r>
              <w:rPr>
                <w:rFonts w:hint="eastAsia" w:ascii="宋体" w:hAnsi="宋体" w:eastAsia="宋体" w:cs="宋体"/>
                <w:color w:val="auto"/>
                <w:szCs w:val="21"/>
                <w:highlight w:val="none"/>
                <w:lang w:eastAsia="zh-CN"/>
              </w:rPr>
              <w:t>。</w:t>
            </w:r>
          </w:p>
          <w:p w14:paraId="4A6D6E47">
            <w:pPr>
              <w:autoSpaceDE/>
              <w:autoSpaceDN/>
              <w:adjustRightInd w:val="0"/>
              <w:jc w:val="both"/>
              <w:rPr>
                <w:rFonts w:hint="eastAsia" w:ascii="宋体" w:hAnsi="宋体" w:eastAsia="宋体" w:cs="宋体"/>
                <w:b/>
                <w:color w:val="auto"/>
                <w:szCs w:val="21"/>
                <w:highlight w:val="none"/>
                <w:lang w:eastAsia="zh-CN"/>
              </w:rPr>
            </w:pPr>
            <w:r>
              <w:rPr>
                <w:rFonts w:hint="eastAsia" w:ascii="宋体" w:hAnsi="宋体" w:eastAsia="宋体" w:cs="宋体"/>
                <w:b/>
                <w:bCs/>
                <w:color w:val="auto"/>
                <w:szCs w:val="21"/>
                <w:highlight w:val="none"/>
                <w:lang w:eastAsia="zh-CN"/>
              </w:rPr>
              <w:t>注：（</w:t>
            </w:r>
            <w:r>
              <w:rPr>
                <w:rFonts w:hint="eastAsia" w:ascii="宋体" w:hAnsi="宋体" w:eastAsia="宋体" w:cs="宋体"/>
                <w:b/>
                <w:bCs/>
                <w:color w:val="auto"/>
                <w:szCs w:val="21"/>
                <w:highlight w:val="none"/>
                <w:lang w:val="en-US" w:eastAsia="zh-CN"/>
              </w:rPr>
              <w:t>1</w:t>
            </w:r>
            <w:r>
              <w:rPr>
                <w:rFonts w:hint="eastAsia" w:ascii="宋体" w:hAnsi="宋体" w:eastAsia="宋体" w:cs="宋体"/>
                <w:b/>
                <w:bCs/>
                <w:color w:val="auto"/>
                <w:szCs w:val="21"/>
                <w:highlight w:val="none"/>
                <w:lang w:eastAsia="zh-CN"/>
              </w:rPr>
              <w:t>）</w:t>
            </w:r>
            <w:r>
              <w:rPr>
                <w:rFonts w:hint="eastAsia" w:ascii="宋体" w:hAnsi="宋体" w:eastAsia="宋体" w:cs="宋体"/>
                <w:b/>
                <w:bCs/>
                <w:color w:val="auto"/>
                <w:szCs w:val="21"/>
                <w:highlight w:val="none"/>
                <w:lang w:val="en-US" w:eastAsia="zh-CN"/>
              </w:rPr>
              <w:t>同种仓库不重复计分。</w:t>
            </w:r>
            <w:r>
              <w:rPr>
                <w:rFonts w:hint="eastAsia" w:ascii="宋体" w:hAnsi="宋体" w:eastAsia="宋体" w:cs="宋体"/>
                <w:b/>
                <w:bCs/>
                <w:color w:val="auto"/>
                <w:szCs w:val="21"/>
                <w:highlight w:val="none"/>
                <w:lang w:eastAsia="zh-CN"/>
              </w:rPr>
              <w:t>（</w:t>
            </w:r>
            <w:r>
              <w:rPr>
                <w:rFonts w:hint="eastAsia" w:ascii="宋体" w:hAnsi="宋体" w:eastAsia="宋体" w:cs="宋体"/>
                <w:b/>
                <w:bCs/>
                <w:color w:val="auto"/>
                <w:szCs w:val="21"/>
                <w:highlight w:val="none"/>
                <w:lang w:val="en-US" w:eastAsia="zh-CN"/>
              </w:rPr>
              <w:t>2</w:t>
            </w:r>
            <w:r>
              <w:rPr>
                <w:rFonts w:hint="eastAsia" w:ascii="宋体" w:hAnsi="宋体" w:eastAsia="宋体" w:cs="宋体"/>
                <w:b/>
                <w:bCs/>
                <w:color w:val="auto"/>
                <w:szCs w:val="21"/>
                <w:highlight w:val="none"/>
                <w:lang w:eastAsia="zh-CN"/>
              </w:rPr>
              <w:t>）</w:t>
            </w:r>
            <w:r>
              <w:rPr>
                <w:rFonts w:hint="eastAsia" w:cs="宋体"/>
                <w:b/>
                <w:bCs/>
                <w:color w:val="auto"/>
                <w:szCs w:val="21"/>
                <w:highlight w:val="none"/>
                <w:lang w:val="en-US" w:eastAsia="zh-CN"/>
              </w:rPr>
              <w:t>响应文件</w:t>
            </w:r>
            <w:r>
              <w:rPr>
                <w:rFonts w:hint="eastAsia" w:ascii="宋体" w:hAnsi="宋体" w:eastAsia="宋体" w:cs="宋体"/>
                <w:b/>
                <w:bCs/>
                <w:color w:val="auto"/>
                <w:szCs w:val="21"/>
                <w:highlight w:val="none"/>
                <w:lang w:val="en-US" w:eastAsia="zh-CN"/>
              </w:rPr>
              <w:t>须</w:t>
            </w:r>
            <w:r>
              <w:rPr>
                <w:rFonts w:hint="eastAsia" w:ascii="宋体" w:hAnsi="宋体" w:eastAsia="宋体" w:cs="宋体"/>
                <w:b/>
                <w:bCs/>
                <w:color w:val="auto"/>
                <w:szCs w:val="21"/>
                <w:highlight w:val="none"/>
                <w:lang w:eastAsia="zh-CN"/>
              </w:rPr>
              <w:t>同时提供：①现场图片并附文字说明</w:t>
            </w:r>
            <w:r>
              <w:rPr>
                <w:rFonts w:hint="eastAsia" w:cs="宋体"/>
                <w:b/>
                <w:bCs/>
                <w:color w:val="auto"/>
                <w:szCs w:val="21"/>
                <w:highlight w:val="none"/>
                <w:lang w:eastAsia="zh-CN"/>
              </w:rPr>
              <w:t>；</w:t>
            </w:r>
            <w:r>
              <w:rPr>
                <w:rFonts w:hint="eastAsia" w:ascii="宋体" w:hAnsi="宋体" w:eastAsia="宋体" w:cs="宋体"/>
                <w:b/>
                <w:bCs/>
                <w:color w:val="auto"/>
                <w:szCs w:val="21"/>
                <w:highlight w:val="none"/>
                <w:lang w:eastAsia="zh-CN"/>
              </w:rPr>
              <w:t>②</w:t>
            </w:r>
            <w:r>
              <w:rPr>
                <w:rFonts w:hint="eastAsia" w:cs="宋体"/>
                <w:b/>
                <w:bCs/>
                <w:color w:val="auto"/>
                <w:szCs w:val="21"/>
                <w:highlight w:val="none"/>
                <w:lang w:eastAsia="zh-CN"/>
              </w:rPr>
              <w:t>响应供应商</w:t>
            </w:r>
            <w:r>
              <w:rPr>
                <w:rFonts w:hint="eastAsia" w:ascii="宋体" w:hAnsi="宋体" w:eastAsia="宋体" w:cs="宋体"/>
                <w:b/>
                <w:bCs/>
                <w:color w:val="auto"/>
                <w:szCs w:val="21"/>
                <w:highlight w:val="none"/>
                <w:lang w:eastAsia="zh-CN"/>
              </w:rPr>
              <w:t>自有的</w:t>
            </w:r>
            <w:r>
              <w:rPr>
                <w:rFonts w:hint="eastAsia" w:ascii="宋体" w:hAnsi="宋体" w:eastAsia="宋体" w:cs="宋体"/>
                <w:b/>
                <w:bCs/>
                <w:color w:val="auto"/>
                <w:szCs w:val="21"/>
                <w:highlight w:val="none"/>
                <w:lang w:val="en-US" w:eastAsia="zh-CN"/>
              </w:rPr>
              <w:t>仓库</w:t>
            </w:r>
            <w:r>
              <w:rPr>
                <w:rFonts w:hint="eastAsia" w:ascii="宋体" w:hAnsi="宋体" w:eastAsia="宋体" w:cs="宋体"/>
                <w:b/>
                <w:bCs/>
                <w:color w:val="auto"/>
                <w:szCs w:val="21"/>
                <w:highlight w:val="none"/>
                <w:lang w:eastAsia="zh-CN"/>
              </w:rPr>
              <w:t>须提供建造（采购）合同复印件，</w:t>
            </w:r>
            <w:r>
              <w:rPr>
                <w:rFonts w:hint="eastAsia" w:cs="宋体"/>
                <w:b/>
                <w:bCs/>
                <w:color w:val="auto"/>
                <w:szCs w:val="21"/>
                <w:highlight w:val="none"/>
                <w:lang w:eastAsia="zh-CN"/>
              </w:rPr>
              <w:t>加盖供应商</w:t>
            </w:r>
            <w:r>
              <w:rPr>
                <w:rFonts w:hint="eastAsia" w:ascii="宋体" w:hAnsi="宋体" w:eastAsia="宋体" w:cs="宋体"/>
                <w:b/>
                <w:bCs/>
                <w:color w:val="auto"/>
                <w:szCs w:val="21"/>
                <w:highlight w:val="none"/>
                <w:lang w:eastAsia="zh-CN"/>
              </w:rPr>
              <w:t>公章；</w:t>
            </w:r>
            <w:r>
              <w:rPr>
                <w:rFonts w:hint="eastAsia" w:ascii="宋体" w:hAnsi="宋体" w:eastAsia="宋体" w:cs="宋体"/>
                <w:b/>
                <w:bCs/>
                <w:color w:val="auto"/>
                <w:szCs w:val="21"/>
                <w:highlight w:val="none"/>
                <w:lang w:val="en-US" w:eastAsia="zh-CN"/>
              </w:rPr>
              <w:t>③</w:t>
            </w:r>
            <w:r>
              <w:rPr>
                <w:rFonts w:hint="eastAsia" w:cs="宋体"/>
                <w:b/>
                <w:bCs/>
                <w:color w:val="auto"/>
                <w:szCs w:val="21"/>
                <w:highlight w:val="none"/>
                <w:lang w:eastAsia="zh-CN"/>
              </w:rPr>
              <w:t>响应供应商</w:t>
            </w:r>
            <w:r>
              <w:rPr>
                <w:rFonts w:hint="eastAsia" w:ascii="宋体" w:hAnsi="宋体" w:eastAsia="宋体" w:cs="宋体"/>
                <w:b/>
                <w:bCs/>
                <w:color w:val="auto"/>
                <w:szCs w:val="21"/>
                <w:highlight w:val="none"/>
                <w:lang w:val="en-US" w:eastAsia="zh-CN"/>
              </w:rPr>
              <w:t>租赁的仓库须提供开标当日仍在租赁有效期内的租赁合同、租赁期内租赁费用的银行转账凭证或租赁发票复印件或扫描件，</w:t>
            </w:r>
            <w:r>
              <w:rPr>
                <w:rFonts w:hint="eastAsia" w:cs="宋体"/>
                <w:b/>
                <w:bCs/>
                <w:color w:val="auto"/>
                <w:szCs w:val="21"/>
                <w:highlight w:val="none"/>
                <w:lang w:eastAsia="zh-CN"/>
              </w:rPr>
              <w:t>加盖供应商</w:t>
            </w:r>
            <w:r>
              <w:rPr>
                <w:rFonts w:hint="eastAsia" w:ascii="宋体" w:hAnsi="宋体" w:eastAsia="宋体" w:cs="宋体"/>
                <w:b/>
                <w:bCs/>
                <w:color w:val="auto"/>
                <w:szCs w:val="21"/>
                <w:highlight w:val="none"/>
                <w:lang w:eastAsia="zh-CN"/>
              </w:rPr>
              <w:t>公章，承租方名称须与</w:t>
            </w:r>
            <w:r>
              <w:rPr>
                <w:rFonts w:hint="eastAsia" w:cs="宋体"/>
                <w:b/>
                <w:bCs/>
                <w:color w:val="auto"/>
                <w:szCs w:val="21"/>
                <w:highlight w:val="none"/>
                <w:lang w:eastAsia="zh-CN"/>
              </w:rPr>
              <w:t>响应供应商</w:t>
            </w:r>
            <w:r>
              <w:rPr>
                <w:rFonts w:hint="eastAsia" w:ascii="宋体" w:hAnsi="宋体" w:eastAsia="宋体" w:cs="宋体"/>
                <w:b/>
                <w:bCs/>
                <w:color w:val="auto"/>
                <w:szCs w:val="21"/>
                <w:highlight w:val="none"/>
                <w:lang w:eastAsia="zh-CN"/>
              </w:rPr>
              <w:t>一致。（</w:t>
            </w:r>
            <w:r>
              <w:rPr>
                <w:rFonts w:hint="eastAsia" w:ascii="宋体" w:hAnsi="宋体" w:eastAsia="宋体" w:cs="宋体"/>
                <w:b/>
                <w:bCs/>
                <w:color w:val="auto"/>
                <w:szCs w:val="21"/>
                <w:highlight w:val="none"/>
                <w:lang w:val="en-US" w:eastAsia="zh-CN"/>
              </w:rPr>
              <w:t>3</w:t>
            </w:r>
            <w:r>
              <w:rPr>
                <w:rFonts w:hint="eastAsia" w:ascii="宋体" w:hAnsi="宋体" w:eastAsia="宋体" w:cs="宋体"/>
                <w:b/>
                <w:bCs/>
                <w:color w:val="auto"/>
                <w:szCs w:val="21"/>
                <w:highlight w:val="none"/>
                <w:lang w:eastAsia="zh-CN"/>
              </w:rPr>
              <w:t>）</w:t>
            </w:r>
            <w:r>
              <w:rPr>
                <w:rFonts w:hint="eastAsia" w:ascii="宋体" w:hAnsi="宋体" w:eastAsia="宋体" w:cs="宋体"/>
                <w:b/>
                <w:color w:val="auto"/>
                <w:szCs w:val="21"/>
                <w:highlight w:val="none"/>
                <w:lang w:eastAsia="zh-CN"/>
              </w:rPr>
              <w:t>未按要求提供的不得分。</w:t>
            </w:r>
          </w:p>
        </w:tc>
        <w:tc>
          <w:tcPr>
            <w:tcW w:w="476" w:type="pct"/>
            <w:noWrap w:val="0"/>
            <w:vAlign w:val="center"/>
          </w:tcPr>
          <w:p w14:paraId="248E83ED">
            <w:pPr>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w:t>
            </w:r>
          </w:p>
        </w:tc>
      </w:tr>
      <w:tr w14:paraId="50D1C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417" w:type="pct"/>
            <w:noWrap w:val="0"/>
            <w:vAlign w:val="center"/>
          </w:tcPr>
          <w:p w14:paraId="00C0C614">
            <w:pPr>
              <w:pStyle w:val="127"/>
              <w:numPr>
                <w:ilvl w:val="0"/>
                <w:numId w:val="20"/>
              </w:numPr>
              <w:ind w:firstLineChars="0"/>
              <w:jc w:val="center"/>
              <w:rPr>
                <w:rFonts w:hint="eastAsia" w:ascii="宋体" w:hAnsi="宋体" w:eastAsia="宋体" w:cs="宋体"/>
                <w:color w:val="auto"/>
                <w:szCs w:val="21"/>
                <w:highlight w:val="none"/>
              </w:rPr>
            </w:pPr>
          </w:p>
        </w:tc>
        <w:tc>
          <w:tcPr>
            <w:tcW w:w="621" w:type="pct"/>
            <w:noWrap w:val="0"/>
            <w:vAlign w:val="center"/>
          </w:tcPr>
          <w:p w14:paraId="7F385BED">
            <w:pPr>
              <w:tabs>
                <w:tab w:val="left" w:pos="778"/>
              </w:tabs>
              <w:autoSpaceDE/>
              <w:autoSpaceDN/>
              <w:adjustRightInd w:val="0"/>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项目负责人</w:t>
            </w:r>
          </w:p>
        </w:tc>
        <w:tc>
          <w:tcPr>
            <w:tcW w:w="3485" w:type="pct"/>
            <w:noWrap w:val="0"/>
            <w:vAlign w:val="center"/>
          </w:tcPr>
          <w:p w14:paraId="05E51B68">
            <w:pPr>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根据</w:t>
            </w:r>
            <w:r>
              <w:rPr>
                <w:rFonts w:hint="eastAsia" w:cs="宋体"/>
                <w:color w:val="auto"/>
                <w:szCs w:val="21"/>
                <w:highlight w:val="none"/>
                <w:lang w:eastAsia="zh-CN"/>
              </w:rPr>
              <w:t>响应供应商</w:t>
            </w:r>
            <w:r>
              <w:rPr>
                <w:rFonts w:hint="eastAsia" w:ascii="宋体" w:hAnsi="宋体" w:eastAsia="宋体" w:cs="宋体"/>
                <w:color w:val="auto"/>
                <w:szCs w:val="21"/>
                <w:highlight w:val="none"/>
                <w:lang w:val="en-US" w:eastAsia="zh-CN"/>
              </w:rPr>
              <w:t>拟派</w:t>
            </w:r>
            <w:r>
              <w:rPr>
                <w:rFonts w:hint="eastAsia" w:ascii="宋体" w:hAnsi="宋体" w:eastAsia="宋体" w:cs="宋体"/>
                <w:color w:val="auto"/>
                <w:szCs w:val="21"/>
                <w:highlight w:val="none"/>
                <w:lang w:eastAsia="zh-CN"/>
              </w:rPr>
              <w:t>本项目</w:t>
            </w:r>
            <w:r>
              <w:rPr>
                <w:rFonts w:hint="eastAsia" w:ascii="宋体" w:hAnsi="宋体" w:eastAsia="宋体" w:cs="宋体"/>
                <w:color w:val="auto"/>
                <w:szCs w:val="21"/>
                <w:highlight w:val="none"/>
                <w:lang w:val="en-US" w:eastAsia="zh-CN"/>
              </w:rPr>
              <w:t>项目负责人资质</w:t>
            </w:r>
            <w:r>
              <w:rPr>
                <w:rFonts w:hint="eastAsia" w:ascii="宋体" w:hAnsi="宋体" w:eastAsia="宋体" w:cs="宋体"/>
                <w:color w:val="auto"/>
                <w:szCs w:val="21"/>
                <w:highlight w:val="none"/>
                <w:lang w:eastAsia="zh-CN"/>
              </w:rPr>
              <w:t>进行评分：</w:t>
            </w:r>
          </w:p>
          <w:p w14:paraId="40DBB2CF">
            <w:pPr>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具有5年(含)以上食材配送经验(证明材料可提供：包含岗位描述和时限的劳动合同，或作为项目经理管理过的项目合同等；须体现食材配送经验年限),得2分；3年(含)-5年(不含)的，得1分；其他情况不得分。</w:t>
            </w:r>
          </w:p>
          <w:p w14:paraId="242A62DD">
            <w:pPr>
              <w:autoSpaceDE/>
              <w:autoSpaceDN/>
              <w:adjustRightInd w:val="0"/>
              <w:jc w:val="both"/>
              <w:rPr>
                <w:rFonts w:hint="eastAsia" w:ascii="宋体" w:hAnsi="宋体" w:eastAsia="宋体" w:cs="宋体"/>
                <w:color w:val="auto"/>
                <w:sz w:val="21"/>
                <w:szCs w:val="21"/>
                <w:highlight w:val="none"/>
                <w:lang w:val="en-US" w:eastAsia="zh-CN" w:bidi="ar-SA"/>
              </w:rPr>
            </w:pPr>
            <w:r>
              <w:rPr>
                <w:rFonts w:hint="eastAsia" w:ascii="宋体" w:hAnsi="宋体" w:eastAsia="宋体" w:cs="宋体"/>
                <w:b/>
                <w:bCs/>
                <w:color w:val="auto"/>
                <w:szCs w:val="21"/>
                <w:highlight w:val="none"/>
                <w:lang w:eastAsia="zh-CN"/>
              </w:rPr>
              <w:t>注：</w:t>
            </w:r>
            <w:r>
              <w:rPr>
                <w:rFonts w:hint="eastAsia" w:cs="宋体"/>
                <w:b/>
                <w:bCs/>
                <w:color w:val="auto"/>
                <w:szCs w:val="21"/>
                <w:highlight w:val="none"/>
                <w:lang w:eastAsia="zh-CN"/>
              </w:rPr>
              <w:t>响应文件</w:t>
            </w:r>
            <w:r>
              <w:rPr>
                <w:rFonts w:hint="eastAsia" w:ascii="宋体" w:hAnsi="宋体" w:eastAsia="宋体" w:cs="宋体"/>
                <w:b/>
                <w:bCs/>
                <w:color w:val="auto"/>
                <w:szCs w:val="21"/>
                <w:highlight w:val="none"/>
                <w:lang w:eastAsia="zh-CN"/>
              </w:rPr>
              <w:t>中须提供（</w:t>
            </w:r>
            <w:r>
              <w:rPr>
                <w:rFonts w:hint="eastAsia" w:ascii="宋体" w:hAnsi="宋体" w:eastAsia="宋体" w:cs="宋体"/>
                <w:b/>
                <w:bCs/>
                <w:color w:val="auto"/>
                <w:szCs w:val="21"/>
                <w:highlight w:val="none"/>
                <w:lang w:val="en-US" w:eastAsia="zh-CN"/>
              </w:rPr>
              <w:t>1</w:t>
            </w:r>
            <w:r>
              <w:rPr>
                <w:rFonts w:hint="eastAsia" w:ascii="宋体" w:hAnsi="宋体" w:eastAsia="宋体" w:cs="宋体"/>
                <w:b/>
                <w:bCs/>
                <w:color w:val="auto"/>
                <w:szCs w:val="21"/>
                <w:highlight w:val="none"/>
                <w:lang w:eastAsia="zh-CN"/>
              </w:rPr>
              <w:t>）项目经理的工作</w:t>
            </w:r>
            <w:r>
              <w:rPr>
                <w:rFonts w:hint="eastAsia" w:ascii="宋体" w:hAnsi="宋体" w:eastAsia="宋体" w:cs="宋体"/>
                <w:b/>
                <w:bCs/>
                <w:color w:val="auto"/>
                <w:szCs w:val="21"/>
                <w:highlight w:val="none"/>
                <w:lang w:val="en-US" w:eastAsia="zh-CN"/>
              </w:rPr>
              <w:t>经验证明</w:t>
            </w:r>
            <w:r>
              <w:rPr>
                <w:rFonts w:hint="eastAsia" w:ascii="宋体" w:hAnsi="宋体" w:eastAsia="宋体" w:cs="宋体"/>
                <w:b/>
                <w:bCs/>
                <w:color w:val="auto"/>
                <w:szCs w:val="21"/>
                <w:highlight w:val="none"/>
                <w:lang w:eastAsia="zh-CN"/>
              </w:rPr>
              <w:t>材料，</w:t>
            </w:r>
            <w:r>
              <w:rPr>
                <w:rFonts w:hint="eastAsia" w:cs="宋体"/>
                <w:b/>
                <w:bCs/>
                <w:color w:val="auto"/>
                <w:szCs w:val="21"/>
                <w:highlight w:val="none"/>
                <w:lang w:eastAsia="zh-CN"/>
              </w:rPr>
              <w:t>加盖供应商</w:t>
            </w:r>
            <w:r>
              <w:rPr>
                <w:rFonts w:hint="eastAsia" w:ascii="宋体" w:hAnsi="宋体" w:eastAsia="宋体" w:cs="宋体"/>
                <w:b/>
                <w:bCs/>
                <w:color w:val="auto"/>
                <w:szCs w:val="21"/>
                <w:highlight w:val="none"/>
                <w:lang w:eastAsia="zh-CN"/>
              </w:rPr>
              <w:t>公章；（</w:t>
            </w:r>
            <w:r>
              <w:rPr>
                <w:rFonts w:hint="eastAsia" w:ascii="宋体" w:hAnsi="宋体" w:eastAsia="宋体" w:cs="宋体"/>
                <w:b/>
                <w:bCs/>
                <w:color w:val="auto"/>
                <w:szCs w:val="21"/>
                <w:highlight w:val="none"/>
                <w:lang w:val="en-US" w:eastAsia="zh-CN"/>
              </w:rPr>
              <w:t>2</w:t>
            </w:r>
            <w:r>
              <w:rPr>
                <w:rFonts w:hint="eastAsia" w:ascii="宋体" w:hAnsi="宋体" w:eastAsia="宋体" w:cs="宋体"/>
                <w:b/>
                <w:bCs/>
                <w:color w:val="auto"/>
                <w:szCs w:val="21"/>
                <w:highlight w:val="none"/>
                <w:lang w:eastAsia="zh-CN"/>
              </w:rPr>
              <w:t>）202</w:t>
            </w:r>
            <w:r>
              <w:rPr>
                <w:rFonts w:hint="eastAsia" w:ascii="宋体" w:hAnsi="宋体" w:eastAsia="宋体" w:cs="宋体"/>
                <w:b/>
                <w:bCs/>
                <w:color w:val="auto"/>
                <w:szCs w:val="21"/>
                <w:highlight w:val="none"/>
                <w:lang w:val="en-US" w:eastAsia="zh-CN"/>
              </w:rPr>
              <w:t>5</w:t>
            </w:r>
            <w:r>
              <w:rPr>
                <w:rFonts w:hint="eastAsia" w:ascii="宋体" w:hAnsi="宋体" w:eastAsia="宋体" w:cs="宋体"/>
                <w:b/>
                <w:bCs/>
                <w:color w:val="auto"/>
                <w:szCs w:val="21"/>
                <w:highlight w:val="none"/>
                <w:lang w:eastAsia="zh-CN"/>
              </w:rPr>
              <w:t>年</w:t>
            </w:r>
            <w:r>
              <w:rPr>
                <w:rFonts w:hint="eastAsia" w:ascii="宋体" w:hAnsi="宋体" w:eastAsia="宋体" w:cs="宋体"/>
                <w:b/>
                <w:bCs/>
                <w:color w:val="auto"/>
                <w:szCs w:val="21"/>
                <w:highlight w:val="none"/>
                <w:lang w:val="en-US" w:eastAsia="zh-CN"/>
              </w:rPr>
              <w:t>10</w:t>
            </w:r>
            <w:r>
              <w:rPr>
                <w:rFonts w:hint="eastAsia" w:ascii="宋体" w:hAnsi="宋体" w:eastAsia="宋体" w:cs="宋体"/>
                <w:b/>
                <w:bCs/>
                <w:color w:val="auto"/>
                <w:szCs w:val="21"/>
                <w:highlight w:val="none"/>
                <w:lang w:eastAsia="zh-CN"/>
              </w:rPr>
              <w:t>月至开标当月任意一个月</w:t>
            </w:r>
            <w:r>
              <w:rPr>
                <w:rFonts w:hint="eastAsia" w:cs="宋体"/>
                <w:b/>
                <w:bCs/>
                <w:color w:val="auto"/>
                <w:szCs w:val="21"/>
                <w:highlight w:val="none"/>
                <w:lang w:eastAsia="zh-CN"/>
              </w:rPr>
              <w:t>响应供应商</w:t>
            </w:r>
            <w:r>
              <w:rPr>
                <w:rFonts w:hint="eastAsia" w:ascii="宋体" w:hAnsi="宋体" w:eastAsia="宋体" w:cs="宋体"/>
                <w:b/>
                <w:bCs/>
                <w:color w:val="auto"/>
                <w:szCs w:val="21"/>
                <w:highlight w:val="none"/>
                <w:lang w:eastAsia="zh-CN"/>
              </w:rPr>
              <w:t>为其购买社保的证明材料，</w:t>
            </w:r>
            <w:r>
              <w:rPr>
                <w:rFonts w:hint="eastAsia" w:cs="宋体"/>
                <w:b/>
                <w:bCs/>
                <w:color w:val="auto"/>
                <w:szCs w:val="21"/>
                <w:highlight w:val="none"/>
                <w:lang w:eastAsia="zh-CN"/>
              </w:rPr>
              <w:t>加盖供应商</w:t>
            </w:r>
            <w:r>
              <w:rPr>
                <w:rFonts w:hint="eastAsia" w:ascii="宋体" w:hAnsi="宋体" w:eastAsia="宋体" w:cs="宋体"/>
                <w:b/>
                <w:bCs/>
                <w:color w:val="auto"/>
                <w:szCs w:val="21"/>
                <w:highlight w:val="none"/>
                <w:lang w:eastAsia="zh-CN"/>
              </w:rPr>
              <w:t>公章。</w:t>
            </w:r>
            <w:r>
              <w:rPr>
                <w:rFonts w:hint="eastAsia" w:ascii="宋体" w:hAnsi="宋体" w:eastAsia="宋体" w:cs="宋体"/>
                <w:b/>
                <w:bCs/>
                <w:color w:val="auto"/>
                <w:sz w:val="21"/>
                <w:szCs w:val="21"/>
                <w:highlight w:val="none"/>
                <w:lang w:eastAsia="zh-CN"/>
              </w:rPr>
              <w:t>未提供或者提供的资料不符合要求的</w:t>
            </w:r>
            <w:r>
              <w:rPr>
                <w:rFonts w:hint="eastAsia" w:ascii="宋体" w:hAnsi="宋体" w:eastAsia="宋体" w:cs="宋体"/>
                <w:b/>
                <w:bCs/>
                <w:color w:val="auto"/>
                <w:szCs w:val="21"/>
                <w:highlight w:val="none"/>
                <w:lang w:eastAsia="zh-CN"/>
              </w:rPr>
              <w:t>不得分。</w:t>
            </w:r>
          </w:p>
        </w:tc>
        <w:tc>
          <w:tcPr>
            <w:tcW w:w="476" w:type="pct"/>
            <w:noWrap w:val="0"/>
            <w:vAlign w:val="center"/>
          </w:tcPr>
          <w:p w14:paraId="76F94758">
            <w:pPr>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2</w:t>
            </w:r>
          </w:p>
        </w:tc>
      </w:tr>
      <w:tr w14:paraId="4D657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8" w:hRule="atLeast"/>
          <w:jc w:val="center"/>
        </w:trPr>
        <w:tc>
          <w:tcPr>
            <w:tcW w:w="417" w:type="pct"/>
            <w:noWrap w:val="0"/>
            <w:vAlign w:val="center"/>
          </w:tcPr>
          <w:p w14:paraId="1D382DFD">
            <w:pPr>
              <w:pStyle w:val="127"/>
              <w:numPr>
                <w:ilvl w:val="0"/>
                <w:numId w:val="20"/>
              </w:numPr>
              <w:ind w:firstLineChars="0"/>
              <w:jc w:val="center"/>
              <w:rPr>
                <w:rFonts w:hint="eastAsia" w:ascii="宋体" w:hAnsi="宋体" w:eastAsia="宋体" w:cs="宋体"/>
                <w:color w:val="auto"/>
                <w:szCs w:val="21"/>
                <w:highlight w:val="none"/>
              </w:rPr>
            </w:pPr>
          </w:p>
        </w:tc>
        <w:tc>
          <w:tcPr>
            <w:tcW w:w="621" w:type="pct"/>
            <w:noWrap w:val="0"/>
            <w:vAlign w:val="center"/>
          </w:tcPr>
          <w:p w14:paraId="7D09DEB5">
            <w:pPr>
              <w:tabs>
                <w:tab w:val="left" w:pos="778"/>
              </w:tabs>
              <w:autoSpaceDE/>
              <w:autoSpaceDN/>
              <w:adjustRightIn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服务团队资质</w:t>
            </w:r>
          </w:p>
        </w:tc>
        <w:tc>
          <w:tcPr>
            <w:tcW w:w="3485" w:type="pct"/>
            <w:noWrap w:val="0"/>
            <w:vAlign w:val="center"/>
          </w:tcPr>
          <w:p w14:paraId="7FBA0AAF">
            <w:pPr>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根据</w:t>
            </w:r>
            <w:r>
              <w:rPr>
                <w:rFonts w:hint="eastAsia" w:cs="宋体"/>
                <w:color w:val="auto"/>
                <w:szCs w:val="21"/>
                <w:highlight w:val="none"/>
                <w:lang w:eastAsia="zh-CN"/>
              </w:rPr>
              <w:t>响应供应商</w:t>
            </w:r>
            <w:r>
              <w:rPr>
                <w:rFonts w:hint="eastAsia" w:ascii="宋体" w:hAnsi="宋体" w:eastAsia="宋体" w:cs="宋体"/>
                <w:color w:val="auto"/>
                <w:szCs w:val="21"/>
                <w:highlight w:val="none"/>
                <w:lang w:val="en-US" w:eastAsia="zh-CN"/>
              </w:rPr>
              <w:t>拟派</w:t>
            </w:r>
            <w:r>
              <w:rPr>
                <w:rFonts w:hint="eastAsia" w:ascii="宋体" w:hAnsi="宋体" w:eastAsia="宋体" w:cs="宋体"/>
                <w:color w:val="auto"/>
                <w:szCs w:val="21"/>
                <w:highlight w:val="none"/>
                <w:lang w:eastAsia="zh-CN"/>
              </w:rPr>
              <w:t>本项目</w:t>
            </w:r>
            <w:r>
              <w:rPr>
                <w:rFonts w:hint="eastAsia" w:ascii="宋体" w:hAnsi="宋体" w:eastAsia="宋体" w:cs="宋体"/>
                <w:color w:val="auto"/>
                <w:szCs w:val="21"/>
                <w:highlight w:val="none"/>
                <w:lang w:val="en-US" w:eastAsia="zh-CN"/>
              </w:rPr>
              <w:t>服务团队（项目负责人除外）资质</w:t>
            </w:r>
            <w:r>
              <w:rPr>
                <w:rFonts w:hint="eastAsia" w:ascii="宋体" w:hAnsi="宋体" w:eastAsia="宋体" w:cs="宋体"/>
                <w:color w:val="auto"/>
                <w:szCs w:val="21"/>
                <w:highlight w:val="none"/>
                <w:lang w:eastAsia="zh-CN"/>
              </w:rPr>
              <w:t>进行评分：</w:t>
            </w:r>
          </w:p>
          <w:p w14:paraId="719FCB36">
            <w:pPr>
              <w:autoSpaceDE/>
              <w:autoSpaceDN/>
              <w:adjustRightInd w:val="0"/>
              <w:jc w:val="both"/>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lang w:eastAsia="zh-CN"/>
              </w:rPr>
              <w:t>1、拟投入项目服务团队设置了专门的食品安全管理岗位人员、食品检验岗位人员、食品加工岗位人员，每设置一种岗位人员得</w:t>
            </w:r>
            <w:r>
              <w:rPr>
                <w:rFonts w:hint="eastAsia" w:cs="宋体"/>
                <w:b w:val="0"/>
                <w:bCs w:val="0"/>
                <w:color w:val="auto"/>
                <w:sz w:val="21"/>
                <w:szCs w:val="21"/>
                <w:highlight w:val="none"/>
                <w:lang w:val="en-US" w:eastAsia="zh-CN"/>
              </w:rPr>
              <w:t>1</w:t>
            </w:r>
            <w:r>
              <w:rPr>
                <w:rFonts w:hint="eastAsia" w:ascii="宋体" w:hAnsi="宋体" w:eastAsia="宋体" w:cs="宋体"/>
                <w:b w:val="0"/>
                <w:bCs w:val="0"/>
                <w:color w:val="auto"/>
                <w:sz w:val="21"/>
                <w:szCs w:val="21"/>
                <w:highlight w:val="none"/>
                <w:lang w:eastAsia="zh-CN"/>
              </w:rPr>
              <w:t>分，本小项满分</w:t>
            </w:r>
            <w:r>
              <w:rPr>
                <w:rFonts w:hint="eastAsia" w:cs="宋体"/>
                <w:b w:val="0"/>
                <w:bCs w:val="0"/>
                <w:color w:val="auto"/>
                <w:sz w:val="21"/>
                <w:szCs w:val="21"/>
                <w:highlight w:val="none"/>
                <w:lang w:val="en-US" w:eastAsia="zh-CN"/>
              </w:rPr>
              <w:t>3</w:t>
            </w:r>
            <w:r>
              <w:rPr>
                <w:rFonts w:hint="eastAsia" w:ascii="宋体" w:hAnsi="宋体" w:eastAsia="宋体" w:cs="宋体"/>
                <w:b w:val="0"/>
                <w:bCs w:val="0"/>
                <w:color w:val="auto"/>
                <w:sz w:val="21"/>
                <w:szCs w:val="21"/>
                <w:highlight w:val="none"/>
                <w:lang w:eastAsia="zh-CN"/>
              </w:rPr>
              <w:t>分；</w:t>
            </w:r>
          </w:p>
          <w:p w14:paraId="367045FF">
            <w:pPr>
              <w:autoSpaceDE/>
              <w:autoSpaceDN/>
              <w:adjustRightInd w:val="0"/>
              <w:jc w:val="both"/>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 w:val="21"/>
                <w:szCs w:val="21"/>
                <w:highlight w:val="none"/>
                <w:lang w:eastAsia="zh-CN"/>
              </w:rPr>
              <w:t>2、拟投入本项目的配送人员持有市场监督管理部门或其授权的培训机构颁发的有效食品安全管理员证书的，每提供一人得0.5分，最多计4人，本小项满分2分。</w:t>
            </w:r>
          </w:p>
          <w:p w14:paraId="49FD1A77">
            <w:pPr>
              <w:widowControl/>
              <w:autoSpaceDE/>
              <w:autoSpaceDN/>
              <w:adjustRightInd w:val="0"/>
              <w:jc w:val="both"/>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注：相同岗位不重复计分，同一人只计一个岗位。</w:t>
            </w:r>
            <w:r>
              <w:rPr>
                <w:rFonts w:hint="eastAsia" w:cs="宋体"/>
                <w:b/>
                <w:bCs/>
                <w:color w:val="auto"/>
                <w:sz w:val="21"/>
                <w:szCs w:val="21"/>
                <w:highlight w:val="none"/>
                <w:lang w:eastAsia="zh-CN"/>
              </w:rPr>
              <w:t>响应文件</w:t>
            </w:r>
            <w:r>
              <w:rPr>
                <w:rFonts w:hint="eastAsia" w:ascii="宋体" w:hAnsi="宋体" w:eastAsia="宋体" w:cs="宋体"/>
                <w:b/>
                <w:bCs/>
                <w:color w:val="auto"/>
                <w:sz w:val="21"/>
                <w:szCs w:val="21"/>
                <w:highlight w:val="none"/>
                <w:lang w:eastAsia="zh-CN"/>
              </w:rPr>
              <w:t>中</w:t>
            </w:r>
            <w:r>
              <w:rPr>
                <w:rFonts w:hint="eastAsia" w:ascii="宋体" w:hAnsi="宋体" w:eastAsia="宋体" w:cs="宋体"/>
                <w:b/>
                <w:bCs/>
                <w:color w:val="auto"/>
                <w:sz w:val="21"/>
                <w:szCs w:val="21"/>
                <w:highlight w:val="none"/>
                <w:lang w:val="en-US" w:eastAsia="zh-CN"/>
              </w:rPr>
              <w:t>须</w:t>
            </w:r>
            <w:r>
              <w:rPr>
                <w:rFonts w:hint="eastAsia" w:ascii="宋体" w:hAnsi="宋体" w:eastAsia="宋体" w:cs="宋体"/>
                <w:b/>
                <w:bCs/>
                <w:color w:val="auto"/>
                <w:sz w:val="21"/>
                <w:szCs w:val="21"/>
                <w:highlight w:val="none"/>
                <w:lang w:eastAsia="zh-CN"/>
              </w:rPr>
              <w:t>提供上述人员</w:t>
            </w:r>
            <w:r>
              <w:rPr>
                <w:rFonts w:hint="eastAsia" w:ascii="宋体" w:hAnsi="宋体" w:eastAsia="宋体" w:cs="宋体"/>
                <w:b/>
                <w:bCs/>
                <w:color w:val="auto"/>
                <w:sz w:val="21"/>
                <w:szCs w:val="21"/>
                <w:highlight w:val="none"/>
                <w:lang w:val="en-US" w:eastAsia="zh-CN"/>
              </w:rPr>
              <w:t>名</w:t>
            </w:r>
            <w:r>
              <w:rPr>
                <w:rFonts w:hint="eastAsia" w:ascii="宋体" w:hAnsi="宋体" w:eastAsia="宋体" w:cs="宋体"/>
                <w:b/>
                <w:bCs/>
                <w:color w:val="auto"/>
                <w:sz w:val="21"/>
                <w:szCs w:val="21"/>
                <w:highlight w:val="none"/>
                <w:lang w:eastAsia="zh-CN"/>
              </w:rPr>
              <w:t>单、上述证书（证明文件）</w:t>
            </w:r>
            <w:r>
              <w:rPr>
                <w:rFonts w:hint="eastAsia" w:ascii="宋体" w:hAnsi="宋体" w:eastAsia="宋体" w:cs="宋体"/>
                <w:b/>
                <w:bCs/>
                <w:color w:val="auto"/>
                <w:sz w:val="21"/>
                <w:szCs w:val="21"/>
                <w:highlight w:val="none"/>
                <w:lang w:val="en-US" w:eastAsia="zh-CN"/>
              </w:rPr>
              <w:t>复印件</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以及</w:t>
            </w:r>
            <w:r>
              <w:rPr>
                <w:rFonts w:hint="eastAsia" w:ascii="宋体" w:hAnsi="宋体" w:eastAsia="宋体" w:cs="宋体"/>
                <w:b/>
                <w:bCs/>
                <w:color w:val="auto"/>
                <w:sz w:val="21"/>
                <w:szCs w:val="21"/>
                <w:highlight w:val="none"/>
                <w:lang w:eastAsia="zh-CN"/>
              </w:rPr>
              <w:t>202</w:t>
            </w:r>
            <w:r>
              <w:rPr>
                <w:rFonts w:hint="eastAsia" w:ascii="宋体" w:hAnsi="宋体" w:eastAsia="宋体" w:cs="宋体"/>
                <w:b/>
                <w:bCs/>
                <w:color w:val="auto"/>
                <w:sz w:val="21"/>
                <w:szCs w:val="21"/>
                <w:highlight w:val="none"/>
                <w:lang w:val="en-US" w:eastAsia="zh-CN"/>
              </w:rPr>
              <w:t>5</w:t>
            </w:r>
            <w:r>
              <w:rPr>
                <w:rFonts w:hint="eastAsia" w:ascii="宋体" w:hAnsi="宋体" w:eastAsia="宋体" w:cs="宋体"/>
                <w:b/>
                <w:bCs/>
                <w:color w:val="auto"/>
                <w:sz w:val="21"/>
                <w:szCs w:val="21"/>
                <w:highlight w:val="none"/>
                <w:lang w:eastAsia="zh-CN"/>
              </w:rPr>
              <w:t>年</w:t>
            </w:r>
            <w:r>
              <w:rPr>
                <w:rFonts w:hint="eastAsia" w:ascii="宋体" w:hAnsi="宋体" w:eastAsia="宋体" w:cs="宋体"/>
                <w:b/>
                <w:bCs/>
                <w:color w:val="auto"/>
                <w:sz w:val="21"/>
                <w:szCs w:val="21"/>
                <w:highlight w:val="none"/>
                <w:lang w:val="en-US" w:eastAsia="zh-CN"/>
              </w:rPr>
              <w:t>10</w:t>
            </w:r>
            <w:r>
              <w:rPr>
                <w:rFonts w:hint="eastAsia" w:ascii="宋体" w:hAnsi="宋体" w:eastAsia="宋体" w:cs="宋体"/>
                <w:b/>
                <w:bCs/>
                <w:color w:val="auto"/>
                <w:sz w:val="21"/>
                <w:szCs w:val="21"/>
                <w:highlight w:val="none"/>
                <w:lang w:eastAsia="zh-CN"/>
              </w:rPr>
              <w:t>月至开标当月任意一个月</w:t>
            </w:r>
            <w:r>
              <w:rPr>
                <w:rFonts w:hint="eastAsia" w:cs="宋体"/>
                <w:b/>
                <w:bCs/>
                <w:color w:val="auto"/>
                <w:sz w:val="21"/>
                <w:szCs w:val="21"/>
                <w:highlight w:val="none"/>
                <w:lang w:eastAsia="zh-CN"/>
              </w:rPr>
              <w:t>响应供应商</w:t>
            </w:r>
            <w:r>
              <w:rPr>
                <w:rFonts w:hint="eastAsia" w:ascii="宋体" w:hAnsi="宋体" w:eastAsia="宋体" w:cs="宋体"/>
                <w:b/>
                <w:bCs/>
                <w:color w:val="auto"/>
                <w:sz w:val="21"/>
                <w:szCs w:val="21"/>
                <w:highlight w:val="none"/>
                <w:lang w:eastAsia="zh-CN"/>
              </w:rPr>
              <w:t>为其购买社保的证明材料，</w:t>
            </w:r>
            <w:r>
              <w:rPr>
                <w:rFonts w:hint="eastAsia" w:cs="宋体"/>
                <w:b/>
                <w:bCs/>
                <w:color w:val="auto"/>
                <w:sz w:val="21"/>
                <w:szCs w:val="21"/>
                <w:highlight w:val="none"/>
                <w:lang w:eastAsia="zh-CN"/>
              </w:rPr>
              <w:t>加盖供应商</w:t>
            </w:r>
            <w:r>
              <w:rPr>
                <w:rFonts w:hint="eastAsia" w:ascii="宋体" w:hAnsi="宋体" w:eastAsia="宋体" w:cs="宋体"/>
                <w:b/>
                <w:bCs/>
                <w:color w:val="auto"/>
                <w:sz w:val="21"/>
                <w:szCs w:val="21"/>
                <w:highlight w:val="none"/>
                <w:lang w:eastAsia="zh-CN"/>
              </w:rPr>
              <w:t>公章；未提供或者提供的资料不符合要求的则不得分。</w:t>
            </w:r>
          </w:p>
        </w:tc>
        <w:tc>
          <w:tcPr>
            <w:tcW w:w="476" w:type="pct"/>
            <w:noWrap w:val="0"/>
            <w:vAlign w:val="center"/>
          </w:tcPr>
          <w:p w14:paraId="1D3207CC">
            <w:pPr>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5</w:t>
            </w:r>
          </w:p>
        </w:tc>
      </w:tr>
      <w:bookmarkEnd w:id="117"/>
    </w:tbl>
    <w:p w14:paraId="2F6F928C">
      <w:pPr>
        <w:pStyle w:val="45"/>
        <w:ind w:left="0" w:leftChars="0" w:firstLine="0" w:firstLineChars="0"/>
        <w:rPr>
          <w:rFonts w:hint="eastAsia"/>
          <w:color w:val="auto"/>
          <w:highlight w:val="none"/>
        </w:rPr>
      </w:pPr>
    </w:p>
    <w:p w14:paraId="14A6460B">
      <w:pPr>
        <w:ind w:firstLine="422" w:firstLineChars="200"/>
        <w:jc w:val="left"/>
        <w:outlineLvl w:val="3"/>
        <w:rPr>
          <w:rFonts w:hint="eastAsia" w:cs="Futura-Heavy"/>
          <w:b/>
          <w:bCs/>
          <w:color w:val="auto"/>
          <w:kern w:val="0"/>
          <w:szCs w:val="21"/>
          <w:highlight w:val="none"/>
        </w:rPr>
      </w:pPr>
      <w:bookmarkStart w:id="118" w:name="_Toc67046847"/>
      <w:bookmarkStart w:id="119" w:name="_Toc6322231"/>
      <w:r>
        <w:rPr>
          <w:rFonts w:hint="eastAsia" w:cs="Futura-Heavy"/>
          <w:b/>
          <w:bCs/>
          <w:color w:val="auto"/>
          <w:kern w:val="0"/>
          <w:szCs w:val="21"/>
          <w:highlight w:val="none"/>
        </w:rPr>
        <w:t>表</w:t>
      </w:r>
      <w:r>
        <w:rPr>
          <w:rFonts w:hint="eastAsia" w:cs="Futura-Heavy"/>
          <w:b/>
          <w:bCs/>
          <w:color w:val="auto"/>
          <w:kern w:val="0"/>
          <w:szCs w:val="21"/>
          <w:highlight w:val="none"/>
          <w:lang w:val="en-US" w:eastAsia="zh-CN"/>
        </w:rPr>
        <w:t>五</w:t>
      </w:r>
      <w:r>
        <w:rPr>
          <w:rFonts w:hint="eastAsia" w:cs="Futura-Heavy"/>
          <w:b/>
          <w:bCs/>
          <w:color w:val="auto"/>
          <w:kern w:val="0"/>
          <w:szCs w:val="21"/>
          <w:highlight w:val="none"/>
        </w:rPr>
        <w:t>：技术评分细则表（</w:t>
      </w:r>
      <w:r>
        <w:rPr>
          <w:rFonts w:hint="eastAsia" w:cs="Futura-Heavy"/>
          <w:b/>
          <w:bCs/>
          <w:color w:val="FF0000"/>
          <w:kern w:val="0"/>
          <w:szCs w:val="21"/>
          <w:highlight w:val="none"/>
          <w:lang w:val="en-US" w:eastAsia="zh-CN"/>
        </w:rPr>
        <w:t>30</w:t>
      </w:r>
      <w:r>
        <w:rPr>
          <w:rFonts w:hint="eastAsia" w:cs="Futura-Heavy"/>
          <w:b/>
          <w:bCs/>
          <w:color w:val="FF0000"/>
          <w:kern w:val="0"/>
          <w:szCs w:val="21"/>
          <w:highlight w:val="none"/>
        </w:rPr>
        <w:t>分</w:t>
      </w:r>
      <w:r>
        <w:rPr>
          <w:rFonts w:hint="eastAsia" w:cs="Futura-Heavy"/>
          <w:b/>
          <w:bCs/>
          <w:color w:val="auto"/>
          <w:kern w:val="0"/>
          <w:szCs w:val="21"/>
          <w:highlight w:val="none"/>
        </w:rPr>
        <w:t>）</w:t>
      </w:r>
      <w:bookmarkEnd w:id="118"/>
      <w:bookmarkEnd w:id="119"/>
    </w:p>
    <w:tbl>
      <w:tblPr>
        <w:tblStyle w:val="4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297"/>
        <w:gridCol w:w="6805"/>
        <w:gridCol w:w="939"/>
      </w:tblGrid>
      <w:tr w14:paraId="352AF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3" w:type="pct"/>
            <w:shd w:val="clear" w:color="auto" w:fill="F1F1F1"/>
            <w:noWrap w:val="0"/>
            <w:vAlign w:val="center"/>
          </w:tcPr>
          <w:p w14:paraId="240A34DD">
            <w:pPr>
              <w:pStyle w:val="328"/>
              <w:jc w:val="center"/>
              <w:rPr>
                <w:rFonts w:hint="eastAsia" w:ascii="宋体" w:hAnsi="宋体" w:eastAsia="宋体" w:cs="宋体"/>
                <w:b/>
                <w:color w:val="auto"/>
                <w:szCs w:val="21"/>
                <w:highlight w:val="none"/>
              </w:rPr>
            </w:pPr>
            <w:bookmarkStart w:id="120" w:name="_Hlk89442205"/>
            <w:r>
              <w:rPr>
                <w:rFonts w:hint="eastAsia" w:ascii="宋体" w:hAnsi="宋体" w:eastAsia="宋体" w:cs="宋体"/>
                <w:b/>
                <w:color w:val="auto"/>
                <w:szCs w:val="21"/>
                <w:highlight w:val="none"/>
              </w:rPr>
              <w:t>序号</w:t>
            </w:r>
          </w:p>
        </w:tc>
        <w:tc>
          <w:tcPr>
            <w:tcW w:w="658" w:type="pct"/>
            <w:shd w:val="clear" w:color="auto" w:fill="F1F1F1"/>
            <w:noWrap w:val="0"/>
            <w:vAlign w:val="center"/>
          </w:tcPr>
          <w:p w14:paraId="1149D793">
            <w:pPr>
              <w:pStyle w:val="328"/>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3452" w:type="pct"/>
            <w:shd w:val="clear" w:color="auto" w:fill="F1F1F1"/>
            <w:noWrap w:val="0"/>
            <w:vAlign w:val="center"/>
          </w:tcPr>
          <w:p w14:paraId="35D318FD">
            <w:pPr>
              <w:pStyle w:val="328"/>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476" w:type="pct"/>
            <w:shd w:val="clear" w:color="auto" w:fill="F1F1F1"/>
            <w:noWrap w:val="0"/>
            <w:vAlign w:val="center"/>
          </w:tcPr>
          <w:p w14:paraId="3213E895">
            <w:pPr>
              <w:pStyle w:val="328"/>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25398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3" w:type="pct"/>
            <w:noWrap w:val="0"/>
            <w:vAlign w:val="center"/>
          </w:tcPr>
          <w:p w14:paraId="3E0BB89A">
            <w:pPr>
              <w:pStyle w:val="327"/>
              <w:widowControl w:val="0"/>
              <w:numPr>
                <w:ilvl w:val="0"/>
                <w:numId w:val="21"/>
              </w:numPr>
              <w:spacing w:line="360" w:lineRule="auto"/>
              <w:ind w:firstLineChars="0"/>
              <w:jc w:val="center"/>
              <w:rPr>
                <w:rFonts w:hint="eastAsia" w:ascii="宋体" w:hAnsi="宋体" w:eastAsia="宋体" w:cs="宋体"/>
                <w:color w:val="auto"/>
                <w:sz w:val="21"/>
                <w:szCs w:val="21"/>
                <w:highlight w:val="none"/>
              </w:rPr>
            </w:pPr>
          </w:p>
        </w:tc>
        <w:tc>
          <w:tcPr>
            <w:tcW w:w="658" w:type="pct"/>
            <w:noWrap w:val="0"/>
            <w:vAlign w:val="center"/>
          </w:tcPr>
          <w:p w14:paraId="44CF6839">
            <w:pPr>
              <w:autoSpaceDE/>
              <w:autoSpaceDN/>
              <w:jc w:val="center"/>
              <w:rPr>
                <w:rFonts w:hint="default" w:ascii="宋体" w:hAnsi="宋体" w:eastAsia="宋体" w:cs="宋体"/>
                <w:color w:val="auto"/>
                <w:sz w:val="21"/>
                <w:szCs w:val="21"/>
                <w:highlight w:val="none"/>
                <w:lang w:val="en-US" w:eastAsia="zh-CN" w:bidi="ar-SA"/>
              </w:rPr>
            </w:pPr>
            <w:r>
              <w:rPr>
                <w:rFonts w:hint="eastAsia" w:ascii="宋体" w:hAnsi="宋体" w:eastAsia="宋体" w:cs="宋体"/>
                <w:color w:val="auto"/>
                <w:sz w:val="21"/>
                <w:szCs w:val="21"/>
                <w:highlight w:val="none"/>
                <w:lang w:val="en-US" w:eastAsia="zh-CN" w:bidi="ar-SA"/>
              </w:rPr>
              <w:t>服务实施方案1</w:t>
            </w:r>
          </w:p>
        </w:tc>
        <w:tc>
          <w:tcPr>
            <w:tcW w:w="3452" w:type="pct"/>
            <w:noWrap w:val="0"/>
            <w:vAlign w:val="top"/>
          </w:tcPr>
          <w:p w14:paraId="7E95543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根据投标人针对本项目提供的服务总体实施方案进行评分，方案包含以下内容的：</w:t>
            </w:r>
          </w:p>
          <w:p w14:paraId="0B3C520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①接单、订货、检测等前期服务流程；</w:t>
            </w:r>
          </w:p>
          <w:p w14:paraId="6CB3BB2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②存储、配送、到货清单核对等中期服务流程；</w:t>
            </w:r>
          </w:p>
          <w:p w14:paraId="7B8FF9E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③结算、售后等后期服务流程和服务内容。</w:t>
            </w:r>
          </w:p>
          <w:p w14:paraId="353C223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kern w:val="2"/>
                <w:sz w:val="21"/>
                <w:szCs w:val="21"/>
                <w:highlight w:val="none"/>
                <w:u w:val="none"/>
                <w:lang w:val="en-US" w:eastAsia="zh-CN"/>
              </w:rPr>
              <w:t>以上每项得1分，满分为3分。未提供相关内容不得分。</w:t>
            </w:r>
          </w:p>
        </w:tc>
        <w:tc>
          <w:tcPr>
            <w:tcW w:w="476" w:type="pct"/>
            <w:noWrap w:val="0"/>
            <w:vAlign w:val="center"/>
          </w:tcPr>
          <w:p w14:paraId="3D57A053">
            <w:pPr>
              <w:jc w:val="center"/>
              <w:rPr>
                <w:rFonts w:hint="eastAsia" w:ascii="宋体" w:hAnsi="宋体" w:eastAsia="宋体" w:cs="宋体"/>
                <w:color w:val="auto"/>
                <w:sz w:val="21"/>
                <w:szCs w:val="21"/>
                <w:highlight w:val="none"/>
                <w:lang w:val="en-US" w:eastAsia="zh-CN" w:bidi="ar-SA"/>
              </w:rPr>
            </w:pPr>
            <w:r>
              <w:rPr>
                <w:rFonts w:hint="eastAsia" w:cs="宋体"/>
                <w:color w:val="auto"/>
                <w:sz w:val="21"/>
                <w:szCs w:val="21"/>
                <w:highlight w:val="none"/>
                <w:lang w:val="en-US" w:eastAsia="zh-CN" w:bidi="ar-SA"/>
              </w:rPr>
              <w:t>3</w:t>
            </w:r>
          </w:p>
        </w:tc>
      </w:tr>
      <w:tr w14:paraId="233C8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3" w:type="pct"/>
            <w:noWrap w:val="0"/>
            <w:vAlign w:val="center"/>
          </w:tcPr>
          <w:p w14:paraId="624F9FBD">
            <w:pPr>
              <w:pStyle w:val="327"/>
              <w:widowControl w:val="0"/>
              <w:numPr>
                <w:ilvl w:val="0"/>
                <w:numId w:val="21"/>
              </w:numPr>
              <w:spacing w:line="360" w:lineRule="auto"/>
              <w:ind w:firstLineChars="0"/>
              <w:jc w:val="center"/>
              <w:rPr>
                <w:rFonts w:hint="eastAsia" w:ascii="宋体" w:hAnsi="宋体" w:eastAsia="宋体" w:cs="宋体"/>
                <w:color w:val="auto"/>
                <w:sz w:val="21"/>
                <w:szCs w:val="21"/>
                <w:highlight w:val="none"/>
              </w:rPr>
            </w:pPr>
          </w:p>
        </w:tc>
        <w:tc>
          <w:tcPr>
            <w:tcW w:w="658" w:type="pct"/>
            <w:noWrap w:val="0"/>
            <w:vAlign w:val="center"/>
          </w:tcPr>
          <w:p w14:paraId="04C37D1C">
            <w:pPr>
              <w:autoSpaceDE/>
              <w:autoSpaceDN/>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 w:val="21"/>
                <w:szCs w:val="21"/>
                <w:highlight w:val="none"/>
                <w:lang w:val="en-US" w:eastAsia="zh-CN" w:bidi="ar-SA"/>
              </w:rPr>
              <w:t>服务实施方案2</w:t>
            </w:r>
          </w:p>
        </w:tc>
        <w:tc>
          <w:tcPr>
            <w:tcW w:w="3452" w:type="pct"/>
            <w:noWrap w:val="0"/>
            <w:vAlign w:val="top"/>
          </w:tcPr>
          <w:p w14:paraId="52AA27E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在“</w:t>
            </w:r>
            <w:r>
              <w:rPr>
                <w:rFonts w:hint="eastAsia" w:ascii="宋体" w:hAnsi="宋体" w:eastAsia="宋体" w:cs="宋体"/>
                <w:color w:val="auto"/>
                <w:sz w:val="21"/>
                <w:szCs w:val="21"/>
                <w:highlight w:val="none"/>
                <w:lang w:val="en-US" w:eastAsia="zh-CN" w:bidi="ar-SA"/>
              </w:rPr>
              <w:t>服务实施方案1</w:t>
            </w:r>
            <w:r>
              <w:rPr>
                <w:rFonts w:hint="eastAsia" w:ascii="宋体" w:hAnsi="宋体" w:eastAsia="宋体" w:cs="宋体"/>
                <w:color w:val="auto"/>
                <w:kern w:val="2"/>
                <w:sz w:val="21"/>
                <w:szCs w:val="21"/>
                <w:highlight w:val="none"/>
                <w:u w:val="none"/>
                <w:lang w:val="en-US" w:eastAsia="zh-CN"/>
              </w:rPr>
              <w:t>”基础上根据方案的针对性和可操作性进行评审：</w:t>
            </w:r>
          </w:p>
          <w:p w14:paraId="06C98C3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①服务实施方案完善详尽，各流程安排清晰合理，售后服务承诺能够完全覆盖采购需求并优于技术标准要求，整体方案内容针对性和可操作性强，得3分；</w:t>
            </w:r>
          </w:p>
          <w:p w14:paraId="6C7FA33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②服务实施方案完整，各流程安排合理，售后服务承诺基本符合采购需求，方案内容基本具备针对性和可操作性，得2分；</w:t>
            </w:r>
          </w:p>
          <w:p w14:paraId="54AD01D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③整体服务实施方案有缺漏，部分流程安排合理，售后服务承诺部分符合采购需求，部分方案内容有针对性和可操作性，得1分；</w:t>
            </w:r>
          </w:p>
          <w:p w14:paraId="6B2341F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④整体服务实施方案流程安排缺乏针对性和可操作性，或内容有所欠缺，得</w:t>
            </w:r>
            <w:r>
              <w:rPr>
                <w:rFonts w:hint="eastAsia" w:cs="宋体"/>
                <w:color w:val="FF0000"/>
                <w:kern w:val="2"/>
                <w:sz w:val="21"/>
                <w:szCs w:val="21"/>
                <w:highlight w:val="none"/>
                <w:u w:val="none"/>
                <w:lang w:val="en-US" w:eastAsia="zh-CN"/>
              </w:rPr>
              <w:t>0.5</w:t>
            </w:r>
            <w:r>
              <w:rPr>
                <w:rFonts w:hint="eastAsia" w:ascii="宋体" w:hAnsi="宋体" w:eastAsia="宋体" w:cs="宋体"/>
                <w:color w:val="FF0000"/>
                <w:kern w:val="2"/>
                <w:sz w:val="21"/>
                <w:szCs w:val="21"/>
                <w:highlight w:val="none"/>
                <w:u w:val="none"/>
                <w:lang w:val="en-US" w:eastAsia="zh-CN"/>
              </w:rPr>
              <w:t>分</w:t>
            </w:r>
            <w:r>
              <w:rPr>
                <w:rFonts w:hint="eastAsia" w:ascii="宋体" w:hAnsi="宋体" w:eastAsia="宋体" w:cs="宋体"/>
                <w:color w:val="auto"/>
                <w:kern w:val="2"/>
                <w:sz w:val="21"/>
                <w:szCs w:val="21"/>
                <w:highlight w:val="none"/>
                <w:u w:val="none"/>
                <w:lang w:val="en-US" w:eastAsia="zh-CN"/>
              </w:rPr>
              <w:t>。</w:t>
            </w:r>
          </w:p>
        </w:tc>
        <w:tc>
          <w:tcPr>
            <w:tcW w:w="476" w:type="pct"/>
            <w:noWrap w:val="0"/>
            <w:vAlign w:val="center"/>
          </w:tcPr>
          <w:p w14:paraId="3407B75E">
            <w:pPr>
              <w:jc w:val="center"/>
              <w:rPr>
                <w:rFonts w:hint="default" w:cs="宋体"/>
                <w:color w:val="auto"/>
                <w:sz w:val="21"/>
                <w:szCs w:val="21"/>
                <w:highlight w:val="none"/>
                <w:lang w:val="en-US" w:eastAsia="zh-CN" w:bidi="ar-SA"/>
              </w:rPr>
            </w:pPr>
            <w:r>
              <w:rPr>
                <w:rFonts w:hint="eastAsia" w:cs="宋体"/>
                <w:color w:val="auto"/>
                <w:sz w:val="21"/>
                <w:szCs w:val="21"/>
                <w:highlight w:val="none"/>
                <w:lang w:val="en-US" w:eastAsia="zh-CN" w:bidi="ar-SA"/>
              </w:rPr>
              <w:t>3</w:t>
            </w:r>
          </w:p>
        </w:tc>
      </w:tr>
      <w:tr w14:paraId="7AEB5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3" w:type="pct"/>
            <w:noWrap w:val="0"/>
            <w:vAlign w:val="center"/>
          </w:tcPr>
          <w:p w14:paraId="1F896EA9">
            <w:pPr>
              <w:pStyle w:val="327"/>
              <w:widowControl w:val="0"/>
              <w:numPr>
                <w:ilvl w:val="0"/>
                <w:numId w:val="21"/>
              </w:numPr>
              <w:spacing w:line="360" w:lineRule="auto"/>
              <w:ind w:firstLineChars="0"/>
              <w:jc w:val="center"/>
              <w:rPr>
                <w:rFonts w:hint="eastAsia" w:ascii="宋体" w:hAnsi="宋体" w:eastAsia="宋体" w:cs="宋体"/>
                <w:color w:val="auto"/>
                <w:sz w:val="21"/>
                <w:szCs w:val="21"/>
                <w:highlight w:val="none"/>
              </w:rPr>
            </w:pPr>
          </w:p>
        </w:tc>
        <w:tc>
          <w:tcPr>
            <w:tcW w:w="658" w:type="pct"/>
            <w:noWrap w:val="0"/>
            <w:vAlign w:val="center"/>
          </w:tcPr>
          <w:p w14:paraId="05D9F717">
            <w:pPr>
              <w:autoSpaceDE/>
              <w:autoSpaceDN/>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rPr>
              <w:t>质量</w:t>
            </w:r>
            <w:r>
              <w:rPr>
                <w:rFonts w:hint="eastAsia" w:ascii="宋体" w:hAnsi="宋体" w:eastAsia="宋体" w:cs="宋体"/>
                <w:color w:val="auto"/>
                <w:szCs w:val="21"/>
                <w:highlight w:val="none"/>
                <w:lang w:eastAsia="zh-CN"/>
              </w:rPr>
              <w:t>控制方</w:t>
            </w:r>
            <w:r>
              <w:rPr>
                <w:rFonts w:hint="eastAsia" w:ascii="宋体" w:hAnsi="宋体" w:eastAsia="宋体" w:cs="宋体"/>
                <w:color w:val="auto"/>
                <w:szCs w:val="21"/>
                <w:highlight w:val="none"/>
              </w:rPr>
              <w:t>案</w:t>
            </w:r>
            <w:r>
              <w:rPr>
                <w:rFonts w:hint="eastAsia" w:ascii="宋体" w:hAnsi="宋体" w:eastAsia="宋体" w:cs="宋体"/>
                <w:color w:val="auto"/>
                <w:szCs w:val="21"/>
                <w:highlight w:val="none"/>
                <w:lang w:val="en-US" w:eastAsia="zh-CN"/>
              </w:rPr>
              <w:t>1</w:t>
            </w:r>
          </w:p>
        </w:tc>
        <w:tc>
          <w:tcPr>
            <w:tcW w:w="3452" w:type="pct"/>
            <w:noWrap w:val="0"/>
            <w:vAlign w:val="top"/>
          </w:tcPr>
          <w:p w14:paraId="5CC9F53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根据投标人针对本项目提供的服务保障方案进行评分，方案包含以下内容的：</w:t>
            </w:r>
          </w:p>
          <w:p w14:paraId="45FF5AA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①原材料的来源、供应商的选定等渠道管控措施；</w:t>
            </w:r>
          </w:p>
          <w:p w14:paraId="38A4C8F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②选材标准、加工包装标准及进货验货检测标准；</w:t>
            </w:r>
          </w:p>
          <w:p w14:paraId="4437FE2C">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③分拣、仓储、配送等环节管理制度。</w:t>
            </w:r>
          </w:p>
          <w:p w14:paraId="0C8D39E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以上每项得1分，满分为3分。未提供相关内容不得分。</w:t>
            </w:r>
          </w:p>
        </w:tc>
        <w:tc>
          <w:tcPr>
            <w:tcW w:w="476" w:type="pct"/>
            <w:noWrap w:val="0"/>
            <w:vAlign w:val="center"/>
          </w:tcPr>
          <w:p w14:paraId="58DF8A70">
            <w:pPr>
              <w:jc w:val="center"/>
              <w:rPr>
                <w:rFonts w:hint="eastAsia" w:ascii="宋体" w:hAnsi="宋体" w:eastAsia="宋体" w:cs="宋体"/>
                <w:color w:val="auto"/>
                <w:sz w:val="21"/>
                <w:szCs w:val="21"/>
                <w:highlight w:val="none"/>
                <w:lang w:val="en-US" w:eastAsia="zh-CN" w:bidi="ar-SA"/>
              </w:rPr>
            </w:pPr>
            <w:r>
              <w:rPr>
                <w:rFonts w:hint="eastAsia" w:cs="宋体"/>
                <w:color w:val="auto"/>
                <w:szCs w:val="21"/>
                <w:highlight w:val="none"/>
                <w:lang w:val="en-US" w:eastAsia="zh-CN"/>
              </w:rPr>
              <w:t>3</w:t>
            </w:r>
          </w:p>
        </w:tc>
      </w:tr>
      <w:tr w14:paraId="618CB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3" w:type="pct"/>
            <w:noWrap w:val="0"/>
            <w:vAlign w:val="center"/>
          </w:tcPr>
          <w:p w14:paraId="26839364">
            <w:pPr>
              <w:pStyle w:val="327"/>
              <w:widowControl w:val="0"/>
              <w:numPr>
                <w:ilvl w:val="0"/>
                <w:numId w:val="21"/>
              </w:numPr>
              <w:spacing w:line="360" w:lineRule="auto"/>
              <w:ind w:firstLineChars="0"/>
              <w:jc w:val="center"/>
              <w:rPr>
                <w:rFonts w:hint="eastAsia" w:ascii="宋体" w:hAnsi="宋体" w:eastAsia="宋体" w:cs="宋体"/>
                <w:color w:val="auto"/>
                <w:sz w:val="21"/>
                <w:szCs w:val="21"/>
                <w:highlight w:val="none"/>
              </w:rPr>
            </w:pPr>
          </w:p>
        </w:tc>
        <w:tc>
          <w:tcPr>
            <w:tcW w:w="658" w:type="pct"/>
            <w:shd w:val="clear" w:color="auto" w:fill="auto"/>
            <w:noWrap w:val="0"/>
            <w:vAlign w:val="center"/>
          </w:tcPr>
          <w:p w14:paraId="25DE0C44">
            <w:pPr>
              <w:autoSpaceDE/>
              <w:autoSpaceDN/>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rPr>
              <w:t>质量</w:t>
            </w:r>
            <w:r>
              <w:rPr>
                <w:rFonts w:hint="eastAsia" w:ascii="宋体" w:hAnsi="宋体" w:eastAsia="宋体" w:cs="宋体"/>
                <w:color w:val="auto"/>
                <w:szCs w:val="21"/>
                <w:highlight w:val="none"/>
                <w:lang w:eastAsia="zh-CN"/>
              </w:rPr>
              <w:t>控制方</w:t>
            </w:r>
            <w:r>
              <w:rPr>
                <w:rFonts w:hint="eastAsia" w:ascii="宋体" w:hAnsi="宋体" w:eastAsia="宋体" w:cs="宋体"/>
                <w:color w:val="auto"/>
                <w:szCs w:val="21"/>
                <w:highlight w:val="none"/>
              </w:rPr>
              <w:t>案</w:t>
            </w:r>
            <w:r>
              <w:rPr>
                <w:rFonts w:hint="eastAsia" w:ascii="宋体" w:hAnsi="宋体" w:eastAsia="宋体" w:cs="宋体"/>
                <w:color w:val="auto"/>
                <w:szCs w:val="21"/>
                <w:highlight w:val="none"/>
                <w:lang w:val="en-US" w:eastAsia="zh-CN"/>
              </w:rPr>
              <w:t>2</w:t>
            </w:r>
          </w:p>
        </w:tc>
        <w:tc>
          <w:tcPr>
            <w:tcW w:w="3452" w:type="pct"/>
            <w:shd w:val="clear" w:color="auto" w:fill="auto"/>
            <w:noWrap w:val="0"/>
            <w:vAlign w:val="top"/>
          </w:tcPr>
          <w:p w14:paraId="67961D24">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在“</w:t>
            </w:r>
            <w:r>
              <w:rPr>
                <w:rFonts w:hint="eastAsia" w:ascii="宋体" w:hAnsi="宋体" w:eastAsia="宋体" w:cs="宋体"/>
                <w:color w:val="auto"/>
                <w:szCs w:val="21"/>
                <w:highlight w:val="none"/>
              </w:rPr>
              <w:t>质量</w:t>
            </w:r>
            <w:r>
              <w:rPr>
                <w:rFonts w:hint="eastAsia" w:ascii="宋体" w:hAnsi="宋体" w:eastAsia="宋体" w:cs="宋体"/>
                <w:color w:val="auto"/>
                <w:szCs w:val="21"/>
                <w:highlight w:val="none"/>
                <w:lang w:eastAsia="zh-CN"/>
              </w:rPr>
              <w:t>控制方</w:t>
            </w:r>
            <w:r>
              <w:rPr>
                <w:rFonts w:hint="eastAsia" w:ascii="宋体" w:hAnsi="宋体" w:eastAsia="宋体" w:cs="宋体"/>
                <w:color w:val="auto"/>
                <w:szCs w:val="21"/>
                <w:highlight w:val="none"/>
              </w:rPr>
              <w:t>案</w:t>
            </w:r>
            <w:r>
              <w:rPr>
                <w:rFonts w:hint="eastAsia" w:ascii="宋体" w:hAnsi="宋体" w:eastAsia="宋体" w:cs="宋体"/>
                <w:color w:val="auto"/>
                <w:szCs w:val="21"/>
                <w:highlight w:val="none"/>
                <w:lang w:val="en-US" w:eastAsia="zh-CN"/>
              </w:rPr>
              <w:t>1</w:t>
            </w:r>
            <w:r>
              <w:rPr>
                <w:rFonts w:hint="eastAsia" w:ascii="宋体" w:hAnsi="宋体" w:eastAsia="宋体" w:cs="宋体"/>
                <w:color w:val="auto"/>
                <w:kern w:val="2"/>
                <w:sz w:val="21"/>
                <w:szCs w:val="21"/>
                <w:highlight w:val="none"/>
                <w:u w:val="none"/>
                <w:lang w:val="en-US" w:eastAsia="zh-CN"/>
              </w:rPr>
              <w:t>”基础上根据方案的针对性和可操作性进行评审：</w:t>
            </w:r>
          </w:p>
          <w:p w14:paraId="3411AE73">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①渠道管理措施安全可靠，选材标准高，加工包装科学环保，分拣、仓储、配送等环节管理制度完善合理，得5分；</w:t>
            </w:r>
          </w:p>
          <w:p w14:paraId="4E6D4CA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②渠道管理措施合理安全，选材标准有保障，加工包装环保，分拣、仓储、配送等环节管理制度基本完整、内容基本合理，得3分；</w:t>
            </w:r>
          </w:p>
          <w:p w14:paraId="410575D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③渠道管理措施基本可靠，选材标准达标，加工包装不够环保，分拣、仓储、配送等环节管理制度只有部分内容可行，得2分；</w:t>
            </w:r>
          </w:p>
          <w:p w14:paraId="0A1DA46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kern w:val="2"/>
                <w:sz w:val="21"/>
                <w:szCs w:val="21"/>
                <w:highlight w:val="none"/>
                <w:u w:val="none"/>
                <w:lang w:val="en-US" w:eastAsia="zh-CN" w:bidi="ar-SA"/>
              </w:rPr>
            </w:pPr>
            <w:r>
              <w:rPr>
                <w:rFonts w:hint="eastAsia" w:ascii="宋体" w:hAnsi="宋体" w:eastAsia="宋体" w:cs="宋体"/>
                <w:color w:val="auto"/>
                <w:kern w:val="2"/>
                <w:sz w:val="21"/>
                <w:szCs w:val="21"/>
                <w:highlight w:val="none"/>
                <w:u w:val="none"/>
                <w:lang w:val="en-US" w:eastAsia="zh-CN"/>
              </w:rPr>
              <w:t>④各项措施、制度及标准没有针对本项目设定，或内容有所欠缺，得1分。</w:t>
            </w:r>
          </w:p>
        </w:tc>
        <w:tc>
          <w:tcPr>
            <w:tcW w:w="476" w:type="pct"/>
            <w:noWrap w:val="0"/>
            <w:vAlign w:val="center"/>
          </w:tcPr>
          <w:p w14:paraId="65756ECD">
            <w:pPr>
              <w:jc w:val="center"/>
              <w:rPr>
                <w:rFonts w:hint="default" w:cs="宋体"/>
                <w:color w:val="auto"/>
                <w:szCs w:val="21"/>
                <w:highlight w:val="none"/>
                <w:lang w:val="en-US" w:eastAsia="zh-CN"/>
              </w:rPr>
            </w:pPr>
            <w:r>
              <w:rPr>
                <w:rFonts w:hint="eastAsia" w:cs="宋体"/>
                <w:color w:val="auto"/>
                <w:szCs w:val="21"/>
                <w:highlight w:val="none"/>
                <w:lang w:val="en-US" w:eastAsia="zh-CN"/>
              </w:rPr>
              <w:t>5</w:t>
            </w:r>
          </w:p>
        </w:tc>
      </w:tr>
      <w:tr w14:paraId="70DB4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413" w:type="pct"/>
            <w:noWrap w:val="0"/>
            <w:vAlign w:val="center"/>
          </w:tcPr>
          <w:p w14:paraId="2E72C070">
            <w:pPr>
              <w:pStyle w:val="327"/>
              <w:widowControl w:val="0"/>
              <w:numPr>
                <w:ilvl w:val="0"/>
                <w:numId w:val="21"/>
              </w:numPr>
              <w:spacing w:line="360" w:lineRule="auto"/>
              <w:ind w:firstLineChars="0"/>
              <w:jc w:val="center"/>
              <w:rPr>
                <w:rFonts w:hint="eastAsia" w:ascii="宋体" w:hAnsi="宋体" w:eastAsia="宋体" w:cs="宋体"/>
                <w:color w:val="auto"/>
                <w:sz w:val="21"/>
                <w:szCs w:val="21"/>
                <w:highlight w:val="none"/>
              </w:rPr>
            </w:pPr>
          </w:p>
        </w:tc>
        <w:tc>
          <w:tcPr>
            <w:tcW w:w="658" w:type="pct"/>
            <w:noWrap w:val="0"/>
            <w:vAlign w:val="center"/>
          </w:tcPr>
          <w:p w14:paraId="3294EAD1">
            <w:pPr>
              <w:autoSpaceDE/>
              <w:autoSpaceDN/>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服务</w:t>
            </w:r>
            <w:r>
              <w:rPr>
                <w:rFonts w:hint="eastAsia" w:ascii="宋体" w:hAnsi="宋体" w:eastAsia="宋体" w:cs="宋体"/>
                <w:color w:val="auto"/>
                <w:szCs w:val="21"/>
                <w:highlight w:val="none"/>
              </w:rPr>
              <w:t>保障方案</w:t>
            </w:r>
            <w:r>
              <w:rPr>
                <w:rFonts w:hint="eastAsia" w:ascii="宋体" w:hAnsi="宋体" w:eastAsia="宋体" w:cs="宋体"/>
                <w:color w:val="auto"/>
                <w:szCs w:val="21"/>
                <w:highlight w:val="none"/>
                <w:lang w:val="en-US" w:eastAsia="zh-CN"/>
              </w:rPr>
              <w:t>1</w:t>
            </w:r>
          </w:p>
        </w:tc>
        <w:tc>
          <w:tcPr>
            <w:tcW w:w="3452" w:type="pct"/>
            <w:noWrap w:val="0"/>
            <w:vAlign w:val="top"/>
          </w:tcPr>
          <w:p w14:paraId="6DE6B88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根据投标人针对本项目提供的服务保障方案进行评分，方案包含以下内容的：</w:t>
            </w:r>
          </w:p>
          <w:p w14:paraId="7D9C2CEE">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①疫情防控；</w:t>
            </w:r>
          </w:p>
          <w:p w14:paraId="35FE340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②食品卫生安全；</w:t>
            </w:r>
          </w:p>
          <w:p w14:paraId="386FA5F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③人员、场所、车辆、食材外包装等方面卫生防疫措施；</w:t>
            </w:r>
          </w:p>
          <w:p w14:paraId="6476F75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④食材检疫措施。</w:t>
            </w:r>
          </w:p>
          <w:p w14:paraId="17BB05F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以上每项得0.5分，满分为2分。未提供相关内容不得分。</w:t>
            </w:r>
          </w:p>
        </w:tc>
        <w:tc>
          <w:tcPr>
            <w:tcW w:w="476" w:type="pct"/>
            <w:noWrap w:val="0"/>
            <w:vAlign w:val="center"/>
          </w:tcPr>
          <w:p w14:paraId="6F9CB908">
            <w:pPr>
              <w:jc w:val="center"/>
              <w:rPr>
                <w:rFonts w:hint="eastAsia" w:ascii="宋体" w:hAnsi="宋体" w:eastAsia="宋体" w:cs="宋体"/>
                <w:color w:val="auto"/>
                <w:sz w:val="21"/>
                <w:szCs w:val="21"/>
                <w:highlight w:val="none"/>
                <w:lang w:val="en-US" w:eastAsia="en-US" w:bidi="ar-SA"/>
              </w:rPr>
            </w:pPr>
            <w:r>
              <w:rPr>
                <w:rFonts w:hint="eastAsia" w:cs="宋体"/>
                <w:color w:val="auto"/>
                <w:szCs w:val="21"/>
                <w:highlight w:val="none"/>
                <w:lang w:val="en-US" w:eastAsia="zh-CN"/>
              </w:rPr>
              <w:t>2</w:t>
            </w:r>
          </w:p>
        </w:tc>
      </w:tr>
      <w:tr w14:paraId="5FE3F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413" w:type="pct"/>
            <w:noWrap w:val="0"/>
            <w:vAlign w:val="center"/>
          </w:tcPr>
          <w:p w14:paraId="7B31DC52">
            <w:pPr>
              <w:pStyle w:val="327"/>
              <w:widowControl w:val="0"/>
              <w:numPr>
                <w:ilvl w:val="0"/>
                <w:numId w:val="21"/>
              </w:numPr>
              <w:spacing w:line="360" w:lineRule="auto"/>
              <w:ind w:firstLineChars="0"/>
              <w:jc w:val="center"/>
              <w:rPr>
                <w:rFonts w:hint="eastAsia" w:ascii="宋体" w:hAnsi="宋体" w:eastAsia="宋体" w:cs="宋体"/>
                <w:color w:val="auto"/>
                <w:sz w:val="21"/>
                <w:szCs w:val="21"/>
                <w:highlight w:val="none"/>
              </w:rPr>
            </w:pPr>
          </w:p>
        </w:tc>
        <w:tc>
          <w:tcPr>
            <w:tcW w:w="658" w:type="pct"/>
            <w:shd w:val="clear" w:color="auto" w:fill="auto"/>
            <w:noWrap w:val="0"/>
            <w:vAlign w:val="center"/>
          </w:tcPr>
          <w:p w14:paraId="24B1E541">
            <w:pPr>
              <w:autoSpaceDE/>
              <w:autoSpaceDN/>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lang w:val="en-US" w:eastAsia="zh-CN"/>
              </w:rPr>
              <w:t>服务</w:t>
            </w:r>
            <w:r>
              <w:rPr>
                <w:rFonts w:hint="eastAsia" w:ascii="宋体" w:hAnsi="宋体" w:eastAsia="宋体" w:cs="宋体"/>
                <w:color w:val="auto"/>
                <w:szCs w:val="21"/>
                <w:highlight w:val="none"/>
              </w:rPr>
              <w:t>保障方案</w:t>
            </w:r>
            <w:r>
              <w:rPr>
                <w:rFonts w:hint="eastAsia" w:ascii="宋体" w:hAnsi="宋体" w:eastAsia="宋体" w:cs="宋体"/>
                <w:color w:val="auto"/>
                <w:szCs w:val="21"/>
                <w:highlight w:val="none"/>
                <w:lang w:val="en-US" w:eastAsia="zh-CN"/>
              </w:rPr>
              <w:t>2</w:t>
            </w:r>
          </w:p>
        </w:tc>
        <w:tc>
          <w:tcPr>
            <w:tcW w:w="3452" w:type="pct"/>
            <w:shd w:val="clear" w:color="auto" w:fill="auto"/>
            <w:noWrap w:val="0"/>
            <w:vAlign w:val="top"/>
          </w:tcPr>
          <w:p w14:paraId="6C4A795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在“</w:t>
            </w:r>
            <w:r>
              <w:rPr>
                <w:rFonts w:hint="eastAsia" w:ascii="宋体" w:hAnsi="宋体" w:eastAsia="宋体" w:cs="宋体"/>
                <w:color w:val="auto"/>
                <w:szCs w:val="21"/>
                <w:highlight w:val="none"/>
                <w:lang w:val="en-US" w:eastAsia="zh-CN"/>
              </w:rPr>
              <w:t>服务</w:t>
            </w:r>
            <w:r>
              <w:rPr>
                <w:rFonts w:hint="eastAsia" w:ascii="宋体" w:hAnsi="宋体" w:eastAsia="宋体" w:cs="宋体"/>
                <w:color w:val="auto"/>
                <w:szCs w:val="21"/>
                <w:highlight w:val="none"/>
              </w:rPr>
              <w:t>保障方案</w:t>
            </w:r>
            <w:r>
              <w:rPr>
                <w:rFonts w:hint="eastAsia" w:ascii="宋体" w:hAnsi="宋体" w:eastAsia="宋体" w:cs="宋体"/>
                <w:color w:val="auto"/>
                <w:szCs w:val="21"/>
                <w:highlight w:val="none"/>
                <w:lang w:val="en-US" w:eastAsia="zh-CN"/>
              </w:rPr>
              <w:t>1</w:t>
            </w:r>
            <w:r>
              <w:rPr>
                <w:rFonts w:hint="eastAsia" w:ascii="宋体" w:hAnsi="宋体" w:eastAsia="宋体" w:cs="宋体"/>
                <w:color w:val="auto"/>
                <w:kern w:val="2"/>
                <w:sz w:val="21"/>
                <w:szCs w:val="21"/>
                <w:highlight w:val="none"/>
                <w:u w:val="none"/>
                <w:lang w:val="en-US" w:eastAsia="zh-CN"/>
              </w:rPr>
              <w:t>”基础上根据方案的针对性和可操作性进行评审：</w:t>
            </w:r>
          </w:p>
          <w:p w14:paraId="51CA331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①方案内容完善具体，各项保障措施详</w:t>
            </w:r>
            <w:r>
              <w:rPr>
                <w:rFonts w:hint="eastAsia" w:cs="宋体"/>
                <w:color w:val="auto"/>
                <w:kern w:val="2"/>
                <w:sz w:val="21"/>
                <w:szCs w:val="21"/>
                <w:highlight w:val="none"/>
                <w:u w:val="none"/>
                <w:lang w:val="en-US" w:eastAsia="zh-CN"/>
              </w:rPr>
              <w:t>细</w:t>
            </w:r>
            <w:r>
              <w:rPr>
                <w:rFonts w:hint="eastAsia" w:ascii="宋体" w:hAnsi="宋体" w:eastAsia="宋体" w:cs="宋体"/>
                <w:color w:val="auto"/>
                <w:kern w:val="2"/>
                <w:sz w:val="21"/>
                <w:szCs w:val="21"/>
                <w:highlight w:val="none"/>
                <w:u w:val="none"/>
                <w:lang w:val="en-US" w:eastAsia="zh-CN"/>
              </w:rPr>
              <w:t>合理，针对性、可操作性强，完全满足项目需求，得3分；</w:t>
            </w:r>
          </w:p>
          <w:p w14:paraId="211DA26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②方案内容完整，各项保障措施基本合理，具有针对性、可操作性，基本满足项目需求，得2分；</w:t>
            </w:r>
          </w:p>
          <w:p w14:paraId="30E1092E">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③方案内容不够完整或只有部分保障措施具备针对性、可操作性，部分内容符合项目需求，得1分；</w:t>
            </w:r>
          </w:p>
          <w:p w14:paraId="40AA685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kern w:val="2"/>
                <w:sz w:val="21"/>
                <w:szCs w:val="21"/>
                <w:highlight w:val="none"/>
                <w:u w:val="none"/>
                <w:lang w:val="en-US" w:eastAsia="zh-CN" w:bidi="ar-SA"/>
              </w:rPr>
            </w:pPr>
            <w:r>
              <w:rPr>
                <w:rFonts w:hint="eastAsia" w:ascii="宋体" w:hAnsi="宋体" w:eastAsia="宋体" w:cs="宋体"/>
                <w:color w:val="auto"/>
                <w:kern w:val="2"/>
                <w:sz w:val="21"/>
                <w:szCs w:val="21"/>
                <w:highlight w:val="none"/>
                <w:u w:val="none"/>
                <w:lang w:val="en-US" w:eastAsia="zh-CN"/>
              </w:rPr>
              <w:t>④方案内容简单，保障措施缺乏针对性和可操作性，较难满足项目需求，得0.5分。</w:t>
            </w:r>
          </w:p>
        </w:tc>
        <w:tc>
          <w:tcPr>
            <w:tcW w:w="476" w:type="pct"/>
            <w:noWrap w:val="0"/>
            <w:vAlign w:val="center"/>
          </w:tcPr>
          <w:p w14:paraId="4A518969">
            <w:pPr>
              <w:jc w:val="center"/>
              <w:rPr>
                <w:rFonts w:hint="default" w:cs="宋体"/>
                <w:color w:val="auto"/>
                <w:szCs w:val="21"/>
                <w:highlight w:val="none"/>
                <w:lang w:val="en-US" w:eastAsia="zh-CN"/>
              </w:rPr>
            </w:pPr>
            <w:r>
              <w:rPr>
                <w:rFonts w:hint="eastAsia" w:cs="宋体"/>
                <w:color w:val="auto"/>
                <w:szCs w:val="21"/>
                <w:highlight w:val="none"/>
                <w:lang w:val="en-US" w:eastAsia="zh-CN"/>
              </w:rPr>
              <w:t>3</w:t>
            </w:r>
          </w:p>
        </w:tc>
      </w:tr>
      <w:tr w14:paraId="35956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3" w:type="pct"/>
            <w:noWrap w:val="0"/>
            <w:vAlign w:val="center"/>
          </w:tcPr>
          <w:p w14:paraId="305E4399">
            <w:pPr>
              <w:pStyle w:val="327"/>
              <w:widowControl w:val="0"/>
              <w:numPr>
                <w:ilvl w:val="0"/>
                <w:numId w:val="21"/>
              </w:numPr>
              <w:spacing w:line="360" w:lineRule="auto"/>
              <w:ind w:firstLineChars="0"/>
              <w:jc w:val="center"/>
              <w:rPr>
                <w:rFonts w:hint="eastAsia" w:ascii="宋体" w:hAnsi="宋体" w:eastAsia="宋体" w:cs="宋体"/>
                <w:color w:val="auto"/>
                <w:sz w:val="21"/>
                <w:szCs w:val="21"/>
                <w:highlight w:val="none"/>
              </w:rPr>
            </w:pPr>
          </w:p>
        </w:tc>
        <w:tc>
          <w:tcPr>
            <w:tcW w:w="658" w:type="pct"/>
            <w:noWrap w:val="0"/>
            <w:vAlign w:val="center"/>
          </w:tcPr>
          <w:p w14:paraId="7034B2EA">
            <w:pPr>
              <w:autoSpaceDE/>
              <w:autoSpaceDN/>
              <w:jc w:val="center"/>
              <w:rPr>
                <w:rFonts w:hint="default"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eastAsia="zh-CN"/>
              </w:rPr>
              <w:t>突发事件处理及应急方案</w:t>
            </w:r>
            <w:r>
              <w:rPr>
                <w:rFonts w:hint="eastAsia" w:ascii="宋体" w:hAnsi="宋体" w:eastAsia="宋体" w:cs="宋体"/>
                <w:color w:val="auto"/>
                <w:szCs w:val="21"/>
                <w:highlight w:val="none"/>
                <w:lang w:val="en-US" w:eastAsia="zh-CN"/>
              </w:rPr>
              <w:t>1</w:t>
            </w:r>
          </w:p>
        </w:tc>
        <w:tc>
          <w:tcPr>
            <w:tcW w:w="3452" w:type="pct"/>
            <w:noWrap w:val="0"/>
            <w:vAlign w:val="top"/>
          </w:tcPr>
          <w:p w14:paraId="432D0BC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根据投标人针对本项目提供的突发事件处理及应急方案进行评分，方案包含以下内容的：</w:t>
            </w:r>
          </w:p>
          <w:p w14:paraId="3429ABBF">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①遇有极端天气、大型批发市场闭市、临时大批量增加食材等突发事件的应急供货措施；</w:t>
            </w:r>
          </w:p>
          <w:p w14:paraId="5C80347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②食品突发质量问题退换方案；</w:t>
            </w:r>
          </w:p>
          <w:p w14:paraId="62C2324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③针对紧急或突发事件的到场时间和人员安排。</w:t>
            </w:r>
          </w:p>
          <w:p w14:paraId="4A00DFA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以上每项得1分，满分为3分。未提供相关内容不得分。</w:t>
            </w:r>
          </w:p>
        </w:tc>
        <w:tc>
          <w:tcPr>
            <w:tcW w:w="476" w:type="pct"/>
            <w:noWrap w:val="0"/>
            <w:vAlign w:val="center"/>
          </w:tcPr>
          <w:p w14:paraId="7E422BF6">
            <w:pPr>
              <w:jc w:val="center"/>
              <w:rPr>
                <w:rFonts w:hint="default" w:ascii="宋体" w:hAnsi="宋体" w:eastAsia="宋体" w:cs="宋体"/>
                <w:color w:val="auto"/>
                <w:sz w:val="21"/>
                <w:szCs w:val="21"/>
                <w:highlight w:val="none"/>
                <w:lang w:val="en-US" w:eastAsia="zh-CN" w:bidi="ar-SA"/>
              </w:rPr>
            </w:pPr>
            <w:r>
              <w:rPr>
                <w:rFonts w:hint="eastAsia" w:cs="宋体"/>
                <w:color w:val="auto"/>
                <w:szCs w:val="21"/>
                <w:highlight w:val="none"/>
                <w:lang w:val="en-US" w:eastAsia="zh-CN"/>
              </w:rPr>
              <w:t>3</w:t>
            </w:r>
          </w:p>
        </w:tc>
      </w:tr>
      <w:tr w14:paraId="538E5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3" w:type="pct"/>
            <w:noWrap w:val="0"/>
            <w:vAlign w:val="center"/>
          </w:tcPr>
          <w:p w14:paraId="24A5281D">
            <w:pPr>
              <w:pStyle w:val="327"/>
              <w:widowControl w:val="0"/>
              <w:numPr>
                <w:ilvl w:val="0"/>
                <w:numId w:val="21"/>
              </w:numPr>
              <w:spacing w:line="360" w:lineRule="auto"/>
              <w:ind w:firstLineChars="0"/>
              <w:jc w:val="center"/>
              <w:rPr>
                <w:rFonts w:hint="eastAsia" w:ascii="宋体" w:hAnsi="宋体" w:eastAsia="宋体" w:cs="宋体"/>
                <w:color w:val="auto"/>
                <w:sz w:val="21"/>
                <w:szCs w:val="21"/>
                <w:highlight w:val="none"/>
              </w:rPr>
            </w:pPr>
          </w:p>
        </w:tc>
        <w:tc>
          <w:tcPr>
            <w:tcW w:w="658" w:type="pct"/>
            <w:shd w:val="clear" w:color="auto" w:fill="auto"/>
            <w:noWrap w:val="0"/>
            <w:vAlign w:val="center"/>
          </w:tcPr>
          <w:p w14:paraId="31C7D4D0">
            <w:pPr>
              <w:autoSpaceDE/>
              <w:autoSpaceDN/>
              <w:jc w:val="center"/>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lang w:eastAsia="zh-CN"/>
              </w:rPr>
              <w:t>突发事件处理及应急方案</w:t>
            </w:r>
            <w:r>
              <w:rPr>
                <w:rFonts w:hint="eastAsia" w:ascii="宋体" w:hAnsi="宋体" w:eastAsia="宋体" w:cs="宋体"/>
                <w:color w:val="auto"/>
                <w:szCs w:val="21"/>
                <w:highlight w:val="none"/>
                <w:lang w:val="en-US" w:eastAsia="zh-CN"/>
              </w:rPr>
              <w:t>2</w:t>
            </w:r>
          </w:p>
        </w:tc>
        <w:tc>
          <w:tcPr>
            <w:tcW w:w="3452" w:type="pct"/>
            <w:shd w:val="clear" w:color="auto" w:fill="auto"/>
            <w:noWrap w:val="0"/>
            <w:vAlign w:val="top"/>
          </w:tcPr>
          <w:p w14:paraId="0942A8D4">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在“</w:t>
            </w:r>
            <w:r>
              <w:rPr>
                <w:rFonts w:hint="eastAsia" w:ascii="宋体" w:hAnsi="宋体" w:eastAsia="宋体" w:cs="宋体"/>
                <w:color w:val="auto"/>
                <w:szCs w:val="21"/>
                <w:highlight w:val="none"/>
                <w:lang w:eastAsia="zh-CN"/>
              </w:rPr>
              <w:t>突发事件处理及应急方案</w:t>
            </w:r>
            <w:r>
              <w:rPr>
                <w:rFonts w:hint="eastAsia" w:ascii="宋体" w:hAnsi="宋体" w:eastAsia="宋体" w:cs="宋体"/>
                <w:color w:val="auto"/>
                <w:szCs w:val="21"/>
                <w:highlight w:val="none"/>
                <w:lang w:val="en-US" w:eastAsia="zh-CN"/>
              </w:rPr>
              <w:t>1</w:t>
            </w:r>
            <w:r>
              <w:rPr>
                <w:rFonts w:hint="eastAsia" w:ascii="宋体" w:hAnsi="宋体" w:eastAsia="宋体" w:cs="宋体"/>
                <w:color w:val="auto"/>
                <w:kern w:val="2"/>
                <w:sz w:val="21"/>
                <w:szCs w:val="21"/>
                <w:highlight w:val="none"/>
                <w:u w:val="none"/>
                <w:lang w:val="en-US" w:eastAsia="zh-CN"/>
              </w:rPr>
              <w:t>”基础上根据方案的针对性和可操作性进行评审：</w:t>
            </w:r>
          </w:p>
          <w:p w14:paraId="7A03082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①方案内容完善具体，突发事件列举全面详细，应对措施清晰合理，针对性、可操作性强，完全满足应急处理需求和项目实施，得7分；</w:t>
            </w:r>
          </w:p>
          <w:p w14:paraId="3DD232E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②方案内容完整，突发事件列举全面，应对措施基本合理，具有针对性、可操作性，基本满足应急处理需求和项目实施，得5分；</w:t>
            </w:r>
          </w:p>
          <w:p w14:paraId="767BFB1C">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③方案内容不够完整，突发事件列举不足，应对措施部分合理，部分内容具备针对性、可操作性，符合基础的应急处理需求，得3分；</w:t>
            </w:r>
          </w:p>
          <w:p w14:paraId="584EB53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kern w:val="2"/>
                <w:sz w:val="21"/>
                <w:szCs w:val="21"/>
                <w:highlight w:val="none"/>
                <w:u w:val="none"/>
                <w:lang w:val="en-US" w:eastAsia="zh-CN" w:bidi="ar-SA"/>
              </w:rPr>
            </w:pPr>
            <w:r>
              <w:rPr>
                <w:rFonts w:hint="eastAsia" w:ascii="宋体" w:hAnsi="宋体" w:eastAsia="宋体" w:cs="宋体"/>
                <w:color w:val="auto"/>
                <w:kern w:val="2"/>
                <w:sz w:val="21"/>
                <w:szCs w:val="21"/>
                <w:highlight w:val="none"/>
                <w:u w:val="none"/>
                <w:lang w:val="en-US" w:eastAsia="zh-CN"/>
              </w:rPr>
              <w:t>④方案内容简单，突发事件列举有缺漏，应对措施缺乏针对性和可操作性，仅部分内容符合应急处理需求，得1分。</w:t>
            </w:r>
          </w:p>
        </w:tc>
        <w:tc>
          <w:tcPr>
            <w:tcW w:w="476" w:type="pct"/>
            <w:noWrap w:val="0"/>
            <w:vAlign w:val="center"/>
          </w:tcPr>
          <w:p w14:paraId="7B436876">
            <w:pPr>
              <w:jc w:val="center"/>
              <w:rPr>
                <w:rFonts w:hint="default" w:cs="宋体"/>
                <w:color w:val="auto"/>
                <w:szCs w:val="21"/>
                <w:highlight w:val="none"/>
                <w:lang w:val="en-US" w:eastAsia="zh-CN"/>
              </w:rPr>
            </w:pPr>
            <w:r>
              <w:rPr>
                <w:rFonts w:hint="eastAsia" w:cs="宋体"/>
                <w:color w:val="auto"/>
                <w:szCs w:val="21"/>
                <w:highlight w:val="none"/>
                <w:lang w:val="en-US" w:eastAsia="zh-CN"/>
              </w:rPr>
              <w:t>7</w:t>
            </w:r>
          </w:p>
        </w:tc>
      </w:tr>
      <w:tr w14:paraId="5C749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13" w:type="pct"/>
            <w:noWrap w:val="0"/>
            <w:vAlign w:val="center"/>
          </w:tcPr>
          <w:p w14:paraId="1338620B">
            <w:pPr>
              <w:pStyle w:val="327"/>
              <w:widowControl w:val="0"/>
              <w:numPr>
                <w:ilvl w:val="0"/>
                <w:numId w:val="21"/>
              </w:numPr>
              <w:spacing w:line="360" w:lineRule="auto"/>
              <w:ind w:firstLineChars="0"/>
              <w:jc w:val="center"/>
              <w:rPr>
                <w:rFonts w:hint="eastAsia" w:ascii="宋体" w:hAnsi="宋体" w:eastAsia="宋体" w:cs="宋体"/>
                <w:color w:val="auto"/>
                <w:sz w:val="21"/>
                <w:szCs w:val="21"/>
                <w:highlight w:val="none"/>
              </w:rPr>
            </w:pPr>
          </w:p>
        </w:tc>
        <w:tc>
          <w:tcPr>
            <w:tcW w:w="658" w:type="pct"/>
            <w:noWrap w:val="0"/>
            <w:vAlign w:val="center"/>
          </w:tcPr>
          <w:p w14:paraId="2995EFB2">
            <w:pPr>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食品安全保障</w:t>
            </w:r>
          </w:p>
        </w:tc>
        <w:tc>
          <w:tcPr>
            <w:tcW w:w="3452" w:type="pct"/>
            <w:noWrap w:val="0"/>
            <w:vAlign w:val="top"/>
          </w:tcPr>
          <w:p w14:paraId="2979A20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根据投标人拟为本项目提供的食品安全保障进行评分：</w:t>
            </w:r>
          </w:p>
          <w:p w14:paraId="1046033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投标人承诺针对本项目配送服务，与专门的食品安全管理机构或专业的食品安全第三方监管公司，签订第三方监管服务协议，得1分。</w:t>
            </w:r>
          </w:p>
          <w:p w14:paraId="2577D38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b/>
                <w:bCs/>
                <w:color w:val="auto"/>
                <w:kern w:val="2"/>
                <w:sz w:val="21"/>
                <w:szCs w:val="21"/>
                <w:highlight w:val="none"/>
                <w:u w:val="none"/>
                <w:lang w:val="en-US" w:eastAsia="zh-CN"/>
              </w:rPr>
              <w:t>注：提供承诺函，格式自拟。</w:t>
            </w:r>
          </w:p>
        </w:tc>
        <w:tc>
          <w:tcPr>
            <w:tcW w:w="476" w:type="pct"/>
            <w:noWrap w:val="0"/>
            <w:vAlign w:val="center"/>
          </w:tcPr>
          <w:p w14:paraId="1C35B943">
            <w:pPr>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w:t>
            </w:r>
          </w:p>
        </w:tc>
      </w:tr>
      <w:bookmarkEnd w:id="120"/>
    </w:tbl>
    <w:p w14:paraId="2119AA39">
      <w:pPr>
        <w:pStyle w:val="45"/>
        <w:ind w:left="0" w:leftChars="0" w:firstLine="0" w:firstLineChars="0"/>
        <w:rPr>
          <w:rFonts w:hint="eastAsia"/>
          <w:color w:val="auto"/>
          <w:highlight w:val="none"/>
        </w:rPr>
      </w:pPr>
    </w:p>
    <w:p w14:paraId="1DDAB61D">
      <w:pPr>
        <w:ind w:firstLine="422" w:firstLineChars="200"/>
        <w:jc w:val="left"/>
        <w:outlineLvl w:val="3"/>
        <w:rPr>
          <w:rFonts w:hint="eastAsia" w:cs="Futura-Heavy"/>
          <w:b/>
          <w:bCs/>
          <w:color w:val="auto"/>
          <w:kern w:val="0"/>
          <w:szCs w:val="21"/>
          <w:highlight w:val="none"/>
        </w:rPr>
      </w:pPr>
      <w:bookmarkStart w:id="121" w:name="_Toc67046849"/>
      <w:r>
        <w:rPr>
          <w:rFonts w:hint="eastAsia" w:cs="Futura-Heavy"/>
          <w:b/>
          <w:bCs/>
          <w:color w:val="auto"/>
          <w:kern w:val="0"/>
          <w:szCs w:val="21"/>
          <w:highlight w:val="none"/>
        </w:rPr>
        <w:t>表</w:t>
      </w:r>
      <w:r>
        <w:rPr>
          <w:rFonts w:hint="eastAsia" w:cs="Futura-Heavy"/>
          <w:b/>
          <w:bCs/>
          <w:color w:val="auto"/>
          <w:kern w:val="0"/>
          <w:szCs w:val="21"/>
          <w:highlight w:val="none"/>
          <w:lang w:val="en-US" w:eastAsia="zh-CN"/>
        </w:rPr>
        <w:t>六</w:t>
      </w:r>
      <w:r>
        <w:rPr>
          <w:rFonts w:hint="eastAsia" w:cs="Futura-Heavy"/>
          <w:b/>
          <w:bCs/>
          <w:color w:val="auto"/>
          <w:kern w:val="0"/>
          <w:szCs w:val="21"/>
          <w:highlight w:val="none"/>
        </w:rPr>
        <w:t>：价格</w:t>
      </w:r>
      <w:r>
        <w:rPr>
          <w:rFonts w:cs="Futura-Heavy"/>
          <w:b/>
          <w:bCs/>
          <w:color w:val="auto"/>
          <w:kern w:val="0"/>
          <w:szCs w:val="21"/>
          <w:highlight w:val="none"/>
        </w:rPr>
        <w:t>评分细则</w:t>
      </w:r>
      <w:r>
        <w:rPr>
          <w:rFonts w:hint="eastAsia" w:cs="Futura-Heavy"/>
          <w:b/>
          <w:bCs/>
          <w:color w:val="auto"/>
          <w:kern w:val="0"/>
          <w:szCs w:val="21"/>
          <w:highlight w:val="none"/>
        </w:rPr>
        <w:t>表（</w:t>
      </w:r>
      <w:r>
        <w:rPr>
          <w:rFonts w:hint="eastAsia" w:cs="Futura-Heavy"/>
          <w:b/>
          <w:bCs/>
          <w:color w:val="auto"/>
          <w:kern w:val="0"/>
          <w:szCs w:val="21"/>
          <w:highlight w:val="none"/>
          <w:lang w:val="en-US" w:eastAsia="zh-CN"/>
        </w:rPr>
        <w:t>25</w:t>
      </w:r>
      <w:r>
        <w:rPr>
          <w:rFonts w:hint="eastAsia" w:cs="Futura-Heavy"/>
          <w:b/>
          <w:bCs/>
          <w:color w:val="auto"/>
          <w:kern w:val="0"/>
          <w:szCs w:val="21"/>
          <w:highlight w:val="none"/>
        </w:rPr>
        <w:t>分）</w:t>
      </w:r>
      <w:bookmarkEnd w:id="121"/>
    </w:p>
    <w:tbl>
      <w:tblPr>
        <w:tblStyle w:val="4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6"/>
        <w:gridCol w:w="1139"/>
        <w:gridCol w:w="7020"/>
        <w:gridCol w:w="859"/>
      </w:tblGrid>
      <w:tr w14:paraId="30D9A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424" w:type="pct"/>
            <w:vAlign w:val="center"/>
          </w:tcPr>
          <w:p w14:paraId="3D6680F1">
            <w:pPr>
              <w:spacing w:before="120" w:beforeLines="50" w:after="120" w:afterLines="50" w:line="240" w:lineRule="auto"/>
              <w:jc w:val="center"/>
              <w:rPr>
                <w:rFonts w:hint="eastAsia" w:cs="@文鼎CS中黑"/>
                <w:b/>
                <w:bCs/>
                <w:color w:val="auto"/>
                <w:szCs w:val="21"/>
                <w:highlight w:val="none"/>
              </w:rPr>
            </w:pPr>
            <w:r>
              <w:rPr>
                <w:rFonts w:hint="eastAsia" w:cs="@文鼎CS中黑"/>
                <w:b/>
                <w:bCs/>
                <w:color w:val="auto"/>
                <w:szCs w:val="21"/>
                <w:highlight w:val="none"/>
              </w:rPr>
              <w:t>序号</w:t>
            </w:r>
          </w:p>
        </w:tc>
        <w:tc>
          <w:tcPr>
            <w:tcW w:w="578" w:type="pct"/>
            <w:vAlign w:val="center"/>
          </w:tcPr>
          <w:p w14:paraId="14068C7F">
            <w:pPr>
              <w:spacing w:before="120" w:beforeLines="50" w:after="120" w:afterLines="50" w:line="240" w:lineRule="auto"/>
              <w:jc w:val="center"/>
              <w:rPr>
                <w:rFonts w:hint="eastAsia" w:cs="等线"/>
                <w:b/>
                <w:color w:val="auto"/>
                <w:highlight w:val="none"/>
              </w:rPr>
            </w:pPr>
            <w:r>
              <w:rPr>
                <w:rFonts w:hint="eastAsia" w:cs="等线"/>
                <w:b/>
                <w:color w:val="auto"/>
                <w:highlight w:val="none"/>
              </w:rPr>
              <w:t>评审因素</w:t>
            </w:r>
          </w:p>
        </w:tc>
        <w:tc>
          <w:tcPr>
            <w:tcW w:w="3562" w:type="pct"/>
            <w:vAlign w:val="center"/>
          </w:tcPr>
          <w:p w14:paraId="738550F7">
            <w:pPr>
              <w:spacing w:before="120" w:beforeLines="50" w:after="120" w:afterLines="50" w:line="240" w:lineRule="auto"/>
              <w:jc w:val="center"/>
              <w:rPr>
                <w:rFonts w:hint="eastAsia" w:cs="等线"/>
                <w:b/>
                <w:color w:val="auto"/>
                <w:highlight w:val="none"/>
              </w:rPr>
            </w:pPr>
            <w:r>
              <w:rPr>
                <w:rFonts w:hint="eastAsia" w:cs="等线"/>
                <w:b/>
                <w:color w:val="auto"/>
                <w:highlight w:val="none"/>
              </w:rPr>
              <w:t>评审标准</w:t>
            </w:r>
          </w:p>
        </w:tc>
        <w:tc>
          <w:tcPr>
            <w:tcW w:w="436" w:type="pct"/>
            <w:vAlign w:val="center"/>
          </w:tcPr>
          <w:p w14:paraId="2B74DC48">
            <w:pPr>
              <w:spacing w:before="120" w:beforeLines="50" w:after="120" w:afterLines="50" w:line="240" w:lineRule="auto"/>
              <w:jc w:val="center"/>
              <w:rPr>
                <w:rFonts w:hint="eastAsia"/>
                <w:color w:val="auto"/>
                <w:szCs w:val="21"/>
                <w:highlight w:val="none"/>
              </w:rPr>
            </w:pPr>
            <w:r>
              <w:rPr>
                <w:rFonts w:hint="eastAsia" w:cs="@文鼎CS中黑"/>
                <w:b/>
                <w:bCs/>
                <w:color w:val="auto"/>
                <w:szCs w:val="21"/>
                <w:highlight w:val="none"/>
              </w:rPr>
              <w:t>分值（分）</w:t>
            </w:r>
          </w:p>
        </w:tc>
      </w:tr>
      <w:tr w14:paraId="23997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 w:hRule="atLeast"/>
          <w:jc w:val="center"/>
        </w:trPr>
        <w:tc>
          <w:tcPr>
            <w:tcW w:w="424" w:type="pct"/>
            <w:tcBorders>
              <w:bottom w:val="single" w:color="auto" w:sz="4" w:space="0"/>
            </w:tcBorders>
            <w:vAlign w:val="center"/>
          </w:tcPr>
          <w:p w14:paraId="63FACF3F">
            <w:pPr>
              <w:spacing w:before="120" w:beforeLines="50" w:after="120" w:afterLines="50" w:line="240" w:lineRule="auto"/>
              <w:jc w:val="center"/>
              <w:rPr>
                <w:rFonts w:hint="eastAsia" w:cs="Courier New"/>
                <w:color w:val="auto"/>
                <w:szCs w:val="21"/>
                <w:highlight w:val="none"/>
              </w:rPr>
            </w:pPr>
            <w:r>
              <w:rPr>
                <w:rFonts w:hint="eastAsia" w:cs="Courier New"/>
                <w:color w:val="auto"/>
                <w:szCs w:val="21"/>
                <w:highlight w:val="none"/>
              </w:rPr>
              <w:t>1</w:t>
            </w:r>
          </w:p>
        </w:tc>
        <w:tc>
          <w:tcPr>
            <w:tcW w:w="578" w:type="pct"/>
            <w:tcBorders>
              <w:bottom w:val="single" w:color="auto" w:sz="4" w:space="0"/>
            </w:tcBorders>
            <w:vAlign w:val="center"/>
          </w:tcPr>
          <w:p w14:paraId="5F66D5C3">
            <w:pPr>
              <w:spacing w:before="120" w:beforeLines="50" w:after="120" w:afterLines="50" w:line="240" w:lineRule="auto"/>
              <w:jc w:val="center"/>
              <w:rPr>
                <w:rFonts w:hint="eastAsia" w:cs="Courier New"/>
                <w:color w:val="auto"/>
                <w:szCs w:val="21"/>
                <w:highlight w:val="none"/>
              </w:rPr>
            </w:pPr>
            <w:r>
              <w:rPr>
                <w:rFonts w:hint="eastAsia" w:cs="Courier New"/>
                <w:color w:val="auto"/>
                <w:szCs w:val="21"/>
                <w:highlight w:val="none"/>
              </w:rPr>
              <w:t>价格</w:t>
            </w:r>
          </w:p>
        </w:tc>
        <w:tc>
          <w:tcPr>
            <w:tcW w:w="7020" w:type="dxa"/>
            <w:tcBorders>
              <w:bottom w:val="single" w:color="auto" w:sz="4" w:space="0"/>
            </w:tcBorders>
            <w:vAlign w:val="center"/>
          </w:tcPr>
          <w:p w14:paraId="4148E75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价格分采用低价优先法计算，即满足招标文件要求且评标价格最低的评标价格为评标基准价，其价格分为满分。其他投标人的价格分统一按照下列公式计算：</w:t>
            </w:r>
          </w:p>
          <w:p w14:paraId="24489F0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投标报价得分=(评标基准价／评标价格)×25</w:t>
            </w:r>
          </w:p>
          <w:p w14:paraId="36858BD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备注：</w:t>
            </w:r>
          </w:p>
          <w:p w14:paraId="2F5656C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因落实政府采购政策进行价格调整的，以调整后的价格计算评标基准价和投标报价,详见“价格扣除相关要求”。</w:t>
            </w:r>
          </w:p>
          <w:p w14:paraId="7B7EDEE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1"/>
                <w:szCs w:val="21"/>
                <w:highlight w:val="none"/>
                <w:u w:val="none"/>
                <w:lang w:val="en-US" w:eastAsia="zh-CN"/>
              </w:rPr>
            </w:pPr>
            <w:r>
              <w:rPr>
                <w:rFonts w:hint="eastAsia" w:ascii="宋体" w:hAnsi="宋体" w:eastAsia="宋体" w:cs="宋体"/>
                <w:color w:val="auto"/>
                <w:kern w:val="2"/>
                <w:sz w:val="21"/>
                <w:szCs w:val="21"/>
                <w:highlight w:val="none"/>
                <w:u w:val="none"/>
                <w:lang w:val="en-US" w:eastAsia="zh-CN"/>
              </w:rPr>
              <w:t>投标报价得分四舍五入后，小数点后保留两位有效数。</w:t>
            </w:r>
          </w:p>
          <w:p w14:paraId="01D280A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2"/>
                <w:sz w:val="21"/>
                <w:szCs w:val="21"/>
                <w:highlight w:val="none"/>
                <w:u w:val="none"/>
                <w:lang w:val="en-US" w:eastAsia="zh-CN"/>
              </w:rPr>
              <w:t>（3）根据财政部令第87号第六十条的规定“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tc>
        <w:tc>
          <w:tcPr>
            <w:tcW w:w="436" w:type="pct"/>
            <w:tcBorders>
              <w:bottom w:val="single" w:color="auto" w:sz="4" w:space="0"/>
            </w:tcBorders>
            <w:vAlign w:val="center"/>
          </w:tcPr>
          <w:p w14:paraId="650CBCC2">
            <w:pPr>
              <w:spacing w:before="120" w:beforeLines="50" w:after="120" w:afterLines="50"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25</w:t>
            </w:r>
          </w:p>
        </w:tc>
      </w:tr>
    </w:tbl>
    <w:p w14:paraId="385461FA">
      <w:pPr>
        <w:pStyle w:val="127"/>
        <w:keepNext w:val="0"/>
        <w:keepLines w:val="0"/>
        <w:pageBreakBefore w:val="0"/>
        <w:widowControl w:val="0"/>
        <w:numPr>
          <w:ilvl w:val="0"/>
          <w:numId w:val="0"/>
        </w:numPr>
        <w:kinsoku/>
        <w:wordWrap/>
        <w:overflowPunct/>
        <w:topLinePunct w:val="0"/>
        <w:autoSpaceDE/>
        <w:autoSpaceDN/>
        <w:bidi w:val="0"/>
        <w:ind w:left="420" w:leftChars="0" w:hanging="420" w:firstLineChars="0"/>
        <w:jc w:val="left"/>
        <w:outlineLvl w:val="9"/>
        <w:rPr>
          <w:rFonts w:hint="eastAsia" w:ascii="宋体" w:hAnsi="宋体" w:cs="Times New Roman"/>
          <w:b/>
          <w:color w:val="auto"/>
          <w:kern w:val="1"/>
          <w:sz w:val="21"/>
          <w:szCs w:val="21"/>
          <w:highlight w:val="none"/>
          <w:lang w:val="en-US" w:eastAsia="zh-CN" w:bidi="ar-SA"/>
        </w:rPr>
      </w:pPr>
    </w:p>
    <w:p w14:paraId="1A3E59EF">
      <w:pPr>
        <w:pStyle w:val="127"/>
        <w:keepNext w:val="0"/>
        <w:keepLines w:val="0"/>
        <w:pageBreakBefore w:val="0"/>
        <w:widowControl w:val="0"/>
        <w:numPr>
          <w:ilvl w:val="0"/>
          <w:numId w:val="0"/>
        </w:numPr>
        <w:kinsoku/>
        <w:wordWrap/>
        <w:overflowPunct/>
        <w:topLinePunct w:val="0"/>
        <w:autoSpaceDE/>
        <w:autoSpaceDN/>
        <w:bidi w:val="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6</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汇总、排序</w:t>
      </w:r>
    </w:p>
    <w:p w14:paraId="3B4C35E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评审结果按评审后总得分由高到低顺序排列。评审得分相同的，按最终报价由低到高顺序排列。得分且最终报价相同的，由磋商小组采取随机抽取的方式确定。排名第一的磋商供应商为第一成交候选人，排名第二的磋商供应商为第二成交候选人，以此类推。提供相同品牌产品（非单一产品采购，以核心产品为准。多个核心产品的，有一种产品品牌相同，即视为提供相同品牌产品），评审后得分最高的同品牌磋商供应商获得成交候选人推荐资格；评审得分相同的，由采购人或者采购人委托磋商小组采取随机抽取方式确定，其他同品牌磋商供应商不作为成交候选人。</w:t>
      </w:r>
    </w:p>
    <w:p w14:paraId="2DE5B405">
      <w:pPr>
        <w:pStyle w:val="127"/>
        <w:keepNext w:val="0"/>
        <w:keepLines w:val="0"/>
        <w:pageBreakBefore w:val="0"/>
        <w:widowControl w:val="0"/>
        <w:numPr>
          <w:ilvl w:val="0"/>
          <w:numId w:val="0"/>
        </w:numPr>
        <w:kinsoku/>
        <w:wordWrap/>
        <w:overflowPunct/>
        <w:topLinePunct w:val="0"/>
        <w:autoSpaceDE/>
        <w:autoSpaceDN/>
        <w:bidi w:val="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7</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编写评审报告</w:t>
      </w:r>
    </w:p>
    <w:p w14:paraId="6037F81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highlight w:val="none"/>
        </w:rPr>
        <w:t>7</w:t>
      </w:r>
      <w:r>
        <w:rPr>
          <w:color w:val="auto"/>
          <w:szCs w:val="21"/>
          <w:highlight w:val="none"/>
        </w:rPr>
        <w:t>.1</w:t>
      </w:r>
      <w:r>
        <w:rPr>
          <w:rFonts w:hint="eastAsia"/>
          <w:color w:val="auto"/>
          <w:szCs w:val="21"/>
          <w:highlight w:val="none"/>
        </w:rPr>
        <w:t>磋商小组</w:t>
      </w:r>
      <w:r>
        <w:rPr>
          <w:color w:val="auto"/>
          <w:szCs w:val="21"/>
          <w:highlight w:val="none"/>
        </w:rPr>
        <w:t>根据全体评</w:t>
      </w:r>
      <w:r>
        <w:rPr>
          <w:rFonts w:hint="eastAsia"/>
          <w:color w:val="auto"/>
          <w:highlight w:val="none"/>
        </w:rPr>
        <w:t>审</w:t>
      </w:r>
      <w:r>
        <w:rPr>
          <w:color w:val="auto"/>
          <w:szCs w:val="21"/>
          <w:highlight w:val="none"/>
        </w:rPr>
        <w:t>成员签字的原始评标记录和评</w:t>
      </w:r>
      <w:r>
        <w:rPr>
          <w:rFonts w:hint="eastAsia"/>
          <w:color w:val="auto"/>
          <w:szCs w:val="21"/>
          <w:highlight w:val="none"/>
        </w:rPr>
        <w:t>审</w:t>
      </w:r>
      <w:r>
        <w:rPr>
          <w:color w:val="auto"/>
          <w:szCs w:val="21"/>
          <w:highlight w:val="none"/>
        </w:rPr>
        <w:t>结果编写评</w:t>
      </w:r>
      <w:r>
        <w:rPr>
          <w:rFonts w:hint="eastAsia"/>
          <w:color w:val="auto"/>
          <w:szCs w:val="21"/>
          <w:highlight w:val="none"/>
        </w:rPr>
        <w:t>审</w:t>
      </w:r>
      <w:r>
        <w:rPr>
          <w:color w:val="auto"/>
          <w:szCs w:val="21"/>
          <w:highlight w:val="none"/>
        </w:rPr>
        <w:t>报告。</w:t>
      </w:r>
    </w:p>
    <w:p w14:paraId="5E36314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highlight w:val="none"/>
        </w:rPr>
        <w:t>7</w:t>
      </w:r>
      <w:r>
        <w:rPr>
          <w:color w:val="auto"/>
          <w:szCs w:val="21"/>
          <w:highlight w:val="none"/>
        </w:rPr>
        <w:t>.2</w:t>
      </w:r>
      <w:r>
        <w:rPr>
          <w:rFonts w:hint="eastAsia"/>
          <w:color w:val="auto"/>
          <w:highlight w:val="none"/>
        </w:rPr>
        <w:t>磋商</w:t>
      </w:r>
      <w:r>
        <w:rPr>
          <w:rFonts w:hint="eastAsia"/>
          <w:color w:val="auto"/>
          <w:szCs w:val="21"/>
          <w:highlight w:val="none"/>
        </w:rPr>
        <w:t>小组</w:t>
      </w:r>
      <w:r>
        <w:rPr>
          <w:color w:val="auto"/>
          <w:szCs w:val="21"/>
          <w:highlight w:val="none"/>
        </w:rPr>
        <w:t>成员对需要共同认定的事项存在争议的，应当按照少数服从多数的原则</w:t>
      </w:r>
      <w:r>
        <w:rPr>
          <w:rFonts w:hint="eastAsia"/>
          <w:color w:val="auto"/>
          <w:szCs w:val="21"/>
          <w:highlight w:val="none"/>
        </w:rPr>
        <w:t>作出</w:t>
      </w:r>
      <w:r>
        <w:rPr>
          <w:color w:val="auto"/>
          <w:szCs w:val="21"/>
          <w:highlight w:val="none"/>
        </w:rPr>
        <w:t>结论。持不同意见的</w:t>
      </w:r>
      <w:r>
        <w:rPr>
          <w:rFonts w:hint="eastAsia"/>
          <w:color w:val="auto"/>
          <w:highlight w:val="none"/>
        </w:rPr>
        <w:t>协商</w:t>
      </w:r>
      <w:r>
        <w:rPr>
          <w:rFonts w:hint="eastAsia"/>
          <w:color w:val="auto"/>
          <w:szCs w:val="21"/>
          <w:highlight w:val="none"/>
        </w:rPr>
        <w:t>小组</w:t>
      </w:r>
      <w:r>
        <w:rPr>
          <w:color w:val="auto"/>
          <w:szCs w:val="21"/>
          <w:highlight w:val="none"/>
        </w:rPr>
        <w:t>成员应当在评</w:t>
      </w:r>
      <w:r>
        <w:rPr>
          <w:rFonts w:hint="eastAsia"/>
          <w:color w:val="auto"/>
          <w:szCs w:val="21"/>
          <w:highlight w:val="none"/>
        </w:rPr>
        <w:t>审</w:t>
      </w:r>
      <w:r>
        <w:rPr>
          <w:color w:val="auto"/>
          <w:szCs w:val="21"/>
          <w:highlight w:val="none"/>
        </w:rPr>
        <w:t>报告上签署不同意见及理由，否则视为同意评</w:t>
      </w:r>
      <w:r>
        <w:rPr>
          <w:rFonts w:hint="eastAsia"/>
          <w:color w:val="auto"/>
          <w:szCs w:val="21"/>
          <w:highlight w:val="none"/>
        </w:rPr>
        <w:t>审</w:t>
      </w:r>
      <w:r>
        <w:rPr>
          <w:color w:val="auto"/>
          <w:szCs w:val="21"/>
          <w:highlight w:val="none"/>
        </w:rPr>
        <w:t>报告。</w:t>
      </w:r>
    </w:p>
    <w:p w14:paraId="75BBA2B2">
      <w:pPr>
        <w:pStyle w:val="127"/>
        <w:keepNext w:val="0"/>
        <w:keepLines w:val="0"/>
        <w:pageBreakBefore w:val="0"/>
        <w:widowControl w:val="0"/>
        <w:numPr>
          <w:ilvl w:val="0"/>
          <w:numId w:val="0"/>
        </w:numPr>
        <w:kinsoku/>
        <w:wordWrap/>
        <w:overflowPunct/>
        <w:topLinePunct w:val="0"/>
        <w:autoSpaceDE/>
        <w:autoSpaceDN/>
        <w:bidi w:val="0"/>
        <w:ind w:left="420" w:leftChars="0" w:hanging="420" w:firstLineChars="0"/>
        <w:jc w:val="left"/>
        <w:outlineLvl w:val="2"/>
        <w:rPr>
          <w:rFonts w:hint="eastAsia" w:ascii="宋体" w:hAnsi="宋体"/>
          <w:b/>
          <w:color w:val="auto"/>
          <w:szCs w:val="21"/>
          <w:highlight w:val="none"/>
          <w:lang w:eastAsia="zh-CN"/>
        </w:rPr>
      </w:pPr>
      <w:r>
        <w:rPr>
          <w:rFonts w:hint="eastAsia" w:ascii="宋体" w:hAnsi="宋体" w:cs="Times New Roman"/>
          <w:b/>
          <w:color w:val="auto"/>
          <w:kern w:val="1"/>
          <w:sz w:val="21"/>
          <w:szCs w:val="21"/>
          <w:highlight w:val="none"/>
          <w:lang w:val="en-US" w:eastAsia="zh-CN" w:bidi="ar-SA"/>
        </w:rPr>
        <w:t>8</w:t>
      </w:r>
      <w:r>
        <w:rPr>
          <w:rFonts w:hint="eastAsia" w:ascii="宋体" w:hAnsi="宋体" w:eastAsia="宋体" w:cs="Times New Roman"/>
          <w:b/>
          <w:color w:val="auto"/>
          <w:kern w:val="1"/>
          <w:sz w:val="21"/>
          <w:szCs w:val="21"/>
          <w:highlight w:val="none"/>
          <w:lang w:val="en-US" w:eastAsia="zh-CN" w:bidi="ar-SA"/>
        </w:rPr>
        <w:t>.</w:t>
      </w:r>
      <w:r>
        <w:rPr>
          <w:rFonts w:hint="eastAsia" w:ascii="宋体" w:hAnsi="宋体"/>
          <w:b/>
          <w:color w:val="auto"/>
          <w:szCs w:val="21"/>
          <w:highlight w:val="none"/>
          <w:lang w:eastAsia="zh-CN"/>
        </w:rPr>
        <w:t>其他无效响应的情形</w:t>
      </w:r>
    </w:p>
    <w:p w14:paraId="42E1474C">
      <w:pPr>
        <w:keepNext w:val="0"/>
        <w:keepLines w:val="0"/>
        <w:pageBreakBefore w:val="0"/>
        <w:widowControl w:val="0"/>
        <w:kinsoku/>
        <w:wordWrap/>
        <w:overflowPunct/>
        <w:topLinePunct w:val="0"/>
        <w:autoSpaceDE/>
        <w:autoSpaceDN/>
        <w:bidi w:val="0"/>
        <w:ind w:firstLine="420" w:firstLineChars="200"/>
        <w:jc w:val="left"/>
        <w:rPr>
          <w:rFonts w:hint="eastAsia"/>
          <w:color w:val="auto"/>
          <w:highlight w:val="none"/>
        </w:rPr>
      </w:pPr>
      <w:r>
        <w:rPr>
          <w:rFonts w:hint="eastAsia"/>
          <w:color w:val="auto"/>
          <w:highlight w:val="none"/>
        </w:rPr>
        <w:t>8.1评审期间，供应商没有按磋商小组的要求提交法定代表人或其委托代理人签字的澄清、说明、补正或改变了响应文件的实质性内容的。</w:t>
      </w:r>
    </w:p>
    <w:p w14:paraId="57790AB2">
      <w:pPr>
        <w:keepNext w:val="0"/>
        <w:keepLines w:val="0"/>
        <w:pageBreakBefore w:val="0"/>
        <w:widowControl w:val="0"/>
        <w:kinsoku/>
        <w:wordWrap/>
        <w:overflowPunct/>
        <w:topLinePunct w:val="0"/>
        <w:autoSpaceDE/>
        <w:autoSpaceDN/>
        <w:bidi w:val="0"/>
        <w:ind w:firstLine="420" w:firstLineChars="200"/>
        <w:jc w:val="left"/>
        <w:rPr>
          <w:rFonts w:hint="eastAsia"/>
          <w:color w:val="auto"/>
          <w:highlight w:val="none"/>
        </w:rPr>
      </w:pPr>
      <w:r>
        <w:rPr>
          <w:rFonts w:hint="eastAsia"/>
          <w:color w:val="auto"/>
          <w:highlight w:val="none"/>
        </w:rPr>
        <w:t>8.2响应文件提供虚假材料的。</w:t>
      </w:r>
    </w:p>
    <w:p w14:paraId="599C3191">
      <w:pPr>
        <w:keepNext w:val="0"/>
        <w:keepLines w:val="0"/>
        <w:pageBreakBefore w:val="0"/>
        <w:widowControl w:val="0"/>
        <w:kinsoku/>
        <w:wordWrap/>
        <w:overflowPunct/>
        <w:topLinePunct w:val="0"/>
        <w:autoSpaceDE/>
        <w:autoSpaceDN/>
        <w:bidi w:val="0"/>
        <w:ind w:firstLine="420" w:firstLineChars="200"/>
        <w:jc w:val="left"/>
        <w:rPr>
          <w:rFonts w:hint="eastAsia"/>
          <w:color w:val="auto"/>
          <w:highlight w:val="none"/>
        </w:rPr>
      </w:pPr>
      <w:r>
        <w:rPr>
          <w:rFonts w:hint="eastAsia"/>
          <w:color w:val="auto"/>
          <w:highlight w:val="none"/>
        </w:rPr>
        <w:t>8.3供应商以他人名义响应、串通响应、以行贿手段谋取成交或者以其他弄虚作假方式响应的。</w:t>
      </w:r>
    </w:p>
    <w:p w14:paraId="58267EE3">
      <w:pPr>
        <w:keepNext w:val="0"/>
        <w:keepLines w:val="0"/>
        <w:pageBreakBefore w:val="0"/>
        <w:widowControl w:val="0"/>
        <w:kinsoku/>
        <w:wordWrap/>
        <w:overflowPunct/>
        <w:topLinePunct w:val="0"/>
        <w:autoSpaceDE/>
        <w:autoSpaceDN/>
        <w:bidi w:val="0"/>
        <w:ind w:firstLine="420" w:firstLineChars="200"/>
        <w:jc w:val="left"/>
        <w:rPr>
          <w:rFonts w:hint="eastAsia"/>
          <w:color w:val="auto"/>
          <w:highlight w:val="none"/>
        </w:rPr>
      </w:pPr>
      <w:r>
        <w:rPr>
          <w:rFonts w:hint="eastAsia"/>
          <w:color w:val="auto"/>
          <w:highlight w:val="none"/>
        </w:rPr>
        <w:t>8.4供应商对采购人、采购代理机构、磋商小组及其工作人员施加影响，有碍招标公平、公正的。</w:t>
      </w:r>
    </w:p>
    <w:p w14:paraId="57DEA3EE">
      <w:pPr>
        <w:keepNext w:val="0"/>
        <w:keepLines w:val="0"/>
        <w:pageBreakBefore w:val="0"/>
        <w:widowControl w:val="0"/>
        <w:kinsoku/>
        <w:wordWrap/>
        <w:overflowPunct/>
        <w:topLinePunct w:val="0"/>
        <w:autoSpaceDE/>
        <w:autoSpaceDN/>
        <w:bidi w:val="0"/>
        <w:ind w:firstLine="420" w:firstLineChars="200"/>
        <w:jc w:val="left"/>
        <w:rPr>
          <w:rFonts w:hint="eastAsia"/>
          <w:color w:val="auto"/>
          <w:highlight w:val="none"/>
        </w:rPr>
      </w:pPr>
      <w:r>
        <w:rPr>
          <w:rFonts w:hint="eastAsia"/>
          <w:color w:val="auto"/>
          <w:highlight w:val="none"/>
        </w:rPr>
        <w:t>8.5响应文件含有采购人不能接受的附加条件的。</w:t>
      </w:r>
    </w:p>
    <w:p w14:paraId="26811F29">
      <w:pPr>
        <w:keepNext w:val="0"/>
        <w:keepLines w:val="0"/>
        <w:pageBreakBefore w:val="0"/>
        <w:widowControl w:val="0"/>
        <w:kinsoku/>
        <w:wordWrap/>
        <w:overflowPunct/>
        <w:topLinePunct w:val="0"/>
        <w:autoSpaceDE/>
        <w:autoSpaceDN/>
        <w:bidi w:val="0"/>
        <w:ind w:firstLine="420" w:firstLineChars="200"/>
        <w:jc w:val="left"/>
        <w:rPr>
          <w:rFonts w:hint="eastAsia"/>
          <w:color w:val="auto"/>
          <w:highlight w:val="none"/>
        </w:rPr>
      </w:pPr>
      <w:r>
        <w:rPr>
          <w:rFonts w:hint="eastAsia"/>
          <w:color w:val="auto"/>
          <w:highlight w:val="none"/>
        </w:rPr>
        <w:t>8.6法律、法规和磋商文件规定的其他无效情形。</w:t>
      </w:r>
    </w:p>
    <w:p w14:paraId="6E8CAE91">
      <w:pPr>
        <w:keepNext w:val="0"/>
        <w:keepLines w:val="0"/>
        <w:pageBreakBefore w:val="0"/>
        <w:widowControl w:val="0"/>
        <w:kinsoku/>
        <w:wordWrap/>
        <w:overflowPunct/>
        <w:topLinePunct w:val="0"/>
        <w:autoSpaceDE/>
        <w:autoSpaceDN/>
        <w:bidi w:val="0"/>
        <w:jc w:val="left"/>
        <w:rPr>
          <w:rFonts w:hint="eastAsia"/>
          <w:color w:val="auto"/>
          <w:highlight w:val="none"/>
        </w:rPr>
      </w:pPr>
    </w:p>
    <w:p w14:paraId="6A9A8247">
      <w:pPr>
        <w:keepNext w:val="0"/>
        <w:keepLines w:val="0"/>
        <w:pageBreakBefore w:val="0"/>
        <w:widowControl w:val="0"/>
        <w:kinsoku/>
        <w:wordWrap/>
        <w:overflowPunct/>
        <w:topLinePunct w:val="0"/>
        <w:autoSpaceDE/>
        <w:autoSpaceDN/>
        <w:bidi w:val="0"/>
        <w:jc w:val="left"/>
        <w:rPr>
          <w:rFonts w:hint="eastAsia"/>
          <w:color w:val="auto"/>
          <w:sz w:val="28"/>
          <w:highlight w:val="none"/>
        </w:rPr>
      </w:pPr>
      <w:r>
        <w:rPr>
          <w:color w:val="auto"/>
          <w:highlight w:val="none"/>
        </w:rPr>
        <w:br w:type="page"/>
      </w:r>
    </w:p>
    <w:p w14:paraId="32CC0612">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122" w:name="_Toc103216637"/>
      <w:bookmarkStart w:id="123" w:name="_Toc104040700"/>
      <w:bookmarkStart w:id="124" w:name="_Toc103033216"/>
      <w:bookmarkStart w:id="125" w:name="_Toc102936915"/>
      <w:bookmarkStart w:id="126" w:name="_Toc104040754"/>
      <w:bookmarkStart w:id="127" w:name="_Toc8897"/>
      <w:r>
        <w:rPr>
          <w:rFonts w:hint="eastAsia" w:eastAsia="宋体"/>
          <w:color w:val="auto"/>
          <w:sz w:val="24"/>
          <w:szCs w:val="24"/>
          <w:highlight w:val="none"/>
        </w:rPr>
        <w:t>第五章 合同文本</w:t>
      </w:r>
      <w:bookmarkEnd w:id="112"/>
      <w:bookmarkEnd w:id="113"/>
      <w:bookmarkEnd w:id="114"/>
      <w:bookmarkEnd w:id="122"/>
      <w:bookmarkEnd w:id="123"/>
      <w:bookmarkEnd w:id="124"/>
      <w:bookmarkEnd w:id="125"/>
      <w:bookmarkEnd w:id="126"/>
      <w:bookmarkEnd w:id="127"/>
      <w:bookmarkStart w:id="128" w:name="_Toc496780387"/>
      <w:bookmarkStart w:id="129" w:name="_Toc454979452"/>
      <w:bookmarkStart w:id="130" w:name="_Toc22308"/>
      <w:bookmarkStart w:id="131" w:name="_Toc453663167"/>
      <w:bookmarkStart w:id="132" w:name="_Toc481009509"/>
      <w:bookmarkStart w:id="133" w:name="_Toc531617908"/>
      <w:bookmarkStart w:id="134" w:name="_Toc37919883"/>
      <w:bookmarkStart w:id="135" w:name="_Toc432067248"/>
      <w:bookmarkStart w:id="136" w:name="_Toc3387032"/>
      <w:bookmarkStart w:id="137" w:name="_Toc20383"/>
      <w:bookmarkStart w:id="138" w:name="_Toc314746649"/>
      <w:bookmarkStart w:id="139" w:name="_Toc76397758"/>
      <w:bookmarkStart w:id="140" w:name="_Toc67046890"/>
      <w:bookmarkStart w:id="141" w:name="_Toc68789522"/>
      <w:bookmarkStart w:id="142" w:name="_Toc42923379"/>
      <w:bookmarkStart w:id="143" w:name="_Toc70528477"/>
      <w:bookmarkStart w:id="144" w:name="_Toc70528447"/>
      <w:bookmarkStart w:id="145" w:name="_Toc49508359"/>
    </w:p>
    <w:p w14:paraId="480E8BD9">
      <w:pPr>
        <w:pStyle w:val="23"/>
        <w:keepNext w:val="0"/>
        <w:keepLines w:val="0"/>
        <w:pageBreakBefore w:val="0"/>
        <w:widowControl w:val="0"/>
        <w:kinsoku/>
        <w:wordWrap/>
        <w:overflowPunct/>
        <w:topLinePunct w:val="0"/>
        <w:autoSpaceDE/>
        <w:autoSpaceDN/>
        <w:bidi w:val="0"/>
        <w:rPr>
          <w:rFonts w:hint="eastAsia" w:hAnsi="宋体" w:eastAsia="宋体" w:cs="仿宋"/>
          <w:color w:val="auto"/>
          <w:sz w:val="24"/>
          <w:szCs w:val="24"/>
          <w:highlight w:val="none"/>
        </w:rPr>
      </w:pPr>
    </w:p>
    <w:bookmarkEnd w:id="128"/>
    <w:bookmarkEnd w:id="129"/>
    <w:bookmarkEnd w:id="130"/>
    <w:bookmarkEnd w:id="131"/>
    <w:bookmarkEnd w:id="132"/>
    <w:bookmarkEnd w:id="133"/>
    <w:bookmarkEnd w:id="134"/>
    <w:bookmarkEnd w:id="135"/>
    <w:bookmarkEnd w:id="136"/>
    <w:bookmarkEnd w:id="137"/>
    <w:p w14:paraId="378479D0">
      <w:pPr>
        <w:spacing w:line="360" w:lineRule="auto"/>
        <w:jc w:val="center"/>
        <w:rPr>
          <w:rFonts w:hint="eastAsia" w:ascii="方正公文小标宋" w:hAnsi="方正公文小标宋" w:eastAsia="方正公文小标宋" w:cs="方正公文小标宋"/>
          <w:bCs/>
          <w:color w:val="auto"/>
          <w:sz w:val="44"/>
          <w:szCs w:val="44"/>
          <w:highlight w:val="none"/>
        </w:rPr>
      </w:pPr>
    </w:p>
    <w:p w14:paraId="768538DA">
      <w:pPr>
        <w:spacing w:line="360" w:lineRule="auto"/>
        <w:jc w:val="center"/>
        <w:rPr>
          <w:rFonts w:hint="eastAsia" w:ascii="方正公文小标宋" w:hAnsi="方正公文小标宋" w:eastAsia="方正公文小标宋" w:cs="方正公文小标宋"/>
          <w:bCs/>
          <w:color w:val="auto"/>
          <w:sz w:val="44"/>
          <w:szCs w:val="44"/>
          <w:highlight w:val="none"/>
        </w:rPr>
      </w:pPr>
    </w:p>
    <w:p w14:paraId="4A98E97D">
      <w:pPr>
        <w:spacing w:line="360" w:lineRule="auto"/>
        <w:jc w:val="center"/>
        <w:rPr>
          <w:rFonts w:hint="eastAsia" w:ascii="方正公文小标宋" w:hAnsi="方正公文小标宋" w:eastAsia="方正公文小标宋" w:cs="方正公文小标宋"/>
          <w:bCs/>
          <w:color w:val="auto"/>
          <w:sz w:val="44"/>
          <w:szCs w:val="44"/>
          <w:highlight w:val="none"/>
        </w:rPr>
      </w:pPr>
    </w:p>
    <w:p w14:paraId="369CC5AD">
      <w:pPr>
        <w:spacing w:line="360" w:lineRule="auto"/>
        <w:jc w:val="center"/>
        <w:rPr>
          <w:rFonts w:hint="eastAsia" w:ascii="方正公文小标宋" w:hAnsi="方正公文小标宋" w:eastAsia="方正公文小标宋" w:cs="方正公文小标宋"/>
          <w:bCs/>
          <w:color w:val="auto"/>
          <w:sz w:val="44"/>
          <w:szCs w:val="44"/>
          <w:highlight w:val="none"/>
        </w:rPr>
      </w:pPr>
    </w:p>
    <w:p w14:paraId="5AFD0B7E">
      <w:pPr>
        <w:spacing w:line="360" w:lineRule="auto"/>
        <w:ind w:left="840" w:leftChars="400" w:right="817" w:rightChars="389" w:firstLine="0" w:firstLineChars="0"/>
        <w:jc w:val="center"/>
        <w:rPr>
          <w:rFonts w:hint="eastAsia" w:ascii="方正公文小标宋" w:hAnsi="方正公文小标宋" w:eastAsia="方正公文小标宋" w:cs="方正公文小标宋"/>
          <w:bCs/>
          <w:color w:val="auto"/>
          <w:sz w:val="44"/>
          <w:szCs w:val="44"/>
          <w:highlight w:val="none"/>
        </w:rPr>
      </w:pPr>
      <w:r>
        <w:rPr>
          <w:rFonts w:hint="eastAsia" w:ascii="方正公文小标宋" w:hAnsi="方正公文小标宋" w:eastAsia="方正公文小标宋" w:cs="方正公文小标宋"/>
          <w:bCs/>
          <w:color w:val="auto"/>
          <w:sz w:val="44"/>
          <w:szCs w:val="44"/>
          <w:highlight w:val="none"/>
        </w:rPr>
        <w:t>中华人民共和国青茂出入境边防检查站2026年度食堂食材配送服务采购项目</w:t>
      </w:r>
    </w:p>
    <w:p w14:paraId="3DCD7614">
      <w:pPr>
        <w:spacing w:line="360" w:lineRule="auto"/>
        <w:ind w:left="840" w:leftChars="400" w:right="817" w:rightChars="389" w:firstLine="0" w:firstLineChars="0"/>
        <w:jc w:val="center"/>
        <w:rPr>
          <w:rFonts w:hint="eastAsia" w:ascii="方正公文小标宋" w:hAnsi="方正公文小标宋" w:eastAsia="方正公文小标宋" w:cs="方正公文小标宋"/>
          <w:bCs/>
          <w:color w:val="auto"/>
          <w:sz w:val="44"/>
          <w:szCs w:val="44"/>
          <w:highlight w:val="none"/>
        </w:rPr>
      </w:pPr>
      <w:r>
        <w:rPr>
          <w:rFonts w:hint="eastAsia" w:ascii="方正公文小标宋" w:hAnsi="方正公文小标宋" w:eastAsia="方正公文小标宋" w:cs="方正公文小标宋"/>
          <w:bCs/>
          <w:color w:val="auto"/>
          <w:sz w:val="44"/>
          <w:szCs w:val="44"/>
          <w:highlight w:val="none"/>
        </w:rPr>
        <w:t>合同</w:t>
      </w:r>
    </w:p>
    <w:p w14:paraId="04616419">
      <w:pPr>
        <w:spacing w:line="360" w:lineRule="auto"/>
        <w:jc w:val="center"/>
        <w:rPr>
          <w:rFonts w:hint="eastAsia" w:ascii="方正公文小标宋" w:hAnsi="方正公文小标宋" w:eastAsia="方正公文小标宋" w:cs="方正公文小标宋"/>
          <w:bCs/>
          <w:color w:val="auto"/>
          <w:sz w:val="44"/>
          <w:szCs w:val="44"/>
          <w:highlight w:val="none"/>
        </w:rPr>
      </w:pPr>
    </w:p>
    <w:p w14:paraId="7DBB98D7">
      <w:pPr>
        <w:spacing w:line="360" w:lineRule="auto"/>
        <w:rPr>
          <w:rFonts w:hint="eastAsia" w:ascii="仿宋_GB2312" w:hAnsi="仿宋_GB2312" w:eastAsia="仿宋_GB2312" w:cs="仿宋_GB2312"/>
          <w:color w:val="auto"/>
          <w:sz w:val="28"/>
          <w:szCs w:val="28"/>
          <w:highlight w:val="none"/>
          <w:u w:val="single"/>
        </w:rPr>
      </w:pPr>
    </w:p>
    <w:p w14:paraId="5ABF58F5">
      <w:pPr>
        <w:spacing w:line="360" w:lineRule="auto"/>
        <w:ind w:left="1679" w:leftChars="133" w:hanging="1400" w:hangingChars="500"/>
        <w:rPr>
          <w:rFonts w:hint="eastAsia" w:ascii="仿宋_GB2312" w:hAnsi="仿宋_GB2312" w:eastAsia="仿宋_GB2312" w:cs="仿宋_GB2312"/>
          <w:color w:val="auto"/>
          <w:sz w:val="28"/>
          <w:szCs w:val="28"/>
          <w:highlight w:val="none"/>
        </w:rPr>
      </w:pPr>
    </w:p>
    <w:p w14:paraId="21C48C71">
      <w:pPr>
        <w:spacing w:line="360" w:lineRule="auto"/>
        <w:ind w:left="1679" w:leftChars="133" w:hanging="1400" w:hangingChars="500"/>
        <w:rPr>
          <w:rFonts w:hint="eastAsia" w:ascii="仿宋_GB2312" w:hAnsi="仿宋_GB2312" w:eastAsia="仿宋_GB2312" w:cs="仿宋_GB2312"/>
          <w:color w:val="auto"/>
          <w:sz w:val="28"/>
          <w:szCs w:val="28"/>
          <w:highlight w:val="none"/>
        </w:rPr>
      </w:pPr>
    </w:p>
    <w:p w14:paraId="6B64B4D7">
      <w:pPr>
        <w:spacing w:line="360" w:lineRule="auto"/>
        <w:ind w:left="1679" w:leftChars="133" w:hanging="1400" w:hangingChars="500"/>
        <w:rPr>
          <w:rFonts w:hint="eastAsia" w:ascii="Times New Roman" w:hAnsi="Times New Roman" w:eastAsia="仿宋"/>
          <w:color w:val="auto"/>
          <w:sz w:val="28"/>
          <w:szCs w:val="28"/>
          <w:highlight w:val="none"/>
        </w:rPr>
      </w:pPr>
    </w:p>
    <w:p w14:paraId="1AD4A85A">
      <w:pPr>
        <w:spacing w:line="360" w:lineRule="auto"/>
        <w:ind w:left="2937" w:leftChars="703" w:right="1657" w:rightChars="789" w:hanging="1461" w:hangingChars="522"/>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项目名称：</w:t>
      </w:r>
      <w:r>
        <w:rPr>
          <w:rFonts w:ascii="Times New Roman" w:hAnsi="Times New Roman" w:eastAsia="仿宋"/>
          <w:color w:val="auto"/>
          <w:sz w:val="28"/>
          <w:szCs w:val="28"/>
          <w:highlight w:val="none"/>
        </w:rPr>
        <w:t>中华人民共和国青茂出入境边防检查站202</w:t>
      </w:r>
      <w:r>
        <w:rPr>
          <w:rFonts w:hint="eastAsia" w:ascii="Times New Roman" w:hAnsi="Times New Roman" w:eastAsia="仿宋"/>
          <w:color w:val="auto"/>
          <w:sz w:val="28"/>
          <w:szCs w:val="28"/>
          <w:highlight w:val="none"/>
        </w:rPr>
        <w:t>6</w:t>
      </w:r>
      <w:r>
        <w:rPr>
          <w:rFonts w:ascii="Times New Roman" w:hAnsi="Times New Roman" w:eastAsia="仿宋"/>
          <w:color w:val="auto"/>
          <w:sz w:val="28"/>
          <w:szCs w:val="28"/>
          <w:highlight w:val="none"/>
        </w:rPr>
        <w:t>年度食堂食材配送服务采购项目</w:t>
      </w:r>
    </w:p>
    <w:p w14:paraId="1CF0A8C6">
      <w:pPr>
        <w:spacing w:line="360" w:lineRule="auto"/>
        <w:ind w:left="2937" w:leftChars="703" w:right="1657" w:rightChars="789" w:hanging="1461" w:hangingChars="522"/>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签订地点：广东省珠海市香洲区</w:t>
      </w:r>
    </w:p>
    <w:p w14:paraId="3640BB5C">
      <w:pPr>
        <w:spacing w:line="360" w:lineRule="auto"/>
        <w:ind w:left="2937" w:leftChars="703" w:right="1657" w:rightChars="789" w:hanging="1461" w:hangingChars="522"/>
        <w:rPr>
          <w:rFonts w:hint="eastAsia" w:ascii="Times New Roman" w:hAnsi="Times New Roman" w:eastAsia="仿宋"/>
          <w:b/>
          <w:bCs/>
          <w:color w:val="auto"/>
          <w:sz w:val="28"/>
          <w:szCs w:val="28"/>
          <w:highlight w:val="none"/>
        </w:rPr>
      </w:pPr>
      <w:r>
        <w:rPr>
          <w:rFonts w:ascii="Times New Roman" w:hAnsi="Times New Roman" w:eastAsia="仿宋"/>
          <w:color w:val="auto"/>
          <w:sz w:val="28"/>
          <w:szCs w:val="28"/>
          <w:highlight w:val="none"/>
        </w:rPr>
        <w:t>签订日期：    年    月    日</w:t>
      </w:r>
    </w:p>
    <w:p w14:paraId="40274663">
      <w:pPr>
        <w:spacing w:line="360" w:lineRule="auto"/>
        <w:rPr>
          <w:rFonts w:ascii="Times New Roman" w:hAnsi="Times New Roman" w:eastAsia="仿宋"/>
          <w:b/>
          <w:bCs/>
          <w:color w:val="auto"/>
          <w:sz w:val="28"/>
          <w:szCs w:val="28"/>
          <w:highlight w:val="none"/>
        </w:rPr>
        <w:sectPr>
          <w:footerReference r:id="rId13" w:type="first"/>
          <w:footerReference r:id="rId12" w:type="default"/>
          <w:pgSz w:w="11906" w:h="16838"/>
          <w:pgMar w:top="1134" w:right="1134" w:bottom="1134" w:left="1134" w:header="426" w:footer="751" w:gutter="0"/>
          <w:paperSrc w:first="7"/>
          <w:pgNumType w:fmt="decimal"/>
          <w:cols w:space="0" w:num="1"/>
          <w:titlePg/>
          <w:rtlGutter w:val="0"/>
          <w:docGrid w:linePitch="312" w:charSpace="0"/>
        </w:sectPr>
      </w:pPr>
    </w:p>
    <w:p w14:paraId="5D501215">
      <w:pPr>
        <w:spacing w:line="360" w:lineRule="auto"/>
        <w:rPr>
          <w:rFonts w:ascii="Times New Roman" w:hAnsi="Times New Roman" w:eastAsia="仿宋"/>
          <w:b/>
          <w:bCs/>
          <w:color w:val="auto"/>
          <w:sz w:val="28"/>
          <w:szCs w:val="28"/>
          <w:highlight w:val="none"/>
        </w:rPr>
      </w:pPr>
      <w:r>
        <w:rPr>
          <w:rFonts w:ascii="Times New Roman" w:hAnsi="Times New Roman" w:eastAsia="仿宋"/>
          <w:b/>
          <w:bCs/>
          <w:color w:val="auto"/>
          <w:sz w:val="28"/>
          <w:szCs w:val="28"/>
          <w:highlight w:val="none"/>
        </w:rPr>
        <w:t>甲方（</w:t>
      </w:r>
      <w:r>
        <w:rPr>
          <w:rFonts w:ascii="Times New Roman" w:hAnsi="Times New Roman" w:eastAsia="仿宋"/>
          <w:b/>
          <w:bCs/>
          <w:color w:val="auto"/>
          <w:sz w:val="28"/>
          <w:szCs w:val="28"/>
          <w:highlight w:val="none"/>
          <w:lang w:eastAsia="zh-Hans"/>
        </w:rPr>
        <w:t>采购</w:t>
      </w:r>
      <w:r>
        <w:rPr>
          <w:rFonts w:ascii="Times New Roman" w:hAnsi="Times New Roman" w:eastAsia="仿宋"/>
          <w:b/>
          <w:bCs/>
          <w:color w:val="auto"/>
          <w:sz w:val="28"/>
          <w:szCs w:val="28"/>
          <w:highlight w:val="none"/>
        </w:rPr>
        <w:t>人）：中华人民共和国青茂出入境边防检查站</w:t>
      </w:r>
    </w:p>
    <w:p w14:paraId="5C880921">
      <w:pPr>
        <w:pStyle w:val="19"/>
        <w:spacing w:line="360" w:lineRule="auto"/>
        <w:rPr>
          <w:rFonts w:hint="eastAsia" w:ascii="Times New Roman" w:hAnsi="Times New Roman" w:eastAsia="仿宋"/>
          <w:b/>
          <w:bCs/>
          <w:color w:val="auto"/>
          <w:sz w:val="28"/>
          <w:szCs w:val="28"/>
          <w:highlight w:val="none"/>
        </w:rPr>
      </w:pPr>
      <w:r>
        <w:rPr>
          <w:rFonts w:ascii="Times New Roman" w:hAnsi="Times New Roman" w:eastAsia="仿宋"/>
          <w:b/>
          <w:bCs/>
          <w:color w:val="auto"/>
          <w:sz w:val="28"/>
          <w:szCs w:val="28"/>
          <w:highlight w:val="none"/>
          <w:lang w:eastAsia="zh-Hans"/>
        </w:rPr>
        <w:t>法定代表人/负责人:</w:t>
      </w:r>
      <w:r>
        <w:rPr>
          <w:rFonts w:hint="eastAsia" w:ascii="Times New Roman" w:hAnsi="Times New Roman" w:eastAsia="仿宋"/>
          <w:b/>
          <w:bCs/>
          <w:color w:val="auto"/>
          <w:sz w:val="28"/>
          <w:szCs w:val="28"/>
          <w:highlight w:val="none"/>
        </w:rPr>
        <w:t xml:space="preserve"> </w:t>
      </w:r>
    </w:p>
    <w:p w14:paraId="56243A09">
      <w:pPr>
        <w:pStyle w:val="19"/>
        <w:spacing w:line="360" w:lineRule="auto"/>
        <w:rPr>
          <w:rFonts w:ascii="Times New Roman" w:hAnsi="Times New Roman" w:eastAsia="仿宋"/>
          <w:b/>
          <w:bCs/>
          <w:color w:val="auto"/>
          <w:sz w:val="28"/>
          <w:szCs w:val="28"/>
          <w:highlight w:val="none"/>
        </w:rPr>
      </w:pPr>
      <w:r>
        <w:rPr>
          <w:rFonts w:ascii="Times New Roman" w:hAnsi="Times New Roman" w:eastAsia="仿宋"/>
          <w:b/>
          <w:bCs/>
          <w:color w:val="auto"/>
          <w:sz w:val="28"/>
          <w:szCs w:val="28"/>
          <w:highlight w:val="none"/>
          <w:lang w:eastAsia="zh-Hans"/>
        </w:rPr>
        <w:t>联系人</w:t>
      </w:r>
      <w:r>
        <w:rPr>
          <w:rFonts w:ascii="Times New Roman" w:hAnsi="Times New Roman" w:eastAsia="仿宋"/>
          <w:b/>
          <w:bCs/>
          <w:color w:val="auto"/>
          <w:sz w:val="28"/>
          <w:szCs w:val="28"/>
          <w:highlight w:val="none"/>
        </w:rPr>
        <w:t>（项目管理人）</w:t>
      </w:r>
      <w:r>
        <w:rPr>
          <w:rFonts w:ascii="Times New Roman" w:hAnsi="Times New Roman" w:eastAsia="仿宋"/>
          <w:b/>
          <w:bCs/>
          <w:color w:val="auto"/>
          <w:sz w:val="28"/>
          <w:szCs w:val="28"/>
          <w:highlight w:val="none"/>
          <w:lang w:eastAsia="zh-Hans"/>
        </w:rPr>
        <w:t>：</w:t>
      </w:r>
      <w:r>
        <w:rPr>
          <w:rFonts w:hint="eastAsia" w:ascii="Times New Roman" w:hAnsi="Times New Roman" w:eastAsia="仿宋"/>
          <w:b/>
          <w:bCs/>
          <w:color w:val="auto"/>
          <w:sz w:val="28"/>
          <w:szCs w:val="28"/>
          <w:highlight w:val="none"/>
        </w:rPr>
        <w:t xml:space="preserve"> </w:t>
      </w:r>
      <w:r>
        <w:rPr>
          <w:rFonts w:ascii="Times New Roman" w:hAnsi="Times New Roman" w:eastAsia="仿宋"/>
          <w:b/>
          <w:bCs/>
          <w:color w:val="auto"/>
          <w:sz w:val="28"/>
          <w:szCs w:val="28"/>
          <w:highlight w:val="none"/>
          <w:lang w:eastAsia="zh-Hans"/>
        </w:rPr>
        <w:t xml:space="preserve">     </w:t>
      </w:r>
      <w:r>
        <w:rPr>
          <w:rFonts w:ascii="Times New Roman" w:hAnsi="Times New Roman" w:eastAsia="仿宋"/>
          <w:b/>
          <w:bCs/>
          <w:color w:val="auto"/>
          <w:sz w:val="28"/>
          <w:szCs w:val="28"/>
          <w:highlight w:val="none"/>
        </w:rPr>
        <w:t xml:space="preserve">   </w:t>
      </w:r>
      <w:r>
        <w:rPr>
          <w:rFonts w:ascii="Times New Roman" w:hAnsi="Times New Roman" w:eastAsia="仿宋"/>
          <w:b/>
          <w:bCs/>
          <w:color w:val="auto"/>
          <w:sz w:val="28"/>
          <w:szCs w:val="28"/>
          <w:highlight w:val="none"/>
          <w:lang w:eastAsia="zh-Hans"/>
        </w:rPr>
        <w:t xml:space="preserve">  电话：</w:t>
      </w:r>
      <w:r>
        <w:rPr>
          <w:rFonts w:hint="eastAsia" w:ascii="Times New Roman" w:hAnsi="Times New Roman" w:eastAsia="仿宋"/>
          <w:b/>
          <w:bCs/>
          <w:color w:val="auto"/>
          <w:sz w:val="28"/>
          <w:szCs w:val="28"/>
          <w:highlight w:val="none"/>
        </w:rPr>
        <w:t xml:space="preserve"> </w:t>
      </w:r>
    </w:p>
    <w:p w14:paraId="45926C42">
      <w:pPr>
        <w:pStyle w:val="19"/>
        <w:spacing w:line="360" w:lineRule="auto"/>
        <w:rPr>
          <w:rFonts w:ascii="Times New Roman" w:hAnsi="Times New Roman" w:eastAsia="仿宋"/>
          <w:b/>
          <w:bCs/>
          <w:color w:val="auto"/>
          <w:sz w:val="28"/>
          <w:szCs w:val="28"/>
          <w:highlight w:val="none"/>
          <w:lang w:eastAsia="zh-Hans"/>
        </w:rPr>
      </w:pPr>
      <w:r>
        <w:rPr>
          <w:rFonts w:ascii="Times New Roman" w:hAnsi="Times New Roman" w:eastAsia="仿宋"/>
          <w:b/>
          <w:bCs/>
          <w:color w:val="auto"/>
          <w:sz w:val="28"/>
          <w:szCs w:val="28"/>
          <w:highlight w:val="none"/>
          <w:lang w:eastAsia="zh-Hans"/>
        </w:rPr>
        <w:t>地址：</w:t>
      </w:r>
      <w:r>
        <w:rPr>
          <w:rFonts w:ascii="Times New Roman" w:hAnsi="Times New Roman" w:eastAsia="仿宋"/>
          <w:b/>
          <w:bCs/>
          <w:color w:val="auto"/>
          <w:sz w:val="28"/>
          <w:szCs w:val="28"/>
          <w:highlight w:val="none"/>
        </w:rPr>
        <w:t>广东省珠海市香洲区国防路99号青茂口岸联检楼</w:t>
      </w:r>
    </w:p>
    <w:p w14:paraId="05BF3D62">
      <w:pPr>
        <w:pStyle w:val="19"/>
        <w:spacing w:after="0" w:line="360" w:lineRule="auto"/>
        <w:rPr>
          <w:rFonts w:ascii="Times New Roman" w:hAnsi="Times New Roman" w:eastAsia="仿宋"/>
          <w:color w:val="auto"/>
          <w:highlight w:val="none"/>
          <w:lang w:eastAsia="zh-Hans"/>
        </w:rPr>
      </w:pPr>
    </w:p>
    <w:p w14:paraId="262CC0FE">
      <w:pPr>
        <w:spacing w:line="360" w:lineRule="auto"/>
        <w:rPr>
          <w:rFonts w:ascii="Times New Roman" w:hAnsi="Times New Roman" w:eastAsia="仿宋"/>
          <w:b/>
          <w:bCs/>
          <w:color w:val="auto"/>
          <w:sz w:val="28"/>
          <w:szCs w:val="28"/>
          <w:highlight w:val="none"/>
          <w:u w:val="single"/>
        </w:rPr>
      </w:pPr>
      <w:r>
        <w:rPr>
          <w:rFonts w:ascii="Times New Roman" w:hAnsi="Times New Roman" w:eastAsia="仿宋"/>
          <w:b/>
          <w:bCs/>
          <w:color w:val="auto"/>
          <w:sz w:val="28"/>
          <w:szCs w:val="28"/>
          <w:highlight w:val="none"/>
        </w:rPr>
        <w:t>乙方（</w:t>
      </w:r>
      <w:r>
        <w:rPr>
          <w:rFonts w:ascii="Times New Roman" w:hAnsi="Times New Roman" w:eastAsia="仿宋"/>
          <w:b/>
          <w:bCs/>
          <w:color w:val="auto"/>
          <w:sz w:val="28"/>
          <w:szCs w:val="28"/>
          <w:highlight w:val="none"/>
          <w:lang w:eastAsia="zh-Hans"/>
        </w:rPr>
        <w:t>供应商</w:t>
      </w:r>
      <w:r>
        <w:rPr>
          <w:rFonts w:ascii="Times New Roman" w:hAnsi="Times New Roman" w:eastAsia="仿宋"/>
          <w:b/>
          <w:bCs/>
          <w:color w:val="auto"/>
          <w:sz w:val="28"/>
          <w:szCs w:val="28"/>
          <w:highlight w:val="none"/>
        </w:rPr>
        <w:t>）：</w:t>
      </w:r>
      <w:r>
        <w:rPr>
          <w:rFonts w:hint="eastAsia" w:ascii="Times New Roman" w:hAnsi="Times New Roman" w:eastAsia="仿宋"/>
          <w:b/>
          <w:bCs/>
          <w:color w:val="auto"/>
          <w:sz w:val="28"/>
          <w:szCs w:val="28"/>
          <w:highlight w:val="none"/>
        </w:rPr>
        <w:t xml:space="preserve"> </w:t>
      </w:r>
    </w:p>
    <w:p w14:paraId="615B5DF1">
      <w:pPr>
        <w:pStyle w:val="19"/>
        <w:spacing w:line="360" w:lineRule="auto"/>
        <w:rPr>
          <w:rFonts w:hint="eastAsia" w:ascii="Times New Roman" w:hAnsi="Times New Roman" w:eastAsia="仿宋"/>
          <w:b/>
          <w:bCs/>
          <w:color w:val="auto"/>
          <w:sz w:val="28"/>
          <w:szCs w:val="28"/>
          <w:highlight w:val="none"/>
        </w:rPr>
      </w:pPr>
      <w:r>
        <w:rPr>
          <w:rFonts w:ascii="Times New Roman" w:hAnsi="Times New Roman" w:eastAsia="仿宋"/>
          <w:b/>
          <w:bCs/>
          <w:color w:val="auto"/>
          <w:sz w:val="28"/>
          <w:szCs w:val="28"/>
          <w:highlight w:val="none"/>
          <w:lang w:eastAsia="zh-Hans"/>
        </w:rPr>
        <w:t>法定代表人/负责人：</w:t>
      </w:r>
      <w:r>
        <w:rPr>
          <w:rFonts w:hint="eastAsia" w:ascii="Times New Roman" w:hAnsi="Times New Roman" w:eastAsia="仿宋"/>
          <w:b/>
          <w:bCs/>
          <w:color w:val="auto"/>
          <w:sz w:val="28"/>
          <w:szCs w:val="28"/>
          <w:highlight w:val="none"/>
        </w:rPr>
        <w:t xml:space="preserve"> </w:t>
      </w:r>
    </w:p>
    <w:p w14:paraId="181F1B2F">
      <w:pPr>
        <w:pStyle w:val="19"/>
        <w:spacing w:line="360" w:lineRule="auto"/>
        <w:rPr>
          <w:rFonts w:hint="eastAsia" w:ascii="Times New Roman" w:hAnsi="Times New Roman" w:eastAsia="仿宋"/>
          <w:b/>
          <w:bCs/>
          <w:color w:val="auto"/>
          <w:sz w:val="28"/>
          <w:szCs w:val="28"/>
          <w:highlight w:val="none"/>
        </w:rPr>
      </w:pPr>
      <w:r>
        <w:rPr>
          <w:rFonts w:ascii="Times New Roman" w:hAnsi="Times New Roman" w:eastAsia="仿宋"/>
          <w:b/>
          <w:bCs/>
          <w:color w:val="auto"/>
          <w:sz w:val="28"/>
          <w:szCs w:val="28"/>
          <w:highlight w:val="none"/>
          <w:lang w:eastAsia="zh-Hans"/>
        </w:rPr>
        <w:t>联系人：</w:t>
      </w:r>
      <w:r>
        <w:rPr>
          <w:rFonts w:hint="eastAsia" w:ascii="Times New Roman" w:hAnsi="Times New Roman" w:eastAsia="仿宋"/>
          <w:b/>
          <w:bCs/>
          <w:color w:val="auto"/>
          <w:sz w:val="28"/>
          <w:szCs w:val="28"/>
          <w:highlight w:val="none"/>
        </w:rPr>
        <w:t xml:space="preserve"> </w:t>
      </w:r>
      <w:r>
        <w:rPr>
          <w:rFonts w:ascii="Times New Roman" w:hAnsi="Times New Roman" w:eastAsia="仿宋"/>
          <w:b/>
          <w:bCs/>
          <w:color w:val="auto"/>
          <w:sz w:val="28"/>
          <w:szCs w:val="28"/>
          <w:highlight w:val="none"/>
          <w:lang w:eastAsia="zh-Hans"/>
        </w:rPr>
        <w:t xml:space="preserve">              电话：</w:t>
      </w:r>
      <w:r>
        <w:rPr>
          <w:rFonts w:hint="eastAsia" w:ascii="Times New Roman" w:hAnsi="Times New Roman" w:eastAsia="仿宋"/>
          <w:b/>
          <w:bCs/>
          <w:color w:val="auto"/>
          <w:sz w:val="28"/>
          <w:szCs w:val="28"/>
          <w:highlight w:val="none"/>
        </w:rPr>
        <w:t xml:space="preserve"> </w:t>
      </w:r>
    </w:p>
    <w:p w14:paraId="1E13C009">
      <w:pPr>
        <w:pStyle w:val="19"/>
        <w:spacing w:line="360" w:lineRule="auto"/>
        <w:rPr>
          <w:rFonts w:ascii="Times New Roman" w:hAnsi="Times New Roman" w:eastAsia="仿宋"/>
          <w:b/>
          <w:bCs/>
          <w:color w:val="auto"/>
          <w:sz w:val="24"/>
          <w:highlight w:val="none"/>
        </w:rPr>
      </w:pPr>
      <w:r>
        <w:rPr>
          <w:rFonts w:ascii="Times New Roman" w:hAnsi="Times New Roman" w:eastAsia="仿宋"/>
          <w:b/>
          <w:bCs/>
          <w:color w:val="auto"/>
          <w:sz w:val="28"/>
          <w:szCs w:val="28"/>
          <w:highlight w:val="none"/>
          <w:lang w:eastAsia="zh-Hans"/>
        </w:rPr>
        <w:t>地址：</w:t>
      </w:r>
      <w:r>
        <w:rPr>
          <w:rFonts w:hint="eastAsia" w:ascii="Times New Roman" w:hAnsi="Times New Roman" w:eastAsia="仿宋"/>
          <w:b/>
          <w:bCs/>
          <w:color w:val="auto"/>
          <w:sz w:val="24"/>
          <w:highlight w:val="none"/>
        </w:rPr>
        <w:t xml:space="preserve"> </w:t>
      </w:r>
    </w:p>
    <w:p w14:paraId="2ACA84D7">
      <w:pPr>
        <w:spacing w:line="360" w:lineRule="auto"/>
        <w:rPr>
          <w:rFonts w:ascii="Times New Roman" w:hAnsi="Times New Roman" w:eastAsia="仿宋"/>
          <w:color w:val="auto"/>
          <w:highlight w:val="none"/>
        </w:rPr>
      </w:pPr>
    </w:p>
    <w:p w14:paraId="45D1BEAC">
      <w:pPr>
        <w:spacing w:line="360" w:lineRule="auto"/>
        <w:ind w:firstLine="560" w:firstLineChars="200"/>
        <w:rPr>
          <w:rFonts w:hint="eastAsia" w:ascii="Times New Roman" w:hAnsi="Times New Roman" w:eastAsia="仿宋"/>
          <w:color w:val="auto"/>
          <w:sz w:val="28"/>
          <w:szCs w:val="28"/>
          <w:highlight w:val="none"/>
        </w:rPr>
      </w:pPr>
      <w:r>
        <w:rPr>
          <w:rFonts w:ascii="Times New Roman" w:hAnsi="Times New Roman" w:eastAsia="仿宋"/>
          <w:color w:val="auto"/>
          <w:sz w:val="28"/>
          <w:szCs w:val="28"/>
          <w:highlight w:val="none"/>
        </w:rPr>
        <w:t>经法定磋商，上列甲方确定乙方为</w:t>
      </w:r>
      <w:r>
        <w:rPr>
          <w:rFonts w:ascii="Times New Roman" w:hAnsi="Times New Roman" w:eastAsia="仿宋"/>
          <w:color w:val="auto"/>
          <w:sz w:val="28"/>
          <w:szCs w:val="28"/>
          <w:highlight w:val="none"/>
          <w:u w:val="single"/>
        </w:rPr>
        <w:t xml:space="preserve"> 中华人民共和国青茂出入境边防检查站202</w:t>
      </w:r>
      <w:r>
        <w:rPr>
          <w:rFonts w:hint="eastAsia" w:ascii="Times New Roman" w:hAnsi="Times New Roman" w:eastAsia="仿宋"/>
          <w:color w:val="auto"/>
          <w:sz w:val="28"/>
          <w:szCs w:val="28"/>
          <w:highlight w:val="none"/>
          <w:u w:val="single"/>
        </w:rPr>
        <w:t>6</w:t>
      </w:r>
      <w:r>
        <w:rPr>
          <w:rFonts w:ascii="Times New Roman" w:hAnsi="Times New Roman" w:eastAsia="仿宋"/>
          <w:color w:val="auto"/>
          <w:sz w:val="28"/>
          <w:szCs w:val="28"/>
          <w:highlight w:val="none"/>
          <w:u w:val="single"/>
        </w:rPr>
        <w:t xml:space="preserve">年度食堂食材配送服务采购项目 </w:t>
      </w:r>
      <w:r>
        <w:rPr>
          <w:rFonts w:ascii="Times New Roman" w:hAnsi="Times New Roman" w:eastAsia="仿宋"/>
          <w:color w:val="auto"/>
          <w:sz w:val="28"/>
          <w:szCs w:val="28"/>
          <w:highlight w:val="none"/>
        </w:rPr>
        <w:t>的成交供应商。为明确双方权利义务，现就本项目货物采购等事宜，特依据本项目磋商文件、响应文件、成交通知书等有关约定和《中华人民共和国</w:t>
      </w:r>
      <w:r>
        <w:rPr>
          <w:rFonts w:ascii="Times New Roman" w:hAnsi="Times New Roman" w:eastAsia="仿宋"/>
          <w:color w:val="auto"/>
          <w:sz w:val="28"/>
          <w:szCs w:val="28"/>
          <w:highlight w:val="none"/>
          <w:lang w:eastAsia="zh-Hans"/>
        </w:rPr>
        <w:t>民法典</w:t>
      </w:r>
      <w:r>
        <w:rPr>
          <w:rFonts w:ascii="Times New Roman" w:hAnsi="Times New Roman" w:eastAsia="仿宋"/>
          <w:color w:val="auto"/>
          <w:sz w:val="28"/>
          <w:szCs w:val="28"/>
          <w:highlight w:val="none"/>
        </w:rPr>
        <w:t>》、《中华人民共和国政府采购法》等相关法律、法规的规定，经双方协商一致签订本合同，以资共同遵照执行。</w:t>
      </w:r>
    </w:p>
    <w:p w14:paraId="5B387426">
      <w:pPr>
        <w:spacing w:line="360" w:lineRule="auto"/>
        <w:ind w:firstLine="562" w:firstLineChars="200"/>
        <w:outlineLvl w:val="1"/>
        <w:rPr>
          <w:rFonts w:ascii="Times New Roman" w:hAnsi="Times New Roman" w:eastAsia="仿宋"/>
          <w:b/>
          <w:bCs/>
          <w:color w:val="auto"/>
          <w:sz w:val="28"/>
          <w:szCs w:val="28"/>
          <w:highlight w:val="none"/>
        </w:rPr>
      </w:pPr>
      <w:bookmarkStart w:id="146" w:name="_Toc7275"/>
      <w:bookmarkStart w:id="147" w:name="_Toc18077"/>
      <w:bookmarkStart w:id="148" w:name="_Toc32554"/>
      <w:bookmarkStart w:id="149" w:name="_Toc2093"/>
      <w:bookmarkStart w:id="150" w:name="_Toc13181"/>
      <w:bookmarkStart w:id="151" w:name="_Toc8993"/>
      <w:bookmarkStart w:id="152" w:name="_Toc16242"/>
      <w:r>
        <w:rPr>
          <w:rFonts w:ascii="Times New Roman" w:hAnsi="Times New Roman" w:eastAsia="仿宋"/>
          <w:b/>
          <w:bCs/>
          <w:color w:val="auto"/>
          <w:sz w:val="28"/>
          <w:szCs w:val="28"/>
          <w:highlight w:val="none"/>
          <w:lang w:eastAsia="zh-Hans"/>
        </w:rPr>
        <w:t>一</w:t>
      </w:r>
      <w:r>
        <w:rPr>
          <w:rFonts w:ascii="Times New Roman" w:hAnsi="Times New Roman" w:eastAsia="仿宋"/>
          <w:b/>
          <w:bCs/>
          <w:color w:val="auto"/>
          <w:sz w:val="28"/>
          <w:szCs w:val="28"/>
          <w:highlight w:val="none"/>
        </w:rPr>
        <w:t>、项目内容</w:t>
      </w:r>
      <w:bookmarkEnd w:id="146"/>
      <w:bookmarkEnd w:id="147"/>
      <w:bookmarkEnd w:id="148"/>
      <w:bookmarkEnd w:id="149"/>
      <w:bookmarkEnd w:id="150"/>
      <w:bookmarkEnd w:id="151"/>
      <w:bookmarkEnd w:id="152"/>
    </w:p>
    <w:p w14:paraId="171B5662">
      <w:pPr>
        <w:spacing w:line="360" w:lineRule="auto"/>
        <w:ind w:firstLine="560" w:firstLineChars="200"/>
        <w:outlineLvl w:val="9"/>
        <w:rPr>
          <w:rFonts w:ascii="Times New Roman" w:hAnsi="Times New Roman" w:eastAsia="仿宋"/>
          <w:color w:val="auto"/>
          <w:sz w:val="28"/>
          <w:szCs w:val="28"/>
          <w:highlight w:val="none"/>
          <w:lang w:eastAsia="zh-Hans"/>
        </w:rPr>
      </w:pPr>
      <w:bookmarkStart w:id="153" w:name="_Toc14896"/>
      <w:bookmarkStart w:id="154" w:name="_Toc29364"/>
      <w:bookmarkStart w:id="155" w:name="_Toc30838"/>
      <w:bookmarkStart w:id="156" w:name="_Toc5538"/>
      <w:r>
        <w:rPr>
          <w:rFonts w:ascii="Times New Roman" w:hAnsi="Times New Roman" w:eastAsia="仿宋"/>
          <w:color w:val="auto"/>
          <w:sz w:val="28"/>
          <w:szCs w:val="28"/>
          <w:highlight w:val="none"/>
          <w:lang w:eastAsia="zh-Hans"/>
        </w:rPr>
        <w:t>本项目主要是对青茂出入境边防检查站位于青茂口岸的食堂每天早餐、中餐、晚餐和宵夜食材配送服务进行采购。乙方根据甲方的计划和要求，负责采购和供应每天所需的各类物资，包括但不限于蔬菜类、瓜果类、水果类、肉类、海鲜类、蛋类、调料、饮料、奶制品、大米、食用油、零食、杂货以及其他食堂用品等。</w:t>
      </w:r>
    </w:p>
    <w:p w14:paraId="1E2C5450">
      <w:pPr>
        <w:spacing w:line="360" w:lineRule="auto"/>
        <w:ind w:firstLine="562" w:firstLineChars="200"/>
        <w:outlineLvl w:val="1"/>
        <w:rPr>
          <w:rFonts w:ascii="仿宋" w:hAnsi="仿宋" w:eastAsia="仿宋"/>
          <w:b/>
          <w:bCs/>
          <w:color w:val="auto"/>
          <w:sz w:val="28"/>
          <w:szCs w:val="28"/>
          <w:highlight w:val="none"/>
          <w:lang w:eastAsia="zh-Hans"/>
        </w:rPr>
      </w:pPr>
      <w:bookmarkStart w:id="157" w:name="_Toc14982"/>
      <w:bookmarkStart w:id="158" w:name="_Toc28279"/>
      <w:bookmarkStart w:id="159" w:name="_Toc29907"/>
      <w:r>
        <w:rPr>
          <w:rFonts w:ascii="仿宋" w:hAnsi="仿宋" w:eastAsia="仿宋"/>
          <w:b/>
          <w:bCs/>
          <w:color w:val="auto"/>
          <w:sz w:val="28"/>
          <w:szCs w:val="28"/>
          <w:highlight w:val="none"/>
          <w:lang w:eastAsia="zh-Hans"/>
        </w:rPr>
        <w:t>二、合同金额</w:t>
      </w:r>
      <w:bookmarkEnd w:id="153"/>
      <w:bookmarkEnd w:id="154"/>
      <w:bookmarkEnd w:id="155"/>
      <w:bookmarkEnd w:id="156"/>
      <w:bookmarkEnd w:id="157"/>
      <w:bookmarkEnd w:id="158"/>
      <w:bookmarkEnd w:id="159"/>
    </w:p>
    <w:p w14:paraId="4A549646">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（一）</w:t>
      </w:r>
      <w:r>
        <w:rPr>
          <w:rFonts w:ascii="Times New Roman" w:hAnsi="Times New Roman" w:eastAsia="仿宋"/>
          <w:color w:val="auto"/>
          <w:sz w:val="28"/>
          <w:szCs w:val="28"/>
          <w:highlight w:val="none"/>
        </w:rPr>
        <w:t>合同</w:t>
      </w:r>
      <w:r>
        <w:rPr>
          <w:rFonts w:ascii="Times New Roman" w:hAnsi="Times New Roman" w:eastAsia="仿宋"/>
          <w:color w:val="auto"/>
          <w:sz w:val="28"/>
          <w:szCs w:val="28"/>
          <w:highlight w:val="none"/>
          <w:lang w:eastAsia="zh-Hans"/>
        </w:rPr>
        <w:t>总</w:t>
      </w:r>
      <w:r>
        <w:rPr>
          <w:rFonts w:ascii="Times New Roman" w:hAnsi="Times New Roman" w:eastAsia="仿宋"/>
          <w:color w:val="auto"/>
          <w:sz w:val="28"/>
          <w:szCs w:val="28"/>
          <w:highlight w:val="none"/>
        </w:rPr>
        <w:t>价</w:t>
      </w:r>
      <w:r>
        <w:rPr>
          <w:rFonts w:ascii="Times New Roman" w:hAnsi="Times New Roman" w:eastAsia="仿宋"/>
          <w:color w:val="auto"/>
          <w:sz w:val="28"/>
          <w:szCs w:val="28"/>
          <w:highlight w:val="none"/>
          <w:lang w:eastAsia="zh-Hans"/>
        </w:rPr>
        <w:t>：</w:t>
      </w:r>
      <w:r>
        <w:rPr>
          <w:rFonts w:ascii="Times New Roman" w:hAnsi="Times New Roman" w:eastAsia="仿宋"/>
          <w:color w:val="auto"/>
          <w:sz w:val="28"/>
          <w:szCs w:val="28"/>
          <w:highlight w:val="none"/>
        </w:rPr>
        <w:t>（小写</w:t>
      </w:r>
      <w:r>
        <w:rPr>
          <w:rFonts w:ascii="Times New Roman" w:hAnsi="Times New Roman" w:eastAsia="仿宋"/>
          <w:color w:val="auto"/>
          <w:sz w:val="28"/>
          <w:szCs w:val="28"/>
          <w:highlight w:val="none"/>
          <w:lang w:eastAsia="zh-Hans"/>
        </w:rPr>
        <w:t>）¥</w:t>
      </w:r>
      <w:r>
        <w:rPr>
          <w:rFonts w:ascii="Times New Roman" w:hAnsi="Times New Roman" w:eastAsia="仿宋"/>
          <w:color w:val="auto"/>
          <w:sz w:val="28"/>
          <w:szCs w:val="28"/>
          <w:highlight w:val="none"/>
          <w:u w:val="single"/>
        </w:rPr>
        <w:t xml:space="preserve"> 1,620,000.00 </w:t>
      </w:r>
      <w:r>
        <w:rPr>
          <w:rFonts w:ascii="Times New Roman" w:hAnsi="Times New Roman" w:eastAsia="仿宋"/>
          <w:color w:val="auto"/>
          <w:sz w:val="28"/>
          <w:szCs w:val="28"/>
          <w:highlight w:val="none"/>
        </w:rPr>
        <w:t>元</w:t>
      </w:r>
      <w:r>
        <w:rPr>
          <w:rFonts w:ascii="Times New Roman" w:hAnsi="Times New Roman" w:eastAsia="仿宋"/>
          <w:color w:val="auto"/>
          <w:sz w:val="28"/>
          <w:szCs w:val="28"/>
          <w:highlight w:val="none"/>
          <w:lang w:eastAsia="zh-Hans"/>
        </w:rPr>
        <w:t>，（</w:t>
      </w:r>
      <w:r>
        <w:rPr>
          <w:rFonts w:ascii="Times New Roman" w:hAnsi="Times New Roman" w:eastAsia="仿宋"/>
          <w:color w:val="auto"/>
          <w:sz w:val="28"/>
          <w:szCs w:val="28"/>
          <w:highlight w:val="none"/>
        </w:rPr>
        <w:t>大写</w:t>
      </w:r>
      <w:r>
        <w:rPr>
          <w:rFonts w:ascii="Times New Roman" w:hAnsi="Times New Roman" w:eastAsia="仿宋"/>
          <w:color w:val="auto"/>
          <w:sz w:val="28"/>
          <w:szCs w:val="28"/>
          <w:highlight w:val="none"/>
          <w:lang w:eastAsia="zh-Hans"/>
        </w:rPr>
        <w:t>）</w:t>
      </w:r>
      <w:r>
        <w:rPr>
          <w:rFonts w:ascii="Times New Roman" w:hAnsi="Times New Roman" w:eastAsia="仿宋"/>
          <w:color w:val="auto"/>
          <w:sz w:val="28"/>
          <w:szCs w:val="28"/>
          <w:highlight w:val="none"/>
        </w:rPr>
        <w:t>人民币</w:t>
      </w:r>
      <w:r>
        <w:rPr>
          <w:rFonts w:ascii="Times New Roman" w:hAnsi="Times New Roman" w:eastAsia="仿宋"/>
          <w:color w:val="auto"/>
          <w:sz w:val="28"/>
          <w:szCs w:val="28"/>
          <w:highlight w:val="none"/>
          <w:u w:val="single"/>
        </w:rPr>
        <w:t xml:space="preserve"> 壹佰陆拾贰万元整 </w:t>
      </w:r>
      <w:r>
        <w:rPr>
          <w:rFonts w:ascii="Times New Roman" w:hAnsi="Times New Roman" w:eastAsia="仿宋"/>
          <w:color w:val="auto"/>
          <w:sz w:val="28"/>
          <w:szCs w:val="28"/>
          <w:highlight w:val="none"/>
        </w:rPr>
        <w:t>。</w:t>
      </w:r>
    </w:p>
    <w:p w14:paraId="467466C6">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（二）</w:t>
      </w:r>
      <w:r>
        <w:rPr>
          <w:rFonts w:ascii="Times New Roman" w:hAnsi="Times New Roman" w:eastAsia="仿宋"/>
          <w:color w:val="auto"/>
          <w:sz w:val="28"/>
          <w:szCs w:val="28"/>
          <w:highlight w:val="none"/>
        </w:rPr>
        <w:t>成交</w:t>
      </w:r>
      <w:r>
        <w:rPr>
          <w:rFonts w:hint="eastAsia" w:ascii="Times New Roman" w:hAnsi="Times New Roman" w:eastAsia="仿宋"/>
          <w:color w:val="auto"/>
          <w:sz w:val="28"/>
          <w:szCs w:val="28"/>
          <w:highlight w:val="none"/>
        </w:rPr>
        <w:t>结算费</w:t>
      </w:r>
      <w:r>
        <w:rPr>
          <w:rFonts w:ascii="Times New Roman" w:hAnsi="Times New Roman" w:eastAsia="仿宋"/>
          <w:color w:val="auto"/>
          <w:sz w:val="28"/>
          <w:szCs w:val="28"/>
          <w:highlight w:val="none"/>
        </w:rPr>
        <w:t>率：百分之</w:t>
      </w:r>
      <w:r>
        <w:rPr>
          <w:rFonts w:hint="eastAsia" w:ascii="Times New Roman" w:hAnsi="Times New Roman" w:eastAsia="仿宋"/>
          <w:color w:val="auto"/>
          <w:sz w:val="28"/>
          <w:szCs w:val="28"/>
          <w:highlight w:val="none"/>
          <w:u w:val="single"/>
        </w:rPr>
        <w:t xml:space="preserve">  </w:t>
      </w:r>
      <w:r>
        <w:rPr>
          <w:rFonts w:hint="eastAsia" w:ascii="Times New Roman" w:hAnsi="Times New Roman" w:eastAsia="仿宋"/>
          <w:color w:val="auto"/>
          <w:sz w:val="28"/>
          <w:szCs w:val="28"/>
          <w:highlight w:val="none"/>
          <w:u w:val="single"/>
          <w:lang w:val="en-US" w:eastAsia="zh-CN"/>
        </w:rPr>
        <w:t xml:space="preserve">  </w:t>
      </w:r>
      <w:r>
        <w:rPr>
          <w:rFonts w:hint="eastAsia" w:ascii="Times New Roman" w:hAnsi="Times New Roman" w:eastAsia="仿宋"/>
          <w:color w:val="auto"/>
          <w:sz w:val="28"/>
          <w:szCs w:val="28"/>
          <w:highlight w:val="none"/>
          <w:u w:val="single"/>
        </w:rPr>
        <w:t xml:space="preserve"> </w:t>
      </w:r>
      <w:r>
        <w:rPr>
          <w:rFonts w:ascii="Times New Roman" w:hAnsi="Times New Roman" w:eastAsia="仿宋"/>
          <w:color w:val="auto"/>
          <w:sz w:val="28"/>
          <w:szCs w:val="28"/>
          <w:highlight w:val="none"/>
        </w:rPr>
        <w:t>（</w:t>
      </w:r>
      <w:r>
        <w:rPr>
          <w:rFonts w:hint="eastAsia" w:ascii="Times New Roman" w:hAnsi="Times New Roman" w:eastAsia="仿宋"/>
          <w:color w:val="auto"/>
          <w:sz w:val="28"/>
          <w:szCs w:val="28"/>
          <w:highlight w:val="none"/>
        </w:rPr>
        <w:t xml:space="preserve">    </w:t>
      </w:r>
      <w:r>
        <w:rPr>
          <w:rFonts w:ascii="Times New Roman" w:hAnsi="Times New Roman" w:eastAsia="仿宋"/>
          <w:color w:val="auto"/>
          <w:sz w:val="28"/>
          <w:szCs w:val="28"/>
          <w:highlight w:val="none"/>
        </w:rPr>
        <w:t>%），本合同采取</w:t>
      </w:r>
      <w:r>
        <w:rPr>
          <w:rFonts w:hint="eastAsia" w:ascii="Times New Roman" w:hAnsi="Times New Roman" w:eastAsia="仿宋"/>
          <w:color w:val="auto"/>
          <w:sz w:val="28"/>
          <w:szCs w:val="28"/>
          <w:highlight w:val="none"/>
        </w:rPr>
        <w:t>结算费</w:t>
      </w:r>
      <w:r>
        <w:rPr>
          <w:rFonts w:ascii="Times New Roman" w:hAnsi="Times New Roman" w:eastAsia="仿宋"/>
          <w:color w:val="auto"/>
          <w:sz w:val="28"/>
          <w:szCs w:val="28"/>
          <w:highlight w:val="none"/>
        </w:rPr>
        <w:t>率</w:t>
      </w:r>
      <w:r>
        <w:rPr>
          <w:rFonts w:ascii="Times New Roman" w:hAnsi="Times New Roman" w:eastAsia="仿宋"/>
          <w:color w:val="auto"/>
          <w:sz w:val="28"/>
          <w:szCs w:val="28"/>
          <w:highlight w:val="none"/>
          <w:lang w:eastAsia="zh-Hans"/>
        </w:rPr>
        <w:t>计算</w:t>
      </w:r>
      <w:r>
        <w:rPr>
          <w:rFonts w:ascii="Times New Roman" w:hAnsi="Times New Roman" w:eastAsia="仿宋"/>
          <w:color w:val="auto"/>
          <w:sz w:val="28"/>
          <w:szCs w:val="28"/>
          <w:highlight w:val="none"/>
        </w:rPr>
        <w:t>，年度结算金额不超过预算总价。</w:t>
      </w:r>
    </w:p>
    <w:p w14:paraId="5D410382">
      <w:pPr>
        <w:spacing w:line="360" w:lineRule="auto"/>
        <w:ind w:firstLine="560" w:firstLineChars="200"/>
        <w:rPr>
          <w:rFonts w:ascii="Times New Roman" w:hAnsi="Times New Roman" w:eastAsia="仿宋_GB2312"/>
          <w:color w:val="auto"/>
          <w:sz w:val="28"/>
          <w:szCs w:val="28"/>
          <w:highlight w:val="none"/>
          <w:lang w:eastAsia="zh-Hans"/>
        </w:rPr>
      </w:pPr>
      <w:r>
        <w:rPr>
          <w:rFonts w:ascii="Times New Roman" w:hAnsi="Times New Roman" w:eastAsia="仿宋"/>
          <w:color w:val="auto"/>
          <w:sz w:val="28"/>
          <w:szCs w:val="28"/>
          <w:highlight w:val="none"/>
        </w:rPr>
        <w:t>（</w:t>
      </w:r>
      <w:r>
        <w:rPr>
          <w:rFonts w:hint="eastAsia" w:ascii="Times New Roman" w:hAnsi="Times New Roman" w:eastAsia="仿宋"/>
          <w:color w:val="auto"/>
          <w:sz w:val="28"/>
          <w:szCs w:val="28"/>
          <w:highlight w:val="none"/>
        </w:rPr>
        <w:t>三</w:t>
      </w:r>
      <w:r>
        <w:rPr>
          <w:rFonts w:ascii="Times New Roman" w:hAnsi="Times New Roman" w:eastAsia="仿宋"/>
          <w:color w:val="auto"/>
          <w:sz w:val="28"/>
          <w:szCs w:val="28"/>
          <w:highlight w:val="none"/>
        </w:rPr>
        <w:t>）结算价包括但不限于：完成合同约定所需的所有食材材料价款、装卸车费、途中损耗费、包装费、运输费、人工费、配送费、专家费、保险、管理费、检查费、质保期服务费、因乙方原因导致换货和退货费用、利润、税费以及服务期内的所有相关食品采购、检验费用在内的全包价，包括乙方履行合同义务承担合同责任和风险的全部对价。乙方作为供应商在投标时漏报或缺报或不报或少报，甲方作为采购人均视为该漏报或不报或少报的费用均已包括在已报的价格中且不另行支付。</w:t>
      </w:r>
    </w:p>
    <w:p w14:paraId="722313A2">
      <w:pPr>
        <w:spacing w:line="360" w:lineRule="auto"/>
        <w:ind w:firstLine="562" w:firstLineChars="200"/>
        <w:outlineLvl w:val="1"/>
        <w:rPr>
          <w:rFonts w:ascii="仿宋" w:hAnsi="仿宋" w:eastAsia="仿宋"/>
          <w:b/>
          <w:color w:val="auto"/>
          <w:sz w:val="28"/>
          <w:szCs w:val="28"/>
          <w:highlight w:val="none"/>
        </w:rPr>
      </w:pPr>
      <w:bookmarkStart w:id="160" w:name="_Toc18464"/>
      <w:bookmarkStart w:id="161" w:name="_Toc12901"/>
      <w:bookmarkStart w:id="162" w:name="_Toc32652"/>
      <w:bookmarkStart w:id="163" w:name="_Toc24183"/>
      <w:bookmarkStart w:id="164" w:name="_Toc2538"/>
      <w:bookmarkStart w:id="165" w:name="_Toc8265"/>
      <w:bookmarkStart w:id="166" w:name="_Toc4270"/>
      <w:r>
        <w:rPr>
          <w:rFonts w:ascii="仿宋" w:hAnsi="仿宋" w:eastAsia="仿宋"/>
          <w:b/>
          <w:bCs/>
          <w:color w:val="auto"/>
          <w:sz w:val="28"/>
          <w:szCs w:val="28"/>
          <w:highlight w:val="none"/>
          <w:lang w:eastAsia="zh-Hans"/>
        </w:rPr>
        <w:t>三、履约保证金</w:t>
      </w:r>
      <w:bookmarkEnd w:id="160"/>
      <w:bookmarkEnd w:id="161"/>
      <w:bookmarkEnd w:id="162"/>
      <w:bookmarkEnd w:id="163"/>
      <w:bookmarkEnd w:id="164"/>
      <w:bookmarkEnd w:id="165"/>
      <w:bookmarkEnd w:id="166"/>
    </w:p>
    <w:p w14:paraId="0CCDBF0F">
      <w:pPr>
        <w:pStyle w:val="23"/>
        <w:spacing w:line="360" w:lineRule="auto"/>
        <w:ind w:firstLine="560" w:firstLineChars="200"/>
        <w:rPr>
          <w:rFonts w:ascii="Times New Roman" w:hAnsi="Times New Roman" w:eastAsia="仿宋" w:cs="Times New Roman"/>
          <w:color w:val="auto"/>
          <w:sz w:val="28"/>
          <w:szCs w:val="28"/>
          <w:highlight w:val="none"/>
        </w:rPr>
      </w:pPr>
      <w:r>
        <w:rPr>
          <w:rFonts w:ascii="Times New Roman" w:hAnsi="Times New Roman" w:eastAsia="仿宋" w:cs="Times New Roman"/>
          <w:color w:val="auto"/>
          <w:sz w:val="28"/>
          <w:szCs w:val="28"/>
          <w:highlight w:val="none"/>
        </w:rPr>
        <w:t>乙方在收到成交通知书5个工作日内，向甲方以支票、汇票、银行保函等非现金形式提交</w:t>
      </w:r>
      <w:r>
        <w:rPr>
          <w:rFonts w:ascii="Times New Roman" w:hAnsi="Times New Roman" w:eastAsia="仿宋" w:cs="Times New Roman"/>
          <w:b/>
          <w:bCs/>
          <w:color w:val="auto"/>
          <w:sz w:val="28"/>
          <w:szCs w:val="28"/>
          <w:highlight w:val="none"/>
        </w:rPr>
        <w:t>人民币壹拾万元</w:t>
      </w:r>
      <w:r>
        <w:rPr>
          <w:rFonts w:ascii="Times New Roman" w:hAnsi="Times New Roman" w:eastAsia="仿宋" w:cs="Times New Roman"/>
          <w:color w:val="auto"/>
          <w:sz w:val="28"/>
          <w:szCs w:val="28"/>
          <w:highlight w:val="none"/>
        </w:rPr>
        <w:t>的履约保证金。</w:t>
      </w:r>
    </w:p>
    <w:p w14:paraId="6C7A6E2F">
      <w:pPr>
        <w:pStyle w:val="23"/>
        <w:spacing w:line="360" w:lineRule="auto"/>
        <w:ind w:firstLine="560" w:firstLineChars="200"/>
        <w:rPr>
          <w:rFonts w:ascii="Times New Roman" w:hAnsi="Times New Roman" w:eastAsia="仿宋" w:cs="Times New Roman"/>
          <w:color w:val="auto"/>
          <w:sz w:val="28"/>
          <w:szCs w:val="28"/>
          <w:highlight w:val="none"/>
        </w:rPr>
      </w:pPr>
      <w:r>
        <w:rPr>
          <w:rFonts w:ascii="Times New Roman" w:hAnsi="Times New Roman" w:eastAsia="仿宋" w:cs="Times New Roman"/>
          <w:color w:val="auto"/>
          <w:sz w:val="28"/>
          <w:szCs w:val="28"/>
          <w:highlight w:val="none"/>
        </w:rPr>
        <w:t>如在合同执行期间因</w:t>
      </w:r>
      <w:r>
        <w:rPr>
          <w:rFonts w:hint="eastAsia" w:ascii="Times New Roman" w:hAnsi="Times New Roman" w:eastAsia="仿宋" w:cs="Times New Roman"/>
          <w:color w:val="auto"/>
          <w:sz w:val="28"/>
          <w:szCs w:val="28"/>
          <w:highlight w:val="none"/>
        </w:rPr>
        <w:t>乙方</w:t>
      </w:r>
      <w:r>
        <w:rPr>
          <w:rFonts w:ascii="Times New Roman" w:hAnsi="Times New Roman" w:eastAsia="仿宋" w:cs="Times New Roman"/>
          <w:color w:val="auto"/>
          <w:sz w:val="28"/>
          <w:szCs w:val="28"/>
          <w:highlight w:val="none"/>
        </w:rPr>
        <w:t>违约导致履约保证金部分扣除的，</w:t>
      </w:r>
      <w:r>
        <w:rPr>
          <w:rFonts w:hint="eastAsia" w:ascii="Times New Roman" w:hAnsi="Times New Roman" w:eastAsia="仿宋" w:cs="Times New Roman"/>
          <w:color w:val="auto"/>
          <w:sz w:val="28"/>
          <w:szCs w:val="28"/>
          <w:highlight w:val="none"/>
        </w:rPr>
        <w:t>乙方</w:t>
      </w:r>
      <w:r>
        <w:rPr>
          <w:rFonts w:ascii="Times New Roman" w:hAnsi="Times New Roman" w:eastAsia="仿宋" w:cs="Times New Roman"/>
          <w:color w:val="auto"/>
          <w:sz w:val="28"/>
          <w:szCs w:val="28"/>
          <w:highlight w:val="none"/>
        </w:rPr>
        <w:t>需在五个工作日内将扣除的履约保证金补齐。</w:t>
      </w:r>
    </w:p>
    <w:p w14:paraId="103DA4DE">
      <w:pPr>
        <w:pStyle w:val="23"/>
        <w:spacing w:line="360" w:lineRule="auto"/>
        <w:ind w:firstLine="560" w:firstLineChars="200"/>
        <w:rPr>
          <w:rFonts w:ascii="Times New Roman" w:hAnsi="Times New Roman" w:eastAsia="仿宋" w:cs="Times New Roman"/>
          <w:color w:val="auto"/>
          <w:sz w:val="28"/>
          <w:szCs w:val="28"/>
          <w:highlight w:val="none"/>
        </w:rPr>
      </w:pPr>
      <w:r>
        <w:rPr>
          <w:rFonts w:ascii="Times New Roman" w:hAnsi="Times New Roman" w:eastAsia="仿宋" w:cs="Times New Roman"/>
          <w:color w:val="auto"/>
          <w:sz w:val="28"/>
          <w:szCs w:val="28"/>
          <w:highlight w:val="none"/>
        </w:rPr>
        <w:t>如乙方在合同执行过程中单方面终止合同或违反合同条款被取消供应资格，履约保证金不退还。</w:t>
      </w:r>
    </w:p>
    <w:p w14:paraId="7E5F91F6">
      <w:pPr>
        <w:pStyle w:val="23"/>
        <w:spacing w:line="360" w:lineRule="auto"/>
        <w:ind w:firstLine="560" w:firstLineChars="200"/>
        <w:rPr>
          <w:rFonts w:ascii="Times New Roman" w:hAnsi="Times New Roman" w:eastAsia="仿宋" w:cs="Times New Roman"/>
          <w:color w:val="auto"/>
          <w:sz w:val="28"/>
          <w:szCs w:val="28"/>
          <w:highlight w:val="none"/>
        </w:rPr>
      </w:pPr>
      <w:r>
        <w:rPr>
          <w:rFonts w:ascii="Times New Roman" w:hAnsi="Times New Roman" w:eastAsia="仿宋" w:cs="Times New Roman"/>
          <w:color w:val="auto"/>
          <w:sz w:val="28"/>
          <w:szCs w:val="28"/>
          <w:highlight w:val="none"/>
        </w:rPr>
        <w:t>乙方无违约情况，在完成其合同义务，包括任何保证义务后30日内，一次性无息退还履约保证金。</w:t>
      </w:r>
    </w:p>
    <w:p w14:paraId="2B2A4D21">
      <w:pPr>
        <w:pStyle w:val="23"/>
        <w:spacing w:line="360" w:lineRule="auto"/>
        <w:ind w:firstLine="560" w:firstLineChars="200"/>
        <w:rPr>
          <w:rFonts w:ascii="Times New Roman" w:hAnsi="Times New Roman" w:eastAsia="仿宋" w:cs="Times New Roman"/>
          <w:bCs/>
          <w:color w:val="auto"/>
          <w:sz w:val="28"/>
          <w:szCs w:val="28"/>
          <w:highlight w:val="none"/>
        </w:rPr>
      </w:pPr>
      <w:r>
        <w:rPr>
          <w:rFonts w:ascii="Times New Roman" w:hAnsi="Times New Roman" w:eastAsia="仿宋" w:cs="Times New Roman"/>
          <w:bCs/>
          <w:color w:val="auto"/>
          <w:sz w:val="28"/>
          <w:szCs w:val="28"/>
          <w:highlight w:val="none"/>
        </w:rPr>
        <w:t>甲方履约保证金指定账户：</w:t>
      </w:r>
    </w:p>
    <w:p w14:paraId="24F1CEDF">
      <w:pPr>
        <w:pStyle w:val="23"/>
        <w:spacing w:line="360" w:lineRule="auto"/>
        <w:ind w:firstLine="560" w:firstLineChars="200"/>
        <w:rPr>
          <w:rFonts w:ascii="Times New Roman" w:hAnsi="Times New Roman" w:eastAsia="仿宋" w:cs="Times New Roman"/>
          <w:bCs/>
          <w:color w:val="auto"/>
          <w:sz w:val="28"/>
          <w:szCs w:val="28"/>
          <w:highlight w:val="none"/>
        </w:rPr>
      </w:pPr>
      <w:r>
        <w:rPr>
          <w:rFonts w:ascii="Times New Roman" w:hAnsi="Times New Roman" w:eastAsia="仿宋" w:cs="Times New Roman"/>
          <w:bCs/>
          <w:color w:val="auto"/>
          <w:sz w:val="28"/>
          <w:szCs w:val="28"/>
          <w:highlight w:val="none"/>
        </w:rPr>
        <w:t>开户名称：</w:t>
      </w:r>
      <w:r>
        <w:rPr>
          <w:rFonts w:ascii="Times New Roman" w:hAnsi="Times New Roman" w:eastAsia="仿宋" w:cs="Times New Roman"/>
          <w:bCs/>
          <w:color w:val="auto"/>
          <w:sz w:val="28"/>
          <w:szCs w:val="28"/>
          <w:highlight w:val="none"/>
          <w:u w:val="single"/>
        </w:rPr>
        <w:t>中华人民共和国青茂出入境边防检查站</w:t>
      </w:r>
      <w:r>
        <w:rPr>
          <w:rFonts w:ascii="Times New Roman" w:hAnsi="Times New Roman" w:eastAsia="仿宋" w:cs="Times New Roman"/>
          <w:bCs/>
          <w:color w:val="auto"/>
          <w:sz w:val="28"/>
          <w:szCs w:val="28"/>
          <w:highlight w:val="none"/>
        </w:rPr>
        <w:t>；</w:t>
      </w:r>
    </w:p>
    <w:p w14:paraId="1098B304">
      <w:pPr>
        <w:pStyle w:val="23"/>
        <w:spacing w:line="360" w:lineRule="auto"/>
        <w:ind w:firstLine="560" w:firstLineChars="200"/>
        <w:rPr>
          <w:rFonts w:ascii="Times New Roman" w:hAnsi="Times New Roman" w:eastAsia="仿宋" w:cs="Times New Roman"/>
          <w:bCs/>
          <w:color w:val="FF0000"/>
          <w:sz w:val="28"/>
          <w:szCs w:val="28"/>
          <w:highlight w:val="none"/>
        </w:rPr>
      </w:pPr>
      <w:r>
        <w:rPr>
          <w:rFonts w:ascii="Times New Roman" w:hAnsi="Times New Roman" w:eastAsia="仿宋" w:cs="Times New Roman"/>
          <w:bCs/>
          <w:color w:val="FF0000"/>
          <w:sz w:val="28"/>
          <w:szCs w:val="28"/>
          <w:highlight w:val="none"/>
        </w:rPr>
        <w:t>开户银行：</w:t>
      </w:r>
      <w:r>
        <w:rPr>
          <w:rFonts w:hint="eastAsia" w:ascii="Times New Roman" w:hAnsi="Times New Roman" w:eastAsia="仿宋" w:cs="Times New Roman"/>
          <w:bCs/>
          <w:color w:val="FF0000"/>
          <w:sz w:val="28"/>
          <w:szCs w:val="28"/>
          <w:highlight w:val="none"/>
          <w:u w:val="single"/>
          <w:lang w:val="en-US" w:eastAsia="zh-CN"/>
        </w:rPr>
        <w:t xml:space="preserve">                         </w:t>
      </w:r>
      <w:r>
        <w:rPr>
          <w:rFonts w:ascii="Times New Roman" w:hAnsi="Times New Roman" w:eastAsia="仿宋" w:cs="Times New Roman"/>
          <w:bCs/>
          <w:color w:val="FF0000"/>
          <w:sz w:val="28"/>
          <w:szCs w:val="28"/>
          <w:highlight w:val="none"/>
        </w:rPr>
        <w:t>；</w:t>
      </w:r>
    </w:p>
    <w:p w14:paraId="2FEAFB50">
      <w:pPr>
        <w:pStyle w:val="23"/>
        <w:spacing w:line="360" w:lineRule="auto"/>
        <w:ind w:firstLine="560" w:firstLineChars="200"/>
        <w:rPr>
          <w:rFonts w:ascii="Times New Roman" w:hAnsi="Times New Roman" w:eastAsia="仿宋" w:cs="Times New Roman"/>
          <w:bCs/>
          <w:color w:val="FF0000"/>
          <w:sz w:val="28"/>
          <w:szCs w:val="28"/>
          <w:highlight w:val="none"/>
        </w:rPr>
      </w:pPr>
      <w:r>
        <w:rPr>
          <w:rFonts w:ascii="Times New Roman" w:hAnsi="Times New Roman" w:eastAsia="仿宋" w:cs="Times New Roman"/>
          <w:bCs/>
          <w:color w:val="FF0000"/>
          <w:sz w:val="28"/>
          <w:szCs w:val="28"/>
          <w:highlight w:val="none"/>
        </w:rPr>
        <w:t>银行账号：</w:t>
      </w:r>
      <w:r>
        <w:rPr>
          <w:rFonts w:hint="eastAsia" w:ascii="Times New Roman" w:hAnsi="Times New Roman" w:eastAsia="仿宋" w:cs="Times New Roman"/>
          <w:bCs/>
          <w:color w:val="FF0000"/>
          <w:sz w:val="28"/>
          <w:szCs w:val="28"/>
          <w:highlight w:val="none"/>
          <w:u w:val="single"/>
          <w:lang w:val="en-US" w:eastAsia="zh-CN"/>
        </w:rPr>
        <w:t xml:space="preserve">                         </w:t>
      </w:r>
      <w:r>
        <w:rPr>
          <w:rFonts w:ascii="Times New Roman" w:hAnsi="Times New Roman" w:eastAsia="仿宋" w:cs="Times New Roman"/>
          <w:bCs/>
          <w:color w:val="FF0000"/>
          <w:sz w:val="28"/>
          <w:szCs w:val="28"/>
          <w:highlight w:val="none"/>
        </w:rPr>
        <w:t>。</w:t>
      </w:r>
    </w:p>
    <w:p w14:paraId="70B80274">
      <w:pPr>
        <w:spacing w:line="360" w:lineRule="auto"/>
        <w:ind w:firstLine="562" w:firstLineChars="200"/>
        <w:outlineLvl w:val="1"/>
        <w:rPr>
          <w:rFonts w:ascii="Times New Roman" w:hAnsi="Times New Roman" w:eastAsia="仿宋"/>
          <w:color w:val="auto"/>
          <w:sz w:val="28"/>
          <w:szCs w:val="28"/>
          <w:highlight w:val="none"/>
        </w:rPr>
      </w:pPr>
      <w:bookmarkStart w:id="167" w:name="_Toc1"/>
      <w:bookmarkStart w:id="168" w:name="_Toc12109"/>
      <w:bookmarkStart w:id="169" w:name="_Toc25635"/>
      <w:bookmarkStart w:id="170" w:name="_Toc1166"/>
      <w:bookmarkStart w:id="171" w:name="_Toc14385"/>
      <w:bookmarkStart w:id="172" w:name="_Toc17329"/>
      <w:bookmarkStart w:id="173" w:name="_Toc8288"/>
      <w:r>
        <w:rPr>
          <w:rFonts w:ascii="Times New Roman" w:hAnsi="Times New Roman" w:eastAsia="仿宋"/>
          <w:b/>
          <w:bCs/>
          <w:color w:val="auto"/>
          <w:sz w:val="28"/>
          <w:szCs w:val="28"/>
          <w:highlight w:val="none"/>
          <w:lang w:eastAsia="zh-Hans"/>
        </w:rPr>
        <w:t>四、</w:t>
      </w:r>
      <w:r>
        <w:rPr>
          <w:rFonts w:ascii="Times New Roman" w:hAnsi="Times New Roman" w:eastAsia="仿宋"/>
          <w:b/>
          <w:bCs/>
          <w:color w:val="auto"/>
          <w:sz w:val="28"/>
          <w:szCs w:val="28"/>
          <w:highlight w:val="none"/>
        </w:rPr>
        <w:t>服务期限、地点和方式</w:t>
      </w:r>
      <w:bookmarkEnd w:id="167"/>
      <w:bookmarkEnd w:id="168"/>
      <w:bookmarkEnd w:id="169"/>
      <w:bookmarkEnd w:id="170"/>
      <w:bookmarkEnd w:id="171"/>
      <w:bookmarkEnd w:id="172"/>
      <w:bookmarkEnd w:id="173"/>
    </w:p>
    <w:p w14:paraId="63BA1111">
      <w:pPr>
        <w:spacing w:line="360" w:lineRule="auto"/>
        <w:ind w:firstLine="560" w:firstLineChars="200"/>
        <w:rPr>
          <w:rFonts w:ascii="Times New Roman" w:hAnsi="Times New Roman" w:eastAsia="仿宋"/>
          <w:bCs/>
          <w:color w:val="auto"/>
          <w:sz w:val="28"/>
          <w:szCs w:val="28"/>
          <w:highlight w:val="none"/>
        </w:rPr>
      </w:pPr>
      <w:r>
        <w:rPr>
          <w:rFonts w:ascii="Times New Roman" w:hAnsi="Times New Roman" w:eastAsia="仿宋"/>
          <w:color w:val="auto"/>
          <w:sz w:val="28"/>
          <w:szCs w:val="28"/>
          <w:highlight w:val="none"/>
          <w:lang w:eastAsia="zh-Hans"/>
        </w:rPr>
        <w:t>（一）</w:t>
      </w:r>
      <w:r>
        <w:rPr>
          <w:rFonts w:ascii="Times New Roman" w:hAnsi="Times New Roman" w:eastAsia="仿宋"/>
          <w:color w:val="auto"/>
          <w:sz w:val="28"/>
          <w:szCs w:val="28"/>
          <w:highlight w:val="none"/>
        </w:rPr>
        <w:t>服务期限：</w:t>
      </w:r>
      <w:r>
        <w:rPr>
          <w:rFonts w:ascii="Times New Roman" w:hAnsi="Times New Roman" w:eastAsia="仿宋"/>
          <w:bCs/>
          <w:color w:val="auto"/>
          <w:sz w:val="28"/>
          <w:szCs w:val="28"/>
          <w:highlight w:val="none"/>
        </w:rPr>
        <w:t>自</w:t>
      </w:r>
      <w:r>
        <w:rPr>
          <w:rFonts w:ascii="Times New Roman" w:hAnsi="Times New Roman" w:eastAsia="仿宋"/>
          <w:bCs/>
          <w:color w:val="auto"/>
          <w:sz w:val="28"/>
          <w:szCs w:val="28"/>
          <w:highlight w:val="none"/>
          <w:u w:val="single"/>
        </w:rPr>
        <w:t xml:space="preserve">    </w:t>
      </w:r>
      <w:r>
        <w:rPr>
          <w:rFonts w:ascii="Times New Roman" w:hAnsi="Times New Roman" w:eastAsia="仿宋"/>
          <w:bCs/>
          <w:color w:val="auto"/>
          <w:sz w:val="28"/>
          <w:szCs w:val="28"/>
          <w:highlight w:val="none"/>
        </w:rPr>
        <w:t>年</w:t>
      </w:r>
      <w:r>
        <w:rPr>
          <w:rFonts w:ascii="Times New Roman" w:hAnsi="Times New Roman" w:eastAsia="仿宋"/>
          <w:bCs/>
          <w:color w:val="auto"/>
          <w:sz w:val="28"/>
          <w:szCs w:val="28"/>
          <w:highlight w:val="none"/>
          <w:u w:val="single"/>
        </w:rPr>
        <w:t xml:space="preserve">   </w:t>
      </w:r>
      <w:r>
        <w:rPr>
          <w:rFonts w:ascii="Times New Roman" w:hAnsi="Times New Roman" w:eastAsia="仿宋"/>
          <w:bCs/>
          <w:color w:val="auto"/>
          <w:sz w:val="28"/>
          <w:szCs w:val="28"/>
          <w:highlight w:val="none"/>
        </w:rPr>
        <w:t>月</w:t>
      </w:r>
      <w:r>
        <w:rPr>
          <w:rFonts w:ascii="Times New Roman" w:hAnsi="Times New Roman" w:eastAsia="仿宋"/>
          <w:bCs/>
          <w:color w:val="auto"/>
          <w:sz w:val="28"/>
          <w:szCs w:val="28"/>
          <w:highlight w:val="none"/>
          <w:u w:val="single"/>
        </w:rPr>
        <w:t xml:space="preserve">   </w:t>
      </w:r>
      <w:r>
        <w:rPr>
          <w:rFonts w:ascii="Times New Roman" w:hAnsi="Times New Roman" w:eastAsia="仿宋"/>
          <w:bCs/>
          <w:color w:val="auto"/>
          <w:sz w:val="28"/>
          <w:szCs w:val="28"/>
          <w:highlight w:val="none"/>
        </w:rPr>
        <w:t>日至</w:t>
      </w:r>
      <w:r>
        <w:rPr>
          <w:rFonts w:ascii="Times New Roman" w:hAnsi="Times New Roman" w:eastAsia="仿宋"/>
          <w:bCs/>
          <w:color w:val="auto"/>
          <w:sz w:val="28"/>
          <w:szCs w:val="28"/>
          <w:highlight w:val="none"/>
          <w:u w:val="single"/>
        </w:rPr>
        <w:t xml:space="preserve">    </w:t>
      </w:r>
      <w:r>
        <w:rPr>
          <w:rFonts w:ascii="Times New Roman" w:hAnsi="Times New Roman" w:eastAsia="仿宋"/>
          <w:bCs/>
          <w:color w:val="auto"/>
          <w:sz w:val="28"/>
          <w:szCs w:val="28"/>
          <w:highlight w:val="none"/>
        </w:rPr>
        <w:t>年</w:t>
      </w:r>
      <w:r>
        <w:rPr>
          <w:rFonts w:ascii="Times New Roman" w:hAnsi="Times New Roman" w:eastAsia="仿宋"/>
          <w:bCs/>
          <w:color w:val="auto"/>
          <w:sz w:val="28"/>
          <w:szCs w:val="28"/>
          <w:highlight w:val="none"/>
          <w:u w:val="single"/>
        </w:rPr>
        <w:t xml:space="preserve">   </w:t>
      </w:r>
      <w:r>
        <w:rPr>
          <w:rFonts w:ascii="Times New Roman" w:hAnsi="Times New Roman" w:eastAsia="仿宋"/>
          <w:bCs/>
          <w:color w:val="auto"/>
          <w:sz w:val="28"/>
          <w:szCs w:val="28"/>
          <w:highlight w:val="none"/>
        </w:rPr>
        <w:t>月</w:t>
      </w:r>
      <w:r>
        <w:rPr>
          <w:rFonts w:ascii="Times New Roman" w:hAnsi="Times New Roman" w:eastAsia="仿宋"/>
          <w:bCs/>
          <w:color w:val="auto"/>
          <w:sz w:val="28"/>
          <w:szCs w:val="28"/>
          <w:highlight w:val="none"/>
          <w:u w:val="single"/>
        </w:rPr>
        <w:t xml:space="preserve">   </w:t>
      </w:r>
      <w:r>
        <w:rPr>
          <w:rFonts w:ascii="Times New Roman" w:hAnsi="Times New Roman" w:eastAsia="仿宋"/>
          <w:bCs/>
          <w:color w:val="auto"/>
          <w:sz w:val="28"/>
          <w:szCs w:val="28"/>
          <w:highlight w:val="none"/>
        </w:rPr>
        <w:t>日（或乙方供货总额度达到项目预算额度上限￥1,620,000.00元）。</w:t>
      </w:r>
    </w:p>
    <w:p w14:paraId="394B06E2">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（二）</w:t>
      </w:r>
      <w:r>
        <w:rPr>
          <w:rFonts w:ascii="Times New Roman" w:hAnsi="Times New Roman" w:eastAsia="仿宋"/>
          <w:color w:val="auto"/>
          <w:sz w:val="28"/>
          <w:szCs w:val="28"/>
          <w:highlight w:val="none"/>
        </w:rPr>
        <w:t>交货方式：乙方负责将符合本合同约定的合格产品运送至</w:t>
      </w:r>
      <w:r>
        <w:rPr>
          <w:rFonts w:ascii="Times New Roman" w:hAnsi="Times New Roman" w:eastAsia="仿宋"/>
          <w:color w:val="auto"/>
          <w:sz w:val="28"/>
          <w:szCs w:val="28"/>
          <w:highlight w:val="none"/>
          <w:lang w:eastAsia="zh-Hans"/>
        </w:rPr>
        <w:t>合同约定的交货</w:t>
      </w:r>
      <w:r>
        <w:rPr>
          <w:rFonts w:ascii="Times New Roman" w:hAnsi="Times New Roman" w:eastAsia="仿宋"/>
          <w:color w:val="auto"/>
          <w:sz w:val="28"/>
          <w:szCs w:val="28"/>
          <w:highlight w:val="none"/>
        </w:rPr>
        <w:t>地点。</w:t>
      </w:r>
    </w:p>
    <w:p w14:paraId="08FE8242">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（三）</w:t>
      </w:r>
      <w:r>
        <w:rPr>
          <w:rFonts w:ascii="Times New Roman" w:hAnsi="Times New Roman" w:eastAsia="仿宋"/>
          <w:color w:val="auto"/>
          <w:sz w:val="28"/>
          <w:szCs w:val="28"/>
          <w:highlight w:val="none"/>
        </w:rPr>
        <w:t>交货地点：广东省珠海市香洲区国防路99号青茂口岸联检楼中华人民共和国青茂出入境边防检查站。</w:t>
      </w:r>
    </w:p>
    <w:p w14:paraId="7D1660DB">
      <w:pPr>
        <w:spacing w:line="360" w:lineRule="auto"/>
        <w:ind w:firstLine="560" w:firstLineChars="200"/>
        <w:rPr>
          <w:rFonts w:ascii="Times New Roman" w:hAnsi="Times New Roman" w:eastAsia="仿宋"/>
          <w:b/>
          <w:bCs/>
          <w:color w:val="auto"/>
          <w:sz w:val="28"/>
          <w:szCs w:val="28"/>
          <w:highlight w:val="none"/>
          <w:lang w:eastAsia="zh-Hans"/>
        </w:rPr>
      </w:pPr>
      <w:r>
        <w:rPr>
          <w:rFonts w:ascii="Times New Roman" w:hAnsi="Times New Roman" w:eastAsia="仿宋"/>
          <w:color w:val="auto"/>
          <w:sz w:val="28"/>
          <w:szCs w:val="28"/>
          <w:highlight w:val="none"/>
          <w:lang w:eastAsia="zh-Hans"/>
        </w:rPr>
        <w:t>（四）</w:t>
      </w:r>
      <w:r>
        <w:rPr>
          <w:rFonts w:ascii="Times New Roman" w:hAnsi="Times New Roman" w:eastAsia="仿宋"/>
          <w:color w:val="auto"/>
          <w:sz w:val="28"/>
          <w:szCs w:val="28"/>
          <w:highlight w:val="none"/>
        </w:rPr>
        <w:t>交货前乙方应对订单内的食材品种、质量、数量和重量等进行详细而全面检查，并准确及时供货。</w:t>
      </w:r>
    </w:p>
    <w:p w14:paraId="172C6BFD">
      <w:pPr>
        <w:spacing w:line="360" w:lineRule="auto"/>
        <w:ind w:firstLine="562" w:firstLineChars="200"/>
        <w:outlineLvl w:val="1"/>
        <w:rPr>
          <w:rFonts w:ascii="Times New Roman" w:hAnsi="Times New Roman" w:eastAsia="仿宋"/>
          <w:b/>
          <w:bCs/>
          <w:color w:val="auto"/>
          <w:sz w:val="28"/>
          <w:szCs w:val="28"/>
          <w:highlight w:val="none"/>
          <w:lang w:eastAsia="zh-Hans"/>
        </w:rPr>
      </w:pPr>
      <w:bookmarkStart w:id="174" w:name="_Toc8952"/>
      <w:bookmarkStart w:id="175" w:name="_Toc24485"/>
      <w:bookmarkStart w:id="176" w:name="_Toc24257"/>
      <w:bookmarkStart w:id="177" w:name="_Toc11247"/>
      <w:bookmarkStart w:id="178" w:name="_Toc8196"/>
      <w:bookmarkStart w:id="179" w:name="_Toc8427"/>
      <w:bookmarkStart w:id="180" w:name="_Toc32248"/>
      <w:r>
        <w:rPr>
          <w:rFonts w:ascii="Times New Roman" w:hAnsi="Times New Roman" w:eastAsia="仿宋"/>
          <w:b/>
          <w:bCs/>
          <w:color w:val="auto"/>
          <w:sz w:val="28"/>
          <w:szCs w:val="28"/>
          <w:highlight w:val="none"/>
          <w:lang w:eastAsia="zh-Hans"/>
        </w:rPr>
        <w:t>五、服务要求</w:t>
      </w:r>
      <w:bookmarkEnd w:id="174"/>
      <w:bookmarkEnd w:id="175"/>
      <w:bookmarkEnd w:id="176"/>
      <w:bookmarkEnd w:id="177"/>
      <w:bookmarkEnd w:id="178"/>
      <w:bookmarkEnd w:id="179"/>
      <w:bookmarkEnd w:id="180"/>
    </w:p>
    <w:p w14:paraId="19B50AD4">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1.甲方在每天20:00前，将第二天的</w:t>
      </w:r>
      <w:r>
        <w:rPr>
          <w:rFonts w:hint="eastAsia" w:ascii="Times New Roman" w:hAnsi="Times New Roman" w:eastAsia="仿宋"/>
          <w:color w:val="auto"/>
          <w:sz w:val="28"/>
          <w:szCs w:val="28"/>
          <w:highlight w:val="none"/>
        </w:rPr>
        <w:t>食材需求清单</w:t>
      </w:r>
      <w:r>
        <w:rPr>
          <w:rFonts w:ascii="Times New Roman" w:hAnsi="Times New Roman" w:eastAsia="仿宋"/>
          <w:color w:val="auto"/>
          <w:sz w:val="28"/>
          <w:szCs w:val="28"/>
          <w:highlight w:val="none"/>
        </w:rPr>
        <w:t>发送给乙方。若发生计划不准确或不及时或有疏漏等情况，乙方有义务提醒甲方提供或修正第二天的</w:t>
      </w:r>
      <w:r>
        <w:rPr>
          <w:rFonts w:hint="eastAsia" w:ascii="Times New Roman" w:hAnsi="Times New Roman" w:eastAsia="仿宋"/>
          <w:color w:val="auto"/>
          <w:sz w:val="28"/>
          <w:szCs w:val="28"/>
          <w:highlight w:val="none"/>
        </w:rPr>
        <w:t>食材需求清单</w:t>
      </w:r>
      <w:r>
        <w:rPr>
          <w:rFonts w:ascii="Times New Roman" w:hAnsi="Times New Roman" w:eastAsia="仿宋"/>
          <w:color w:val="auto"/>
          <w:sz w:val="28"/>
          <w:szCs w:val="28"/>
          <w:highlight w:val="none"/>
        </w:rPr>
        <w:t>。</w:t>
      </w:r>
    </w:p>
    <w:p w14:paraId="46F191D1">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2.乙方根据甲方当日的</w:t>
      </w:r>
      <w:r>
        <w:rPr>
          <w:rFonts w:hint="eastAsia" w:ascii="Times New Roman" w:hAnsi="Times New Roman" w:eastAsia="仿宋"/>
          <w:color w:val="auto"/>
          <w:sz w:val="28"/>
          <w:szCs w:val="28"/>
          <w:highlight w:val="none"/>
        </w:rPr>
        <w:t>食材需求清单</w:t>
      </w:r>
      <w:r>
        <w:rPr>
          <w:rFonts w:ascii="Times New Roman" w:hAnsi="Times New Roman" w:eastAsia="仿宋"/>
          <w:color w:val="auto"/>
          <w:sz w:val="28"/>
          <w:szCs w:val="28"/>
          <w:highlight w:val="none"/>
        </w:rPr>
        <w:t>，组织食材采购、配送、初加工等，按规定的品名、数量、质量要求进行供应。特殊情况需要更换食材供应品种时，须经甲方同意后实施。</w:t>
      </w:r>
    </w:p>
    <w:p w14:paraId="03F5EF40">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3.若未按时将食材送达，导致甲方不能按时开餐，甲方有权追究乙方的违约责任。如遇到不可抗力情况不能如期提供食材配送，须尽早通知甲方并解决问题，由此产生的一切责任均由乙方承担。</w:t>
      </w:r>
    </w:p>
    <w:p w14:paraId="3EC4103B">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4.甲方如遇特殊情况临时增加的紧急需求，乙方需在甲方提出要求后</w:t>
      </w:r>
      <w:r>
        <w:rPr>
          <w:rFonts w:hint="eastAsia" w:ascii="Times New Roman" w:hAnsi="Times New Roman" w:eastAsia="仿宋"/>
          <w:color w:val="auto"/>
          <w:sz w:val="28"/>
          <w:szCs w:val="28"/>
          <w:highlight w:val="none"/>
        </w:rPr>
        <w:t>及时</w:t>
      </w:r>
      <w:r>
        <w:rPr>
          <w:rFonts w:ascii="Times New Roman" w:hAnsi="Times New Roman" w:eastAsia="仿宋"/>
          <w:color w:val="auto"/>
          <w:sz w:val="28"/>
          <w:szCs w:val="28"/>
          <w:highlight w:val="none"/>
        </w:rPr>
        <w:t>响应，</w:t>
      </w:r>
      <w:r>
        <w:rPr>
          <w:rFonts w:hint="eastAsia" w:ascii="Times New Roman" w:hAnsi="Times New Roman" w:eastAsia="仿宋"/>
          <w:color w:val="auto"/>
          <w:sz w:val="28"/>
          <w:szCs w:val="28"/>
          <w:highlight w:val="none"/>
        </w:rPr>
        <w:t>按时限送达</w:t>
      </w:r>
      <w:r>
        <w:rPr>
          <w:rFonts w:ascii="Times New Roman" w:hAnsi="Times New Roman" w:eastAsia="仿宋"/>
          <w:color w:val="auto"/>
          <w:sz w:val="28"/>
          <w:szCs w:val="28"/>
          <w:highlight w:val="none"/>
        </w:rPr>
        <w:t>，不得推诿延误。</w:t>
      </w:r>
    </w:p>
    <w:p w14:paraId="20D49BFB">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5.乙方运输工具进入甲方区域，必须接受甲方统一管理，配送人员需遵守出入境管理法律法规及口岸限定区域管理规定，不得夹带走私，发生任何人员与设施损伤，均由乙方承担责任。</w:t>
      </w:r>
    </w:p>
    <w:p w14:paraId="1780D309">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6.乙方应当严格按照甲方要求配送食材。配送全流程应当符合以下要求：</w:t>
      </w:r>
    </w:p>
    <w:tbl>
      <w:tblPr>
        <w:tblStyle w:val="46"/>
        <w:tblW w:w="8820" w:type="dxa"/>
        <w:tblInd w:w="28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76"/>
        <w:gridCol w:w="7344"/>
      </w:tblGrid>
      <w:tr w14:paraId="1FFE66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1476" w:type="dxa"/>
            <w:noWrap w:val="0"/>
            <w:vAlign w:val="top"/>
          </w:tcPr>
          <w:p w14:paraId="219E6F81">
            <w:pPr>
              <w:spacing w:line="360" w:lineRule="auto"/>
              <w:jc w:val="center"/>
              <w:rPr>
                <w:rFonts w:ascii="Times New Roman" w:hAnsi="Times New Roman" w:eastAsia="仿宋"/>
                <w:b/>
                <w:bCs/>
                <w:color w:val="auto"/>
                <w:sz w:val="28"/>
                <w:szCs w:val="28"/>
                <w:highlight w:val="none"/>
              </w:rPr>
            </w:pPr>
            <w:r>
              <w:rPr>
                <w:rFonts w:ascii="Times New Roman" w:hAnsi="Times New Roman" w:eastAsia="仿宋"/>
                <w:b/>
                <w:bCs/>
                <w:color w:val="auto"/>
                <w:sz w:val="28"/>
                <w:szCs w:val="28"/>
                <w:highlight w:val="none"/>
              </w:rPr>
              <w:t>分类</w:t>
            </w:r>
          </w:p>
        </w:tc>
        <w:tc>
          <w:tcPr>
            <w:tcW w:w="7344" w:type="dxa"/>
            <w:noWrap w:val="0"/>
            <w:vAlign w:val="top"/>
          </w:tcPr>
          <w:p w14:paraId="4BBDDB4F">
            <w:pPr>
              <w:spacing w:line="360" w:lineRule="auto"/>
              <w:jc w:val="center"/>
              <w:rPr>
                <w:rFonts w:ascii="Times New Roman" w:hAnsi="Times New Roman" w:eastAsia="仿宋"/>
                <w:b/>
                <w:bCs/>
                <w:color w:val="auto"/>
                <w:sz w:val="28"/>
                <w:szCs w:val="28"/>
                <w:highlight w:val="none"/>
              </w:rPr>
            </w:pPr>
            <w:r>
              <w:rPr>
                <w:rFonts w:ascii="Times New Roman" w:hAnsi="Times New Roman" w:eastAsia="仿宋"/>
                <w:b/>
                <w:bCs/>
                <w:color w:val="auto"/>
                <w:sz w:val="28"/>
                <w:szCs w:val="28"/>
                <w:highlight w:val="none"/>
              </w:rPr>
              <w:t>配送要求</w:t>
            </w:r>
          </w:p>
        </w:tc>
      </w:tr>
      <w:tr w14:paraId="074314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8" w:hRule="atLeast"/>
        </w:trPr>
        <w:tc>
          <w:tcPr>
            <w:tcW w:w="1476" w:type="dxa"/>
            <w:noWrap w:val="0"/>
            <w:vAlign w:val="center"/>
          </w:tcPr>
          <w:p w14:paraId="2E63338E">
            <w:pPr>
              <w:spacing w:line="360" w:lineRule="auto"/>
              <w:jc w:val="center"/>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配送前</w:t>
            </w:r>
          </w:p>
        </w:tc>
        <w:tc>
          <w:tcPr>
            <w:tcW w:w="7344" w:type="dxa"/>
            <w:noWrap w:val="0"/>
            <w:vAlign w:val="top"/>
          </w:tcPr>
          <w:p w14:paraId="448F0577">
            <w:pPr>
              <w:spacing w:line="360" w:lineRule="auto"/>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严格查验食材种类、质量、数量及外包装情况，发现问题立即补充或更换。运输工具消毒并保持清洁。</w:t>
            </w:r>
          </w:p>
        </w:tc>
      </w:tr>
      <w:tr w14:paraId="1299D4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8" w:hRule="atLeast"/>
        </w:trPr>
        <w:tc>
          <w:tcPr>
            <w:tcW w:w="1476" w:type="dxa"/>
            <w:noWrap w:val="0"/>
            <w:vAlign w:val="center"/>
          </w:tcPr>
          <w:p w14:paraId="48AF1F49">
            <w:pPr>
              <w:spacing w:line="360" w:lineRule="auto"/>
              <w:jc w:val="center"/>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配送中</w:t>
            </w:r>
          </w:p>
        </w:tc>
        <w:tc>
          <w:tcPr>
            <w:tcW w:w="7344" w:type="dxa"/>
            <w:noWrap w:val="0"/>
            <w:vAlign w:val="top"/>
          </w:tcPr>
          <w:p w14:paraId="3D6C0416">
            <w:pPr>
              <w:spacing w:line="360" w:lineRule="auto"/>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保持运输环境温度、湿度稳定，科学分类运输，确保运输过程无挤压、无破损、无异味。</w:t>
            </w:r>
          </w:p>
        </w:tc>
      </w:tr>
      <w:tr w14:paraId="4EE210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8" w:hRule="atLeast"/>
        </w:trPr>
        <w:tc>
          <w:tcPr>
            <w:tcW w:w="1476" w:type="dxa"/>
            <w:noWrap w:val="0"/>
            <w:vAlign w:val="center"/>
          </w:tcPr>
          <w:p w14:paraId="3DBC2C11">
            <w:pPr>
              <w:spacing w:line="360" w:lineRule="auto"/>
              <w:jc w:val="center"/>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配送后</w:t>
            </w:r>
          </w:p>
        </w:tc>
        <w:tc>
          <w:tcPr>
            <w:tcW w:w="7344" w:type="dxa"/>
            <w:noWrap w:val="0"/>
            <w:vAlign w:val="top"/>
          </w:tcPr>
          <w:p w14:paraId="1217F9FB">
            <w:pPr>
              <w:spacing w:line="360" w:lineRule="auto"/>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到达指定地点后应当再次查验，如需换货，</w:t>
            </w:r>
            <w:r>
              <w:rPr>
                <w:rFonts w:hint="eastAsia" w:ascii="Times New Roman" w:hAnsi="Times New Roman" w:eastAsia="仿宋"/>
                <w:color w:val="auto"/>
                <w:sz w:val="28"/>
                <w:szCs w:val="28"/>
                <w:highlight w:val="none"/>
                <w:lang w:val="en-US" w:eastAsia="zh-CN"/>
              </w:rPr>
              <w:t>应</w:t>
            </w:r>
            <w:r>
              <w:rPr>
                <w:rFonts w:ascii="Times New Roman" w:hAnsi="Times New Roman" w:eastAsia="仿宋"/>
                <w:color w:val="auto"/>
                <w:sz w:val="28"/>
                <w:szCs w:val="28"/>
                <w:highlight w:val="none"/>
              </w:rPr>
              <w:t>当在规定时间内重新配送到位。</w:t>
            </w:r>
          </w:p>
        </w:tc>
      </w:tr>
    </w:tbl>
    <w:p w14:paraId="3A65D9CD">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7.乙方需指派一名项目负责人专门负责本项目的服务，并提供其联系手机、电话、传真、Email等；如项目负责人需要调整应及时通知甲方；定期有明确提示，及时向甲方提示货物质量与价格方面的变动等信息</w:t>
      </w:r>
    </w:p>
    <w:p w14:paraId="09B6BA83">
      <w:pPr>
        <w:spacing w:line="360" w:lineRule="auto"/>
        <w:ind w:firstLine="560" w:firstLineChars="200"/>
        <w:rPr>
          <w:rFonts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rPr>
        <w:t>8</w:t>
      </w:r>
      <w:r>
        <w:rPr>
          <w:rFonts w:ascii="Times New Roman" w:hAnsi="Times New Roman" w:eastAsia="仿宋"/>
          <w:color w:val="auto"/>
          <w:sz w:val="28"/>
          <w:szCs w:val="28"/>
          <w:highlight w:val="none"/>
        </w:rPr>
        <w:t>.乙方需具有与经营相适应的配送中心，配备固定的服务团队，具备相对固定的配送人员，并指派一名配送专员跟单办理业务，按每天制订的计划提供配送服务。配送服务人员应具有食品从业人员健康证明和社保参保证明。</w:t>
      </w:r>
    </w:p>
    <w:p w14:paraId="340FA7BF">
      <w:pPr>
        <w:spacing w:line="360" w:lineRule="auto"/>
        <w:ind w:firstLine="560" w:firstLineChars="200"/>
        <w:rPr>
          <w:rFonts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rPr>
        <w:t>9</w:t>
      </w:r>
      <w:r>
        <w:rPr>
          <w:rFonts w:ascii="Times New Roman" w:hAnsi="Times New Roman" w:eastAsia="仿宋"/>
          <w:color w:val="auto"/>
          <w:sz w:val="28"/>
          <w:szCs w:val="28"/>
          <w:highlight w:val="none"/>
        </w:rPr>
        <w:t>.乙方应当采用满足食材配送要求的专用运输车辆（含冷链运输车）将食材配送到甲方指定地点，车辆应相对固定、手续齐全。</w:t>
      </w:r>
    </w:p>
    <w:p w14:paraId="727D8744">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1</w:t>
      </w:r>
      <w:r>
        <w:rPr>
          <w:rFonts w:hint="eastAsia" w:ascii="Times New Roman" w:hAnsi="Times New Roman" w:eastAsia="仿宋"/>
          <w:color w:val="auto"/>
          <w:sz w:val="28"/>
          <w:szCs w:val="28"/>
          <w:highlight w:val="none"/>
        </w:rPr>
        <w:t>0</w:t>
      </w:r>
      <w:r>
        <w:rPr>
          <w:rFonts w:ascii="Times New Roman" w:hAnsi="Times New Roman" w:eastAsia="仿宋"/>
          <w:color w:val="auto"/>
          <w:sz w:val="28"/>
          <w:szCs w:val="28"/>
          <w:highlight w:val="none"/>
        </w:rPr>
        <w:t>.乙方应当具备满足本项目物资需求的仓储保障能力，在特殊情况下，能满足7天以上物资供应不受影响。</w:t>
      </w:r>
    </w:p>
    <w:p w14:paraId="5DEAF385">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1</w:t>
      </w:r>
      <w:r>
        <w:rPr>
          <w:rFonts w:hint="eastAsia" w:ascii="Times New Roman" w:hAnsi="Times New Roman" w:eastAsia="仿宋"/>
          <w:color w:val="auto"/>
          <w:sz w:val="28"/>
          <w:szCs w:val="28"/>
          <w:highlight w:val="none"/>
        </w:rPr>
        <w:t>1</w:t>
      </w:r>
      <w:r>
        <w:rPr>
          <w:rFonts w:ascii="Times New Roman" w:hAnsi="Times New Roman" w:eastAsia="仿宋"/>
          <w:color w:val="auto"/>
          <w:sz w:val="28"/>
          <w:szCs w:val="28"/>
          <w:highlight w:val="none"/>
        </w:rPr>
        <w:t>.乙方应当随时做好食材配送相关联的人员、设备、车辆、场地消毒清洁等保障工作，并制定突发性公共卫生事件应对办法和响应机制，包括人员培训及消杀等应急物资储备。</w:t>
      </w:r>
    </w:p>
    <w:p w14:paraId="7E26BC90">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1</w:t>
      </w:r>
      <w:r>
        <w:rPr>
          <w:rFonts w:hint="eastAsia" w:ascii="Times New Roman" w:hAnsi="Times New Roman" w:eastAsia="仿宋"/>
          <w:color w:val="auto"/>
          <w:sz w:val="28"/>
          <w:szCs w:val="28"/>
          <w:highlight w:val="none"/>
        </w:rPr>
        <w:t>2</w:t>
      </w:r>
      <w:r>
        <w:rPr>
          <w:rFonts w:ascii="Times New Roman" w:hAnsi="Times New Roman" w:eastAsia="仿宋"/>
          <w:color w:val="auto"/>
          <w:sz w:val="28"/>
          <w:szCs w:val="28"/>
          <w:highlight w:val="none"/>
        </w:rPr>
        <w:t>.乙方应建立食材配送响应机制，详细计划安排配送工作，按照约定的时间和地点完成每次配送，防止误点错送。</w:t>
      </w:r>
    </w:p>
    <w:p w14:paraId="11DD8203">
      <w:pPr>
        <w:spacing w:line="360" w:lineRule="auto"/>
        <w:ind w:firstLine="560" w:firstLineChars="200"/>
        <w:rPr>
          <w:rFonts w:hint="eastAsia" w:ascii="Times New Roman" w:hAnsi="Times New Roman" w:eastAsia="仿宋"/>
          <w:color w:val="auto"/>
          <w:sz w:val="28"/>
          <w:szCs w:val="28"/>
          <w:highlight w:val="none"/>
        </w:rPr>
      </w:pPr>
      <w:r>
        <w:rPr>
          <w:rFonts w:ascii="Times New Roman" w:hAnsi="Times New Roman" w:eastAsia="仿宋"/>
          <w:color w:val="auto"/>
          <w:sz w:val="28"/>
          <w:szCs w:val="28"/>
          <w:highlight w:val="none"/>
        </w:rPr>
        <w:t>1</w:t>
      </w:r>
      <w:r>
        <w:rPr>
          <w:rFonts w:hint="eastAsia" w:ascii="Times New Roman" w:hAnsi="Times New Roman" w:eastAsia="仿宋"/>
          <w:color w:val="auto"/>
          <w:sz w:val="28"/>
          <w:szCs w:val="28"/>
          <w:highlight w:val="none"/>
        </w:rPr>
        <w:t>3</w:t>
      </w:r>
      <w:r>
        <w:rPr>
          <w:rFonts w:ascii="Times New Roman" w:hAnsi="Times New Roman" w:eastAsia="仿宋"/>
          <w:color w:val="auto"/>
          <w:sz w:val="28"/>
          <w:szCs w:val="28"/>
          <w:highlight w:val="none"/>
        </w:rPr>
        <w:t xml:space="preserve">.乙方应当针对恶劣天气等不可抗力因素及突发情况等建立完善的应急保障机制，确保食材供应不中断。遇到应急配送时，应当及时启动应急保障措施，响应到位。    </w:t>
      </w:r>
    </w:p>
    <w:p w14:paraId="3A7D8FEC">
      <w:pPr>
        <w:spacing w:line="360" w:lineRule="auto"/>
        <w:ind w:firstLine="562" w:firstLineChars="200"/>
        <w:outlineLvl w:val="1"/>
        <w:rPr>
          <w:rFonts w:hint="eastAsia" w:ascii="Times New Roman" w:hAnsi="Times New Roman" w:eastAsia="仿宋" w:cs="Times New Roman"/>
          <w:b/>
          <w:bCs/>
          <w:color w:val="auto"/>
          <w:sz w:val="28"/>
          <w:szCs w:val="28"/>
          <w:highlight w:val="none"/>
          <w:lang w:eastAsia="zh-Hans"/>
        </w:rPr>
      </w:pPr>
      <w:r>
        <w:rPr>
          <w:rFonts w:ascii="Times New Roman" w:hAnsi="Times New Roman" w:eastAsia="仿宋" w:cs="Times New Roman"/>
          <w:b/>
          <w:bCs/>
          <w:color w:val="auto"/>
          <w:sz w:val="28"/>
          <w:szCs w:val="28"/>
          <w:highlight w:val="none"/>
          <w:lang w:eastAsia="zh-Hans"/>
        </w:rPr>
        <w:t xml:space="preserve"> </w:t>
      </w:r>
      <w:bookmarkStart w:id="181" w:name="_Toc30218"/>
      <w:bookmarkStart w:id="182" w:name="_Toc19274"/>
      <w:bookmarkStart w:id="183" w:name="_Toc31959"/>
      <w:r>
        <w:rPr>
          <w:rFonts w:ascii="Times New Roman" w:hAnsi="Times New Roman" w:eastAsia="仿宋" w:cs="Times New Roman"/>
          <w:b/>
          <w:bCs/>
          <w:color w:val="auto"/>
          <w:sz w:val="28"/>
          <w:szCs w:val="28"/>
          <w:highlight w:val="none"/>
          <w:lang w:eastAsia="zh-Hans"/>
        </w:rPr>
        <w:t>六、食材溯源要求</w:t>
      </w:r>
      <w:bookmarkEnd w:id="181"/>
      <w:bookmarkEnd w:id="182"/>
      <w:bookmarkEnd w:id="183"/>
      <w:bookmarkStart w:id="184" w:name="_Toc25255"/>
      <w:bookmarkStart w:id="185" w:name="_Toc1539"/>
      <w:bookmarkStart w:id="186" w:name="_Toc9088"/>
      <w:bookmarkStart w:id="187" w:name="_Toc17638"/>
    </w:p>
    <w:p w14:paraId="1274E2EC">
      <w:pPr>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rPr>
        <w:t>乙方配送的所有食品来源必须清晰，肉类应当具有市场检验检疫出具的合格证明；蔬菜应当来源于受到地方政府部门监管的自有基地、商品菜基地或蔬菜专业流通市场，严禁收购散户农民的蔬菜供应。</w:t>
      </w:r>
    </w:p>
    <w:bookmarkEnd w:id="184"/>
    <w:bookmarkEnd w:id="185"/>
    <w:bookmarkEnd w:id="186"/>
    <w:bookmarkEnd w:id="187"/>
    <w:p w14:paraId="44D43C50">
      <w:pPr>
        <w:spacing w:line="360" w:lineRule="auto"/>
        <w:ind w:firstLine="562" w:firstLineChars="200"/>
        <w:outlineLvl w:val="1"/>
        <w:rPr>
          <w:rFonts w:ascii="Times New Roman" w:hAnsi="Times New Roman" w:eastAsia="仿宋"/>
          <w:b/>
          <w:bCs/>
          <w:color w:val="auto"/>
          <w:sz w:val="28"/>
          <w:szCs w:val="28"/>
          <w:highlight w:val="none"/>
          <w:lang w:eastAsia="zh-Hans"/>
        </w:rPr>
      </w:pPr>
      <w:bookmarkStart w:id="188" w:name="_Toc13310"/>
      <w:bookmarkStart w:id="189" w:name="_Toc11451"/>
      <w:bookmarkStart w:id="190" w:name="_Toc26087"/>
      <w:bookmarkStart w:id="191" w:name="_Toc24781"/>
      <w:bookmarkStart w:id="192" w:name="_Toc22416"/>
      <w:bookmarkStart w:id="193" w:name="_Toc385"/>
      <w:bookmarkStart w:id="194" w:name="_Toc30230"/>
      <w:r>
        <w:rPr>
          <w:rFonts w:ascii="Times New Roman" w:hAnsi="Times New Roman" w:eastAsia="仿宋"/>
          <w:b/>
          <w:bCs/>
          <w:color w:val="auto"/>
          <w:sz w:val="28"/>
          <w:szCs w:val="28"/>
          <w:highlight w:val="none"/>
          <w:lang w:eastAsia="zh-Hans"/>
        </w:rPr>
        <w:t>七、</w:t>
      </w:r>
      <w:bookmarkEnd w:id="188"/>
      <w:bookmarkEnd w:id="189"/>
      <w:bookmarkEnd w:id="190"/>
      <w:bookmarkEnd w:id="191"/>
      <w:r>
        <w:rPr>
          <w:rFonts w:ascii="Times New Roman" w:hAnsi="Times New Roman" w:eastAsia="仿宋"/>
          <w:b/>
          <w:bCs/>
          <w:color w:val="auto"/>
          <w:sz w:val="28"/>
          <w:szCs w:val="28"/>
          <w:highlight w:val="none"/>
          <w:lang w:eastAsia="zh-Hans"/>
        </w:rPr>
        <w:t>包装和运输要求</w:t>
      </w:r>
      <w:bookmarkEnd w:id="192"/>
      <w:bookmarkEnd w:id="193"/>
      <w:bookmarkEnd w:id="194"/>
    </w:p>
    <w:p w14:paraId="7EE4AF6C">
      <w:pPr>
        <w:spacing w:line="360" w:lineRule="auto"/>
        <w:ind w:firstLine="560" w:firstLineChars="200"/>
        <w:outlineLvl w:val="9"/>
        <w:rPr>
          <w:rFonts w:ascii="Times New Roman" w:hAnsi="Times New Roman" w:eastAsia="仿宋"/>
          <w:color w:val="auto"/>
          <w:sz w:val="28"/>
          <w:szCs w:val="28"/>
          <w:highlight w:val="none"/>
        </w:rPr>
      </w:pPr>
      <w:bookmarkStart w:id="195" w:name="_Toc17663"/>
      <w:bookmarkStart w:id="196" w:name="_Toc32466"/>
      <w:bookmarkStart w:id="197" w:name="_Toc12479"/>
      <w:bookmarkStart w:id="198" w:name="_Toc14986"/>
      <w:r>
        <w:rPr>
          <w:rFonts w:ascii="Times New Roman" w:hAnsi="Times New Roman" w:eastAsia="仿宋"/>
          <w:color w:val="auto"/>
          <w:sz w:val="28"/>
          <w:szCs w:val="28"/>
          <w:highlight w:val="none"/>
        </w:rPr>
        <w:t xml:space="preserve">1. 乙方所提供的食材临时包装应规范、卫生、整齐、美观；肉类要按甲方要求进行分割，外包透明薄膜；冻类等用保鲜袋进行冷冻封装；鱼类、海鲜类用网袋装好，放置有加氧机的清水中，保持鲜活；干货、调料、水果类用纸箱包装；蔬菜瓜类用塑料筐盛装。乙方应每天使用专用冷链车运输甲方所需食材，送货车辆要保持清洁和定期消毒，车厢内无不良气味、异味。车厢内食品堆放科学合理，避免造成食品的交叉污染；如对温度有要求的食品应确定食品的温度，记录送货车辆温度，并记录存档。                                                  </w:t>
      </w:r>
    </w:p>
    <w:p w14:paraId="7ED1636E">
      <w:pPr>
        <w:spacing w:line="360" w:lineRule="auto"/>
        <w:ind w:firstLine="560" w:firstLineChars="200"/>
        <w:outlineLvl w:val="9"/>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2. 货物有包装的，包装必须完整清洁(无损、无污、无皱)，甲方有权拒收包装不整齐、已拆封的商品。甲方发现商品出现损坏(包括表面损坏)，或出现水渍、串味、受潮等导致货物性质改变的，乙方必须无条件退货或更换商品。</w:t>
      </w:r>
      <w:r>
        <w:rPr>
          <w:rFonts w:hint="eastAsia" w:ascii="Times New Roman" w:hAnsi="Times New Roman" w:eastAsia="仿宋"/>
          <w:color w:val="auto"/>
          <w:sz w:val="28"/>
          <w:szCs w:val="28"/>
          <w:highlight w:val="none"/>
        </w:rPr>
        <w:t xml:space="preserve">  </w:t>
      </w:r>
      <w:bookmarkEnd w:id="195"/>
      <w:bookmarkEnd w:id="196"/>
      <w:bookmarkEnd w:id="197"/>
      <w:bookmarkEnd w:id="198"/>
    </w:p>
    <w:p w14:paraId="07BF43F0">
      <w:pPr>
        <w:spacing w:line="360" w:lineRule="auto"/>
        <w:ind w:firstLine="562" w:firstLineChars="200"/>
        <w:outlineLvl w:val="1"/>
        <w:rPr>
          <w:rFonts w:ascii="Times New Roman" w:hAnsi="Times New Roman" w:eastAsia="仿宋"/>
          <w:b/>
          <w:bCs/>
          <w:color w:val="auto"/>
          <w:sz w:val="28"/>
          <w:szCs w:val="28"/>
          <w:highlight w:val="none"/>
        </w:rPr>
      </w:pPr>
      <w:bookmarkStart w:id="199" w:name="_Toc14164"/>
      <w:bookmarkStart w:id="200" w:name="_Toc16248"/>
      <w:bookmarkStart w:id="201" w:name="_Toc11850"/>
      <w:bookmarkStart w:id="202" w:name="_Toc14668"/>
      <w:bookmarkStart w:id="203" w:name="_Toc26455"/>
      <w:bookmarkStart w:id="204" w:name="_Toc15014"/>
      <w:bookmarkStart w:id="205" w:name="_Toc2207"/>
      <w:r>
        <w:rPr>
          <w:rFonts w:ascii="Times New Roman" w:hAnsi="Times New Roman" w:eastAsia="仿宋"/>
          <w:b/>
          <w:bCs/>
          <w:color w:val="auto"/>
          <w:sz w:val="28"/>
          <w:szCs w:val="28"/>
          <w:highlight w:val="none"/>
        </w:rPr>
        <w:t>八、售后服务</w:t>
      </w:r>
      <w:bookmarkEnd w:id="199"/>
      <w:bookmarkEnd w:id="200"/>
      <w:bookmarkEnd w:id="201"/>
      <w:bookmarkEnd w:id="202"/>
      <w:bookmarkEnd w:id="203"/>
      <w:bookmarkEnd w:id="204"/>
      <w:bookmarkEnd w:id="205"/>
    </w:p>
    <w:p w14:paraId="320F2B79">
      <w:pPr>
        <w:spacing w:line="360" w:lineRule="auto"/>
        <w:ind w:firstLine="560" w:firstLineChars="200"/>
        <w:outlineLvl w:val="9"/>
        <w:rPr>
          <w:rFonts w:ascii="Times New Roman" w:hAnsi="Times New Roman" w:eastAsia="仿宋"/>
          <w:color w:val="auto"/>
          <w:sz w:val="28"/>
          <w:szCs w:val="28"/>
          <w:highlight w:val="none"/>
        </w:rPr>
      </w:pPr>
      <w:bookmarkStart w:id="206" w:name="_Toc24551"/>
      <w:bookmarkStart w:id="207" w:name="_Toc30007"/>
      <w:bookmarkStart w:id="208" w:name="_Toc18673"/>
      <w:bookmarkStart w:id="209" w:name="_Toc16018"/>
      <w:r>
        <w:rPr>
          <w:rFonts w:ascii="Times New Roman" w:hAnsi="Times New Roman" w:eastAsia="仿宋"/>
          <w:color w:val="auto"/>
          <w:sz w:val="28"/>
          <w:szCs w:val="28"/>
          <w:highlight w:val="none"/>
        </w:rPr>
        <w:t>1.退换货处理：对于货不对版或质量达不到要求的品种，甲方要求退换货，乙方应保证在甲方指定的时间内送到，因此所产生任何费用由乙方自行承担；甲方要求退货的，乙方应无条件退货。</w:t>
      </w:r>
    </w:p>
    <w:p w14:paraId="37E712A5">
      <w:pPr>
        <w:spacing w:line="360" w:lineRule="auto"/>
        <w:ind w:firstLine="560" w:firstLineChars="200"/>
        <w:outlineLvl w:val="9"/>
        <w:rPr>
          <w:rFonts w:hint="eastAsia" w:ascii="Times New Roman" w:hAnsi="Times New Roman" w:eastAsia="仿宋"/>
          <w:bCs/>
          <w:color w:val="auto"/>
          <w:sz w:val="28"/>
          <w:szCs w:val="28"/>
          <w:highlight w:val="none"/>
        </w:rPr>
      </w:pPr>
      <w:r>
        <w:rPr>
          <w:rFonts w:ascii="Times New Roman" w:hAnsi="Times New Roman" w:eastAsia="仿宋"/>
          <w:color w:val="auto"/>
          <w:sz w:val="28"/>
          <w:szCs w:val="28"/>
          <w:highlight w:val="none"/>
        </w:rPr>
        <w:t>2.临时补货处理：当甲方有临时补货任务时，乙方要在甲方要求的时限内完成补货，确保甲方准时开餐。</w:t>
      </w:r>
      <w:r>
        <w:rPr>
          <w:rFonts w:ascii="Times New Roman" w:hAnsi="Times New Roman" w:eastAsia="仿宋"/>
          <w:bCs/>
          <w:color w:val="auto"/>
          <w:sz w:val="28"/>
          <w:szCs w:val="28"/>
          <w:highlight w:val="none"/>
        </w:rPr>
        <w:t xml:space="preserve">   </w:t>
      </w:r>
    </w:p>
    <w:p w14:paraId="10769D55">
      <w:pPr>
        <w:spacing w:line="360" w:lineRule="auto"/>
        <w:ind w:firstLine="560" w:firstLineChars="200"/>
        <w:outlineLvl w:val="9"/>
        <w:rPr>
          <w:rFonts w:ascii="仿宋" w:hAnsi="仿宋" w:eastAsia="仿宋"/>
          <w:bCs/>
          <w:color w:val="auto"/>
          <w:sz w:val="28"/>
          <w:szCs w:val="28"/>
          <w:highlight w:val="none"/>
        </w:rPr>
      </w:pPr>
      <w:r>
        <w:rPr>
          <w:rFonts w:hint="eastAsia" w:ascii="仿宋" w:hAnsi="仿宋" w:eastAsia="仿宋"/>
          <w:bCs/>
          <w:color w:val="auto"/>
          <w:sz w:val="28"/>
          <w:szCs w:val="28"/>
          <w:highlight w:val="none"/>
        </w:rPr>
        <w:t>3.</w:t>
      </w:r>
      <w:r>
        <w:rPr>
          <w:rFonts w:ascii="仿宋" w:hAnsi="仿宋" w:eastAsia="仿宋"/>
          <w:bCs/>
          <w:color w:val="auto"/>
          <w:sz w:val="28"/>
          <w:szCs w:val="28"/>
          <w:highlight w:val="none"/>
        </w:rPr>
        <w:t>为确保项目质量，乙方不得转包、分包，否则甲方有权即刻终止合同，并要求乙方赔偿相应损失。</w:t>
      </w:r>
    </w:p>
    <w:p w14:paraId="0C0D0470">
      <w:pPr>
        <w:spacing w:line="360" w:lineRule="auto"/>
        <w:ind w:firstLine="562" w:firstLineChars="200"/>
        <w:outlineLvl w:val="1"/>
        <w:rPr>
          <w:rFonts w:hint="eastAsia" w:ascii="Times New Roman" w:hAnsi="Times New Roman" w:eastAsia="仿宋"/>
          <w:b/>
          <w:bCs/>
          <w:color w:val="auto"/>
          <w:sz w:val="28"/>
          <w:szCs w:val="28"/>
          <w:highlight w:val="none"/>
        </w:rPr>
      </w:pPr>
      <w:bookmarkStart w:id="210" w:name="_Toc26768"/>
      <w:bookmarkStart w:id="211" w:name="_Toc24723"/>
      <w:bookmarkStart w:id="212" w:name="_Toc3434"/>
      <w:r>
        <w:rPr>
          <w:rFonts w:hint="eastAsia" w:ascii="Times New Roman" w:hAnsi="Times New Roman" w:eastAsia="仿宋"/>
          <w:b/>
          <w:bCs/>
          <w:color w:val="auto"/>
          <w:sz w:val="28"/>
          <w:szCs w:val="28"/>
          <w:highlight w:val="none"/>
        </w:rPr>
        <w:t>九、付款方式</w:t>
      </w:r>
      <w:bookmarkEnd w:id="210"/>
      <w:bookmarkEnd w:id="211"/>
      <w:bookmarkEnd w:id="212"/>
    </w:p>
    <w:p w14:paraId="0801C2B6">
      <w:pPr>
        <w:pStyle w:val="19"/>
        <w:spacing w:after="0"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（一）乙方往来款账号信息</w:t>
      </w:r>
    </w:p>
    <w:p w14:paraId="642EF1B5">
      <w:pPr>
        <w:pStyle w:val="19"/>
        <w:spacing w:after="0"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开户名：</w:t>
      </w:r>
      <w:r>
        <w:rPr>
          <w:rFonts w:hint="eastAsia" w:ascii="Times New Roman" w:hAnsi="Times New Roman" w:eastAsia="仿宋"/>
          <w:color w:val="auto"/>
          <w:sz w:val="28"/>
          <w:szCs w:val="28"/>
          <w:highlight w:val="none"/>
        </w:rPr>
        <w:t xml:space="preserve"> </w:t>
      </w:r>
    </w:p>
    <w:p w14:paraId="5308851A">
      <w:pPr>
        <w:pStyle w:val="19"/>
        <w:spacing w:after="0"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账号：</w:t>
      </w:r>
      <w:r>
        <w:rPr>
          <w:rFonts w:hint="eastAsia" w:ascii="Times New Roman" w:hAnsi="Times New Roman" w:eastAsia="仿宋"/>
          <w:color w:val="auto"/>
          <w:sz w:val="28"/>
          <w:szCs w:val="28"/>
          <w:highlight w:val="none"/>
        </w:rPr>
        <w:t xml:space="preserve"> </w:t>
      </w:r>
    </w:p>
    <w:p w14:paraId="47DB9363">
      <w:pPr>
        <w:pStyle w:val="19"/>
        <w:spacing w:after="0" w:line="360" w:lineRule="auto"/>
        <w:ind w:firstLine="560" w:firstLineChars="200"/>
        <w:rPr>
          <w:rFonts w:hint="eastAsia" w:ascii="Times New Roman" w:hAnsi="Times New Roman" w:eastAsia="仿宋"/>
          <w:color w:val="auto"/>
          <w:sz w:val="28"/>
          <w:szCs w:val="28"/>
          <w:highlight w:val="none"/>
        </w:rPr>
      </w:pPr>
      <w:r>
        <w:rPr>
          <w:rFonts w:ascii="Times New Roman" w:hAnsi="Times New Roman" w:eastAsia="仿宋"/>
          <w:color w:val="auto"/>
          <w:sz w:val="28"/>
          <w:szCs w:val="28"/>
          <w:highlight w:val="none"/>
        </w:rPr>
        <w:t>开户银行：</w:t>
      </w:r>
      <w:r>
        <w:rPr>
          <w:rFonts w:hint="eastAsia" w:ascii="Times New Roman" w:hAnsi="Times New Roman" w:eastAsia="仿宋"/>
          <w:color w:val="auto"/>
          <w:sz w:val="28"/>
          <w:szCs w:val="28"/>
          <w:highlight w:val="none"/>
        </w:rPr>
        <w:t xml:space="preserve"> </w:t>
      </w:r>
    </w:p>
    <w:p w14:paraId="50C1CD00">
      <w:pPr>
        <w:pStyle w:val="19"/>
        <w:spacing w:after="0" w:line="360" w:lineRule="auto"/>
        <w:ind w:firstLine="560" w:firstLineChars="200"/>
        <w:rPr>
          <w:rFonts w:hint="eastAsia" w:ascii="Times New Roman" w:hAnsi="Times New Roman" w:eastAsia="仿宋"/>
          <w:color w:val="auto"/>
          <w:sz w:val="28"/>
          <w:szCs w:val="28"/>
          <w:highlight w:val="none"/>
        </w:rPr>
      </w:pPr>
      <w:r>
        <w:rPr>
          <w:rFonts w:ascii="Times New Roman" w:hAnsi="Times New Roman" w:eastAsia="仿宋"/>
          <w:color w:val="auto"/>
          <w:sz w:val="28"/>
          <w:szCs w:val="28"/>
          <w:highlight w:val="none"/>
        </w:rPr>
        <w:t>（二）付款方式</w:t>
      </w:r>
    </w:p>
    <w:p w14:paraId="46E501C9">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Times New Roman" w:eastAsia="仿宋"/>
          <w:bCs/>
          <w:color w:val="auto"/>
          <w:sz w:val="28"/>
          <w:szCs w:val="28"/>
          <w:highlight w:val="none"/>
        </w:rPr>
        <w:t>1.</w:t>
      </w:r>
      <w:r>
        <w:rPr>
          <w:rFonts w:ascii="Times New Roman" w:hAnsi="仿宋" w:eastAsia="仿宋"/>
          <w:bCs/>
          <w:color w:val="auto"/>
          <w:sz w:val="28"/>
          <w:szCs w:val="28"/>
          <w:highlight w:val="none"/>
        </w:rPr>
        <w:t>每月结算金额</w:t>
      </w:r>
      <w:r>
        <w:rPr>
          <w:rFonts w:ascii="Times New Roman" w:hAnsi="Times New Roman" w:eastAsia="仿宋"/>
          <w:bCs/>
          <w:color w:val="auto"/>
          <w:sz w:val="28"/>
          <w:szCs w:val="28"/>
          <w:highlight w:val="none"/>
        </w:rPr>
        <w:t>=∑</w:t>
      </w:r>
      <w:r>
        <w:rPr>
          <w:rFonts w:ascii="Times New Roman" w:hAnsi="仿宋" w:eastAsia="仿宋"/>
          <w:bCs/>
          <w:color w:val="auto"/>
          <w:sz w:val="28"/>
          <w:szCs w:val="28"/>
          <w:highlight w:val="none"/>
        </w:rPr>
        <w:t>（食材结算基准价</w:t>
      </w:r>
      <w:r>
        <w:rPr>
          <w:rFonts w:ascii="Times New Roman" w:hAnsi="Times New Roman" w:eastAsia="仿宋"/>
          <w:bCs/>
          <w:color w:val="auto"/>
          <w:sz w:val="28"/>
          <w:szCs w:val="28"/>
          <w:highlight w:val="none"/>
        </w:rPr>
        <w:t>×</w:t>
      </w:r>
      <w:r>
        <w:rPr>
          <w:rFonts w:ascii="Times New Roman" w:hAnsi="仿宋" w:eastAsia="仿宋"/>
          <w:bCs/>
          <w:color w:val="auto"/>
          <w:sz w:val="28"/>
          <w:szCs w:val="28"/>
          <w:highlight w:val="none"/>
        </w:rPr>
        <w:t>实际收货数量）</w:t>
      </w:r>
      <w:r>
        <w:rPr>
          <w:rFonts w:ascii="Times New Roman" w:hAnsi="Times New Roman" w:eastAsia="仿宋"/>
          <w:bCs/>
          <w:color w:val="auto"/>
          <w:sz w:val="28"/>
          <w:szCs w:val="28"/>
          <w:highlight w:val="none"/>
        </w:rPr>
        <w:t>×</w:t>
      </w:r>
      <w:r>
        <w:rPr>
          <w:rFonts w:ascii="Times New Roman" w:hAnsi="仿宋" w:eastAsia="仿宋"/>
          <w:bCs/>
          <w:color w:val="auto"/>
          <w:sz w:val="28"/>
          <w:szCs w:val="28"/>
          <w:highlight w:val="none"/>
        </w:rPr>
        <w:t>结算费率，甲方按得出的每月结算金额与乙方进行结算，双方在每月上旬完成前一个月的结算金额核对、确认，在双方确认后，乙方按每月结算金额开具发票，甲方在收到发票并确认后的</w:t>
      </w:r>
      <w:r>
        <w:rPr>
          <w:rFonts w:ascii="Times New Roman" w:hAnsi="Times New Roman" w:eastAsia="仿宋"/>
          <w:bCs/>
          <w:color w:val="auto"/>
          <w:sz w:val="28"/>
          <w:szCs w:val="28"/>
          <w:highlight w:val="none"/>
        </w:rPr>
        <w:t>10</w:t>
      </w:r>
      <w:r>
        <w:rPr>
          <w:rFonts w:ascii="Times New Roman" w:hAnsi="仿宋" w:eastAsia="仿宋"/>
          <w:bCs/>
          <w:color w:val="auto"/>
          <w:sz w:val="28"/>
          <w:szCs w:val="28"/>
          <w:highlight w:val="none"/>
        </w:rPr>
        <w:t>个工作日内以银行转账方式结清货款。结算时，必须凭甲方验货后签字确认的送货清单方可办理相关结算手续。</w:t>
      </w:r>
    </w:p>
    <w:p w14:paraId="49CAD90F">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Times New Roman" w:eastAsia="仿宋"/>
          <w:bCs/>
          <w:color w:val="auto"/>
          <w:sz w:val="28"/>
          <w:szCs w:val="28"/>
          <w:highlight w:val="none"/>
        </w:rPr>
        <w:t>2.</w:t>
      </w:r>
      <w:r>
        <w:rPr>
          <w:rFonts w:ascii="Times New Roman" w:hAnsi="仿宋" w:eastAsia="仿宋"/>
          <w:bCs/>
          <w:color w:val="auto"/>
          <w:sz w:val="28"/>
          <w:szCs w:val="28"/>
          <w:highlight w:val="none"/>
        </w:rPr>
        <w:t>乙方凭以下有效文件与甲方结算：</w:t>
      </w:r>
    </w:p>
    <w:p w14:paraId="08235956">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乙方开具的真实有效的发票、本结算周期内每日的配送货品验收清单（送货人和验收人员签名，加盖乙方公章）。</w:t>
      </w:r>
    </w:p>
    <w:p w14:paraId="2FBB07EE">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Times New Roman" w:eastAsia="仿宋"/>
          <w:bCs/>
          <w:color w:val="auto"/>
          <w:sz w:val="28"/>
          <w:szCs w:val="28"/>
          <w:highlight w:val="none"/>
        </w:rPr>
        <w:t>3.</w:t>
      </w:r>
      <w:r>
        <w:rPr>
          <w:rFonts w:ascii="Times New Roman" w:hAnsi="仿宋" w:eastAsia="仿宋"/>
          <w:bCs/>
          <w:color w:val="auto"/>
          <w:sz w:val="28"/>
          <w:szCs w:val="28"/>
          <w:highlight w:val="none"/>
        </w:rPr>
        <w:t>乙方与甲方每一个月确定一次结算基准价。乙方于每月</w:t>
      </w:r>
      <w:r>
        <w:rPr>
          <w:rFonts w:ascii="Times New Roman" w:hAnsi="Times New Roman" w:eastAsia="仿宋"/>
          <w:bCs/>
          <w:color w:val="auto"/>
          <w:sz w:val="28"/>
          <w:szCs w:val="28"/>
          <w:highlight w:val="none"/>
        </w:rPr>
        <w:t>25</w:t>
      </w:r>
      <w:r>
        <w:rPr>
          <w:rFonts w:ascii="Times New Roman" w:hAnsi="仿宋" w:eastAsia="仿宋"/>
          <w:bCs/>
          <w:color w:val="auto"/>
          <w:sz w:val="28"/>
          <w:szCs w:val="28"/>
          <w:highlight w:val="none"/>
        </w:rPr>
        <w:t>日前提供下个月食材零售价给甲方，甲方收到所提交的食材零售价后五个工作日内随机选定一个珠海市市场（夏湾市场、朝阳市场、拱北市场、前山市场、广富市场、湾仔市场、柠溪市场、南坑市场、吉莲市场）询价核实，乙方对核价有异议的，可以随机抽取其中一个市场双方共同核实，相关的食材零售价须经甲方相关管理人员核实后签字确认才可确定为结算基准价。若网上开通珠海市肉菜市场价公布平台，则零售价以当日公布珠海市肉菜市场的同等质量的最低零售单价为准。如有价格变动应及时通知甲方并经同意后方可执行。若在调整期间，双方对货品价格有疑问的，可协商解决。</w:t>
      </w:r>
    </w:p>
    <w:p w14:paraId="6023CD6C">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Times New Roman" w:eastAsia="仿宋"/>
          <w:bCs/>
          <w:color w:val="auto"/>
          <w:sz w:val="28"/>
          <w:szCs w:val="28"/>
          <w:highlight w:val="none"/>
        </w:rPr>
        <w:t>4.</w:t>
      </w:r>
      <w:r>
        <w:rPr>
          <w:rFonts w:ascii="Times New Roman" w:hAnsi="仿宋" w:eastAsia="仿宋"/>
          <w:bCs/>
          <w:color w:val="auto"/>
          <w:sz w:val="28"/>
          <w:szCs w:val="28"/>
          <w:highlight w:val="none"/>
        </w:rPr>
        <w:t>如遇台风暴雨极端天气、供求关系、宏观调控等原因造成的市场价格上涨或下降需临时调整时，乙方应提前书面通知甲方，由甲方和乙方以协调形式解决，征得甲方同意后方可调整。若在调整期间，双方对食材结算基准价有疑问的，可协商解决。报价内容包括但不限于：蔬菜类、瓜果类、肉类、海鲜类、蛋类、调料、饮料、奶制品、大米、食用油品等其他食品、原材料。每月结算基准价一经确定，任何一方不得擅自更改，如需变动，则需双方签字确认，并详细注明变动原因。</w:t>
      </w:r>
      <w:r>
        <w:rPr>
          <w:rFonts w:ascii="Times New Roman" w:hAnsi="Times New Roman" w:eastAsia="仿宋"/>
          <w:bCs/>
          <w:color w:val="auto"/>
          <w:sz w:val="28"/>
          <w:szCs w:val="28"/>
          <w:highlight w:val="none"/>
        </w:rPr>
        <w:t xml:space="preserve">  </w:t>
      </w:r>
    </w:p>
    <w:p w14:paraId="2DEEDB68">
      <w:pPr>
        <w:spacing w:line="360" w:lineRule="auto"/>
        <w:ind w:firstLine="562" w:firstLineChars="200"/>
        <w:outlineLvl w:val="1"/>
        <w:rPr>
          <w:rFonts w:ascii="Times New Roman" w:hAnsi="Times New Roman" w:eastAsia="仿宋"/>
          <w:b/>
          <w:bCs/>
          <w:color w:val="auto"/>
          <w:sz w:val="28"/>
          <w:szCs w:val="28"/>
          <w:highlight w:val="none"/>
        </w:rPr>
      </w:pPr>
      <w:bookmarkStart w:id="213" w:name="_Toc10851"/>
      <w:bookmarkStart w:id="214" w:name="_Toc7028"/>
      <w:bookmarkStart w:id="215" w:name="_Toc27389"/>
      <w:r>
        <w:rPr>
          <w:rFonts w:ascii="Times New Roman" w:hAnsi="Times New Roman" w:eastAsia="仿宋"/>
          <w:b/>
          <w:bCs/>
          <w:color w:val="auto"/>
          <w:sz w:val="28"/>
          <w:szCs w:val="28"/>
          <w:highlight w:val="none"/>
        </w:rPr>
        <w:t>十、验收</w:t>
      </w:r>
      <w:bookmarkEnd w:id="206"/>
      <w:bookmarkEnd w:id="207"/>
      <w:bookmarkEnd w:id="208"/>
      <w:bookmarkEnd w:id="209"/>
      <w:r>
        <w:rPr>
          <w:rFonts w:ascii="Times New Roman" w:hAnsi="Times New Roman" w:eastAsia="仿宋"/>
          <w:b/>
          <w:bCs/>
          <w:color w:val="auto"/>
          <w:sz w:val="28"/>
          <w:szCs w:val="28"/>
          <w:highlight w:val="none"/>
        </w:rPr>
        <w:t>内容及标准</w:t>
      </w:r>
      <w:bookmarkEnd w:id="213"/>
      <w:bookmarkEnd w:id="214"/>
      <w:bookmarkEnd w:id="215"/>
    </w:p>
    <w:p w14:paraId="61F9F67C">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ascii="Times New Roman" w:hAnsi="Times New Roman" w:eastAsia="仿宋"/>
          <w:color w:val="auto"/>
          <w:sz w:val="28"/>
          <w:szCs w:val="28"/>
          <w:highlight w:val="none"/>
        </w:rPr>
        <w:t>（一）</w:t>
      </w:r>
      <w:r>
        <w:rPr>
          <w:rFonts w:hint="eastAsia" w:ascii="Times New Roman" w:hAnsi="Times New Roman" w:eastAsia="仿宋"/>
          <w:color w:val="auto"/>
          <w:sz w:val="28"/>
          <w:szCs w:val="28"/>
          <w:highlight w:val="none"/>
        </w:rPr>
        <w:t>验收主体</w:t>
      </w:r>
    </w:p>
    <w:p w14:paraId="3B83A025">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rPr>
        <w:t>由甲方负责验收工作，必要时可邀请第三方专业检测机构或专家参与验收工作。</w:t>
      </w:r>
    </w:p>
    <w:p w14:paraId="3A69D05E">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lang w:eastAsia="zh-CN"/>
        </w:rPr>
        <w:t>（</w:t>
      </w:r>
      <w:r>
        <w:rPr>
          <w:rFonts w:hint="eastAsia" w:ascii="Times New Roman" w:hAnsi="Times New Roman" w:eastAsia="仿宋"/>
          <w:color w:val="auto"/>
          <w:sz w:val="28"/>
          <w:szCs w:val="28"/>
          <w:highlight w:val="none"/>
          <w:lang w:val="en-US" w:eastAsia="zh-CN"/>
        </w:rPr>
        <w:t>二</w:t>
      </w:r>
      <w:r>
        <w:rPr>
          <w:rFonts w:hint="eastAsia" w:ascii="Times New Roman" w:hAnsi="Times New Roman" w:eastAsia="仿宋"/>
          <w:color w:val="auto"/>
          <w:sz w:val="28"/>
          <w:szCs w:val="28"/>
          <w:highlight w:val="none"/>
          <w:lang w:eastAsia="zh-CN"/>
        </w:rPr>
        <w:t>）</w:t>
      </w:r>
      <w:r>
        <w:rPr>
          <w:rFonts w:hint="eastAsia" w:ascii="Times New Roman" w:hAnsi="Times New Roman" w:eastAsia="仿宋"/>
          <w:color w:val="auto"/>
          <w:sz w:val="28"/>
          <w:szCs w:val="28"/>
          <w:highlight w:val="none"/>
        </w:rPr>
        <w:t>验收时间</w:t>
      </w:r>
    </w:p>
    <w:p w14:paraId="5A2940CD">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rPr>
        <w:t>分期验收；每日配送后按次进行当日验收；服务期结束后15日内，甲方对乙方服务期内的服务情况给予总体评价。</w:t>
      </w:r>
    </w:p>
    <w:p w14:paraId="72BFC043">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lang w:eastAsia="zh-CN"/>
        </w:rPr>
        <w:t>（</w:t>
      </w:r>
      <w:r>
        <w:rPr>
          <w:rFonts w:hint="eastAsia" w:ascii="Times New Roman" w:hAnsi="Times New Roman" w:eastAsia="仿宋"/>
          <w:color w:val="auto"/>
          <w:sz w:val="28"/>
          <w:szCs w:val="28"/>
          <w:highlight w:val="none"/>
          <w:lang w:val="en-US" w:eastAsia="zh-CN"/>
        </w:rPr>
        <w:t>三</w:t>
      </w:r>
      <w:r>
        <w:rPr>
          <w:rFonts w:hint="eastAsia" w:ascii="Times New Roman" w:hAnsi="Times New Roman" w:eastAsia="仿宋"/>
          <w:color w:val="auto"/>
          <w:sz w:val="28"/>
          <w:szCs w:val="28"/>
          <w:highlight w:val="none"/>
          <w:lang w:eastAsia="zh-CN"/>
        </w:rPr>
        <w:t>）</w:t>
      </w:r>
      <w:r>
        <w:rPr>
          <w:rFonts w:hint="eastAsia" w:ascii="Times New Roman" w:hAnsi="Times New Roman" w:eastAsia="仿宋"/>
          <w:color w:val="auto"/>
          <w:sz w:val="28"/>
          <w:szCs w:val="28"/>
          <w:highlight w:val="none"/>
        </w:rPr>
        <w:t>验收方式</w:t>
      </w:r>
    </w:p>
    <w:p w14:paraId="278C5708">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rPr>
        <w:t>合同期内分批验收。</w:t>
      </w:r>
    </w:p>
    <w:p w14:paraId="4CF559B5">
      <w:pPr>
        <w:tabs>
          <w:tab w:val="left" w:pos="5040"/>
        </w:tabs>
        <w:spacing w:line="360" w:lineRule="auto"/>
        <w:ind w:firstLine="560" w:firstLineChars="200"/>
        <w:rPr>
          <w:rFonts w:hint="eastAsia" w:ascii="Times New Roman" w:hAnsi="Times New Roman" w:eastAsia="仿宋"/>
          <w:color w:val="auto"/>
          <w:sz w:val="28"/>
          <w:szCs w:val="28"/>
          <w:highlight w:val="none"/>
        </w:rPr>
      </w:pPr>
    </w:p>
    <w:p w14:paraId="39031AEC">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lang w:eastAsia="zh-CN"/>
        </w:rPr>
        <w:t>（</w:t>
      </w:r>
      <w:r>
        <w:rPr>
          <w:rFonts w:hint="eastAsia" w:ascii="Times New Roman" w:hAnsi="Times New Roman" w:eastAsia="仿宋"/>
          <w:color w:val="auto"/>
          <w:sz w:val="28"/>
          <w:szCs w:val="28"/>
          <w:highlight w:val="none"/>
          <w:lang w:val="en-US" w:eastAsia="zh-CN"/>
        </w:rPr>
        <w:t>四</w:t>
      </w:r>
      <w:r>
        <w:rPr>
          <w:rFonts w:hint="eastAsia" w:ascii="Times New Roman" w:hAnsi="Times New Roman" w:eastAsia="仿宋"/>
          <w:color w:val="auto"/>
          <w:sz w:val="28"/>
          <w:szCs w:val="28"/>
          <w:highlight w:val="none"/>
          <w:lang w:eastAsia="zh-CN"/>
        </w:rPr>
        <w:t>）</w:t>
      </w:r>
      <w:r>
        <w:rPr>
          <w:rFonts w:hint="eastAsia" w:ascii="Times New Roman" w:hAnsi="Times New Roman" w:eastAsia="仿宋"/>
          <w:color w:val="auto"/>
          <w:sz w:val="28"/>
          <w:szCs w:val="28"/>
          <w:highlight w:val="none"/>
        </w:rPr>
        <w:t>验收内容：</w:t>
      </w:r>
    </w:p>
    <w:p w14:paraId="0BF79F36">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lang w:val="en-US" w:eastAsia="zh-CN"/>
        </w:rPr>
        <w:t>1.</w:t>
      </w:r>
      <w:r>
        <w:rPr>
          <w:rFonts w:hint="eastAsia" w:ascii="Times New Roman" w:hAnsi="Times New Roman" w:eastAsia="仿宋"/>
          <w:color w:val="auto"/>
          <w:sz w:val="28"/>
          <w:szCs w:val="28"/>
          <w:highlight w:val="none"/>
        </w:rPr>
        <w:t>乙方将所应供食材送至甲方指定地点后，由甲方指定相关人员，对乙方所配送食材的品种、数量、质量等进行逐项验收，验收合格后双方签字确认；若发现与甲方要求不符的情况，甲方有权要求乙方纠正。验收中若发现不符合国家卫生要求的食品，乙方要无条件收回所供应的食品，造成的损失由乙方负责，并需在1小时内更换补充到位食堂当天所需物品。如果发现有食材、食品存在质量、数量等问题，乙方应负责按照甲方的要求采取补足、更换等处理措施，并承担由此发生的一切损失和费用。</w:t>
      </w:r>
    </w:p>
    <w:p w14:paraId="2CB563ED">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lang w:val="en-US" w:eastAsia="zh-CN"/>
        </w:rPr>
        <w:t>2.</w:t>
      </w:r>
      <w:r>
        <w:rPr>
          <w:rFonts w:hint="eastAsia" w:ascii="Times New Roman" w:hAnsi="Times New Roman" w:eastAsia="仿宋"/>
          <w:color w:val="auto"/>
          <w:sz w:val="28"/>
          <w:szCs w:val="28"/>
          <w:highlight w:val="none"/>
        </w:rPr>
        <w:t>乙方保证所采购之货品全部通过正规渠道采购。符合国家食品安全相关标准，无毒、无害，具良好的感官性状。如因配送之货品导致食物中毒事件，全部经济和法律后果由乙方承担。</w:t>
      </w:r>
    </w:p>
    <w:p w14:paraId="4F3CA51E">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lang w:val="en-US" w:eastAsia="zh-CN"/>
        </w:rPr>
        <w:t>3.</w:t>
      </w:r>
      <w:r>
        <w:rPr>
          <w:rFonts w:hint="eastAsia" w:ascii="Times New Roman" w:hAnsi="Times New Roman" w:eastAsia="仿宋"/>
          <w:color w:val="auto"/>
          <w:sz w:val="28"/>
          <w:szCs w:val="28"/>
          <w:highlight w:val="none"/>
        </w:rPr>
        <w:t>乙方工作人员保持个人清洁卫生，禁止在食堂工作区域随意走动，遵守甲方相关管理规定。保证送货质量符合双方协商之标准，如所送的品种、规格不符合规定，甲方同意使用的，应按质论价，如有质量问题的，甲方可以追究乙方的违约责任；如甲方不同意使用，则根据货品的具体情况，由乙方负责包换，并承担由此产生的费用。</w:t>
      </w:r>
    </w:p>
    <w:p w14:paraId="3C10A813">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lang w:val="en-US" w:eastAsia="zh-CN"/>
        </w:rPr>
        <w:t>4.</w:t>
      </w:r>
      <w:r>
        <w:rPr>
          <w:rFonts w:hint="eastAsia" w:ascii="Times New Roman" w:hAnsi="Times New Roman" w:eastAsia="仿宋"/>
          <w:color w:val="auto"/>
          <w:sz w:val="28"/>
          <w:szCs w:val="28"/>
          <w:highlight w:val="none"/>
        </w:rPr>
        <w:t>乙方负责所订货物的运输、搬运等工作，所产生的费用由乙方负责。每次送货，乙方负责货物的运输、过秤等，并协助甲方验收货物，货物的品种和重量以甲方验收的结果为准。</w:t>
      </w:r>
    </w:p>
    <w:p w14:paraId="35A718FB">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lang w:val="en-US" w:eastAsia="zh-CN"/>
        </w:rPr>
        <w:t>5.</w:t>
      </w:r>
      <w:r>
        <w:rPr>
          <w:rFonts w:hint="eastAsia" w:ascii="Times New Roman" w:hAnsi="Times New Roman" w:eastAsia="仿宋"/>
          <w:color w:val="auto"/>
          <w:sz w:val="28"/>
          <w:szCs w:val="28"/>
          <w:highlight w:val="none"/>
        </w:rPr>
        <w:t>双方对质量有争议，如需将货物送至具有资质的质量检测机构检测的，检测费用由乙方支付。</w:t>
      </w:r>
    </w:p>
    <w:p w14:paraId="2C8B989B">
      <w:pPr>
        <w:tabs>
          <w:tab w:val="left" w:pos="5040"/>
        </w:tabs>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w:t>
      </w:r>
      <w:r>
        <w:rPr>
          <w:rFonts w:hint="eastAsia" w:ascii="Times New Roman" w:hAnsi="Times New Roman" w:eastAsia="仿宋"/>
          <w:color w:val="auto"/>
          <w:sz w:val="28"/>
          <w:szCs w:val="28"/>
          <w:highlight w:val="none"/>
          <w:lang w:val="en-US" w:eastAsia="zh-CN"/>
        </w:rPr>
        <w:t>五</w:t>
      </w:r>
      <w:r>
        <w:rPr>
          <w:rFonts w:ascii="Times New Roman" w:hAnsi="Times New Roman" w:eastAsia="仿宋"/>
          <w:color w:val="auto"/>
          <w:sz w:val="28"/>
          <w:szCs w:val="28"/>
          <w:highlight w:val="none"/>
        </w:rPr>
        <w:t>）验收标准</w:t>
      </w:r>
    </w:p>
    <w:p w14:paraId="47274868">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hint="eastAsia" w:ascii="Times New Roman" w:hAnsi="Times New Roman" w:eastAsia="仿宋"/>
          <w:color w:val="auto"/>
          <w:sz w:val="28"/>
          <w:szCs w:val="28"/>
          <w:highlight w:val="none"/>
        </w:rPr>
        <w:t>乙方提供的货物或服务质量符合国家及行业强制标准，采购文件要求、投标（响应）文件承诺及合同要求；以及满足以下标准要求：</w:t>
      </w:r>
    </w:p>
    <w:p w14:paraId="11DBE4FB">
      <w:pPr>
        <w:tabs>
          <w:tab w:val="left" w:pos="5040"/>
        </w:tabs>
        <w:spacing w:line="360" w:lineRule="auto"/>
        <w:ind w:firstLine="560" w:firstLineChars="200"/>
        <w:rPr>
          <w:rFonts w:ascii="Times New Roman" w:hAnsi="Times New Roman" w:eastAsia="仿宋"/>
          <w:color w:val="auto"/>
          <w:sz w:val="28"/>
          <w:szCs w:val="28"/>
          <w:highlight w:val="none"/>
        </w:rPr>
      </w:pPr>
      <w:bookmarkStart w:id="216" w:name="_Toc25476"/>
      <w:bookmarkStart w:id="217" w:name="_Toc14972"/>
      <w:bookmarkStart w:id="218" w:name="_Toc13634"/>
      <w:bookmarkStart w:id="219" w:name="_Toc14249"/>
      <w:r>
        <w:rPr>
          <w:rFonts w:ascii="Times New Roman" w:hAnsi="Times New Roman" w:eastAsia="仿宋"/>
          <w:color w:val="auto"/>
          <w:sz w:val="28"/>
          <w:szCs w:val="28"/>
          <w:highlight w:val="none"/>
        </w:rPr>
        <w:t>1.乙方提供的货物或服务质量符合国家食品安全标准，对于没有国家标准的应符合行业标准，其中国家有强制性技术标准要求的产品，还应符合国家强制性技术标准，以及招标文件要求、投标（响应）文件承诺及合同要求；严格遵守《</w:t>
      </w:r>
      <w:r>
        <w:rPr>
          <w:rFonts w:hint="eastAsia" w:ascii="Times New Roman" w:hAnsi="Times New Roman" w:eastAsia="仿宋"/>
          <w:color w:val="auto"/>
          <w:sz w:val="28"/>
          <w:szCs w:val="28"/>
          <w:highlight w:val="none"/>
          <w:lang w:eastAsia="zh-CN"/>
        </w:rPr>
        <w:t>中华人民共和国食品安全法</w:t>
      </w:r>
      <w:r>
        <w:rPr>
          <w:rFonts w:ascii="Times New Roman" w:hAnsi="Times New Roman" w:eastAsia="仿宋"/>
          <w:color w:val="auto"/>
          <w:sz w:val="28"/>
          <w:szCs w:val="28"/>
          <w:highlight w:val="none"/>
        </w:rPr>
        <w:t>》《中华人民共和国</w:t>
      </w:r>
      <w:r>
        <w:rPr>
          <w:rFonts w:hint="eastAsia" w:ascii="Times New Roman" w:hAnsi="Times New Roman" w:eastAsia="仿宋"/>
          <w:color w:val="auto"/>
          <w:sz w:val="28"/>
          <w:szCs w:val="28"/>
          <w:highlight w:val="none"/>
          <w:lang w:eastAsia="zh-CN"/>
        </w:rPr>
        <w:t>中华人民共和国食品安全法</w:t>
      </w:r>
      <w:r>
        <w:rPr>
          <w:rFonts w:ascii="Times New Roman" w:hAnsi="Times New Roman" w:eastAsia="仿宋"/>
          <w:color w:val="auto"/>
          <w:sz w:val="28"/>
          <w:szCs w:val="28"/>
          <w:highlight w:val="none"/>
        </w:rPr>
        <w:t>实施条例》《</w:t>
      </w:r>
      <w:r>
        <w:rPr>
          <w:rFonts w:hint="eastAsia" w:ascii="Times New Roman" w:hAnsi="Times New Roman" w:eastAsia="仿宋"/>
          <w:color w:val="auto"/>
          <w:sz w:val="28"/>
          <w:szCs w:val="28"/>
          <w:highlight w:val="none"/>
          <w:lang w:eastAsia="zh-CN"/>
        </w:rPr>
        <w:t>中华人民共和国产品质量法</w:t>
      </w:r>
      <w:r>
        <w:rPr>
          <w:rFonts w:ascii="Times New Roman" w:hAnsi="Times New Roman" w:eastAsia="仿宋"/>
          <w:color w:val="auto"/>
          <w:sz w:val="28"/>
          <w:szCs w:val="28"/>
          <w:highlight w:val="none"/>
        </w:rPr>
        <w:t>》《动物检疫管理办法》等法律法规及属地食品安全相关规定。</w:t>
      </w:r>
    </w:p>
    <w:p w14:paraId="322B5EB2">
      <w:pPr>
        <w:tabs>
          <w:tab w:val="left" w:pos="5040"/>
        </w:tabs>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2.确保配送的货物安全、卫生。乙方所提供的货物必须保证均为正规生产的新鲜、检验合格、无毒、无公害、无污染、无辐射、无侵权货品，符合国家有关卫生、质量、包装和保质标准，货品必须在有效保质期内。严禁供应有害、有毒、腐烂变质、酸败、霉变、生虫、污垢不洁、混有异物或者其他感官性状异常、超过保质期限的食品。</w:t>
      </w:r>
    </w:p>
    <w:p w14:paraId="0B3465DA">
      <w:pPr>
        <w:tabs>
          <w:tab w:val="left" w:pos="5040"/>
        </w:tabs>
        <w:spacing w:line="360" w:lineRule="auto"/>
        <w:ind w:firstLine="560" w:firstLineChars="200"/>
        <w:rPr>
          <w:rFonts w:hint="eastAsia" w:ascii="Times New Roman" w:hAnsi="Times New Roman" w:eastAsia="仿宋"/>
          <w:color w:val="auto"/>
          <w:sz w:val="28"/>
          <w:szCs w:val="28"/>
          <w:highlight w:val="none"/>
        </w:rPr>
      </w:pPr>
      <w:r>
        <w:rPr>
          <w:rFonts w:ascii="Times New Roman" w:hAnsi="Times New Roman" w:eastAsia="仿宋"/>
          <w:color w:val="auto"/>
          <w:sz w:val="28"/>
          <w:szCs w:val="28"/>
          <w:highlight w:val="none"/>
        </w:rPr>
        <w:t>3.乙方所提供的货物需具有追踪溯源体系，并可追踪溯源，根据甲方的要求递交溯源资料。清真类食材、食品应在外包装上标明“清真”字样；不接受转基因产品。</w:t>
      </w:r>
    </w:p>
    <w:p w14:paraId="6241A0BD">
      <w:pPr>
        <w:spacing w:line="360" w:lineRule="auto"/>
        <w:ind w:firstLine="562" w:firstLineChars="200"/>
        <w:outlineLvl w:val="1"/>
        <w:rPr>
          <w:rFonts w:ascii="Times New Roman" w:hAnsi="Times New Roman" w:eastAsia="仿宋" w:cs="Times New Roman"/>
          <w:b/>
          <w:bCs/>
          <w:color w:val="auto"/>
          <w:sz w:val="28"/>
          <w:szCs w:val="28"/>
          <w:highlight w:val="none"/>
          <w:lang w:eastAsia="zh-Hans"/>
        </w:rPr>
      </w:pPr>
      <w:bookmarkStart w:id="220" w:name="_Toc4641"/>
      <w:bookmarkStart w:id="221" w:name="_Toc15205"/>
      <w:bookmarkStart w:id="222" w:name="_Toc12066"/>
      <w:r>
        <w:rPr>
          <w:rFonts w:ascii="Times New Roman" w:hAnsi="Times New Roman" w:eastAsia="仿宋" w:cs="Times New Roman"/>
          <w:b/>
          <w:bCs/>
          <w:color w:val="auto"/>
          <w:sz w:val="28"/>
          <w:szCs w:val="28"/>
          <w:highlight w:val="none"/>
          <w:lang w:eastAsia="zh-Hans"/>
        </w:rPr>
        <w:t>十一、其他要求</w:t>
      </w:r>
      <w:bookmarkEnd w:id="216"/>
      <w:bookmarkEnd w:id="217"/>
      <w:bookmarkEnd w:id="218"/>
      <w:bookmarkEnd w:id="219"/>
      <w:bookmarkEnd w:id="220"/>
      <w:bookmarkEnd w:id="221"/>
      <w:bookmarkEnd w:id="222"/>
    </w:p>
    <w:p w14:paraId="461F8409">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（一）质量保证期</w:t>
      </w:r>
    </w:p>
    <w:p w14:paraId="10822DB5">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本项目货物质量保证期要求不低于行业标准。质量保证期从货物供货且验收合格后开始计算。如遇换货，换货后的交货日期由甲方确认，新换取货物的质保期的起算日期的计算方式同上。</w:t>
      </w:r>
    </w:p>
    <w:p w14:paraId="50B82053">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（二）食材检测</w:t>
      </w:r>
    </w:p>
    <w:p w14:paraId="0949EF80">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为保障食材安全，乙方应当具备相应食材检测能力。并定期对所供食材交由第三方进行全面检测，并提交检测报告。检测事项应当包括但不限于以下内容：</w:t>
      </w:r>
    </w:p>
    <w:tbl>
      <w:tblPr>
        <w:tblStyle w:val="46"/>
        <w:tblW w:w="91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71"/>
        <w:gridCol w:w="8003"/>
      </w:tblGrid>
      <w:tr w14:paraId="6A7371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1" w:hRule="atLeast"/>
          <w:jc w:val="center"/>
        </w:trPr>
        <w:tc>
          <w:tcPr>
            <w:tcW w:w="1171" w:type="dxa"/>
            <w:noWrap w:val="0"/>
            <w:vAlign w:val="top"/>
          </w:tcPr>
          <w:p w14:paraId="4E8B7BB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Times New Roman" w:hAnsi="Times New Roman" w:eastAsia="仿宋"/>
                <w:b/>
                <w:bCs/>
                <w:color w:val="auto"/>
                <w:sz w:val="28"/>
                <w:szCs w:val="28"/>
                <w:highlight w:val="none"/>
              </w:rPr>
            </w:pPr>
            <w:r>
              <w:rPr>
                <w:rFonts w:ascii="Times New Roman" w:hAnsi="Times New Roman" w:eastAsia="仿宋"/>
                <w:b/>
                <w:bCs/>
                <w:color w:val="auto"/>
                <w:sz w:val="28"/>
                <w:szCs w:val="28"/>
                <w:highlight w:val="none"/>
              </w:rPr>
              <w:t>序号</w:t>
            </w:r>
          </w:p>
        </w:tc>
        <w:tc>
          <w:tcPr>
            <w:tcW w:w="8003" w:type="dxa"/>
            <w:noWrap w:val="0"/>
            <w:vAlign w:val="top"/>
          </w:tcPr>
          <w:p w14:paraId="374BF09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Times New Roman" w:hAnsi="Times New Roman" w:eastAsia="仿宋"/>
                <w:b/>
                <w:bCs/>
                <w:color w:val="auto"/>
                <w:sz w:val="28"/>
                <w:szCs w:val="28"/>
                <w:highlight w:val="none"/>
              </w:rPr>
            </w:pPr>
            <w:r>
              <w:rPr>
                <w:rFonts w:ascii="Times New Roman" w:hAnsi="Times New Roman" w:eastAsia="仿宋"/>
                <w:b/>
                <w:bCs/>
                <w:color w:val="auto"/>
                <w:sz w:val="28"/>
                <w:szCs w:val="28"/>
                <w:highlight w:val="none"/>
              </w:rPr>
              <w:t>检测事项</w:t>
            </w:r>
          </w:p>
        </w:tc>
      </w:tr>
      <w:tr w14:paraId="587E19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3" w:hRule="atLeast"/>
          <w:jc w:val="center"/>
        </w:trPr>
        <w:tc>
          <w:tcPr>
            <w:tcW w:w="1171" w:type="dxa"/>
            <w:noWrap w:val="0"/>
            <w:vAlign w:val="top"/>
          </w:tcPr>
          <w:p w14:paraId="33FFD862">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1</w:t>
            </w:r>
          </w:p>
        </w:tc>
        <w:tc>
          <w:tcPr>
            <w:tcW w:w="8003" w:type="dxa"/>
            <w:noWrap w:val="0"/>
            <w:vAlign w:val="top"/>
          </w:tcPr>
          <w:p w14:paraId="3B279659">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非食用物质检测，吊白块、三聚氰胺、瘦肉精等</w:t>
            </w:r>
          </w:p>
        </w:tc>
      </w:tr>
      <w:tr w14:paraId="11892F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3" w:hRule="atLeast"/>
          <w:jc w:val="center"/>
        </w:trPr>
        <w:tc>
          <w:tcPr>
            <w:tcW w:w="1171" w:type="dxa"/>
            <w:noWrap w:val="0"/>
            <w:vAlign w:val="top"/>
          </w:tcPr>
          <w:p w14:paraId="14B4C68F">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2</w:t>
            </w:r>
          </w:p>
        </w:tc>
        <w:tc>
          <w:tcPr>
            <w:tcW w:w="8003" w:type="dxa"/>
            <w:noWrap w:val="0"/>
            <w:vAlign w:val="top"/>
          </w:tcPr>
          <w:p w14:paraId="2D298973">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污染物质检测，重金属、黄曲霉毒素等</w:t>
            </w:r>
          </w:p>
        </w:tc>
      </w:tr>
      <w:tr w14:paraId="4D21DA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3" w:hRule="atLeast"/>
          <w:jc w:val="center"/>
        </w:trPr>
        <w:tc>
          <w:tcPr>
            <w:tcW w:w="1171" w:type="dxa"/>
            <w:noWrap w:val="0"/>
            <w:vAlign w:val="top"/>
          </w:tcPr>
          <w:p w14:paraId="5B2D6F57">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3</w:t>
            </w:r>
          </w:p>
        </w:tc>
        <w:tc>
          <w:tcPr>
            <w:tcW w:w="8003" w:type="dxa"/>
            <w:noWrap w:val="0"/>
            <w:vAlign w:val="top"/>
          </w:tcPr>
          <w:p w14:paraId="59C3960A">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微生物检测</w:t>
            </w:r>
          </w:p>
        </w:tc>
      </w:tr>
      <w:tr w14:paraId="526DA6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3" w:hRule="atLeast"/>
          <w:jc w:val="center"/>
        </w:trPr>
        <w:tc>
          <w:tcPr>
            <w:tcW w:w="1171" w:type="dxa"/>
            <w:noWrap w:val="0"/>
            <w:vAlign w:val="top"/>
          </w:tcPr>
          <w:p w14:paraId="25A6CB85">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4</w:t>
            </w:r>
          </w:p>
        </w:tc>
        <w:tc>
          <w:tcPr>
            <w:tcW w:w="8003" w:type="dxa"/>
            <w:noWrap w:val="0"/>
            <w:vAlign w:val="top"/>
          </w:tcPr>
          <w:p w14:paraId="24B36477">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转基因检测</w:t>
            </w:r>
          </w:p>
        </w:tc>
      </w:tr>
      <w:tr w14:paraId="432940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4" w:hRule="atLeast"/>
          <w:jc w:val="center"/>
        </w:trPr>
        <w:tc>
          <w:tcPr>
            <w:tcW w:w="1171" w:type="dxa"/>
            <w:noWrap w:val="0"/>
            <w:vAlign w:val="top"/>
          </w:tcPr>
          <w:p w14:paraId="3179B3BD">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5</w:t>
            </w:r>
          </w:p>
        </w:tc>
        <w:tc>
          <w:tcPr>
            <w:tcW w:w="8003" w:type="dxa"/>
            <w:noWrap w:val="0"/>
            <w:vAlign w:val="top"/>
          </w:tcPr>
          <w:p w14:paraId="45E820CC">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食品添加剂检测</w:t>
            </w:r>
          </w:p>
        </w:tc>
      </w:tr>
      <w:tr w14:paraId="38B329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jc w:val="center"/>
        </w:trPr>
        <w:tc>
          <w:tcPr>
            <w:tcW w:w="1171" w:type="dxa"/>
            <w:noWrap w:val="0"/>
            <w:vAlign w:val="top"/>
          </w:tcPr>
          <w:p w14:paraId="6344CDDC">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6</w:t>
            </w:r>
          </w:p>
        </w:tc>
        <w:tc>
          <w:tcPr>
            <w:tcW w:w="8003" w:type="dxa"/>
            <w:noWrap w:val="0"/>
            <w:vAlign w:val="top"/>
          </w:tcPr>
          <w:p w14:paraId="560F5BAC">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食品接触材料检测</w:t>
            </w:r>
          </w:p>
        </w:tc>
      </w:tr>
      <w:tr w14:paraId="49959C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jc w:val="center"/>
        </w:trPr>
        <w:tc>
          <w:tcPr>
            <w:tcW w:w="1171" w:type="dxa"/>
            <w:noWrap w:val="0"/>
            <w:vAlign w:val="top"/>
          </w:tcPr>
          <w:p w14:paraId="74355F48">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7</w:t>
            </w:r>
          </w:p>
        </w:tc>
        <w:tc>
          <w:tcPr>
            <w:tcW w:w="8003" w:type="dxa"/>
            <w:noWrap w:val="0"/>
            <w:vAlign w:val="top"/>
          </w:tcPr>
          <w:p w14:paraId="077127C7">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农药残留检测</w:t>
            </w:r>
          </w:p>
        </w:tc>
      </w:tr>
      <w:tr w14:paraId="000E09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jc w:val="center"/>
        </w:trPr>
        <w:tc>
          <w:tcPr>
            <w:tcW w:w="1171" w:type="dxa"/>
            <w:noWrap w:val="0"/>
            <w:vAlign w:val="top"/>
          </w:tcPr>
          <w:p w14:paraId="41636836">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8</w:t>
            </w:r>
          </w:p>
        </w:tc>
        <w:tc>
          <w:tcPr>
            <w:tcW w:w="8003" w:type="dxa"/>
            <w:noWrap w:val="0"/>
            <w:vAlign w:val="top"/>
          </w:tcPr>
          <w:p w14:paraId="21B35EE7">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水分检测</w:t>
            </w:r>
          </w:p>
        </w:tc>
      </w:tr>
      <w:tr w14:paraId="03E434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jc w:val="center"/>
        </w:trPr>
        <w:tc>
          <w:tcPr>
            <w:tcW w:w="1171" w:type="dxa"/>
            <w:noWrap w:val="0"/>
            <w:vAlign w:val="top"/>
          </w:tcPr>
          <w:p w14:paraId="38CD00D2">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9</w:t>
            </w:r>
          </w:p>
        </w:tc>
        <w:tc>
          <w:tcPr>
            <w:tcW w:w="8003" w:type="dxa"/>
            <w:noWrap w:val="0"/>
            <w:vAlign w:val="top"/>
          </w:tcPr>
          <w:p w14:paraId="3456C076">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兽药残留检测</w:t>
            </w:r>
          </w:p>
        </w:tc>
      </w:tr>
      <w:tr w14:paraId="346102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jc w:val="center"/>
        </w:trPr>
        <w:tc>
          <w:tcPr>
            <w:tcW w:w="1171" w:type="dxa"/>
            <w:noWrap w:val="0"/>
            <w:vAlign w:val="top"/>
          </w:tcPr>
          <w:p w14:paraId="4574D1F4">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10</w:t>
            </w:r>
          </w:p>
        </w:tc>
        <w:tc>
          <w:tcPr>
            <w:tcW w:w="8003" w:type="dxa"/>
            <w:noWrap w:val="0"/>
            <w:vAlign w:val="top"/>
          </w:tcPr>
          <w:p w14:paraId="085FBFB0">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抗生素检测</w:t>
            </w:r>
          </w:p>
        </w:tc>
      </w:tr>
      <w:tr w14:paraId="21CD22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jc w:val="center"/>
        </w:trPr>
        <w:tc>
          <w:tcPr>
            <w:tcW w:w="1171" w:type="dxa"/>
            <w:noWrap w:val="0"/>
            <w:vAlign w:val="top"/>
          </w:tcPr>
          <w:p w14:paraId="24FA1DE2">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11</w:t>
            </w:r>
          </w:p>
        </w:tc>
        <w:tc>
          <w:tcPr>
            <w:tcW w:w="8003" w:type="dxa"/>
            <w:noWrap w:val="0"/>
            <w:vAlign w:val="top"/>
          </w:tcPr>
          <w:p w14:paraId="1F6B1808">
            <w:pPr>
              <w:spacing w:line="24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亚硝酸盐检测、生物细菌检测、食用油检测、病害肉检测等</w:t>
            </w:r>
          </w:p>
        </w:tc>
      </w:tr>
    </w:tbl>
    <w:p w14:paraId="1D75B085">
      <w:pPr>
        <w:spacing w:line="360" w:lineRule="auto"/>
        <w:ind w:firstLine="560" w:firstLineChars="200"/>
        <w:outlineLvl w:val="9"/>
        <w:rPr>
          <w:rFonts w:ascii="Times New Roman" w:hAnsi="Times New Roman" w:eastAsia="仿宋"/>
          <w:bCs/>
          <w:color w:val="auto"/>
          <w:sz w:val="28"/>
          <w:szCs w:val="28"/>
          <w:highlight w:val="none"/>
        </w:rPr>
      </w:pPr>
      <w:bookmarkStart w:id="223" w:name="_Toc31339"/>
      <w:bookmarkStart w:id="224" w:name="_Toc3442"/>
      <w:bookmarkStart w:id="225" w:name="_Toc12190"/>
      <w:bookmarkStart w:id="226" w:name="_Toc17424"/>
      <w:r>
        <w:rPr>
          <w:rFonts w:ascii="Times New Roman" w:hAnsi="Times New Roman" w:eastAsia="仿宋"/>
          <w:bCs/>
          <w:color w:val="auto"/>
          <w:sz w:val="28"/>
          <w:szCs w:val="28"/>
          <w:highlight w:val="none"/>
        </w:rPr>
        <w:t>（三）</w:t>
      </w:r>
      <w:r>
        <w:rPr>
          <w:rFonts w:ascii="Times New Roman" w:hAnsi="仿宋" w:eastAsia="仿宋"/>
          <w:bCs/>
          <w:color w:val="auto"/>
          <w:sz w:val="28"/>
          <w:szCs w:val="28"/>
          <w:highlight w:val="none"/>
        </w:rPr>
        <w:t>乙方配送人员应遵守法律行规，不得与甲方经办人员、餐饮公司运营人员乱拉关系，不得有任何不法利益往来，一经发现，甲方有权单方面终止合同，并予以相应处罚。</w:t>
      </w:r>
    </w:p>
    <w:p w14:paraId="29490AAE">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Times New Roman" w:eastAsia="仿宋"/>
          <w:bCs/>
          <w:color w:val="auto"/>
          <w:sz w:val="28"/>
          <w:szCs w:val="28"/>
          <w:highlight w:val="none"/>
        </w:rPr>
        <w:t>（四）</w:t>
      </w:r>
      <w:r>
        <w:rPr>
          <w:rFonts w:ascii="Times New Roman" w:hAnsi="仿宋" w:eastAsia="仿宋"/>
          <w:bCs/>
          <w:color w:val="auto"/>
          <w:sz w:val="28"/>
          <w:szCs w:val="28"/>
          <w:highlight w:val="none"/>
        </w:rPr>
        <w:t>如甲方因采用乙方提供的食品，所造成饮食安全上的一切问题，由乙方承担所有的法律责任，并做出相关赔偿。</w:t>
      </w:r>
    </w:p>
    <w:p w14:paraId="44207A9B">
      <w:pPr>
        <w:spacing w:line="360" w:lineRule="auto"/>
        <w:ind w:firstLine="560" w:firstLineChars="200"/>
        <w:outlineLvl w:val="9"/>
        <w:rPr>
          <w:rFonts w:hint="eastAsia" w:ascii="Times New Roman" w:hAnsi="Times New Roman" w:eastAsia="仿宋"/>
          <w:b/>
          <w:bCs/>
          <w:color w:val="auto"/>
          <w:sz w:val="28"/>
          <w:szCs w:val="28"/>
          <w:highlight w:val="none"/>
        </w:rPr>
      </w:pPr>
      <w:r>
        <w:rPr>
          <w:rFonts w:ascii="Times New Roman" w:hAnsi="Times New Roman" w:eastAsia="仿宋"/>
          <w:bCs/>
          <w:color w:val="auto"/>
          <w:sz w:val="28"/>
          <w:szCs w:val="28"/>
          <w:highlight w:val="none"/>
        </w:rPr>
        <w:t>（五）</w:t>
      </w:r>
      <w:r>
        <w:rPr>
          <w:rFonts w:ascii="Times New Roman" w:hAnsi="仿宋" w:eastAsia="仿宋"/>
          <w:bCs/>
          <w:color w:val="auto"/>
          <w:sz w:val="28"/>
          <w:szCs w:val="28"/>
          <w:highlight w:val="none"/>
        </w:rPr>
        <w:t>如遇政策变更，甲方因机构变动导致布局调整，出现增容或人员减少导致采购规模大幅扩大或缩减的情况，乙方必须具备相应供货能力，乙方充分考虑自身供货能力，须在（投标）响应文件中对此做出承诺，甲方不因此承担任何责任。</w:t>
      </w:r>
      <w:r>
        <w:rPr>
          <w:rFonts w:ascii="Times New Roman" w:hAnsi="Times New Roman" w:eastAsia="仿宋"/>
          <w:bCs/>
          <w:color w:val="auto"/>
          <w:sz w:val="28"/>
          <w:szCs w:val="28"/>
          <w:highlight w:val="none"/>
        </w:rPr>
        <w:t xml:space="preserve">     </w:t>
      </w:r>
    </w:p>
    <w:p w14:paraId="47193AEC">
      <w:pPr>
        <w:spacing w:line="360" w:lineRule="auto"/>
        <w:ind w:firstLine="562" w:firstLineChars="200"/>
        <w:outlineLvl w:val="1"/>
        <w:rPr>
          <w:rFonts w:ascii="Times New Roman" w:hAnsi="Times New Roman" w:eastAsia="仿宋"/>
          <w:b/>
          <w:bCs/>
          <w:color w:val="auto"/>
          <w:sz w:val="28"/>
          <w:szCs w:val="28"/>
          <w:highlight w:val="none"/>
          <w:lang w:eastAsia="zh-Hans"/>
        </w:rPr>
      </w:pPr>
      <w:bookmarkStart w:id="227" w:name="_Toc20515"/>
      <w:bookmarkStart w:id="228" w:name="_Toc2814"/>
      <w:bookmarkStart w:id="229" w:name="_Toc11940"/>
      <w:r>
        <w:rPr>
          <w:rFonts w:ascii="Times New Roman" w:hAnsi="Times New Roman" w:eastAsia="仿宋"/>
          <w:b/>
          <w:bCs/>
          <w:color w:val="auto"/>
          <w:sz w:val="28"/>
          <w:szCs w:val="28"/>
          <w:highlight w:val="none"/>
          <w:lang w:eastAsia="zh-Hans"/>
        </w:rPr>
        <w:t>十</w:t>
      </w:r>
      <w:r>
        <w:rPr>
          <w:rFonts w:ascii="Times New Roman" w:hAnsi="Times New Roman" w:eastAsia="仿宋"/>
          <w:b/>
          <w:bCs/>
          <w:color w:val="auto"/>
          <w:sz w:val="28"/>
          <w:szCs w:val="28"/>
          <w:highlight w:val="none"/>
        </w:rPr>
        <w:t>二</w:t>
      </w:r>
      <w:r>
        <w:rPr>
          <w:rFonts w:ascii="Times New Roman" w:hAnsi="Times New Roman" w:eastAsia="仿宋"/>
          <w:b/>
          <w:bCs/>
          <w:color w:val="auto"/>
          <w:sz w:val="28"/>
          <w:szCs w:val="28"/>
          <w:highlight w:val="none"/>
          <w:lang w:eastAsia="zh-Hans"/>
        </w:rPr>
        <w:t>、违约责任</w:t>
      </w:r>
      <w:bookmarkEnd w:id="223"/>
      <w:bookmarkEnd w:id="224"/>
      <w:bookmarkEnd w:id="225"/>
      <w:bookmarkEnd w:id="226"/>
      <w:bookmarkEnd w:id="227"/>
      <w:bookmarkEnd w:id="228"/>
      <w:bookmarkEnd w:id="229"/>
    </w:p>
    <w:p w14:paraId="35E2B376">
      <w:pPr>
        <w:spacing w:line="360" w:lineRule="auto"/>
        <w:ind w:firstLine="560" w:firstLineChars="200"/>
        <w:outlineLvl w:val="9"/>
        <w:rPr>
          <w:rFonts w:ascii="Times New Roman" w:hAnsi="Times New Roman" w:eastAsia="仿宋"/>
          <w:bCs/>
          <w:color w:val="auto"/>
          <w:sz w:val="28"/>
          <w:szCs w:val="28"/>
          <w:highlight w:val="none"/>
        </w:rPr>
      </w:pPr>
      <w:bookmarkStart w:id="230" w:name="_Toc6320"/>
      <w:bookmarkStart w:id="231" w:name="_Toc2131"/>
      <w:bookmarkStart w:id="232" w:name="_Toc31347"/>
      <w:bookmarkStart w:id="233" w:name="_Toc25474"/>
      <w:r>
        <w:rPr>
          <w:rFonts w:ascii="Times New Roman" w:hAnsi="Times New Roman" w:eastAsia="仿宋"/>
          <w:bCs/>
          <w:color w:val="auto"/>
          <w:sz w:val="28"/>
          <w:szCs w:val="28"/>
          <w:highlight w:val="none"/>
        </w:rPr>
        <w:t>1.</w:t>
      </w:r>
      <w:r>
        <w:rPr>
          <w:rFonts w:ascii="Times New Roman" w:hAnsi="仿宋" w:eastAsia="仿宋"/>
          <w:bCs/>
          <w:color w:val="auto"/>
          <w:sz w:val="28"/>
          <w:szCs w:val="28"/>
          <w:highlight w:val="none"/>
        </w:rPr>
        <w:t>一般性违约，主要指配送延误、服务态度、单据不符等。第一次违约，给予口头警告；第二次违约（同一问题或累计两次），甲方向乙方发出《书面整改通知书》，该批次食材按总价款的</w:t>
      </w:r>
      <w:r>
        <w:rPr>
          <w:rFonts w:ascii="Times New Roman" w:hAnsi="Times New Roman" w:eastAsia="仿宋"/>
          <w:bCs/>
          <w:color w:val="auto"/>
          <w:sz w:val="28"/>
          <w:szCs w:val="28"/>
          <w:highlight w:val="none"/>
        </w:rPr>
        <w:t>50%</w:t>
      </w:r>
      <w:r>
        <w:rPr>
          <w:rFonts w:ascii="Times New Roman" w:hAnsi="仿宋" w:eastAsia="仿宋"/>
          <w:bCs/>
          <w:color w:val="auto"/>
          <w:sz w:val="28"/>
          <w:szCs w:val="28"/>
          <w:highlight w:val="none"/>
        </w:rPr>
        <w:t>办理结算；第三次违约（或累计三次以上），该批次食材不予办理结算，约谈乙方负责人，甲方有权单方面解除合同。</w:t>
      </w:r>
    </w:p>
    <w:p w14:paraId="673D35D6">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Times New Roman" w:eastAsia="仿宋"/>
          <w:bCs/>
          <w:color w:val="auto"/>
          <w:sz w:val="28"/>
          <w:szCs w:val="28"/>
          <w:highlight w:val="none"/>
        </w:rPr>
        <w:t>2.</w:t>
      </w:r>
      <w:r>
        <w:rPr>
          <w:rFonts w:ascii="Times New Roman" w:hAnsi="仿宋" w:eastAsia="仿宋"/>
          <w:bCs/>
          <w:color w:val="auto"/>
          <w:sz w:val="28"/>
          <w:szCs w:val="28"/>
          <w:highlight w:val="none"/>
        </w:rPr>
        <w:t>质量与食品安全违约（如食材不新鲜、变质、异物、以次充好等）</w:t>
      </w:r>
    </w:p>
    <w:p w14:paraId="034C8F12">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第一次违约，给予口头警告，该批次不合格产品无条件退货或换货，且必须在约定时间内补货到位；第二次违约（同一问题或累计两次），甲方向乙方发出《书面整改通知书》，该批次食材不予办理结算；第三次违约，扣除</w:t>
      </w:r>
      <w:r>
        <w:rPr>
          <w:rFonts w:ascii="Times New Roman" w:hAnsi="Times New Roman" w:eastAsia="仿宋"/>
          <w:bCs/>
          <w:color w:val="auto"/>
          <w:sz w:val="28"/>
          <w:szCs w:val="28"/>
          <w:highlight w:val="none"/>
        </w:rPr>
        <w:t>10%</w:t>
      </w:r>
      <w:r>
        <w:rPr>
          <w:rFonts w:ascii="Times New Roman" w:hAnsi="仿宋" w:eastAsia="仿宋"/>
          <w:bCs/>
          <w:color w:val="auto"/>
          <w:sz w:val="28"/>
          <w:szCs w:val="28"/>
          <w:highlight w:val="none"/>
        </w:rPr>
        <w:t>的履约保证金，约谈乙方负责人，甲方有权单方面解除合同。</w:t>
      </w:r>
    </w:p>
    <w:p w14:paraId="17C8DBA3">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若因乙方提供食品造成食品安全事故等问题的，甲方当即取消乙方供货资格，没收全部的履约保证金，并追究相应的经济损失，乙方承担全部经济和法律责任。</w:t>
      </w:r>
    </w:p>
    <w:p w14:paraId="7302F3B8">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Times New Roman" w:eastAsia="仿宋"/>
          <w:bCs/>
          <w:color w:val="auto"/>
          <w:sz w:val="28"/>
          <w:szCs w:val="28"/>
          <w:highlight w:val="none"/>
        </w:rPr>
        <w:t>3.</w:t>
      </w:r>
      <w:r>
        <w:rPr>
          <w:rFonts w:ascii="Times New Roman" w:hAnsi="仿宋" w:eastAsia="仿宋"/>
          <w:bCs/>
          <w:color w:val="auto"/>
          <w:sz w:val="28"/>
          <w:szCs w:val="28"/>
          <w:highlight w:val="none"/>
        </w:rPr>
        <w:t>检验检疫与单据违约（如缺少检疫证明、票据不全）</w:t>
      </w:r>
    </w:p>
    <w:p w14:paraId="7530C3D2">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第一次违约，给予口头警告，拒收相关食材，要求立即补办手续；第二次违约（同一问题或累计两次），甲方向乙方发出《书面整改通知书》，要求乙方在限定时间内补办手续，该批次食材按总价款的</w:t>
      </w:r>
      <w:r>
        <w:rPr>
          <w:rFonts w:ascii="Times New Roman" w:hAnsi="Times New Roman" w:eastAsia="仿宋"/>
          <w:bCs/>
          <w:color w:val="auto"/>
          <w:sz w:val="28"/>
          <w:szCs w:val="28"/>
          <w:highlight w:val="none"/>
        </w:rPr>
        <w:t>50%</w:t>
      </w:r>
      <w:r>
        <w:rPr>
          <w:rFonts w:ascii="Times New Roman" w:hAnsi="仿宋" w:eastAsia="仿宋"/>
          <w:bCs/>
          <w:color w:val="auto"/>
          <w:sz w:val="28"/>
          <w:szCs w:val="28"/>
          <w:highlight w:val="none"/>
        </w:rPr>
        <w:t>办理结算；第三次违约（或累计三次以上），该批次食材不予办理结算，约谈乙方负责人，甲方有权单方面解除合同。</w:t>
      </w:r>
    </w:p>
    <w:p w14:paraId="62519A81">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Times New Roman" w:eastAsia="仿宋"/>
          <w:bCs/>
          <w:color w:val="auto"/>
          <w:sz w:val="28"/>
          <w:szCs w:val="28"/>
          <w:highlight w:val="none"/>
        </w:rPr>
        <w:t>4.</w:t>
      </w:r>
      <w:r>
        <w:rPr>
          <w:rFonts w:ascii="Times New Roman" w:hAnsi="仿宋" w:eastAsia="仿宋"/>
          <w:bCs/>
          <w:color w:val="auto"/>
          <w:sz w:val="28"/>
          <w:szCs w:val="28"/>
          <w:highlight w:val="none"/>
        </w:rPr>
        <w:t>乙方为食材供应安全主体责任人，应当做到食材渠道合法、透明、可溯源，确保食品安全。乙方供应以下食品或出现以下情形的，除全部退货以外，应当承担由此造成的一切经济责任和法律责任。</w:t>
      </w:r>
    </w:p>
    <w:p w14:paraId="32A9FC6A">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w:t>
      </w:r>
      <w:r>
        <w:rPr>
          <w:rFonts w:ascii="Times New Roman" w:hAnsi="Times New Roman" w:eastAsia="仿宋"/>
          <w:bCs/>
          <w:color w:val="auto"/>
          <w:sz w:val="28"/>
          <w:szCs w:val="28"/>
          <w:highlight w:val="none"/>
        </w:rPr>
        <w:t>1</w:t>
      </w:r>
      <w:r>
        <w:rPr>
          <w:rFonts w:ascii="Times New Roman" w:hAnsi="仿宋" w:eastAsia="仿宋"/>
          <w:bCs/>
          <w:color w:val="auto"/>
          <w:sz w:val="28"/>
          <w:szCs w:val="28"/>
          <w:highlight w:val="none"/>
        </w:rPr>
        <w:t>）腐败变质、油脂酸败、霉变、生虫、污秽不洁、混有异物或者其他感官性状异常，对人体健康有害的；</w:t>
      </w:r>
    </w:p>
    <w:p w14:paraId="043E61E8">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w:t>
      </w:r>
      <w:r>
        <w:rPr>
          <w:rFonts w:ascii="Times New Roman" w:hAnsi="Times New Roman" w:eastAsia="仿宋"/>
          <w:bCs/>
          <w:color w:val="auto"/>
          <w:sz w:val="28"/>
          <w:szCs w:val="28"/>
          <w:highlight w:val="none"/>
        </w:rPr>
        <w:t>2</w:t>
      </w:r>
      <w:r>
        <w:rPr>
          <w:rFonts w:ascii="Times New Roman" w:hAnsi="仿宋" w:eastAsia="仿宋"/>
          <w:bCs/>
          <w:color w:val="auto"/>
          <w:sz w:val="28"/>
          <w:szCs w:val="28"/>
          <w:highlight w:val="none"/>
        </w:rPr>
        <w:t>）含有毒、有害物质或者被有害物质污染，对人体健康有害的；</w:t>
      </w:r>
    </w:p>
    <w:p w14:paraId="3F9FFCFA">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w:t>
      </w:r>
      <w:r>
        <w:rPr>
          <w:rFonts w:ascii="Times New Roman" w:hAnsi="Times New Roman" w:eastAsia="仿宋"/>
          <w:bCs/>
          <w:color w:val="auto"/>
          <w:sz w:val="28"/>
          <w:szCs w:val="28"/>
          <w:highlight w:val="none"/>
        </w:rPr>
        <w:t>3</w:t>
      </w:r>
      <w:r>
        <w:rPr>
          <w:rFonts w:ascii="Times New Roman" w:hAnsi="仿宋" w:eastAsia="仿宋"/>
          <w:bCs/>
          <w:color w:val="auto"/>
          <w:sz w:val="28"/>
          <w:szCs w:val="28"/>
          <w:highlight w:val="none"/>
        </w:rPr>
        <w:t>）含有致病性寄生虫、微生物或者微生物含量超过国家限定标准的；</w:t>
      </w:r>
    </w:p>
    <w:p w14:paraId="274F9012">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w:t>
      </w:r>
      <w:r>
        <w:rPr>
          <w:rFonts w:ascii="Times New Roman" w:hAnsi="Times New Roman" w:eastAsia="仿宋"/>
          <w:bCs/>
          <w:color w:val="auto"/>
          <w:sz w:val="28"/>
          <w:szCs w:val="28"/>
          <w:highlight w:val="none"/>
        </w:rPr>
        <w:t>4</w:t>
      </w:r>
      <w:r>
        <w:rPr>
          <w:rFonts w:ascii="Times New Roman" w:hAnsi="仿宋" w:eastAsia="仿宋"/>
          <w:bCs/>
          <w:color w:val="auto"/>
          <w:sz w:val="28"/>
          <w:szCs w:val="28"/>
          <w:highlight w:val="none"/>
        </w:rPr>
        <w:t>）未经动物检疫部门检疫、检验或者检疫、检验不合格的肉类及其制品；</w:t>
      </w:r>
    </w:p>
    <w:p w14:paraId="558C2788">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w:t>
      </w:r>
      <w:r>
        <w:rPr>
          <w:rFonts w:ascii="Times New Roman" w:hAnsi="Times New Roman" w:eastAsia="仿宋"/>
          <w:bCs/>
          <w:color w:val="auto"/>
          <w:sz w:val="28"/>
          <w:szCs w:val="28"/>
          <w:highlight w:val="none"/>
        </w:rPr>
        <w:t>5</w:t>
      </w:r>
      <w:r>
        <w:rPr>
          <w:rFonts w:ascii="Times New Roman" w:hAnsi="仿宋" w:eastAsia="仿宋"/>
          <w:bCs/>
          <w:color w:val="auto"/>
          <w:sz w:val="28"/>
          <w:szCs w:val="28"/>
          <w:highlight w:val="none"/>
        </w:rPr>
        <w:t>）病死、毒死或者死因不明的禽、畜、兽、水产动物等及其制品；</w:t>
      </w:r>
    </w:p>
    <w:p w14:paraId="0597D653">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w:t>
      </w:r>
      <w:r>
        <w:rPr>
          <w:rFonts w:ascii="Times New Roman" w:hAnsi="Times New Roman" w:eastAsia="仿宋"/>
          <w:bCs/>
          <w:color w:val="auto"/>
          <w:sz w:val="28"/>
          <w:szCs w:val="28"/>
          <w:highlight w:val="none"/>
        </w:rPr>
        <w:t>6</w:t>
      </w:r>
      <w:r>
        <w:rPr>
          <w:rFonts w:ascii="Times New Roman" w:hAnsi="仿宋" w:eastAsia="仿宋"/>
          <w:bCs/>
          <w:color w:val="auto"/>
          <w:sz w:val="28"/>
          <w:szCs w:val="28"/>
          <w:highlight w:val="none"/>
        </w:rPr>
        <w:t>）掺假、掺杂、伪造，影响营养、卫生的；</w:t>
      </w:r>
    </w:p>
    <w:p w14:paraId="5422449D">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w:t>
      </w:r>
      <w:r>
        <w:rPr>
          <w:rFonts w:ascii="Times New Roman" w:hAnsi="Times New Roman" w:eastAsia="仿宋"/>
          <w:bCs/>
          <w:color w:val="auto"/>
          <w:sz w:val="28"/>
          <w:szCs w:val="28"/>
          <w:highlight w:val="none"/>
        </w:rPr>
        <w:t>7</w:t>
      </w:r>
      <w:r>
        <w:rPr>
          <w:rFonts w:ascii="Times New Roman" w:hAnsi="仿宋" w:eastAsia="仿宋"/>
          <w:bCs/>
          <w:color w:val="auto"/>
          <w:sz w:val="28"/>
          <w:szCs w:val="28"/>
          <w:highlight w:val="none"/>
        </w:rPr>
        <w:t>）用非食品原料加工的，加入非食品用化学物质或者将非食品当作食品的；</w:t>
      </w:r>
    </w:p>
    <w:p w14:paraId="21A76027">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w:t>
      </w:r>
      <w:r>
        <w:rPr>
          <w:rFonts w:ascii="Times New Roman" w:hAnsi="Times New Roman" w:eastAsia="仿宋"/>
          <w:bCs/>
          <w:color w:val="auto"/>
          <w:sz w:val="28"/>
          <w:szCs w:val="28"/>
          <w:highlight w:val="none"/>
        </w:rPr>
        <w:t>8</w:t>
      </w:r>
      <w:r>
        <w:rPr>
          <w:rFonts w:ascii="Times New Roman" w:hAnsi="仿宋" w:eastAsia="仿宋"/>
          <w:bCs/>
          <w:color w:val="auto"/>
          <w:sz w:val="28"/>
          <w:szCs w:val="28"/>
          <w:highlight w:val="none"/>
        </w:rPr>
        <w:t>）超过保质期限的；</w:t>
      </w:r>
    </w:p>
    <w:p w14:paraId="342D9A03">
      <w:pPr>
        <w:spacing w:line="360" w:lineRule="auto"/>
        <w:ind w:firstLine="560" w:firstLineChars="200"/>
        <w:outlineLvl w:val="9"/>
        <w:rPr>
          <w:rFonts w:ascii="Times New Roman" w:hAnsi="Times New Roman" w:eastAsia="仿宋"/>
          <w:bCs/>
          <w:color w:val="auto"/>
          <w:sz w:val="28"/>
          <w:szCs w:val="28"/>
          <w:highlight w:val="none"/>
        </w:rPr>
      </w:pPr>
      <w:r>
        <w:rPr>
          <w:rFonts w:ascii="Times New Roman" w:hAnsi="仿宋" w:eastAsia="仿宋"/>
          <w:bCs/>
          <w:color w:val="auto"/>
          <w:sz w:val="28"/>
          <w:szCs w:val="28"/>
          <w:highlight w:val="none"/>
        </w:rPr>
        <w:t>（</w:t>
      </w:r>
      <w:r>
        <w:rPr>
          <w:rFonts w:ascii="Times New Roman" w:hAnsi="Times New Roman" w:eastAsia="仿宋"/>
          <w:bCs/>
          <w:color w:val="auto"/>
          <w:sz w:val="28"/>
          <w:szCs w:val="28"/>
          <w:highlight w:val="none"/>
        </w:rPr>
        <w:t>9</w:t>
      </w:r>
      <w:r>
        <w:rPr>
          <w:rFonts w:ascii="Times New Roman" w:hAnsi="仿宋" w:eastAsia="仿宋"/>
          <w:bCs/>
          <w:color w:val="auto"/>
          <w:sz w:val="28"/>
          <w:szCs w:val="28"/>
          <w:highlight w:val="none"/>
        </w:rPr>
        <w:t>）使用有色、有毒塑料制品包装食材的。</w:t>
      </w:r>
    </w:p>
    <w:p w14:paraId="786B7CF0">
      <w:pPr>
        <w:spacing w:line="360" w:lineRule="auto"/>
        <w:ind w:firstLine="562" w:firstLineChars="200"/>
        <w:outlineLvl w:val="1"/>
        <w:rPr>
          <w:rFonts w:ascii="Times New Roman" w:hAnsi="Times New Roman" w:eastAsia="仿宋"/>
          <w:b/>
          <w:bCs/>
          <w:color w:val="auto"/>
          <w:sz w:val="28"/>
          <w:szCs w:val="28"/>
          <w:highlight w:val="none"/>
        </w:rPr>
      </w:pPr>
      <w:bookmarkStart w:id="234" w:name="_Toc6409"/>
      <w:bookmarkStart w:id="235" w:name="_Toc20791"/>
      <w:bookmarkStart w:id="236" w:name="_Toc25772"/>
      <w:r>
        <w:rPr>
          <w:rFonts w:ascii="Times New Roman" w:hAnsi="Times New Roman" w:eastAsia="仿宋"/>
          <w:b/>
          <w:bCs/>
          <w:color w:val="auto"/>
          <w:sz w:val="28"/>
          <w:szCs w:val="28"/>
          <w:highlight w:val="none"/>
          <w:lang w:eastAsia="zh-Hans"/>
        </w:rPr>
        <w:t>十</w:t>
      </w:r>
      <w:r>
        <w:rPr>
          <w:rFonts w:ascii="Times New Roman" w:hAnsi="Times New Roman" w:eastAsia="仿宋"/>
          <w:b/>
          <w:bCs/>
          <w:color w:val="auto"/>
          <w:sz w:val="28"/>
          <w:szCs w:val="28"/>
          <w:highlight w:val="none"/>
        </w:rPr>
        <w:t>三、不可抗力</w:t>
      </w:r>
      <w:r>
        <w:rPr>
          <w:rFonts w:ascii="Times New Roman" w:hAnsi="Times New Roman" w:eastAsia="仿宋"/>
          <w:b/>
          <w:bCs/>
          <w:color w:val="auto"/>
          <w:sz w:val="28"/>
          <w:szCs w:val="28"/>
          <w:highlight w:val="none"/>
          <w:lang w:eastAsia="zh-Hans"/>
        </w:rPr>
        <w:t>及其他</w:t>
      </w:r>
      <w:bookmarkEnd w:id="230"/>
      <w:bookmarkEnd w:id="231"/>
      <w:bookmarkEnd w:id="232"/>
      <w:bookmarkEnd w:id="233"/>
      <w:bookmarkEnd w:id="234"/>
      <w:bookmarkEnd w:id="235"/>
      <w:bookmarkEnd w:id="236"/>
    </w:p>
    <w:p w14:paraId="3336F403">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（一）不可抗力事件是指本合同生效后，发生不能预见并且对其发生和后果不能防止和避免的事件，如战争、疫情、地震、水灾、火灾等，致使直接影响本合同的履行或不能按约定的条件履行。</w:t>
      </w:r>
    </w:p>
    <w:p w14:paraId="5B6A04C4">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（二）发生不可抗力的一方应在</w:t>
      </w:r>
      <w:r>
        <w:rPr>
          <w:rFonts w:ascii="Times New Roman" w:hAnsi="Times New Roman" w:eastAsia="仿宋"/>
          <w:color w:val="auto"/>
          <w:sz w:val="28"/>
          <w:szCs w:val="28"/>
          <w:highlight w:val="none"/>
          <w:u w:val="single"/>
        </w:rPr>
        <w:t xml:space="preserve"> 3 </w:t>
      </w:r>
      <w:r>
        <w:rPr>
          <w:rFonts w:ascii="Times New Roman" w:hAnsi="Times New Roman" w:eastAsia="仿宋"/>
          <w:color w:val="auto"/>
          <w:sz w:val="28"/>
          <w:szCs w:val="28"/>
          <w:highlight w:val="none"/>
        </w:rPr>
        <w:t>日内以电话、传真或电子邮件等方式通知对方，并于事件结束后</w:t>
      </w:r>
      <w:r>
        <w:rPr>
          <w:rFonts w:ascii="Times New Roman" w:hAnsi="Times New Roman" w:eastAsia="仿宋"/>
          <w:color w:val="auto"/>
          <w:sz w:val="28"/>
          <w:szCs w:val="28"/>
          <w:highlight w:val="none"/>
          <w:u w:val="single"/>
        </w:rPr>
        <w:t xml:space="preserve"> 7 </w:t>
      </w:r>
      <w:r>
        <w:rPr>
          <w:rFonts w:ascii="Times New Roman" w:hAnsi="Times New Roman" w:eastAsia="仿宋"/>
          <w:color w:val="auto"/>
          <w:sz w:val="28"/>
          <w:szCs w:val="28"/>
          <w:highlight w:val="none"/>
        </w:rPr>
        <w:t>日内将有关证明文件用特快专递或专人送达对方确认。</w:t>
      </w:r>
    </w:p>
    <w:p w14:paraId="4D497E17">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（三）双方中任一方由于受不可抗力事件的影响而不能完成任务时，完成任务的期限应予以延长，延长的期限应相当于事件所影响的时间。</w:t>
      </w:r>
    </w:p>
    <w:p w14:paraId="0262ABE2">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（四）一旦不可抗力事故的影响持续</w:t>
      </w:r>
      <w:r>
        <w:rPr>
          <w:rFonts w:ascii="Times New Roman" w:hAnsi="Times New Roman" w:eastAsia="仿宋"/>
          <w:color w:val="auto"/>
          <w:sz w:val="28"/>
          <w:szCs w:val="28"/>
          <w:highlight w:val="none"/>
          <w:u w:val="single"/>
        </w:rPr>
        <w:t xml:space="preserve"> 10 </w:t>
      </w:r>
      <w:r>
        <w:rPr>
          <w:rFonts w:ascii="Times New Roman" w:hAnsi="Times New Roman" w:eastAsia="仿宋"/>
          <w:color w:val="auto"/>
          <w:sz w:val="28"/>
          <w:szCs w:val="28"/>
          <w:highlight w:val="none"/>
        </w:rPr>
        <w:t>日以上，双方应通过友好协商决定是否解除合同，或者部分免除履行合同的义务或延期履行合同。</w:t>
      </w:r>
    </w:p>
    <w:p w14:paraId="5334B876">
      <w:pPr>
        <w:spacing w:line="360" w:lineRule="auto"/>
        <w:ind w:firstLine="560" w:firstLineChars="200"/>
        <w:rPr>
          <w:rFonts w:ascii="Times New Roman" w:hAnsi="Times New Roman" w:eastAsia="仿宋"/>
          <w:b/>
          <w:bCs/>
          <w:color w:val="auto"/>
          <w:sz w:val="28"/>
          <w:szCs w:val="28"/>
          <w:highlight w:val="none"/>
        </w:rPr>
      </w:pPr>
      <w:r>
        <w:rPr>
          <w:rFonts w:ascii="Times New Roman" w:hAnsi="Times New Roman" w:eastAsia="仿宋"/>
          <w:color w:val="auto"/>
          <w:sz w:val="28"/>
          <w:szCs w:val="28"/>
          <w:highlight w:val="none"/>
          <w:lang w:eastAsia="zh-Hans"/>
        </w:rPr>
        <w:t>（五）</w:t>
      </w:r>
      <w:r>
        <w:rPr>
          <w:rFonts w:ascii="Times New Roman" w:hAnsi="Times New Roman" w:eastAsia="仿宋"/>
          <w:color w:val="auto"/>
          <w:sz w:val="28"/>
          <w:szCs w:val="28"/>
          <w:highlight w:val="none"/>
        </w:rPr>
        <w:t>由于合同继续履行将损害国家利益和社会公共利益的，合同各方可变更、中止或者终止合同，有过错一方应当承担赔偿责任。</w:t>
      </w:r>
    </w:p>
    <w:p w14:paraId="5E3D2BF9">
      <w:pPr>
        <w:spacing w:line="360" w:lineRule="auto"/>
        <w:ind w:firstLine="562" w:firstLineChars="200"/>
        <w:outlineLvl w:val="1"/>
        <w:rPr>
          <w:rFonts w:ascii="Times New Roman" w:hAnsi="Times New Roman" w:eastAsia="仿宋"/>
          <w:b/>
          <w:bCs/>
          <w:color w:val="auto"/>
          <w:sz w:val="28"/>
          <w:szCs w:val="28"/>
          <w:highlight w:val="none"/>
        </w:rPr>
      </w:pPr>
      <w:bookmarkStart w:id="237" w:name="_Toc17551"/>
      <w:bookmarkStart w:id="238" w:name="_Toc17076"/>
      <w:bookmarkStart w:id="239" w:name="_Toc14427"/>
      <w:bookmarkStart w:id="240" w:name="_Toc19876"/>
      <w:bookmarkStart w:id="241" w:name="_Toc9400"/>
      <w:bookmarkStart w:id="242" w:name="_Toc15764"/>
      <w:bookmarkStart w:id="243" w:name="_Toc14609"/>
      <w:r>
        <w:rPr>
          <w:rFonts w:ascii="Times New Roman" w:hAnsi="Times New Roman" w:eastAsia="仿宋"/>
          <w:b/>
          <w:bCs/>
          <w:color w:val="auto"/>
          <w:sz w:val="28"/>
          <w:szCs w:val="28"/>
          <w:highlight w:val="none"/>
        </w:rPr>
        <w:t>十四、争议解决</w:t>
      </w:r>
      <w:bookmarkEnd w:id="237"/>
      <w:bookmarkEnd w:id="238"/>
      <w:bookmarkEnd w:id="239"/>
      <w:bookmarkEnd w:id="240"/>
      <w:bookmarkEnd w:id="241"/>
      <w:bookmarkEnd w:id="242"/>
      <w:bookmarkEnd w:id="243"/>
    </w:p>
    <w:p w14:paraId="34DC92E0">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在执行合同中发生的或与本合同有关的争端，双方应</w:t>
      </w:r>
      <w:r>
        <w:rPr>
          <w:rFonts w:ascii="Times New Roman" w:hAnsi="Times New Roman" w:eastAsia="仿宋"/>
          <w:color w:val="auto"/>
          <w:sz w:val="28"/>
          <w:szCs w:val="28"/>
          <w:highlight w:val="none"/>
          <w:lang w:eastAsia="zh-Hans"/>
        </w:rPr>
        <w:t>优先</w:t>
      </w:r>
      <w:r>
        <w:rPr>
          <w:rFonts w:ascii="Times New Roman" w:hAnsi="Times New Roman" w:eastAsia="仿宋"/>
          <w:color w:val="auto"/>
          <w:sz w:val="28"/>
          <w:szCs w:val="28"/>
          <w:highlight w:val="none"/>
        </w:rPr>
        <w:t>通过</w:t>
      </w:r>
      <w:r>
        <w:rPr>
          <w:rFonts w:ascii="Times New Roman" w:hAnsi="Times New Roman" w:eastAsia="仿宋"/>
          <w:color w:val="auto"/>
          <w:sz w:val="28"/>
          <w:szCs w:val="28"/>
          <w:highlight w:val="none"/>
          <w:lang w:eastAsia="zh-Hans"/>
        </w:rPr>
        <w:t>友好</w:t>
      </w:r>
      <w:r>
        <w:rPr>
          <w:rFonts w:ascii="Times New Roman" w:hAnsi="Times New Roman" w:eastAsia="仿宋"/>
          <w:color w:val="auto"/>
          <w:sz w:val="28"/>
          <w:szCs w:val="28"/>
          <w:highlight w:val="none"/>
        </w:rPr>
        <w:t>协商解决</w:t>
      </w:r>
      <w:r>
        <w:rPr>
          <w:rFonts w:ascii="Times New Roman" w:hAnsi="Times New Roman" w:eastAsia="仿宋"/>
          <w:color w:val="auto"/>
          <w:sz w:val="28"/>
          <w:szCs w:val="28"/>
          <w:highlight w:val="none"/>
          <w:lang w:eastAsia="zh-Hans"/>
        </w:rPr>
        <w:t>，</w:t>
      </w:r>
      <w:r>
        <w:rPr>
          <w:rFonts w:ascii="Times New Roman" w:hAnsi="Times New Roman" w:eastAsia="仿宋"/>
          <w:color w:val="auto"/>
          <w:sz w:val="28"/>
          <w:szCs w:val="28"/>
          <w:highlight w:val="none"/>
        </w:rPr>
        <w:t>双方协商</w:t>
      </w:r>
      <w:r>
        <w:rPr>
          <w:rFonts w:ascii="Times New Roman" w:hAnsi="Times New Roman" w:eastAsia="仿宋"/>
          <w:color w:val="auto"/>
          <w:sz w:val="28"/>
          <w:szCs w:val="28"/>
          <w:highlight w:val="none"/>
          <w:lang w:eastAsia="zh-Hans"/>
        </w:rPr>
        <w:t>未能</w:t>
      </w:r>
      <w:r>
        <w:rPr>
          <w:rFonts w:ascii="Times New Roman" w:hAnsi="Times New Roman" w:eastAsia="仿宋"/>
          <w:color w:val="auto"/>
          <w:sz w:val="28"/>
          <w:szCs w:val="28"/>
          <w:highlight w:val="none"/>
        </w:rPr>
        <w:t>达成一致时，采取以下第</w:t>
      </w:r>
      <w:r>
        <w:rPr>
          <w:rFonts w:ascii="Times New Roman" w:hAnsi="Times New Roman" w:eastAsia="仿宋"/>
          <w:color w:val="auto"/>
          <w:sz w:val="28"/>
          <w:szCs w:val="28"/>
          <w:highlight w:val="none"/>
          <w:u w:val="single"/>
        </w:rPr>
        <w:t xml:space="preserve">  1  </w:t>
      </w:r>
      <w:r>
        <w:rPr>
          <w:rFonts w:ascii="Times New Roman" w:hAnsi="Times New Roman" w:eastAsia="仿宋"/>
          <w:color w:val="auto"/>
          <w:sz w:val="28"/>
          <w:szCs w:val="28"/>
          <w:highlight w:val="none"/>
        </w:rPr>
        <w:t>种方式解决：</w:t>
      </w:r>
    </w:p>
    <w:p w14:paraId="32C23124">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1</w:t>
      </w:r>
      <w:r>
        <w:rPr>
          <w:rFonts w:ascii="Times New Roman" w:hAnsi="Times New Roman" w:eastAsia="仿宋"/>
          <w:color w:val="auto"/>
          <w:sz w:val="28"/>
          <w:szCs w:val="28"/>
          <w:highlight w:val="none"/>
          <w:lang w:eastAsia="zh-Hans"/>
        </w:rPr>
        <w:t>.</w:t>
      </w:r>
      <w:r>
        <w:rPr>
          <w:rFonts w:ascii="Times New Roman" w:hAnsi="Times New Roman" w:eastAsia="仿宋"/>
          <w:color w:val="auto"/>
          <w:sz w:val="28"/>
          <w:szCs w:val="28"/>
          <w:highlight w:val="none"/>
        </w:rPr>
        <w:t>向甲方所在地人民法院</w:t>
      </w:r>
      <w:r>
        <w:rPr>
          <w:rFonts w:ascii="Times New Roman" w:hAnsi="Times New Roman" w:eastAsia="仿宋"/>
          <w:color w:val="auto"/>
          <w:sz w:val="28"/>
          <w:szCs w:val="28"/>
          <w:highlight w:val="none"/>
          <w:lang w:eastAsia="zh-Hans"/>
        </w:rPr>
        <w:t>提起诉讼</w:t>
      </w:r>
      <w:r>
        <w:rPr>
          <w:rFonts w:ascii="Times New Roman" w:hAnsi="Times New Roman" w:eastAsia="仿宋"/>
          <w:color w:val="auto"/>
          <w:sz w:val="28"/>
          <w:szCs w:val="28"/>
          <w:highlight w:val="none"/>
        </w:rPr>
        <w:t>；</w:t>
      </w:r>
    </w:p>
    <w:p w14:paraId="0E46ABEC">
      <w:pPr>
        <w:spacing w:line="360" w:lineRule="auto"/>
        <w:ind w:firstLine="560" w:firstLineChars="200"/>
        <w:rPr>
          <w:rFonts w:ascii="Times New Roman" w:hAnsi="Times New Roman" w:eastAsia="仿宋"/>
          <w:b/>
          <w:bCs/>
          <w:color w:val="auto"/>
          <w:sz w:val="28"/>
          <w:szCs w:val="28"/>
          <w:highlight w:val="none"/>
        </w:rPr>
      </w:pPr>
      <w:r>
        <w:rPr>
          <w:rFonts w:ascii="Times New Roman" w:hAnsi="Times New Roman" w:eastAsia="仿宋"/>
          <w:color w:val="auto"/>
          <w:sz w:val="28"/>
          <w:szCs w:val="28"/>
          <w:highlight w:val="none"/>
        </w:rPr>
        <w:t>2</w:t>
      </w:r>
      <w:r>
        <w:rPr>
          <w:rFonts w:ascii="Times New Roman" w:hAnsi="Times New Roman" w:eastAsia="仿宋"/>
          <w:color w:val="auto"/>
          <w:sz w:val="28"/>
          <w:szCs w:val="28"/>
          <w:highlight w:val="none"/>
          <w:lang w:eastAsia="zh-Hans"/>
        </w:rPr>
        <w:t>.</w:t>
      </w:r>
      <w:r>
        <w:rPr>
          <w:rFonts w:ascii="Times New Roman" w:hAnsi="Times New Roman" w:eastAsia="仿宋"/>
          <w:color w:val="auto"/>
          <w:sz w:val="28"/>
          <w:szCs w:val="28"/>
          <w:highlight w:val="none"/>
        </w:rPr>
        <w:t>向甲方所属地仲裁委员会申请仲裁</w:t>
      </w:r>
      <w:r>
        <w:rPr>
          <w:rFonts w:ascii="Times New Roman" w:hAnsi="Times New Roman" w:eastAsia="仿宋"/>
          <w:color w:val="auto"/>
          <w:sz w:val="28"/>
          <w:szCs w:val="28"/>
          <w:highlight w:val="none"/>
          <w:lang w:eastAsia="zh-Hans"/>
        </w:rPr>
        <w:t>，按照申请仲裁时该仲裁委实行的仲裁规则进行仲裁</w:t>
      </w:r>
      <w:r>
        <w:rPr>
          <w:rFonts w:ascii="Times New Roman" w:hAnsi="Times New Roman" w:eastAsia="仿宋"/>
          <w:color w:val="auto"/>
          <w:sz w:val="28"/>
          <w:szCs w:val="28"/>
          <w:highlight w:val="none"/>
        </w:rPr>
        <w:t>。</w:t>
      </w:r>
    </w:p>
    <w:p w14:paraId="746D34A2">
      <w:pPr>
        <w:spacing w:line="360" w:lineRule="auto"/>
        <w:ind w:firstLine="562" w:firstLineChars="200"/>
        <w:outlineLvl w:val="1"/>
        <w:rPr>
          <w:rFonts w:ascii="Times New Roman" w:hAnsi="Times New Roman" w:eastAsia="仿宋"/>
          <w:b/>
          <w:bCs/>
          <w:color w:val="auto"/>
          <w:sz w:val="28"/>
          <w:szCs w:val="28"/>
          <w:highlight w:val="none"/>
        </w:rPr>
      </w:pPr>
      <w:bookmarkStart w:id="244" w:name="_Toc17422"/>
      <w:bookmarkStart w:id="245" w:name="_Toc7457"/>
      <w:bookmarkStart w:id="246" w:name="_Toc11045"/>
      <w:bookmarkStart w:id="247" w:name="_Toc21471"/>
      <w:bookmarkStart w:id="248" w:name="_Toc9707"/>
      <w:bookmarkStart w:id="249" w:name="_Toc28758"/>
      <w:bookmarkStart w:id="250" w:name="_Toc25004"/>
      <w:r>
        <w:rPr>
          <w:rFonts w:ascii="Times New Roman" w:hAnsi="Times New Roman" w:eastAsia="仿宋"/>
          <w:b/>
          <w:bCs/>
          <w:color w:val="auto"/>
          <w:sz w:val="28"/>
          <w:szCs w:val="28"/>
          <w:highlight w:val="none"/>
        </w:rPr>
        <w:t>十五、其他约定事项</w:t>
      </w:r>
      <w:bookmarkEnd w:id="244"/>
      <w:bookmarkEnd w:id="245"/>
      <w:bookmarkEnd w:id="246"/>
      <w:bookmarkEnd w:id="247"/>
      <w:bookmarkEnd w:id="248"/>
      <w:bookmarkEnd w:id="249"/>
      <w:bookmarkEnd w:id="250"/>
    </w:p>
    <w:p w14:paraId="62BEBE75">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（一）</w:t>
      </w:r>
      <w:r>
        <w:rPr>
          <w:rFonts w:ascii="Times New Roman" w:hAnsi="Times New Roman" w:eastAsia="仿宋"/>
          <w:color w:val="auto"/>
          <w:sz w:val="28"/>
          <w:szCs w:val="28"/>
          <w:highlight w:val="none"/>
        </w:rPr>
        <w:t>本项目</w:t>
      </w:r>
      <w:r>
        <w:rPr>
          <w:rFonts w:ascii="Times New Roman" w:hAnsi="Times New Roman" w:eastAsia="仿宋"/>
          <w:color w:val="auto"/>
          <w:sz w:val="28"/>
          <w:szCs w:val="28"/>
          <w:highlight w:val="none"/>
          <w:lang w:eastAsia="zh-Hans"/>
        </w:rPr>
        <w:t>补充合同</w:t>
      </w:r>
      <w:r>
        <w:rPr>
          <w:rFonts w:ascii="Times New Roman" w:hAnsi="Times New Roman" w:eastAsia="仿宋"/>
          <w:color w:val="auto"/>
          <w:sz w:val="28"/>
          <w:szCs w:val="28"/>
          <w:highlight w:val="none"/>
        </w:rPr>
        <w:t>、成交通知书、响应文件及其澄清文件等相关文件、磋商文件及其修改澄清等相关文件是</w:t>
      </w:r>
      <w:r>
        <w:rPr>
          <w:rFonts w:ascii="Times New Roman" w:hAnsi="Times New Roman" w:eastAsia="仿宋"/>
          <w:color w:val="auto"/>
          <w:sz w:val="28"/>
          <w:szCs w:val="28"/>
          <w:highlight w:val="none"/>
          <w:lang w:eastAsia="zh-Hans"/>
        </w:rPr>
        <w:t>本合同</w:t>
      </w:r>
      <w:r>
        <w:rPr>
          <w:rFonts w:ascii="Times New Roman" w:hAnsi="Times New Roman" w:eastAsia="仿宋"/>
          <w:color w:val="auto"/>
          <w:sz w:val="28"/>
          <w:szCs w:val="28"/>
          <w:highlight w:val="none"/>
        </w:rPr>
        <w:t>不可分割的组成部分。</w:t>
      </w:r>
    </w:p>
    <w:p w14:paraId="1AD71573">
      <w:pPr>
        <w:spacing w:line="360" w:lineRule="auto"/>
        <w:ind w:firstLine="560" w:firstLineChars="200"/>
        <w:rPr>
          <w:rFonts w:ascii="Times New Roman" w:hAnsi="Times New Roman" w:eastAsia="仿宋"/>
          <w:color w:val="auto"/>
          <w:sz w:val="28"/>
          <w:szCs w:val="28"/>
          <w:highlight w:val="none"/>
          <w:lang w:eastAsia="zh-Hans"/>
        </w:rPr>
      </w:pPr>
      <w:r>
        <w:rPr>
          <w:rFonts w:ascii="Times New Roman" w:hAnsi="Times New Roman" w:eastAsia="仿宋"/>
          <w:color w:val="auto"/>
          <w:sz w:val="28"/>
          <w:szCs w:val="28"/>
          <w:highlight w:val="none"/>
          <w:lang w:eastAsia="zh-Hans"/>
        </w:rPr>
        <w:t>（二）本合同相关的任何争议按照下列顺序适用解释：</w:t>
      </w:r>
    </w:p>
    <w:p w14:paraId="1290018D">
      <w:pPr>
        <w:spacing w:line="360" w:lineRule="auto"/>
        <w:ind w:firstLine="560" w:firstLineChars="200"/>
        <w:rPr>
          <w:rFonts w:ascii="Times New Roman" w:hAnsi="Times New Roman" w:eastAsia="仿宋"/>
          <w:color w:val="auto"/>
          <w:sz w:val="28"/>
          <w:szCs w:val="28"/>
          <w:highlight w:val="none"/>
          <w:lang w:eastAsia="zh-Hans"/>
        </w:rPr>
      </w:pPr>
      <w:r>
        <w:rPr>
          <w:rFonts w:ascii="Times New Roman" w:hAnsi="Times New Roman" w:eastAsia="仿宋"/>
          <w:color w:val="auto"/>
          <w:sz w:val="28"/>
          <w:szCs w:val="28"/>
          <w:highlight w:val="none"/>
          <w:lang w:eastAsia="zh-Hans"/>
        </w:rPr>
        <w:t>1.补充合同</w:t>
      </w:r>
      <w:r>
        <w:rPr>
          <w:rFonts w:ascii="Times New Roman" w:hAnsi="Times New Roman" w:eastAsia="仿宋"/>
          <w:color w:val="auto"/>
          <w:sz w:val="28"/>
          <w:szCs w:val="28"/>
          <w:highlight w:val="none"/>
        </w:rPr>
        <w:t>和本合同</w:t>
      </w:r>
      <w:r>
        <w:rPr>
          <w:rFonts w:ascii="Times New Roman" w:hAnsi="Times New Roman" w:eastAsia="仿宋"/>
          <w:color w:val="auto"/>
          <w:sz w:val="28"/>
          <w:szCs w:val="28"/>
          <w:highlight w:val="none"/>
          <w:lang w:eastAsia="zh-Hans"/>
        </w:rPr>
        <w:t>；</w:t>
      </w:r>
    </w:p>
    <w:p w14:paraId="3ADAFE8F">
      <w:pPr>
        <w:spacing w:line="360" w:lineRule="auto"/>
        <w:ind w:firstLine="560" w:firstLineChars="200"/>
        <w:rPr>
          <w:rFonts w:ascii="Times New Roman" w:hAnsi="Times New Roman" w:eastAsia="仿宋"/>
          <w:color w:val="auto"/>
          <w:sz w:val="28"/>
          <w:szCs w:val="28"/>
          <w:highlight w:val="none"/>
          <w:lang w:eastAsia="zh-Hans"/>
        </w:rPr>
      </w:pPr>
      <w:r>
        <w:rPr>
          <w:rFonts w:ascii="Times New Roman" w:hAnsi="Times New Roman" w:eastAsia="仿宋"/>
          <w:color w:val="auto"/>
          <w:sz w:val="28"/>
          <w:szCs w:val="28"/>
          <w:highlight w:val="none"/>
          <w:lang w:eastAsia="zh-Hans"/>
        </w:rPr>
        <w:t>2.</w:t>
      </w:r>
      <w:r>
        <w:rPr>
          <w:rFonts w:ascii="Times New Roman" w:hAnsi="Times New Roman" w:eastAsia="仿宋"/>
          <w:color w:val="auto"/>
          <w:sz w:val="28"/>
          <w:szCs w:val="28"/>
          <w:highlight w:val="none"/>
        </w:rPr>
        <w:t>成交通知书、响应文件</w:t>
      </w:r>
      <w:r>
        <w:rPr>
          <w:rFonts w:ascii="Times New Roman" w:hAnsi="Times New Roman" w:eastAsia="仿宋"/>
          <w:color w:val="auto"/>
          <w:sz w:val="28"/>
          <w:szCs w:val="28"/>
          <w:highlight w:val="none"/>
          <w:lang w:eastAsia="zh-Hans"/>
        </w:rPr>
        <w:t>及澄清文件</w:t>
      </w:r>
      <w:r>
        <w:rPr>
          <w:rFonts w:ascii="Times New Roman" w:hAnsi="Times New Roman" w:eastAsia="仿宋"/>
          <w:color w:val="auto"/>
          <w:sz w:val="28"/>
          <w:szCs w:val="28"/>
          <w:highlight w:val="none"/>
        </w:rPr>
        <w:t>、磋商文件及其修改澄清等相关文件</w:t>
      </w:r>
      <w:r>
        <w:rPr>
          <w:rFonts w:ascii="Times New Roman" w:hAnsi="Times New Roman" w:eastAsia="仿宋"/>
          <w:color w:val="auto"/>
          <w:sz w:val="28"/>
          <w:szCs w:val="28"/>
          <w:highlight w:val="none"/>
          <w:lang w:eastAsia="zh-Hans"/>
        </w:rPr>
        <w:t>；</w:t>
      </w:r>
    </w:p>
    <w:p w14:paraId="36C1628D">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3.其他文件。</w:t>
      </w:r>
    </w:p>
    <w:p w14:paraId="790DCAD4">
      <w:pPr>
        <w:pStyle w:val="19"/>
        <w:spacing w:after="0"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（三）</w:t>
      </w:r>
      <w:r>
        <w:rPr>
          <w:rFonts w:ascii="Times New Roman" w:hAnsi="Times New Roman" w:eastAsia="仿宋"/>
          <w:color w:val="auto"/>
          <w:sz w:val="28"/>
          <w:szCs w:val="28"/>
          <w:highlight w:val="none"/>
        </w:rPr>
        <w:t>如一方地址、电话、</w:t>
      </w:r>
      <w:r>
        <w:rPr>
          <w:rFonts w:ascii="Times New Roman" w:hAnsi="Times New Roman" w:eastAsia="仿宋"/>
          <w:color w:val="auto"/>
          <w:sz w:val="28"/>
          <w:szCs w:val="28"/>
          <w:highlight w:val="none"/>
          <w:lang w:eastAsia="zh-Hans"/>
        </w:rPr>
        <w:t>联系人、收付款账号</w:t>
      </w:r>
      <w:r>
        <w:rPr>
          <w:rFonts w:ascii="Times New Roman" w:hAnsi="Times New Roman" w:eastAsia="仿宋"/>
          <w:color w:val="auto"/>
          <w:sz w:val="28"/>
          <w:szCs w:val="28"/>
          <w:highlight w:val="none"/>
        </w:rPr>
        <w:t>有变更，应在变更之日起三日内书面通知对方，否则，应承担相应责任。</w:t>
      </w:r>
    </w:p>
    <w:p w14:paraId="01498DAF">
      <w:pPr>
        <w:pStyle w:val="19"/>
        <w:spacing w:after="0"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（四）</w:t>
      </w:r>
      <w:r>
        <w:rPr>
          <w:rFonts w:ascii="Times New Roman" w:hAnsi="Times New Roman" w:eastAsia="仿宋"/>
          <w:color w:val="auto"/>
          <w:sz w:val="28"/>
          <w:szCs w:val="28"/>
          <w:highlight w:val="none"/>
        </w:rPr>
        <w:t>甲乙双方一致确认本合同不存在格式条款，因此不适用法律关于格式条款的规定。</w:t>
      </w:r>
    </w:p>
    <w:p w14:paraId="4BC462D9">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（五）</w:t>
      </w:r>
      <w:r>
        <w:rPr>
          <w:rFonts w:ascii="Times New Roman" w:hAnsi="Times New Roman" w:eastAsia="仿宋"/>
          <w:color w:val="auto"/>
          <w:sz w:val="28"/>
          <w:szCs w:val="28"/>
          <w:highlight w:val="none"/>
        </w:rPr>
        <w:t>本合同一式伍份，甲方执肆份，乙方执壹份，</w:t>
      </w:r>
      <w:r>
        <w:rPr>
          <w:rFonts w:ascii="Times New Roman" w:hAnsi="Times New Roman" w:eastAsia="仿宋"/>
          <w:color w:val="auto"/>
          <w:sz w:val="28"/>
          <w:szCs w:val="28"/>
          <w:highlight w:val="none"/>
          <w:lang w:eastAsia="zh-Hans"/>
        </w:rPr>
        <w:t>均</w:t>
      </w:r>
      <w:r>
        <w:rPr>
          <w:rFonts w:ascii="Times New Roman" w:hAnsi="Times New Roman" w:eastAsia="仿宋"/>
          <w:color w:val="auto"/>
          <w:sz w:val="28"/>
          <w:szCs w:val="28"/>
          <w:highlight w:val="none"/>
        </w:rPr>
        <w:t>具有同等法律效力。</w:t>
      </w:r>
    </w:p>
    <w:p w14:paraId="3836A71A">
      <w:pPr>
        <w:spacing w:line="360" w:lineRule="auto"/>
        <w:ind w:firstLine="560" w:firstLineChars="200"/>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lang w:eastAsia="zh-Hans"/>
        </w:rPr>
        <w:t>（六）</w:t>
      </w:r>
      <w:r>
        <w:rPr>
          <w:rFonts w:ascii="Times New Roman" w:hAnsi="Times New Roman" w:eastAsia="仿宋"/>
          <w:color w:val="auto"/>
          <w:sz w:val="28"/>
          <w:szCs w:val="28"/>
          <w:highlight w:val="none"/>
        </w:rPr>
        <w:t>本合同自双方签字并加盖公章</w:t>
      </w:r>
      <w:r>
        <w:rPr>
          <w:rFonts w:ascii="Times New Roman" w:hAnsi="Times New Roman" w:eastAsia="仿宋"/>
          <w:color w:val="auto"/>
          <w:sz w:val="28"/>
          <w:szCs w:val="28"/>
          <w:highlight w:val="none"/>
          <w:lang w:eastAsia="zh-Hans"/>
        </w:rPr>
        <w:t>后</w:t>
      </w:r>
      <w:r>
        <w:rPr>
          <w:rFonts w:ascii="Times New Roman" w:hAnsi="Times New Roman" w:eastAsia="仿宋"/>
          <w:color w:val="auto"/>
          <w:sz w:val="28"/>
          <w:szCs w:val="28"/>
          <w:highlight w:val="none"/>
        </w:rPr>
        <w:t>,自乙方足额交纳履约保证金之日起生效。</w:t>
      </w:r>
    </w:p>
    <w:p w14:paraId="1CB43CFC">
      <w:pPr>
        <w:pStyle w:val="19"/>
        <w:spacing w:after="0" w:line="360" w:lineRule="auto"/>
        <w:ind w:firstLine="560" w:firstLineChars="200"/>
        <w:rPr>
          <w:rFonts w:ascii="Times New Roman" w:hAnsi="Times New Roman" w:eastAsia="仿宋"/>
          <w:color w:val="auto"/>
          <w:sz w:val="28"/>
          <w:szCs w:val="28"/>
          <w:highlight w:val="none"/>
          <w:lang w:eastAsia="zh-Hans"/>
        </w:rPr>
      </w:pPr>
      <w:r>
        <w:rPr>
          <w:rFonts w:ascii="Times New Roman" w:hAnsi="Times New Roman" w:eastAsia="仿宋"/>
          <w:color w:val="auto"/>
          <w:sz w:val="28"/>
          <w:szCs w:val="28"/>
          <w:highlight w:val="none"/>
          <w:lang w:eastAsia="zh-Hans"/>
        </w:rPr>
        <w:t>（以下无正文）</w:t>
      </w:r>
    </w:p>
    <w:p w14:paraId="5F811920">
      <w:pPr>
        <w:pStyle w:val="45"/>
        <w:spacing w:after="0" w:line="360" w:lineRule="auto"/>
        <w:ind w:left="0" w:leftChars="0" w:firstLine="560"/>
        <w:rPr>
          <w:rFonts w:ascii="Times New Roman" w:hAnsi="Times New Roman" w:eastAsia="仿宋"/>
          <w:color w:val="auto"/>
          <w:sz w:val="28"/>
          <w:szCs w:val="28"/>
          <w:highlight w:val="none"/>
        </w:rPr>
      </w:pPr>
    </w:p>
    <w:p w14:paraId="20716D3B">
      <w:pPr>
        <w:pStyle w:val="19"/>
        <w:spacing w:after="0" w:line="360" w:lineRule="auto"/>
        <w:rPr>
          <w:rFonts w:ascii="Times New Roman" w:hAnsi="Times New Roman" w:eastAsia="仿宋"/>
          <w:color w:val="auto"/>
          <w:sz w:val="28"/>
          <w:szCs w:val="28"/>
          <w:highlight w:val="none"/>
        </w:rPr>
      </w:pPr>
    </w:p>
    <w:p w14:paraId="302720EA">
      <w:pPr>
        <w:spacing w:line="360" w:lineRule="auto"/>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甲方名称（盖章）：                    乙方名称（盖章）：</w:t>
      </w:r>
    </w:p>
    <w:p w14:paraId="2F323E86">
      <w:pPr>
        <w:spacing w:line="360" w:lineRule="auto"/>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授权代表签字：                       授权代表签字：</w:t>
      </w:r>
    </w:p>
    <w:p w14:paraId="186BBFE9">
      <w:pPr>
        <w:spacing w:line="360" w:lineRule="auto"/>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地址：                               地址：</w:t>
      </w:r>
    </w:p>
    <w:p w14:paraId="28AACA75">
      <w:pPr>
        <w:spacing w:line="360" w:lineRule="auto"/>
        <w:rPr>
          <w:rFonts w:ascii="Times New Roman" w:hAnsi="Times New Roman" w:eastAsia="仿宋"/>
          <w:color w:val="auto"/>
          <w:sz w:val="28"/>
          <w:szCs w:val="28"/>
          <w:highlight w:val="none"/>
        </w:rPr>
      </w:pPr>
      <w:r>
        <w:rPr>
          <w:rFonts w:ascii="Times New Roman" w:hAnsi="Times New Roman" w:eastAsia="仿宋"/>
          <w:color w:val="auto"/>
          <w:sz w:val="28"/>
          <w:szCs w:val="28"/>
          <w:highlight w:val="none"/>
        </w:rPr>
        <w:t xml:space="preserve">电话：                               电话：                               </w:t>
      </w:r>
    </w:p>
    <w:p w14:paraId="48835D33">
      <w:pPr>
        <w:keepNext w:val="0"/>
        <w:keepLines w:val="0"/>
        <w:pageBreakBefore w:val="0"/>
        <w:widowControl w:val="0"/>
        <w:kinsoku/>
        <w:wordWrap/>
        <w:overflowPunct/>
        <w:topLinePunct w:val="0"/>
        <w:autoSpaceDE/>
        <w:autoSpaceDN/>
        <w:bidi w:val="0"/>
        <w:jc w:val="left"/>
        <w:rPr>
          <w:rFonts w:hint="eastAsia" w:cs="仿宋"/>
          <w:color w:val="auto"/>
          <w:highlight w:val="none"/>
        </w:rPr>
      </w:pPr>
      <w:r>
        <w:rPr>
          <w:rFonts w:ascii="Times New Roman" w:hAnsi="Times New Roman" w:eastAsia="仿宋"/>
          <w:color w:val="auto"/>
          <w:sz w:val="28"/>
          <w:szCs w:val="28"/>
          <w:highlight w:val="none"/>
        </w:rPr>
        <w:t>签订日期：  年   月   日             签订日期：   年  月   日</w:t>
      </w:r>
    </w:p>
    <w:p w14:paraId="08A8C71D">
      <w:pPr>
        <w:pStyle w:val="19"/>
        <w:keepNext w:val="0"/>
        <w:keepLines w:val="0"/>
        <w:pageBreakBefore w:val="0"/>
        <w:widowControl w:val="0"/>
        <w:kinsoku/>
        <w:wordWrap/>
        <w:overflowPunct/>
        <w:topLinePunct w:val="0"/>
        <w:autoSpaceDE/>
        <w:autoSpaceDN/>
        <w:bidi w:val="0"/>
        <w:rPr>
          <w:rFonts w:hint="eastAsia"/>
          <w:color w:val="auto"/>
          <w:highlight w:val="none"/>
        </w:rPr>
      </w:pPr>
    </w:p>
    <w:bookmarkEnd w:id="138"/>
    <w:bookmarkEnd w:id="139"/>
    <w:bookmarkEnd w:id="140"/>
    <w:bookmarkEnd w:id="141"/>
    <w:bookmarkEnd w:id="142"/>
    <w:bookmarkEnd w:id="143"/>
    <w:bookmarkEnd w:id="144"/>
    <w:bookmarkEnd w:id="145"/>
    <w:p w14:paraId="4F9E098E">
      <w:pPr>
        <w:pStyle w:val="19"/>
        <w:keepNext w:val="0"/>
        <w:keepLines w:val="0"/>
        <w:pageBreakBefore w:val="0"/>
        <w:widowControl w:val="0"/>
        <w:kinsoku/>
        <w:wordWrap/>
        <w:overflowPunct/>
        <w:topLinePunct w:val="0"/>
        <w:autoSpaceDE/>
        <w:autoSpaceDN/>
        <w:bidi w:val="0"/>
        <w:rPr>
          <w:rFonts w:hint="eastAsia"/>
          <w:color w:val="auto"/>
          <w:highlight w:val="none"/>
        </w:rPr>
      </w:pPr>
      <w:bookmarkStart w:id="251" w:name="_Toc103033233"/>
      <w:bookmarkStart w:id="252" w:name="_Toc67046893"/>
      <w:bookmarkStart w:id="253" w:name="_Toc68789539"/>
      <w:bookmarkStart w:id="254" w:name="_Toc76397761"/>
      <w:bookmarkStart w:id="255" w:name="_Toc276645578"/>
      <w:bookmarkStart w:id="256" w:name="_Toc70528467"/>
      <w:bookmarkStart w:id="257" w:name="_Toc199652098"/>
      <w:bookmarkStart w:id="258" w:name="_Toc201977165"/>
    </w:p>
    <w:p w14:paraId="6D17E14B">
      <w:pPr>
        <w:pStyle w:val="19"/>
        <w:keepNext w:val="0"/>
        <w:keepLines w:val="0"/>
        <w:pageBreakBefore w:val="0"/>
        <w:widowControl w:val="0"/>
        <w:kinsoku/>
        <w:wordWrap/>
        <w:overflowPunct/>
        <w:topLinePunct w:val="0"/>
        <w:autoSpaceDE/>
        <w:autoSpaceDN/>
        <w:bidi w:val="0"/>
        <w:rPr>
          <w:rFonts w:hint="eastAsia"/>
          <w:color w:val="auto"/>
          <w:highlight w:val="none"/>
        </w:rPr>
      </w:pPr>
    </w:p>
    <w:p w14:paraId="33BA20D2">
      <w:pPr>
        <w:pStyle w:val="19"/>
        <w:keepNext w:val="0"/>
        <w:keepLines w:val="0"/>
        <w:pageBreakBefore w:val="0"/>
        <w:widowControl w:val="0"/>
        <w:kinsoku/>
        <w:wordWrap/>
        <w:overflowPunct/>
        <w:topLinePunct w:val="0"/>
        <w:autoSpaceDE/>
        <w:autoSpaceDN/>
        <w:bidi w:val="0"/>
        <w:rPr>
          <w:rFonts w:hint="eastAsia"/>
          <w:color w:val="auto"/>
          <w:highlight w:val="none"/>
        </w:rPr>
      </w:pPr>
    </w:p>
    <w:p w14:paraId="5CDE7FEC">
      <w:pPr>
        <w:pStyle w:val="19"/>
        <w:keepNext w:val="0"/>
        <w:keepLines w:val="0"/>
        <w:pageBreakBefore w:val="0"/>
        <w:widowControl w:val="0"/>
        <w:kinsoku/>
        <w:wordWrap/>
        <w:overflowPunct/>
        <w:topLinePunct w:val="0"/>
        <w:autoSpaceDE/>
        <w:autoSpaceDN/>
        <w:bidi w:val="0"/>
        <w:rPr>
          <w:rFonts w:hint="eastAsia"/>
          <w:color w:val="auto"/>
          <w:highlight w:val="none"/>
        </w:rPr>
      </w:pPr>
    </w:p>
    <w:p w14:paraId="72A096B2">
      <w:pPr>
        <w:pStyle w:val="19"/>
        <w:keepNext w:val="0"/>
        <w:keepLines w:val="0"/>
        <w:pageBreakBefore w:val="0"/>
        <w:widowControl w:val="0"/>
        <w:kinsoku/>
        <w:wordWrap/>
        <w:overflowPunct/>
        <w:topLinePunct w:val="0"/>
        <w:autoSpaceDE/>
        <w:autoSpaceDN/>
        <w:bidi w:val="0"/>
        <w:rPr>
          <w:rFonts w:hint="eastAsia"/>
          <w:color w:val="auto"/>
          <w:highlight w:val="none"/>
        </w:rPr>
        <w:sectPr>
          <w:pgSz w:w="11906" w:h="16838"/>
          <w:pgMar w:top="1134" w:right="1134" w:bottom="1134" w:left="1134" w:header="426" w:footer="751" w:gutter="0"/>
          <w:paperSrc w:first="7"/>
          <w:pgNumType w:fmt="decimal"/>
          <w:cols w:space="0" w:num="1"/>
          <w:titlePg/>
          <w:rtlGutter w:val="0"/>
          <w:docGrid w:linePitch="312" w:charSpace="0"/>
        </w:sectPr>
      </w:pPr>
    </w:p>
    <w:p w14:paraId="05CE4074">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259" w:name="_Toc104040755"/>
      <w:bookmarkStart w:id="260" w:name="_Toc3185"/>
      <w:bookmarkStart w:id="261" w:name="_Toc103216638"/>
      <w:bookmarkStart w:id="262" w:name="_Toc104040701"/>
      <w:r>
        <w:rPr>
          <w:rFonts w:hint="eastAsia" w:eastAsia="宋体"/>
          <w:color w:val="auto"/>
          <w:sz w:val="24"/>
          <w:szCs w:val="24"/>
          <w:highlight w:val="none"/>
        </w:rPr>
        <w:t>第六章  响应文件格式</w:t>
      </w:r>
      <w:bookmarkEnd w:id="251"/>
      <w:bookmarkEnd w:id="252"/>
      <w:bookmarkEnd w:id="253"/>
      <w:bookmarkEnd w:id="254"/>
      <w:bookmarkEnd w:id="255"/>
      <w:bookmarkEnd w:id="256"/>
      <w:r>
        <w:rPr>
          <w:rFonts w:hint="eastAsia" w:eastAsia="宋体"/>
          <w:color w:val="auto"/>
          <w:sz w:val="24"/>
          <w:szCs w:val="24"/>
          <w:highlight w:val="none"/>
        </w:rPr>
        <w:t>与要求</w:t>
      </w:r>
      <w:bookmarkEnd w:id="259"/>
      <w:bookmarkEnd w:id="260"/>
      <w:bookmarkEnd w:id="261"/>
      <w:bookmarkEnd w:id="262"/>
    </w:p>
    <w:p w14:paraId="61BC7DB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供应商应提交证明其有资格参加磋商和成交后有能力履行合同的相关文件，并作为其响应文件的一部分，所有文件必须真实可靠、不得伪造，否则将按相关规定予以处罚。</w:t>
      </w:r>
    </w:p>
    <w:p w14:paraId="172FE4A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1.法人或者其他组织的营业执照等证明文件，自然人的身份证明：</w:t>
      </w:r>
    </w:p>
    <w:p w14:paraId="2364526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法人包括企业法人、机关法人、事业单位法人和社会团体法人；其他组织主要包括合伙企业、非企业专业服务机构、农村承包经营户；自然人是指《中华人民共和国民法典》（以下简称《民法典》）规定的具有完全民事行为能力、能够承担民事责任和义务的公民。如供应商是企业（包括合伙企业），要提供在工商部门注册的有效“企业法人营业执照”或“营业执照”；如供应商是事业单位，要提供有效的“事业单位法人证书”；供应商是非企业专业服务机构，要提供有效的“执业许可证”“登记证书”等证明文件，如律师事务所，会计师事务所要提供执业许可证等证明文件；如供应商是个体工商户，要提供有效的“个体工商户营业执照”；如供应商是自然人，要提供有效的自然人身份证明。</w:t>
      </w:r>
    </w:p>
    <w:p w14:paraId="5AB9406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这里所指“其他组织”不包括法人的分支机构，由于法人分支机构不能独立承担民事责任，不能以分支机构的身份参加政府采购，只能以法人身份参加。“但由于银行、保险、石油石化、电力、电信等行业具有其特殊性，如果能够提供其法人给予的相应授权证明材料，可以参加政府采购活动”。</w:t>
      </w:r>
    </w:p>
    <w:p w14:paraId="0FE8C89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2.财务状况报告，依法缴纳税收和社会保障资金的相关材料。（详见资格性审查表要求）</w:t>
      </w:r>
    </w:p>
    <w:p w14:paraId="70636D5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3.具有履行合同所必需的设备和专业技术能力的声明。</w:t>
      </w:r>
    </w:p>
    <w:p w14:paraId="3167914E">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4.供应商参加政府采购前三年内在经营活动中没有重大违法记录声明函。</w:t>
      </w:r>
    </w:p>
    <w:p w14:paraId="6D3E356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5.信用记录查询</w:t>
      </w:r>
    </w:p>
    <w:p w14:paraId="3F632AFB">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（1）查询渠道：通过“信用中国”网站(www.creditchina.gov.cn)和“中国政府采购网”（www.ccgp.gov.cn）进行查询；</w:t>
      </w:r>
    </w:p>
    <w:p w14:paraId="5A74B25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（2）查询截止时点：提交响应文件截止日当天；</w:t>
      </w:r>
    </w:p>
    <w:p w14:paraId="5B127050">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（3）查询记录：对列入失信被执行人、重大税收违法案件当事人名单、政府采购严重违法失信行为记录名单、信用报告进行查询；</w:t>
      </w:r>
    </w:p>
    <w:p w14:paraId="6D6BA6AB">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采购人或采购代理机构应当按照查询渠道、查询时间节点、查询记录内容进行查询，并存档。对信用记录查询结果中显示供应商被列入失信被执行人、重大税收违法案件当事人名单、政府采购严重违法失信行为记录名单的供应商作无效响应处理。</w:t>
      </w:r>
    </w:p>
    <w:p w14:paraId="286AE36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在本采购文件规定的查询时间之外，网站信息发生的任何变更均不作为资格审查依据。</w:t>
      </w:r>
    </w:p>
    <w:p w14:paraId="0D78655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按照采购文件要求，供应商应当提交的资格、资信证明文件。</w:t>
      </w:r>
    </w:p>
    <w:p w14:paraId="28649FEF">
      <w:pPr>
        <w:pStyle w:val="19"/>
        <w:keepNext w:val="0"/>
        <w:keepLines w:val="0"/>
        <w:pageBreakBefore w:val="0"/>
        <w:widowControl w:val="0"/>
        <w:kinsoku/>
        <w:wordWrap/>
        <w:overflowPunct/>
        <w:topLinePunct w:val="0"/>
        <w:autoSpaceDE/>
        <w:autoSpaceDN/>
        <w:bidi w:val="0"/>
        <w:rPr>
          <w:rFonts w:hint="eastAsia"/>
          <w:color w:val="auto"/>
          <w:highlight w:val="none"/>
        </w:rPr>
      </w:pPr>
    </w:p>
    <w:p w14:paraId="0FCFE3AC">
      <w:pPr>
        <w:keepNext w:val="0"/>
        <w:keepLines w:val="0"/>
        <w:pageBreakBefore w:val="0"/>
        <w:widowControl w:val="0"/>
        <w:kinsoku/>
        <w:wordWrap/>
        <w:overflowPunct/>
        <w:topLinePunct w:val="0"/>
        <w:autoSpaceDE/>
        <w:autoSpaceDN/>
        <w:bidi w:val="0"/>
        <w:rPr>
          <w:rFonts w:hint="eastAsia"/>
          <w:b/>
          <w:bCs/>
          <w:color w:val="auto"/>
          <w:sz w:val="32"/>
          <w:szCs w:val="40"/>
          <w:highlight w:val="none"/>
        </w:rPr>
      </w:pPr>
      <w:r>
        <w:rPr>
          <w:b/>
          <w:bCs/>
          <w:color w:val="auto"/>
          <w:sz w:val="32"/>
          <w:szCs w:val="40"/>
          <w:highlight w:val="none"/>
        </w:rPr>
        <w:br w:type="page"/>
      </w:r>
    </w:p>
    <w:p w14:paraId="5009DB41">
      <w:pPr>
        <w:keepNext w:val="0"/>
        <w:keepLines w:val="0"/>
        <w:pageBreakBefore w:val="0"/>
        <w:widowControl w:val="0"/>
        <w:kinsoku/>
        <w:wordWrap/>
        <w:overflowPunct/>
        <w:topLinePunct w:val="0"/>
        <w:autoSpaceDE/>
        <w:autoSpaceDN/>
        <w:bidi w:val="0"/>
        <w:jc w:val="center"/>
        <w:outlineLvl w:val="1"/>
        <w:rPr>
          <w:rFonts w:hint="eastAsia"/>
          <w:b/>
          <w:bCs/>
          <w:color w:val="auto"/>
          <w:sz w:val="32"/>
          <w:szCs w:val="40"/>
          <w:highlight w:val="none"/>
        </w:rPr>
      </w:pPr>
      <w:bookmarkStart w:id="263" w:name="_Toc25764"/>
      <w:bookmarkStart w:id="264" w:name="_Toc104160524"/>
      <w:bookmarkStart w:id="265" w:name="_Toc462677235"/>
      <w:bookmarkStart w:id="266" w:name="_Toc104040756"/>
      <w:bookmarkStart w:id="267" w:name="_Toc259090983"/>
      <w:bookmarkStart w:id="268" w:name="_Toc103033234"/>
      <w:bookmarkStart w:id="269" w:name="_Toc104040702"/>
      <w:bookmarkStart w:id="270" w:name="_Toc6322297"/>
      <w:bookmarkStart w:id="271" w:name="_Toc67046895"/>
      <w:bookmarkStart w:id="272" w:name="_Toc276645580"/>
      <w:bookmarkStart w:id="273" w:name="_Toc6397152"/>
      <w:bookmarkStart w:id="274" w:name="_Toc6727973"/>
      <w:bookmarkStart w:id="275" w:name="_Toc32977098"/>
      <w:r>
        <w:rPr>
          <w:rFonts w:hint="eastAsia"/>
          <w:b/>
          <w:bCs/>
          <w:color w:val="auto"/>
          <w:sz w:val="32"/>
          <w:szCs w:val="40"/>
          <w:highlight w:val="none"/>
        </w:rPr>
        <w:t>响应文件封面（参考）</w:t>
      </w:r>
      <w:bookmarkEnd w:id="263"/>
      <w:bookmarkEnd w:id="264"/>
    </w:p>
    <w:p w14:paraId="252D33DE">
      <w:pPr>
        <w:keepNext w:val="0"/>
        <w:keepLines w:val="0"/>
        <w:pageBreakBefore w:val="0"/>
        <w:widowControl w:val="0"/>
        <w:kinsoku/>
        <w:wordWrap/>
        <w:overflowPunct/>
        <w:topLinePunct w:val="0"/>
        <w:autoSpaceDE/>
        <w:autoSpaceDN/>
        <w:bidi w:val="0"/>
        <w:rPr>
          <w:rFonts w:hint="eastAsia"/>
          <w:color w:val="auto"/>
          <w:highlight w:val="none"/>
        </w:rPr>
      </w:pPr>
      <w:r>
        <w:rPr>
          <w:color w:val="auto"/>
          <w:highlight w:val="none"/>
        </w:rPr>
        <mc:AlternateContent>
          <mc:Choice Requires="wps">
            <w:drawing>
              <wp:inline distT="0" distB="0" distL="0" distR="0">
                <wp:extent cx="6153150" cy="7799705"/>
                <wp:effectExtent l="0" t="0" r="19050" b="10795"/>
                <wp:docPr id="12" name="文本框 12"/>
                <wp:cNvGraphicFramePr/>
                <a:graphic xmlns:a="http://schemas.openxmlformats.org/drawingml/2006/main">
                  <a:graphicData uri="http://schemas.microsoft.com/office/word/2010/wordprocessingShape">
                    <wps:wsp>
                      <wps:cNvSpPr txBox="1">
                        <a:spLocks noChangeArrowheads="1"/>
                      </wps:cNvSpPr>
                      <wps:spPr bwMode="auto">
                        <a:xfrm>
                          <a:off x="0" y="0"/>
                          <a:ext cx="6153150" cy="7800230"/>
                        </a:xfrm>
                        <a:prstGeom prst="rect">
                          <a:avLst/>
                        </a:prstGeom>
                        <a:solidFill>
                          <a:srgbClr val="FFFFFF"/>
                        </a:solidFill>
                        <a:ln w="9525">
                          <a:solidFill>
                            <a:srgbClr val="000000"/>
                          </a:solidFill>
                          <a:miter lim="800000"/>
                        </a:ln>
                      </wps:spPr>
                      <wps:txbx>
                        <w:txbxContent>
                          <w:p w14:paraId="4F9C90A1">
                            <w:pPr>
                              <w:pStyle w:val="19"/>
                              <w:rPr>
                                <w:rFonts w:hint="eastAsia"/>
                              </w:rPr>
                            </w:pPr>
                          </w:p>
                          <w:p w14:paraId="4465606F">
                            <w:pPr>
                              <w:pStyle w:val="19"/>
                              <w:jc w:val="right"/>
                              <w:rPr>
                                <w:rFonts w:hint="eastAsia"/>
                                <w:b/>
                                <w:bCs/>
                                <w:sz w:val="44"/>
                                <w:szCs w:val="40"/>
                              </w:rPr>
                            </w:pPr>
                            <w:r>
                              <w:rPr>
                                <w:rFonts w:hint="eastAsia"/>
                                <w:b/>
                                <w:bCs/>
                                <w:sz w:val="44"/>
                                <w:szCs w:val="40"/>
                              </w:rPr>
                              <w:t>正本/副本</w:t>
                            </w:r>
                          </w:p>
                          <w:p w14:paraId="007E6AE0">
                            <w:pPr>
                              <w:pStyle w:val="19"/>
                              <w:rPr>
                                <w:rFonts w:hint="eastAsia"/>
                                <w:sz w:val="40"/>
                                <w:szCs w:val="36"/>
                              </w:rPr>
                            </w:pPr>
                          </w:p>
                          <w:p w14:paraId="0CD6B77F">
                            <w:pPr>
                              <w:pStyle w:val="19"/>
                              <w:jc w:val="center"/>
                              <w:rPr>
                                <w:rFonts w:hint="eastAsia"/>
                                <w:b/>
                                <w:bCs/>
                                <w:sz w:val="84"/>
                                <w:szCs w:val="84"/>
                              </w:rPr>
                            </w:pPr>
                            <w:r>
                              <w:rPr>
                                <w:rFonts w:hint="eastAsia"/>
                                <w:b/>
                                <w:bCs/>
                                <w:sz w:val="84"/>
                                <w:szCs w:val="84"/>
                              </w:rPr>
                              <w:t>响应文件</w:t>
                            </w:r>
                          </w:p>
                          <w:p w14:paraId="4DB03D24">
                            <w:pPr>
                              <w:pStyle w:val="19"/>
                              <w:rPr>
                                <w:rFonts w:hint="eastAsia"/>
                                <w:sz w:val="32"/>
                                <w:szCs w:val="28"/>
                              </w:rPr>
                            </w:pPr>
                          </w:p>
                          <w:p w14:paraId="7D267999">
                            <w:pPr>
                              <w:pStyle w:val="19"/>
                              <w:ind w:firstLine="640" w:firstLineChars="200"/>
                              <w:rPr>
                                <w:rFonts w:hint="eastAsia"/>
                                <w:sz w:val="32"/>
                                <w:szCs w:val="32"/>
                              </w:rPr>
                            </w:pPr>
                            <w:r>
                              <w:rPr>
                                <w:rFonts w:hint="eastAsia"/>
                                <w:sz w:val="32"/>
                                <w:szCs w:val="32"/>
                              </w:rPr>
                              <w:t>项目编号：</w:t>
                            </w:r>
                          </w:p>
                          <w:p w14:paraId="4813D586">
                            <w:pPr>
                              <w:pStyle w:val="19"/>
                              <w:ind w:firstLine="640" w:firstLineChars="200"/>
                              <w:rPr>
                                <w:rFonts w:hint="eastAsia"/>
                                <w:sz w:val="32"/>
                                <w:szCs w:val="32"/>
                              </w:rPr>
                            </w:pPr>
                            <w:r>
                              <w:rPr>
                                <w:rFonts w:hint="eastAsia"/>
                                <w:sz w:val="32"/>
                                <w:szCs w:val="32"/>
                              </w:rPr>
                              <w:t>项目名称：</w:t>
                            </w:r>
                          </w:p>
                          <w:p w14:paraId="3BF341BC">
                            <w:pPr>
                              <w:pStyle w:val="19"/>
                              <w:ind w:firstLine="640" w:firstLineChars="200"/>
                              <w:rPr>
                                <w:rFonts w:hint="eastAsia"/>
                                <w:color w:val="FF0000"/>
                                <w:sz w:val="32"/>
                                <w:szCs w:val="32"/>
                              </w:rPr>
                            </w:pPr>
                          </w:p>
                          <w:p w14:paraId="0BF85F55">
                            <w:pPr>
                              <w:pStyle w:val="19"/>
                              <w:ind w:firstLine="640" w:firstLineChars="200"/>
                              <w:rPr>
                                <w:rFonts w:hint="eastAsia"/>
                                <w:sz w:val="32"/>
                                <w:szCs w:val="32"/>
                              </w:rPr>
                            </w:pPr>
                          </w:p>
                          <w:p w14:paraId="7E2D8AC8">
                            <w:pPr>
                              <w:pStyle w:val="19"/>
                              <w:ind w:firstLine="640" w:firstLineChars="200"/>
                              <w:rPr>
                                <w:rFonts w:hint="eastAsia"/>
                                <w:sz w:val="32"/>
                                <w:szCs w:val="32"/>
                              </w:rPr>
                            </w:pPr>
                            <w:r>
                              <w:rPr>
                                <w:rFonts w:hint="eastAsia"/>
                                <w:sz w:val="32"/>
                                <w:szCs w:val="32"/>
                              </w:rPr>
                              <w:t>供应商名称：</w:t>
                            </w:r>
                          </w:p>
                          <w:p w14:paraId="3432116B">
                            <w:pPr>
                              <w:pStyle w:val="19"/>
                              <w:ind w:firstLine="640" w:firstLineChars="200"/>
                              <w:rPr>
                                <w:rFonts w:hint="eastAsia"/>
                                <w:sz w:val="32"/>
                                <w:szCs w:val="32"/>
                              </w:rPr>
                            </w:pPr>
                            <w:r>
                              <w:rPr>
                                <w:rFonts w:hint="eastAsia"/>
                                <w:sz w:val="32"/>
                                <w:szCs w:val="32"/>
                              </w:rPr>
                              <w:t>供应商地址：</w:t>
                            </w:r>
                          </w:p>
                          <w:p w14:paraId="1A88C078">
                            <w:pPr>
                              <w:pStyle w:val="19"/>
                              <w:ind w:firstLine="640" w:firstLineChars="200"/>
                              <w:rPr>
                                <w:rFonts w:hint="eastAsia"/>
                                <w:sz w:val="32"/>
                                <w:szCs w:val="32"/>
                              </w:rPr>
                            </w:pPr>
                            <w:r>
                              <w:rPr>
                                <w:rFonts w:hint="eastAsia"/>
                                <w:sz w:val="32"/>
                                <w:szCs w:val="32"/>
                              </w:rPr>
                              <w:t>供应商法定代表人或其授权委托人：</w:t>
                            </w:r>
                          </w:p>
                          <w:p w14:paraId="7FD30BF6">
                            <w:pPr>
                              <w:pStyle w:val="19"/>
                              <w:ind w:firstLine="640" w:firstLineChars="200"/>
                              <w:rPr>
                                <w:rFonts w:hint="eastAsia"/>
                                <w:sz w:val="32"/>
                                <w:szCs w:val="32"/>
                              </w:rPr>
                            </w:pPr>
                            <w:r>
                              <w:rPr>
                                <w:rFonts w:hint="eastAsia"/>
                                <w:sz w:val="32"/>
                                <w:szCs w:val="32"/>
                              </w:rPr>
                              <w:t>联系电话：</w:t>
                            </w:r>
                          </w:p>
                          <w:p w14:paraId="422E923D">
                            <w:pPr>
                              <w:pStyle w:val="19"/>
                              <w:rPr>
                                <w:rFonts w:hint="eastAsia"/>
                                <w:sz w:val="32"/>
                                <w:szCs w:val="32"/>
                              </w:rPr>
                            </w:pPr>
                          </w:p>
                          <w:p w14:paraId="0FAD1005">
                            <w:pPr>
                              <w:pStyle w:val="19"/>
                              <w:jc w:val="center"/>
                              <w:rPr>
                                <w:rFonts w:hint="eastAsia"/>
                                <w:sz w:val="32"/>
                                <w:szCs w:val="32"/>
                              </w:rPr>
                            </w:pPr>
                            <w:r>
                              <w:rPr>
                                <w:rFonts w:hint="eastAsia"/>
                                <w:sz w:val="32"/>
                                <w:szCs w:val="32"/>
                              </w:rPr>
                              <w:t>---本项目开启前不准启封---</w:t>
                            </w:r>
                          </w:p>
                          <w:p w14:paraId="7D4C4BD5">
                            <w:pPr>
                              <w:pStyle w:val="19"/>
                              <w:rPr>
                                <w:rFonts w:hint="eastAsia"/>
                                <w:sz w:val="32"/>
                                <w:szCs w:val="32"/>
                              </w:rPr>
                            </w:pPr>
                          </w:p>
                          <w:p w14:paraId="7306172C">
                            <w:pPr>
                              <w:pStyle w:val="19"/>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txbxContent>
                      </wps:txbx>
                      <wps:bodyPr rot="0" vert="horz" wrap="square" lIns="91440" tIns="45720" rIns="91440" bIns="45720" anchor="t" anchorCtr="0" upright="1">
                        <a:noAutofit/>
                      </wps:bodyPr>
                    </wps:wsp>
                  </a:graphicData>
                </a:graphic>
              </wp:inline>
            </w:drawing>
          </mc:Choice>
          <mc:Fallback>
            <w:pict>
              <v:shape id="_x0000_s1026" o:spid="_x0000_s1026" o:spt="202" type="#_x0000_t202" style="height:614.15pt;width:484.5pt;" fillcolor="#FFFFFF" filled="t" stroked="t" coordsize="21600,21600" o:gfxdata="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AtrsTLVAAAABgEAAA8AAAAAAAAAAQAgAAAAIgAA&#10;AGRycy9kb3ducmV2LnhtbFBLAQIUABQAAAAIAIdO4kBvlx5iRAIAAIoEAAAOAAAAAAAAAAEAIAAA&#10;ACQBAABkcnMvZTJvRG9jLnhtbFBLBQYAAAAABgAGAFkBAADaBQAAAAA=&#10;">
                <v:fill on="t" focussize="0,0"/>
                <v:stroke color="#000000" miterlimit="8" joinstyle="miter"/>
                <v:imagedata o:title=""/>
                <o:lock v:ext="edit" aspectratio="f"/>
                <v:textbox>
                  <w:txbxContent>
                    <w:p w14:paraId="4F9C90A1">
                      <w:pPr>
                        <w:pStyle w:val="19"/>
                        <w:rPr>
                          <w:rFonts w:hint="eastAsia"/>
                        </w:rPr>
                      </w:pPr>
                    </w:p>
                    <w:p w14:paraId="4465606F">
                      <w:pPr>
                        <w:pStyle w:val="19"/>
                        <w:jc w:val="right"/>
                        <w:rPr>
                          <w:rFonts w:hint="eastAsia"/>
                          <w:b/>
                          <w:bCs/>
                          <w:sz w:val="44"/>
                          <w:szCs w:val="40"/>
                        </w:rPr>
                      </w:pPr>
                      <w:r>
                        <w:rPr>
                          <w:rFonts w:hint="eastAsia"/>
                          <w:b/>
                          <w:bCs/>
                          <w:sz w:val="44"/>
                          <w:szCs w:val="40"/>
                        </w:rPr>
                        <w:t>正本/副本</w:t>
                      </w:r>
                    </w:p>
                    <w:p w14:paraId="007E6AE0">
                      <w:pPr>
                        <w:pStyle w:val="19"/>
                        <w:rPr>
                          <w:rFonts w:hint="eastAsia"/>
                          <w:sz w:val="40"/>
                          <w:szCs w:val="36"/>
                        </w:rPr>
                      </w:pPr>
                    </w:p>
                    <w:p w14:paraId="0CD6B77F">
                      <w:pPr>
                        <w:pStyle w:val="19"/>
                        <w:jc w:val="center"/>
                        <w:rPr>
                          <w:rFonts w:hint="eastAsia"/>
                          <w:b/>
                          <w:bCs/>
                          <w:sz w:val="84"/>
                          <w:szCs w:val="84"/>
                        </w:rPr>
                      </w:pPr>
                      <w:r>
                        <w:rPr>
                          <w:rFonts w:hint="eastAsia"/>
                          <w:b/>
                          <w:bCs/>
                          <w:sz w:val="84"/>
                          <w:szCs w:val="84"/>
                        </w:rPr>
                        <w:t>响应文件</w:t>
                      </w:r>
                    </w:p>
                    <w:p w14:paraId="4DB03D24">
                      <w:pPr>
                        <w:pStyle w:val="19"/>
                        <w:rPr>
                          <w:rFonts w:hint="eastAsia"/>
                          <w:sz w:val="32"/>
                          <w:szCs w:val="28"/>
                        </w:rPr>
                      </w:pPr>
                    </w:p>
                    <w:p w14:paraId="7D267999">
                      <w:pPr>
                        <w:pStyle w:val="19"/>
                        <w:ind w:firstLine="640" w:firstLineChars="200"/>
                        <w:rPr>
                          <w:rFonts w:hint="eastAsia"/>
                          <w:sz w:val="32"/>
                          <w:szCs w:val="32"/>
                        </w:rPr>
                      </w:pPr>
                      <w:r>
                        <w:rPr>
                          <w:rFonts w:hint="eastAsia"/>
                          <w:sz w:val="32"/>
                          <w:szCs w:val="32"/>
                        </w:rPr>
                        <w:t>项目编号：</w:t>
                      </w:r>
                    </w:p>
                    <w:p w14:paraId="4813D586">
                      <w:pPr>
                        <w:pStyle w:val="19"/>
                        <w:ind w:firstLine="640" w:firstLineChars="200"/>
                        <w:rPr>
                          <w:rFonts w:hint="eastAsia"/>
                          <w:sz w:val="32"/>
                          <w:szCs w:val="32"/>
                        </w:rPr>
                      </w:pPr>
                      <w:r>
                        <w:rPr>
                          <w:rFonts w:hint="eastAsia"/>
                          <w:sz w:val="32"/>
                          <w:szCs w:val="32"/>
                        </w:rPr>
                        <w:t>项目名称：</w:t>
                      </w:r>
                    </w:p>
                    <w:p w14:paraId="3BF341BC">
                      <w:pPr>
                        <w:pStyle w:val="19"/>
                        <w:ind w:firstLine="640" w:firstLineChars="200"/>
                        <w:rPr>
                          <w:rFonts w:hint="eastAsia"/>
                          <w:color w:val="FF0000"/>
                          <w:sz w:val="32"/>
                          <w:szCs w:val="32"/>
                        </w:rPr>
                      </w:pPr>
                    </w:p>
                    <w:p w14:paraId="0BF85F55">
                      <w:pPr>
                        <w:pStyle w:val="19"/>
                        <w:ind w:firstLine="640" w:firstLineChars="200"/>
                        <w:rPr>
                          <w:rFonts w:hint="eastAsia"/>
                          <w:sz w:val="32"/>
                          <w:szCs w:val="32"/>
                        </w:rPr>
                      </w:pPr>
                    </w:p>
                    <w:p w14:paraId="7E2D8AC8">
                      <w:pPr>
                        <w:pStyle w:val="19"/>
                        <w:ind w:firstLine="640" w:firstLineChars="200"/>
                        <w:rPr>
                          <w:rFonts w:hint="eastAsia"/>
                          <w:sz w:val="32"/>
                          <w:szCs w:val="32"/>
                        </w:rPr>
                      </w:pPr>
                      <w:r>
                        <w:rPr>
                          <w:rFonts w:hint="eastAsia"/>
                          <w:sz w:val="32"/>
                          <w:szCs w:val="32"/>
                        </w:rPr>
                        <w:t>供应商名称：</w:t>
                      </w:r>
                    </w:p>
                    <w:p w14:paraId="3432116B">
                      <w:pPr>
                        <w:pStyle w:val="19"/>
                        <w:ind w:firstLine="640" w:firstLineChars="200"/>
                        <w:rPr>
                          <w:rFonts w:hint="eastAsia"/>
                          <w:sz w:val="32"/>
                          <w:szCs w:val="32"/>
                        </w:rPr>
                      </w:pPr>
                      <w:r>
                        <w:rPr>
                          <w:rFonts w:hint="eastAsia"/>
                          <w:sz w:val="32"/>
                          <w:szCs w:val="32"/>
                        </w:rPr>
                        <w:t>供应商地址：</w:t>
                      </w:r>
                    </w:p>
                    <w:p w14:paraId="1A88C078">
                      <w:pPr>
                        <w:pStyle w:val="19"/>
                        <w:ind w:firstLine="640" w:firstLineChars="200"/>
                        <w:rPr>
                          <w:rFonts w:hint="eastAsia"/>
                          <w:sz w:val="32"/>
                          <w:szCs w:val="32"/>
                        </w:rPr>
                      </w:pPr>
                      <w:r>
                        <w:rPr>
                          <w:rFonts w:hint="eastAsia"/>
                          <w:sz w:val="32"/>
                          <w:szCs w:val="32"/>
                        </w:rPr>
                        <w:t>供应商法定代表人或其授权委托人：</w:t>
                      </w:r>
                    </w:p>
                    <w:p w14:paraId="7FD30BF6">
                      <w:pPr>
                        <w:pStyle w:val="19"/>
                        <w:ind w:firstLine="640" w:firstLineChars="200"/>
                        <w:rPr>
                          <w:rFonts w:hint="eastAsia"/>
                          <w:sz w:val="32"/>
                          <w:szCs w:val="32"/>
                        </w:rPr>
                      </w:pPr>
                      <w:r>
                        <w:rPr>
                          <w:rFonts w:hint="eastAsia"/>
                          <w:sz w:val="32"/>
                          <w:szCs w:val="32"/>
                        </w:rPr>
                        <w:t>联系电话：</w:t>
                      </w:r>
                    </w:p>
                    <w:p w14:paraId="422E923D">
                      <w:pPr>
                        <w:pStyle w:val="19"/>
                        <w:rPr>
                          <w:rFonts w:hint="eastAsia"/>
                          <w:sz w:val="32"/>
                          <w:szCs w:val="32"/>
                        </w:rPr>
                      </w:pPr>
                    </w:p>
                    <w:p w14:paraId="0FAD1005">
                      <w:pPr>
                        <w:pStyle w:val="19"/>
                        <w:jc w:val="center"/>
                        <w:rPr>
                          <w:rFonts w:hint="eastAsia"/>
                          <w:sz w:val="32"/>
                          <w:szCs w:val="32"/>
                        </w:rPr>
                      </w:pPr>
                      <w:r>
                        <w:rPr>
                          <w:rFonts w:hint="eastAsia"/>
                          <w:sz w:val="32"/>
                          <w:szCs w:val="32"/>
                        </w:rPr>
                        <w:t>---本项目开启前不准启封---</w:t>
                      </w:r>
                    </w:p>
                    <w:p w14:paraId="7D4C4BD5">
                      <w:pPr>
                        <w:pStyle w:val="19"/>
                        <w:rPr>
                          <w:rFonts w:hint="eastAsia"/>
                          <w:sz w:val="32"/>
                          <w:szCs w:val="32"/>
                        </w:rPr>
                      </w:pPr>
                    </w:p>
                    <w:p w14:paraId="7306172C">
                      <w:pPr>
                        <w:pStyle w:val="19"/>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txbxContent>
                </v:textbox>
                <w10:wrap type="none"/>
                <w10:anchorlock/>
              </v:shape>
            </w:pict>
          </mc:Fallback>
        </mc:AlternateContent>
      </w:r>
    </w:p>
    <w:p w14:paraId="29202E52">
      <w:pPr>
        <w:keepNext w:val="0"/>
        <w:keepLines w:val="0"/>
        <w:pageBreakBefore w:val="0"/>
        <w:widowControl w:val="0"/>
        <w:kinsoku/>
        <w:wordWrap/>
        <w:overflowPunct/>
        <w:topLinePunct w:val="0"/>
        <w:autoSpaceDE/>
        <w:autoSpaceDN/>
        <w:bidi w:val="0"/>
        <w:rPr>
          <w:rFonts w:hint="eastAsia"/>
          <w:b/>
          <w:bCs/>
          <w:color w:val="auto"/>
          <w:sz w:val="36"/>
          <w:szCs w:val="44"/>
          <w:highlight w:val="none"/>
        </w:rPr>
      </w:pPr>
      <w:r>
        <w:rPr>
          <w:rFonts w:hint="eastAsia"/>
          <w:b/>
          <w:bCs/>
          <w:color w:val="auto"/>
          <w:sz w:val="24"/>
          <w:szCs w:val="32"/>
          <w:highlight w:val="none"/>
        </w:rPr>
        <w:t>说明：请供应商自行编制响应文件目录。</w:t>
      </w:r>
      <w:r>
        <w:rPr>
          <w:b/>
          <w:bCs/>
          <w:color w:val="auto"/>
          <w:sz w:val="36"/>
          <w:szCs w:val="44"/>
          <w:highlight w:val="none"/>
        </w:rPr>
        <w:br w:type="page"/>
      </w:r>
    </w:p>
    <w:p w14:paraId="00326225">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276" w:name="_Toc16313"/>
      <w:r>
        <w:rPr>
          <w:rFonts w:hint="eastAsia" w:ascii="宋体" w:hAnsi="宋体" w:eastAsia="宋体"/>
          <w:color w:val="auto"/>
          <w:sz w:val="24"/>
          <w:szCs w:val="24"/>
          <w:highlight w:val="none"/>
        </w:rPr>
        <w:t>响应承诺函</w:t>
      </w:r>
      <w:bookmarkEnd w:id="265"/>
      <w:bookmarkEnd w:id="266"/>
      <w:bookmarkEnd w:id="267"/>
      <w:bookmarkEnd w:id="268"/>
      <w:bookmarkEnd w:id="269"/>
      <w:bookmarkEnd w:id="270"/>
      <w:bookmarkEnd w:id="271"/>
      <w:bookmarkEnd w:id="272"/>
      <w:bookmarkEnd w:id="276"/>
    </w:p>
    <w:p w14:paraId="7E5EB678">
      <w:pPr>
        <w:keepNext w:val="0"/>
        <w:keepLines w:val="0"/>
        <w:pageBreakBefore w:val="0"/>
        <w:widowControl w:val="0"/>
        <w:kinsoku/>
        <w:wordWrap/>
        <w:overflowPunct/>
        <w:topLinePunct w:val="0"/>
        <w:autoSpaceDE/>
        <w:autoSpaceDN/>
        <w:bidi w:val="0"/>
        <w:jc w:val="center"/>
        <w:rPr>
          <w:rFonts w:hint="eastAsia"/>
          <w:b/>
          <w:bCs/>
          <w:color w:val="auto"/>
          <w:sz w:val="28"/>
          <w:szCs w:val="28"/>
          <w:highlight w:val="none"/>
        </w:rPr>
      </w:pPr>
      <w:r>
        <w:rPr>
          <w:rFonts w:hint="eastAsia"/>
          <w:b/>
          <w:bCs/>
          <w:color w:val="auto"/>
          <w:sz w:val="28"/>
          <w:szCs w:val="28"/>
          <w:highlight w:val="none"/>
        </w:rPr>
        <w:t>响应承诺函</w:t>
      </w:r>
    </w:p>
    <w:p w14:paraId="27EBCDAE">
      <w:pPr>
        <w:keepNext w:val="0"/>
        <w:keepLines w:val="0"/>
        <w:pageBreakBefore w:val="0"/>
        <w:widowControl w:val="0"/>
        <w:kinsoku/>
        <w:wordWrap/>
        <w:overflowPunct/>
        <w:topLinePunct w:val="0"/>
        <w:autoSpaceDE/>
        <w:autoSpaceDN/>
        <w:bidi w:val="0"/>
        <w:adjustRightInd w:val="0"/>
        <w:snapToGrid w:val="0"/>
        <w:rPr>
          <w:rFonts w:hint="eastAsia"/>
          <w:i/>
          <w:iCs/>
          <w:color w:val="auto"/>
          <w:sz w:val="24"/>
          <w:highlight w:val="none"/>
          <w:u w:val="single"/>
        </w:rPr>
      </w:pPr>
      <w:r>
        <w:rPr>
          <w:rFonts w:hint="eastAsia"/>
          <w:color w:val="auto"/>
          <w:sz w:val="24"/>
          <w:highlight w:val="none"/>
        </w:rPr>
        <w:t>致：公诚管理咨询有限公司</w:t>
      </w:r>
    </w:p>
    <w:p w14:paraId="56B3636D">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你方组织的</w:t>
      </w:r>
      <w:r>
        <w:rPr>
          <w:rFonts w:hint="eastAsia"/>
          <w:color w:val="auto"/>
          <w:highlight w:val="none"/>
          <w:u w:val="single"/>
          <w:lang w:eastAsia="zh-CN"/>
        </w:rPr>
        <w:t xml:space="preserve"> 中华人民共和国青茂出入境边防检查站2026年度食堂食材配送服务采购项目</w:t>
      </w:r>
      <w:r>
        <w:rPr>
          <w:rFonts w:hint="eastAsia"/>
          <w:color w:val="auto"/>
          <w:highlight w:val="none"/>
          <w:u w:val="single"/>
          <w:lang w:val="en-US" w:eastAsia="zh-CN"/>
        </w:rPr>
        <w:t xml:space="preserve"> </w:t>
      </w:r>
      <w:r>
        <w:rPr>
          <w:color w:val="auto"/>
          <w:highlight w:val="none"/>
          <w:lang w:eastAsia="zh-CN"/>
        </w:rPr>
        <w:t>[项目编号：</w:t>
      </w:r>
      <w:r>
        <w:rPr>
          <w:color w:val="auto"/>
          <w:highlight w:val="none"/>
          <w:u w:val="single"/>
          <w:lang w:eastAsia="zh-CN"/>
        </w:rPr>
        <w:t xml:space="preserve"> </w:t>
      </w:r>
      <w:r>
        <w:rPr>
          <w:rFonts w:hint="eastAsia"/>
          <w:color w:val="auto"/>
          <w:highlight w:val="none"/>
          <w:u w:val="single"/>
          <w:lang w:eastAsia="zh-CN"/>
        </w:rPr>
        <w:t>07-08-04F-2026-D-F-E06418</w:t>
      </w:r>
      <w:r>
        <w:rPr>
          <w:color w:val="auto"/>
          <w:highlight w:val="none"/>
          <w:u w:val="single"/>
          <w:lang w:eastAsia="zh-CN"/>
        </w:rPr>
        <w:t xml:space="preserve"> </w:t>
      </w:r>
      <w:r>
        <w:rPr>
          <w:color w:val="auto"/>
          <w:highlight w:val="none"/>
          <w:lang w:eastAsia="zh-CN"/>
        </w:rPr>
        <w:t>]</w:t>
      </w:r>
      <w:r>
        <w:rPr>
          <w:rFonts w:hint="eastAsia"/>
          <w:color w:val="auto"/>
          <w:highlight w:val="none"/>
          <w:lang w:eastAsia="zh-CN"/>
        </w:rPr>
        <w:t>的竞争性磋商</w:t>
      </w:r>
      <w:r>
        <w:rPr>
          <w:color w:val="auto"/>
          <w:highlight w:val="none"/>
          <w:lang w:eastAsia="zh-CN"/>
        </w:rPr>
        <w:t>，我方愿参与</w:t>
      </w:r>
      <w:r>
        <w:rPr>
          <w:rFonts w:hint="eastAsia"/>
          <w:color w:val="auto"/>
          <w:highlight w:val="none"/>
          <w:lang w:eastAsia="zh-CN"/>
        </w:rPr>
        <w:t>响应</w:t>
      </w:r>
      <w:r>
        <w:rPr>
          <w:color w:val="auto"/>
          <w:highlight w:val="none"/>
          <w:lang w:eastAsia="zh-CN"/>
        </w:rPr>
        <w:t>。</w:t>
      </w:r>
    </w:p>
    <w:p w14:paraId="3AFA1F3F">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我方确认收到贵方提供的</w:t>
      </w:r>
      <w:r>
        <w:rPr>
          <w:rFonts w:hint="eastAsia"/>
          <w:color w:val="auto"/>
          <w:highlight w:val="none"/>
          <w:u w:val="single"/>
          <w:lang w:eastAsia="zh-CN"/>
        </w:rPr>
        <w:t>中华人民共和国青茂出入境边防检查站2026年度食堂食材配送服务采购项目</w:t>
      </w:r>
      <w:r>
        <w:rPr>
          <w:color w:val="auto"/>
          <w:highlight w:val="none"/>
          <w:lang w:eastAsia="zh-CN"/>
        </w:rPr>
        <w:t>的</w:t>
      </w:r>
      <w:r>
        <w:rPr>
          <w:rFonts w:hint="eastAsia"/>
          <w:color w:val="auto"/>
          <w:highlight w:val="none"/>
          <w:lang w:eastAsia="zh-CN"/>
        </w:rPr>
        <w:t>磋商</w:t>
      </w:r>
      <w:r>
        <w:rPr>
          <w:color w:val="auto"/>
          <w:highlight w:val="none"/>
          <w:lang w:eastAsia="zh-CN"/>
        </w:rPr>
        <w:t>文件的全部内容。</w:t>
      </w:r>
    </w:p>
    <w:p w14:paraId="288D74C7">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我方在参与响应前已详细研究了磋商文件的所有内容，包括澄清、修改文件（如果有）和所有已提供的参考资料以及有关附件，我方完全明白并认为此磋商文件没有倾向性，也不存在排斥潜在供应商的内容，我方同意磋商文件的相关条款，放弃对磋商文件提出误解和质疑的一切权力。</w:t>
      </w:r>
    </w:p>
    <w:p w14:paraId="55C5B54F">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color w:val="auto"/>
          <w:highlight w:val="none"/>
          <w:u w:val="single"/>
          <w:lang w:eastAsia="zh-CN"/>
        </w:rPr>
        <w:t xml:space="preserve">       </w:t>
      </w:r>
      <w:r>
        <w:rPr>
          <w:rFonts w:hint="eastAsia"/>
          <w:color w:val="auto"/>
          <w:highlight w:val="none"/>
          <w:u w:val="single"/>
          <w:lang w:eastAsia="zh-CN"/>
        </w:rPr>
        <w:t>（供应商</w:t>
      </w:r>
      <w:r>
        <w:rPr>
          <w:color w:val="auto"/>
          <w:highlight w:val="none"/>
          <w:u w:val="single"/>
          <w:lang w:eastAsia="zh-CN"/>
        </w:rPr>
        <w:t>名称</w:t>
      </w:r>
      <w:r>
        <w:rPr>
          <w:rFonts w:hint="eastAsia"/>
          <w:color w:val="auto"/>
          <w:highlight w:val="none"/>
          <w:u w:val="single"/>
          <w:lang w:eastAsia="zh-CN"/>
        </w:rPr>
        <w:t>）</w:t>
      </w:r>
      <w:r>
        <w:rPr>
          <w:color w:val="auto"/>
          <w:highlight w:val="none"/>
          <w:lang w:eastAsia="zh-CN"/>
        </w:rPr>
        <w:t>作为</w:t>
      </w:r>
      <w:r>
        <w:rPr>
          <w:rFonts w:hint="eastAsia"/>
          <w:color w:val="auto"/>
          <w:highlight w:val="none"/>
          <w:lang w:eastAsia="zh-CN"/>
        </w:rPr>
        <w:t>供应商</w:t>
      </w:r>
      <w:r>
        <w:rPr>
          <w:color w:val="auto"/>
          <w:highlight w:val="none"/>
          <w:lang w:eastAsia="zh-CN"/>
        </w:rPr>
        <w:t>正式授权</w:t>
      </w:r>
      <w:r>
        <w:rPr>
          <w:rFonts w:hint="eastAsia"/>
          <w:color w:val="auto"/>
          <w:highlight w:val="none"/>
          <w:u w:val="single"/>
          <w:lang w:eastAsia="zh-CN"/>
        </w:rPr>
        <w:t xml:space="preserve"> </w:t>
      </w:r>
      <w:r>
        <w:rPr>
          <w:color w:val="auto"/>
          <w:highlight w:val="none"/>
          <w:u w:val="single"/>
          <w:lang w:eastAsia="zh-CN"/>
        </w:rPr>
        <w:t xml:space="preserve">      </w:t>
      </w:r>
      <w:r>
        <w:rPr>
          <w:rFonts w:hint="eastAsia"/>
          <w:color w:val="auto"/>
          <w:highlight w:val="none"/>
          <w:u w:val="single"/>
          <w:lang w:eastAsia="zh-CN"/>
        </w:rPr>
        <w:t>（</w:t>
      </w:r>
      <w:r>
        <w:rPr>
          <w:color w:val="auto"/>
          <w:highlight w:val="none"/>
          <w:u w:val="single"/>
          <w:lang w:eastAsia="zh-CN"/>
        </w:rPr>
        <w:t>授权代表全名,职务</w:t>
      </w:r>
      <w:r>
        <w:rPr>
          <w:rFonts w:hint="eastAsia"/>
          <w:color w:val="auto"/>
          <w:highlight w:val="none"/>
          <w:u w:val="single"/>
          <w:lang w:eastAsia="zh-CN"/>
        </w:rPr>
        <w:t>）</w:t>
      </w:r>
      <w:r>
        <w:rPr>
          <w:color w:val="auto"/>
          <w:highlight w:val="none"/>
          <w:lang w:eastAsia="zh-CN"/>
        </w:rPr>
        <w:t>代表</w:t>
      </w:r>
      <w:r>
        <w:rPr>
          <w:rFonts w:hint="eastAsia"/>
          <w:color w:val="auto"/>
          <w:highlight w:val="none"/>
          <w:lang w:eastAsia="zh-CN"/>
        </w:rPr>
        <w:t>我方全权处理有关本响应的一切事宜</w:t>
      </w:r>
      <w:r>
        <w:rPr>
          <w:color w:val="auto"/>
          <w:highlight w:val="none"/>
          <w:lang w:eastAsia="zh-CN"/>
        </w:rPr>
        <w:t xml:space="preserve">。   </w:t>
      </w:r>
    </w:p>
    <w:p w14:paraId="1CC96853">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我方已完全明白磋商文件的所有条款要求，并申明如下：</w:t>
      </w:r>
    </w:p>
    <w:p w14:paraId="09DDF619">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（一）按磋商文件提供的全部货物（工程、服务）与相关服务的磋商总价详见《首轮报价表》。</w:t>
      </w:r>
    </w:p>
    <w:p w14:paraId="08679593">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二）本响应文件的有效期为从提交投标（响应）文件的截止之日起90日历天。如成交，有效期将延至合同终止日为止。在此提交的资格证明文件均至响应截止日有效，如有在响应有效期内失效的，我方承诺在成交后补齐一切手续，保证所有资格证明文件能在签订采购合同时直至采购合同终止日有效。</w:t>
      </w:r>
    </w:p>
    <w:p w14:paraId="08E1D92F">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（三）我方明白并同意，在规定的开启日之后，响应有效期之内撤回响应或成交后不按规定与采购人签订合同或不提交履约保证金, 则贵方将不予退还响应保证金。（若不收取响应保证金，则此条不适用）</w:t>
      </w:r>
    </w:p>
    <w:p w14:paraId="5B559D11">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（四）我方愿意向贵方提供任何与本项报价有关的数据、情况和技术资料。若贵方需要，我方愿意提供我方作出的一切承诺的证明材料。</w:t>
      </w:r>
    </w:p>
    <w:p w14:paraId="7E776977">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（五）我方理解贵方不一定接受最低磋商价或任何贵方可能收到的响应。</w:t>
      </w:r>
    </w:p>
    <w:p w14:paraId="56320F1B">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（六）我方如果成交，将保证履行磋商文件及其澄清、修改文件（如果有）中的全部责任和义务，按质、按量、按期完成《采购需求》及《合同书》中的全部任务。</w:t>
      </w:r>
    </w:p>
    <w:p w14:paraId="597A57AC">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（七）我方作为法律、财务和运作上独立于采购人、采购代理机构的供应商，在此保证所提交的所有文件和全部说明是真实的和正确的。</w:t>
      </w:r>
    </w:p>
    <w:p w14:paraId="45824BA8">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（八）我方磋商报价已包含应向知识产权所有权人支付的所有相关税费，并保证采购人在中国使用我方提供的货物时，如有第三方提出侵犯其知识产权主张的，责任由我方承担。</w:t>
      </w:r>
    </w:p>
    <w:p w14:paraId="329D54A2">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（九）我方接受采购人委托向贵方支付代理服务费，项目总报价已包含代理服务费，如果被确定为成交供应商，承诺向贵方足额支付。（若采购人支付代理服务费，则此条不适用）</w:t>
      </w:r>
    </w:p>
    <w:p w14:paraId="58C49435">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（十）我方与其他供应商不存在单位负责人为同一人或者存在直接控股、管理关系。</w:t>
      </w:r>
    </w:p>
    <w:p w14:paraId="0876886E">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（十一）我方承诺未为本项目提供整体设计、规范编制或者项目管理、监理、检测等服务。</w:t>
      </w:r>
    </w:p>
    <w:p w14:paraId="465C88E7">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（十二）我方未被列入法院失信被执行人名单中。</w:t>
      </w:r>
    </w:p>
    <w:p w14:paraId="7F409F76">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（十三）我方承诺遵守《中华人民共和国</w:t>
      </w:r>
      <w:r>
        <w:rPr>
          <w:rFonts w:hint="eastAsia"/>
          <w:color w:val="auto"/>
          <w:highlight w:val="none"/>
          <w:lang w:val="en-US" w:eastAsia="zh-CN"/>
        </w:rPr>
        <w:t>民法典</w:t>
      </w:r>
      <w:r>
        <w:rPr>
          <w:rFonts w:hint="eastAsia"/>
          <w:color w:val="auto"/>
          <w:highlight w:val="none"/>
          <w:lang w:eastAsia="zh-CN"/>
        </w:rPr>
        <w:t>》有关规定和《中华人民共和国妇女权益保障法》中关于“劳动和社会保障权益”的有关要求。</w:t>
      </w:r>
    </w:p>
    <w:p w14:paraId="66FCCE72">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（十四）我方具备《中华人民共和国政府采购法》第二十二条规定的条件，承诺如下：</w:t>
      </w:r>
    </w:p>
    <w:p w14:paraId="0B88E507">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14:paraId="1DC6E974">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（2）我方符合法律、行政法规规定的其他条件。</w:t>
      </w:r>
    </w:p>
    <w:p w14:paraId="72F6CB8C">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以上内容如有虚假或与事实不符的，磋商小组可将我方做无效响应处理，我方愿意承担相应的法律责任。</w:t>
      </w:r>
    </w:p>
    <w:p w14:paraId="00EBB3D9">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（十五）我方对在本函及响应文件中所作的所有承诺承担法律责任。</w:t>
      </w:r>
    </w:p>
    <w:p w14:paraId="3D40707B">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（十六）所有与本磋商有关的函件请发往下列地址：</w:t>
      </w:r>
    </w:p>
    <w:p w14:paraId="2A1EF97A">
      <w:pPr>
        <w:pStyle w:val="356"/>
        <w:keepNext w:val="0"/>
        <w:keepLines w:val="0"/>
        <w:pageBreakBefore w:val="0"/>
        <w:widowControl w:val="0"/>
        <w:kinsoku/>
        <w:wordWrap/>
        <w:overflowPunct/>
        <w:topLinePunct w:val="0"/>
        <w:autoSpaceDE/>
        <w:autoSpaceDN/>
        <w:bidi w:val="0"/>
        <w:rPr>
          <w:rFonts w:hint="eastAsia"/>
          <w:color w:val="auto"/>
          <w:highlight w:val="none"/>
          <w:u w:val="single"/>
          <w:lang w:eastAsia="zh-CN"/>
        </w:rPr>
      </w:pPr>
      <w:r>
        <w:rPr>
          <w:rFonts w:hint="eastAsia"/>
          <w:color w:val="auto"/>
          <w:highlight w:val="none"/>
          <w:lang w:eastAsia="zh-CN"/>
        </w:rPr>
        <w:t xml:space="preserve">地 </w:t>
      </w:r>
      <w:r>
        <w:rPr>
          <w:color w:val="auto"/>
          <w:highlight w:val="none"/>
          <w:lang w:eastAsia="zh-CN"/>
        </w:rPr>
        <w:t xml:space="preserve">   址：</w:t>
      </w:r>
      <w:r>
        <w:rPr>
          <w:color w:val="auto"/>
          <w:highlight w:val="none"/>
          <w:u w:val="single"/>
          <w:lang w:eastAsia="zh-CN"/>
        </w:rPr>
        <w:t xml:space="preserve">               .</w:t>
      </w:r>
    </w:p>
    <w:p w14:paraId="330F3D2C">
      <w:pPr>
        <w:pStyle w:val="356"/>
        <w:keepNext w:val="0"/>
        <w:keepLines w:val="0"/>
        <w:pageBreakBefore w:val="0"/>
        <w:widowControl w:val="0"/>
        <w:kinsoku/>
        <w:wordWrap/>
        <w:overflowPunct/>
        <w:topLinePunct w:val="0"/>
        <w:autoSpaceDE/>
        <w:autoSpaceDN/>
        <w:bidi w:val="0"/>
        <w:rPr>
          <w:rFonts w:hint="eastAsia"/>
          <w:color w:val="auto"/>
          <w:highlight w:val="none"/>
          <w:u w:val="single"/>
          <w:lang w:eastAsia="zh-CN"/>
        </w:rPr>
      </w:pPr>
      <w:r>
        <w:rPr>
          <w:color w:val="auto"/>
          <w:highlight w:val="none"/>
          <w:lang w:eastAsia="zh-CN"/>
        </w:rPr>
        <w:t>电</w:t>
      </w:r>
      <w:r>
        <w:rPr>
          <w:rFonts w:hint="eastAsia"/>
          <w:color w:val="auto"/>
          <w:highlight w:val="none"/>
          <w:lang w:eastAsia="zh-CN"/>
        </w:rPr>
        <w:t xml:space="preserve"> </w:t>
      </w:r>
      <w:r>
        <w:rPr>
          <w:color w:val="auto"/>
          <w:highlight w:val="none"/>
          <w:lang w:eastAsia="zh-CN"/>
        </w:rPr>
        <w:t xml:space="preserve">   话：</w:t>
      </w:r>
      <w:r>
        <w:rPr>
          <w:color w:val="auto"/>
          <w:highlight w:val="none"/>
          <w:u w:val="single"/>
          <w:lang w:eastAsia="zh-CN"/>
        </w:rPr>
        <w:t xml:space="preserve">               .</w:t>
      </w:r>
    </w:p>
    <w:p w14:paraId="02E7B818">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r>
        <w:rPr>
          <w:rFonts w:hint="eastAsia"/>
          <w:color w:val="auto"/>
          <w:highlight w:val="none"/>
          <w:lang w:eastAsia="zh-CN"/>
        </w:rPr>
        <w:t>电子邮箱</w:t>
      </w:r>
      <w:r>
        <w:rPr>
          <w:color w:val="auto"/>
          <w:highlight w:val="none"/>
          <w:lang w:eastAsia="zh-CN"/>
        </w:rPr>
        <w:t>：</w:t>
      </w:r>
      <w:r>
        <w:rPr>
          <w:color w:val="auto"/>
          <w:highlight w:val="none"/>
          <w:u w:val="single"/>
          <w:lang w:eastAsia="zh-CN"/>
        </w:rPr>
        <w:t xml:space="preserve">               .</w:t>
      </w:r>
    </w:p>
    <w:p w14:paraId="15B79457">
      <w:pPr>
        <w:pStyle w:val="356"/>
        <w:keepNext w:val="0"/>
        <w:keepLines w:val="0"/>
        <w:pageBreakBefore w:val="0"/>
        <w:widowControl w:val="0"/>
        <w:kinsoku/>
        <w:wordWrap/>
        <w:overflowPunct/>
        <w:topLinePunct w:val="0"/>
        <w:autoSpaceDE/>
        <w:autoSpaceDN/>
        <w:bidi w:val="0"/>
        <w:rPr>
          <w:rFonts w:hint="eastAsia"/>
          <w:color w:val="auto"/>
          <w:highlight w:val="none"/>
          <w:u w:val="single"/>
          <w:lang w:eastAsia="zh-CN"/>
        </w:rPr>
      </w:pPr>
      <w:r>
        <w:rPr>
          <w:rFonts w:hint="eastAsia"/>
          <w:color w:val="auto"/>
          <w:highlight w:val="none"/>
          <w:lang w:eastAsia="zh-CN"/>
        </w:rPr>
        <w:t>代表姓名：</w:t>
      </w:r>
      <w:r>
        <w:rPr>
          <w:color w:val="auto"/>
          <w:highlight w:val="none"/>
          <w:u w:val="single"/>
          <w:lang w:eastAsia="zh-CN"/>
        </w:rPr>
        <w:t xml:space="preserve">               .</w:t>
      </w:r>
    </w:p>
    <w:p w14:paraId="4AE34456">
      <w:pPr>
        <w:pStyle w:val="356"/>
        <w:keepNext w:val="0"/>
        <w:keepLines w:val="0"/>
        <w:pageBreakBefore w:val="0"/>
        <w:widowControl w:val="0"/>
        <w:kinsoku/>
        <w:wordWrap/>
        <w:overflowPunct/>
        <w:topLinePunct w:val="0"/>
        <w:autoSpaceDE/>
        <w:autoSpaceDN/>
        <w:bidi w:val="0"/>
        <w:rPr>
          <w:rFonts w:hint="eastAsia"/>
          <w:color w:val="auto"/>
          <w:highlight w:val="none"/>
          <w:u w:val="single"/>
          <w:lang w:eastAsia="zh-CN"/>
        </w:rPr>
      </w:pPr>
      <w:r>
        <w:rPr>
          <w:color w:val="auto"/>
          <w:highlight w:val="none"/>
          <w:lang w:eastAsia="zh-CN"/>
        </w:rPr>
        <w:t>职    务：</w:t>
      </w:r>
      <w:r>
        <w:rPr>
          <w:color w:val="auto"/>
          <w:highlight w:val="none"/>
          <w:u w:val="single"/>
          <w:lang w:eastAsia="zh-CN"/>
        </w:rPr>
        <w:t xml:space="preserve">               .</w:t>
      </w:r>
    </w:p>
    <w:p w14:paraId="336744ED">
      <w:pPr>
        <w:pStyle w:val="356"/>
        <w:keepNext w:val="0"/>
        <w:keepLines w:val="0"/>
        <w:pageBreakBefore w:val="0"/>
        <w:widowControl w:val="0"/>
        <w:kinsoku/>
        <w:wordWrap/>
        <w:overflowPunct/>
        <w:topLinePunct w:val="0"/>
        <w:autoSpaceDE/>
        <w:autoSpaceDN/>
        <w:bidi w:val="0"/>
        <w:rPr>
          <w:rFonts w:hint="eastAsia"/>
          <w:color w:val="auto"/>
          <w:highlight w:val="none"/>
          <w:lang w:eastAsia="zh-CN"/>
        </w:rPr>
      </w:pPr>
    </w:p>
    <w:p w14:paraId="4ED645A2">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bookmarkStart w:id="277" w:name="_Toc462677251"/>
      <w:bookmarkStart w:id="278" w:name="_Toc425161128"/>
      <w:bookmarkStart w:id="279" w:name="_Toc462677250"/>
      <w:bookmarkStart w:id="280" w:name="_Toc259090997"/>
      <w:bookmarkStart w:id="281" w:name="_Toc462677236"/>
      <w:bookmarkStart w:id="282" w:name="_Toc6322298"/>
      <w:bookmarkStart w:id="283" w:name="_Toc67046896"/>
      <w:bookmarkStart w:id="284" w:name="_Toc259090984"/>
      <w:bookmarkStart w:id="285" w:name="_Toc276645581"/>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0D3A2D6C">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0BED4C59">
      <w:pPr>
        <w:pStyle w:val="356"/>
        <w:keepNext w:val="0"/>
        <w:keepLines w:val="0"/>
        <w:pageBreakBefore w:val="0"/>
        <w:widowControl w:val="0"/>
        <w:kinsoku/>
        <w:wordWrap/>
        <w:overflowPunct/>
        <w:topLinePunct w:val="0"/>
        <w:autoSpaceDE/>
        <w:autoSpaceDN/>
        <w:bidi w:val="0"/>
        <w:spacing w:line="480" w:lineRule="auto"/>
        <w:ind w:firstLine="4960" w:firstLineChars="2067"/>
        <w:jc w:val="right"/>
        <w:rPr>
          <w:rFonts w:hint="eastAsia"/>
          <w:color w:val="auto"/>
          <w:highlight w:val="none"/>
        </w:r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588DA25F">
      <w:pPr>
        <w:keepNext w:val="0"/>
        <w:keepLines w:val="0"/>
        <w:pageBreakBefore w:val="0"/>
        <w:widowControl w:val="0"/>
        <w:kinsoku/>
        <w:wordWrap/>
        <w:overflowPunct/>
        <w:topLinePunct w:val="0"/>
        <w:autoSpaceDE/>
        <w:autoSpaceDN/>
        <w:bidi w:val="0"/>
        <w:rPr>
          <w:rFonts w:hint="eastAsia"/>
          <w:b/>
          <w:bCs/>
          <w:color w:val="auto"/>
          <w:sz w:val="24"/>
          <w:highlight w:val="none"/>
        </w:rPr>
      </w:pPr>
      <w:r>
        <w:rPr>
          <w:color w:val="auto"/>
          <w:sz w:val="24"/>
          <w:highlight w:val="none"/>
        </w:rPr>
        <w:br w:type="page"/>
      </w:r>
    </w:p>
    <w:p w14:paraId="355C1C42">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286" w:name="_Toc104040703"/>
      <w:bookmarkStart w:id="287" w:name="_Toc104040757"/>
      <w:bookmarkStart w:id="288" w:name="_Toc15257"/>
      <w:r>
        <w:rPr>
          <w:rFonts w:hint="eastAsia" w:ascii="宋体" w:hAnsi="宋体" w:eastAsia="宋体"/>
          <w:color w:val="auto"/>
          <w:sz w:val="24"/>
          <w:szCs w:val="24"/>
          <w:highlight w:val="none"/>
        </w:rPr>
        <w:t>首轮报价表</w:t>
      </w:r>
      <w:bookmarkEnd w:id="286"/>
      <w:bookmarkEnd w:id="287"/>
      <w:bookmarkEnd w:id="288"/>
    </w:p>
    <w:bookmarkEnd w:id="277"/>
    <w:bookmarkEnd w:id="278"/>
    <w:bookmarkEnd w:id="279"/>
    <w:bookmarkEnd w:id="280"/>
    <w:p w14:paraId="68D49194">
      <w:pPr>
        <w:keepNext w:val="0"/>
        <w:keepLines w:val="0"/>
        <w:pageBreakBefore w:val="0"/>
        <w:widowControl w:val="0"/>
        <w:kinsoku/>
        <w:wordWrap/>
        <w:overflowPunct/>
        <w:topLinePunct w:val="0"/>
        <w:autoSpaceDE/>
        <w:autoSpaceDN/>
        <w:bidi w:val="0"/>
        <w:jc w:val="center"/>
        <w:rPr>
          <w:rFonts w:hint="eastAsia"/>
          <w:b/>
          <w:bCs/>
          <w:color w:val="auto"/>
          <w:sz w:val="28"/>
          <w:szCs w:val="28"/>
          <w:highlight w:val="none"/>
        </w:rPr>
      </w:pPr>
      <w:r>
        <w:rPr>
          <w:rFonts w:hint="eastAsia"/>
          <w:b/>
          <w:bCs/>
          <w:color w:val="auto"/>
          <w:sz w:val="28"/>
          <w:szCs w:val="28"/>
          <w:highlight w:val="none"/>
        </w:rPr>
        <w:t>首轮报价表</w:t>
      </w:r>
    </w:p>
    <w:p w14:paraId="3DE1D1D4">
      <w:pPr>
        <w:keepNext w:val="0"/>
        <w:keepLines w:val="0"/>
        <w:pageBreakBefore w:val="0"/>
        <w:widowControl w:val="0"/>
        <w:kinsoku/>
        <w:wordWrap/>
        <w:overflowPunct/>
        <w:topLinePunct w:val="0"/>
        <w:autoSpaceDE/>
        <w:autoSpaceDN/>
        <w:bidi w:val="0"/>
        <w:rPr>
          <w:rFonts w:hint="eastAsia"/>
          <w:bCs/>
          <w:color w:val="auto"/>
          <w:sz w:val="24"/>
          <w:highlight w:val="none"/>
        </w:rPr>
      </w:pPr>
      <w:r>
        <w:rPr>
          <w:rFonts w:hint="eastAsia"/>
          <w:bCs/>
          <w:color w:val="auto"/>
          <w:sz w:val="24"/>
          <w:highlight w:val="none"/>
        </w:rPr>
        <w:t>项目名称：</w:t>
      </w:r>
      <w:r>
        <w:rPr>
          <w:rFonts w:hint="eastAsia"/>
          <w:bCs/>
          <w:color w:val="auto"/>
          <w:sz w:val="24"/>
          <w:highlight w:val="none"/>
          <w:u w:val="single"/>
        </w:rPr>
        <w:t xml:space="preserve">          </w:t>
      </w:r>
      <w:r>
        <w:rPr>
          <w:bCs/>
          <w:color w:val="auto"/>
          <w:sz w:val="24"/>
          <w:highlight w:val="none"/>
          <w:u w:val="single"/>
        </w:rPr>
        <w:t xml:space="preserve">  </w:t>
      </w:r>
      <w:r>
        <w:rPr>
          <w:rFonts w:hint="eastAsia"/>
          <w:bCs/>
          <w:color w:val="auto"/>
          <w:sz w:val="24"/>
          <w:highlight w:val="none"/>
          <w:u w:val="single"/>
        </w:rPr>
        <w:t xml:space="preserve">     </w:t>
      </w:r>
      <w:r>
        <w:rPr>
          <w:rFonts w:hint="eastAsia"/>
          <w:bCs/>
          <w:color w:val="auto"/>
          <w:sz w:val="24"/>
          <w:highlight w:val="none"/>
        </w:rPr>
        <w:t xml:space="preserve">         </w:t>
      </w:r>
    </w:p>
    <w:p w14:paraId="1B3B7D8C">
      <w:pPr>
        <w:keepNext w:val="0"/>
        <w:keepLines w:val="0"/>
        <w:pageBreakBefore w:val="0"/>
        <w:widowControl w:val="0"/>
        <w:kinsoku/>
        <w:wordWrap/>
        <w:overflowPunct/>
        <w:topLinePunct w:val="0"/>
        <w:autoSpaceDE/>
        <w:autoSpaceDN/>
        <w:bidi w:val="0"/>
        <w:rPr>
          <w:rFonts w:hint="eastAsia"/>
          <w:color w:val="auto"/>
          <w:sz w:val="24"/>
          <w:highlight w:val="none"/>
        </w:rPr>
      </w:pPr>
      <w:r>
        <w:rPr>
          <w:rFonts w:hint="eastAsia"/>
          <w:bCs/>
          <w:color w:val="auto"/>
          <w:sz w:val="24"/>
          <w:highlight w:val="none"/>
        </w:rPr>
        <w:t>项目编号：</w:t>
      </w:r>
      <w:r>
        <w:rPr>
          <w:rFonts w:hint="eastAsia"/>
          <w:bCs/>
          <w:color w:val="auto"/>
          <w:sz w:val="24"/>
          <w:highlight w:val="none"/>
          <w:u w:val="single"/>
        </w:rPr>
        <w:t xml:space="preserve">           </w:t>
      </w:r>
      <w:r>
        <w:rPr>
          <w:rFonts w:hint="eastAsia"/>
          <w:b/>
          <w:color w:val="auto"/>
          <w:sz w:val="24"/>
          <w:highlight w:val="none"/>
          <w:u w:val="single"/>
        </w:rPr>
        <w:t xml:space="preserve">      </w:t>
      </w:r>
    </w:p>
    <w:tbl>
      <w:tblPr>
        <w:tblStyle w:val="4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02"/>
        <w:gridCol w:w="4104"/>
        <w:gridCol w:w="1608"/>
        <w:gridCol w:w="1434"/>
      </w:tblGrid>
      <w:tr w14:paraId="5015E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1372" w:type="pct"/>
            <w:vAlign w:val="center"/>
          </w:tcPr>
          <w:p w14:paraId="34C4ACDE">
            <w:pPr>
              <w:keepNext w:val="0"/>
              <w:keepLines w:val="0"/>
              <w:pageBreakBefore w:val="0"/>
              <w:widowControl w:val="0"/>
              <w:kinsoku/>
              <w:wordWrap/>
              <w:overflowPunct/>
              <w:topLinePunct w:val="0"/>
              <w:autoSpaceDE/>
              <w:autoSpaceDN/>
              <w:bidi w:val="0"/>
              <w:spacing w:line="240" w:lineRule="auto"/>
              <w:jc w:val="center"/>
              <w:rPr>
                <w:rFonts w:hint="eastAsia"/>
                <w:b/>
                <w:bCs/>
                <w:color w:val="auto"/>
                <w:sz w:val="24"/>
                <w:highlight w:val="none"/>
              </w:rPr>
            </w:pPr>
            <w:r>
              <w:rPr>
                <w:rFonts w:hint="eastAsia"/>
                <w:b/>
                <w:bCs/>
                <w:color w:val="auto"/>
                <w:sz w:val="24"/>
                <w:highlight w:val="none"/>
                <w:lang w:val="en-US" w:eastAsia="zh-CN"/>
              </w:rPr>
              <w:t>采购内容</w:t>
            </w:r>
          </w:p>
        </w:tc>
        <w:tc>
          <w:tcPr>
            <w:tcW w:w="2083" w:type="pct"/>
            <w:vAlign w:val="center"/>
          </w:tcPr>
          <w:p w14:paraId="544C1AEE">
            <w:pPr>
              <w:keepNext w:val="0"/>
              <w:keepLines w:val="0"/>
              <w:pageBreakBefore w:val="0"/>
              <w:widowControl w:val="0"/>
              <w:kinsoku/>
              <w:wordWrap/>
              <w:overflowPunct/>
              <w:topLinePunct w:val="0"/>
              <w:autoSpaceDE/>
              <w:autoSpaceDN/>
              <w:bidi w:val="0"/>
              <w:spacing w:line="240" w:lineRule="auto"/>
              <w:jc w:val="center"/>
              <w:rPr>
                <w:rFonts w:hint="eastAsia"/>
                <w:b/>
                <w:bCs/>
                <w:color w:val="auto"/>
                <w:sz w:val="24"/>
                <w:highlight w:val="none"/>
              </w:rPr>
            </w:pPr>
            <w:r>
              <w:rPr>
                <w:rFonts w:hint="eastAsia"/>
                <w:b/>
                <w:bCs/>
                <w:color w:val="auto"/>
                <w:sz w:val="24"/>
                <w:highlight w:val="none"/>
              </w:rPr>
              <w:t>响应报价</w:t>
            </w:r>
          </w:p>
        </w:tc>
        <w:tc>
          <w:tcPr>
            <w:tcW w:w="816" w:type="pct"/>
            <w:vAlign w:val="center"/>
          </w:tcPr>
          <w:p w14:paraId="06B209B6">
            <w:pPr>
              <w:keepNext w:val="0"/>
              <w:keepLines w:val="0"/>
              <w:pageBreakBefore w:val="0"/>
              <w:widowControl w:val="0"/>
              <w:kinsoku/>
              <w:wordWrap/>
              <w:overflowPunct/>
              <w:topLinePunct w:val="0"/>
              <w:autoSpaceDE/>
              <w:autoSpaceDN/>
              <w:bidi w:val="0"/>
              <w:spacing w:line="240" w:lineRule="auto"/>
              <w:jc w:val="center"/>
              <w:rPr>
                <w:rFonts w:hint="eastAsia"/>
                <w:b/>
                <w:bCs/>
                <w:color w:val="auto"/>
                <w:sz w:val="24"/>
                <w:highlight w:val="none"/>
              </w:rPr>
            </w:pPr>
            <w:r>
              <w:rPr>
                <w:rFonts w:hint="eastAsia"/>
                <w:b/>
                <w:bCs/>
                <w:color w:val="auto"/>
                <w:sz w:val="24"/>
                <w:highlight w:val="none"/>
              </w:rPr>
              <w:t>服务期</w:t>
            </w:r>
          </w:p>
        </w:tc>
        <w:tc>
          <w:tcPr>
            <w:tcW w:w="728" w:type="pct"/>
            <w:vAlign w:val="center"/>
          </w:tcPr>
          <w:p w14:paraId="772B3825">
            <w:pPr>
              <w:keepNext w:val="0"/>
              <w:keepLines w:val="0"/>
              <w:pageBreakBefore w:val="0"/>
              <w:widowControl w:val="0"/>
              <w:kinsoku/>
              <w:wordWrap/>
              <w:overflowPunct/>
              <w:topLinePunct w:val="0"/>
              <w:autoSpaceDE/>
              <w:autoSpaceDN/>
              <w:bidi w:val="0"/>
              <w:spacing w:line="240" w:lineRule="auto"/>
              <w:jc w:val="center"/>
              <w:rPr>
                <w:rFonts w:hint="eastAsia"/>
                <w:b/>
                <w:bCs/>
                <w:color w:val="auto"/>
                <w:sz w:val="24"/>
                <w:highlight w:val="none"/>
              </w:rPr>
            </w:pPr>
            <w:r>
              <w:rPr>
                <w:rFonts w:hint="eastAsia"/>
                <w:b/>
                <w:bCs/>
                <w:color w:val="auto"/>
                <w:sz w:val="24"/>
                <w:highlight w:val="none"/>
              </w:rPr>
              <w:t>备注</w:t>
            </w:r>
          </w:p>
        </w:tc>
      </w:tr>
      <w:tr w14:paraId="6C278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2" w:hRule="atLeast"/>
          <w:jc w:val="center"/>
        </w:trPr>
        <w:tc>
          <w:tcPr>
            <w:tcW w:w="1372" w:type="pct"/>
            <w:vAlign w:val="center"/>
          </w:tcPr>
          <w:p w14:paraId="1D66818F">
            <w:pPr>
              <w:keepNext w:val="0"/>
              <w:keepLines w:val="0"/>
              <w:pageBreakBefore w:val="0"/>
              <w:widowControl w:val="0"/>
              <w:kinsoku/>
              <w:wordWrap/>
              <w:overflowPunct/>
              <w:topLinePunct w:val="0"/>
              <w:autoSpaceDE/>
              <w:autoSpaceDN/>
              <w:bidi w:val="0"/>
              <w:rPr>
                <w:rFonts w:hint="eastAsia"/>
                <w:color w:val="auto"/>
                <w:kern w:val="28"/>
                <w:sz w:val="24"/>
                <w:highlight w:val="none"/>
              </w:rPr>
            </w:pPr>
            <w:r>
              <w:rPr>
                <w:rFonts w:hint="eastAsia"/>
                <w:color w:val="auto"/>
                <w:kern w:val="28"/>
                <w:sz w:val="24"/>
                <w:highlight w:val="none"/>
              </w:rPr>
              <w:t>2026年度食堂食材配送服务</w:t>
            </w:r>
          </w:p>
        </w:tc>
        <w:tc>
          <w:tcPr>
            <w:tcW w:w="2083" w:type="pct"/>
            <w:vAlign w:val="center"/>
          </w:tcPr>
          <w:p w14:paraId="75C93734">
            <w:pPr>
              <w:keepNext w:val="0"/>
              <w:keepLines w:val="0"/>
              <w:pageBreakBefore w:val="0"/>
              <w:widowControl w:val="0"/>
              <w:kinsoku/>
              <w:wordWrap/>
              <w:overflowPunct/>
              <w:topLinePunct w:val="0"/>
              <w:autoSpaceDE/>
              <w:autoSpaceDN/>
              <w:bidi w:val="0"/>
              <w:rPr>
                <w:rFonts w:hint="eastAsia"/>
                <w:color w:val="auto"/>
                <w:kern w:val="28"/>
                <w:sz w:val="24"/>
                <w:highlight w:val="none"/>
                <w:u w:val="single"/>
              </w:rPr>
            </w:pPr>
            <w:r>
              <w:rPr>
                <w:rFonts w:hint="eastAsia"/>
                <w:color w:val="auto"/>
                <w:kern w:val="28"/>
                <w:sz w:val="24"/>
                <w:highlight w:val="none"/>
              </w:rPr>
              <w:t>小写：</w:t>
            </w:r>
            <w:r>
              <w:rPr>
                <w:color w:val="auto"/>
                <w:kern w:val="28"/>
                <w:sz w:val="24"/>
                <w:highlight w:val="none"/>
                <w:u w:val="single"/>
              </w:rPr>
              <w:t xml:space="preserve">              </w:t>
            </w:r>
            <w:r>
              <w:rPr>
                <w:rFonts w:hint="eastAsia"/>
                <w:color w:val="auto"/>
                <w:kern w:val="28"/>
                <w:sz w:val="24"/>
                <w:highlight w:val="none"/>
                <w:u w:val="single"/>
                <w:lang w:val="en-US" w:eastAsia="zh-CN"/>
              </w:rPr>
              <w:t>%</w:t>
            </w:r>
            <w:r>
              <w:rPr>
                <w:color w:val="auto"/>
                <w:kern w:val="28"/>
                <w:sz w:val="24"/>
                <w:highlight w:val="none"/>
                <w:u w:val="single"/>
              </w:rPr>
              <w:t>.</w:t>
            </w:r>
          </w:p>
        </w:tc>
        <w:tc>
          <w:tcPr>
            <w:tcW w:w="816" w:type="pct"/>
            <w:vAlign w:val="center"/>
          </w:tcPr>
          <w:p w14:paraId="4357CD83">
            <w:pPr>
              <w:keepNext w:val="0"/>
              <w:keepLines w:val="0"/>
              <w:pageBreakBefore w:val="0"/>
              <w:widowControl w:val="0"/>
              <w:kinsoku/>
              <w:wordWrap/>
              <w:overflowPunct/>
              <w:topLinePunct w:val="0"/>
              <w:autoSpaceDE/>
              <w:autoSpaceDN/>
              <w:bidi w:val="0"/>
              <w:jc w:val="center"/>
              <w:rPr>
                <w:rFonts w:hint="eastAsia"/>
                <w:color w:val="auto"/>
                <w:sz w:val="24"/>
                <w:highlight w:val="none"/>
              </w:rPr>
            </w:pPr>
            <w:r>
              <w:rPr>
                <w:rFonts w:hint="eastAsia"/>
                <w:color w:val="auto"/>
                <w:sz w:val="24"/>
                <w:highlight w:val="none"/>
              </w:rPr>
              <w:t>按照磋商文件要求执行</w:t>
            </w:r>
          </w:p>
        </w:tc>
        <w:tc>
          <w:tcPr>
            <w:tcW w:w="728" w:type="pct"/>
            <w:vAlign w:val="center"/>
          </w:tcPr>
          <w:p w14:paraId="1A73EBBD">
            <w:pPr>
              <w:keepNext w:val="0"/>
              <w:keepLines w:val="0"/>
              <w:pageBreakBefore w:val="0"/>
              <w:widowControl w:val="0"/>
              <w:kinsoku/>
              <w:wordWrap/>
              <w:overflowPunct/>
              <w:topLinePunct w:val="0"/>
              <w:autoSpaceDE/>
              <w:autoSpaceDN/>
              <w:bidi w:val="0"/>
              <w:jc w:val="center"/>
              <w:rPr>
                <w:rFonts w:hint="eastAsia"/>
                <w:color w:val="auto"/>
                <w:sz w:val="24"/>
                <w:highlight w:val="none"/>
              </w:rPr>
            </w:pPr>
          </w:p>
        </w:tc>
      </w:tr>
    </w:tbl>
    <w:p w14:paraId="427EB1ED">
      <w:pPr>
        <w:keepNext w:val="0"/>
        <w:keepLines w:val="0"/>
        <w:pageBreakBefore w:val="0"/>
        <w:widowControl w:val="0"/>
        <w:kinsoku/>
        <w:wordWrap/>
        <w:overflowPunct/>
        <w:topLinePunct w:val="0"/>
        <w:autoSpaceDE/>
        <w:autoSpaceDN/>
        <w:bidi w:val="0"/>
        <w:rPr>
          <w:rFonts w:hint="eastAsia"/>
          <w:color w:val="auto"/>
          <w:sz w:val="24"/>
          <w:highlight w:val="none"/>
        </w:rPr>
      </w:pPr>
    </w:p>
    <w:p w14:paraId="117C9A4E">
      <w:pPr>
        <w:keepNext w:val="0"/>
        <w:keepLines w:val="0"/>
        <w:pageBreakBefore w:val="0"/>
        <w:widowControl w:val="0"/>
        <w:kinsoku/>
        <w:wordWrap/>
        <w:overflowPunct/>
        <w:topLinePunct w:val="0"/>
        <w:autoSpaceDE/>
        <w:autoSpaceDN/>
        <w:bidi w:val="0"/>
        <w:rPr>
          <w:rFonts w:hint="eastAsia"/>
          <w:color w:val="auto"/>
          <w:sz w:val="24"/>
          <w:highlight w:val="none"/>
        </w:rPr>
      </w:pPr>
      <w:r>
        <w:rPr>
          <w:rFonts w:hint="eastAsia"/>
          <w:color w:val="auto"/>
          <w:sz w:val="24"/>
          <w:highlight w:val="none"/>
        </w:rPr>
        <w:t>注：</w:t>
      </w:r>
    </w:p>
    <w:p w14:paraId="74386791">
      <w:pPr>
        <w:keepNext w:val="0"/>
        <w:keepLines w:val="0"/>
        <w:pageBreakBefore w:val="0"/>
        <w:widowControl w:val="0"/>
        <w:kinsoku/>
        <w:wordWrap/>
        <w:overflowPunct/>
        <w:topLinePunct w:val="0"/>
        <w:autoSpaceDE/>
        <w:autoSpaceDN/>
        <w:bidi w:val="0"/>
        <w:rPr>
          <w:rFonts w:hint="eastAsia"/>
          <w:color w:val="auto"/>
          <w:sz w:val="24"/>
          <w:highlight w:val="none"/>
        </w:rPr>
      </w:pPr>
      <w:bookmarkStart w:id="289" w:name="_Hlk67046034"/>
      <w:r>
        <w:rPr>
          <w:rFonts w:hint="eastAsia"/>
          <w:color w:val="auto"/>
          <w:sz w:val="24"/>
          <w:highlight w:val="none"/>
        </w:rPr>
        <w:t>1.中文大写金额用汉字，如壹、贰、叁、肆、伍、陆、柒、捌、玖、拾、佰、仟、万、亿、元、角、分、零、整（正）等。</w:t>
      </w:r>
    </w:p>
    <w:p w14:paraId="32EA1F96">
      <w:pPr>
        <w:keepNext w:val="0"/>
        <w:keepLines w:val="0"/>
        <w:pageBreakBefore w:val="0"/>
        <w:widowControl w:val="0"/>
        <w:kinsoku/>
        <w:wordWrap/>
        <w:overflowPunct/>
        <w:topLinePunct w:val="0"/>
        <w:autoSpaceDE/>
        <w:autoSpaceDN/>
        <w:bidi w:val="0"/>
        <w:rPr>
          <w:rFonts w:hint="eastAsia"/>
          <w:color w:val="auto"/>
          <w:sz w:val="24"/>
          <w:highlight w:val="none"/>
        </w:rPr>
      </w:pPr>
      <w:r>
        <w:rPr>
          <w:rFonts w:hint="eastAsia"/>
          <w:color w:val="auto"/>
          <w:sz w:val="24"/>
          <w:highlight w:val="none"/>
        </w:rPr>
        <w:t>2.响应报价的小数点后保留两位有效数。</w:t>
      </w:r>
    </w:p>
    <w:bookmarkEnd w:id="289"/>
    <w:p w14:paraId="5ACA8559">
      <w:pPr>
        <w:keepNext w:val="0"/>
        <w:keepLines w:val="0"/>
        <w:pageBreakBefore w:val="0"/>
        <w:widowControl w:val="0"/>
        <w:kinsoku/>
        <w:wordWrap/>
        <w:overflowPunct/>
        <w:topLinePunct w:val="0"/>
        <w:autoSpaceDE/>
        <w:autoSpaceDN/>
        <w:bidi w:val="0"/>
        <w:rPr>
          <w:rFonts w:hint="eastAsia"/>
          <w:b/>
          <w:bCs/>
          <w:color w:val="auto"/>
          <w:sz w:val="24"/>
          <w:highlight w:val="none"/>
        </w:rPr>
      </w:pPr>
      <w:r>
        <w:rPr>
          <w:b/>
          <w:bCs/>
          <w:color w:val="auto"/>
          <w:sz w:val="24"/>
          <w:highlight w:val="none"/>
        </w:rPr>
        <w:t>3.</w:t>
      </w:r>
      <w:r>
        <w:rPr>
          <w:rFonts w:hint="eastAsia"/>
          <w:b/>
          <w:bCs/>
          <w:color w:val="auto"/>
          <w:sz w:val="24"/>
          <w:highlight w:val="none"/>
        </w:rPr>
        <w:t>报价超过最高限价的，将作无效响应处理。</w:t>
      </w:r>
    </w:p>
    <w:p w14:paraId="266A8897">
      <w:pPr>
        <w:keepNext w:val="0"/>
        <w:keepLines w:val="0"/>
        <w:pageBreakBefore w:val="0"/>
        <w:widowControl w:val="0"/>
        <w:kinsoku/>
        <w:wordWrap/>
        <w:overflowPunct/>
        <w:topLinePunct w:val="0"/>
        <w:autoSpaceDE/>
        <w:autoSpaceDN/>
        <w:bidi w:val="0"/>
        <w:adjustRightInd w:val="0"/>
        <w:snapToGrid w:val="0"/>
        <w:spacing w:line="300" w:lineRule="auto"/>
        <w:rPr>
          <w:rFonts w:hint="eastAsia"/>
          <w:color w:val="auto"/>
          <w:sz w:val="24"/>
          <w:highlight w:val="none"/>
        </w:rPr>
      </w:pPr>
    </w:p>
    <w:p w14:paraId="6006D9DA">
      <w:pPr>
        <w:pStyle w:val="19"/>
        <w:keepNext w:val="0"/>
        <w:keepLines w:val="0"/>
        <w:pageBreakBefore w:val="0"/>
        <w:widowControl w:val="0"/>
        <w:kinsoku/>
        <w:wordWrap/>
        <w:overflowPunct/>
        <w:topLinePunct w:val="0"/>
        <w:autoSpaceDE/>
        <w:autoSpaceDN/>
        <w:bidi w:val="0"/>
        <w:rPr>
          <w:rFonts w:hint="eastAsia"/>
          <w:color w:val="auto"/>
          <w:sz w:val="24"/>
          <w:highlight w:val="none"/>
        </w:rPr>
      </w:pPr>
    </w:p>
    <w:p w14:paraId="01E0679A">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18F32589">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42F3C127">
      <w:pPr>
        <w:keepNext w:val="0"/>
        <w:keepLines w:val="0"/>
        <w:pageBreakBefore w:val="0"/>
        <w:widowControl w:val="0"/>
        <w:kinsoku/>
        <w:wordWrap/>
        <w:overflowPunct/>
        <w:topLinePunct w:val="0"/>
        <w:autoSpaceDE/>
        <w:autoSpaceDN/>
        <w:bidi w:val="0"/>
        <w:jc w:val="right"/>
        <w:rPr>
          <w:rFonts w:hint="eastAsia"/>
          <w:color w:val="auto"/>
          <w:sz w:val="24"/>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0FA02D3D">
      <w:pPr>
        <w:keepNext w:val="0"/>
        <w:keepLines w:val="0"/>
        <w:pageBreakBefore w:val="0"/>
        <w:widowControl w:val="0"/>
        <w:kinsoku/>
        <w:wordWrap/>
        <w:overflowPunct/>
        <w:topLinePunct w:val="0"/>
        <w:autoSpaceDE/>
        <w:autoSpaceDN/>
        <w:bidi w:val="0"/>
        <w:rPr>
          <w:rFonts w:hint="eastAsia"/>
          <w:color w:val="auto"/>
          <w:sz w:val="24"/>
          <w:highlight w:val="none"/>
        </w:rPr>
      </w:pPr>
      <w:r>
        <w:rPr>
          <w:color w:val="auto"/>
          <w:sz w:val="24"/>
          <w:highlight w:val="none"/>
        </w:rPr>
        <w:br w:type="page"/>
      </w:r>
    </w:p>
    <w:p w14:paraId="51998706">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290" w:name="_Toc14349"/>
      <w:bookmarkStart w:id="291" w:name="_Toc104040758"/>
      <w:bookmarkStart w:id="292" w:name="_Toc104040704"/>
      <w:r>
        <w:rPr>
          <w:rFonts w:hint="eastAsia" w:ascii="宋体" w:hAnsi="宋体" w:eastAsia="宋体"/>
          <w:color w:val="auto"/>
          <w:sz w:val="24"/>
          <w:szCs w:val="24"/>
          <w:highlight w:val="none"/>
        </w:rPr>
        <w:t>政策适用性说明</w:t>
      </w:r>
      <w:bookmarkEnd w:id="290"/>
      <w:bookmarkEnd w:id="291"/>
      <w:bookmarkEnd w:id="292"/>
    </w:p>
    <w:p w14:paraId="4B9B8602">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（以下格式文件由供应商根据需要选用）</w:t>
      </w:r>
    </w:p>
    <w:p w14:paraId="1CD94F75">
      <w:pPr>
        <w:keepNext w:val="0"/>
        <w:keepLines w:val="0"/>
        <w:pageBreakBefore w:val="0"/>
        <w:widowControl w:val="0"/>
        <w:kinsoku/>
        <w:wordWrap/>
        <w:overflowPunct/>
        <w:topLinePunct w:val="0"/>
        <w:autoSpaceDE/>
        <w:autoSpaceDN/>
        <w:bidi w:val="0"/>
        <w:jc w:val="center"/>
        <w:rPr>
          <w:rFonts w:hint="eastAsia"/>
          <w:b/>
          <w:bCs/>
          <w:color w:val="auto"/>
          <w:sz w:val="28"/>
          <w:szCs w:val="28"/>
          <w:highlight w:val="none"/>
        </w:rPr>
      </w:pPr>
      <w:r>
        <w:rPr>
          <w:rFonts w:hint="eastAsia"/>
          <w:b/>
          <w:bCs/>
          <w:color w:val="auto"/>
          <w:sz w:val="28"/>
          <w:szCs w:val="28"/>
          <w:highlight w:val="none"/>
        </w:rPr>
        <w:t>政策适用性说明</w:t>
      </w:r>
    </w:p>
    <w:p w14:paraId="57C9F3EC">
      <w:pPr>
        <w:pStyle w:val="19"/>
        <w:keepNext w:val="0"/>
        <w:keepLines w:val="0"/>
        <w:pageBreakBefore w:val="0"/>
        <w:widowControl w:val="0"/>
        <w:kinsoku/>
        <w:wordWrap/>
        <w:overflowPunct/>
        <w:topLinePunct w:val="0"/>
        <w:autoSpaceDE/>
        <w:autoSpaceDN/>
        <w:bidi w:val="0"/>
        <w:ind w:firstLine="480" w:firstLineChars="200"/>
        <w:rPr>
          <w:rFonts w:hint="eastAsia"/>
          <w:color w:val="auto"/>
          <w:sz w:val="24"/>
          <w:szCs w:val="22"/>
          <w:highlight w:val="none"/>
        </w:rPr>
      </w:pPr>
      <w:r>
        <w:rPr>
          <w:rFonts w:hint="eastAsia"/>
          <w:color w:val="auto"/>
          <w:sz w:val="24"/>
          <w:szCs w:val="22"/>
          <w:highlight w:val="none"/>
        </w:rPr>
        <w:t>按照政府采购有关政策的要求，在本次的技术方案中，采用符合政策的小型或微型企业产品、节能产品、环境标志产品，主要产品与核心技术介绍说明如下：</w:t>
      </w:r>
    </w:p>
    <w:tbl>
      <w:tblPr>
        <w:tblStyle w:val="4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8"/>
        <w:gridCol w:w="1780"/>
        <w:gridCol w:w="1221"/>
        <w:gridCol w:w="1221"/>
        <w:gridCol w:w="1221"/>
        <w:gridCol w:w="1221"/>
        <w:gridCol w:w="1221"/>
        <w:gridCol w:w="1221"/>
      </w:tblGrid>
      <w:tr w14:paraId="57CBC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0" w:type="pct"/>
            <w:vAlign w:val="center"/>
          </w:tcPr>
          <w:p w14:paraId="799F9C51">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rFonts w:hint="eastAsia"/>
                <w:color w:val="auto"/>
                <w:sz w:val="24"/>
                <w:highlight w:val="none"/>
              </w:rPr>
              <w:t>序号</w:t>
            </w:r>
          </w:p>
        </w:tc>
        <w:tc>
          <w:tcPr>
            <w:tcW w:w="903" w:type="pct"/>
            <w:vAlign w:val="center"/>
          </w:tcPr>
          <w:p w14:paraId="7B3CCBBB">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color w:val="auto"/>
                <w:sz w:val="24"/>
                <w:highlight w:val="none"/>
              </w:rPr>
              <w:t>主要产品/技术名称（规格型号、注册商标）</w:t>
            </w:r>
          </w:p>
        </w:tc>
        <w:tc>
          <w:tcPr>
            <w:tcW w:w="619" w:type="pct"/>
            <w:vAlign w:val="center"/>
          </w:tcPr>
          <w:p w14:paraId="6660ABF5">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color w:val="auto"/>
                <w:sz w:val="24"/>
                <w:highlight w:val="none"/>
              </w:rPr>
              <w:t>制造商(开发商)</w:t>
            </w:r>
          </w:p>
        </w:tc>
        <w:tc>
          <w:tcPr>
            <w:tcW w:w="619" w:type="pct"/>
            <w:vAlign w:val="center"/>
          </w:tcPr>
          <w:p w14:paraId="25B1CCEB">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color w:val="auto"/>
                <w:sz w:val="24"/>
                <w:highlight w:val="none"/>
              </w:rPr>
              <w:t>制造商企业类型</w:t>
            </w:r>
          </w:p>
        </w:tc>
        <w:tc>
          <w:tcPr>
            <w:tcW w:w="619" w:type="pct"/>
            <w:vAlign w:val="center"/>
          </w:tcPr>
          <w:p w14:paraId="310F10F7">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color w:val="auto"/>
                <w:sz w:val="24"/>
                <w:highlight w:val="none"/>
              </w:rPr>
              <w:t>节能产品</w:t>
            </w:r>
          </w:p>
        </w:tc>
        <w:tc>
          <w:tcPr>
            <w:tcW w:w="619" w:type="pct"/>
            <w:vAlign w:val="center"/>
          </w:tcPr>
          <w:p w14:paraId="2A0A930C">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color w:val="auto"/>
                <w:sz w:val="24"/>
                <w:highlight w:val="none"/>
              </w:rPr>
              <w:t>环境标志产品</w:t>
            </w:r>
          </w:p>
        </w:tc>
        <w:tc>
          <w:tcPr>
            <w:tcW w:w="619" w:type="pct"/>
            <w:vAlign w:val="center"/>
          </w:tcPr>
          <w:p w14:paraId="72B7F97D">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color w:val="auto"/>
                <w:sz w:val="24"/>
                <w:highlight w:val="none"/>
              </w:rPr>
              <w:t>认证证书编号</w:t>
            </w:r>
          </w:p>
        </w:tc>
        <w:tc>
          <w:tcPr>
            <w:tcW w:w="619" w:type="pct"/>
            <w:vAlign w:val="center"/>
          </w:tcPr>
          <w:p w14:paraId="16EB3137">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color w:val="auto"/>
                <w:sz w:val="24"/>
                <w:highlight w:val="none"/>
              </w:rPr>
              <w:t>该产品报价在总报价中占</w:t>
            </w:r>
            <w:r>
              <w:rPr>
                <w:color w:val="auto"/>
                <w:w w:val="115"/>
                <w:sz w:val="24"/>
                <w:highlight w:val="none"/>
              </w:rPr>
              <w:t>比（%）</w:t>
            </w:r>
          </w:p>
        </w:tc>
      </w:tr>
      <w:tr w14:paraId="6CCCE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0" w:type="pct"/>
            <w:vAlign w:val="center"/>
          </w:tcPr>
          <w:p w14:paraId="3FBAD024">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rFonts w:hint="eastAsia"/>
                <w:color w:val="auto"/>
                <w:sz w:val="24"/>
                <w:highlight w:val="none"/>
              </w:rPr>
              <w:t>1</w:t>
            </w:r>
          </w:p>
        </w:tc>
        <w:tc>
          <w:tcPr>
            <w:tcW w:w="903" w:type="pct"/>
            <w:vAlign w:val="center"/>
          </w:tcPr>
          <w:p w14:paraId="7CCFC22D">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49593507">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7E5430F8">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7EE79BB7">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164DC4FA">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408A6A49">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191C4697">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r>
      <w:tr w14:paraId="55EDE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0" w:type="pct"/>
            <w:vAlign w:val="center"/>
          </w:tcPr>
          <w:p w14:paraId="0AE29388">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rFonts w:hint="eastAsia"/>
                <w:color w:val="auto"/>
                <w:sz w:val="24"/>
                <w:highlight w:val="none"/>
              </w:rPr>
              <w:t>2</w:t>
            </w:r>
          </w:p>
        </w:tc>
        <w:tc>
          <w:tcPr>
            <w:tcW w:w="903" w:type="pct"/>
            <w:vAlign w:val="center"/>
          </w:tcPr>
          <w:p w14:paraId="314279C9">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5E46E265">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60681661">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142F7157">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7B1BD1DF">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754F4BD9">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7E1DBD23">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r>
      <w:tr w14:paraId="5209F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0" w:type="pct"/>
            <w:vAlign w:val="center"/>
          </w:tcPr>
          <w:p w14:paraId="2359EEF2">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rFonts w:hint="eastAsia"/>
                <w:color w:val="auto"/>
                <w:sz w:val="24"/>
                <w:highlight w:val="none"/>
              </w:rPr>
              <w:t>3</w:t>
            </w:r>
          </w:p>
        </w:tc>
        <w:tc>
          <w:tcPr>
            <w:tcW w:w="903" w:type="pct"/>
            <w:vAlign w:val="center"/>
          </w:tcPr>
          <w:p w14:paraId="4C308EE2">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7DE64D30">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072C2985">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44418931">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2138E748">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1F0D7DC4">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639E7C0D">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r>
      <w:tr w14:paraId="20889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0" w:type="pct"/>
            <w:vAlign w:val="center"/>
          </w:tcPr>
          <w:p w14:paraId="62C52FF1">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r>
              <w:rPr>
                <w:color w:val="auto"/>
                <w:sz w:val="24"/>
                <w:highlight w:val="none"/>
              </w:rPr>
              <w:t>……</w:t>
            </w:r>
          </w:p>
        </w:tc>
        <w:tc>
          <w:tcPr>
            <w:tcW w:w="903" w:type="pct"/>
            <w:vAlign w:val="center"/>
          </w:tcPr>
          <w:p w14:paraId="41CD2703">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765E7E98">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222B8BA0">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7B983D15">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1A6C452B">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46A643E2">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c>
          <w:tcPr>
            <w:tcW w:w="619" w:type="pct"/>
            <w:vAlign w:val="center"/>
          </w:tcPr>
          <w:p w14:paraId="738716F5">
            <w:pPr>
              <w:pStyle w:val="19"/>
              <w:keepNext w:val="0"/>
              <w:keepLines w:val="0"/>
              <w:pageBreakBefore w:val="0"/>
              <w:widowControl w:val="0"/>
              <w:kinsoku/>
              <w:wordWrap/>
              <w:overflowPunct/>
              <w:topLinePunct w:val="0"/>
              <w:autoSpaceDE/>
              <w:autoSpaceDN/>
              <w:bidi w:val="0"/>
              <w:spacing w:before="120" w:beforeLines="50" w:after="120" w:afterLines="50" w:line="240" w:lineRule="auto"/>
              <w:jc w:val="center"/>
              <w:rPr>
                <w:rFonts w:hint="eastAsia"/>
                <w:color w:val="auto"/>
                <w:sz w:val="24"/>
                <w:highlight w:val="none"/>
              </w:rPr>
            </w:pPr>
          </w:p>
        </w:tc>
      </w:tr>
    </w:tbl>
    <w:p w14:paraId="190833E0">
      <w:pPr>
        <w:pStyle w:val="19"/>
        <w:keepNext w:val="0"/>
        <w:keepLines w:val="0"/>
        <w:pageBreakBefore w:val="0"/>
        <w:widowControl w:val="0"/>
        <w:kinsoku/>
        <w:wordWrap/>
        <w:overflowPunct/>
        <w:topLinePunct w:val="0"/>
        <w:autoSpaceDE/>
        <w:autoSpaceDN/>
        <w:bidi w:val="0"/>
        <w:rPr>
          <w:rFonts w:hint="eastAsia"/>
          <w:color w:val="auto"/>
          <w:sz w:val="24"/>
          <w:szCs w:val="22"/>
          <w:highlight w:val="none"/>
        </w:rPr>
      </w:pPr>
      <w:r>
        <w:rPr>
          <w:rFonts w:hint="eastAsia"/>
          <w:color w:val="auto"/>
          <w:sz w:val="24"/>
          <w:szCs w:val="22"/>
          <w:highlight w:val="none"/>
        </w:rPr>
        <w:t>注：</w:t>
      </w:r>
    </w:p>
    <w:p w14:paraId="56AF3CD5">
      <w:pPr>
        <w:pStyle w:val="19"/>
        <w:keepNext w:val="0"/>
        <w:keepLines w:val="0"/>
        <w:pageBreakBefore w:val="0"/>
        <w:widowControl w:val="0"/>
        <w:kinsoku/>
        <w:wordWrap/>
        <w:overflowPunct/>
        <w:topLinePunct w:val="0"/>
        <w:autoSpaceDE/>
        <w:autoSpaceDN/>
        <w:bidi w:val="0"/>
        <w:ind w:firstLine="480" w:firstLineChars="200"/>
        <w:rPr>
          <w:rFonts w:hint="eastAsia"/>
          <w:color w:val="auto"/>
          <w:sz w:val="24"/>
          <w:szCs w:val="22"/>
          <w:highlight w:val="none"/>
        </w:rPr>
      </w:pPr>
      <w:r>
        <w:rPr>
          <w:rFonts w:hint="eastAsia"/>
          <w:color w:val="auto"/>
          <w:sz w:val="24"/>
          <w:szCs w:val="22"/>
          <w:highlight w:val="none"/>
        </w:rPr>
        <w:t>1.制造商为小型或微型企业时才需要填“制造商企业类型”栏,填写内容为“小型”或“微型”；</w:t>
      </w:r>
    </w:p>
    <w:p w14:paraId="1F360D50">
      <w:pPr>
        <w:pStyle w:val="19"/>
        <w:keepNext w:val="0"/>
        <w:keepLines w:val="0"/>
        <w:pageBreakBefore w:val="0"/>
        <w:widowControl w:val="0"/>
        <w:kinsoku/>
        <w:wordWrap/>
        <w:overflowPunct/>
        <w:topLinePunct w:val="0"/>
        <w:autoSpaceDE/>
        <w:autoSpaceDN/>
        <w:bidi w:val="0"/>
        <w:ind w:firstLine="480" w:firstLineChars="200"/>
        <w:rPr>
          <w:rFonts w:hint="eastAsia"/>
          <w:color w:val="auto"/>
          <w:sz w:val="24"/>
          <w:szCs w:val="22"/>
          <w:highlight w:val="none"/>
        </w:rPr>
      </w:pPr>
      <w:r>
        <w:rPr>
          <w:rFonts w:hint="eastAsia"/>
          <w:color w:val="auto"/>
          <w:sz w:val="24"/>
          <w:szCs w:val="22"/>
          <w:highlight w:val="none"/>
        </w:rPr>
        <w:t>2</w:t>
      </w:r>
      <w:r>
        <w:rPr>
          <w:color w:val="auto"/>
          <w:sz w:val="24"/>
          <w:szCs w:val="22"/>
          <w:highlight w:val="none"/>
        </w:rPr>
        <w:t>.</w:t>
      </w:r>
      <w:r>
        <w:rPr>
          <w:rFonts w:hint="eastAsia"/>
          <w:color w:val="auto"/>
          <w:sz w:val="24"/>
          <w:szCs w:val="22"/>
          <w:highlight w:val="none"/>
        </w:rPr>
        <w:t>“节能产品、环境标志产品”须填写认证证书编号，并在对应“节能产品”、“环境标志产品”栏中勾选，同时提供有效期内的证书复印件以及中国政府采购网（http://www.ccgp.gov.cn/jnhb/jnhbqd/）查询截图（网页查询的证书编号必须与认证证书的一致，且状态为有效；如公开网页信息中无法查询，或证书信息与公开网页信息不一致的，可提供认证单位出具的说明文件，否则视为不满足要求）。</w:t>
      </w:r>
    </w:p>
    <w:p w14:paraId="77A975AC">
      <w:pPr>
        <w:pStyle w:val="19"/>
        <w:keepNext w:val="0"/>
        <w:keepLines w:val="0"/>
        <w:pageBreakBefore w:val="0"/>
        <w:widowControl w:val="0"/>
        <w:kinsoku/>
        <w:wordWrap/>
        <w:overflowPunct/>
        <w:topLinePunct w:val="0"/>
        <w:autoSpaceDE/>
        <w:autoSpaceDN/>
        <w:bidi w:val="0"/>
        <w:ind w:firstLine="480" w:firstLineChars="200"/>
        <w:rPr>
          <w:rFonts w:hint="eastAsia"/>
          <w:color w:val="auto"/>
          <w:sz w:val="24"/>
          <w:highlight w:val="none"/>
        </w:rPr>
      </w:pPr>
    </w:p>
    <w:p w14:paraId="586CED0C">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65CEB7DA">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20A90E13">
      <w:pPr>
        <w:keepNext w:val="0"/>
        <w:keepLines w:val="0"/>
        <w:pageBreakBefore w:val="0"/>
        <w:widowControl w:val="0"/>
        <w:kinsoku/>
        <w:wordWrap/>
        <w:overflowPunct/>
        <w:topLinePunct w:val="0"/>
        <w:autoSpaceDE/>
        <w:autoSpaceDN/>
        <w:bidi w:val="0"/>
        <w:jc w:val="right"/>
        <w:rPr>
          <w:rFonts w:hint="eastAsia"/>
          <w:color w:val="auto"/>
          <w:sz w:val="24"/>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43A25B67">
      <w:pPr>
        <w:pStyle w:val="19"/>
        <w:keepNext w:val="0"/>
        <w:keepLines w:val="0"/>
        <w:pageBreakBefore w:val="0"/>
        <w:widowControl w:val="0"/>
        <w:kinsoku/>
        <w:wordWrap/>
        <w:overflowPunct/>
        <w:topLinePunct w:val="0"/>
        <w:autoSpaceDE/>
        <w:autoSpaceDN/>
        <w:bidi w:val="0"/>
        <w:rPr>
          <w:rFonts w:hint="eastAsia"/>
          <w:color w:val="auto"/>
          <w:highlight w:val="none"/>
        </w:rPr>
      </w:pPr>
    </w:p>
    <w:p w14:paraId="11C18005">
      <w:pPr>
        <w:pStyle w:val="19"/>
        <w:keepNext w:val="0"/>
        <w:keepLines w:val="0"/>
        <w:pageBreakBefore w:val="0"/>
        <w:widowControl w:val="0"/>
        <w:kinsoku/>
        <w:wordWrap/>
        <w:overflowPunct/>
        <w:topLinePunct w:val="0"/>
        <w:autoSpaceDE/>
        <w:autoSpaceDN/>
        <w:bidi w:val="0"/>
        <w:rPr>
          <w:rFonts w:hint="eastAsia"/>
          <w:color w:val="auto"/>
          <w:highlight w:val="none"/>
        </w:rPr>
      </w:pPr>
    </w:p>
    <w:p w14:paraId="30F20FBF">
      <w:pPr>
        <w:keepNext w:val="0"/>
        <w:keepLines w:val="0"/>
        <w:pageBreakBefore w:val="0"/>
        <w:widowControl w:val="0"/>
        <w:kinsoku/>
        <w:wordWrap/>
        <w:overflowPunct/>
        <w:topLinePunct w:val="0"/>
        <w:autoSpaceDE/>
        <w:autoSpaceDN/>
        <w:bidi w:val="0"/>
        <w:rPr>
          <w:rFonts w:hint="eastAsia"/>
          <w:b/>
          <w:bCs/>
          <w:color w:val="auto"/>
          <w:sz w:val="24"/>
          <w:highlight w:val="none"/>
        </w:rPr>
      </w:pPr>
      <w:bookmarkStart w:id="293" w:name="_Toc103033236"/>
      <w:r>
        <w:rPr>
          <w:color w:val="auto"/>
          <w:sz w:val="24"/>
          <w:highlight w:val="none"/>
        </w:rPr>
        <w:br w:type="page"/>
      </w:r>
    </w:p>
    <w:p w14:paraId="74E5DA65">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294" w:name="_Toc27690"/>
      <w:bookmarkStart w:id="295" w:name="_Toc104040705"/>
      <w:bookmarkStart w:id="296" w:name="_Toc104040759"/>
      <w:r>
        <w:rPr>
          <w:rFonts w:hint="eastAsia" w:ascii="宋体" w:hAnsi="宋体" w:eastAsia="宋体"/>
          <w:color w:val="auto"/>
          <w:sz w:val="24"/>
          <w:szCs w:val="24"/>
          <w:highlight w:val="none"/>
        </w:rPr>
        <w:t>法定代表人证明书</w:t>
      </w:r>
      <w:bookmarkEnd w:id="293"/>
      <w:bookmarkEnd w:id="294"/>
      <w:bookmarkEnd w:id="295"/>
      <w:bookmarkEnd w:id="296"/>
    </w:p>
    <w:p w14:paraId="30F852F2">
      <w:pPr>
        <w:pStyle w:val="358"/>
        <w:keepNext w:val="0"/>
        <w:keepLines w:val="0"/>
        <w:pageBreakBefore w:val="0"/>
        <w:widowControl w:val="0"/>
        <w:kinsoku/>
        <w:wordWrap/>
        <w:overflowPunct/>
        <w:topLinePunct w:val="0"/>
        <w:autoSpaceDE/>
        <w:autoSpaceDN/>
        <w:bidi w:val="0"/>
        <w:jc w:val="left"/>
        <w:outlineLvl w:val="9"/>
        <w:rPr>
          <w:rFonts w:hint="eastAsia"/>
          <w:b w:val="0"/>
          <w:bCs w:val="0"/>
          <w:i/>
          <w:iCs/>
          <w:color w:val="auto"/>
          <w:sz w:val="21"/>
          <w:szCs w:val="20"/>
          <w:highlight w:val="none"/>
          <w:lang w:eastAsia="zh-CN"/>
        </w:rPr>
      </w:pPr>
      <w:r>
        <w:rPr>
          <w:rFonts w:hint="eastAsia"/>
          <w:b w:val="0"/>
          <w:bCs w:val="0"/>
          <w:i/>
          <w:iCs/>
          <w:color w:val="auto"/>
          <w:sz w:val="21"/>
          <w:szCs w:val="20"/>
          <w:highlight w:val="none"/>
          <w:lang w:eastAsia="zh-CN"/>
        </w:rPr>
        <w:t>（供应商可使用下述格式，也可使用广东省工商行政管理局统一印制的法定代表人证明书格式）</w:t>
      </w:r>
    </w:p>
    <w:p w14:paraId="4192EA4D">
      <w:pPr>
        <w:pStyle w:val="358"/>
        <w:keepNext w:val="0"/>
        <w:keepLines w:val="0"/>
        <w:pageBreakBefore w:val="0"/>
        <w:widowControl w:val="0"/>
        <w:kinsoku/>
        <w:wordWrap/>
        <w:overflowPunct/>
        <w:topLinePunct w:val="0"/>
        <w:autoSpaceDE/>
        <w:autoSpaceDN/>
        <w:bidi w:val="0"/>
        <w:jc w:val="center"/>
        <w:outlineLvl w:val="9"/>
        <w:rPr>
          <w:rFonts w:hint="eastAsia"/>
          <w:color w:val="auto"/>
          <w:sz w:val="28"/>
          <w:szCs w:val="28"/>
          <w:highlight w:val="none"/>
          <w:lang w:eastAsia="zh-CN"/>
        </w:rPr>
      </w:pPr>
      <w:r>
        <w:rPr>
          <w:rFonts w:hint="eastAsia"/>
          <w:color w:val="auto"/>
          <w:sz w:val="28"/>
          <w:szCs w:val="28"/>
          <w:highlight w:val="none"/>
          <w:lang w:eastAsia="zh-CN"/>
        </w:rPr>
        <w:t>法定代表人证明书</w:t>
      </w:r>
    </w:p>
    <w:p w14:paraId="3C336463">
      <w:pPr>
        <w:pStyle w:val="356"/>
        <w:keepNext w:val="0"/>
        <w:keepLines w:val="0"/>
        <w:pageBreakBefore w:val="0"/>
        <w:widowControl w:val="0"/>
        <w:kinsoku/>
        <w:wordWrap/>
        <w:overflowPunct/>
        <w:topLinePunct w:val="0"/>
        <w:autoSpaceDE/>
        <w:autoSpaceDN/>
        <w:bidi w:val="0"/>
        <w:ind w:firstLine="0" w:firstLineChars="0"/>
        <w:rPr>
          <w:rFonts w:hint="eastAsia"/>
          <w:color w:val="auto"/>
          <w:highlight w:val="none"/>
          <w:lang w:eastAsia="zh-CN"/>
        </w:rPr>
      </w:pPr>
    </w:p>
    <w:p w14:paraId="1A9F10B2">
      <w:pPr>
        <w:pStyle w:val="19"/>
        <w:keepNext w:val="0"/>
        <w:keepLines w:val="0"/>
        <w:pageBreakBefore w:val="0"/>
        <w:widowControl w:val="0"/>
        <w:tabs>
          <w:tab w:val="left" w:pos="1500"/>
          <w:tab w:val="left" w:pos="3223"/>
          <w:tab w:val="left" w:pos="3947"/>
          <w:tab w:val="left" w:pos="7064"/>
        </w:tabs>
        <w:kinsoku/>
        <w:wordWrap/>
        <w:overflowPunct/>
        <w:topLinePunct w:val="0"/>
        <w:autoSpaceDE/>
        <w:autoSpaceDN/>
        <w:bidi w:val="0"/>
        <w:ind w:firstLine="480" w:firstLineChars="200"/>
        <w:rPr>
          <w:rFonts w:hint="eastAsia"/>
          <w:color w:val="auto"/>
          <w:sz w:val="24"/>
          <w:highlight w:val="none"/>
        </w:rPr>
      </w:pPr>
      <w:r>
        <w:rPr>
          <w:rFonts w:hint="eastAsia"/>
          <w:color w:val="auto"/>
          <w:sz w:val="24"/>
          <w:highlight w:val="none"/>
          <w:u w:val="single"/>
        </w:rPr>
        <w:t xml:space="preserve">      </w:t>
      </w:r>
      <w:r>
        <w:rPr>
          <w:color w:val="auto"/>
          <w:sz w:val="24"/>
          <w:highlight w:val="none"/>
          <w:u w:val="single"/>
        </w:rPr>
        <w:t xml:space="preserve">  </w:t>
      </w:r>
      <w:r>
        <w:rPr>
          <w:color w:val="auto"/>
          <w:sz w:val="24"/>
          <w:highlight w:val="none"/>
        </w:rPr>
        <w:t>现任我单位</w:t>
      </w:r>
      <w:bookmarkStart w:id="297" w:name="_Hlk104113847"/>
      <w:r>
        <w:rPr>
          <w:rFonts w:hint="eastAsia"/>
          <w:color w:val="auto"/>
          <w:sz w:val="24"/>
          <w:highlight w:val="none"/>
          <w:u w:val="single"/>
        </w:rPr>
        <w:t xml:space="preserve">      </w:t>
      </w:r>
      <w:bookmarkEnd w:id="297"/>
      <w:r>
        <w:rPr>
          <w:color w:val="auto"/>
          <w:sz w:val="24"/>
          <w:highlight w:val="none"/>
        </w:rPr>
        <w:t>职务</w:t>
      </w:r>
      <w:r>
        <w:rPr>
          <w:rFonts w:hint="eastAsia"/>
          <w:color w:val="auto"/>
          <w:sz w:val="24"/>
          <w:highlight w:val="none"/>
        </w:rPr>
        <w:t>，</w:t>
      </w:r>
      <w:r>
        <w:rPr>
          <w:color w:val="auto"/>
          <w:sz w:val="24"/>
          <w:highlight w:val="none"/>
        </w:rPr>
        <w:t>为法定代表人，特此证明。</w:t>
      </w:r>
    </w:p>
    <w:p w14:paraId="63503143">
      <w:pPr>
        <w:pStyle w:val="19"/>
        <w:keepNext w:val="0"/>
        <w:keepLines w:val="0"/>
        <w:pageBreakBefore w:val="0"/>
        <w:widowControl w:val="0"/>
        <w:tabs>
          <w:tab w:val="left" w:pos="1020"/>
          <w:tab w:val="left" w:pos="3223"/>
          <w:tab w:val="left" w:pos="3947"/>
          <w:tab w:val="left" w:pos="7064"/>
        </w:tabs>
        <w:kinsoku/>
        <w:wordWrap/>
        <w:overflowPunct/>
        <w:topLinePunct w:val="0"/>
        <w:autoSpaceDE/>
        <w:autoSpaceDN/>
        <w:bidi w:val="0"/>
        <w:ind w:firstLine="480" w:firstLineChars="200"/>
        <w:rPr>
          <w:rFonts w:hint="eastAsia"/>
          <w:color w:val="auto"/>
          <w:sz w:val="24"/>
          <w:highlight w:val="none"/>
          <w:u w:val="single"/>
        </w:rPr>
      </w:pPr>
      <w:r>
        <w:rPr>
          <w:color w:val="auto"/>
          <w:sz w:val="24"/>
          <w:highlight w:val="none"/>
        </w:rPr>
        <w:t>有效期限：</w:t>
      </w:r>
      <w:bookmarkStart w:id="298" w:name="_Hlk102939377"/>
      <w:r>
        <w:rPr>
          <w:rFonts w:hint="eastAsia"/>
          <w:color w:val="auto"/>
          <w:sz w:val="24"/>
          <w:highlight w:val="none"/>
          <w:u w:val="single"/>
        </w:rPr>
        <w:t>与响应有效期一致。</w:t>
      </w:r>
      <w:bookmarkEnd w:id="298"/>
    </w:p>
    <w:p w14:paraId="167EC4D0">
      <w:pPr>
        <w:pStyle w:val="19"/>
        <w:keepNext w:val="0"/>
        <w:keepLines w:val="0"/>
        <w:pageBreakBefore w:val="0"/>
        <w:widowControl w:val="0"/>
        <w:tabs>
          <w:tab w:val="left" w:pos="1020"/>
          <w:tab w:val="left" w:pos="3223"/>
          <w:tab w:val="left" w:pos="3947"/>
          <w:tab w:val="left" w:pos="8505"/>
        </w:tabs>
        <w:kinsoku/>
        <w:wordWrap/>
        <w:overflowPunct/>
        <w:topLinePunct w:val="0"/>
        <w:autoSpaceDE/>
        <w:autoSpaceDN/>
        <w:bidi w:val="0"/>
        <w:ind w:firstLine="480" w:firstLineChars="200"/>
        <w:rPr>
          <w:rFonts w:hint="eastAsia"/>
          <w:color w:val="auto"/>
          <w:sz w:val="24"/>
          <w:highlight w:val="none"/>
          <w:u w:val="single"/>
        </w:rPr>
      </w:pPr>
      <w:r>
        <w:rPr>
          <w:rFonts w:hint="eastAsia"/>
          <w:color w:val="auto"/>
          <w:sz w:val="24"/>
          <w:highlight w:val="none"/>
        </w:rPr>
        <w:t>法定</w:t>
      </w:r>
      <w:r>
        <w:rPr>
          <w:color w:val="auto"/>
          <w:sz w:val="24"/>
          <w:highlight w:val="none"/>
        </w:rPr>
        <w:t>代表人性别：</w:t>
      </w:r>
      <w:r>
        <w:rPr>
          <w:color w:val="auto"/>
          <w:sz w:val="24"/>
          <w:highlight w:val="none"/>
          <w:u w:val="single"/>
        </w:rPr>
        <w:t xml:space="preserve">      </w:t>
      </w:r>
      <w:r>
        <w:rPr>
          <w:color w:val="auto"/>
          <w:sz w:val="24"/>
          <w:highlight w:val="none"/>
        </w:rPr>
        <w:t>年龄：</w:t>
      </w:r>
      <w:r>
        <w:rPr>
          <w:color w:val="auto"/>
          <w:sz w:val="24"/>
          <w:highlight w:val="none"/>
          <w:u w:val="single"/>
        </w:rPr>
        <w:t xml:space="preserve">      </w:t>
      </w:r>
      <w:r>
        <w:rPr>
          <w:color w:val="auto"/>
          <w:sz w:val="24"/>
          <w:highlight w:val="none"/>
        </w:rPr>
        <w:t>身份证号码：</w:t>
      </w:r>
      <w:r>
        <w:rPr>
          <w:color w:val="auto"/>
          <w:sz w:val="24"/>
          <w:highlight w:val="none"/>
          <w:u w:val="single"/>
        </w:rPr>
        <w:t xml:space="preserve">            .</w:t>
      </w:r>
    </w:p>
    <w:p w14:paraId="18512181">
      <w:pPr>
        <w:pStyle w:val="19"/>
        <w:keepNext w:val="0"/>
        <w:keepLines w:val="0"/>
        <w:pageBreakBefore w:val="0"/>
        <w:widowControl w:val="0"/>
        <w:tabs>
          <w:tab w:val="left" w:pos="1020"/>
          <w:tab w:val="left" w:pos="3223"/>
          <w:tab w:val="left" w:pos="3947"/>
          <w:tab w:val="left" w:pos="7064"/>
        </w:tabs>
        <w:kinsoku/>
        <w:wordWrap/>
        <w:overflowPunct/>
        <w:topLinePunct w:val="0"/>
        <w:autoSpaceDE/>
        <w:autoSpaceDN/>
        <w:bidi w:val="0"/>
        <w:ind w:firstLine="480" w:firstLineChars="200"/>
        <w:rPr>
          <w:rFonts w:hint="eastAsia"/>
          <w:color w:val="auto"/>
          <w:sz w:val="24"/>
          <w:highlight w:val="none"/>
          <w:u w:val="single"/>
        </w:rPr>
      </w:pPr>
      <w:r>
        <w:rPr>
          <w:rFonts w:hint="eastAsia"/>
          <w:color w:val="auto"/>
          <w:sz w:val="24"/>
          <w:szCs w:val="24"/>
          <w:highlight w:val="none"/>
          <w:lang w:eastAsia="zh-CN"/>
        </w:rPr>
        <w:t>统一社会信用代码</w:t>
      </w:r>
      <w:r>
        <w:rPr>
          <w:color w:val="auto"/>
          <w:sz w:val="24"/>
          <w:highlight w:val="none"/>
        </w:rPr>
        <w:t>：</w:t>
      </w:r>
      <w:r>
        <w:rPr>
          <w:color w:val="auto"/>
          <w:sz w:val="24"/>
          <w:highlight w:val="none"/>
          <w:u w:val="single"/>
        </w:rPr>
        <w:t xml:space="preserve">            </w:t>
      </w:r>
      <w:r>
        <w:rPr>
          <w:color w:val="auto"/>
          <w:sz w:val="24"/>
          <w:highlight w:val="none"/>
        </w:rPr>
        <w:t>企业类型：</w:t>
      </w:r>
      <w:r>
        <w:rPr>
          <w:color w:val="auto"/>
          <w:sz w:val="24"/>
          <w:highlight w:val="none"/>
          <w:u w:val="single"/>
        </w:rPr>
        <w:t xml:space="preserve">              </w:t>
      </w:r>
      <w:r>
        <w:rPr>
          <w:rFonts w:hint="eastAsia"/>
          <w:color w:val="auto"/>
          <w:sz w:val="24"/>
          <w:highlight w:val="none"/>
          <w:u w:val="single"/>
        </w:rPr>
        <w:t>.</w:t>
      </w:r>
    </w:p>
    <w:p w14:paraId="7B7EFF57">
      <w:pPr>
        <w:pStyle w:val="19"/>
        <w:keepNext w:val="0"/>
        <w:keepLines w:val="0"/>
        <w:pageBreakBefore w:val="0"/>
        <w:widowControl w:val="0"/>
        <w:tabs>
          <w:tab w:val="left" w:pos="1020"/>
          <w:tab w:val="left" w:pos="3223"/>
          <w:tab w:val="left" w:pos="3947"/>
          <w:tab w:val="left" w:pos="7064"/>
        </w:tabs>
        <w:kinsoku/>
        <w:wordWrap/>
        <w:overflowPunct/>
        <w:topLinePunct w:val="0"/>
        <w:autoSpaceDE/>
        <w:autoSpaceDN/>
        <w:bidi w:val="0"/>
        <w:ind w:firstLine="480" w:firstLineChars="200"/>
        <w:rPr>
          <w:rFonts w:hint="eastAsia"/>
          <w:color w:val="auto"/>
          <w:sz w:val="24"/>
          <w:highlight w:val="none"/>
          <w:u w:val="single"/>
        </w:rPr>
      </w:pPr>
      <w:r>
        <w:rPr>
          <w:color w:val="auto"/>
          <w:sz w:val="24"/>
          <w:highlight w:val="none"/>
        </w:rPr>
        <w:t>经营范围：</w:t>
      </w:r>
      <w:r>
        <w:rPr>
          <w:color w:val="auto"/>
          <w:sz w:val="24"/>
          <w:highlight w:val="none"/>
          <w:u w:val="single"/>
        </w:rPr>
        <w:t xml:space="preserve">           </w:t>
      </w:r>
      <w:r>
        <w:rPr>
          <w:rFonts w:hint="eastAsia"/>
          <w:color w:val="auto"/>
          <w:sz w:val="24"/>
          <w:highlight w:val="none"/>
          <w:u w:val="single"/>
        </w:rPr>
        <w:t>.</w:t>
      </w:r>
    </w:p>
    <w:p w14:paraId="5216B69F">
      <w:pPr>
        <w:pStyle w:val="19"/>
        <w:keepNext w:val="0"/>
        <w:keepLines w:val="0"/>
        <w:pageBreakBefore w:val="0"/>
        <w:widowControl w:val="0"/>
        <w:tabs>
          <w:tab w:val="left" w:pos="1020"/>
          <w:tab w:val="left" w:pos="3223"/>
          <w:tab w:val="left" w:pos="3947"/>
          <w:tab w:val="left" w:pos="7064"/>
        </w:tabs>
        <w:kinsoku/>
        <w:wordWrap/>
        <w:overflowPunct/>
        <w:topLinePunct w:val="0"/>
        <w:autoSpaceDE/>
        <w:autoSpaceDN/>
        <w:bidi w:val="0"/>
        <w:ind w:right="-35"/>
        <w:rPr>
          <w:rFonts w:hint="eastAsia"/>
          <w:color w:val="auto"/>
          <w:sz w:val="24"/>
          <w:highlight w:val="none"/>
        </w:rPr>
      </w:pPr>
    </w:p>
    <w:p w14:paraId="4C68E214">
      <w:pPr>
        <w:pStyle w:val="19"/>
        <w:keepNext w:val="0"/>
        <w:keepLines w:val="0"/>
        <w:pageBreakBefore w:val="0"/>
        <w:widowControl w:val="0"/>
        <w:tabs>
          <w:tab w:val="left" w:pos="10713"/>
        </w:tabs>
        <w:kinsoku/>
        <w:wordWrap/>
        <w:overflowPunct/>
        <w:topLinePunct w:val="0"/>
        <w:autoSpaceDE/>
        <w:autoSpaceDN/>
        <w:bidi w:val="0"/>
        <w:ind w:left="3223" w:leftChars="1535"/>
        <w:jc w:val="right"/>
        <w:rPr>
          <w:rFonts w:hint="eastAsia"/>
          <w:color w:val="auto"/>
          <w:sz w:val="24"/>
          <w:highlight w:val="none"/>
        </w:rPr>
      </w:pPr>
      <w:r>
        <w:rPr>
          <w:rFonts w:hint="eastAsia"/>
          <w:color w:val="auto"/>
          <w:sz w:val="24"/>
          <w:highlight w:val="none"/>
        </w:rPr>
        <w:t>供应商</w:t>
      </w:r>
      <w:r>
        <w:rPr>
          <w:color w:val="auto"/>
          <w:sz w:val="24"/>
          <w:highlight w:val="none"/>
        </w:rPr>
        <w:t>名称（盖章）：</w:t>
      </w:r>
      <w:r>
        <w:rPr>
          <w:color w:val="auto"/>
          <w:sz w:val="24"/>
          <w:highlight w:val="none"/>
          <w:u w:val="single"/>
        </w:rPr>
        <w:t xml:space="preserve">               </w:t>
      </w:r>
      <w:r>
        <w:rPr>
          <w:rFonts w:hint="eastAsia"/>
          <w:color w:val="auto"/>
          <w:sz w:val="24"/>
          <w:highlight w:val="none"/>
          <w:u w:val="single"/>
        </w:rPr>
        <w:t>.</w:t>
      </w:r>
    </w:p>
    <w:p w14:paraId="6EB5FDD1">
      <w:pPr>
        <w:pStyle w:val="19"/>
        <w:keepNext w:val="0"/>
        <w:keepLines w:val="0"/>
        <w:pageBreakBefore w:val="0"/>
        <w:widowControl w:val="0"/>
        <w:tabs>
          <w:tab w:val="left" w:pos="10713"/>
        </w:tabs>
        <w:kinsoku/>
        <w:wordWrap/>
        <w:overflowPunct/>
        <w:topLinePunct w:val="0"/>
        <w:autoSpaceDE/>
        <w:autoSpaceDN/>
        <w:bidi w:val="0"/>
        <w:jc w:val="right"/>
        <w:rPr>
          <w:rFonts w:hint="eastAsia"/>
          <w:color w:val="auto"/>
          <w:sz w:val="24"/>
          <w:highlight w:val="none"/>
          <w:u w:val="single"/>
        </w:rPr>
      </w:pPr>
      <w:r>
        <w:rPr>
          <w:color w:val="auto"/>
          <w:sz w:val="24"/>
          <w:highlight w:val="none"/>
        </w:rPr>
        <w:t>地址：</w:t>
      </w:r>
      <w:r>
        <w:rPr>
          <w:color w:val="auto"/>
          <w:sz w:val="24"/>
          <w:highlight w:val="none"/>
          <w:u w:val="single"/>
        </w:rPr>
        <w:t xml:space="preserve">               </w:t>
      </w:r>
      <w:r>
        <w:rPr>
          <w:rFonts w:hint="eastAsia"/>
          <w:color w:val="auto"/>
          <w:sz w:val="24"/>
          <w:highlight w:val="none"/>
          <w:u w:val="single"/>
        </w:rPr>
        <w:t>.</w:t>
      </w:r>
    </w:p>
    <w:p w14:paraId="56D731FC">
      <w:pPr>
        <w:pStyle w:val="19"/>
        <w:keepNext w:val="0"/>
        <w:keepLines w:val="0"/>
        <w:pageBreakBefore w:val="0"/>
        <w:widowControl w:val="0"/>
        <w:tabs>
          <w:tab w:val="left" w:pos="10713"/>
        </w:tabs>
        <w:kinsoku/>
        <w:wordWrap/>
        <w:overflowPunct/>
        <w:topLinePunct w:val="0"/>
        <w:autoSpaceDE/>
        <w:autoSpaceDN/>
        <w:bidi w:val="0"/>
        <w:jc w:val="right"/>
        <w:rPr>
          <w:rFonts w:hint="eastAsia"/>
          <w:color w:val="auto"/>
          <w:sz w:val="24"/>
          <w:highlight w:val="none"/>
          <w:u w:val="single"/>
        </w:rPr>
      </w:pPr>
      <w:r>
        <w:rPr>
          <w:color w:val="auto"/>
          <w:sz w:val="24"/>
          <w:highlight w:val="none"/>
        </w:rPr>
        <w:t>法定代表人（签字或盖章）：</w:t>
      </w:r>
      <w:r>
        <w:rPr>
          <w:color w:val="auto"/>
          <w:sz w:val="24"/>
          <w:highlight w:val="none"/>
          <w:u w:val="single"/>
        </w:rPr>
        <w:t xml:space="preserve">               </w:t>
      </w:r>
      <w:r>
        <w:rPr>
          <w:rFonts w:hint="eastAsia"/>
          <w:color w:val="auto"/>
          <w:sz w:val="24"/>
          <w:highlight w:val="none"/>
          <w:u w:val="single"/>
        </w:rPr>
        <w:t>.</w:t>
      </w:r>
    </w:p>
    <w:p w14:paraId="18A58284">
      <w:pPr>
        <w:pStyle w:val="19"/>
        <w:keepNext w:val="0"/>
        <w:keepLines w:val="0"/>
        <w:pageBreakBefore w:val="0"/>
        <w:widowControl w:val="0"/>
        <w:kinsoku/>
        <w:wordWrap/>
        <w:overflowPunct/>
        <w:topLinePunct w:val="0"/>
        <w:autoSpaceDE/>
        <w:autoSpaceDN/>
        <w:bidi w:val="0"/>
        <w:ind w:left="3223" w:leftChars="1535"/>
        <w:jc w:val="right"/>
        <w:rPr>
          <w:rFonts w:hint="eastAsia"/>
          <w:color w:val="auto"/>
          <w:sz w:val="24"/>
          <w:highlight w:val="none"/>
        </w:rPr>
      </w:pPr>
      <w:r>
        <w:rPr>
          <w:color w:val="auto"/>
          <w:sz w:val="24"/>
          <w:highlight w:val="none"/>
        </w:rPr>
        <w:t>职务：</w:t>
      </w:r>
      <w:r>
        <w:rPr>
          <w:color w:val="auto"/>
          <w:sz w:val="24"/>
          <w:highlight w:val="none"/>
          <w:u w:val="single"/>
        </w:rPr>
        <w:t xml:space="preserve">               </w:t>
      </w:r>
      <w:r>
        <w:rPr>
          <w:rFonts w:hint="eastAsia"/>
          <w:color w:val="auto"/>
          <w:sz w:val="24"/>
          <w:highlight w:val="none"/>
          <w:u w:val="single"/>
        </w:rPr>
        <w:t>.</w:t>
      </w:r>
      <w:r>
        <w:rPr>
          <w:color w:val="auto"/>
          <w:sz w:val="24"/>
          <w:highlight w:val="none"/>
          <w:u w:val="single"/>
        </w:rPr>
        <w:t xml:space="preserve"> </w:t>
      </w:r>
    </w:p>
    <w:p w14:paraId="208CBFFF">
      <w:pPr>
        <w:pStyle w:val="19"/>
        <w:keepNext w:val="0"/>
        <w:keepLines w:val="0"/>
        <w:pageBreakBefore w:val="0"/>
        <w:widowControl w:val="0"/>
        <w:kinsoku/>
        <w:wordWrap/>
        <w:overflowPunct/>
        <w:topLinePunct w:val="0"/>
        <w:autoSpaceDE/>
        <w:autoSpaceDN/>
        <w:bidi w:val="0"/>
        <w:ind w:right="-52"/>
        <w:jc w:val="right"/>
        <w:rPr>
          <w:rFonts w:hint="eastAsia"/>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52AE5C66">
      <w:pPr>
        <w:keepNext w:val="0"/>
        <w:keepLines w:val="0"/>
        <w:pageBreakBefore w:val="0"/>
        <w:widowControl w:val="0"/>
        <w:kinsoku/>
        <w:wordWrap/>
        <w:overflowPunct/>
        <w:topLinePunct w:val="0"/>
        <w:autoSpaceDE/>
        <w:autoSpaceDN/>
        <w:bidi w:val="0"/>
        <w:spacing w:line="440" w:lineRule="exact"/>
        <w:rPr>
          <w:rFonts w:hint="eastAsia"/>
          <w:color w:val="auto"/>
          <w:sz w:val="24"/>
          <w:highlight w:val="none"/>
        </w:rPr>
      </w:pPr>
    </w:p>
    <w:tbl>
      <w:tblPr>
        <w:tblStyle w:val="4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21CBC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jc w:val="center"/>
        </w:trPr>
        <w:tc>
          <w:tcPr>
            <w:tcW w:w="5000" w:type="pct"/>
            <w:vAlign w:val="center"/>
          </w:tcPr>
          <w:p w14:paraId="4240D5C8">
            <w:pPr>
              <w:keepNext w:val="0"/>
              <w:keepLines w:val="0"/>
              <w:pageBreakBefore w:val="0"/>
              <w:widowControl w:val="0"/>
              <w:kinsoku/>
              <w:wordWrap/>
              <w:overflowPunct/>
              <w:topLinePunct w:val="0"/>
              <w:autoSpaceDE/>
              <w:autoSpaceDN/>
              <w:bidi w:val="0"/>
              <w:jc w:val="center"/>
              <w:rPr>
                <w:rFonts w:hint="eastAsia"/>
                <w:color w:val="auto"/>
                <w:sz w:val="24"/>
                <w:highlight w:val="none"/>
              </w:rPr>
            </w:pPr>
            <w:bookmarkStart w:id="299" w:name="_Hlk112010312"/>
            <w:r>
              <w:rPr>
                <w:rFonts w:hint="eastAsia"/>
                <w:color w:val="auto"/>
                <w:sz w:val="24"/>
                <w:highlight w:val="none"/>
              </w:rPr>
              <w:t>法定代表人身份证复印件</w:t>
            </w:r>
          </w:p>
          <w:p w14:paraId="4C563212">
            <w:pPr>
              <w:keepNext w:val="0"/>
              <w:keepLines w:val="0"/>
              <w:pageBreakBefore w:val="0"/>
              <w:widowControl w:val="0"/>
              <w:kinsoku/>
              <w:wordWrap/>
              <w:overflowPunct/>
              <w:topLinePunct w:val="0"/>
              <w:autoSpaceDE/>
              <w:autoSpaceDN/>
              <w:bidi w:val="0"/>
              <w:jc w:val="center"/>
              <w:rPr>
                <w:rFonts w:hint="eastAsia"/>
                <w:b/>
                <w:color w:val="auto"/>
                <w:sz w:val="24"/>
                <w:highlight w:val="none"/>
              </w:rPr>
            </w:pPr>
            <w:r>
              <w:rPr>
                <w:rFonts w:hint="eastAsia"/>
                <w:color w:val="auto"/>
                <w:sz w:val="24"/>
                <w:highlight w:val="none"/>
              </w:rPr>
              <w:t>（正、反</w:t>
            </w:r>
            <w:r>
              <w:rPr>
                <w:color w:val="auto"/>
                <w:sz w:val="24"/>
                <w:highlight w:val="none"/>
              </w:rPr>
              <w:t>两面</w:t>
            </w:r>
            <w:r>
              <w:rPr>
                <w:rFonts w:hint="eastAsia"/>
                <w:color w:val="auto"/>
                <w:sz w:val="24"/>
                <w:highlight w:val="none"/>
              </w:rPr>
              <w:t>）</w:t>
            </w:r>
          </w:p>
        </w:tc>
      </w:tr>
      <w:bookmarkEnd w:id="299"/>
    </w:tbl>
    <w:p w14:paraId="210EE2AB">
      <w:pPr>
        <w:keepNext w:val="0"/>
        <w:keepLines w:val="0"/>
        <w:pageBreakBefore w:val="0"/>
        <w:widowControl w:val="0"/>
        <w:kinsoku/>
        <w:wordWrap/>
        <w:overflowPunct/>
        <w:topLinePunct w:val="0"/>
        <w:autoSpaceDE/>
        <w:autoSpaceDN/>
        <w:bidi w:val="0"/>
        <w:rPr>
          <w:rFonts w:hint="eastAsia"/>
          <w:b/>
          <w:color w:val="auto"/>
          <w:szCs w:val="21"/>
          <w:highlight w:val="none"/>
        </w:rPr>
      </w:pPr>
    </w:p>
    <w:p w14:paraId="531A813A">
      <w:pPr>
        <w:keepNext w:val="0"/>
        <w:keepLines w:val="0"/>
        <w:pageBreakBefore w:val="0"/>
        <w:widowControl w:val="0"/>
        <w:kinsoku/>
        <w:wordWrap/>
        <w:overflowPunct/>
        <w:topLinePunct w:val="0"/>
        <w:autoSpaceDE/>
        <w:autoSpaceDN/>
        <w:bidi w:val="0"/>
        <w:rPr>
          <w:rFonts w:hint="eastAsia"/>
          <w:b/>
          <w:color w:val="auto"/>
          <w:szCs w:val="21"/>
          <w:highlight w:val="none"/>
        </w:rPr>
      </w:pPr>
      <w:r>
        <w:rPr>
          <w:rFonts w:hint="eastAsia"/>
          <w:b/>
          <w:color w:val="auto"/>
          <w:szCs w:val="21"/>
          <w:highlight w:val="none"/>
        </w:rPr>
        <w:t>说明：供应商应须提供法定代表人身份证复印件，否则作无效响应处理。</w:t>
      </w:r>
    </w:p>
    <w:p w14:paraId="1762AE34">
      <w:pPr>
        <w:pStyle w:val="19"/>
        <w:keepNext w:val="0"/>
        <w:keepLines w:val="0"/>
        <w:pageBreakBefore w:val="0"/>
        <w:widowControl w:val="0"/>
        <w:kinsoku/>
        <w:wordWrap/>
        <w:overflowPunct/>
        <w:topLinePunct w:val="0"/>
        <w:autoSpaceDE/>
        <w:autoSpaceDN/>
        <w:bidi w:val="0"/>
        <w:rPr>
          <w:rFonts w:hint="eastAsia"/>
          <w:color w:val="auto"/>
          <w:sz w:val="24"/>
          <w:highlight w:val="none"/>
        </w:rPr>
      </w:pPr>
    </w:p>
    <w:p w14:paraId="498D8C07">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8"/>
          <w:szCs w:val="28"/>
          <w:highlight w:val="none"/>
        </w:rPr>
      </w:pPr>
      <w:r>
        <w:rPr>
          <w:rFonts w:ascii="宋体" w:hAnsi="宋体" w:eastAsia="宋体"/>
          <w:bCs w:val="0"/>
          <w:color w:val="auto"/>
          <w:sz w:val="28"/>
          <w:szCs w:val="28"/>
          <w:highlight w:val="none"/>
        </w:rPr>
        <w:br w:type="page"/>
      </w:r>
      <w:bookmarkStart w:id="300" w:name="_Toc103033237"/>
      <w:bookmarkStart w:id="301" w:name="_Toc104040760"/>
      <w:bookmarkStart w:id="302" w:name="_Toc9819"/>
      <w:bookmarkStart w:id="303" w:name="_Toc104040706"/>
      <w:r>
        <w:rPr>
          <w:rFonts w:hint="eastAsia" w:ascii="宋体" w:hAnsi="宋体" w:eastAsia="宋体"/>
          <w:color w:val="auto"/>
          <w:sz w:val="24"/>
          <w:szCs w:val="24"/>
          <w:highlight w:val="none"/>
        </w:rPr>
        <w:t>法定代表人授权书</w:t>
      </w:r>
      <w:bookmarkEnd w:id="281"/>
      <w:bookmarkEnd w:id="282"/>
      <w:bookmarkEnd w:id="283"/>
      <w:bookmarkEnd w:id="284"/>
      <w:bookmarkEnd w:id="285"/>
      <w:bookmarkEnd w:id="300"/>
      <w:bookmarkEnd w:id="301"/>
      <w:bookmarkEnd w:id="302"/>
      <w:bookmarkEnd w:id="303"/>
    </w:p>
    <w:p w14:paraId="06B9B50E">
      <w:pPr>
        <w:pStyle w:val="358"/>
        <w:keepNext w:val="0"/>
        <w:keepLines w:val="0"/>
        <w:pageBreakBefore w:val="0"/>
        <w:widowControl w:val="0"/>
        <w:kinsoku/>
        <w:wordWrap/>
        <w:overflowPunct/>
        <w:topLinePunct w:val="0"/>
        <w:autoSpaceDE/>
        <w:autoSpaceDN/>
        <w:bidi w:val="0"/>
        <w:jc w:val="left"/>
        <w:outlineLvl w:val="9"/>
        <w:rPr>
          <w:rFonts w:hint="eastAsia"/>
          <w:b w:val="0"/>
          <w:bCs w:val="0"/>
          <w:i/>
          <w:iCs/>
          <w:color w:val="auto"/>
          <w:sz w:val="21"/>
          <w:szCs w:val="20"/>
          <w:highlight w:val="none"/>
          <w:lang w:eastAsia="zh-CN"/>
        </w:rPr>
      </w:pPr>
      <w:r>
        <w:rPr>
          <w:rFonts w:hint="eastAsia"/>
          <w:b w:val="0"/>
          <w:bCs w:val="0"/>
          <w:i/>
          <w:iCs/>
          <w:color w:val="auto"/>
          <w:sz w:val="21"/>
          <w:szCs w:val="20"/>
          <w:highlight w:val="none"/>
          <w:lang w:eastAsia="zh-CN"/>
        </w:rPr>
        <w:t>（对于银行、保险、电信、邮政、铁路等行业以及获得总公司响应授权的分公司，可以提供响应分支机构负责人授权书）</w:t>
      </w:r>
    </w:p>
    <w:p w14:paraId="5641B8DD">
      <w:pPr>
        <w:keepNext w:val="0"/>
        <w:keepLines w:val="0"/>
        <w:pageBreakBefore w:val="0"/>
        <w:widowControl w:val="0"/>
        <w:kinsoku/>
        <w:wordWrap/>
        <w:overflowPunct/>
        <w:topLinePunct w:val="0"/>
        <w:autoSpaceDE/>
        <w:autoSpaceDN/>
        <w:bidi w:val="0"/>
        <w:spacing w:line="480" w:lineRule="exact"/>
        <w:jc w:val="center"/>
        <w:rPr>
          <w:rFonts w:hint="eastAsia"/>
          <w:b/>
          <w:color w:val="auto"/>
          <w:sz w:val="28"/>
          <w:szCs w:val="28"/>
          <w:highlight w:val="none"/>
        </w:rPr>
      </w:pPr>
      <w:r>
        <w:rPr>
          <w:rFonts w:hint="eastAsia"/>
          <w:b/>
          <w:color w:val="auto"/>
          <w:sz w:val="28"/>
          <w:szCs w:val="28"/>
          <w:highlight w:val="none"/>
        </w:rPr>
        <w:t>法定代表人授权书</w:t>
      </w:r>
    </w:p>
    <w:p w14:paraId="325DEBB3">
      <w:pPr>
        <w:keepNext w:val="0"/>
        <w:keepLines w:val="0"/>
        <w:pageBreakBefore w:val="0"/>
        <w:widowControl w:val="0"/>
        <w:kinsoku/>
        <w:wordWrap/>
        <w:overflowPunct/>
        <w:topLinePunct w:val="0"/>
        <w:autoSpaceDE/>
        <w:autoSpaceDN/>
        <w:bidi w:val="0"/>
        <w:rPr>
          <w:rFonts w:hint="eastAsia"/>
          <w:color w:val="auto"/>
          <w:sz w:val="18"/>
          <w:highlight w:val="none"/>
        </w:rPr>
      </w:pPr>
    </w:p>
    <w:p w14:paraId="75101289">
      <w:pPr>
        <w:pStyle w:val="19"/>
        <w:keepNext w:val="0"/>
        <w:keepLines w:val="0"/>
        <w:pageBreakBefore w:val="0"/>
        <w:widowControl w:val="0"/>
        <w:kinsoku/>
        <w:wordWrap/>
        <w:overflowPunct/>
        <w:topLinePunct w:val="0"/>
        <w:autoSpaceDE/>
        <w:autoSpaceDN/>
        <w:bidi w:val="0"/>
        <w:rPr>
          <w:rFonts w:hint="eastAsia"/>
          <w:color w:val="auto"/>
          <w:sz w:val="24"/>
          <w:highlight w:val="none"/>
        </w:rPr>
      </w:pPr>
      <w:r>
        <w:rPr>
          <w:color w:val="auto"/>
          <w:sz w:val="24"/>
          <w:highlight w:val="none"/>
        </w:rPr>
        <w:t>致：</w:t>
      </w:r>
      <w:r>
        <w:rPr>
          <w:rFonts w:hint="eastAsia"/>
          <w:color w:val="auto"/>
          <w:sz w:val="24"/>
          <w:highlight w:val="none"/>
        </w:rPr>
        <w:t>公诚管理咨询有限公司</w:t>
      </w:r>
    </w:p>
    <w:p w14:paraId="04A3FF9E">
      <w:pPr>
        <w:pStyle w:val="19"/>
        <w:keepNext w:val="0"/>
        <w:keepLines w:val="0"/>
        <w:pageBreakBefore w:val="0"/>
        <w:widowControl w:val="0"/>
        <w:tabs>
          <w:tab w:val="left" w:pos="2026"/>
          <w:tab w:val="left" w:pos="3101"/>
          <w:tab w:val="left" w:pos="8808"/>
        </w:tabs>
        <w:kinsoku/>
        <w:wordWrap/>
        <w:overflowPunct/>
        <w:topLinePunct w:val="0"/>
        <w:autoSpaceDE/>
        <w:autoSpaceDN/>
        <w:bidi w:val="0"/>
        <w:ind w:right="221" w:firstLine="384"/>
        <w:rPr>
          <w:rFonts w:hint="eastAsia"/>
          <w:color w:val="auto"/>
          <w:sz w:val="24"/>
          <w:highlight w:val="none"/>
        </w:rPr>
      </w:pPr>
      <w:r>
        <w:rPr>
          <w:color w:val="auto"/>
          <w:w w:val="105"/>
          <w:sz w:val="24"/>
          <w:highlight w:val="none"/>
        </w:rPr>
        <w:t>本授权书声明：</w:t>
      </w:r>
      <w:r>
        <w:rPr>
          <w:color w:val="auto"/>
          <w:w w:val="105"/>
          <w:sz w:val="24"/>
          <w:highlight w:val="none"/>
          <w:u w:val="single"/>
        </w:rPr>
        <w:t xml:space="preserve"> </w:t>
      </w:r>
      <w:r>
        <w:rPr>
          <w:color w:val="auto"/>
          <w:w w:val="105"/>
          <w:sz w:val="24"/>
          <w:highlight w:val="none"/>
          <w:u w:val="single"/>
        </w:rPr>
        <w:tab/>
      </w:r>
      <w:r>
        <w:rPr>
          <w:color w:val="auto"/>
          <w:sz w:val="24"/>
          <w:highlight w:val="none"/>
        </w:rPr>
        <w:t>是注册于</w:t>
      </w:r>
      <w:r>
        <w:rPr>
          <w:color w:val="auto"/>
          <w:spacing w:val="-17"/>
          <w:sz w:val="24"/>
          <w:highlight w:val="none"/>
          <w:u w:val="single"/>
        </w:rPr>
        <w:t xml:space="preserve">   </w:t>
      </w:r>
      <w:r>
        <w:rPr>
          <w:color w:val="auto"/>
          <w:sz w:val="24"/>
          <w:highlight w:val="none"/>
          <w:u w:val="single"/>
        </w:rPr>
        <w:t>（国家或地区）</w:t>
      </w:r>
      <w:r>
        <w:rPr>
          <w:color w:val="auto"/>
          <w:sz w:val="24"/>
          <w:highlight w:val="none"/>
        </w:rPr>
        <w:t>的</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供应商</w:t>
      </w:r>
      <w:r>
        <w:rPr>
          <w:color w:val="auto"/>
          <w:sz w:val="24"/>
          <w:highlight w:val="none"/>
          <w:u w:val="single"/>
        </w:rPr>
        <w:t>名称）</w:t>
      </w:r>
      <w:r>
        <w:rPr>
          <w:color w:val="auto"/>
          <w:sz w:val="24"/>
          <w:highlight w:val="none"/>
        </w:rPr>
        <w:t>的法定代表人，现任</w:t>
      </w:r>
      <w:r>
        <w:rPr>
          <w:color w:val="auto"/>
          <w:sz w:val="24"/>
          <w:highlight w:val="none"/>
          <w:u w:val="single"/>
        </w:rPr>
        <w:t xml:space="preserve"> </w:t>
      </w:r>
      <w:r>
        <w:rPr>
          <w:color w:val="auto"/>
          <w:sz w:val="24"/>
          <w:highlight w:val="none"/>
          <w:u w:val="single"/>
        </w:rPr>
        <w:tab/>
      </w:r>
      <w:r>
        <w:rPr>
          <w:color w:val="auto"/>
          <w:w w:val="110"/>
          <w:sz w:val="24"/>
          <w:highlight w:val="none"/>
        </w:rPr>
        <w:t>职务，有效证件号码：</w:t>
      </w:r>
      <w:r>
        <w:rPr>
          <w:color w:val="auto"/>
          <w:w w:val="110"/>
          <w:sz w:val="24"/>
          <w:highlight w:val="none"/>
          <w:u w:val="single"/>
        </w:rPr>
        <w:t xml:space="preserve">        </w:t>
      </w:r>
      <w:r>
        <w:rPr>
          <w:color w:val="auto"/>
          <w:sz w:val="24"/>
          <w:highlight w:val="none"/>
        </w:rPr>
        <w:t>。现授权</w:t>
      </w:r>
      <w:r>
        <w:rPr>
          <w:color w:val="auto"/>
          <w:spacing w:val="8"/>
          <w:sz w:val="24"/>
          <w:highlight w:val="none"/>
          <w:u w:val="single"/>
        </w:rPr>
        <w:t xml:space="preserve"> </w:t>
      </w:r>
      <w:r>
        <w:rPr>
          <w:rFonts w:hint="eastAsia"/>
          <w:color w:val="auto"/>
          <w:sz w:val="24"/>
          <w:highlight w:val="none"/>
          <w:u w:val="single"/>
        </w:rPr>
        <w:t xml:space="preserve"> </w:t>
      </w:r>
      <w:r>
        <w:rPr>
          <w:color w:val="auto"/>
          <w:sz w:val="24"/>
          <w:highlight w:val="none"/>
          <w:u w:val="single"/>
        </w:rPr>
        <w:t>（姓名、职务）</w:t>
      </w:r>
      <w:r>
        <w:rPr>
          <w:color w:val="auto"/>
          <w:sz w:val="24"/>
          <w:highlight w:val="none"/>
        </w:rPr>
        <w:t>作为我公司的全权代理人，就</w:t>
      </w:r>
      <w:r>
        <w:rPr>
          <w:rFonts w:hint="eastAsia"/>
          <w:color w:val="auto"/>
          <w:sz w:val="24"/>
          <w:highlight w:val="none"/>
          <w:u w:val="single"/>
        </w:rPr>
        <w:t xml:space="preserve"> </w:t>
      </w:r>
      <w:r>
        <w:rPr>
          <w:rFonts w:hint="eastAsia"/>
          <w:color w:val="auto"/>
          <w:sz w:val="24"/>
          <w:highlight w:val="none"/>
          <w:u w:val="single"/>
          <w:lang w:eastAsia="zh-CN"/>
        </w:rPr>
        <w:t>中华人民共和国青茂出入境边防检查站2026年度食堂食材配送服务采购项目</w:t>
      </w:r>
      <w:r>
        <w:rPr>
          <w:rFonts w:hint="eastAsia"/>
          <w:color w:val="auto"/>
          <w:sz w:val="24"/>
          <w:highlight w:val="none"/>
          <w:u w:val="single"/>
          <w:lang w:val="en-US" w:eastAsia="zh-CN"/>
        </w:rPr>
        <w:t xml:space="preserve"> </w:t>
      </w:r>
      <w:r>
        <w:rPr>
          <w:rFonts w:hint="eastAsia"/>
          <w:color w:val="auto"/>
          <w:sz w:val="24"/>
          <w:highlight w:val="none"/>
          <w:u w:val="single"/>
        </w:rPr>
        <w:t>[项目编号：07-08-04F-2026-D-F-E06418]</w:t>
      </w:r>
      <w:r>
        <w:rPr>
          <w:rFonts w:hint="eastAsia"/>
          <w:color w:val="auto"/>
          <w:sz w:val="24"/>
          <w:highlight w:val="none"/>
        </w:rPr>
        <w:t>的响应和合同执行，以我方的名义处理一切与之有关的事宜。</w:t>
      </w:r>
    </w:p>
    <w:p w14:paraId="22920EF7">
      <w:pPr>
        <w:pStyle w:val="19"/>
        <w:keepNext w:val="0"/>
        <w:keepLines w:val="0"/>
        <w:pageBreakBefore w:val="0"/>
        <w:widowControl w:val="0"/>
        <w:tabs>
          <w:tab w:val="left" w:pos="2026"/>
          <w:tab w:val="left" w:pos="3101"/>
          <w:tab w:val="left" w:pos="8808"/>
        </w:tabs>
        <w:kinsoku/>
        <w:wordWrap/>
        <w:overflowPunct/>
        <w:topLinePunct w:val="0"/>
        <w:autoSpaceDE/>
        <w:autoSpaceDN/>
        <w:bidi w:val="0"/>
        <w:ind w:right="221" w:firstLine="384"/>
        <w:rPr>
          <w:rFonts w:hint="eastAsia"/>
          <w:color w:val="auto"/>
          <w:sz w:val="24"/>
          <w:highlight w:val="none"/>
        </w:rPr>
      </w:pPr>
      <w:r>
        <w:rPr>
          <w:color w:val="auto"/>
          <w:sz w:val="24"/>
          <w:highlight w:val="none"/>
        </w:rPr>
        <w:t>本授权书于</w:t>
      </w:r>
      <w:r>
        <w:rPr>
          <w:color w:val="auto"/>
          <w:sz w:val="24"/>
          <w:highlight w:val="none"/>
          <w:u w:val="single"/>
        </w:rPr>
        <w:t xml:space="preserve"> </w:t>
      </w:r>
      <w:r>
        <w:rPr>
          <w:color w:val="auto"/>
          <w:sz w:val="24"/>
          <w:highlight w:val="none"/>
          <w:u w:val="single"/>
        </w:rPr>
        <w:tab/>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日签字生效，特此声明。</w:t>
      </w:r>
    </w:p>
    <w:p w14:paraId="5854E6E8">
      <w:pPr>
        <w:pStyle w:val="356"/>
        <w:keepNext w:val="0"/>
        <w:keepLines w:val="0"/>
        <w:pageBreakBefore w:val="0"/>
        <w:widowControl w:val="0"/>
        <w:kinsoku/>
        <w:wordWrap/>
        <w:overflowPunct/>
        <w:topLinePunct w:val="0"/>
        <w:autoSpaceDE/>
        <w:autoSpaceDN/>
        <w:bidi w:val="0"/>
        <w:ind w:firstLine="0" w:firstLineChars="0"/>
        <w:rPr>
          <w:rFonts w:hint="eastAsia"/>
          <w:color w:val="auto"/>
          <w:highlight w:val="none"/>
          <w:lang w:eastAsia="zh-CN"/>
        </w:rPr>
      </w:pPr>
    </w:p>
    <w:p w14:paraId="2FCCACFC">
      <w:pPr>
        <w:keepNext w:val="0"/>
        <w:keepLines w:val="0"/>
        <w:pageBreakBefore w:val="0"/>
        <w:widowControl w:val="0"/>
        <w:kinsoku/>
        <w:wordWrap/>
        <w:overflowPunct/>
        <w:topLinePunct w:val="0"/>
        <w:autoSpaceDE/>
        <w:autoSpaceDN/>
        <w:bidi w:val="0"/>
        <w:ind w:left="3518" w:leftChars="1675"/>
        <w:jc w:val="right"/>
        <w:rPr>
          <w:rFonts w:hint="eastAsia"/>
          <w:color w:val="auto"/>
          <w:sz w:val="24"/>
          <w:highlight w:val="none"/>
        </w:rPr>
      </w:pPr>
      <w:r>
        <w:rPr>
          <w:rFonts w:hint="eastAsia"/>
          <w:color w:val="auto"/>
          <w:sz w:val="24"/>
          <w:highlight w:val="none"/>
        </w:rPr>
        <w:t>供应商名称（盖章）：</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5A151B2F">
      <w:pPr>
        <w:keepNext w:val="0"/>
        <w:keepLines w:val="0"/>
        <w:pageBreakBefore w:val="0"/>
        <w:widowControl w:val="0"/>
        <w:kinsoku/>
        <w:wordWrap/>
        <w:overflowPunct/>
        <w:topLinePunct w:val="0"/>
        <w:autoSpaceDE/>
        <w:autoSpaceDN/>
        <w:bidi w:val="0"/>
        <w:ind w:left="3518" w:leftChars="1675"/>
        <w:jc w:val="right"/>
        <w:rPr>
          <w:rFonts w:hint="eastAsia"/>
          <w:color w:val="auto"/>
          <w:sz w:val="24"/>
          <w:highlight w:val="none"/>
        </w:rPr>
      </w:pPr>
      <w:r>
        <w:rPr>
          <w:rFonts w:hint="eastAsia"/>
          <w:color w:val="auto"/>
          <w:sz w:val="24"/>
          <w:highlight w:val="none"/>
        </w:rPr>
        <w:t>地址：</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76C0B988">
      <w:pPr>
        <w:keepNext w:val="0"/>
        <w:keepLines w:val="0"/>
        <w:pageBreakBefore w:val="0"/>
        <w:widowControl w:val="0"/>
        <w:kinsoku/>
        <w:wordWrap/>
        <w:overflowPunct/>
        <w:topLinePunct w:val="0"/>
        <w:autoSpaceDE/>
        <w:autoSpaceDN/>
        <w:bidi w:val="0"/>
        <w:jc w:val="right"/>
        <w:rPr>
          <w:rFonts w:hint="eastAsia"/>
          <w:color w:val="auto"/>
          <w:sz w:val="24"/>
          <w:highlight w:val="none"/>
        </w:rPr>
      </w:pPr>
      <w:r>
        <w:rPr>
          <w:rFonts w:hint="eastAsia"/>
          <w:color w:val="auto"/>
          <w:sz w:val="24"/>
          <w:highlight w:val="none"/>
        </w:rPr>
        <w:t>法定代表人（签字或盖章）：</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u w:val="single"/>
        </w:rPr>
        <w:t xml:space="preserve"> </w:t>
      </w:r>
    </w:p>
    <w:p w14:paraId="5A9A7FFB">
      <w:pPr>
        <w:keepNext w:val="0"/>
        <w:keepLines w:val="0"/>
        <w:pageBreakBefore w:val="0"/>
        <w:widowControl w:val="0"/>
        <w:kinsoku/>
        <w:wordWrap/>
        <w:overflowPunct/>
        <w:topLinePunct w:val="0"/>
        <w:autoSpaceDE/>
        <w:autoSpaceDN/>
        <w:bidi w:val="0"/>
        <w:ind w:left="3518" w:leftChars="1675"/>
        <w:jc w:val="right"/>
        <w:rPr>
          <w:rFonts w:hint="eastAsia"/>
          <w:color w:val="auto"/>
          <w:sz w:val="24"/>
          <w:highlight w:val="none"/>
        </w:rPr>
      </w:pPr>
      <w:r>
        <w:rPr>
          <w:rFonts w:hint="eastAsia"/>
          <w:color w:val="auto"/>
          <w:sz w:val="24"/>
          <w:highlight w:val="none"/>
        </w:rPr>
        <w:t>职务：</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742C9779">
      <w:pPr>
        <w:keepNext w:val="0"/>
        <w:keepLines w:val="0"/>
        <w:pageBreakBefore w:val="0"/>
        <w:widowControl w:val="0"/>
        <w:kinsoku/>
        <w:wordWrap/>
        <w:overflowPunct/>
        <w:topLinePunct w:val="0"/>
        <w:autoSpaceDE/>
        <w:autoSpaceDN/>
        <w:bidi w:val="0"/>
        <w:jc w:val="right"/>
        <w:rPr>
          <w:rFonts w:hint="eastAsia"/>
          <w:color w:val="auto"/>
          <w:sz w:val="24"/>
          <w:highlight w:val="none"/>
        </w:rPr>
      </w:pPr>
      <w:r>
        <w:rPr>
          <w:rFonts w:hint="eastAsia"/>
          <w:color w:val="auto"/>
          <w:sz w:val="24"/>
          <w:highlight w:val="none"/>
        </w:rPr>
        <w:t>被授权人（签字或盖章）：</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6DBBEE3F">
      <w:pPr>
        <w:keepNext w:val="0"/>
        <w:keepLines w:val="0"/>
        <w:pageBreakBefore w:val="0"/>
        <w:widowControl w:val="0"/>
        <w:kinsoku/>
        <w:wordWrap/>
        <w:overflowPunct/>
        <w:topLinePunct w:val="0"/>
        <w:autoSpaceDE/>
        <w:autoSpaceDN/>
        <w:bidi w:val="0"/>
        <w:ind w:left="3518" w:leftChars="1675"/>
        <w:jc w:val="right"/>
        <w:rPr>
          <w:rFonts w:hint="eastAsia"/>
          <w:color w:val="auto"/>
          <w:sz w:val="24"/>
          <w:highlight w:val="none"/>
        </w:rPr>
      </w:pPr>
      <w:r>
        <w:rPr>
          <w:rFonts w:hint="eastAsia"/>
          <w:color w:val="auto"/>
          <w:sz w:val="24"/>
          <w:highlight w:val="none"/>
        </w:rPr>
        <w:t>职务：</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034FFE27">
      <w:pPr>
        <w:keepNext w:val="0"/>
        <w:keepLines w:val="0"/>
        <w:pageBreakBefore w:val="0"/>
        <w:widowControl w:val="0"/>
        <w:kinsoku/>
        <w:wordWrap/>
        <w:overflowPunct/>
        <w:topLinePunct w:val="0"/>
        <w:autoSpaceDE/>
        <w:autoSpaceDN/>
        <w:bidi w:val="0"/>
        <w:jc w:val="right"/>
        <w:rPr>
          <w:rFonts w:hint="eastAsia"/>
          <w:color w:val="auto"/>
          <w:sz w:val="24"/>
          <w:highlight w:val="none"/>
        </w:rPr>
      </w:pPr>
      <w:r>
        <w:rPr>
          <w:rFonts w:hint="eastAsia"/>
          <w:color w:val="auto"/>
          <w:sz w:val="24"/>
          <w:highlight w:val="none"/>
        </w:rPr>
        <w:t>日期：</w:t>
      </w:r>
      <w:r>
        <w:rPr>
          <w:rFonts w:hint="eastAsia"/>
          <w:color w:val="auto"/>
          <w:sz w:val="24"/>
          <w:highlight w:val="none"/>
          <w:u w:val="single"/>
        </w:rPr>
        <w:tab/>
      </w:r>
      <w:r>
        <w:rPr>
          <w:rFonts w:hint="eastAsia"/>
          <w:color w:val="auto"/>
          <w:sz w:val="24"/>
          <w:highlight w:val="none"/>
          <w:u w:val="single"/>
        </w:rPr>
        <w:t xml:space="preserve">    </w:t>
      </w:r>
      <w:r>
        <w:rPr>
          <w:rFonts w:hint="eastAsia"/>
          <w:color w:val="auto"/>
          <w:sz w:val="24"/>
          <w:highlight w:val="none"/>
        </w:rPr>
        <w:t>年</w:t>
      </w:r>
      <w:r>
        <w:rPr>
          <w:rFonts w:hint="eastAsia"/>
          <w:color w:val="auto"/>
          <w:sz w:val="24"/>
          <w:highlight w:val="none"/>
          <w:u w:val="single"/>
        </w:rPr>
        <w:tab/>
      </w:r>
      <w:r>
        <w:rPr>
          <w:rFonts w:hint="eastAsia"/>
          <w:color w:val="auto"/>
          <w:sz w:val="24"/>
          <w:highlight w:val="none"/>
          <w:u w:val="single"/>
        </w:rPr>
        <w:t xml:space="preserve">    </w:t>
      </w:r>
      <w:r>
        <w:rPr>
          <w:rFonts w:hint="eastAsia"/>
          <w:color w:val="auto"/>
          <w:sz w:val="24"/>
          <w:highlight w:val="none"/>
        </w:rPr>
        <w:t>月</w:t>
      </w:r>
      <w:r>
        <w:rPr>
          <w:rFonts w:hint="eastAsia"/>
          <w:color w:val="auto"/>
          <w:sz w:val="24"/>
          <w:highlight w:val="none"/>
          <w:u w:val="single"/>
        </w:rPr>
        <w:tab/>
      </w:r>
      <w:r>
        <w:rPr>
          <w:rFonts w:hint="eastAsia"/>
          <w:color w:val="auto"/>
          <w:sz w:val="24"/>
          <w:highlight w:val="none"/>
          <w:u w:val="single"/>
        </w:rPr>
        <w:t xml:space="preserve">    </w:t>
      </w:r>
      <w:r>
        <w:rPr>
          <w:rFonts w:hint="eastAsia"/>
          <w:color w:val="auto"/>
          <w:sz w:val="24"/>
          <w:highlight w:val="none"/>
        </w:rPr>
        <w:t>日</w:t>
      </w:r>
    </w:p>
    <w:p w14:paraId="0C10FD3A">
      <w:pPr>
        <w:keepNext w:val="0"/>
        <w:keepLines w:val="0"/>
        <w:pageBreakBefore w:val="0"/>
        <w:widowControl w:val="0"/>
        <w:kinsoku/>
        <w:wordWrap/>
        <w:overflowPunct/>
        <w:topLinePunct w:val="0"/>
        <w:autoSpaceDE/>
        <w:autoSpaceDN/>
        <w:bidi w:val="0"/>
        <w:rPr>
          <w:rFonts w:hint="eastAsia"/>
          <w:b/>
          <w:color w:val="auto"/>
          <w:szCs w:val="21"/>
          <w:highlight w:val="none"/>
        </w:rPr>
      </w:pPr>
    </w:p>
    <w:tbl>
      <w:tblPr>
        <w:tblStyle w:val="46"/>
        <w:tblpPr w:leftFromText="180" w:rightFromText="180" w:vertAnchor="text" w:horzAnchor="margin" w:tblpXSpec="center" w:tblpY="4"/>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37EE5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3" w:hRule="exact"/>
        </w:trPr>
        <w:tc>
          <w:tcPr>
            <w:tcW w:w="5000" w:type="pct"/>
            <w:vAlign w:val="center"/>
          </w:tcPr>
          <w:p w14:paraId="02CF562B">
            <w:pPr>
              <w:keepNext w:val="0"/>
              <w:keepLines w:val="0"/>
              <w:pageBreakBefore w:val="0"/>
              <w:widowControl w:val="0"/>
              <w:kinsoku/>
              <w:wordWrap/>
              <w:overflowPunct/>
              <w:topLinePunct w:val="0"/>
              <w:autoSpaceDE/>
              <w:autoSpaceDN/>
              <w:bidi w:val="0"/>
              <w:jc w:val="center"/>
              <w:rPr>
                <w:rFonts w:hint="eastAsia"/>
                <w:color w:val="auto"/>
                <w:sz w:val="24"/>
                <w:highlight w:val="none"/>
              </w:rPr>
            </w:pPr>
            <w:r>
              <w:rPr>
                <w:rFonts w:hint="eastAsia"/>
                <w:color w:val="auto"/>
                <w:sz w:val="24"/>
                <w:highlight w:val="none"/>
              </w:rPr>
              <w:t>被授权人身份证复印件</w:t>
            </w:r>
          </w:p>
          <w:p w14:paraId="672956A8">
            <w:pPr>
              <w:keepNext w:val="0"/>
              <w:keepLines w:val="0"/>
              <w:pageBreakBefore w:val="0"/>
              <w:widowControl w:val="0"/>
              <w:kinsoku/>
              <w:wordWrap/>
              <w:overflowPunct/>
              <w:topLinePunct w:val="0"/>
              <w:autoSpaceDE/>
              <w:autoSpaceDN/>
              <w:bidi w:val="0"/>
              <w:jc w:val="center"/>
              <w:rPr>
                <w:rFonts w:hint="eastAsia"/>
                <w:color w:val="auto"/>
                <w:highlight w:val="none"/>
              </w:rPr>
            </w:pPr>
            <w:r>
              <w:rPr>
                <w:rFonts w:hint="eastAsia"/>
                <w:color w:val="auto"/>
                <w:sz w:val="24"/>
                <w:highlight w:val="none"/>
              </w:rPr>
              <w:t>（正、反</w:t>
            </w:r>
            <w:r>
              <w:rPr>
                <w:color w:val="auto"/>
                <w:sz w:val="24"/>
                <w:highlight w:val="none"/>
              </w:rPr>
              <w:t>两面</w:t>
            </w:r>
            <w:r>
              <w:rPr>
                <w:rFonts w:hint="eastAsia"/>
                <w:color w:val="auto"/>
                <w:sz w:val="24"/>
                <w:highlight w:val="none"/>
              </w:rPr>
              <w:t>）</w:t>
            </w:r>
          </w:p>
        </w:tc>
      </w:tr>
    </w:tbl>
    <w:p w14:paraId="4E7B3DA8">
      <w:pPr>
        <w:keepNext w:val="0"/>
        <w:keepLines w:val="0"/>
        <w:pageBreakBefore w:val="0"/>
        <w:widowControl w:val="0"/>
        <w:kinsoku/>
        <w:wordWrap/>
        <w:overflowPunct/>
        <w:topLinePunct w:val="0"/>
        <w:autoSpaceDE/>
        <w:autoSpaceDN/>
        <w:bidi w:val="0"/>
        <w:rPr>
          <w:rFonts w:hint="eastAsia"/>
          <w:b/>
          <w:bCs/>
          <w:color w:val="auto"/>
          <w:szCs w:val="22"/>
          <w:highlight w:val="none"/>
        </w:rPr>
      </w:pPr>
      <w:r>
        <w:rPr>
          <w:rFonts w:hint="eastAsia"/>
          <w:b/>
          <w:bCs/>
          <w:color w:val="auto"/>
          <w:szCs w:val="22"/>
          <w:highlight w:val="none"/>
        </w:rPr>
        <w:t>说明：</w:t>
      </w:r>
    </w:p>
    <w:p w14:paraId="68F929B9">
      <w:pPr>
        <w:keepNext w:val="0"/>
        <w:keepLines w:val="0"/>
        <w:pageBreakBefore w:val="0"/>
        <w:widowControl w:val="0"/>
        <w:kinsoku/>
        <w:wordWrap/>
        <w:overflowPunct/>
        <w:topLinePunct w:val="0"/>
        <w:autoSpaceDE/>
        <w:autoSpaceDN/>
        <w:bidi w:val="0"/>
        <w:rPr>
          <w:rFonts w:hint="eastAsia"/>
          <w:b/>
          <w:bCs/>
          <w:color w:val="auto"/>
          <w:szCs w:val="22"/>
          <w:highlight w:val="none"/>
        </w:rPr>
      </w:pPr>
      <w:r>
        <w:rPr>
          <w:rFonts w:hint="eastAsia"/>
          <w:b/>
          <w:bCs/>
          <w:color w:val="auto"/>
          <w:szCs w:val="22"/>
          <w:highlight w:val="none"/>
        </w:rPr>
        <w:t>1.响应代表为法定代表人，则本表不需提供。</w:t>
      </w:r>
    </w:p>
    <w:p w14:paraId="64834977">
      <w:pPr>
        <w:keepNext w:val="0"/>
        <w:keepLines w:val="0"/>
        <w:pageBreakBefore w:val="0"/>
        <w:widowControl w:val="0"/>
        <w:kinsoku/>
        <w:wordWrap/>
        <w:overflowPunct/>
        <w:topLinePunct w:val="0"/>
        <w:autoSpaceDE/>
        <w:autoSpaceDN/>
        <w:bidi w:val="0"/>
        <w:rPr>
          <w:rFonts w:hint="eastAsia"/>
          <w:color w:val="auto"/>
          <w:sz w:val="24"/>
          <w:highlight w:val="none"/>
        </w:rPr>
      </w:pPr>
      <w:r>
        <w:rPr>
          <w:b/>
          <w:bCs/>
          <w:color w:val="auto"/>
          <w:szCs w:val="22"/>
          <w:highlight w:val="none"/>
        </w:rPr>
        <w:t>2</w:t>
      </w:r>
      <w:r>
        <w:rPr>
          <w:rFonts w:hint="eastAsia"/>
          <w:b/>
          <w:bCs/>
          <w:color w:val="auto"/>
          <w:szCs w:val="22"/>
          <w:highlight w:val="none"/>
        </w:rPr>
        <w:t>.响应代表为法定代表人授权委托人的，须提供被授权人身份证复印件，否则作无效响应处理。</w:t>
      </w:r>
    </w:p>
    <w:p w14:paraId="4EB23BF0">
      <w:pPr>
        <w:keepNext w:val="0"/>
        <w:keepLines w:val="0"/>
        <w:pageBreakBefore w:val="0"/>
        <w:widowControl w:val="0"/>
        <w:kinsoku/>
        <w:wordWrap/>
        <w:overflowPunct/>
        <w:topLinePunct w:val="0"/>
        <w:autoSpaceDE/>
        <w:autoSpaceDN/>
        <w:bidi w:val="0"/>
        <w:rPr>
          <w:rFonts w:hint="eastAsia"/>
          <w:b/>
          <w:color w:val="auto"/>
          <w:sz w:val="28"/>
          <w:szCs w:val="28"/>
          <w:highlight w:val="none"/>
        </w:rPr>
      </w:pPr>
      <w:r>
        <w:rPr>
          <w:b/>
          <w:color w:val="auto"/>
          <w:sz w:val="28"/>
          <w:szCs w:val="28"/>
          <w:highlight w:val="none"/>
        </w:rPr>
        <w:br w:type="page"/>
      </w:r>
    </w:p>
    <w:p w14:paraId="23AE050F">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04" w:name="_Toc112002531"/>
      <w:bookmarkStart w:id="305" w:name="_Toc15200"/>
      <w:bookmarkStart w:id="306" w:name="_Toc104131914"/>
      <w:bookmarkStart w:id="307" w:name="_Toc104040764"/>
      <w:bookmarkStart w:id="308" w:name="_Toc104040710"/>
      <w:bookmarkStart w:id="309" w:name="_Toc103033240"/>
      <w:r>
        <w:rPr>
          <w:rFonts w:hint="eastAsia" w:ascii="宋体" w:hAnsi="宋体" w:eastAsia="宋体"/>
          <w:color w:val="auto"/>
          <w:sz w:val="24"/>
          <w:szCs w:val="24"/>
          <w:highlight w:val="none"/>
        </w:rPr>
        <w:t>提供具有独立承担民事责任的能力的证明材料</w:t>
      </w:r>
      <w:bookmarkEnd w:id="304"/>
      <w:bookmarkEnd w:id="305"/>
      <w:bookmarkEnd w:id="306"/>
    </w:p>
    <w:p w14:paraId="6604E3FE">
      <w:pPr>
        <w:pStyle w:val="356"/>
        <w:keepNext w:val="0"/>
        <w:keepLines w:val="0"/>
        <w:pageBreakBefore w:val="0"/>
        <w:widowControl w:val="0"/>
        <w:kinsoku/>
        <w:wordWrap/>
        <w:overflowPunct/>
        <w:topLinePunct w:val="0"/>
        <w:autoSpaceDE/>
        <w:autoSpaceDN/>
        <w:bidi w:val="0"/>
        <w:ind w:firstLine="0" w:firstLineChars="0"/>
        <w:rPr>
          <w:rFonts w:hint="eastAsia"/>
          <w:i/>
          <w:iCs/>
          <w:color w:val="auto"/>
          <w:sz w:val="21"/>
          <w:szCs w:val="21"/>
          <w:highlight w:val="none"/>
          <w:lang w:eastAsia="zh-CN"/>
        </w:rPr>
      </w:pPr>
      <w:r>
        <w:rPr>
          <w:rFonts w:hint="eastAsia"/>
          <w:i/>
          <w:iCs/>
          <w:color w:val="auto"/>
          <w:sz w:val="21"/>
          <w:szCs w:val="21"/>
          <w:highlight w:val="none"/>
          <w:lang w:eastAsia="zh-CN"/>
        </w:rPr>
        <w:t>（按照采购文件的资格要求提供相关材料）</w:t>
      </w:r>
    </w:p>
    <w:p w14:paraId="64AB756B">
      <w:pPr>
        <w:pStyle w:val="356"/>
        <w:keepNext w:val="0"/>
        <w:keepLines w:val="0"/>
        <w:pageBreakBefore w:val="0"/>
        <w:widowControl w:val="0"/>
        <w:kinsoku/>
        <w:wordWrap/>
        <w:overflowPunct/>
        <w:topLinePunct w:val="0"/>
        <w:autoSpaceDE/>
        <w:autoSpaceDN/>
        <w:bidi w:val="0"/>
        <w:ind w:firstLine="0" w:firstLineChars="0"/>
        <w:rPr>
          <w:rFonts w:hint="eastAsia"/>
          <w:color w:val="auto"/>
          <w:sz w:val="21"/>
          <w:szCs w:val="21"/>
          <w:highlight w:val="none"/>
          <w:lang w:eastAsia="zh-CN"/>
        </w:rPr>
      </w:pPr>
    </w:p>
    <w:p w14:paraId="20C46429">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10" w:name="_Toc104160577"/>
      <w:bookmarkStart w:id="311" w:name="_Toc7161"/>
      <w:bookmarkStart w:id="312" w:name="_Toc112002532"/>
      <w:r>
        <w:rPr>
          <w:rFonts w:hint="eastAsia" w:ascii="宋体" w:hAnsi="宋体" w:eastAsia="宋体"/>
          <w:color w:val="auto"/>
          <w:sz w:val="24"/>
          <w:szCs w:val="24"/>
          <w:highlight w:val="none"/>
        </w:rPr>
        <w:t>提供有依法缴纳税收的良好记录的证明材料</w:t>
      </w:r>
      <w:bookmarkEnd w:id="310"/>
      <w:bookmarkEnd w:id="311"/>
      <w:bookmarkEnd w:id="312"/>
    </w:p>
    <w:p w14:paraId="29434E04">
      <w:pPr>
        <w:keepNext w:val="0"/>
        <w:keepLines w:val="0"/>
        <w:pageBreakBefore w:val="0"/>
        <w:widowControl w:val="0"/>
        <w:kinsoku/>
        <w:wordWrap/>
        <w:overflowPunct/>
        <w:topLinePunct w:val="0"/>
        <w:autoSpaceDE/>
        <w:autoSpaceDN/>
        <w:bidi w:val="0"/>
        <w:rPr>
          <w:rFonts w:hint="eastAsia"/>
          <w:i/>
          <w:iCs/>
          <w:color w:val="auto"/>
          <w:szCs w:val="21"/>
          <w:highlight w:val="none"/>
        </w:rPr>
      </w:pPr>
      <w:r>
        <w:rPr>
          <w:rFonts w:hint="eastAsia"/>
          <w:i/>
          <w:iCs/>
          <w:color w:val="auto"/>
          <w:szCs w:val="21"/>
          <w:highlight w:val="none"/>
        </w:rPr>
        <w:t>（按照采购文件的资格要求提供相关材料）</w:t>
      </w:r>
    </w:p>
    <w:p w14:paraId="1614B01E">
      <w:pPr>
        <w:pStyle w:val="45"/>
        <w:keepNext w:val="0"/>
        <w:keepLines w:val="0"/>
        <w:pageBreakBefore w:val="0"/>
        <w:widowControl w:val="0"/>
        <w:kinsoku/>
        <w:wordWrap/>
        <w:overflowPunct/>
        <w:topLinePunct w:val="0"/>
        <w:autoSpaceDE/>
        <w:autoSpaceDN/>
        <w:bidi w:val="0"/>
        <w:rPr>
          <w:rFonts w:hint="eastAsia"/>
          <w:color w:val="auto"/>
          <w:highlight w:val="none"/>
        </w:rPr>
      </w:pPr>
    </w:p>
    <w:p w14:paraId="32B53F5F">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13" w:name="_Toc112002533"/>
      <w:bookmarkStart w:id="314" w:name="_Toc7140"/>
      <w:r>
        <w:rPr>
          <w:rFonts w:hint="eastAsia" w:ascii="宋体" w:hAnsi="宋体" w:eastAsia="宋体"/>
          <w:color w:val="auto"/>
          <w:sz w:val="24"/>
          <w:szCs w:val="24"/>
          <w:highlight w:val="none"/>
        </w:rPr>
        <w:t>提供有依法缴纳社会保障资金的良好记录的证明材料</w:t>
      </w:r>
      <w:bookmarkEnd w:id="313"/>
      <w:bookmarkEnd w:id="314"/>
    </w:p>
    <w:p w14:paraId="6E4CFC7F">
      <w:pPr>
        <w:keepNext w:val="0"/>
        <w:keepLines w:val="0"/>
        <w:pageBreakBefore w:val="0"/>
        <w:widowControl w:val="0"/>
        <w:kinsoku/>
        <w:wordWrap/>
        <w:overflowPunct/>
        <w:topLinePunct w:val="0"/>
        <w:autoSpaceDE/>
        <w:autoSpaceDN/>
        <w:bidi w:val="0"/>
        <w:rPr>
          <w:rFonts w:hint="eastAsia"/>
          <w:i/>
          <w:iCs/>
          <w:color w:val="auto"/>
          <w:szCs w:val="21"/>
          <w:highlight w:val="none"/>
        </w:rPr>
      </w:pPr>
      <w:r>
        <w:rPr>
          <w:rFonts w:hint="eastAsia"/>
          <w:i/>
          <w:iCs/>
          <w:color w:val="auto"/>
          <w:szCs w:val="21"/>
          <w:highlight w:val="none"/>
        </w:rPr>
        <w:t>（按照采购文件的资格要求提供相关材料）</w:t>
      </w:r>
    </w:p>
    <w:p w14:paraId="1A7F7DF0">
      <w:pPr>
        <w:keepNext w:val="0"/>
        <w:keepLines w:val="0"/>
        <w:pageBreakBefore w:val="0"/>
        <w:widowControl w:val="0"/>
        <w:kinsoku/>
        <w:wordWrap/>
        <w:overflowPunct/>
        <w:topLinePunct w:val="0"/>
        <w:autoSpaceDE/>
        <w:autoSpaceDN/>
        <w:bidi w:val="0"/>
        <w:rPr>
          <w:rFonts w:hint="eastAsia"/>
          <w:color w:val="auto"/>
          <w:sz w:val="28"/>
          <w:highlight w:val="none"/>
        </w:rPr>
      </w:pPr>
    </w:p>
    <w:p w14:paraId="280F25F3">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15" w:name="_Toc104040709"/>
      <w:bookmarkStart w:id="316" w:name="_Toc103033239"/>
      <w:bookmarkStart w:id="317" w:name="_Toc29934"/>
      <w:bookmarkStart w:id="318" w:name="_Toc104160578"/>
      <w:bookmarkStart w:id="319" w:name="_Toc112002534"/>
      <w:r>
        <w:rPr>
          <w:rFonts w:hint="eastAsia" w:ascii="宋体" w:hAnsi="宋体" w:eastAsia="宋体"/>
          <w:color w:val="auto"/>
          <w:sz w:val="24"/>
          <w:szCs w:val="24"/>
          <w:highlight w:val="none"/>
        </w:rPr>
        <w:t>提供具有良好的商业信誉和健全的财务会计制度的证明材料</w:t>
      </w:r>
      <w:bookmarkEnd w:id="315"/>
      <w:bookmarkEnd w:id="316"/>
      <w:bookmarkEnd w:id="317"/>
      <w:bookmarkEnd w:id="318"/>
      <w:bookmarkEnd w:id="319"/>
    </w:p>
    <w:p w14:paraId="682F92DF">
      <w:pPr>
        <w:keepNext w:val="0"/>
        <w:keepLines w:val="0"/>
        <w:pageBreakBefore w:val="0"/>
        <w:widowControl w:val="0"/>
        <w:kinsoku/>
        <w:wordWrap/>
        <w:overflowPunct/>
        <w:topLinePunct w:val="0"/>
        <w:autoSpaceDE/>
        <w:autoSpaceDN/>
        <w:bidi w:val="0"/>
        <w:rPr>
          <w:rFonts w:hint="eastAsia"/>
          <w:i/>
          <w:iCs/>
          <w:color w:val="auto"/>
          <w:szCs w:val="21"/>
          <w:highlight w:val="none"/>
        </w:rPr>
      </w:pPr>
      <w:r>
        <w:rPr>
          <w:rFonts w:hint="eastAsia"/>
          <w:i/>
          <w:iCs/>
          <w:color w:val="auto"/>
          <w:szCs w:val="21"/>
          <w:highlight w:val="none"/>
        </w:rPr>
        <w:t>（按照采购文件的资格要求提供相关材料）</w:t>
      </w:r>
    </w:p>
    <w:p w14:paraId="04226CAD">
      <w:pPr>
        <w:keepNext w:val="0"/>
        <w:keepLines w:val="0"/>
        <w:pageBreakBefore w:val="0"/>
        <w:widowControl w:val="0"/>
        <w:kinsoku/>
        <w:wordWrap/>
        <w:overflowPunct/>
        <w:topLinePunct w:val="0"/>
        <w:autoSpaceDE/>
        <w:autoSpaceDN/>
        <w:bidi w:val="0"/>
        <w:rPr>
          <w:rFonts w:hint="eastAsia"/>
          <w:color w:val="auto"/>
          <w:sz w:val="28"/>
          <w:highlight w:val="none"/>
        </w:rPr>
      </w:pPr>
    </w:p>
    <w:p w14:paraId="37AFDF65">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20" w:name="_Toc112002535"/>
      <w:bookmarkStart w:id="321" w:name="_Toc104160579"/>
      <w:bookmarkStart w:id="322" w:name="_Toc26013"/>
      <w:r>
        <w:rPr>
          <w:rFonts w:hint="eastAsia" w:ascii="宋体" w:hAnsi="宋体" w:eastAsia="宋体"/>
          <w:color w:val="auto"/>
          <w:sz w:val="24"/>
          <w:szCs w:val="24"/>
          <w:highlight w:val="none"/>
        </w:rPr>
        <w:t>提供具有履行合同所必需的设备和专业技术能力的证明材料</w:t>
      </w:r>
      <w:bookmarkEnd w:id="320"/>
      <w:bookmarkEnd w:id="321"/>
      <w:bookmarkEnd w:id="322"/>
    </w:p>
    <w:p w14:paraId="711A0885">
      <w:pPr>
        <w:keepNext w:val="0"/>
        <w:keepLines w:val="0"/>
        <w:pageBreakBefore w:val="0"/>
        <w:widowControl w:val="0"/>
        <w:kinsoku/>
        <w:wordWrap/>
        <w:overflowPunct/>
        <w:topLinePunct w:val="0"/>
        <w:autoSpaceDE/>
        <w:autoSpaceDN/>
        <w:bidi w:val="0"/>
        <w:rPr>
          <w:rFonts w:hint="eastAsia"/>
          <w:i/>
          <w:iCs/>
          <w:color w:val="auto"/>
          <w:szCs w:val="21"/>
          <w:highlight w:val="none"/>
        </w:rPr>
      </w:pPr>
      <w:r>
        <w:rPr>
          <w:rFonts w:hint="eastAsia"/>
          <w:i/>
          <w:iCs/>
          <w:color w:val="auto"/>
          <w:szCs w:val="21"/>
          <w:highlight w:val="none"/>
        </w:rPr>
        <w:t>（按照采购文件的资格要求提供相关材料）</w:t>
      </w:r>
    </w:p>
    <w:p w14:paraId="0EC5C690">
      <w:pPr>
        <w:keepNext w:val="0"/>
        <w:keepLines w:val="0"/>
        <w:pageBreakBefore w:val="0"/>
        <w:widowControl w:val="0"/>
        <w:kinsoku/>
        <w:wordWrap/>
        <w:overflowPunct/>
        <w:topLinePunct w:val="0"/>
        <w:autoSpaceDE/>
        <w:autoSpaceDN/>
        <w:bidi w:val="0"/>
        <w:jc w:val="center"/>
        <w:rPr>
          <w:rFonts w:hint="eastAsia"/>
          <w:b/>
          <w:bCs/>
          <w:color w:val="auto"/>
          <w:sz w:val="28"/>
          <w:highlight w:val="none"/>
        </w:rPr>
      </w:pPr>
      <w:r>
        <w:rPr>
          <w:rFonts w:hint="eastAsia"/>
          <w:b/>
          <w:bCs/>
          <w:color w:val="auto"/>
          <w:sz w:val="28"/>
          <w:highlight w:val="none"/>
        </w:rPr>
        <w:t>设备和专业技术能力情况表</w:t>
      </w:r>
    </w:p>
    <w:p w14:paraId="545F39AF">
      <w:pPr>
        <w:keepNext w:val="0"/>
        <w:keepLines w:val="0"/>
        <w:pageBreakBefore w:val="0"/>
        <w:widowControl w:val="0"/>
        <w:kinsoku/>
        <w:wordWrap/>
        <w:overflowPunct/>
        <w:topLinePunct w:val="0"/>
        <w:autoSpaceDE/>
        <w:autoSpaceDN/>
        <w:bidi w:val="0"/>
        <w:ind w:firstLine="480" w:firstLineChars="200"/>
        <w:rPr>
          <w:rFonts w:hint="eastAsia"/>
          <w:color w:val="auto"/>
          <w:sz w:val="24"/>
          <w:highlight w:val="none"/>
        </w:rPr>
      </w:pPr>
      <w:r>
        <w:rPr>
          <w:rFonts w:hint="eastAsia"/>
          <w:color w:val="auto"/>
          <w:sz w:val="24"/>
          <w:szCs w:val="32"/>
          <w:highlight w:val="none"/>
        </w:rPr>
        <w:t>我单位为本项目实施提供以下设备和专业技术人员：</w:t>
      </w:r>
    </w:p>
    <w:tbl>
      <w:tblPr>
        <w:tblStyle w:val="46"/>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Layout w:type="autofit"/>
        <w:tblCellMar>
          <w:top w:w="0" w:type="dxa"/>
          <w:left w:w="0" w:type="dxa"/>
          <w:bottom w:w="0" w:type="dxa"/>
          <w:right w:w="0" w:type="dxa"/>
        </w:tblCellMar>
      </w:tblPr>
      <w:tblGrid>
        <w:gridCol w:w="1197"/>
        <w:gridCol w:w="4833"/>
        <w:gridCol w:w="2415"/>
        <w:gridCol w:w="1209"/>
      </w:tblGrid>
      <w:tr w14:paraId="7312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20" w:type="pct"/>
            <w:shd w:val="clear" w:color="auto" w:fill="FFFFFF"/>
            <w:vAlign w:val="center"/>
          </w:tcPr>
          <w:p w14:paraId="6434D154">
            <w:pPr>
              <w:keepNext w:val="0"/>
              <w:keepLines w:val="0"/>
              <w:pageBreakBefore w:val="0"/>
              <w:widowControl w:val="0"/>
              <w:kinsoku/>
              <w:wordWrap/>
              <w:overflowPunct/>
              <w:topLinePunct w:val="0"/>
              <w:autoSpaceDE/>
              <w:autoSpaceDN/>
              <w:bidi w:val="0"/>
              <w:spacing w:line="240" w:lineRule="auto"/>
              <w:jc w:val="center"/>
              <w:rPr>
                <w:rFonts w:hint="eastAsia"/>
                <w:b/>
                <w:bCs/>
                <w:color w:val="auto"/>
                <w:highlight w:val="none"/>
              </w:rPr>
            </w:pPr>
            <w:r>
              <w:rPr>
                <w:rFonts w:hint="eastAsia"/>
                <w:b/>
                <w:bCs/>
                <w:color w:val="auto"/>
                <w:highlight w:val="none"/>
              </w:rPr>
              <w:t>序号</w:t>
            </w:r>
          </w:p>
        </w:tc>
        <w:tc>
          <w:tcPr>
            <w:tcW w:w="2503" w:type="pct"/>
            <w:shd w:val="clear" w:color="auto" w:fill="FFFFFF"/>
            <w:vAlign w:val="center"/>
          </w:tcPr>
          <w:p w14:paraId="594F6CCA">
            <w:pPr>
              <w:keepNext w:val="0"/>
              <w:keepLines w:val="0"/>
              <w:pageBreakBefore w:val="0"/>
              <w:widowControl w:val="0"/>
              <w:kinsoku/>
              <w:wordWrap/>
              <w:overflowPunct/>
              <w:topLinePunct w:val="0"/>
              <w:autoSpaceDE/>
              <w:autoSpaceDN/>
              <w:bidi w:val="0"/>
              <w:spacing w:line="240" w:lineRule="auto"/>
              <w:jc w:val="center"/>
              <w:rPr>
                <w:rFonts w:hint="eastAsia"/>
                <w:b/>
                <w:bCs/>
                <w:color w:val="auto"/>
                <w:highlight w:val="none"/>
              </w:rPr>
            </w:pPr>
            <w:r>
              <w:rPr>
                <w:rFonts w:hint="eastAsia"/>
                <w:b/>
                <w:bCs/>
                <w:color w:val="auto"/>
                <w:highlight w:val="none"/>
              </w:rPr>
              <w:t>设备名称和专业技术人员</w:t>
            </w:r>
          </w:p>
        </w:tc>
        <w:tc>
          <w:tcPr>
            <w:tcW w:w="1251" w:type="pct"/>
            <w:shd w:val="clear" w:color="auto" w:fill="FFFFFF"/>
            <w:vAlign w:val="center"/>
          </w:tcPr>
          <w:p w14:paraId="570D6317">
            <w:pPr>
              <w:keepNext w:val="0"/>
              <w:keepLines w:val="0"/>
              <w:pageBreakBefore w:val="0"/>
              <w:widowControl w:val="0"/>
              <w:kinsoku/>
              <w:wordWrap/>
              <w:overflowPunct/>
              <w:topLinePunct w:val="0"/>
              <w:autoSpaceDE/>
              <w:autoSpaceDN/>
              <w:bidi w:val="0"/>
              <w:spacing w:line="240" w:lineRule="auto"/>
              <w:jc w:val="center"/>
              <w:rPr>
                <w:rFonts w:hint="eastAsia"/>
                <w:b/>
                <w:bCs/>
                <w:color w:val="auto"/>
                <w:highlight w:val="none"/>
              </w:rPr>
            </w:pPr>
            <w:r>
              <w:rPr>
                <w:rFonts w:hint="eastAsia"/>
                <w:b/>
                <w:bCs/>
                <w:color w:val="auto"/>
                <w:highlight w:val="none"/>
              </w:rPr>
              <w:t>数量及单位</w:t>
            </w:r>
          </w:p>
        </w:tc>
        <w:tc>
          <w:tcPr>
            <w:tcW w:w="626" w:type="pct"/>
            <w:shd w:val="clear" w:color="auto" w:fill="FFFFFF"/>
            <w:vAlign w:val="center"/>
          </w:tcPr>
          <w:p w14:paraId="379F3DCD">
            <w:pPr>
              <w:keepNext w:val="0"/>
              <w:keepLines w:val="0"/>
              <w:pageBreakBefore w:val="0"/>
              <w:widowControl w:val="0"/>
              <w:kinsoku/>
              <w:wordWrap/>
              <w:overflowPunct/>
              <w:topLinePunct w:val="0"/>
              <w:autoSpaceDE/>
              <w:autoSpaceDN/>
              <w:bidi w:val="0"/>
              <w:spacing w:line="240" w:lineRule="auto"/>
              <w:jc w:val="center"/>
              <w:rPr>
                <w:rFonts w:hint="eastAsia"/>
                <w:b/>
                <w:bCs/>
                <w:color w:val="auto"/>
                <w:highlight w:val="none"/>
              </w:rPr>
            </w:pPr>
            <w:r>
              <w:rPr>
                <w:rFonts w:hint="eastAsia"/>
                <w:b/>
                <w:bCs/>
                <w:color w:val="auto"/>
                <w:highlight w:val="none"/>
              </w:rPr>
              <w:t>备注</w:t>
            </w:r>
          </w:p>
        </w:tc>
      </w:tr>
      <w:tr w14:paraId="2769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20" w:type="pct"/>
            <w:shd w:val="clear" w:color="auto" w:fill="FFFFFF"/>
            <w:vAlign w:val="center"/>
          </w:tcPr>
          <w:p w14:paraId="2EFC7101">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r>
              <w:rPr>
                <w:rFonts w:hint="eastAsia"/>
                <w:color w:val="auto"/>
                <w:highlight w:val="none"/>
              </w:rPr>
              <w:t>1</w:t>
            </w:r>
          </w:p>
        </w:tc>
        <w:tc>
          <w:tcPr>
            <w:tcW w:w="2503" w:type="pct"/>
            <w:shd w:val="clear" w:color="auto" w:fill="FFFFFF"/>
            <w:vAlign w:val="center"/>
          </w:tcPr>
          <w:p w14:paraId="25880D0E">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c>
          <w:tcPr>
            <w:tcW w:w="1251" w:type="pct"/>
            <w:shd w:val="clear" w:color="auto" w:fill="FFFFFF"/>
            <w:vAlign w:val="center"/>
          </w:tcPr>
          <w:p w14:paraId="6F6995D2">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c>
          <w:tcPr>
            <w:tcW w:w="626" w:type="pct"/>
            <w:shd w:val="clear" w:color="auto" w:fill="FFFFFF"/>
            <w:vAlign w:val="center"/>
          </w:tcPr>
          <w:p w14:paraId="40A57AEC">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r>
      <w:tr w14:paraId="4E7F6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20" w:type="pct"/>
            <w:shd w:val="clear" w:color="auto" w:fill="FFFFFF"/>
            <w:vAlign w:val="center"/>
          </w:tcPr>
          <w:p w14:paraId="14F83349">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r>
              <w:rPr>
                <w:rFonts w:hint="eastAsia"/>
                <w:color w:val="auto"/>
                <w:highlight w:val="none"/>
              </w:rPr>
              <w:t>2</w:t>
            </w:r>
          </w:p>
        </w:tc>
        <w:tc>
          <w:tcPr>
            <w:tcW w:w="2503" w:type="pct"/>
            <w:shd w:val="clear" w:color="auto" w:fill="FFFFFF"/>
            <w:vAlign w:val="center"/>
          </w:tcPr>
          <w:p w14:paraId="10D4423A">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c>
          <w:tcPr>
            <w:tcW w:w="1251" w:type="pct"/>
            <w:shd w:val="clear" w:color="auto" w:fill="FFFFFF"/>
            <w:vAlign w:val="center"/>
          </w:tcPr>
          <w:p w14:paraId="39FD6238">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c>
          <w:tcPr>
            <w:tcW w:w="626" w:type="pct"/>
            <w:shd w:val="clear" w:color="auto" w:fill="FFFFFF"/>
            <w:vAlign w:val="center"/>
          </w:tcPr>
          <w:p w14:paraId="48ADCC32">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r>
      <w:tr w14:paraId="5BE6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20" w:type="pct"/>
            <w:shd w:val="clear" w:color="auto" w:fill="FFFFFF"/>
            <w:vAlign w:val="center"/>
          </w:tcPr>
          <w:p w14:paraId="08FCCE46">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r>
              <w:rPr>
                <w:rFonts w:hint="eastAsia"/>
                <w:color w:val="auto"/>
                <w:highlight w:val="none"/>
              </w:rPr>
              <w:t>3</w:t>
            </w:r>
          </w:p>
        </w:tc>
        <w:tc>
          <w:tcPr>
            <w:tcW w:w="2503" w:type="pct"/>
            <w:shd w:val="clear" w:color="auto" w:fill="FFFFFF"/>
            <w:vAlign w:val="center"/>
          </w:tcPr>
          <w:p w14:paraId="65820C13">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c>
          <w:tcPr>
            <w:tcW w:w="1251" w:type="pct"/>
            <w:shd w:val="clear" w:color="auto" w:fill="FFFFFF"/>
            <w:vAlign w:val="center"/>
          </w:tcPr>
          <w:p w14:paraId="49161B08">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c>
          <w:tcPr>
            <w:tcW w:w="626" w:type="pct"/>
            <w:shd w:val="clear" w:color="auto" w:fill="FFFFFF"/>
            <w:vAlign w:val="center"/>
          </w:tcPr>
          <w:p w14:paraId="7017CB7C">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r>
      <w:tr w14:paraId="10FA8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20" w:type="pct"/>
            <w:shd w:val="clear" w:color="auto" w:fill="FFFFFF"/>
            <w:vAlign w:val="center"/>
          </w:tcPr>
          <w:p w14:paraId="2A9D56A4">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r>
              <w:rPr>
                <w:rFonts w:hint="eastAsia"/>
                <w:color w:val="auto"/>
                <w:highlight w:val="none"/>
              </w:rPr>
              <w:t>…</w:t>
            </w:r>
          </w:p>
        </w:tc>
        <w:tc>
          <w:tcPr>
            <w:tcW w:w="2503" w:type="pct"/>
            <w:shd w:val="clear" w:color="auto" w:fill="FFFFFF"/>
            <w:vAlign w:val="center"/>
          </w:tcPr>
          <w:p w14:paraId="7111A233">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c>
          <w:tcPr>
            <w:tcW w:w="1251" w:type="pct"/>
            <w:shd w:val="clear" w:color="auto" w:fill="FFFFFF"/>
            <w:vAlign w:val="center"/>
          </w:tcPr>
          <w:p w14:paraId="4C886973">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c>
          <w:tcPr>
            <w:tcW w:w="626" w:type="pct"/>
            <w:shd w:val="clear" w:color="auto" w:fill="FFFFFF"/>
            <w:vAlign w:val="center"/>
          </w:tcPr>
          <w:p w14:paraId="28424269">
            <w:pPr>
              <w:keepNext w:val="0"/>
              <w:keepLines w:val="0"/>
              <w:pageBreakBefore w:val="0"/>
              <w:widowControl w:val="0"/>
              <w:kinsoku/>
              <w:wordWrap/>
              <w:overflowPunct/>
              <w:topLinePunct w:val="0"/>
              <w:autoSpaceDE/>
              <w:autoSpaceDN/>
              <w:bidi w:val="0"/>
              <w:spacing w:line="240" w:lineRule="auto"/>
              <w:jc w:val="center"/>
              <w:rPr>
                <w:rFonts w:hint="eastAsia"/>
                <w:color w:val="auto"/>
                <w:highlight w:val="none"/>
              </w:rPr>
            </w:pPr>
          </w:p>
        </w:tc>
      </w:tr>
    </w:tbl>
    <w:p w14:paraId="75983D8E">
      <w:pPr>
        <w:keepNext w:val="0"/>
        <w:keepLines w:val="0"/>
        <w:pageBreakBefore w:val="0"/>
        <w:widowControl w:val="0"/>
        <w:kinsoku/>
        <w:wordWrap/>
        <w:overflowPunct/>
        <w:topLinePunct w:val="0"/>
        <w:autoSpaceDE/>
        <w:autoSpaceDN/>
        <w:bidi w:val="0"/>
        <w:rPr>
          <w:rFonts w:hint="eastAsia"/>
          <w:color w:val="auto"/>
          <w:sz w:val="28"/>
          <w:highlight w:val="none"/>
        </w:rPr>
      </w:pPr>
    </w:p>
    <w:p w14:paraId="2BF50F92">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736327F5">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3E00CCA1">
      <w:pPr>
        <w:keepNext w:val="0"/>
        <w:keepLines w:val="0"/>
        <w:pageBreakBefore w:val="0"/>
        <w:widowControl w:val="0"/>
        <w:kinsoku/>
        <w:wordWrap/>
        <w:overflowPunct/>
        <w:topLinePunct w:val="0"/>
        <w:autoSpaceDE/>
        <w:autoSpaceDN/>
        <w:bidi w:val="0"/>
        <w:jc w:val="right"/>
        <w:rPr>
          <w:rFonts w:hint="eastAsia"/>
          <w:color w:val="auto"/>
          <w:sz w:val="24"/>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highlight w:val="none"/>
        </w:rPr>
        <w:t>日</w:t>
      </w:r>
    </w:p>
    <w:p w14:paraId="41758068">
      <w:pPr>
        <w:pStyle w:val="19"/>
        <w:keepNext w:val="0"/>
        <w:keepLines w:val="0"/>
        <w:pageBreakBefore w:val="0"/>
        <w:widowControl w:val="0"/>
        <w:kinsoku/>
        <w:wordWrap/>
        <w:overflowPunct/>
        <w:topLinePunct w:val="0"/>
        <w:autoSpaceDE/>
        <w:autoSpaceDN/>
        <w:bidi w:val="0"/>
        <w:rPr>
          <w:rFonts w:hint="eastAsia"/>
          <w:color w:val="auto"/>
          <w:highlight w:val="none"/>
        </w:rPr>
      </w:pPr>
    </w:p>
    <w:p w14:paraId="4BE34605">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ind w:left="720" w:hanging="720"/>
        <w:rPr>
          <w:rFonts w:hint="eastAsia" w:ascii="宋体" w:hAnsi="宋体" w:eastAsia="宋体"/>
          <w:color w:val="auto"/>
          <w:sz w:val="24"/>
          <w:szCs w:val="24"/>
          <w:highlight w:val="none"/>
        </w:rPr>
      </w:pPr>
      <w:bookmarkStart w:id="323" w:name="_Toc19867"/>
      <w:r>
        <w:rPr>
          <w:rFonts w:hint="eastAsia" w:ascii="宋体" w:hAnsi="宋体" w:eastAsia="宋体"/>
          <w:color w:val="auto"/>
          <w:sz w:val="24"/>
          <w:szCs w:val="24"/>
          <w:highlight w:val="none"/>
        </w:rPr>
        <w:t>其他资格要求</w:t>
      </w:r>
      <w:bookmarkEnd w:id="323"/>
    </w:p>
    <w:p w14:paraId="6901FCF0">
      <w:pPr>
        <w:keepNext w:val="0"/>
        <w:keepLines w:val="0"/>
        <w:pageBreakBefore w:val="0"/>
        <w:widowControl w:val="0"/>
        <w:kinsoku/>
        <w:wordWrap/>
        <w:overflowPunct/>
        <w:topLinePunct w:val="0"/>
        <w:autoSpaceDE/>
        <w:autoSpaceDN/>
        <w:bidi w:val="0"/>
        <w:rPr>
          <w:rFonts w:hint="eastAsia"/>
          <w:i/>
          <w:iCs/>
          <w:color w:val="auto"/>
          <w:szCs w:val="21"/>
          <w:highlight w:val="none"/>
        </w:rPr>
      </w:pPr>
      <w:r>
        <w:rPr>
          <w:rFonts w:hint="eastAsia" w:ascii="宋体" w:hAnsi="宋体" w:eastAsia="宋体" w:cs="宋体"/>
          <w:i/>
          <w:iCs/>
          <w:color w:val="auto"/>
          <w:szCs w:val="21"/>
          <w:highlight w:val="none"/>
          <w:lang w:eastAsia="zh-CN"/>
        </w:rPr>
        <w:t>供应商须具有合法有效的</w:t>
      </w:r>
      <w:r>
        <w:rPr>
          <w:rFonts w:hint="eastAsia" w:ascii="宋体" w:hAnsi="宋体" w:eastAsia="宋体" w:cs="宋体"/>
          <w:b/>
          <w:bCs/>
          <w:i/>
          <w:iCs/>
          <w:color w:val="auto"/>
          <w:szCs w:val="21"/>
          <w:highlight w:val="none"/>
          <w:lang w:eastAsia="zh-CN"/>
        </w:rPr>
        <w:t>《食品经营许可证》。</w:t>
      </w:r>
      <w:r>
        <w:rPr>
          <w:rFonts w:hint="eastAsia" w:ascii="宋体" w:hAnsi="宋体" w:eastAsia="宋体" w:cs="宋体"/>
          <w:i/>
          <w:iCs/>
          <w:color w:val="auto"/>
          <w:szCs w:val="21"/>
          <w:highlight w:val="none"/>
          <w:lang w:eastAsia="zh-CN"/>
        </w:rPr>
        <w:t>（须提供证书复印件，加盖公章；如供应商的《食品经营许可证》与营业执照合并办理的，提供扫描营业执照二维码后的有效备案信息截图，加盖公章。）</w:t>
      </w:r>
    </w:p>
    <w:p w14:paraId="0DF140A8">
      <w:pPr>
        <w:pStyle w:val="19"/>
        <w:keepNext w:val="0"/>
        <w:keepLines w:val="0"/>
        <w:pageBreakBefore w:val="0"/>
        <w:widowControl w:val="0"/>
        <w:kinsoku/>
        <w:wordWrap/>
        <w:overflowPunct/>
        <w:topLinePunct w:val="0"/>
        <w:autoSpaceDE/>
        <w:autoSpaceDN/>
        <w:bidi w:val="0"/>
        <w:rPr>
          <w:rFonts w:hint="eastAsia"/>
          <w:color w:val="auto"/>
          <w:highlight w:val="none"/>
        </w:rPr>
      </w:pPr>
    </w:p>
    <w:bookmarkEnd w:id="307"/>
    <w:bookmarkEnd w:id="308"/>
    <w:bookmarkEnd w:id="309"/>
    <w:p w14:paraId="01907225">
      <w:pPr>
        <w:keepNext w:val="0"/>
        <w:keepLines w:val="0"/>
        <w:pageBreakBefore w:val="0"/>
        <w:widowControl w:val="0"/>
        <w:kinsoku/>
        <w:wordWrap/>
        <w:overflowPunct/>
        <w:topLinePunct w:val="0"/>
        <w:autoSpaceDE/>
        <w:autoSpaceDN/>
        <w:bidi w:val="0"/>
        <w:rPr>
          <w:rFonts w:hint="eastAsia"/>
          <w:b/>
          <w:bCs/>
          <w:color w:val="auto"/>
          <w:sz w:val="24"/>
          <w:highlight w:val="none"/>
        </w:rPr>
      </w:pPr>
      <w:bookmarkStart w:id="324" w:name="_Toc103033242"/>
      <w:bookmarkStart w:id="325" w:name="_Toc104040766"/>
      <w:bookmarkStart w:id="326" w:name="_Toc104040712"/>
      <w:r>
        <w:rPr>
          <w:color w:val="auto"/>
          <w:sz w:val="24"/>
          <w:highlight w:val="none"/>
        </w:rPr>
        <w:br w:type="page"/>
      </w:r>
    </w:p>
    <w:p w14:paraId="0F1C4F5A">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27" w:name="_Toc7987"/>
      <w:r>
        <w:rPr>
          <w:rFonts w:hint="eastAsia" w:ascii="宋体" w:hAnsi="宋体" w:eastAsia="宋体"/>
          <w:color w:val="auto"/>
          <w:sz w:val="24"/>
          <w:szCs w:val="24"/>
          <w:highlight w:val="none"/>
        </w:rPr>
        <w:t>中小企业声明函</w:t>
      </w:r>
      <w:bookmarkEnd w:id="324"/>
      <w:bookmarkEnd w:id="325"/>
      <w:bookmarkEnd w:id="326"/>
      <w:bookmarkEnd w:id="327"/>
    </w:p>
    <w:p w14:paraId="7155E281">
      <w:pPr>
        <w:pStyle w:val="356"/>
        <w:keepNext w:val="0"/>
        <w:keepLines w:val="0"/>
        <w:pageBreakBefore w:val="0"/>
        <w:widowControl w:val="0"/>
        <w:kinsoku/>
        <w:wordWrap/>
        <w:overflowPunct/>
        <w:topLinePunct w:val="0"/>
        <w:autoSpaceDE/>
        <w:autoSpaceDN/>
        <w:bidi w:val="0"/>
        <w:ind w:firstLine="0" w:firstLineChars="0"/>
        <w:rPr>
          <w:rFonts w:hint="eastAsia"/>
          <w:i/>
          <w:iCs/>
          <w:color w:val="auto"/>
          <w:sz w:val="21"/>
          <w:szCs w:val="21"/>
          <w:highlight w:val="none"/>
          <w:lang w:eastAsia="zh-CN"/>
        </w:rPr>
      </w:pPr>
      <w:r>
        <w:rPr>
          <w:rFonts w:hint="eastAsia"/>
          <w:i/>
          <w:iCs/>
          <w:color w:val="auto"/>
          <w:sz w:val="21"/>
          <w:szCs w:val="21"/>
          <w:highlight w:val="none"/>
          <w:lang w:eastAsia="zh-CN"/>
        </w:rPr>
        <w:t>（以下格式文件由供应商根据需要选用）</w:t>
      </w:r>
    </w:p>
    <w:p w14:paraId="0D569417">
      <w:pPr>
        <w:keepNext w:val="0"/>
        <w:keepLines w:val="0"/>
        <w:pageBreakBefore w:val="0"/>
        <w:widowControl w:val="0"/>
        <w:kinsoku/>
        <w:wordWrap/>
        <w:overflowPunct/>
        <w:topLinePunct w:val="0"/>
        <w:autoSpaceDE/>
        <w:autoSpaceDN/>
        <w:bidi w:val="0"/>
        <w:jc w:val="center"/>
        <w:rPr>
          <w:rFonts w:hint="eastAsia"/>
          <w:b/>
          <w:bCs/>
          <w:color w:val="auto"/>
          <w:sz w:val="28"/>
          <w:szCs w:val="28"/>
          <w:highlight w:val="none"/>
        </w:rPr>
      </w:pPr>
      <w:bookmarkStart w:id="328" w:name="_Hlk104054016"/>
      <w:r>
        <w:rPr>
          <w:rFonts w:hint="eastAsia"/>
          <w:b/>
          <w:bCs/>
          <w:color w:val="auto"/>
          <w:sz w:val="28"/>
          <w:szCs w:val="28"/>
          <w:highlight w:val="none"/>
        </w:rPr>
        <w:t>中小企业声明函（工程、服务）</w:t>
      </w:r>
    </w:p>
    <w:p w14:paraId="573208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olor w:val="auto"/>
          <w:sz w:val="24"/>
          <w:szCs w:val="24"/>
          <w:highlight w:val="none"/>
          <w:lang w:eastAsia="zh-CN"/>
        </w:rPr>
      </w:pPr>
      <w:r>
        <w:rPr>
          <w:rFonts w:hint="eastAsia"/>
          <w:color w:val="auto"/>
          <w:sz w:val="24"/>
          <w:szCs w:val="24"/>
          <w:highlight w:val="none"/>
        </w:rPr>
        <w:t>本公司（联合体）郑重声明，根据《政府采购促进中小企业发展管理办法》（财库﹝</w:t>
      </w:r>
      <w:r>
        <w:rPr>
          <w:color w:val="auto"/>
          <w:sz w:val="24"/>
          <w:szCs w:val="24"/>
          <w:highlight w:val="none"/>
        </w:rPr>
        <w:t>2020﹞46号）的规定，本公司</w:t>
      </w:r>
      <w:r>
        <w:rPr>
          <w:rFonts w:hint="eastAsia"/>
          <w:color w:val="auto"/>
          <w:sz w:val="24"/>
          <w:szCs w:val="24"/>
          <w:highlight w:val="none"/>
        </w:rPr>
        <w:t>（联合体）参加</w:t>
      </w:r>
      <w:r>
        <w:rPr>
          <w:rFonts w:hint="eastAsia"/>
          <w:color w:val="auto"/>
          <w:sz w:val="24"/>
          <w:szCs w:val="24"/>
          <w:highlight w:val="none"/>
          <w:lang w:val="en-US" w:eastAsia="zh-CN"/>
        </w:rPr>
        <w:t>[</w:t>
      </w:r>
      <w:r>
        <w:rPr>
          <w:rFonts w:hint="eastAsia"/>
          <w:color w:val="auto"/>
          <w:sz w:val="24"/>
          <w:szCs w:val="24"/>
          <w:highlight w:val="none"/>
          <w:u w:val="single"/>
          <w:lang w:val="en-US" w:eastAsia="zh-CN"/>
        </w:rPr>
        <w:t xml:space="preserve"> 中华人民共和国青茂出入境边防检查站 </w:t>
      </w:r>
      <w:r>
        <w:rPr>
          <w:rFonts w:hint="eastAsia"/>
          <w:color w:val="auto"/>
          <w:sz w:val="24"/>
          <w:szCs w:val="24"/>
          <w:highlight w:val="none"/>
          <w:u w:val="none"/>
          <w:lang w:val="en-US" w:eastAsia="zh-CN"/>
        </w:rPr>
        <w:t>]</w:t>
      </w:r>
      <w:r>
        <w:rPr>
          <w:rFonts w:hint="eastAsia"/>
          <w:color w:val="auto"/>
          <w:sz w:val="24"/>
          <w:szCs w:val="24"/>
          <w:highlight w:val="none"/>
        </w:rPr>
        <w:t>的</w:t>
      </w:r>
      <w:r>
        <w:rPr>
          <w:rFonts w:hint="eastAsia"/>
          <w:color w:val="auto"/>
          <w:sz w:val="24"/>
          <w:szCs w:val="24"/>
          <w:highlight w:val="none"/>
          <w:lang w:val="en-US" w:eastAsia="zh-CN"/>
        </w:rPr>
        <w:t>[</w:t>
      </w:r>
      <w:r>
        <w:rPr>
          <w:rFonts w:hint="eastAsia"/>
          <w:color w:val="auto"/>
          <w:sz w:val="24"/>
          <w:szCs w:val="24"/>
          <w:highlight w:val="none"/>
          <w:u w:val="single"/>
          <w:lang w:val="en-US" w:eastAsia="zh-CN"/>
        </w:rPr>
        <w:t xml:space="preserve"> </w:t>
      </w:r>
      <w:r>
        <w:rPr>
          <w:rFonts w:hint="eastAsia"/>
          <w:color w:val="auto"/>
          <w:sz w:val="24"/>
          <w:szCs w:val="24"/>
          <w:highlight w:val="none"/>
          <w:u w:val="single"/>
          <w:lang w:eastAsia="zh-CN"/>
        </w:rPr>
        <w:t>中华人民共和国青茂出入境边防检查站2026年度食堂食材配送服务采购项目</w:t>
      </w:r>
      <w:r>
        <w:rPr>
          <w:rFonts w:hint="eastAsia"/>
          <w:color w:val="auto"/>
          <w:sz w:val="24"/>
          <w:szCs w:val="24"/>
          <w:highlight w:val="none"/>
          <w:u w:val="single"/>
          <w:lang w:val="en-US" w:eastAsia="zh-CN"/>
        </w:rPr>
        <w:t xml:space="preserve"> </w:t>
      </w:r>
      <w:r>
        <w:rPr>
          <w:rFonts w:hint="eastAsia"/>
          <w:color w:val="auto"/>
          <w:sz w:val="24"/>
          <w:szCs w:val="24"/>
          <w:highlight w:val="none"/>
          <w:u w:val="none"/>
          <w:lang w:val="en-US" w:eastAsia="zh-CN"/>
        </w:rPr>
        <w:t>]</w:t>
      </w:r>
      <w:r>
        <w:rPr>
          <w:rFonts w:hint="eastAsia"/>
          <w:color w:val="auto"/>
          <w:sz w:val="24"/>
          <w:szCs w:val="24"/>
          <w:highlight w:val="none"/>
          <w:lang w:eastAsia="zh-CN"/>
        </w:rPr>
        <w:t>采购活动，工程的施工单位全部为符合政策要求的中小企业（或者：服务全部由符合政策要求的中小企业承接）。相关企业（含联合体中的中小企业、签订分包意向协议的中小企业）的具体情况如下</w:t>
      </w:r>
    </w:p>
    <w:p w14:paraId="3B69CF33">
      <w:pPr>
        <w:pStyle w:val="19"/>
        <w:keepNext w:val="0"/>
        <w:keepLines w:val="0"/>
        <w:pageBreakBefore w:val="0"/>
        <w:widowControl w:val="0"/>
        <w:kinsoku/>
        <w:wordWrap/>
        <w:overflowPunct/>
        <w:topLinePunct w:val="0"/>
        <w:autoSpaceDE/>
        <w:autoSpaceDN/>
        <w:bidi w:val="0"/>
        <w:adjustRightInd/>
        <w:snapToGrid/>
        <w:spacing w:line="360" w:lineRule="auto"/>
        <w:ind w:firstLine="468" w:firstLineChars="200"/>
        <w:textAlignment w:val="auto"/>
        <w:rPr>
          <w:rFonts w:hint="default"/>
          <w:color w:val="auto"/>
          <w:sz w:val="24"/>
          <w:szCs w:val="24"/>
          <w:highlight w:val="none"/>
          <w:lang w:val="en-US" w:eastAsia="zh-CN"/>
        </w:rPr>
      </w:pPr>
      <w:r>
        <w:rPr>
          <w:rFonts w:hint="eastAsia"/>
          <w:color w:val="auto"/>
          <w:spacing w:val="-3"/>
          <w:sz w:val="24"/>
          <w:szCs w:val="24"/>
          <w:highlight w:val="none"/>
          <w:lang w:eastAsia="zh-CN"/>
        </w:rPr>
        <w:t>1</w:t>
      </w:r>
      <w:r>
        <w:rPr>
          <w:rFonts w:hint="eastAsia"/>
          <w:color w:val="auto"/>
          <w:spacing w:val="-2"/>
          <w:sz w:val="24"/>
          <w:szCs w:val="24"/>
          <w:highlight w:val="none"/>
          <w:lang w:eastAsia="zh-CN"/>
        </w:rPr>
        <w:t>.</w:t>
      </w:r>
      <w:r>
        <w:rPr>
          <w:rFonts w:hint="eastAsia" w:ascii="宋体" w:hAnsi="宋体"/>
          <w:color w:val="auto"/>
          <w:spacing w:val="-2"/>
          <w:sz w:val="24"/>
          <w:szCs w:val="24"/>
          <w:highlight w:val="none"/>
          <w:lang w:val="en-US" w:eastAsia="zh-CN"/>
        </w:rPr>
        <w:t>[</w:t>
      </w:r>
      <w:r>
        <w:rPr>
          <w:rFonts w:hint="eastAsia"/>
          <w:color w:val="auto"/>
          <w:sz w:val="24"/>
          <w:szCs w:val="24"/>
          <w:highlight w:val="none"/>
          <w:u w:val="single"/>
          <w:lang w:val="en-US" w:eastAsia="zh-CN"/>
        </w:rPr>
        <w:t xml:space="preserve"> 2026年度食堂食材配送服务 </w:t>
      </w:r>
      <w:r>
        <w:rPr>
          <w:rFonts w:hint="eastAsia" w:ascii="宋体" w:hAnsi="宋体"/>
          <w:color w:val="auto"/>
          <w:sz w:val="24"/>
          <w:szCs w:val="24"/>
          <w:highlight w:val="none"/>
          <w:u w:val="none"/>
          <w:lang w:val="en-US" w:eastAsia="zh-CN"/>
        </w:rPr>
        <w:t>]</w:t>
      </w:r>
      <w:r>
        <w:rPr>
          <w:rFonts w:ascii="宋体" w:hAnsi="宋体"/>
          <w:color w:val="auto"/>
          <w:sz w:val="24"/>
          <w:szCs w:val="24"/>
          <w:highlight w:val="none"/>
        </w:rPr>
        <w:t>，属于</w:t>
      </w:r>
      <w:r>
        <w:rPr>
          <w:rFonts w:hint="eastAsia" w:ascii="宋体" w:hAnsi="宋体"/>
          <w:color w:val="auto"/>
          <w:sz w:val="24"/>
          <w:szCs w:val="24"/>
          <w:highlight w:val="none"/>
          <w:lang w:val="en-US" w:eastAsia="zh-CN"/>
        </w:rPr>
        <w:t>[</w:t>
      </w:r>
      <w:r>
        <w:rPr>
          <w:rFonts w:hint="eastAsia"/>
          <w:color w:val="auto"/>
          <w:sz w:val="24"/>
          <w:szCs w:val="24"/>
          <w:highlight w:val="none"/>
          <w:u w:val="single"/>
          <w:lang w:val="en-US" w:eastAsia="zh-CN"/>
        </w:rPr>
        <w:t xml:space="preserve"> 批发业 </w:t>
      </w:r>
      <w:r>
        <w:rPr>
          <w:rFonts w:hint="eastAsia" w:ascii="宋体" w:hAnsi="宋体"/>
          <w:color w:val="auto"/>
          <w:sz w:val="24"/>
          <w:szCs w:val="24"/>
          <w:highlight w:val="none"/>
          <w:u w:val="none"/>
          <w:lang w:val="en-US" w:eastAsia="zh-CN"/>
        </w:rPr>
        <w:t>]</w:t>
      </w:r>
      <w:r>
        <w:rPr>
          <w:rFonts w:hint="eastAsia"/>
          <w:color w:val="auto"/>
          <w:sz w:val="24"/>
          <w:szCs w:val="24"/>
          <w:highlight w:val="none"/>
          <w:lang w:eastAsia="zh-CN"/>
        </w:rPr>
        <w:t>行业；承建（承接）企业为</w:t>
      </w:r>
      <w:r>
        <w:rPr>
          <w:rFonts w:hint="eastAsia"/>
          <w:color w:val="auto"/>
          <w:sz w:val="24"/>
          <w:szCs w:val="24"/>
          <w:highlight w:val="none"/>
          <w:lang w:val="en-US" w:eastAsia="zh-CN"/>
        </w:rPr>
        <w:t>[</w:t>
      </w:r>
      <w:r>
        <w:rPr>
          <w:rFonts w:hint="eastAsia"/>
          <w:color w:val="auto"/>
          <w:sz w:val="24"/>
          <w:szCs w:val="24"/>
          <w:highlight w:val="none"/>
          <w:u w:val="single"/>
          <w:lang w:val="en-US" w:eastAsia="zh-CN"/>
        </w:rPr>
        <w:t xml:space="preserve">      </w:t>
      </w:r>
      <w:r>
        <w:rPr>
          <w:rFonts w:hint="eastAsia"/>
          <w:color w:val="auto"/>
          <w:sz w:val="24"/>
          <w:szCs w:val="24"/>
          <w:highlight w:val="none"/>
          <w:u w:val="single"/>
          <w:lang w:eastAsia="zh-CN"/>
        </w:rPr>
        <w:t>（企业名称）</w:t>
      </w:r>
      <w:r>
        <w:rPr>
          <w:rFonts w:hint="eastAsia"/>
          <w:color w:val="auto"/>
          <w:sz w:val="24"/>
          <w:szCs w:val="24"/>
          <w:highlight w:val="none"/>
          <w:u w:val="none"/>
          <w:lang w:val="en-US" w:eastAsia="zh-CN"/>
        </w:rPr>
        <w:t>]</w:t>
      </w:r>
      <w:r>
        <w:rPr>
          <w:rFonts w:hint="eastAsia"/>
          <w:color w:val="auto"/>
          <w:sz w:val="24"/>
          <w:szCs w:val="24"/>
          <w:highlight w:val="none"/>
          <w:lang w:eastAsia="zh-CN"/>
        </w:rPr>
        <w:t>，从业人员</w:t>
      </w:r>
      <w:r>
        <w:rPr>
          <w:rFonts w:hint="eastAsia"/>
          <w:color w:val="auto"/>
          <w:sz w:val="24"/>
          <w:szCs w:val="24"/>
          <w:highlight w:val="none"/>
          <w:lang w:val="en-US" w:eastAsia="zh-CN"/>
        </w:rPr>
        <w:t>[</w:t>
      </w:r>
      <w:r>
        <w:rPr>
          <w:rFonts w:hint="eastAsia"/>
          <w:color w:val="auto"/>
          <w:sz w:val="24"/>
          <w:szCs w:val="24"/>
          <w:highlight w:val="none"/>
          <w:u w:val="single"/>
          <w:lang w:val="en-US" w:eastAsia="zh-CN"/>
        </w:rPr>
        <w:t xml:space="preserve">      </w:t>
      </w:r>
      <w:r>
        <w:rPr>
          <w:rFonts w:hint="eastAsia"/>
          <w:color w:val="auto"/>
          <w:sz w:val="24"/>
          <w:szCs w:val="24"/>
          <w:highlight w:val="none"/>
          <w:u w:val="none"/>
          <w:lang w:val="en-US" w:eastAsia="zh-CN"/>
        </w:rPr>
        <w:t>]</w:t>
      </w:r>
      <w:r>
        <w:rPr>
          <w:rFonts w:hint="eastAsia"/>
          <w:color w:val="auto"/>
          <w:sz w:val="24"/>
          <w:szCs w:val="24"/>
          <w:highlight w:val="none"/>
          <w:lang w:eastAsia="zh-CN"/>
        </w:rPr>
        <w:t>人，营业收入为</w:t>
      </w:r>
      <w:r>
        <w:rPr>
          <w:rFonts w:hint="eastAsia"/>
          <w:color w:val="auto"/>
          <w:sz w:val="24"/>
          <w:szCs w:val="24"/>
          <w:highlight w:val="none"/>
          <w:lang w:val="en-US" w:eastAsia="zh-CN"/>
        </w:rPr>
        <w:t>[</w:t>
      </w:r>
      <w:r>
        <w:rPr>
          <w:rFonts w:hint="eastAsia"/>
          <w:color w:val="auto"/>
          <w:sz w:val="24"/>
          <w:szCs w:val="24"/>
          <w:highlight w:val="none"/>
          <w:u w:val="single"/>
          <w:lang w:val="en-US" w:eastAsia="zh-CN"/>
        </w:rPr>
        <w:t xml:space="preserve">      </w:t>
      </w:r>
      <w:r>
        <w:rPr>
          <w:rFonts w:hint="eastAsia"/>
          <w:color w:val="auto"/>
          <w:sz w:val="24"/>
          <w:szCs w:val="24"/>
          <w:highlight w:val="none"/>
          <w:u w:val="none"/>
          <w:lang w:val="en-US" w:eastAsia="zh-CN"/>
        </w:rPr>
        <w:t>]</w:t>
      </w:r>
      <w:r>
        <w:rPr>
          <w:rFonts w:hint="eastAsia"/>
          <w:color w:val="auto"/>
          <w:sz w:val="24"/>
          <w:szCs w:val="24"/>
          <w:highlight w:val="none"/>
          <w:lang w:eastAsia="zh-CN"/>
        </w:rPr>
        <w:t>万元，资产总额为</w:t>
      </w:r>
      <w:r>
        <w:rPr>
          <w:rFonts w:hint="eastAsia"/>
          <w:color w:val="auto"/>
          <w:sz w:val="24"/>
          <w:szCs w:val="24"/>
          <w:highlight w:val="none"/>
          <w:lang w:val="en-US" w:eastAsia="zh-CN"/>
        </w:rPr>
        <w:t>[</w:t>
      </w:r>
      <w:r>
        <w:rPr>
          <w:rFonts w:hint="eastAsia"/>
          <w:color w:val="auto"/>
          <w:sz w:val="24"/>
          <w:szCs w:val="24"/>
          <w:highlight w:val="none"/>
          <w:u w:val="single"/>
          <w:lang w:val="en-US" w:eastAsia="zh-CN"/>
        </w:rPr>
        <w:t xml:space="preserve">      </w:t>
      </w:r>
      <w:r>
        <w:rPr>
          <w:rFonts w:hint="eastAsia"/>
          <w:color w:val="auto"/>
          <w:sz w:val="24"/>
          <w:szCs w:val="24"/>
          <w:highlight w:val="none"/>
          <w:u w:val="none"/>
          <w:lang w:val="en-US" w:eastAsia="zh-CN"/>
        </w:rPr>
        <w:t>]</w:t>
      </w:r>
      <w:r>
        <w:rPr>
          <w:rFonts w:hint="eastAsia"/>
          <w:color w:val="auto"/>
          <w:sz w:val="24"/>
          <w:szCs w:val="24"/>
          <w:highlight w:val="none"/>
          <w:lang w:eastAsia="zh-CN"/>
        </w:rPr>
        <w:t>万元</w:t>
      </w:r>
      <w:r>
        <w:rPr>
          <w:rFonts w:hint="eastAsia"/>
          <w:color w:val="auto"/>
          <w:spacing w:val="-3"/>
          <w:position w:val="4"/>
          <w:sz w:val="24"/>
          <w:szCs w:val="24"/>
          <w:highlight w:val="none"/>
          <w:vertAlign w:val="superscript"/>
          <w:lang w:eastAsia="zh-CN"/>
        </w:rPr>
        <w:t>1</w:t>
      </w:r>
      <w:r>
        <w:rPr>
          <w:rFonts w:hint="eastAsia"/>
          <w:color w:val="auto"/>
          <w:sz w:val="24"/>
          <w:szCs w:val="24"/>
          <w:highlight w:val="none"/>
          <w:lang w:eastAsia="zh-CN"/>
        </w:rPr>
        <w:t>，属于</w:t>
      </w:r>
      <w:r>
        <w:rPr>
          <w:rFonts w:hint="eastAsia"/>
          <w:color w:val="auto"/>
          <w:sz w:val="24"/>
          <w:szCs w:val="24"/>
          <w:highlight w:val="none"/>
          <w:lang w:val="en-US" w:eastAsia="zh-CN"/>
        </w:rPr>
        <w:t>[</w:t>
      </w:r>
      <w:r>
        <w:rPr>
          <w:rFonts w:hint="eastAsia"/>
          <w:color w:val="auto"/>
          <w:sz w:val="24"/>
          <w:szCs w:val="24"/>
          <w:highlight w:val="none"/>
          <w:u w:val="single"/>
          <w:lang w:val="en-US" w:eastAsia="zh-CN"/>
        </w:rPr>
        <w:t xml:space="preserve">      </w:t>
      </w:r>
      <w:r>
        <w:rPr>
          <w:rFonts w:hint="eastAsia"/>
          <w:color w:val="auto"/>
          <w:w w:val="100"/>
          <w:sz w:val="24"/>
          <w:szCs w:val="24"/>
          <w:highlight w:val="none"/>
          <w:u w:val="single"/>
          <w:lang w:eastAsia="zh-CN"/>
        </w:rPr>
        <w:t>（中型企业、</w:t>
      </w:r>
      <w:r>
        <w:rPr>
          <w:rFonts w:hint="eastAsia"/>
          <w:color w:val="auto"/>
          <w:spacing w:val="-17"/>
          <w:w w:val="100"/>
          <w:sz w:val="24"/>
          <w:szCs w:val="24"/>
          <w:highlight w:val="none"/>
          <w:u w:val="single"/>
          <w:lang w:val="en-US" w:eastAsia="zh-CN"/>
        </w:rPr>
        <w:t>小型企业</w:t>
      </w:r>
      <w:r>
        <w:rPr>
          <w:rFonts w:hint="eastAsia"/>
          <w:color w:val="auto"/>
          <w:w w:val="100"/>
          <w:sz w:val="24"/>
          <w:szCs w:val="24"/>
          <w:highlight w:val="none"/>
          <w:u w:val="single"/>
          <w:lang w:eastAsia="zh-CN"/>
        </w:rPr>
        <w:t>、微型企业</w:t>
      </w:r>
      <w:r>
        <w:rPr>
          <w:rFonts w:hint="eastAsia"/>
          <w:color w:val="auto"/>
          <w:sz w:val="24"/>
          <w:szCs w:val="24"/>
          <w:highlight w:val="none"/>
          <w:u w:val="single"/>
          <w:lang w:eastAsia="zh-CN"/>
        </w:rPr>
        <w:t>）</w:t>
      </w:r>
      <w:r>
        <w:rPr>
          <w:rFonts w:hint="eastAsia"/>
          <w:color w:val="auto"/>
          <w:sz w:val="24"/>
          <w:szCs w:val="24"/>
          <w:highlight w:val="none"/>
          <w:u w:val="none"/>
          <w:lang w:val="en-US" w:eastAsia="zh-CN"/>
        </w:rPr>
        <w:t>]；</w:t>
      </w:r>
    </w:p>
    <w:p w14:paraId="3D0FA229">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firstLine="480"/>
        <w:textAlignment w:val="auto"/>
        <w:rPr>
          <w:rFonts w:hint="eastAsia"/>
          <w:color w:val="auto"/>
          <w:sz w:val="24"/>
          <w:szCs w:val="24"/>
          <w:highlight w:val="none"/>
        </w:rPr>
      </w:pPr>
      <w:r>
        <w:rPr>
          <w:rFonts w:hint="eastAsia"/>
          <w:color w:val="auto"/>
          <w:sz w:val="24"/>
          <w:szCs w:val="24"/>
          <w:highlight w:val="none"/>
        </w:rPr>
        <w:t>……</w:t>
      </w:r>
    </w:p>
    <w:p w14:paraId="1BCCE519">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firstLine="480"/>
        <w:textAlignment w:val="auto"/>
        <w:rPr>
          <w:rFonts w:hint="eastAsia"/>
          <w:color w:val="auto"/>
          <w:sz w:val="24"/>
          <w:szCs w:val="24"/>
          <w:highlight w:val="none"/>
        </w:rPr>
      </w:pPr>
      <w:r>
        <w:rPr>
          <w:rFonts w:hint="eastAsia"/>
          <w:color w:val="auto"/>
          <w:sz w:val="24"/>
          <w:szCs w:val="24"/>
          <w:highlight w:val="none"/>
        </w:rPr>
        <w:t>以上企业，不属于大企业的分支机构，不存在控股股东为大企业的情形，也不存在与大企业的负责人为同一人的情形。</w:t>
      </w:r>
    </w:p>
    <w:p w14:paraId="1E7DC0A2">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firstLine="480"/>
        <w:textAlignment w:val="auto"/>
        <w:rPr>
          <w:rFonts w:hint="eastAsia"/>
          <w:color w:val="auto"/>
          <w:sz w:val="24"/>
          <w:szCs w:val="24"/>
          <w:highlight w:val="none"/>
        </w:rPr>
      </w:pPr>
      <w:r>
        <w:rPr>
          <w:rFonts w:hint="eastAsia"/>
          <w:color w:val="auto"/>
          <w:sz w:val="24"/>
          <w:szCs w:val="24"/>
          <w:highlight w:val="none"/>
        </w:rPr>
        <w:t>本企业对上述声明内容的真实性负责。如有虚假，将依法承担相应责任。</w:t>
      </w:r>
    </w:p>
    <w:p w14:paraId="5953C471">
      <w:pPr>
        <w:pStyle w:val="45"/>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p>
    <w:p w14:paraId="7DA408BA">
      <w:pPr>
        <w:pStyle w:val="356"/>
        <w:keepNext w:val="0"/>
        <w:keepLines w:val="0"/>
        <w:pageBreakBefore w:val="0"/>
        <w:widowControl w:val="0"/>
        <w:kinsoku/>
        <w:wordWrap/>
        <w:overflowPunct/>
        <w:topLinePunct w:val="0"/>
        <w:autoSpaceDE/>
        <w:autoSpaceDN/>
        <w:bidi w:val="0"/>
        <w:ind w:left="141" w:leftChars="50" w:right="-35" w:hanging="36" w:hangingChars="15"/>
        <w:jc w:val="right"/>
        <w:rPr>
          <w:rFonts w:hint="eastAsia"/>
          <w:color w:val="auto"/>
          <w:highlight w:val="none"/>
          <w:u w:val="single"/>
          <w:lang w:eastAsia="zh-CN"/>
        </w:rPr>
      </w:pPr>
      <w:r>
        <w:rPr>
          <w:rFonts w:hint="eastAsia"/>
          <w:color w:val="auto"/>
          <w:highlight w:val="none"/>
          <w:lang w:eastAsia="zh-CN"/>
        </w:rPr>
        <w:t>企业名称（盖章）：</w:t>
      </w:r>
      <w:r>
        <w:rPr>
          <w:color w:val="auto"/>
          <w:highlight w:val="none"/>
          <w:u w:val="single"/>
          <w:lang w:eastAsia="zh-CN"/>
        </w:rPr>
        <w:t xml:space="preserve">                 .</w:t>
      </w:r>
    </w:p>
    <w:p w14:paraId="18EFB412">
      <w:pPr>
        <w:pStyle w:val="356"/>
        <w:keepNext w:val="0"/>
        <w:keepLines w:val="0"/>
        <w:pageBreakBefore w:val="0"/>
        <w:widowControl w:val="0"/>
        <w:kinsoku/>
        <w:wordWrap/>
        <w:overflowPunct/>
        <w:topLinePunct w:val="0"/>
        <w:autoSpaceDE/>
        <w:autoSpaceDN/>
        <w:bidi w:val="0"/>
        <w:ind w:left="5141" w:leftChars="2448"/>
        <w:jc w:val="right"/>
        <w:rPr>
          <w:rFonts w:hint="eastAsia"/>
          <w:color w:val="auto"/>
          <w:highlight w:val="none"/>
          <w:lang w:eastAsia="zh-CN"/>
        </w:rPr>
      </w:pPr>
      <w:r>
        <w:rPr>
          <w:rFonts w:hint="eastAsia"/>
          <w:color w:val="auto"/>
          <w:highlight w:val="none"/>
          <w:lang w:eastAsia="zh-CN"/>
        </w:rPr>
        <w:t>日期：</w:t>
      </w:r>
      <w:r>
        <w:rPr>
          <w:color w:val="auto"/>
          <w:highlight w:val="none"/>
          <w:u w:val="single"/>
          <w:lang w:eastAsia="zh-CN"/>
        </w:rPr>
        <w:t xml:space="preserve">    </w:t>
      </w:r>
      <w:r>
        <w:rPr>
          <w:color w:val="auto"/>
          <w:highlight w:val="none"/>
          <w:lang w:eastAsia="zh-CN"/>
        </w:rPr>
        <w:t>年</w:t>
      </w:r>
      <w:r>
        <w:rPr>
          <w:color w:val="auto"/>
          <w:highlight w:val="none"/>
          <w:u w:val="single"/>
          <w:lang w:eastAsia="zh-CN"/>
        </w:rPr>
        <w:t xml:space="preserve">    </w:t>
      </w:r>
      <w:r>
        <w:rPr>
          <w:color w:val="auto"/>
          <w:highlight w:val="none"/>
          <w:lang w:eastAsia="zh-CN"/>
        </w:rPr>
        <w:t>月</w:t>
      </w:r>
      <w:r>
        <w:rPr>
          <w:color w:val="auto"/>
          <w:highlight w:val="none"/>
          <w:u w:val="single"/>
          <w:lang w:eastAsia="zh-CN"/>
        </w:rPr>
        <w:t xml:space="preserve">    </w:t>
      </w:r>
      <w:r>
        <w:rPr>
          <w:color w:val="auto"/>
          <w:highlight w:val="none"/>
          <w:lang w:eastAsia="zh-CN"/>
        </w:rPr>
        <w:t>日</w:t>
      </w:r>
    </w:p>
    <w:bookmarkEnd w:id="328"/>
    <w:p w14:paraId="12EB993D">
      <w:pPr>
        <w:pStyle w:val="356"/>
        <w:keepNext w:val="0"/>
        <w:keepLines w:val="0"/>
        <w:pageBreakBefore w:val="0"/>
        <w:widowControl w:val="0"/>
        <w:kinsoku/>
        <w:wordWrap/>
        <w:overflowPunct/>
        <w:topLinePunct w:val="0"/>
        <w:autoSpaceDE/>
        <w:autoSpaceDN/>
        <w:bidi w:val="0"/>
        <w:spacing w:line="240" w:lineRule="auto"/>
        <w:ind w:firstLine="0" w:firstLineChars="0"/>
        <w:rPr>
          <w:rFonts w:hint="eastAsia"/>
          <w:b/>
          <w:bCs/>
          <w:color w:val="auto"/>
          <w:sz w:val="21"/>
          <w:szCs w:val="21"/>
          <w:highlight w:val="none"/>
          <w:lang w:eastAsia="zh-CN"/>
        </w:rPr>
      </w:pPr>
    </w:p>
    <w:p w14:paraId="7362867C">
      <w:pPr>
        <w:pStyle w:val="356"/>
        <w:keepNext w:val="0"/>
        <w:keepLines w:val="0"/>
        <w:pageBreakBefore w:val="0"/>
        <w:widowControl w:val="0"/>
        <w:kinsoku/>
        <w:wordWrap/>
        <w:overflowPunct/>
        <w:topLinePunct w:val="0"/>
        <w:autoSpaceDE/>
        <w:autoSpaceDN/>
        <w:bidi w:val="0"/>
        <w:spacing w:line="240" w:lineRule="auto"/>
        <w:ind w:firstLine="0" w:firstLineChars="0"/>
        <w:rPr>
          <w:rFonts w:hint="eastAsia"/>
          <w:b/>
          <w:bCs/>
          <w:color w:val="auto"/>
          <w:sz w:val="21"/>
          <w:szCs w:val="21"/>
          <w:highlight w:val="none"/>
          <w:lang w:eastAsia="zh-CN"/>
        </w:rPr>
      </w:pPr>
      <w:r>
        <w:rPr>
          <w:rFonts w:hint="eastAsia"/>
          <w:b/>
          <w:bCs/>
          <w:color w:val="auto"/>
          <w:sz w:val="21"/>
          <w:szCs w:val="21"/>
          <w:highlight w:val="none"/>
          <w:lang w:eastAsia="zh-CN"/>
        </w:rPr>
        <w:t>说明：</w:t>
      </w:r>
    </w:p>
    <w:p w14:paraId="25CE2E45">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bookmarkStart w:id="329" w:name="_Hlk103521840"/>
      <w:r>
        <w:rPr>
          <w:color w:val="auto"/>
          <w:szCs w:val="21"/>
          <w:highlight w:val="none"/>
        </w:rPr>
        <w:t>1.</w:t>
      </w:r>
      <w:r>
        <w:rPr>
          <w:color w:val="auto"/>
          <w:szCs w:val="21"/>
          <w:highlight w:val="none"/>
          <w:vertAlign w:val="superscript"/>
        </w:rPr>
        <w:t>1</w:t>
      </w:r>
      <w:r>
        <w:rPr>
          <w:color w:val="auto"/>
          <w:szCs w:val="21"/>
          <w:highlight w:val="none"/>
        </w:rPr>
        <w:t>从业人员、营业收入、资产总额填报上一年度数据，无上一年度数据的新成立企业可不填报。</w:t>
      </w:r>
    </w:p>
    <w:p w14:paraId="71D1E435">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2.针对属于专门面向中小企业采购的项目，供应商须提供本声明函。</w:t>
      </w:r>
    </w:p>
    <w:p w14:paraId="1C2CA89D">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3.针对不属于专门面向中小企业采购的项目，</w:t>
      </w:r>
      <w:r>
        <w:rPr>
          <w:rFonts w:hint="eastAsia"/>
          <w:color w:val="auto"/>
          <w:szCs w:val="21"/>
          <w:highlight w:val="none"/>
        </w:rPr>
        <w:t>承建本项目工程为中小企业或者承接本项目服务为中小企业时</w:t>
      </w:r>
      <w:r>
        <w:rPr>
          <w:color w:val="auto"/>
          <w:szCs w:val="21"/>
          <w:highlight w:val="none"/>
        </w:rPr>
        <w:t>，可选择提供本声明函，填写相应信息，并明确企业类型，否则评审时不能享受相应的价格扣除；如供应商认为其非中小企业的，则无须提供本声明函。</w:t>
      </w:r>
    </w:p>
    <w:p w14:paraId="784D3D1D">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4.供应商应当对其出具的《中小企业声明函》真实性负责，供应商出具的《中小企业声明函》内容不实的，属于虚假承诺，可能面临因提供虚假资料谋取中标（成交）被监管部门追究相关法律责任。请供应商务必依据规定谨慎提供声明，避免不必要的法律风险。</w:t>
      </w:r>
    </w:p>
    <w:p w14:paraId="462E7693">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5.</w:t>
      </w:r>
      <w:r>
        <w:rPr>
          <w:rFonts w:hint="eastAsia"/>
          <w:color w:val="auto"/>
          <w:szCs w:val="21"/>
          <w:highlight w:val="none"/>
        </w:rPr>
        <w:t>所属行业填写采购文件中明确的本项目所属行业</w:t>
      </w:r>
      <w:r>
        <w:rPr>
          <w:color w:val="auto"/>
          <w:szCs w:val="21"/>
          <w:highlight w:val="none"/>
        </w:rPr>
        <w:t>。</w:t>
      </w:r>
    </w:p>
    <w:p w14:paraId="7F87B4BF">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6.供应商根据采购文件中明确的行业所对应的划分标准，判断其是否属于中小企业，如属于中小企业，请根据自身情况</w:t>
      </w:r>
      <w:r>
        <w:rPr>
          <w:b/>
          <w:bCs/>
          <w:color w:val="auto"/>
          <w:szCs w:val="21"/>
          <w:highlight w:val="none"/>
        </w:rPr>
        <w:t>三选一（中型企业、小型企业、微型企业）填写</w:t>
      </w:r>
      <w:r>
        <w:rPr>
          <w:color w:val="auto"/>
          <w:szCs w:val="21"/>
          <w:highlight w:val="none"/>
        </w:rPr>
        <w:t xml:space="preserve">。 </w:t>
      </w:r>
    </w:p>
    <w:p w14:paraId="521D2758">
      <w:pPr>
        <w:pStyle w:val="45"/>
        <w:keepNext w:val="0"/>
        <w:keepLines w:val="0"/>
        <w:pageBreakBefore w:val="0"/>
        <w:widowControl w:val="0"/>
        <w:kinsoku/>
        <w:wordWrap/>
        <w:overflowPunct/>
        <w:topLinePunct w:val="0"/>
        <w:autoSpaceDE/>
        <w:autoSpaceDN/>
        <w:bidi w:val="0"/>
        <w:spacing w:after="0"/>
        <w:ind w:left="0" w:leftChars="0"/>
        <w:rPr>
          <w:rFonts w:hint="eastAsia"/>
          <w:color w:val="auto"/>
          <w:sz w:val="28"/>
          <w:highlight w:val="none"/>
        </w:rPr>
      </w:pPr>
      <w:r>
        <w:rPr>
          <w:color w:val="auto"/>
          <w:szCs w:val="21"/>
          <w:highlight w:val="none"/>
        </w:rPr>
        <w:t>7.为方便广大中小企业识别企业规模类型，可通过</w:t>
      </w:r>
      <w:r>
        <w:rPr>
          <w:b/>
          <w:bCs/>
          <w:color w:val="auto"/>
          <w:szCs w:val="21"/>
          <w:highlight w:val="none"/>
        </w:rPr>
        <w:t>中小企业规模类型自测小程序（https://baosong.miit.gov.cn/ScaleTest）进行查询</w:t>
      </w:r>
      <w:bookmarkEnd w:id="329"/>
      <w:r>
        <w:rPr>
          <w:color w:val="auto"/>
          <w:szCs w:val="21"/>
          <w:highlight w:val="none"/>
        </w:rPr>
        <w:t>。</w:t>
      </w:r>
    </w:p>
    <w:p w14:paraId="373CAC73">
      <w:pPr>
        <w:keepNext w:val="0"/>
        <w:keepLines w:val="0"/>
        <w:pageBreakBefore w:val="0"/>
        <w:widowControl w:val="0"/>
        <w:kinsoku/>
        <w:wordWrap/>
        <w:overflowPunct/>
        <w:topLinePunct w:val="0"/>
        <w:autoSpaceDE/>
        <w:autoSpaceDN/>
        <w:bidi w:val="0"/>
        <w:rPr>
          <w:rFonts w:hint="eastAsia"/>
          <w:b/>
          <w:bCs/>
          <w:color w:val="auto"/>
          <w:sz w:val="24"/>
          <w:highlight w:val="none"/>
        </w:rPr>
      </w:pPr>
      <w:bookmarkStart w:id="330" w:name="_Toc103033243"/>
      <w:r>
        <w:rPr>
          <w:color w:val="auto"/>
          <w:sz w:val="24"/>
          <w:highlight w:val="none"/>
        </w:rPr>
        <w:br w:type="page"/>
      </w:r>
    </w:p>
    <w:p w14:paraId="0BCA74CF">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31" w:name="_Toc104040713"/>
      <w:bookmarkStart w:id="332" w:name="_Toc104040767"/>
      <w:bookmarkStart w:id="333" w:name="_Toc9895"/>
      <w:r>
        <w:rPr>
          <w:rFonts w:hint="eastAsia" w:ascii="宋体" w:hAnsi="宋体" w:eastAsia="宋体"/>
          <w:color w:val="auto"/>
          <w:sz w:val="24"/>
          <w:szCs w:val="24"/>
          <w:highlight w:val="none"/>
        </w:rPr>
        <w:t>监狱企业</w:t>
      </w:r>
      <w:bookmarkEnd w:id="330"/>
      <w:bookmarkEnd w:id="331"/>
      <w:bookmarkEnd w:id="332"/>
      <w:bookmarkEnd w:id="333"/>
    </w:p>
    <w:p w14:paraId="70EFD388">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（以下格式文件由供应商根据需要选用）</w:t>
      </w:r>
    </w:p>
    <w:p w14:paraId="13324D41">
      <w:pPr>
        <w:pStyle w:val="19"/>
        <w:keepNext w:val="0"/>
        <w:keepLines w:val="0"/>
        <w:pageBreakBefore w:val="0"/>
        <w:widowControl w:val="0"/>
        <w:kinsoku/>
        <w:wordWrap/>
        <w:overflowPunct/>
        <w:topLinePunct w:val="0"/>
        <w:autoSpaceDE/>
        <w:autoSpaceDN/>
        <w:bidi w:val="0"/>
        <w:jc w:val="center"/>
        <w:rPr>
          <w:rFonts w:hint="eastAsia"/>
          <w:b/>
          <w:bCs/>
          <w:color w:val="auto"/>
          <w:sz w:val="28"/>
          <w:szCs w:val="36"/>
          <w:highlight w:val="none"/>
        </w:rPr>
      </w:pPr>
      <w:r>
        <w:rPr>
          <w:rFonts w:hint="eastAsia"/>
          <w:b/>
          <w:bCs/>
          <w:color w:val="auto"/>
          <w:sz w:val="28"/>
          <w:szCs w:val="36"/>
          <w:highlight w:val="none"/>
        </w:rPr>
        <w:t>监狱企业</w:t>
      </w:r>
    </w:p>
    <w:p w14:paraId="0B2100A5">
      <w:pPr>
        <w:pStyle w:val="19"/>
        <w:keepNext w:val="0"/>
        <w:keepLines w:val="0"/>
        <w:pageBreakBefore w:val="0"/>
        <w:widowControl w:val="0"/>
        <w:kinsoku/>
        <w:wordWrap/>
        <w:overflowPunct/>
        <w:topLinePunct w:val="0"/>
        <w:autoSpaceDE/>
        <w:autoSpaceDN/>
        <w:bidi w:val="0"/>
        <w:rPr>
          <w:rFonts w:hint="eastAsia"/>
          <w:color w:val="auto"/>
          <w:highlight w:val="none"/>
        </w:rPr>
      </w:pPr>
    </w:p>
    <w:p w14:paraId="583E9A2F">
      <w:pPr>
        <w:pStyle w:val="19"/>
        <w:keepNext w:val="0"/>
        <w:keepLines w:val="0"/>
        <w:pageBreakBefore w:val="0"/>
        <w:widowControl w:val="0"/>
        <w:kinsoku/>
        <w:wordWrap/>
        <w:overflowPunct/>
        <w:topLinePunct w:val="0"/>
        <w:autoSpaceDE/>
        <w:autoSpaceDN/>
        <w:bidi w:val="0"/>
        <w:rPr>
          <w:rFonts w:hint="eastAsia"/>
          <w:color w:val="auto"/>
          <w:sz w:val="24"/>
          <w:highlight w:val="none"/>
        </w:rPr>
      </w:pPr>
      <w:r>
        <w:rPr>
          <w:rFonts w:hint="eastAsia"/>
          <w:color w:val="auto"/>
          <w:szCs w:val="20"/>
          <w:highlight w:val="none"/>
        </w:rPr>
        <w:t>提供由监狱管理局、戒毒管理局（含新疆生产建设兵团）出具的属于监狱企业的证明文件。</w:t>
      </w:r>
    </w:p>
    <w:p w14:paraId="65F8E1D5">
      <w:pPr>
        <w:keepNext w:val="0"/>
        <w:keepLines w:val="0"/>
        <w:pageBreakBefore w:val="0"/>
        <w:widowControl w:val="0"/>
        <w:kinsoku/>
        <w:wordWrap/>
        <w:overflowPunct/>
        <w:topLinePunct w:val="0"/>
        <w:autoSpaceDE/>
        <w:autoSpaceDN/>
        <w:bidi w:val="0"/>
        <w:jc w:val="left"/>
        <w:rPr>
          <w:rFonts w:hint="eastAsia"/>
          <w:color w:val="auto"/>
          <w:sz w:val="28"/>
          <w:highlight w:val="none"/>
        </w:rPr>
      </w:pPr>
    </w:p>
    <w:p w14:paraId="02C7B847">
      <w:pPr>
        <w:pStyle w:val="19"/>
        <w:keepNext w:val="0"/>
        <w:keepLines w:val="0"/>
        <w:pageBreakBefore w:val="0"/>
        <w:widowControl w:val="0"/>
        <w:kinsoku/>
        <w:wordWrap/>
        <w:overflowPunct/>
        <w:topLinePunct w:val="0"/>
        <w:autoSpaceDE/>
        <w:autoSpaceDN/>
        <w:bidi w:val="0"/>
        <w:rPr>
          <w:rFonts w:ascii="Courier New" w:hAnsi="Courier New"/>
          <w:color w:val="auto"/>
          <w:szCs w:val="21"/>
          <w:highlight w:val="none"/>
          <w:lang w:eastAsia="zh-CN"/>
        </w:rPr>
      </w:pPr>
      <w:r>
        <w:rPr>
          <w:rFonts w:hint="eastAsia"/>
          <w:color w:val="auto"/>
          <w:szCs w:val="21"/>
          <w:highlight w:val="none"/>
          <w:lang w:eastAsia="zh-CN"/>
        </w:rPr>
        <w:t>说明：</w:t>
      </w:r>
    </w:p>
    <w:p w14:paraId="42F53A35">
      <w:pPr>
        <w:pStyle w:val="19"/>
        <w:keepNext w:val="0"/>
        <w:keepLines w:val="0"/>
        <w:pageBreakBefore w:val="0"/>
        <w:widowControl w:val="0"/>
        <w:kinsoku/>
        <w:wordWrap/>
        <w:overflowPunct/>
        <w:topLinePunct w:val="0"/>
        <w:autoSpaceDE/>
        <w:autoSpaceDN/>
        <w:bidi w:val="0"/>
        <w:rPr>
          <w:rFonts w:hint="eastAsia"/>
          <w:color w:val="auto"/>
          <w:szCs w:val="21"/>
          <w:highlight w:val="none"/>
          <w:lang w:eastAsia="zh-CN"/>
        </w:rPr>
      </w:pPr>
      <w:r>
        <w:rPr>
          <w:rFonts w:hint="eastAsia"/>
          <w:color w:val="auto"/>
          <w:szCs w:val="21"/>
          <w:highlight w:val="none"/>
          <w:lang w:eastAsia="zh-CN"/>
        </w:rPr>
        <w:t>1.监狱企业参加采购活动时，提供由监狱管理局、戒毒管理局（含新疆生产建设兵团）出具的属于监狱企业的证明文件；</w:t>
      </w:r>
    </w:p>
    <w:p w14:paraId="54C6E8DC">
      <w:pPr>
        <w:pStyle w:val="19"/>
        <w:keepNext w:val="0"/>
        <w:keepLines w:val="0"/>
        <w:pageBreakBefore w:val="0"/>
        <w:widowControl w:val="0"/>
        <w:kinsoku/>
        <w:wordWrap/>
        <w:overflowPunct/>
        <w:topLinePunct w:val="0"/>
        <w:autoSpaceDE/>
        <w:autoSpaceDN/>
        <w:bidi w:val="0"/>
        <w:rPr>
          <w:rFonts w:hint="eastAsia"/>
          <w:color w:val="auto"/>
          <w:szCs w:val="21"/>
          <w:highlight w:val="none"/>
          <w:lang w:eastAsia="zh-CN"/>
        </w:rPr>
      </w:pPr>
      <w:r>
        <w:rPr>
          <w:rFonts w:hint="eastAsia"/>
          <w:color w:val="auto"/>
          <w:szCs w:val="21"/>
          <w:highlight w:val="none"/>
          <w:lang w:eastAsia="zh-CN"/>
        </w:rPr>
        <w:t>2.</w:t>
      </w:r>
      <w:r>
        <w:rPr>
          <w:rFonts w:hint="eastAsia"/>
          <w:color w:val="auto"/>
          <w:szCs w:val="20"/>
          <w:highlight w:val="none"/>
          <w:lang w:eastAsia="zh-CN"/>
        </w:rPr>
        <w:t>如</w:t>
      </w:r>
      <w:r>
        <w:rPr>
          <w:rFonts w:hint="eastAsia"/>
          <w:color w:val="auto"/>
          <w:szCs w:val="20"/>
          <w:highlight w:val="none"/>
          <w:lang w:val="en-US" w:eastAsia="zh-CN"/>
        </w:rPr>
        <w:t>不涉及</w:t>
      </w:r>
      <w:r>
        <w:rPr>
          <w:rFonts w:hint="eastAsia"/>
          <w:color w:val="auto"/>
          <w:szCs w:val="20"/>
          <w:highlight w:val="none"/>
          <w:lang w:eastAsia="zh-CN"/>
        </w:rPr>
        <w:t>则无须提供</w:t>
      </w:r>
      <w:r>
        <w:rPr>
          <w:rFonts w:hint="eastAsia"/>
          <w:color w:val="auto"/>
          <w:szCs w:val="21"/>
          <w:highlight w:val="none"/>
          <w:lang w:eastAsia="zh-CN"/>
        </w:rPr>
        <w:t>。</w:t>
      </w:r>
    </w:p>
    <w:p w14:paraId="5764E47A">
      <w:pPr>
        <w:keepNext w:val="0"/>
        <w:keepLines w:val="0"/>
        <w:pageBreakBefore w:val="0"/>
        <w:widowControl w:val="0"/>
        <w:kinsoku/>
        <w:wordWrap/>
        <w:overflowPunct/>
        <w:topLinePunct w:val="0"/>
        <w:autoSpaceDE/>
        <w:autoSpaceDN/>
        <w:bidi w:val="0"/>
        <w:jc w:val="left"/>
        <w:rPr>
          <w:rFonts w:hint="eastAsia"/>
          <w:color w:val="auto"/>
          <w:sz w:val="28"/>
          <w:highlight w:val="none"/>
        </w:rPr>
      </w:pPr>
    </w:p>
    <w:p w14:paraId="50BE27C3">
      <w:pPr>
        <w:pStyle w:val="19"/>
        <w:keepNext w:val="0"/>
        <w:keepLines w:val="0"/>
        <w:pageBreakBefore w:val="0"/>
        <w:widowControl w:val="0"/>
        <w:kinsoku/>
        <w:wordWrap/>
        <w:overflowPunct/>
        <w:topLinePunct w:val="0"/>
        <w:autoSpaceDE/>
        <w:autoSpaceDN/>
        <w:bidi w:val="0"/>
        <w:rPr>
          <w:rFonts w:hint="eastAsia"/>
          <w:color w:val="auto"/>
          <w:highlight w:val="none"/>
        </w:rPr>
      </w:pPr>
    </w:p>
    <w:p w14:paraId="0EEE870C">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34" w:name="_Toc4296"/>
      <w:bookmarkStart w:id="335" w:name="_Toc104040768"/>
      <w:bookmarkStart w:id="336" w:name="_Toc104040714"/>
      <w:bookmarkStart w:id="337" w:name="_Toc103033244"/>
      <w:r>
        <w:rPr>
          <w:rFonts w:hint="eastAsia" w:ascii="宋体" w:hAnsi="宋体" w:eastAsia="宋体"/>
          <w:color w:val="auto"/>
          <w:sz w:val="24"/>
          <w:szCs w:val="24"/>
          <w:highlight w:val="none"/>
        </w:rPr>
        <w:t>残疾人福利性单位声明</w:t>
      </w:r>
      <w:bookmarkEnd w:id="334"/>
      <w:bookmarkEnd w:id="335"/>
      <w:bookmarkEnd w:id="336"/>
      <w:bookmarkEnd w:id="337"/>
    </w:p>
    <w:p w14:paraId="6FBF970C">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（以下格式文件由供应商根据需要选用）</w:t>
      </w:r>
    </w:p>
    <w:p w14:paraId="352E5AF2">
      <w:pPr>
        <w:pStyle w:val="19"/>
        <w:keepNext w:val="0"/>
        <w:keepLines w:val="0"/>
        <w:pageBreakBefore w:val="0"/>
        <w:widowControl w:val="0"/>
        <w:kinsoku/>
        <w:wordWrap/>
        <w:overflowPunct/>
        <w:topLinePunct w:val="0"/>
        <w:autoSpaceDE/>
        <w:autoSpaceDN/>
        <w:bidi w:val="0"/>
        <w:jc w:val="center"/>
        <w:rPr>
          <w:rFonts w:hint="eastAsia"/>
          <w:b/>
          <w:bCs/>
          <w:color w:val="auto"/>
          <w:sz w:val="28"/>
          <w:szCs w:val="36"/>
          <w:highlight w:val="none"/>
        </w:rPr>
      </w:pPr>
      <w:r>
        <w:rPr>
          <w:rFonts w:hint="eastAsia"/>
          <w:b/>
          <w:bCs/>
          <w:color w:val="auto"/>
          <w:sz w:val="28"/>
          <w:szCs w:val="36"/>
          <w:highlight w:val="none"/>
        </w:rPr>
        <w:t>残疾人福利性单位声明函</w:t>
      </w:r>
    </w:p>
    <w:p w14:paraId="4E63C650">
      <w:pPr>
        <w:keepNext w:val="0"/>
        <w:keepLines w:val="0"/>
        <w:pageBreakBefore w:val="0"/>
        <w:widowControl w:val="0"/>
        <w:kinsoku/>
        <w:wordWrap/>
        <w:overflowPunct/>
        <w:topLinePunct w:val="0"/>
        <w:autoSpaceDE/>
        <w:autoSpaceDN/>
        <w:bidi w:val="0"/>
        <w:ind w:firstLine="504" w:firstLineChars="200"/>
        <w:rPr>
          <w:rFonts w:hint="eastAsia"/>
          <w:color w:val="auto"/>
          <w:spacing w:val="6"/>
          <w:sz w:val="24"/>
          <w:highlight w:val="none"/>
        </w:rPr>
      </w:pPr>
      <w:r>
        <w:rPr>
          <w:rFonts w:hint="eastAsia"/>
          <w:color w:val="auto"/>
          <w:spacing w:val="6"/>
          <w:sz w:val="24"/>
          <w:highlight w:val="none"/>
        </w:rPr>
        <w:t>本单位郑重声明，根据《财政部 民政部 中国残疾人联合会关于促进残疾人就业政府采购政策的通知》（财库</w:t>
      </w:r>
      <w:r>
        <w:rPr>
          <w:rFonts w:hint="eastAsia"/>
          <w:color w:val="auto"/>
          <w:sz w:val="24"/>
          <w:highlight w:val="none"/>
        </w:rPr>
        <w:t>〔2017〕 141</w:t>
      </w:r>
      <w:r>
        <w:rPr>
          <w:rFonts w:hint="eastAsia"/>
          <w:color w:val="auto"/>
          <w:spacing w:val="6"/>
          <w:sz w:val="24"/>
          <w:highlight w:val="none"/>
        </w:rPr>
        <w:t>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4BBC114">
      <w:pPr>
        <w:keepNext w:val="0"/>
        <w:keepLines w:val="0"/>
        <w:pageBreakBefore w:val="0"/>
        <w:widowControl w:val="0"/>
        <w:kinsoku/>
        <w:wordWrap/>
        <w:overflowPunct/>
        <w:topLinePunct w:val="0"/>
        <w:autoSpaceDE/>
        <w:autoSpaceDN/>
        <w:bidi w:val="0"/>
        <w:ind w:firstLine="504" w:firstLineChars="200"/>
        <w:rPr>
          <w:rFonts w:hint="eastAsia"/>
          <w:color w:val="auto"/>
          <w:spacing w:val="6"/>
          <w:sz w:val="24"/>
          <w:highlight w:val="none"/>
        </w:rPr>
      </w:pPr>
      <w:r>
        <w:rPr>
          <w:rFonts w:hint="eastAsia"/>
          <w:color w:val="auto"/>
          <w:spacing w:val="6"/>
          <w:sz w:val="24"/>
          <w:highlight w:val="none"/>
        </w:rPr>
        <w:t>本单位对上述声明的真实性负责。如有虚假，将依法承担相应责任。</w:t>
      </w:r>
    </w:p>
    <w:p w14:paraId="00F298D3">
      <w:pPr>
        <w:keepNext w:val="0"/>
        <w:keepLines w:val="0"/>
        <w:pageBreakBefore w:val="0"/>
        <w:widowControl w:val="0"/>
        <w:kinsoku/>
        <w:wordWrap/>
        <w:overflowPunct/>
        <w:topLinePunct w:val="0"/>
        <w:autoSpaceDE/>
        <w:autoSpaceDN/>
        <w:bidi w:val="0"/>
        <w:spacing w:line="588" w:lineRule="exact"/>
        <w:ind w:firstLine="504" w:firstLineChars="200"/>
        <w:rPr>
          <w:rFonts w:hint="eastAsia"/>
          <w:color w:val="auto"/>
          <w:spacing w:val="6"/>
          <w:sz w:val="24"/>
          <w:highlight w:val="none"/>
        </w:rPr>
      </w:pPr>
    </w:p>
    <w:p w14:paraId="502E1878">
      <w:pPr>
        <w:keepNext w:val="0"/>
        <w:keepLines w:val="0"/>
        <w:pageBreakBefore w:val="0"/>
        <w:widowControl w:val="0"/>
        <w:kinsoku/>
        <w:wordWrap/>
        <w:overflowPunct/>
        <w:topLinePunct w:val="0"/>
        <w:autoSpaceDE/>
        <w:autoSpaceDN/>
        <w:bidi w:val="0"/>
        <w:adjustRightInd w:val="0"/>
        <w:snapToGrid w:val="0"/>
        <w:spacing w:line="480" w:lineRule="auto"/>
        <w:ind w:right="91"/>
        <w:jc w:val="right"/>
        <w:rPr>
          <w:rFonts w:hint="eastAsia"/>
          <w:color w:val="auto"/>
          <w:sz w:val="24"/>
          <w:highlight w:val="none"/>
          <w:u w:val="single"/>
        </w:rPr>
      </w:pPr>
      <w:r>
        <w:rPr>
          <w:rFonts w:hint="eastAsia"/>
          <w:color w:val="auto"/>
          <w:sz w:val="24"/>
          <w:highlight w:val="none"/>
        </w:rPr>
        <w:t>单位名称（盖章）：</w:t>
      </w:r>
      <w:r>
        <w:rPr>
          <w:rFonts w:hint="eastAsia"/>
          <w:color w:val="auto"/>
          <w:sz w:val="24"/>
          <w:highlight w:val="none"/>
          <w:u w:val="single"/>
        </w:rPr>
        <w:t xml:space="preserve"> </w:t>
      </w:r>
      <w:r>
        <w:rPr>
          <w:color w:val="auto"/>
          <w:sz w:val="24"/>
          <w:highlight w:val="none"/>
          <w:u w:val="single"/>
        </w:rPr>
        <w:t xml:space="preserve">                   .</w:t>
      </w:r>
    </w:p>
    <w:p w14:paraId="136D9A2C">
      <w:pPr>
        <w:keepNext w:val="0"/>
        <w:keepLines w:val="0"/>
        <w:pageBreakBefore w:val="0"/>
        <w:widowControl w:val="0"/>
        <w:kinsoku/>
        <w:wordWrap/>
        <w:overflowPunct/>
        <w:topLinePunct w:val="0"/>
        <w:autoSpaceDE/>
        <w:autoSpaceDN/>
        <w:bidi w:val="0"/>
        <w:adjustRightInd w:val="0"/>
        <w:snapToGrid w:val="0"/>
        <w:spacing w:line="480" w:lineRule="auto"/>
        <w:ind w:right="91"/>
        <w:jc w:val="right"/>
        <w:rPr>
          <w:rFonts w:hint="eastAsia"/>
          <w:color w:val="auto"/>
          <w:sz w:val="24"/>
          <w:highlight w:val="none"/>
        </w:rPr>
      </w:pPr>
      <w:r>
        <w:rPr>
          <w:rFonts w:hint="eastAsia"/>
          <w:color w:val="auto"/>
          <w:sz w:val="24"/>
          <w:highlight w:val="none"/>
        </w:rPr>
        <w:t>日期：</w:t>
      </w:r>
      <w:r>
        <w:rPr>
          <w:rFonts w:hint="eastAsia"/>
          <w:color w:val="auto"/>
          <w:sz w:val="24"/>
          <w:highlight w:val="none"/>
          <w:u w:val="single"/>
        </w:rPr>
        <w:t xml:space="preserve">      </w:t>
      </w:r>
      <w:r>
        <w:rPr>
          <w:rFonts w:hint="eastAsia"/>
          <w:color w:val="auto"/>
          <w:sz w:val="24"/>
          <w:highlight w:val="none"/>
        </w:rPr>
        <w:t>年</w:t>
      </w:r>
      <w:r>
        <w:rPr>
          <w:rFonts w:hint="eastAsia"/>
          <w:color w:val="auto"/>
          <w:sz w:val="24"/>
          <w:highlight w:val="none"/>
          <w:u w:val="single"/>
        </w:rPr>
        <w:t xml:space="preserve">     </w:t>
      </w:r>
      <w:r>
        <w:rPr>
          <w:rFonts w:hint="eastAsia"/>
          <w:color w:val="auto"/>
          <w:sz w:val="24"/>
          <w:highlight w:val="none"/>
        </w:rPr>
        <w:t>月</w:t>
      </w:r>
      <w:r>
        <w:rPr>
          <w:rFonts w:hint="eastAsia"/>
          <w:color w:val="auto"/>
          <w:sz w:val="24"/>
          <w:highlight w:val="none"/>
          <w:u w:val="single"/>
        </w:rPr>
        <w:t xml:space="preserve">    </w:t>
      </w:r>
      <w:r>
        <w:rPr>
          <w:rFonts w:hint="eastAsia"/>
          <w:color w:val="auto"/>
          <w:sz w:val="24"/>
          <w:highlight w:val="none"/>
        </w:rPr>
        <w:t>日</w:t>
      </w:r>
    </w:p>
    <w:p w14:paraId="63D6DD70">
      <w:pPr>
        <w:keepNext w:val="0"/>
        <w:keepLines w:val="0"/>
        <w:pageBreakBefore w:val="0"/>
        <w:widowControl w:val="0"/>
        <w:tabs>
          <w:tab w:val="left" w:pos="4860"/>
        </w:tabs>
        <w:kinsoku/>
        <w:wordWrap/>
        <w:overflowPunct/>
        <w:topLinePunct w:val="0"/>
        <w:autoSpaceDE/>
        <w:autoSpaceDN/>
        <w:bidi w:val="0"/>
        <w:spacing w:line="588" w:lineRule="exact"/>
        <w:ind w:right="1560" w:firstLine="444" w:firstLineChars="200"/>
        <w:jc w:val="center"/>
        <w:rPr>
          <w:rFonts w:hint="eastAsia"/>
          <w:color w:val="auto"/>
          <w:spacing w:val="6"/>
          <w:szCs w:val="21"/>
          <w:highlight w:val="none"/>
        </w:rPr>
      </w:pPr>
    </w:p>
    <w:p w14:paraId="56BC6B4A">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textAlignment w:val="auto"/>
        <w:rPr>
          <w:rFonts w:hint="eastAsia"/>
          <w:color w:val="auto"/>
          <w:szCs w:val="21"/>
          <w:highlight w:val="none"/>
          <w:lang w:eastAsia="zh-CN"/>
        </w:rPr>
      </w:pPr>
      <w:r>
        <w:rPr>
          <w:rFonts w:hint="eastAsia"/>
          <w:color w:val="auto"/>
          <w:szCs w:val="21"/>
          <w:highlight w:val="none"/>
          <w:lang w:eastAsia="zh-CN"/>
        </w:rPr>
        <w:t>说明：</w:t>
      </w:r>
    </w:p>
    <w:p w14:paraId="2CFC7C38">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textAlignment w:val="auto"/>
        <w:rPr>
          <w:rFonts w:hint="eastAsia"/>
          <w:color w:val="auto"/>
          <w:szCs w:val="20"/>
          <w:highlight w:val="none"/>
          <w:lang w:eastAsia="zh-CN"/>
        </w:rPr>
      </w:pPr>
      <w:r>
        <w:rPr>
          <w:color w:val="auto"/>
          <w:szCs w:val="20"/>
          <w:highlight w:val="none"/>
          <w:lang w:eastAsia="zh-CN"/>
        </w:rPr>
        <w:t>1.</w:t>
      </w:r>
      <w:r>
        <w:rPr>
          <w:rFonts w:hint="eastAsia"/>
          <w:color w:val="auto"/>
          <w:szCs w:val="20"/>
          <w:highlight w:val="none"/>
          <w:lang w:eastAsia="zh-CN"/>
        </w:rPr>
        <w:t>本函未填写或未勾选视作未做声明；</w:t>
      </w:r>
    </w:p>
    <w:p w14:paraId="7A09AFEC">
      <w:pPr>
        <w:pStyle w:val="19"/>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Cs w:val="21"/>
          <w:highlight w:val="none"/>
          <w:lang w:eastAsia="zh-CN"/>
        </w:rPr>
      </w:pPr>
      <w:r>
        <w:rPr>
          <w:rFonts w:hint="eastAsia"/>
          <w:color w:val="auto"/>
          <w:szCs w:val="20"/>
          <w:highlight w:val="none"/>
          <w:lang w:eastAsia="zh-CN"/>
        </w:rPr>
        <w:t>2</w:t>
      </w:r>
      <w:r>
        <w:rPr>
          <w:color w:val="auto"/>
          <w:szCs w:val="20"/>
          <w:highlight w:val="none"/>
          <w:lang w:eastAsia="zh-CN"/>
        </w:rPr>
        <w:t>.</w:t>
      </w:r>
      <w:r>
        <w:rPr>
          <w:rFonts w:hint="eastAsia"/>
          <w:color w:val="auto"/>
          <w:szCs w:val="20"/>
          <w:highlight w:val="none"/>
          <w:lang w:eastAsia="zh-CN"/>
        </w:rPr>
        <w:t>如</w:t>
      </w:r>
      <w:r>
        <w:rPr>
          <w:rFonts w:hint="eastAsia"/>
          <w:color w:val="auto"/>
          <w:szCs w:val="20"/>
          <w:highlight w:val="none"/>
          <w:lang w:val="en-US" w:eastAsia="zh-CN"/>
        </w:rPr>
        <w:t>不涉及</w:t>
      </w:r>
      <w:r>
        <w:rPr>
          <w:rFonts w:hint="eastAsia"/>
          <w:color w:val="auto"/>
          <w:szCs w:val="20"/>
          <w:highlight w:val="none"/>
          <w:lang w:eastAsia="zh-CN"/>
        </w:rPr>
        <w:t>则无须提供。</w:t>
      </w:r>
    </w:p>
    <w:p w14:paraId="62CCF4C1">
      <w:pPr>
        <w:keepNext w:val="0"/>
        <w:keepLines w:val="0"/>
        <w:pageBreakBefore w:val="0"/>
        <w:widowControl w:val="0"/>
        <w:kinsoku/>
        <w:wordWrap/>
        <w:overflowPunct/>
        <w:topLinePunct w:val="0"/>
        <w:autoSpaceDE/>
        <w:autoSpaceDN/>
        <w:bidi w:val="0"/>
        <w:rPr>
          <w:rFonts w:hint="eastAsia"/>
          <w:color w:val="auto"/>
          <w:highlight w:val="none"/>
        </w:rPr>
      </w:pPr>
      <w:r>
        <w:rPr>
          <w:color w:val="auto"/>
          <w:highlight w:val="none"/>
        </w:rPr>
        <w:br w:type="page"/>
      </w:r>
    </w:p>
    <w:p w14:paraId="6E43B1B6">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38" w:name="_Toc12635"/>
      <w:r>
        <w:rPr>
          <w:rFonts w:hint="eastAsia" w:ascii="宋体" w:hAnsi="宋体" w:eastAsia="宋体"/>
          <w:color w:val="auto"/>
          <w:sz w:val="24"/>
          <w:szCs w:val="24"/>
          <w:highlight w:val="none"/>
        </w:rPr>
        <w:t>需要采购人提供的附加条件</w:t>
      </w:r>
      <w:bookmarkEnd w:id="338"/>
    </w:p>
    <w:p w14:paraId="360594F8">
      <w:pPr>
        <w:pStyle w:val="45"/>
        <w:keepNext w:val="0"/>
        <w:keepLines w:val="0"/>
        <w:pageBreakBefore w:val="0"/>
        <w:widowControl w:val="0"/>
        <w:kinsoku/>
        <w:wordWrap/>
        <w:overflowPunct/>
        <w:topLinePunct w:val="0"/>
        <w:autoSpaceDE/>
        <w:autoSpaceDN/>
        <w:bidi w:val="0"/>
        <w:spacing w:line="360" w:lineRule="auto"/>
        <w:ind w:left="0" w:leftChars="0" w:firstLine="0" w:firstLineChars="0"/>
        <w:rPr>
          <w:rFonts w:hint="eastAsia"/>
          <w:i/>
          <w:iCs/>
          <w:color w:val="auto"/>
          <w:szCs w:val="21"/>
          <w:highlight w:val="none"/>
        </w:rPr>
      </w:pPr>
      <w:r>
        <w:rPr>
          <w:rFonts w:hint="eastAsia"/>
          <w:i/>
          <w:iCs/>
          <w:color w:val="auto"/>
          <w:szCs w:val="21"/>
          <w:highlight w:val="none"/>
        </w:rPr>
        <w:t>（以下格式文件由供应商根据需要选用）</w:t>
      </w:r>
    </w:p>
    <w:p w14:paraId="0F30BFB2">
      <w:pPr>
        <w:pStyle w:val="356"/>
        <w:keepNext w:val="0"/>
        <w:keepLines w:val="0"/>
        <w:pageBreakBefore w:val="0"/>
        <w:widowControl w:val="0"/>
        <w:kinsoku/>
        <w:wordWrap/>
        <w:overflowPunct/>
        <w:topLinePunct w:val="0"/>
        <w:autoSpaceDE/>
        <w:autoSpaceDN/>
        <w:bidi w:val="0"/>
        <w:ind w:firstLine="0" w:firstLineChars="0"/>
        <w:jc w:val="center"/>
        <w:rPr>
          <w:rFonts w:hint="eastAsia"/>
          <w:b/>
          <w:bCs/>
          <w:color w:val="auto"/>
          <w:sz w:val="28"/>
          <w:szCs w:val="28"/>
          <w:highlight w:val="none"/>
          <w:lang w:eastAsia="zh-CN"/>
        </w:rPr>
      </w:pPr>
      <w:r>
        <w:rPr>
          <w:rFonts w:hint="eastAsia"/>
          <w:b/>
          <w:bCs/>
          <w:color w:val="auto"/>
          <w:sz w:val="28"/>
          <w:szCs w:val="28"/>
          <w:highlight w:val="none"/>
          <w:lang w:eastAsia="zh-CN"/>
        </w:rPr>
        <w:t>需要采购人提供的附加条件</w:t>
      </w:r>
    </w:p>
    <w:tbl>
      <w:tblPr>
        <w:tblStyle w:val="46"/>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33"/>
        <w:gridCol w:w="8229"/>
      </w:tblGrid>
      <w:tr w14:paraId="5186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5C36BBB8">
            <w:pPr>
              <w:keepNext w:val="0"/>
              <w:keepLines w:val="0"/>
              <w:pageBreakBefore w:val="0"/>
              <w:widowControl w:val="0"/>
              <w:kinsoku/>
              <w:wordWrap/>
              <w:overflowPunct/>
              <w:topLinePunct w:val="0"/>
              <w:autoSpaceDE/>
              <w:autoSpaceDN/>
              <w:bidi w:val="0"/>
              <w:spacing w:line="240" w:lineRule="auto"/>
              <w:jc w:val="center"/>
              <w:rPr>
                <w:rFonts w:hint="eastAsia"/>
                <w:b/>
                <w:bCs/>
                <w:color w:val="auto"/>
                <w:szCs w:val="21"/>
                <w:highlight w:val="none"/>
              </w:rPr>
            </w:pPr>
            <w:r>
              <w:rPr>
                <w:rFonts w:hint="eastAsia"/>
                <w:b/>
                <w:bCs/>
                <w:color w:val="auto"/>
                <w:szCs w:val="21"/>
                <w:highlight w:val="none"/>
              </w:rPr>
              <w:t>序号</w:t>
            </w:r>
          </w:p>
        </w:tc>
        <w:tc>
          <w:tcPr>
            <w:tcW w:w="8229"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3ACC7A8E">
            <w:pPr>
              <w:keepNext w:val="0"/>
              <w:keepLines w:val="0"/>
              <w:pageBreakBefore w:val="0"/>
              <w:widowControl w:val="0"/>
              <w:kinsoku/>
              <w:wordWrap/>
              <w:overflowPunct/>
              <w:topLinePunct w:val="0"/>
              <w:autoSpaceDE/>
              <w:autoSpaceDN/>
              <w:bidi w:val="0"/>
              <w:spacing w:line="240" w:lineRule="auto"/>
              <w:jc w:val="center"/>
              <w:rPr>
                <w:rFonts w:hint="eastAsia"/>
                <w:b/>
                <w:bCs/>
                <w:color w:val="auto"/>
                <w:szCs w:val="21"/>
                <w:highlight w:val="none"/>
              </w:rPr>
            </w:pPr>
            <w:r>
              <w:rPr>
                <w:rFonts w:hint="eastAsia"/>
                <w:b/>
                <w:bCs/>
                <w:color w:val="auto"/>
                <w:szCs w:val="21"/>
                <w:highlight w:val="none"/>
              </w:rPr>
              <w:t>供应商需要采购人提供的附加条件</w:t>
            </w:r>
          </w:p>
        </w:tc>
      </w:tr>
      <w:tr w14:paraId="3A49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2BDC273B">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1</w:t>
            </w:r>
          </w:p>
        </w:tc>
        <w:tc>
          <w:tcPr>
            <w:tcW w:w="8229" w:type="dxa"/>
            <w:tcBorders>
              <w:top w:val="single" w:color="000000" w:sz="6" w:space="0"/>
              <w:left w:val="single" w:color="000000" w:sz="6" w:space="0"/>
              <w:bottom w:val="single" w:color="000000" w:sz="6" w:space="0"/>
              <w:right w:val="single" w:color="000000" w:sz="6" w:space="0"/>
            </w:tcBorders>
            <w:vAlign w:val="center"/>
          </w:tcPr>
          <w:p w14:paraId="37D9D18F">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p>
        </w:tc>
      </w:tr>
      <w:tr w14:paraId="68B9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24670779">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2</w:t>
            </w:r>
          </w:p>
        </w:tc>
        <w:tc>
          <w:tcPr>
            <w:tcW w:w="8229" w:type="dxa"/>
            <w:tcBorders>
              <w:top w:val="single" w:color="000000" w:sz="6" w:space="0"/>
              <w:left w:val="single" w:color="000000" w:sz="6" w:space="0"/>
              <w:bottom w:val="single" w:color="000000" w:sz="6" w:space="0"/>
              <w:right w:val="single" w:color="000000" w:sz="6" w:space="0"/>
            </w:tcBorders>
            <w:vAlign w:val="center"/>
          </w:tcPr>
          <w:p w14:paraId="1F966BF9">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p>
        </w:tc>
      </w:tr>
      <w:tr w14:paraId="1507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1C44EA31">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r>
              <w:rPr>
                <w:rFonts w:hint="eastAsia"/>
                <w:color w:val="auto"/>
                <w:szCs w:val="21"/>
                <w:highlight w:val="none"/>
              </w:rPr>
              <w:t>3</w:t>
            </w:r>
          </w:p>
        </w:tc>
        <w:tc>
          <w:tcPr>
            <w:tcW w:w="8229" w:type="dxa"/>
            <w:tcBorders>
              <w:top w:val="single" w:color="000000" w:sz="6" w:space="0"/>
              <w:left w:val="single" w:color="000000" w:sz="6" w:space="0"/>
              <w:bottom w:val="single" w:color="000000" w:sz="6" w:space="0"/>
              <w:right w:val="single" w:color="000000" w:sz="6" w:space="0"/>
            </w:tcBorders>
            <w:vAlign w:val="center"/>
          </w:tcPr>
          <w:p w14:paraId="1AD914FF">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p>
        </w:tc>
      </w:tr>
    </w:tbl>
    <w:p w14:paraId="525AFF5C">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注：供应商完成本项目需要采购人配合或提供的条件必须在上表列出，否则将视为供应商同意按现有条件完成本项目。如上表所列附加条件含有采购人不能接受的，将被视为响应无效。</w:t>
      </w:r>
    </w:p>
    <w:p w14:paraId="722F51B9">
      <w:pPr>
        <w:pStyle w:val="19"/>
        <w:keepNext w:val="0"/>
        <w:keepLines w:val="0"/>
        <w:pageBreakBefore w:val="0"/>
        <w:widowControl w:val="0"/>
        <w:kinsoku/>
        <w:wordWrap/>
        <w:overflowPunct/>
        <w:topLinePunct w:val="0"/>
        <w:autoSpaceDE/>
        <w:autoSpaceDN/>
        <w:bidi w:val="0"/>
        <w:rPr>
          <w:rFonts w:hint="eastAsia"/>
          <w:color w:val="auto"/>
          <w:highlight w:val="none"/>
        </w:rPr>
      </w:pPr>
    </w:p>
    <w:p w14:paraId="1C5F286F">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rFonts w:hint="eastAsia"/>
          <w:color w:val="auto"/>
          <w:highlight w:val="none"/>
          <w:u w:val="single"/>
          <w:lang w:eastAsia="zh-CN"/>
        </w:rPr>
        <w:t xml:space="preserve">                    .</w:t>
      </w:r>
    </w:p>
    <w:p w14:paraId="099EF87A">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rFonts w:hint="eastAsia"/>
          <w:color w:val="auto"/>
          <w:highlight w:val="none"/>
          <w:u w:val="single"/>
          <w:lang w:eastAsia="zh-CN"/>
        </w:rPr>
        <w:t xml:space="preserve">                    .</w:t>
      </w:r>
    </w:p>
    <w:p w14:paraId="32AF251B">
      <w:pPr>
        <w:pStyle w:val="356"/>
        <w:keepNext w:val="0"/>
        <w:keepLines w:val="0"/>
        <w:pageBreakBefore w:val="0"/>
        <w:widowControl w:val="0"/>
        <w:kinsoku/>
        <w:wordWrap/>
        <w:overflowPunct/>
        <w:topLinePunct w:val="0"/>
        <w:autoSpaceDE/>
        <w:autoSpaceDN/>
        <w:bidi w:val="0"/>
        <w:spacing w:line="480" w:lineRule="auto"/>
        <w:ind w:firstLine="4960" w:firstLineChars="2067"/>
        <w:jc w:val="right"/>
        <w:rPr>
          <w:rFonts w:hint="eastAsia"/>
          <w:color w:val="auto"/>
          <w:highlight w:val="none"/>
        </w:rPr>
      </w:pPr>
      <w:r>
        <w:rPr>
          <w:rFonts w:hint="eastAsia"/>
          <w:color w:val="auto"/>
          <w:highlight w:val="none"/>
        </w:rPr>
        <w:t>日期：</w:t>
      </w:r>
      <w:r>
        <w:rPr>
          <w:rFonts w:hint="eastAsia"/>
          <w:color w:val="auto"/>
          <w:highlight w:val="none"/>
          <w:u w:val="single"/>
        </w:rPr>
        <w:t xml:space="preserve">     </w:t>
      </w:r>
      <w:r>
        <w:rPr>
          <w:rFonts w:hint="eastAsia"/>
          <w:color w:val="auto"/>
          <w:highlight w:val="none"/>
        </w:rPr>
        <w:t>年</w:t>
      </w:r>
      <w:r>
        <w:rPr>
          <w:rFonts w:hint="eastAsia"/>
          <w:color w:val="auto"/>
          <w:highlight w:val="none"/>
          <w:u w:val="single"/>
        </w:rPr>
        <w:t xml:space="preserve">     </w:t>
      </w:r>
      <w:r>
        <w:rPr>
          <w:rFonts w:hint="eastAsia"/>
          <w:color w:val="auto"/>
          <w:highlight w:val="none"/>
        </w:rPr>
        <w:t>月</w:t>
      </w:r>
      <w:r>
        <w:rPr>
          <w:rFonts w:hint="eastAsia"/>
          <w:color w:val="auto"/>
          <w:highlight w:val="none"/>
          <w:u w:val="single"/>
        </w:rPr>
        <w:t xml:space="preserve">     </w:t>
      </w:r>
      <w:r>
        <w:rPr>
          <w:rFonts w:hint="eastAsia"/>
          <w:color w:val="auto"/>
          <w:highlight w:val="none"/>
        </w:rPr>
        <w:t>日</w:t>
      </w:r>
    </w:p>
    <w:p w14:paraId="08033AE0">
      <w:pPr>
        <w:pStyle w:val="45"/>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p>
    <w:p w14:paraId="7EF65DAA">
      <w:pPr>
        <w:keepNext w:val="0"/>
        <w:keepLines w:val="0"/>
        <w:pageBreakBefore w:val="0"/>
        <w:widowControl w:val="0"/>
        <w:kinsoku/>
        <w:wordWrap/>
        <w:overflowPunct/>
        <w:topLinePunct w:val="0"/>
        <w:autoSpaceDE/>
        <w:autoSpaceDN/>
        <w:bidi w:val="0"/>
        <w:rPr>
          <w:rFonts w:hint="eastAsia"/>
          <w:color w:val="auto"/>
          <w:szCs w:val="21"/>
          <w:highlight w:val="none"/>
        </w:rPr>
      </w:pPr>
      <w:r>
        <w:rPr>
          <w:color w:val="auto"/>
          <w:szCs w:val="21"/>
          <w:highlight w:val="none"/>
        </w:rPr>
        <w:br w:type="page"/>
      </w:r>
    </w:p>
    <w:p w14:paraId="732E6A8D">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ind w:left="720" w:hanging="720"/>
        <w:rPr>
          <w:rFonts w:hint="eastAsia" w:ascii="宋体" w:hAnsi="宋体" w:eastAsia="宋体"/>
          <w:color w:val="auto"/>
          <w:sz w:val="24"/>
          <w:szCs w:val="24"/>
          <w:highlight w:val="none"/>
        </w:rPr>
      </w:pPr>
      <w:bookmarkStart w:id="339" w:name="_Toc20842"/>
      <w:bookmarkStart w:id="340" w:name="_Toc131271299"/>
      <w:bookmarkStart w:id="341" w:name="_Toc114053447"/>
      <w:bookmarkStart w:id="342" w:name="_Hlk143462245"/>
      <w:r>
        <w:rPr>
          <w:rFonts w:hint="eastAsia" w:ascii="宋体" w:hAnsi="宋体" w:eastAsia="宋体"/>
          <w:color w:val="auto"/>
          <w:sz w:val="24"/>
          <w:szCs w:val="24"/>
          <w:highlight w:val="none"/>
        </w:rPr>
        <w:t>实质性</w:t>
      </w:r>
      <w:r>
        <w:rPr>
          <w:rFonts w:ascii="宋体" w:hAnsi="宋体" w:eastAsia="宋体"/>
          <w:color w:val="auto"/>
          <w:sz w:val="24"/>
          <w:szCs w:val="24"/>
          <w:highlight w:val="none"/>
        </w:rPr>
        <w:t>条款响应表</w:t>
      </w:r>
      <w:bookmarkEnd w:id="339"/>
      <w:bookmarkEnd w:id="340"/>
      <w:bookmarkEnd w:id="341"/>
    </w:p>
    <w:p w14:paraId="56BAA047">
      <w:pPr>
        <w:keepNext w:val="0"/>
        <w:keepLines w:val="0"/>
        <w:pageBreakBefore w:val="0"/>
        <w:widowControl w:val="0"/>
        <w:kinsoku/>
        <w:wordWrap/>
        <w:overflowPunct/>
        <w:topLinePunct w:val="0"/>
        <w:autoSpaceDE/>
        <w:autoSpaceDN/>
        <w:bidi w:val="0"/>
        <w:rPr>
          <w:rFonts w:hint="eastAsia"/>
          <w:color w:val="auto"/>
          <w:highlight w:val="none"/>
        </w:rPr>
      </w:pPr>
      <w:r>
        <w:rPr>
          <w:rFonts w:hint="eastAsia" w:cs="宋体"/>
          <w:i/>
          <w:iCs/>
          <w:color w:val="auto"/>
          <w:szCs w:val="21"/>
          <w:highlight w:val="none"/>
        </w:rPr>
        <w:t>（以下格式文件由供应商根据需要选用）</w:t>
      </w:r>
    </w:p>
    <w:p w14:paraId="50A3A3C7">
      <w:pPr>
        <w:keepNext w:val="0"/>
        <w:keepLines w:val="0"/>
        <w:pageBreakBefore w:val="0"/>
        <w:widowControl w:val="0"/>
        <w:kinsoku/>
        <w:wordWrap/>
        <w:overflowPunct/>
        <w:topLinePunct w:val="0"/>
        <w:autoSpaceDE/>
        <w:autoSpaceDN/>
        <w:bidi w:val="0"/>
        <w:jc w:val="center"/>
        <w:rPr>
          <w:rFonts w:hint="eastAsia" w:cs="宋体"/>
          <w:b/>
          <w:bCs/>
          <w:color w:val="auto"/>
          <w:sz w:val="28"/>
          <w:szCs w:val="28"/>
          <w:highlight w:val="none"/>
        </w:rPr>
      </w:pPr>
      <w:r>
        <w:rPr>
          <w:rFonts w:hint="eastAsia" w:cs="宋体"/>
          <w:b/>
          <w:bCs/>
          <w:color w:val="auto"/>
          <w:sz w:val="28"/>
          <w:szCs w:val="28"/>
          <w:highlight w:val="none"/>
        </w:rPr>
        <w:t>实质性</w:t>
      </w:r>
      <w:r>
        <w:rPr>
          <w:rFonts w:cs="宋体"/>
          <w:b/>
          <w:bCs/>
          <w:color w:val="auto"/>
          <w:sz w:val="28"/>
          <w:szCs w:val="28"/>
          <w:highlight w:val="none"/>
        </w:rPr>
        <w:t>条款响应表</w:t>
      </w:r>
    </w:p>
    <w:p w14:paraId="30CED6EC">
      <w:pPr>
        <w:keepNext w:val="0"/>
        <w:keepLines w:val="0"/>
        <w:pageBreakBefore w:val="0"/>
        <w:widowControl w:val="0"/>
        <w:kinsoku/>
        <w:wordWrap/>
        <w:overflowPunct/>
        <w:topLinePunct w:val="0"/>
        <w:autoSpaceDE/>
        <w:autoSpaceDN/>
        <w:bidi w:val="0"/>
        <w:rPr>
          <w:rFonts w:hint="eastAsia"/>
          <w:bCs/>
          <w:color w:val="auto"/>
          <w:sz w:val="24"/>
          <w:highlight w:val="none"/>
        </w:rPr>
      </w:pPr>
      <w:r>
        <w:rPr>
          <w:bCs/>
          <w:color w:val="auto"/>
          <w:sz w:val="24"/>
          <w:highlight w:val="none"/>
        </w:rPr>
        <w:t>项目名称：_________________</w:t>
      </w:r>
    </w:p>
    <w:p w14:paraId="0A17D61B">
      <w:pPr>
        <w:keepNext w:val="0"/>
        <w:keepLines w:val="0"/>
        <w:pageBreakBefore w:val="0"/>
        <w:widowControl w:val="0"/>
        <w:kinsoku/>
        <w:wordWrap/>
        <w:overflowPunct/>
        <w:topLinePunct w:val="0"/>
        <w:autoSpaceDE/>
        <w:autoSpaceDN/>
        <w:bidi w:val="0"/>
        <w:rPr>
          <w:rFonts w:hint="eastAsia"/>
          <w:color w:val="auto"/>
          <w:sz w:val="24"/>
          <w:highlight w:val="none"/>
        </w:rPr>
      </w:pPr>
      <w:r>
        <w:rPr>
          <w:rFonts w:hint="eastAsia"/>
          <w:bCs/>
          <w:color w:val="auto"/>
          <w:sz w:val="24"/>
          <w:highlight w:val="none"/>
        </w:rPr>
        <w:t>项目编号</w:t>
      </w:r>
      <w:r>
        <w:rPr>
          <w:bCs/>
          <w:color w:val="auto"/>
          <w:sz w:val="24"/>
          <w:highlight w:val="none"/>
        </w:rPr>
        <w:t>：_________________</w:t>
      </w:r>
    </w:p>
    <w:tbl>
      <w:tblPr>
        <w:tblStyle w:val="4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5"/>
        <w:gridCol w:w="4586"/>
        <w:gridCol w:w="1740"/>
        <w:gridCol w:w="1638"/>
        <w:gridCol w:w="885"/>
      </w:tblGrid>
      <w:tr w14:paraId="6B053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10" w:type="pct"/>
            <w:vAlign w:val="center"/>
          </w:tcPr>
          <w:p w14:paraId="4F7D9064">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eastAsia="宋体"/>
                <w:b/>
                <w:color w:val="auto"/>
                <w:sz w:val="21"/>
                <w:szCs w:val="21"/>
                <w:highlight w:val="none"/>
              </w:rPr>
              <w:t>序号</w:t>
            </w:r>
          </w:p>
        </w:tc>
        <w:tc>
          <w:tcPr>
            <w:tcW w:w="2327" w:type="pct"/>
            <w:vAlign w:val="center"/>
          </w:tcPr>
          <w:p w14:paraId="1F192A37">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采购文件规定的要求</w:t>
            </w:r>
          </w:p>
        </w:tc>
        <w:tc>
          <w:tcPr>
            <w:tcW w:w="883" w:type="pct"/>
            <w:vAlign w:val="center"/>
          </w:tcPr>
          <w:p w14:paraId="23754A50">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供应商响应情况</w:t>
            </w:r>
          </w:p>
        </w:tc>
        <w:tc>
          <w:tcPr>
            <w:tcW w:w="831" w:type="pct"/>
            <w:vAlign w:val="center"/>
          </w:tcPr>
          <w:p w14:paraId="65B099BB">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eastAsia="宋体"/>
                <w:b/>
                <w:color w:val="auto"/>
                <w:sz w:val="21"/>
                <w:szCs w:val="21"/>
                <w:highlight w:val="none"/>
              </w:rPr>
              <w:t>偏离情况</w:t>
            </w:r>
          </w:p>
        </w:tc>
        <w:tc>
          <w:tcPr>
            <w:tcW w:w="449" w:type="pct"/>
            <w:vAlign w:val="center"/>
          </w:tcPr>
          <w:p w14:paraId="43067D64">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备注</w:t>
            </w:r>
          </w:p>
        </w:tc>
      </w:tr>
      <w:tr w14:paraId="288E6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10" w:type="pct"/>
            <w:vAlign w:val="center"/>
          </w:tcPr>
          <w:p w14:paraId="4177FBC3">
            <w:pPr>
              <w:pStyle w:val="127"/>
              <w:keepNext w:val="0"/>
              <w:keepLines w:val="0"/>
              <w:pageBreakBefore w:val="0"/>
              <w:widowControl w:val="0"/>
              <w:numPr>
                <w:ilvl w:val="0"/>
                <w:numId w:val="23"/>
              </w:numPr>
              <w:kinsoku/>
              <w:wordWrap/>
              <w:overflowPunct/>
              <w:topLinePunct w:val="0"/>
              <w:autoSpaceDE/>
              <w:autoSpaceDN/>
              <w:bidi w:val="0"/>
              <w:spacing w:line="240" w:lineRule="auto"/>
              <w:jc w:val="center"/>
              <w:rPr>
                <w:rFonts w:hint="eastAsia"/>
                <w:bCs/>
                <w:color w:val="auto"/>
                <w:szCs w:val="21"/>
                <w:highlight w:val="none"/>
              </w:rPr>
            </w:pPr>
          </w:p>
        </w:tc>
        <w:tc>
          <w:tcPr>
            <w:tcW w:w="2327" w:type="pct"/>
            <w:vAlign w:val="center"/>
          </w:tcPr>
          <w:p w14:paraId="33023AC9">
            <w:pPr>
              <w:keepNext w:val="0"/>
              <w:keepLines w:val="0"/>
              <w:pageBreakBefore w:val="0"/>
              <w:widowControl w:val="0"/>
              <w:kinsoku/>
              <w:wordWrap/>
              <w:overflowPunct/>
              <w:topLinePunct w:val="0"/>
              <w:autoSpaceDE/>
              <w:autoSpaceDN/>
              <w:bidi w:val="0"/>
              <w:spacing w:line="240" w:lineRule="auto"/>
              <w:rPr>
                <w:rFonts w:hint="eastAsia"/>
                <w:bCs/>
                <w:color w:val="auto"/>
                <w:szCs w:val="21"/>
                <w:highlight w:val="none"/>
              </w:rPr>
            </w:pPr>
          </w:p>
        </w:tc>
        <w:tc>
          <w:tcPr>
            <w:tcW w:w="883" w:type="pct"/>
            <w:vAlign w:val="center"/>
          </w:tcPr>
          <w:p w14:paraId="77960DC7">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p>
        </w:tc>
        <w:tc>
          <w:tcPr>
            <w:tcW w:w="831" w:type="pct"/>
            <w:vAlign w:val="center"/>
          </w:tcPr>
          <w:p w14:paraId="529B868D">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p>
        </w:tc>
        <w:tc>
          <w:tcPr>
            <w:tcW w:w="449" w:type="pct"/>
            <w:tcBorders>
              <w:top w:val="single" w:color="auto" w:sz="4" w:space="0"/>
              <w:left w:val="single" w:color="auto" w:sz="4" w:space="0"/>
              <w:bottom w:val="single" w:color="auto" w:sz="4" w:space="0"/>
              <w:right w:val="single" w:color="auto" w:sz="4" w:space="0"/>
            </w:tcBorders>
            <w:vAlign w:val="center"/>
          </w:tcPr>
          <w:p w14:paraId="3385A16C">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p>
        </w:tc>
      </w:tr>
      <w:tr w14:paraId="09727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10" w:type="pct"/>
            <w:vAlign w:val="center"/>
          </w:tcPr>
          <w:p w14:paraId="7A78E996">
            <w:pPr>
              <w:pStyle w:val="127"/>
              <w:keepNext w:val="0"/>
              <w:keepLines w:val="0"/>
              <w:pageBreakBefore w:val="0"/>
              <w:widowControl w:val="0"/>
              <w:numPr>
                <w:ilvl w:val="0"/>
                <w:numId w:val="23"/>
              </w:numPr>
              <w:kinsoku/>
              <w:wordWrap/>
              <w:overflowPunct/>
              <w:topLinePunct w:val="0"/>
              <w:autoSpaceDE/>
              <w:autoSpaceDN/>
              <w:bidi w:val="0"/>
              <w:spacing w:line="240" w:lineRule="auto"/>
              <w:jc w:val="center"/>
              <w:rPr>
                <w:rFonts w:hint="eastAsia"/>
                <w:bCs/>
                <w:color w:val="auto"/>
                <w:szCs w:val="21"/>
                <w:highlight w:val="none"/>
              </w:rPr>
            </w:pPr>
          </w:p>
        </w:tc>
        <w:tc>
          <w:tcPr>
            <w:tcW w:w="2327" w:type="pct"/>
            <w:vAlign w:val="center"/>
          </w:tcPr>
          <w:p w14:paraId="0BA6143C">
            <w:pPr>
              <w:keepNext w:val="0"/>
              <w:keepLines w:val="0"/>
              <w:pageBreakBefore w:val="0"/>
              <w:widowControl w:val="0"/>
              <w:kinsoku/>
              <w:wordWrap/>
              <w:overflowPunct/>
              <w:topLinePunct w:val="0"/>
              <w:autoSpaceDE/>
              <w:autoSpaceDN/>
              <w:bidi w:val="0"/>
              <w:spacing w:line="240" w:lineRule="auto"/>
              <w:rPr>
                <w:rFonts w:hint="eastAsia"/>
                <w:bCs/>
                <w:color w:val="auto"/>
                <w:szCs w:val="21"/>
                <w:highlight w:val="none"/>
              </w:rPr>
            </w:pPr>
          </w:p>
        </w:tc>
        <w:tc>
          <w:tcPr>
            <w:tcW w:w="883" w:type="pct"/>
            <w:vAlign w:val="center"/>
          </w:tcPr>
          <w:p w14:paraId="7D62F545">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p>
        </w:tc>
        <w:tc>
          <w:tcPr>
            <w:tcW w:w="831" w:type="pct"/>
            <w:vAlign w:val="center"/>
          </w:tcPr>
          <w:p w14:paraId="5868501A">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p>
        </w:tc>
        <w:tc>
          <w:tcPr>
            <w:tcW w:w="449" w:type="pct"/>
            <w:tcBorders>
              <w:top w:val="single" w:color="auto" w:sz="4" w:space="0"/>
              <w:left w:val="single" w:color="auto" w:sz="4" w:space="0"/>
              <w:bottom w:val="single" w:color="auto" w:sz="4" w:space="0"/>
              <w:right w:val="single" w:color="auto" w:sz="4" w:space="0"/>
            </w:tcBorders>
            <w:vAlign w:val="center"/>
          </w:tcPr>
          <w:p w14:paraId="34D5CEFC">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p>
        </w:tc>
      </w:tr>
      <w:tr w14:paraId="3FC0D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10" w:type="pct"/>
            <w:vAlign w:val="center"/>
          </w:tcPr>
          <w:p w14:paraId="15EE3617">
            <w:pPr>
              <w:pStyle w:val="127"/>
              <w:keepNext w:val="0"/>
              <w:keepLines w:val="0"/>
              <w:pageBreakBefore w:val="0"/>
              <w:widowControl w:val="0"/>
              <w:numPr>
                <w:ilvl w:val="0"/>
                <w:numId w:val="23"/>
              </w:numPr>
              <w:kinsoku/>
              <w:wordWrap/>
              <w:overflowPunct/>
              <w:topLinePunct w:val="0"/>
              <w:autoSpaceDE/>
              <w:autoSpaceDN/>
              <w:bidi w:val="0"/>
              <w:spacing w:line="240" w:lineRule="auto"/>
              <w:jc w:val="center"/>
              <w:rPr>
                <w:rFonts w:hint="eastAsia"/>
                <w:bCs/>
                <w:color w:val="auto"/>
                <w:szCs w:val="21"/>
                <w:highlight w:val="none"/>
              </w:rPr>
            </w:pPr>
          </w:p>
        </w:tc>
        <w:tc>
          <w:tcPr>
            <w:tcW w:w="2327" w:type="pct"/>
            <w:vAlign w:val="center"/>
          </w:tcPr>
          <w:p w14:paraId="6E9DDE34">
            <w:pPr>
              <w:keepNext w:val="0"/>
              <w:keepLines w:val="0"/>
              <w:pageBreakBefore w:val="0"/>
              <w:widowControl w:val="0"/>
              <w:kinsoku/>
              <w:wordWrap/>
              <w:overflowPunct/>
              <w:topLinePunct w:val="0"/>
              <w:autoSpaceDE/>
              <w:autoSpaceDN/>
              <w:bidi w:val="0"/>
              <w:spacing w:line="240" w:lineRule="auto"/>
              <w:rPr>
                <w:rFonts w:hint="eastAsia"/>
                <w:bCs/>
                <w:color w:val="auto"/>
                <w:szCs w:val="21"/>
                <w:highlight w:val="none"/>
              </w:rPr>
            </w:pPr>
          </w:p>
        </w:tc>
        <w:tc>
          <w:tcPr>
            <w:tcW w:w="883" w:type="pct"/>
            <w:vAlign w:val="center"/>
          </w:tcPr>
          <w:p w14:paraId="39626687">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p>
        </w:tc>
        <w:tc>
          <w:tcPr>
            <w:tcW w:w="831" w:type="pct"/>
            <w:vAlign w:val="center"/>
          </w:tcPr>
          <w:p w14:paraId="0F0429C7">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p>
        </w:tc>
        <w:tc>
          <w:tcPr>
            <w:tcW w:w="449" w:type="pct"/>
            <w:tcBorders>
              <w:top w:val="single" w:color="auto" w:sz="4" w:space="0"/>
              <w:left w:val="single" w:color="auto" w:sz="4" w:space="0"/>
              <w:bottom w:val="single" w:color="auto" w:sz="4" w:space="0"/>
              <w:right w:val="single" w:color="auto" w:sz="4" w:space="0"/>
            </w:tcBorders>
            <w:vAlign w:val="center"/>
          </w:tcPr>
          <w:p w14:paraId="2DC37DE0">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p>
        </w:tc>
      </w:tr>
      <w:tr w14:paraId="53B30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10" w:type="pct"/>
            <w:vAlign w:val="center"/>
          </w:tcPr>
          <w:p w14:paraId="071A8AA2">
            <w:pPr>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r>
              <w:rPr>
                <w:bCs/>
                <w:color w:val="auto"/>
                <w:szCs w:val="21"/>
                <w:highlight w:val="none"/>
              </w:rPr>
              <w:t>…</w:t>
            </w:r>
          </w:p>
        </w:tc>
        <w:tc>
          <w:tcPr>
            <w:tcW w:w="2327" w:type="pct"/>
            <w:vAlign w:val="center"/>
          </w:tcPr>
          <w:p w14:paraId="20450F38">
            <w:pPr>
              <w:keepNext w:val="0"/>
              <w:keepLines w:val="0"/>
              <w:pageBreakBefore w:val="0"/>
              <w:widowControl w:val="0"/>
              <w:kinsoku/>
              <w:wordWrap/>
              <w:overflowPunct/>
              <w:topLinePunct w:val="0"/>
              <w:autoSpaceDE/>
              <w:autoSpaceDN/>
              <w:bidi w:val="0"/>
              <w:spacing w:line="240" w:lineRule="auto"/>
              <w:jc w:val="left"/>
              <w:rPr>
                <w:rFonts w:hint="eastAsia"/>
                <w:bCs/>
                <w:color w:val="auto"/>
                <w:szCs w:val="21"/>
                <w:highlight w:val="none"/>
              </w:rPr>
            </w:pPr>
            <w:r>
              <w:rPr>
                <w:bCs/>
                <w:color w:val="auto"/>
                <w:szCs w:val="21"/>
                <w:highlight w:val="none"/>
              </w:rPr>
              <w:t>…</w:t>
            </w:r>
          </w:p>
        </w:tc>
        <w:tc>
          <w:tcPr>
            <w:tcW w:w="883" w:type="pct"/>
            <w:vAlign w:val="center"/>
          </w:tcPr>
          <w:p w14:paraId="14658AD3">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Cs/>
                <w:color w:val="auto"/>
                <w:sz w:val="21"/>
                <w:szCs w:val="21"/>
                <w:highlight w:val="none"/>
              </w:rPr>
            </w:pPr>
          </w:p>
        </w:tc>
        <w:tc>
          <w:tcPr>
            <w:tcW w:w="831" w:type="pct"/>
            <w:vAlign w:val="center"/>
          </w:tcPr>
          <w:p w14:paraId="168B6BF7">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Cs/>
                <w:color w:val="auto"/>
                <w:sz w:val="21"/>
                <w:szCs w:val="21"/>
                <w:highlight w:val="none"/>
              </w:rPr>
            </w:pPr>
          </w:p>
        </w:tc>
        <w:tc>
          <w:tcPr>
            <w:tcW w:w="449" w:type="pct"/>
            <w:vAlign w:val="center"/>
          </w:tcPr>
          <w:p w14:paraId="7DB995C1">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Cs/>
                <w:color w:val="auto"/>
                <w:sz w:val="21"/>
                <w:szCs w:val="21"/>
                <w:highlight w:val="none"/>
              </w:rPr>
            </w:pPr>
          </w:p>
        </w:tc>
      </w:tr>
    </w:tbl>
    <w:p w14:paraId="1B8625AD">
      <w:pPr>
        <w:pStyle w:val="13"/>
        <w:keepNext w:val="0"/>
        <w:keepLines w:val="0"/>
        <w:pageBreakBefore w:val="0"/>
        <w:widowControl w:val="0"/>
        <w:kinsoku/>
        <w:wordWrap/>
        <w:overflowPunct/>
        <w:topLinePunct w:val="0"/>
        <w:autoSpaceDE/>
        <w:autoSpaceDN/>
        <w:bidi w:val="0"/>
        <w:ind w:firstLine="0"/>
        <w:rPr>
          <w:rFonts w:hint="eastAsia" w:eastAsia="宋体"/>
          <w:b/>
          <w:bCs/>
          <w:color w:val="auto"/>
          <w:sz w:val="21"/>
          <w:szCs w:val="21"/>
          <w:highlight w:val="none"/>
        </w:rPr>
      </w:pPr>
      <w:bookmarkStart w:id="343" w:name="_Hlk69414041"/>
      <w:r>
        <w:rPr>
          <w:rFonts w:eastAsia="宋体"/>
          <w:b/>
          <w:bCs/>
          <w:color w:val="auto"/>
          <w:sz w:val="21"/>
          <w:szCs w:val="21"/>
          <w:highlight w:val="none"/>
        </w:rPr>
        <w:t>说明：</w:t>
      </w:r>
    </w:p>
    <w:p w14:paraId="04602C87">
      <w:pPr>
        <w:pStyle w:val="13"/>
        <w:keepNext w:val="0"/>
        <w:keepLines w:val="0"/>
        <w:pageBreakBefore w:val="0"/>
        <w:widowControl w:val="0"/>
        <w:numPr>
          <w:ilvl w:val="3"/>
          <w:numId w:val="24"/>
        </w:numPr>
        <w:kinsoku/>
        <w:wordWrap/>
        <w:overflowPunct/>
        <w:topLinePunct w:val="0"/>
        <w:autoSpaceDE/>
        <w:autoSpaceDN/>
        <w:bidi w:val="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供应商需对应采购文件第二章采购需求中标注</w:t>
      </w:r>
      <w:r>
        <w:rPr>
          <w:rFonts w:hint="eastAsia" w:eastAsia="宋体"/>
          <w:b/>
          <w:color w:val="auto"/>
          <w:sz w:val="21"/>
          <w:szCs w:val="21"/>
          <w:highlight w:val="none"/>
        </w:rPr>
        <w:t>“★”号的条款进行逐条响应</w:t>
      </w:r>
      <w:r>
        <w:rPr>
          <w:rFonts w:hint="eastAsia" w:eastAsia="宋体"/>
          <w:bCs/>
          <w:color w:val="auto"/>
          <w:sz w:val="21"/>
          <w:szCs w:val="21"/>
          <w:highlight w:val="none"/>
        </w:rPr>
        <w:t>，并按要求填写上表。若有任何一条负偏离或不满足或未响应的，将导致其投标文件作无效投标处理。</w:t>
      </w:r>
      <w:r>
        <w:rPr>
          <w:rFonts w:hint="eastAsia" w:eastAsia="宋体"/>
          <w:b/>
          <w:color w:val="auto"/>
          <w:sz w:val="21"/>
          <w:szCs w:val="21"/>
          <w:highlight w:val="none"/>
        </w:rPr>
        <w:t>若要求提供证明材料的，还须提供相应的证明材料，否则视为负偏离，按无效投标处理。</w:t>
      </w:r>
    </w:p>
    <w:p w14:paraId="7898DFE0">
      <w:pPr>
        <w:pStyle w:val="13"/>
        <w:keepNext w:val="0"/>
        <w:keepLines w:val="0"/>
        <w:pageBreakBefore w:val="0"/>
        <w:widowControl w:val="0"/>
        <w:numPr>
          <w:ilvl w:val="3"/>
          <w:numId w:val="24"/>
        </w:numPr>
        <w:kinsoku/>
        <w:wordWrap/>
        <w:overflowPunct/>
        <w:topLinePunct w:val="0"/>
        <w:autoSpaceDE/>
        <w:autoSpaceDN/>
        <w:bidi w:val="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“采购文件规定的要求”项下填写的内容应与采购文件</w:t>
      </w:r>
      <w:r>
        <w:rPr>
          <w:rFonts w:hint="eastAsia" w:eastAsia="宋体"/>
          <w:b/>
          <w:color w:val="auto"/>
          <w:sz w:val="21"/>
          <w:szCs w:val="21"/>
          <w:highlight w:val="none"/>
        </w:rPr>
        <w:t>第二章采购需求中标注“★”条款的内容</w:t>
      </w:r>
      <w:r>
        <w:rPr>
          <w:rFonts w:hint="eastAsia" w:eastAsia="宋体"/>
          <w:bCs/>
          <w:color w:val="auto"/>
          <w:sz w:val="21"/>
          <w:szCs w:val="21"/>
          <w:highlight w:val="none"/>
        </w:rPr>
        <w:t>保持一致。</w:t>
      </w:r>
      <w:r>
        <w:rPr>
          <w:rFonts w:hint="eastAsia" w:eastAsia="宋体"/>
          <w:b/>
          <w:color w:val="auto"/>
          <w:sz w:val="21"/>
          <w:szCs w:val="21"/>
          <w:highlight w:val="none"/>
        </w:rPr>
        <w:t>供应商若存在“采购文件规定的要求”条款未进行响应时，将视为该条款存在负偏离或不满足，按无效投标处理。</w:t>
      </w:r>
    </w:p>
    <w:p w14:paraId="1BD1945B">
      <w:pPr>
        <w:pStyle w:val="13"/>
        <w:keepNext w:val="0"/>
        <w:keepLines w:val="0"/>
        <w:pageBreakBefore w:val="0"/>
        <w:widowControl w:val="0"/>
        <w:numPr>
          <w:ilvl w:val="3"/>
          <w:numId w:val="24"/>
        </w:numPr>
        <w:kinsoku/>
        <w:wordWrap/>
        <w:overflowPunct/>
        <w:topLinePunct w:val="0"/>
        <w:autoSpaceDE/>
        <w:autoSpaceDN/>
        <w:bidi w:val="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“供应商响应情况”项下填写供应商针对“采购文件规定的要求”的响应数值或内容，若供应商响应完全满足“采购文件规定的要求”，也可以填写“完全按照采购文件规定执行”</w:t>
      </w:r>
      <w:r>
        <w:rPr>
          <w:rFonts w:eastAsia="宋体"/>
          <w:bCs/>
          <w:color w:val="auto"/>
          <w:sz w:val="21"/>
          <w:szCs w:val="21"/>
          <w:highlight w:val="none"/>
        </w:rPr>
        <w:t>。</w:t>
      </w:r>
    </w:p>
    <w:p w14:paraId="523523D3">
      <w:pPr>
        <w:pStyle w:val="13"/>
        <w:keepNext w:val="0"/>
        <w:keepLines w:val="0"/>
        <w:pageBreakBefore w:val="0"/>
        <w:widowControl w:val="0"/>
        <w:numPr>
          <w:ilvl w:val="3"/>
          <w:numId w:val="24"/>
        </w:numPr>
        <w:kinsoku/>
        <w:wordWrap/>
        <w:overflowPunct/>
        <w:topLinePunct w:val="0"/>
        <w:autoSpaceDE/>
        <w:autoSpaceDN/>
        <w:bidi w:val="0"/>
        <w:ind w:left="0" w:firstLine="420" w:firstLineChars="200"/>
        <w:rPr>
          <w:rFonts w:hint="eastAsia" w:eastAsia="宋体"/>
          <w:bCs/>
          <w:color w:val="auto"/>
          <w:sz w:val="21"/>
          <w:szCs w:val="21"/>
          <w:highlight w:val="none"/>
        </w:rPr>
      </w:pPr>
      <w:r>
        <w:rPr>
          <w:rFonts w:eastAsia="宋体"/>
          <w:bCs/>
          <w:color w:val="auto"/>
          <w:sz w:val="21"/>
          <w:szCs w:val="21"/>
          <w:highlight w:val="none"/>
        </w:rPr>
        <w:t>“偏离情况”</w:t>
      </w:r>
      <w:r>
        <w:rPr>
          <w:rFonts w:hint="eastAsia" w:eastAsia="宋体"/>
          <w:bCs/>
          <w:color w:val="auto"/>
          <w:sz w:val="21"/>
          <w:szCs w:val="21"/>
          <w:highlight w:val="none"/>
        </w:rPr>
        <w:t>项下应填写“正偏离”或“无偏离”或“负偏离”，供应商须真实体现偏离情况。其中“正偏离”是指优于采购文件规定的要求；“无偏离”是指满足采购文件规定的要求；“负偏离”是指低于采购文件规定的要求</w:t>
      </w:r>
      <w:r>
        <w:rPr>
          <w:rFonts w:eastAsia="宋体"/>
          <w:bCs/>
          <w:color w:val="auto"/>
          <w:sz w:val="21"/>
          <w:szCs w:val="21"/>
          <w:highlight w:val="none"/>
        </w:rPr>
        <w:t>。</w:t>
      </w:r>
    </w:p>
    <w:p w14:paraId="5BAC3B67">
      <w:pPr>
        <w:pStyle w:val="13"/>
        <w:keepNext w:val="0"/>
        <w:keepLines w:val="0"/>
        <w:pageBreakBefore w:val="0"/>
        <w:widowControl w:val="0"/>
        <w:numPr>
          <w:ilvl w:val="3"/>
          <w:numId w:val="24"/>
        </w:numPr>
        <w:kinsoku/>
        <w:wordWrap/>
        <w:overflowPunct/>
        <w:topLinePunct w:val="0"/>
        <w:autoSpaceDE/>
        <w:autoSpaceDN/>
        <w:bidi w:val="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“备注”项下填写佐证材料的相关页码或具体偏离内容，不涉及则无需填写。</w:t>
      </w:r>
    </w:p>
    <w:p w14:paraId="796FD1E1">
      <w:pPr>
        <w:pStyle w:val="13"/>
        <w:keepNext w:val="0"/>
        <w:keepLines w:val="0"/>
        <w:pageBreakBefore w:val="0"/>
        <w:widowControl w:val="0"/>
        <w:numPr>
          <w:ilvl w:val="3"/>
          <w:numId w:val="24"/>
        </w:numPr>
        <w:kinsoku/>
        <w:wordWrap/>
        <w:overflowPunct/>
        <w:topLinePunct w:val="0"/>
        <w:autoSpaceDE/>
        <w:autoSpaceDN/>
        <w:bidi w:val="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供应商须谨慎进行响应，不可存在虚假投标（响应）的情形。</w:t>
      </w:r>
    </w:p>
    <w:p w14:paraId="32EC371B">
      <w:pPr>
        <w:keepNext w:val="0"/>
        <w:keepLines w:val="0"/>
        <w:pageBreakBefore w:val="0"/>
        <w:widowControl w:val="0"/>
        <w:kinsoku/>
        <w:wordWrap/>
        <w:overflowPunct/>
        <w:topLinePunct w:val="0"/>
        <w:autoSpaceDE/>
        <w:autoSpaceDN/>
        <w:bidi w:val="0"/>
        <w:rPr>
          <w:rFonts w:hint="eastAsia"/>
          <w:color w:val="auto"/>
          <w:highlight w:val="none"/>
        </w:rPr>
      </w:pPr>
    </w:p>
    <w:bookmarkEnd w:id="343"/>
    <w:p w14:paraId="2B0AE12C">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5B6D3112">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07006273">
      <w:pPr>
        <w:keepNext w:val="0"/>
        <w:keepLines w:val="0"/>
        <w:pageBreakBefore w:val="0"/>
        <w:widowControl w:val="0"/>
        <w:kinsoku/>
        <w:wordWrap/>
        <w:overflowPunct/>
        <w:topLinePunct w:val="0"/>
        <w:autoSpaceDE/>
        <w:autoSpaceDN/>
        <w:bidi w:val="0"/>
        <w:jc w:val="right"/>
        <w:rPr>
          <w:rFonts w:hint="eastAsia"/>
          <w:color w:val="auto"/>
          <w:sz w:val="24"/>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34CD8043">
      <w:pPr>
        <w:keepNext w:val="0"/>
        <w:keepLines w:val="0"/>
        <w:pageBreakBefore w:val="0"/>
        <w:widowControl w:val="0"/>
        <w:kinsoku/>
        <w:wordWrap/>
        <w:overflowPunct/>
        <w:topLinePunct w:val="0"/>
        <w:autoSpaceDE/>
        <w:autoSpaceDN/>
        <w:bidi w:val="0"/>
        <w:jc w:val="right"/>
        <w:rPr>
          <w:rFonts w:hint="eastAsia"/>
          <w:color w:val="auto"/>
          <w:sz w:val="24"/>
          <w:highlight w:val="none"/>
        </w:rPr>
      </w:pPr>
    </w:p>
    <w:p w14:paraId="4ABE63CE">
      <w:pPr>
        <w:keepNext w:val="0"/>
        <w:keepLines w:val="0"/>
        <w:pageBreakBefore w:val="0"/>
        <w:widowControl w:val="0"/>
        <w:kinsoku/>
        <w:wordWrap/>
        <w:overflowPunct/>
        <w:topLinePunct w:val="0"/>
        <w:autoSpaceDE/>
        <w:autoSpaceDN/>
        <w:bidi w:val="0"/>
        <w:spacing w:line="240" w:lineRule="auto"/>
        <w:jc w:val="left"/>
        <w:rPr>
          <w:rFonts w:hint="eastAsia"/>
          <w:color w:val="auto"/>
          <w:sz w:val="24"/>
          <w:highlight w:val="none"/>
        </w:rPr>
      </w:pPr>
      <w:r>
        <w:rPr>
          <w:color w:val="auto"/>
          <w:sz w:val="24"/>
          <w:highlight w:val="none"/>
        </w:rPr>
        <w:br w:type="page"/>
      </w:r>
    </w:p>
    <w:p w14:paraId="0507AB09">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ind w:left="720" w:hanging="720"/>
        <w:rPr>
          <w:rFonts w:hint="eastAsia" w:ascii="宋体" w:hAnsi="宋体" w:eastAsia="宋体"/>
          <w:color w:val="auto"/>
          <w:sz w:val="24"/>
          <w:szCs w:val="24"/>
          <w:highlight w:val="none"/>
        </w:rPr>
      </w:pPr>
      <w:bookmarkStart w:id="344" w:name="_Toc124157561"/>
      <w:bookmarkStart w:id="345" w:name="_Toc138883108"/>
      <w:bookmarkStart w:id="346" w:name="_Toc20436"/>
      <w:r>
        <w:rPr>
          <w:rFonts w:hint="eastAsia" w:ascii="宋体" w:hAnsi="宋体" w:eastAsia="宋体"/>
          <w:color w:val="auto"/>
          <w:sz w:val="24"/>
          <w:szCs w:val="24"/>
          <w:highlight w:val="none"/>
        </w:rPr>
        <w:t>商务</w:t>
      </w:r>
      <w:r>
        <w:rPr>
          <w:rFonts w:ascii="宋体" w:hAnsi="宋体" w:eastAsia="宋体"/>
          <w:color w:val="auto"/>
          <w:sz w:val="24"/>
          <w:szCs w:val="24"/>
          <w:highlight w:val="none"/>
        </w:rPr>
        <w:t>条款响应表</w:t>
      </w:r>
      <w:bookmarkEnd w:id="344"/>
      <w:bookmarkEnd w:id="345"/>
      <w:bookmarkEnd w:id="346"/>
    </w:p>
    <w:p w14:paraId="1239198A">
      <w:pPr>
        <w:keepNext w:val="0"/>
        <w:keepLines w:val="0"/>
        <w:pageBreakBefore w:val="0"/>
        <w:widowControl w:val="0"/>
        <w:kinsoku/>
        <w:wordWrap/>
        <w:overflowPunct/>
        <w:topLinePunct w:val="0"/>
        <w:autoSpaceDE/>
        <w:autoSpaceDN/>
        <w:bidi w:val="0"/>
        <w:jc w:val="center"/>
        <w:rPr>
          <w:rFonts w:hint="eastAsia"/>
          <w:b/>
          <w:color w:val="auto"/>
          <w:sz w:val="28"/>
          <w:szCs w:val="28"/>
          <w:highlight w:val="none"/>
        </w:rPr>
      </w:pPr>
      <w:r>
        <w:rPr>
          <w:rFonts w:hint="eastAsia"/>
          <w:b/>
          <w:color w:val="auto"/>
          <w:sz w:val="28"/>
          <w:szCs w:val="28"/>
          <w:highlight w:val="none"/>
        </w:rPr>
        <w:t>商务条款响应表</w:t>
      </w:r>
    </w:p>
    <w:p w14:paraId="33958F7C">
      <w:pPr>
        <w:keepNext w:val="0"/>
        <w:keepLines w:val="0"/>
        <w:pageBreakBefore w:val="0"/>
        <w:widowControl w:val="0"/>
        <w:kinsoku/>
        <w:wordWrap/>
        <w:overflowPunct/>
        <w:topLinePunct w:val="0"/>
        <w:autoSpaceDE/>
        <w:autoSpaceDN/>
        <w:bidi w:val="0"/>
        <w:rPr>
          <w:rFonts w:hint="eastAsia"/>
          <w:color w:val="auto"/>
          <w:sz w:val="24"/>
          <w:highlight w:val="none"/>
        </w:rPr>
      </w:pPr>
      <w:r>
        <w:rPr>
          <w:rFonts w:hint="eastAsia"/>
          <w:bCs/>
          <w:color w:val="auto"/>
          <w:sz w:val="24"/>
          <w:highlight w:val="none"/>
        </w:rPr>
        <w:t>项目编号</w:t>
      </w:r>
      <w:r>
        <w:rPr>
          <w:bCs/>
          <w:color w:val="auto"/>
          <w:sz w:val="24"/>
          <w:highlight w:val="none"/>
        </w:rPr>
        <w:t>：_______________</w:t>
      </w:r>
    </w:p>
    <w:p w14:paraId="0BAE6569">
      <w:pPr>
        <w:keepNext w:val="0"/>
        <w:keepLines w:val="0"/>
        <w:pageBreakBefore w:val="0"/>
        <w:widowControl w:val="0"/>
        <w:kinsoku/>
        <w:wordWrap/>
        <w:overflowPunct/>
        <w:topLinePunct w:val="0"/>
        <w:autoSpaceDE/>
        <w:autoSpaceDN/>
        <w:bidi w:val="0"/>
        <w:rPr>
          <w:rFonts w:hint="eastAsia"/>
          <w:color w:val="auto"/>
          <w:highlight w:val="none"/>
        </w:rPr>
      </w:pPr>
      <w:r>
        <w:rPr>
          <w:bCs/>
          <w:color w:val="auto"/>
          <w:sz w:val="24"/>
          <w:highlight w:val="none"/>
        </w:rPr>
        <w:t>项目名称：_______________</w:t>
      </w:r>
    </w:p>
    <w:tbl>
      <w:tblPr>
        <w:tblStyle w:val="4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3131"/>
        <w:gridCol w:w="3543"/>
        <w:gridCol w:w="1477"/>
        <w:gridCol w:w="875"/>
      </w:tblGrid>
      <w:tr w14:paraId="4567B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3C752D0F">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eastAsia="宋体"/>
                <w:b/>
                <w:color w:val="auto"/>
                <w:sz w:val="21"/>
                <w:szCs w:val="21"/>
                <w:highlight w:val="none"/>
              </w:rPr>
              <w:t>序号</w:t>
            </w:r>
          </w:p>
        </w:tc>
        <w:tc>
          <w:tcPr>
            <w:tcW w:w="1588" w:type="pct"/>
            <w:vAlign w:val="center"/>
          </w:tcPr>
          <w:p w14:paraId="764E6FF6">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采购文件规定的要求</w:t>
            </w:r>
          </w:p>
        </w:tc>
        <w:tc>
          <w:tcPr>
            <w:tcW w:w="1797" w:type="pct"/>
            <w:vAlign w:val="center"/>
          </w:tcPr>
          <w:p w14:paraId="3A2A3690">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供应商响应情况</w:t>
            </w:r>
          </w:p>
        </w:tc>
        <w:tc>
          <w:tcPr>
            <w:tcW w:w="749" w:type="pct"/>
            <w:vAlign w:val="center"/>
          </w:tcPr>
          <w:p w14:paraId="007C1872">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eastAsia="宋体"/>
                <w:b/>
                <w:color w:val="auto"/>
                <w:sz w:val="21"/>
                <w:szCs w:val="21"/>
                <w:highlight w:val="none"/>
              </w:rPr>
              <w:t>偏离情况</w:t>
            </w:r>
          </w:p>
        </w:tc>
        <w:tc>
          <w:tcPr>
            <w:tcW w:w="444" w:type="pct"/>
            <w:vAlign w:val="center"/>
          </w:tcPr>
          <w:p w14:paraId="33C270A2">
            <w:pPr>
              <w:pStyle w:val="13"/>
              <w:keepNext w:val="0"/>
              <w:keepLines w:val="0"/>
              <w:pageBreakBefore w:val="0"/>
              <w:widowControl w:val="0"/>
              <w:kinsoku/>
              <w:wordWrap/>
              <w:overflowPunct/>
              <w:topLinePunct w:val="0"/>
              <w:autoSpaceDE/>
              <w:autoSpaceDN/>
              <w:bidi w:val="0"/>
              <w:spacing w:line="24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备注</w:t>
            </w:r>
          </w:p>
        </w:tc>
      </w:tr>
      <w:tr w14:paraId="48A8A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37205D1E">
            <w:pPr>
              <w:pStyle w:val="127"/>
              <w:keepNext w:val="0"/>
              <w:keepLines w:val="0"/>
              <w:pageBreakBefore w:val="0"/>
              <w:widowControl w:val="0"/>
              <w:numPr>
                <w:ilvl w:val="0"/>
                <w:numId w:val="25"/>
              </w:numPr>
              <w:suppressAutoHyphens w:val="0"/>
              <w:kinsoku/>
              <w:wordWrap/>
              <w:overflowPunct/>
              <w:topLinePunct w:val="0"/>
              <w:autoSpaceDE/>
              <w:autoSpaceDN/>
              <w:bidi w:val="0"/>
              <w:spacing w:line="240" w:lineRule="auto"/>
              <w:jc w:val="center"/>
              <w:rPr>
                <w:rFonts w:hint="eastAsia"/>
                <w:bCs/>
                <w:color w:val="auto"/>
                <w:szCs w:val="21"/>
                <w:highlight w:val="none"/>
              </w:rPr>
            </w:pPr>
          </w:p>
        </w:tc>
        <w:tc>
          <w:tcPr>
            <w:tcW w:w="1588" w:type="pct"/>
            <w:vAlign w:val="center"/>
          </w:tcPr>
          <w:p w14:paraId="6FA12029">
            <w:pPr>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r>
              <w:rPr>
                <w:rFonts w:hint="eastAsia"/>
                <w:bCs/>
                <w:color w:val="auto"/>
                <w:szCs w:val="21"/>
                <w:highlight w:val="none"/>
              </w:rPr>
              <w:t>所有商务条款要求</w:t>
            </w:r>
          </w:p>
        </w:tc>
        <w:tc>
          <w:tcPr>
            <w:tcW w:w="1797" w:type="pct"/>
            <w:vAlign w:val="center"/>
          </w:tcPr>
          <w:p w14:paraId="135BC40D">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r>
              <w:rPr>
                <w:rFonts w:hint="eastAsia"/>
                <w:color w:val="auto"/>
                <w:szCs w:val="21"/>
                <w:highlight w:val="none"/>
                <w:lang w:eastAsia="zh-CN"/>
              </w:rPr>
              <w:t>完全按照采购文件规定执行</w:t>
            </w:r>
          </w:p>
        </w:tc>
        <w:tc>
          <w:tcPr>
            <w:tcW w:w="749" w:type="pct"/>
            <w:vAlign w:val="center"/>
          </w:tcPr>
          <w:p w14:paraId="427CE3A4">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p>
        </w:tc>
        <w:tc>
          <w:tcPr>
            <w:tcW w:w="444" w:type="pct"/>
            <w:tcBorders>
              <w:top w:val="single" w:color="auto" w:sz="4" w:space="0"/>
              <w:left w:val="single" w:color="auto" w:sz="4" w:space="0"/>
              <w:bottom w:val="single" w:color="auto" w:sz="4" w:space="0"/>
              <w:right w:val="single" w:color="auto" w:sz="4" w:space="0"/>
            </w:tcBorders>
            <w:vAlign w:val="center"/>
          </w:tcPr>
          <w:p w14:paraId="4C35D7E7">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p>
        </w:tc>
      </w:tr>
      <w:tr w14:paraId="54D92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1FD2A19F">
            <w:pPr>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r>
              <w:rPr>
                <w:bCs/>
                <w:color w:val="auto"/>
                <w:szCs w:val="21"/>
                <w:highlight w:val="none"/>
              </w:rPr>
              <w:t>……</w:t>
            </w:r>
          </w:p>
        </w:tc>
        <w:tc>
          <w:tcPr>
            <w:tcW w:w="1588" w:type="pct"/>
            <w:vAlign w:val="center"/>
          </w:tcPr>
          <w:p w14:paraId="6E8F1BB0">
            <w:pPr>
              <w:keepNext w:val="0"/>
              <w:keepLines w:val="0"/>
              <w:pageBreakBefore w:val="0"/>
              <w:widowControl w:val="0"/>
              <w:kinsoku/>
              <w:wordWrap/>
              <w:overflowPunct/>
              <w:topLinePunct w:val="0"/>
              <w:autoSpaceDE/>
              <w:autoSpaceDN/>
              <w:bidi w:val="0"/>
              <w:spacing w:line="240" w:lineRule="auto"/>
              <w:rPr>
                <w:rFonts w:hint="eastAsia"/>
                <w:bCs/>
                <w:color w:val="auto"/>
                <w:szCs w:val="21"/>
                <w:highlight w:val="none"/>
              </w:rPr>
            </w:pPr>
          </w:p>
        </w:tc>
        <w:tc>
          <w:tcPr>
            <w:tcW w:w="1797" w:type="pct"/>
            <w:vAlign w:val="center"/>
          </w:tcPr>
          <w:p w14:paraId="0326215B">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p>
        </w:tc>
        <w:tc>
          <w:tcPr>
            <w:tcW w:w="749" w:type="pct"/>
            <w:vAlign w:val="center"/>
          </w:tcPr>
          <w:p w14:paraId="68DA619E">
            <w:pPr>
              <w:pStyle w:val="19"/>
              <w:keepNext w:val="0"/>
              <w:keepLines w:val="0"/>
              <w:pageBreakBefore w:val="0"/>
              <w:widowControl w:val="0"/>
              <w:kinsoku/>
              <w:wordWrap/>
              <w:overflowPunct/>
              <w:topLinePunct w:val="0"/>
              <w:autoSpaceDE/>
              <w:autoSpaceDN/>
              <w:bidi w:val="0"/>
              <w:spacing w:line="240" w:lineRule="auto"/>
              <w:jc w:val="center"/>
              <w:rPr>
                <w:rFonts w:hint="eastAsia"/>
                <w:bCs/>
                <w:color w:val="auto"/>
                <w:szCs w:val="21"/>
                <w:highlight w:val="none"/>
              </w:rPr>
            </w:pPr>
          </w:p>
        </w:tc>
        <w:tc>
          <w:tcPr>
            <w:tcW w:w="444" w:type="pct"/>
            <w:tcBorders>
              <w:top w:val="single" w:color="auto" w:sz="4" w:space="0"/>
              <w:left w:val="single" w:color="auto" w:sz="4" w:space="0"/>
              <w:bottom w:val="single" w:color="auto" w:sz="4" w:space="0"/>
              <w:right w:val="single" w:color="auto" w:sz="4" w:space="0"/>
            </w:tcBorders>
            <w:vAlign w:val="center"/>
          </w:tcPr>
          <w:p w14:paraId="1CDFE822">
            <w:pPr>
              <w:keepNext w:val="0"/>
              <w:keepLines w:val="0"/>
              <w:pageBreakBefore w:val="0"/>
              <w:widowControl w:val="0"/>
              <w:kinsoku/>
              <w:wordWrap/>
              <w:overflowPunct/>
              <w:topLinePunct w:val="0"/>
              <w:autoSpaceDE/>
              <w:autoSpaceDN/>
              <w:bidi w:val="0"/>
              <w:spacing w:line="240" w:lineRule="auto"/>
              <w:jc w:val="center"/>
              <w:rPr>
                <w:rFonts w:hint="eastAsia"/>
                <w:color w:val="auto"/>
                <w:szCs w:val="21"/>
                <w:highlight w:val="none"/>
              </w:rPr>
            </w:pPr>
          </w:p>
        </w:tc>
      </w:tr>
    </w:tbl>
    <w:p w14:paraId="00BF10E4">
      <w:pPr>
        <w:pStyle w:val="13"/>
        <w:keepNext w:val="0"/>
        <w:keepLines w:val="0"/>
        <w:pageBreakBefore w:val="0"/>
        <w:widowControl w:val="0"/>
        <w:kinsoku/>
        <w:wordWrap/>
        <w:overflowPunct/>
        <w:topLinePunct w:val="0"/>
        <w:autoSpaceDE/>
        <w:autoSpaceDN/>
        <w:bidi w:val="0"/>
        <w:ind w:firstLine="0"/>
        <w:rPr>
          <w:rFonts w:hint="eastAsia" w:eastAsia="宋体"/>
          <w:b/>
          <w:bCs/>
          <w:color w:val="auto"/>
          <w:sz w:val="21"/>
          <w:szCs w:val="21"/>
          <w:highlight w:val="none"/>
        </w:rPr>
      </w:pPr>
      <w:r>
        <w:rPr>
          <w:rFonts w:eastAsia="宋体"/>
          <w:b/>
          <w:bCs/>
          <w:color w:val="auto"/>
          <w:sz w:val="21"/>
          <w:szCs w:val="21"/>
          <w:highlight w:val="none"/>
        </w:rPr>
        <w:t>说明：</w:t>
      </w:r>
    </w:p>
    <w:p w14:paraId="3CF7A52A">
      <w:pPr>
        <w:pStyle w:val="127"/>
        <w:keepNext w:val="0"/>
        <w:keepLines w:val="0"/>
        <w:pageBreakBefore w:val="0"/>
        <w:widowControl w:val="0"/>
        <w:numPr>
          <w:ilvl w:val="0"/>
          <w:numId w:val="26"/>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供应商需对应采购文件</w:t>
      </w:r>
      <w:r>
        <w:rPr>
          <w:rFonts w:hint="eastAsia"/>
          <w:b/>
          <w:bCs/>
          <w:color w:val="auto"/>
          <w:szCs w:val="21"/>
          <w:highlight w:val="none"/>
          <w:lang w:eastAsia="zh-CN"/>
        </w:rPr>
        <w:t>第二章采购需求“主要商务要求”</w:t>
      </w:r>
      <w:r>
        <w:rPr>
          <w:rFonts w:hint="eastAsia"/>
          <w:color w:val="auto"/>
          <w:szCs w:val="21"/>
          <w:highlight w:val="none"/>
          <w:lang w:eastAsia="zh-CN"/>
        </w:rPr>
        <w:t>中除</w:t>
      </w:r>
      <w:r>
        <w:rPr>
          <w:rFonts w:hint="eastAsia"/>
          <w:bCs/>
          <w:color w:val="auto"/>
          <w:szCs w:val="21"/>
          <w:highlight w:val="none"/>
          <w:lang w:eastAsia="zh-CN"/>
        </w:rPr>
        <w:t>“★”号条款外的</w:t>
      </w:r>
      <w:r>
        <w:rPr>
          <w:rFonts w:hint="eastAsia"/>
          <w:color w:val="auto"/>
          <w:szCs w:val="21"/>
          <w:highlight w:val="none"/>
          <w:lang w:eastAsia="zh-CN"/>
        </w:rPr>
        <w:t>所有条款进行</w:t>
      </w:r>
      <w:r>
        <w:rPr>
          <w:rFonts w:hint="eastAsia"/>
          <w:b/>
          <w:bCs/>
          <w:color w:val="auto"/>
          <w:szCs w:val="21"/>
          <w:highlight w:val="none"/>
          <w:lang w:eastAsia="zh-CN"/>
        </w:rPr>
        <w:t>逐条响应或整体响应</w:t>
      </w:r>
      <w:r>
        <w:rPr>
          <w:rFonts w:hint="eastAsia"/>
          <w:color w:val="auto"/>
          <w:szCs w:val="21"/>
          <w:highlight w:val="none"/>
          <w:lang w:eastAsia="zh-CN"/>
        </w:rPr>
        <w:t>，并按要求填写上表。</w:t>
      </w:r>
      <w:r>
        <w:rPr>
          <w:rFonts w:hint="eastAsia"/>
          <w:b/>
          <w:bCs/>
          <w:color w:val="auto"/>
          <w:szCs w:val="21"/>
          <w:highlight w:val="none"/>
          <w:lang w:eastAsia="zh-CN"/>
        </w:rPr>
        <w:t>若要求提供证明材料的，还须提供相应的证明材料，否则视为负偏离。</w:t>
      </w:r>
    </w:p>
    <w:p w14:paraId="038807CA">
      <w:pPr>
        <w:pStyle w:val="127"/>
        <w:keepNext w:val="0"/>
        <w:keepLines w:val="0"/>
        <w:pageBreakBefore w:val="0"/>
        <w:widowControl w:val="0"/>
        <w:numPr>
          <w:ilvl w:val="0"/>
          <w:numId w:val="26"/>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color w:val="auto"/>
          <w:szCs w:val="21"/>
          <w:highlight w:val="none"/>
          <w:lang w:eastAsia="zh-CN"/>
        </w:rPr>
        <w:t>“采购文件</w:t>
      </w:r>
      <w:r>
        <w:rPr>
          <w:rFonts w:hint="eastAsia"/>
          <w:color w:val="auto"/>
          <w:szCs w:val="21"/>
          <w:highlight w:val="none"/>
          <w:lang w:eastAsia="zh-CN"/>
        </w:rPr>
        <w:t>规定的</w:t>
      </w:r>
      <w:r>
        <w:rPr>
          <w:color w:val="auto"/>
          <w:szCs w:val="21"/>
          <w:highlight w:val="none"/>
          <w:lang w:eastAsia="zh-CN"/>
        </w:rPr>
        <w:t>要求”</w:t>
      </w:r>
      <w:r>
        <w:rPr>
          <w:rFonts w:hint="eastAsia"/>
          <w:color w:val="auto"/>
          <w:szCs w:val="21"/>
          <w:highlight w:val="none"/>
          <w:lang w:eastAsia="zh-CN"/>
        </w:rPr>
        <w:t>项下填写的内容应与采购文件</w:t>
      </w:r>
      <w:r>
        <w:rPr>
          <w:rFonts w:hint="eastAsia"/>
          <w:b/>
          <w:bCs/>
          <w:color w:val="auto"/>
          <w:szCs w:val="21"/>
          <w:highlight w:val="none"/>
          <w:lang w:eastAsia="zh-CN"/>
        </w:rPr>
        <w:t>第二章采购需求“主要商务要求”中</w:t>
      </w:r>
      <w:r>
        <w:rPr>
          <w:b/>
          <w:bCs/>
          <w:color w:val="auto"/>
          <w:szCs w:val="21"/>
          <w:highlight w:val="none"/>
          <w:lang w:eastAsia="zh-CN"/>
        </w:rPr>
        <w:t>的内容</w:t>
      </w:r>
      <w:r>
        <w:rPr>
          <w:color w:val="auto"/>
          <w:szCs w:val="21"/>
          <w:highlight w:val="none"/>
          <w:lang w:eastAsia="zh-CN"/>
        </w:rPr>
        <w:t>保持一致。</w:t>
      </w:r>
      <w:r>
        <w:rPr>
          <w:rFonts w:hint="eastAsia"/>
          <w:color w:val="auto"/>
          <w:szCs w:val="21"/>
          <w:highlight w:val="none"/>
          <w:lang w:eastAsia="zh-CN"/>
        </w:rPr>
        <w:t>若供应商针对所有条款完全满足要求无偏离时，可以进行整体响应，</w:t>
      </w:r>
      <w:r>
        <w:rPr>
          <w:color w:val="auto"/>
          <w:szCs w:val="21"/>
          <w:highlight w:val="none"/>
          <w:lang w:eastAsia="zh-CN"/>
        </w:rPr>
        <w:t>在“采购文件</w:t>
      </w:r>
      <w:r>
        <w:rPr>
          <w:rFonts w:hint="eastAsia"/>
          <w:color w:val="auto"/>
          <w:szCs w:val="21"/>
          <w:highlight w:val="none"/>
          <w:lang w:eastAsia="zh-CN"/>
        </w:rPr>
        <w:t>规定的</w:t>
      </w:r>
      <w:r>
        <w:rPr>
          <w:color w:val="auto"/>
          <w:szCs w:val="21"/>
          <w:highlight w:val="none"/>
          <w:lang w:eastAsia="zh-CN"/>
        </w:rPr>
        <w:t>要求”</w:t>
      </w:r>
      <w:r>
        <w:rPr>
          <w:rFonts w:hint="eastAsia"/>
          <w:color w:val="auto"/>
          <w:szCs w:val="21"/>
          <w:highlight w:val="none"/>
          <w:lang w:eastAsia="zh-CN"/>
        </w:rPr>
        <w:t>项下</w:t>
      </w:r>
      <w:r>
        <w:rPr>
          <w:color w:val="auto"/>
          <w:szCs w:val="21"/>
          <w:highlight w:val="none"/>
          <w:lang w:eastAsia="zh-CN"/>
        </w:rPr>
        <w:t>填写“所有</w:t>
      </w:r>
      <w:r>
        <w:rPr>
          <w:rFonts w:hint="eastAsia"/>
          <w:color w:val="auto"/>
          <w:szCs w:val="21"/>
          <w:highlight w:val="none"/>
          <w:lang w:eastAsia="zh-CN"/>
        </w:rPr>
        <w:t>商务</w:t>
      </w:r>
      <w:r>
        <w:rPr>
          <w:color w:val="auto"/>
          <w:szCs w:val="21"/>
          <w:highlight w:val="none"/>
          <w:lang w:eastAsia="zh-CN"/>
        </w:rPr>
        <w:t>条款</w:t>
      </w:r>
      <w:r>
        <w:rPr>
          <w:rFonts w:hint="eastAsia"/>
          <w:color w:val="auto"/>
          <w:szCs w:val="21"/>
          <w:highlight w:val="none"/>
          <w:lang w:eastAsia="zh-CN"/>
        </w:rPr>
        <w:t>要求</w:t>
      </w:r>
      <w:r>
        <w:rPr>
          <w:color w:val="auto"/>
          <w:szCs w:val="21"/>
          <w:highlight w:val="none"/>
          <w:lang w:eastAsia="zh-CN"/>
        </w:rPr>
        <w:t>”</w:t>
      </w:r>
      <w:r>
        <w:rPr>
          <w:rFonts w:hint="eastAsia"/>
          <w:color w:val="auto"/>
          <w:szCs w:val="21"/>
          <w:highlight w:val="none"/>
          <w:lang w:eastAsia="zh-CN"/>
        </w:rPr>
        <w:t>；</w:t>
      </w:r>
      <w:r>
        <w:rPr>
          <w:rFonts w:hint="eastAsia"/>
          <w:b/>
          <w:bCs/>
          <w:color w:val="auto"/>
          <w:szCs w:val="21"/>
          <w:highlight w:val="none"/>
          <w:lang w:eastAsia="zh-CN"/>
        </w:rPr>
        <w:t>若供应商存在偏离项时，则所有商务条款需要进行逐条响应。</w:t>
      </w:r>
    </w:p>
    <w:p w14:paraId="149F92EC">
      <w:pPr>
        <w:pStyle w:val="127"/>
        <w:keepNext w:val="0"/>
        <w:keepLines w:val="0"/>
        <w:pageBreakBefore w:val="0"/>
        <w:widowControl w:val="0"/>
        <w:numPr>
          <w:ilvl w:val="0"/>
          <w:numId w:val="26"/>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“供应商响应情况”</w:t>
      </w:r>
      <w:r>
        <w:rPr>
          <w:rFonts w:hint="eastAsia"/>
          <w:bCs/>
          <w:color w:val="auto"/>
          <w:szCs w:val="21"/>
          <w:highlight w:val="none"/>
          <w:lang w:eastAsia="zh-CN"/>
        </w:rPr>
        <w:t>项下填写供应商针对“采购文件规定的要求”的响应数值或内容</w:t>
      </w:r>
      <w:r>
        <w:rPr>
          <w:rFonts w:hint="eastAsia"/>
          <w:color w:val="auto"/>
          <w:szCs w:val="21"/>
          <w:highlight w:val="none"/>
          <w:lang w:eastAsia="zh-CN"/>
        </w:rPr>
        <w:t>；若供应商响应完全满足“采购文件规定的要求”，也可以填写“完全按照采购文件规定执行”。</w:t>
      </w:r>
    </w:p>
    <w:p w14:paraId="48D42699">
      <w:pPr>
        <w:pStyle w:val="127"/>
        <w:keepNext w:val="0"/>
        <w:keepLines w:val="0"/>
        <w:pageBreakBefore w:val="0"/>
        <w:widowControl w:val="0"/>
        <w:numPr>
          <w:ilvl w:val="0"/>
          <w:numId w:val="26"/>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w:t>
      </w:r>
      <w:r>
        <w:rPr>
          <w:bCs/>
          <w:color w:val="auto"/>
          <w:szCs w:val="21"/>
          <w:highlight w:val="none"/>
          <w:lang w:eastAsia="zh-CN"/>
        </w:rPr>
        <w:t>偏离情况”</w:t>
      </w:r>
      <w:r>
        <w:rPr>
          <w:rFonts w:hint="eastAsia"/>
          <w:bCs/>
          <w:color w:val="auto"/>
          <w:szCs w:val="21"/>
          <w:highlight w:val="none"/>
          <w:lang w:eastAsia="zh-CN"/>
        </w:rPr>
        <w:t>项下应填写“正偏离”或“无偏离”或“负偏离”，供应商须真实体现偏离情况。其中“正偏离”是指优于采购文件规定的要求；“无偏离”是指满足采购文件规定的要求；“负偏离”是指低于采购文件规定的要求</w:t>
      </w:r>
      <w:r>
        <w:rPr>
          <w:rFonts w:hint="eastAsia"/>
          <w:color w:val="auto"/>
          <w:szCs w:val="21"/>
          <w:highlight w:val="none"/>
          <w:lang w:eastAsia="zh-CN"/>
        </w:rPr>
        <w:t>。</w:t>
      </w:r>
    </w:p>
    <w:p w14:paraId="0DD9A4A3">
      <w:pPr>
        <w:pStyle w:val="127"/>
        <w:keepNext w:val="0"/>
        <w:keepLines w:val="0"/>
        <w:pageBreakBefore w:val="0"/>
        <w:widowControl w:val="0"/>
        <w:numPr>
          <w:ilvl w:val="0"/>
          <w:numId w:val="26"/>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“备注”项下填写佐证材料的相关页码或具体偏离内容，不涉及则无需填写。</w:t>
      </w:r>
    </w:p>
    <w:p w14:paraId="718DA7A6">
      <w:pPr>
        <w:pStyle w:val="127"/>
        <w:keepNext w:val="0"/>
        <w:keepLines w:val="0"/>
        <w:pageBreakBefore w:val="0"/>
        <w:widowControl w:val="0"/>
        <w:numPr>
          <w:ilvl w:val="0"/>
          <w:numId w:val="26"/>
        </w:numPr>
        <w:kinsoku/>
        <w:wordWrap/>
        <w:overflowPunct/>
        <w:topLinePunct w:val="0"/>
        <w:autoSpaceDE/>
        <w:autoSpaceDN/>
        <w:bidi w:val="0"/>
        <w:adjustRightInd w:val="0"/>
        <w:snapToGrid w:val="0"/>
        <w:ind w:left="0" w:firstLine="422" w:firstLineChars="200"/>
        <w:rPr>
          <w:rFonts w:hint="eastAsia"/>
          <w:b/>
          <w:color w:val="auto"/>
          <w:szCs w:val="21"/>
          <w:highlight w:val="none"/>
          <w:lang w:eastAsia="zh-CN"/>
        </w:rPr>
      </w:pPr>
      <w:r>
        <w:rPr>
          <w:rFonts w:hint="eastAsia"/>
          <w:b/>
          <w:color w:val="auto"/>
          <w:szCs w:val="21"/>
          <w:highlight w:val="none"/>
          <w:lang w:eastAsia="zh-CN"/>
        </w:rPr>
        <w:t>供应商若存在“采购文件规定的要求”条款未进行响应时，将视为该条款存在负偏离或不满足。</w:t>
      </w:r>
    </w:p>
    <w:p w14:paraId="62659279">
      <w:pPr>
        <w:pStyle w:val="127"/>
        <w:keepNext w:val="0"/>
        <w:keepLines w:val="0"/>
        <w:pageBreakBefore w:val="0"/>
        <w:widowControl w:val="0"/>
        <w:numPr>
          <w:ilvl w:val="0"/>
          <w:numId w:val="26"/>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供应商须谨慎进行响应，不可存在虚假投标（响应）的情形。</w:t>
      </w:r>
    </w:p>
    <w:p w14:paraId="1A2BFF7E">
      <w:pPr>
        <w:pStyle w:val="13"/>
        <w:keepNext w:val="0"/>
        <w:keepLines w:val="0"/>
        <w:pageBreakBefore w:val="0"/>
        <w:widowControl w:val="0"/>
        <w:kinsoku/>
        <w:wordWrap/>
        <w:overflowPunct/>
        <w:topLinePunct w:val="0"/>
        <w:autoSpaceDE/>
        <w:autoSpaceDN/>
        <w:bidi w:val="0"/>
        <w:rPr>
          <w:rFonts w:hint="eastAsia" w:eastAsia="宋体"/>
          <w:bCs/>
          <w:color w:val="auto"/>
          <w:sz w:val="24"/>
          <w:szCs w:val="24"/>
          <w:highlight w:val="none"/>
        </w:rPr>
      </w:pPr>
    </w:p>
    <w:p w14:paraId="24F549DC">
      <w:pPr>
        <w:pStyle w:val="356"/>
        <w:keepNext w:val="0"/>
        <w:keepLines w:val="0"/>
        <w:pageBreakBefore w:val="0"/>
        <w:widowControl w:val="0"/>
        <w:kinsoku/>
        <w:wordWrap/>
        <w:overflowPunct/>
        <w:topLinePunct w:val="0"/>
        <w:autoSpaceDE/>
        <w:autoSpaceDN/>
        <w:bidi w:val="0"/>
        <w:spacing w:line="480" w:lineRule="auto"/>
        <w:ind w:right="101" w:rightChars="48" w:firstLine="0" w:firstLineChars="0"/>
        <w:jc w:val="right"/>
        <w:rPr>
          <w:rFonts w:hint="eastAsia"/>
          <w:color w:val="auto"/>
          <w:highlight w:val="none"/>
          <w:lang w:eastAsia="zh-CN"/>
        </w:rPr>
      </w:pPr>
      <w:r>
        <w:rPr>
          <w:rFonts w:hint="eastAsia"/>
          <w:color w:val="auto"/>
          <w:highlight w:val="none"/>
          <w:lang w:eastAsia="zh-CN"/>
        </w:rPr>
        <w:t>供应商法定代表人或其授权代表（签字或盖章）：</w:t>
      </w:r>
      <w:r>
        <w:rPr>
          <w:color w:val="auto"/>
          <w:highlight w:val="none"/>
          <w:u w:val="single"/>
          <w:lang w:eastAsia="zh-CN"/>
        </w:rPr>
        <w:t xml:space="preserve">                    .</w:t>
      </w:r>
    </w:p>
    <w:p w14:paraId="711F4287">
      <w:pPr>
        <w:pStyle w:val="356"/>
        <w:keepNext w:val="0"/>
        <w:keepLines w:val="0"/>
        <w:pageBreakBefore w:val="0"/>
        <w:widowControl w:val="0"/>
        <w:kinsoku/>
        <w:wordWrap/>
        <w:overflowPunct/>
        <w:topLinePunct w:val="0"/>
        <w:autoSpaceDE/>
        <w:autoSpaceDN/>
        <w:bidi w:val="0"/>
        <w:spacing w:line="480" w:lineRule="auto"/>
        <w:ind w:right="101" w:rightChars="48"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57482B6E">
      <w:pPr>
        <w:pStyle w:val="356"/>
        <w:keepNext w:val="0"/>
        <w:keepLines w:val="0"/>
        <w:pageBreakBefore w:val="0"/>
        <w:widowControl w:val="0"/>
        <w:kinsoku/>
        <w:wordWrap/>
        <w:overflowPunct/>
        <w:topLinePunct w:val="0"/>
        <w:autoSpaceDE/>
        <w:autoSpaceDN/>
        <w:bidi w:val="0"/>
        <w:spacing w:line="480" w:lineRule="auto"/>
        <w:ind w:right="101" w:rightChars="48" w:firstLine="4960" w:firstLineChars="2067"/>
        <w:jc w:val="right"/>
        <w:rPr>
          <w:rFonts w:hint="eastAsia"/>
          <w:color w:val="auto"/>
          <w:highlight w:val="none"/>
        </w:r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06B6F481">
      <w:pPr>
        <w:keepNext w:val="0"/>
        <w:keepLines w:val="0"/>
        <w:pageBreakBefore w:val="0"/>
        <w:widowControl w:val="0"/>
        <w:kinsoku/>
        <w:wordWrap/>
        <w:overflowPunct/>
        <w:topLinePunct w:val="0"/>
        <w:autoSpaceDE/>
        <w:autoSpaceDN/>
        <w:bidi w:val="0"/>
        <w:jc w:val="left"/>
        <w:rPr>
          <w:rFonts w:hint="eastAsia"/>
          <w:color w:val="auto"/>
          <w:sz w:val="24"/>
          <w:highlight w:val="none"/>
        </w:rPr>
        <w:sectPr>
          <w:pgSz w:w="11906" w:h="16838"/>
          <w:pgMar w:top="1134" w:right="1134" w:bottom="1134" w:left="1134" w:header="426" w:footer="992" w:gutter="0"/>
          <w:paperSrc w:first="7"/>
          <w:pgNumType w:fmt="decimal"/>
          <w:cols w:space="0" w:num="1"/>
          <w:titlePg/>
          <w:rtlGutter w:val="0"/>
          <w:docGrid w:linePitch="312" w:charSpace="0"/>
        </w:sectPr>
      </w:pPr>
    </w:p>
    <w:p w14:paraId="33CEAEAA">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ind w:left="720" w:hanging="720"/>
        <w:rPr>
          <w:rFonts w:hint="eastAsia" w:ascii="宋体" w:hAnsi="宋体" w:eastAsia="宋体"/>
          <w:color w:val="auto"/>
          <w:sz w:val="24"/>
          <w:szCs w:val="24"/>
          <w:highlight w:val="none"/>
        </w:rPr>
      </w:pPr>
      <w:bookmarkStart w:id="347" w:name="_Toc104040718"/>
      <w:bookmarkStart w:id="348" w:name="_Toc114053448"/>
      <w:bookmarkStart w:id="349" w:name="_Toc103033246"/>
      <w:bookmarkStart w:id="350" w:name="_Toc104131876"/>
      <w:bookmarkStart w:id="351" w:name="_Toc131271300"/>
      <w:bookmarkStart w:id="352" w:name="_Toc19714"/>
      <w:r>
        <w:rPr>
          <w:rFonts w:hint="eastAsia" w:ascii="宋体" w:hAnsi="宋体" w:eastAsia="宋体"/>
          <w:color w:val="auto"/>
          <w:sz w:val="24"/>
          <w:szCs w:val="24"/>
          <w:highlight w:val="none"/>
        </w:rPr>
        <w:t>技术条款响应表</w:t>
      </w:r>
      <w:bookmarkEnd w:id="347"/>
      <w:bookmarkEnd w:id="348"/>
      <w:bookmarkEnd w:id="349"/>
      <w:bookmarkEnd w:id="350"/>
      <w:bookmarkEnd w:id="351"/>
      <w:bookmarkEnd w:id="352"/>
    </w:p>
    <w:p w14:paraId="1B0F7345">
      <w:pPr>
        <w:keepNext w:val="0"/>
        <w:keepLines w:val="0"/>
        <w:pageBreakBefore w:val="0"/>
        <w:widowControl w:val="0"/>
        <w:kinsoku/>
        <w:wordWrap/>
        <w:overflowPunct/>
        <w:topLinePunct w:val="0"/>
        <w:autoSpaceDE/>
        <w:autoSpaceDN/>
        <w:bidi w:val="0"/>
        <w:jc w:val="center"/>
        <w:rPr>
          <w:rFonts w:hint="eastAsia"/>
          <w:color w:val="auto"/>
          <w:highlight w:val="none"/>
        </w:rPr>
      </w:pPr>
      <w:r>
        <w:rPr>
          <w:rFonts w:hint="eastAsia" w:cs="宋体"/>
          <w:b/>
          <w:bCs/>
          <w:color w:val="auto"/>
          <w:sz w:val="28"/>
          <w:szCs w:val="28"/>
          <w:highlight w:val="none"/>
        </w:rPr>
        <w:t>技术条款</w:t>
      </w:r>
      <w:r>
        <w:rPr>
          <w:rFonts w:cs="宋体"/>
          <w:b/>
          <w:bCs/>
          <w:color w:val="auto"/>
          <w:sz w:val="28"/>
          <w:szCs w:val="28"/>
          <w:highlight w:val="none"/>
        </w:rPr>
        <w:t>响应表</w:t>
      </w:r>
    </w:p>
    <w:p w14:paraId="3AC5EACB">
      <w:pPr>
        <w:keepNext w:val="0"/>
        <w:keepLines w:val="0"/>
        <w:pageBreakBefore w:val="0"/>
        <w:widowControl w:val="0"/>
        <w:kinsoku/>
        <w:wordWrap/>
        <w:overflowPunct/>
        <w:topLinePunct w:val="0"/>
        <w:autoSpaceDE/>
        <w:autoSpaceDN/>
        <w:bidi w:val="0"/>
        <w:rPr>
          <w:rFonts w:hint="eastAsia"/>
          <w:bCs/>
          <w:color w:val="auto"/>
          <w:sz w:val="24"/>
          <w:highlight w:val="none"/>
        </w:rPr>
      </w:pPr>
      <w:r>
        <w:rPr>
          <w:bCs/>
          <w:color w:val="auto"/>
          <w:sz w:val="24"/>
          <w:highlight w:val="none"/>
        </w:rPr>
        <w:t>项目名称：___________</w:t>
      </w:r>
      <w:r>
        <w:rPr>
          <w:bCs/>
          <w:color w:val="auto"/>
          <w:sz w:val="24"/>
          <w:highlight w:val="none"/>
          <w:u w:val="single"/>
        </w:rPr>
        <w:t xml:space="preserve">  </w:t>
      </w:r>
      <w:r>
        <w:rPr>
          <w:bCs/>
          <w:color w:val="auto"/>
          <w:sz w:val="24"/>
          <w:highlight w:val="none"/>
        </w:rPr>
        <w:t xml:space="preserve">____  </w:t>
      </w:r>
    </w:p>
    <w:p w14:paraId="55CD4796">
      <w:pPr>
        <w:keepNext w:val="0"/>
        <w:keepLines w:val="0"/>
        <w:pageBreakBefore w:val="0"/>
        <w:widowControl w:val="0"/>
        <w:kinsoku/>
        <w:wordWrap/>
        <w:overflowPunct/>
        <w:topLinePunct w:val="0"/>
        <w:autoSpaceDE/>
        <w:autoSpaceDN/>
        <w:bidi w:val="0"/>
        <w:rPr>
          <w:rFonts w:hint="eastAsia"/>
          <w:color w:val="auto"/>
          <w:sz w:val="24"/>
          <w:highlight w:val="none"/>
        </w:rPr>
      </w:pPr>
      <w:r>
        <w:rPr>
          <w:rFonts w:hint="eastAsia"/>
          <w:bCs/>
          <w:color w:val="auto"/>
          <w:sz w:val="24"/>
          <w:highlight w:val="none"/>
        </w:rPr>
        <w:t>项目编号</w:t>
      </w:r>
      <w:r>
        <w:rPr>
          <w:bCs/>
          <w:color w:val="auto"/>
          <w:sz w:val="24"/>
          <w:highlight w:val="none"/>
        </w:rPr>
        <w:t>：_________________</w:t>
      </w:r>
    </w:p>
    <w:tbl>
      <w:tblPr>
        <w:tblStyle w:val="4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1"/>
        <w:gridCol w:w="2694"/>
        <w:gridCol w:w="3299"/>
        <w:gridCol w:w="1291"/>
        <w:gridCol w:w="1539"/>
      </w:tblGrid>
      <w:tr w14:paraId="0FF9C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3F40172A">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b/>
                <w:bCs/>
                <w:color w:val="auto"/>
                <w:szCs w:val="21"/>
                <w:highlight w:val="none"/>
              </w:rPr>
            </w:pPr>
            <w:r>
              <w:rPr>
                <w:rFonts w:hint="eastAsia"/>
                <w:b/>
                <w:bCs/>
                <w:color w:val="auto"/>
                <w:szCs w:val="21"/>
                <w:highlight w:val="none"/>
              </w:rPr>
              <w:t>序号</w:t>
            </w:r>
          </w:p>
        </w:tc>
        <w:tc>
          <w:tcPr>
            <w:tcW w:w="1367" w:type="pct"/>
            <w:vAlign w:val="center"/>
          </w:tcPr>
          <w:p w14:paraId="18C57FA6">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b/>
                <w:bCs/>
                <w:color w:val="auto"/>
                <w:szCs w:val="21"/>
                <w:highlight w:val="none"/>
              </w:rPr>
            </w:pPr>
            <w:r>
              <w:rPr>
                <w:rFonts w:hint="eastAsia"/>
                <w:b/>
                <w:color w:val="auto"/>
                <w:szCs w:val="21"/>
                <w:highlight w:val="none"/>
              </w:rPr>
              <w:t>采购文件规定的要求</w:t>
            </w:r>
          </w:p>
        </w:tc>
        <w:tc>
          <w:tcPr>
            <w:tcW w:w="1674" w:type="pct"/>
            <w:vAlign w:val="center"/>
          </w:tcPr>
          <w:p w14:paraId="6BBED187">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b/>
                <w:bCs/>
                <w:color w:val="auto"/>
                <w:szCs w:val="21"/>
                <w:highlight w:val="none"/>
              </w:rPr>
            </w:pPr>
            <w:r>
              <w:rPr>
                <w:rFonts w:hint="eastAsia"/>
                <w:b/>
                <w:bCs/>
                <w:color w:val="auto"/>
                <w:szCs w:val="21"/>
                <w:highlight w:val="none"/>
              </w:rPr>
              <w:t>供应商响应情况</w:t>
            </w:r>
          </w:p>
        </w:tc>
        <w:tc>
          <w:tcPr>
            <w:tcW w:w="655" w:type="pct"/>
            <w:vAlign w:val="center"/>
          </w:tcPr>
          <w:p w14:paraId="12791A29">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b/>
                <w:bCs/>
                <w:color w:val="auto"/>
                <w:szCs w:val="21"/>
                <w:highlight w:val="none"/>
              </w:rPr>
            </w:pPr>
            <w:r>
              <w:rPr>
                <w:rFonts w:hint="eastAsia"/>
                <w:b/>
                <w:bCs/>
                <w:color w:val="auto"/>
                <w:szCs w:val="21"/>
                <w:highlight w:val="none"/>
              </w:rPr>
              <w:t>偏离情况</w:t>
            </w:r>
          </w:p>
        </w:tc>
        <w:tc>
          <w:tcPr>
            <w:tcW w:w="778" w:type="pct"/>
            <w:vAlign w:val="center"/>
          </w:tcPr>
          <w:p w14:paraId="4AED62F2">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b/>
                <w:bCs/>
                <w:color w:val="auto"/>
                <w:szCs w:val="21"/>
                <w:highlight w:val="none"/>
              </w:rPr>
            </w:pPr>
            <w:r>
              <w:rPr>
                <w:rFonts w:hint="eastAsia"/>
                <w:b/>
                <w:bCs/>
                <w:color w:val="auto"/>
                <w:szCs w:val="21"/>
                <w:highlight w:val="none"/>
              </w:rPr>
              <w:t>备注</w:t>
            </w:r>
          </w:p>
        </w:tc>
      </w:tr>
      <w:tr w14:paraId="109E1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gridSpan w:val="5"/>
            <w:vAlign w:val="center"/>
          </w:tcPr>
          <w:p w14:paraId="3586D4CA">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b/>
                <w:bCs/>
                <w:color w:val="auto"/>
                <w:szCs w:val="21"/>
                <w:highlight w:val="none"/>
              </w:rPr>
            </w:pPr>
            <w:r>
              <w:rPr>
                <w:rFonts w:hint="eastAsia"/>
                <w:b/>
                <w:bCs/>
                <w:color w:val="auto"/>
                <w:szCs w:val="21"/>
                <w:highlight w:val="none"/>
              </w:rPr>
              <w:t>一般技术条款（未标注“★”和“▲”的条款）</w:t>
            </w:r>
          </w:p>
        </w:tc>
      </w:tr>
      <w:tr w14:paraId="71E23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2C3B7358">
            <w:pPr>
              <w:pStyle w:val="127"/>
              <w:keepNext w:val="0"/>
              <w:keepLines w:val="0"/>
              <w:pageBreakBefore w:val="0"/>
              <w:widowControl w:val="0"/>
              <w:numPr>
                <w:ilvl w:val="0"/>
                <w:numId w:val="27"/>
              </w:numPr>
              <w:kinsoku/>
              <w:wordWrap/>
              <w:overflowPunct/>
              <w:topLinePunct w:val="0"/>
              <w:autoSpaceDE/>
              <w:autoSpaceDN/>
              <w:bidi w:val="0"/>
              <w:adjustRightInd w:val="0"/>
              <w:snapToGrid w:val="0"/>
              <w:spacing w:line="240" w:lineRule="auto"/>
              <w:jc w:val="center"/>
              <w:rPr>
                <w:rFonts w:hint="eastAsia"/>
                <w:color w:val="auto"/>
                <w:szCs w:val="21"/>
                <w:highlight w:val="none"/>
                <w:lang w:eastAsia="zh-CN"/>
              </w:rPr>
            </w:pPr>
          </w:p>
        </w:tc>
        <w:tc>
          <w:tcPr>
            <w:tcW w:w="1367" w:type="pct"/>
            <w:vAlign w:val="center"/>
          </w:tcPr>
          <w:p w14:paraId="7FC4C3EB">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color w:val="auto"/>
                <w:szCs w:val="21"/>
                <w:highlight w:val="none"/>
              </w:rPr>
            </w:pPr>
            <w:r>
              <w:rPr>
                <w:color w:val="auto"/>
                <w:szCs w:val="21"/>
                <w:highlight w:val="none"/>
                <w:lang w:eastAsia="zh-CN"/>
              </w:rPr>
              <w:t>所有</w:t>
            </w:r>
            <w:r>
              <w:rPr>
                <w:rFonts w:hint="eastAsia"/>
                <w:color w:val="auto"/>
                <w:szCs w:val="21"/>
                <w:highlight w:val="none"/>
                <w:lang w:eastAsia="zh-CN"/>
              </w:rPr>
              <w:t>一般技术</w:t>
            </w:r>
            <w:r>
              <w:rPr>
                <w:color w:val="auto"/>
                <w:szCs w:val="21"/>
                <w:highlight w:val="none"/>
                <w:lang w:eastAsia="zh-CN"/>
              </w:rPr>
              <w:t>条款</w:t>
            </w:r>
            <w:r>
              <w:rPr>
                <w:rFonts w:hint="eastAsia"/>
                <w:color w:val="auto"/>
                <w:szCs w:val="21"/>
                <w:highlight w:val="none"/>
                <w:lang w:eastAsia="zh-CN"/>
              </w:rPr>
              <w:t>要求</w:t>
            </w:r>
          </w:p>
        </w:tc>
        <w:tc>
          <w:tcPr>
            <w:tcW w:w="1674" w:type="pct"/>
            <w:vAlign w:val="center"/>
          </w:tcPr>
          <w:p w14:paraId="3A9CFD1E">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color w:val="auto"/>
                <w:szCs w:val="21"/>
                <w:highlight w:val="none"/>
              </w:rPr>
            </w:pPr>
            <w:r>
              <w:rPr>
                <w:rFonts w:hint="eastAsia"/>
                <w:color w:val="auto"/>
                <w:szCs w:val="21"/>
                <w:highlight w:val="none"/>
                <w:lang w:eastAsia="zh-CN"/>
              </w:rPr>
              <w:t>完全按照采购文件规定执行</w:t>
            </w:r>
          </w:p>
        </w:tc>
        <w:tc>
          <w:tcPr>
            <w:tcW w:w="655" w:type="pct"/>
            <w:vAlign w:val="center"/>
          </w:tcPr>
          <w:p w14:paraId="33A72D5C">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color w:val="auto"/>
                <w:szCs w:val="21"/>
                <w:highlight w:val="none"/>
              </w:rPr>
            </w:pPr>
          </w:p>
        </w:tc>
        <w:tc>
          <w:tcPr>
            <w:tcW w:w="778" w:type="pct"/>
            <w:vAlign w:val="center"/>
          </w:tcPr>
          <w:p w14:paraId="2F83E483">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color w:val="auto"/>
                <w:szCs w:val="21"/>
                <w:highlight w:val="none"/>
              </w:rPr>
            </w:pPr>
          </w:p>
        </w:tc>
      </w:tr>
      <w:tr w14:paraId="5EC0A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74FBE4F3">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color w:val="auto"/>
                <w:szCs w:val="21"/>
                <w:highlight w:val="none"/>
              </w:rPr>
            </w:pPr>
            <w:r>
              <w:rPr>
                <w:color w:val="auto"/>
                <w:szCs w:val="21"/>
                <w:highlight w:val="none"/>
              </w:rPr>
              <w:t>……</w:t>
            </w:r>
          </w:p>
        </w:tc>
        <w:tc>
          <w:tcPr>
            <w:tcW w:w="1367" w:type="pct"/>
            <w:vAlign w:val="center"/>
          </w:tcPr>
          <w:p w14:paraId="7E8B3E1A">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color w:val="auto"/>
                <w:szCs w:val="21"/>
                <w:highlight w:val="none"/>
              </w:rPr>
            </w:pPr>
          </w:p>
        </w:tc>
        <w:tc>
          <w:tcPr>
            <w:tcW w:w="1674" w:type="pct"/>
            <w:vAlign w:val="center"/>
          </w:tcPr>
          <w:p w14:paraId="3EDA6727">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color w:val="auto"/>
                <w:szCs w:val="21"/>
                <w:highlight w:val="none"/>
              </w:rPr>
            </w:pPr>
          </w:p>
        </w:tc>
        <w:tc>
          <w:tcPr>
            <w:tcW w:w="655" w:type="pct"/>
            <w:vAlign w:val="center"/>
          </w:tcPr>
          <w:p w14:paraId="5BB418CF">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color w:val="auto"/>
                <w:szCs w:val="21"/>
                <w:highlight w:val="none"/>
              </w:rPr>
            </w:pPr>
          </w:p>
        </w:tc>
        <w:tc>
          <w:tcPr>
            <w:tcW w:w="778" w:type="pct"/>
            <w:vAlign w:val="center"/>
          </w:tcPr>
          <w:p w14:paraId="2728AEA4">
            <w:pPr>
              <w:keepNext w:val="0"/>
              <w:keepLines w:val="0"/>
              <w:pageBreakBefore w:val="0"/>
              <w:widowControl w:val="0"/>
              <w:kinsoku/>
              <w:wordWrap/>
              <w:overflowPunct/>
              <w:topLinePunct w:val="0"/>
              <w:autoSpaceDE/>
              <w:autoSpaceDN/>
              <w:bidi w:val="0"/>
              <w:adjustRightInd w:val="0"/>
              <w:snapToGrid w:val="0"/>
              <w:spacing w:line="240" w:lineRule="auto"/>
              <w:jc w:val="center"/>
              <w:rPr>
                <w:rFonts w:hint="eastAsia"/>
                <w:color w:val="auto"/>
                <w:szCs w:val="21"/>
                <w:highlight w:val="none"/>
              </w:rPr>
            </w:pPr>
          </w:p>
        </w:tc>
      </w:tr>
    </w:tbl>
    <w:p w14:paraId="3B14997F">
      <w:pPr>
        <w:keepNext w:val="0"/>
        <w:keepLines w:val="0"/>
        <w:pageBreakBefore w:val="0"/>
        <w:widowControl w:val="0"/>
        <w:kinsoku/>
        <w:wordWrap/>
        <w:overflowPunct/>
        <w:topLinePunct w:val="0"/>
        <w:autoSpaceDE/>
        <w:autoSpaceDN/>
        <w:bidi w:val="0"/>
        <w:adjustRightInd w:val="0"/>
        <w:snapToGrid w:val="0"/>
        <w:rPr>
          <w:rFonts w:hint="eastAsia"/>
          <w:b/>
          <w:bCs/>
          <w:color w:val="auto"/>
          <w:szCs w:val="21"/>
          <w:highlight w:val="none"/>
        </w:rPr>
      </w:pPr>
      <w:r>
        <w:rPr>
          <w:rFonts w:hint="eastAsia"/>
          <w:b/>
          <w:bCs/>
          <w:color w:val="auto"/>
          <w:szCs w:val="21"/>
          <w:highlight w:val="none"/>
        </w:rPr>
        <w:t>说明：</w:t>
      </w:r>
    </w:p>
    <w:p w14:paraId="2051727B">
      <w:pPr>
        <w:pStyle w:val="127"/>
        <w:keepNext w:val="0"/>
        <w:keepLines w:val="0"/>
        <w:pageBreakBefore w:val="0"/>
        <w:widowControl w:val="0"/>
        <w:numPr>
          <w:ilvl w:val="0"/>
          <w:numId w:val="28"/>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供应商需对应采购文件</w:t>
      </w:r>
      <w:r>
        <w:rPr>
          <w:rFonts w:hint="eastAsia"/>
          <w:b/>
          <w:bCs/>
          <w:color w:val="auto"/>
          <w:szCs w:val="21"/>
          <w:highlight w:val="none"/>
          <w:lang w:eastAsia="zh-CN"/>
        </w:rPr>
        <w:t>第二章采购需求“技术标准与要求”</w:t>
      </w:r>
      <w:r>
        <w:rPr>
          <w:rFonts w:hint="eastAsia"/>
          <w:color w:val="auto"/>
          <w:szCs w:val="21"/>
          <w:highlight w:val="none"/>
          <w:lang w:eastAsia="zh-CN"/>
        </w:rPr>
        <w:t>中除</w:t>
      </w:r>
      <w:r>
        <w:rPr>
          <w:rFonts w:hint="eastAsia"/>
          <w:bCs/>
          <w:color w:val="auto"/>
          <w:szCs w:val="21"/>
          <w:highlight w:val="none"/>
          <w:lang w:eastAsia="zh-CN"/>
        </w:rPr>
        <w:t>“★”号条款外的</w:t>
      </w:r>
      <w:r>
        <w:rPr>
          <w:rFonts w:hint="eastAsia"/>
          <w:color w:val="auto"/>
          <w:szCs w:val="21"/>
          <w:highlight w:val="none"/>
          <w:lang w:eastAsia="zh-CN"/>
        </w:rPr>
        <w:t>所有条款进行</w:t>
      </w:r>
      <w:r>
        <w:rPr>
          <w:rFonts w:hint="eastAsia"/>
          <w:b/>
          <w:bCs/>
          <w:color w:val="auto"/>
          <w:szCs w:val="21"/>
          <w:highlight w:val="none"/>
          <w:lang w:eastAsia="zh-CN"/>
        </w:rPr>
        <w:t>逐条响应或整体响应</w:t>
      </w:r>
      <w:r>
        <w:rPr>
          <w:rFonts w:hint="eastAsia"/>
          <w:color w:val="auto"/>
          <w:szCs w:val="21"/>
          <w:highlight w:val="none"/>
          <w:lang w:eastAsia="zh-CN"/>
        </w:rPr>
        <w:t>，并按要求填写上表。</w:t>
      </w:r>
      <w:r>
        <w:rPr>
          <w:rFonts w:hint="eastAsia"/>
          <w:b/>
          <w:bCs/>
          <w:color w:val="auto"/>
          <w:szCs w:val="21"/>
          <w:highlight w:val="none"/>
          <w:lang w:eastAsia="zh-CN"/>
        </w:rPr>
        <w:t>若要求提供证明材料的，还须提供相应的证明材料，否则视为负偏离。</w:t>
      </w:r>
    </w:p>
    <w:p w14:paraId="6FA1AE40">
      <w:pPr>
        <w:pStyle w:val="127"/>
        <w:keepNext w:val="0"/>
        <w:keepLines w:val="0"/>
        <w:pageBreakBefore w:val="0"/>
        <w:widowControl w:val="0"/>
        <w:numPr>
          <w:ilvl w:val="0"/>
          <w:numId w:val="28"/>
        </w:numPr>
        <w:kinsoku/>
        <w:wordWrap/>
        <w:overflowPunct/>
        <w:topLinePunct w:val="0"/>
        <w:autoSpaceDE/>
        <w:autoSpaceDN/>
        <w:bidi w:val="0"/>
        <w:adjustRightInd w:val="0"/>
        <w:snapToGrid w:val="0"/>
        <w:ind w:left="0" w:firstLine="420" w:firstLineChars="200"/>
        <w:rPr>
          <w:rFonts w:hint="eastAsia"/>
          <w:b/>
          <w:bCs/>
          <w:color w:val="auto"/>
          <w:szCs w:val="21"/>
          <w:highlight w:val="none"/>
          <w:lang w:eastAsia="zh-CN"/>
        </w:rPr>
      </w:pPr>
      <w:r>
        <w:rPr>
          <w:color w:val="auto"/>
          <w:szCs w:val="21"/>
          <w:highlight w:val="none"/>
          <w:lang w:eastAsia="zh-CN"/>
        </w:rPr>
        <w:t>“采购文件</w:t>
      </w:r>
      <w:r>
        <w:rPr>
          <w:rFonts w:hint="eastAsia"/>
          <w:color w:val="auto"/>
          <w:szCs w:val="21"/>
          <w:highlight w:val="none"/>
          <w:lang w:eastAsia="zh-CN"/>
        </w:rPr>
        <w:t>规定的</w:t>
      </w:r>
      <w:r>
        <w:rPr>
          <w:color w:val="auto"/>
          <w:szCs w:val="21"/>
          <w:highlight w:val="none"/>
          <w:lang w:eastAsia="zh-CN"/>
        </w:rPr>
        <w:t>要求”</w:t>
      </w:r>
      <w:r>
        <w:rPr>
          <w:rFonts w:hint="eastAsia"/>
          <w:color w:val="auto"/>
          <w:szCs w:val="21"/>
          <w:highlight w:val="none"/>
          <w:lang w:eastAsia="zh-CN"/>
        </w:rPr>
        <w:t>项下填写的内容应与采购文件</w:t>
      </w:r>
      <w:r>
        <w:rPr>
          <w:rFonts w:hint="eastAsia"/>
          <w:b/>
          <w:bCs/>
          <w:color w:val="auto"/>
          <w:szCs w:val="21"/>
          <w:highlight w:val="none"/>
          <w:lang w:eastAsia="zh-CN"/>
        </w:rPr>
        <w:t>第二章采购需求“技术标准与要求”中</w:t>
      </w:r>
      <w:r>
        <w:rPr>
          <w:b/>
          <w:bCs/>
          <w:color w:val="auto"/>
          <w:szCs w:val="21"/>
          <w:highlight w:val="none"/>
          <w:lang w:eastAsia="zh-CN"/>
        </w:rPr>
        <w:t>的内容</w:t>
      </w:r>
      <w:r>
        <w:rPr>
          <w:color w:val="auto"/>
          <w:szCs w:val="21"/>
          <w:highlight w:val="none"/>
          <w:lang w:eastAsia="zh-CN"/>
        </w:rPr>
        <w:t>保持一致。</w:t>
      </w:r>
      <w:r>
        <w:rPr>
          <w:rFonts w:hint="eastAsia"/>
          <w:color w:val="auto"/>
          <w:szCs w:val="21"/>
          <w:highlight w:val="none"/>
          <w:lang w:eastAsia="zh-CN"/>
        </w:rPr>
        <w:t>若供应商针对所有条款完全满足要求无偏离时</w:t>
      </w:r>
      <w:r>
        <w:rPr>
          <w:color w:val="auto"/>
          <w:szCs w:val="21"/>
          <w:highlight w:val="none"/>
          <w:lang w:eastAsia="zh-CN"/>
        </w:rPr>
        <w:t>，</w:t>
      </w:r>
      <w:r>
        <w:rPr>
          <w:rFonts w:hint="eastAsia"/>
          <w:color w:val="auto"/>
          <w:szCs w:val="21"/>
          <w:highlight w:val="none"/>
          <w:lang w:eastAsia="zh-CN"/>
        </w:rPr>
        <w:t>可以进行整体响应，</w:t>
      </w:r>
      <w:r>
        <w:rPr>
          <w:color w:val="auto"/>
          <w:szCs w:val="21"/>
          <w:highlight w:val="none"/>
          <w:lang w:eastAsia="zh-CN"/>
        </w:rPr>
        <w:t>在“采购文件</w:t>
      </w:r>
      <w:r>
        <w:rPr>
          <w:rFonts w:hint="eastAsia"/>
          <w:color w:val="auto"/>
          <w:szCs w:val="21"/>
          <w:highlight w:val="none"/>
          <w:lang w:eastAsia="zh-CN"/>
        </w:rPr>
        <w:t>规定的</w:t>
      </w:r>
      <w:r>
        <w:rPr>
          <w:color w:val="auto"/>
          <w:szCs w:val="21"/>
          <w:highlight w:val="none"/>
          <w:lang w:eastAsia="zh-CN"/>
        </w:rPr>
        <w:t>要求”</w:t>
      </w:r>
      <w:r>
        <w:rPr>
          <w:rFonts w:hint="eastAsia"/>
          <w:color w:val="auto"/>
          <w:szCs w:val="21"/>
          <w:highlight w:val="none"/>
          <w:lang w:eastAsia="zh-CN"/>
        </w:rPr>
        <w:t>项下</w:t>
      </w:r>
      <w:r>
        <w:rPr>
          <w:color w:val="auto"/>
          <w:szCs w:val="21"/>
          <w:highlight w:val="none"/>
          <w:lang w:eastAsia="zh-CN"/>
        </w:rPr>
        <w:t>填写“所有</w:t>
      </w:r>
      <w:r>
        <w:rPr>
          <w:rFonts w:hint="eastAsia"/>
          <w:color w:val="auto"/>
          <w:szCs w:val="21"/>
          <w:highlight w:val="none"/>
          <w:lang w:eastAsia="zh-CN"/>
        </w:rPr>
        <w:t>重要技术</w:t>
      </w:r>
      <w:r>
        <w:rPr>
          <w:color w:val="auto"/>
          <w:szCs w:val="21"/>
          <w:highlight w:val="none"/>
          <w:lang w:eastAsia="zh-CN"/>
        </w:rPr>
        <w:t>条款</w:t>
      </w:r>
      <w:r>
        <w:rPr>
          <w:rFonts w:hint="eastAsia"/>
          <w:color w:val="auto"/>
          <w:szCs w:val="21"/>
          <w:highlight w:val="none"/>
          <w:lang w:eastAsia="zh-CN"/>
        </w:rPr>
        <w:t>要求</w:t>
      </w:r>
      <w:r>
        <w:rPr>
          <w:color w:val="auto"/>
          <w:szCs w:val="21"/>
          <w:highlight w:val="none"/>
          <w:lang w:eastAsia="zh-CN"/>
        </w:rPr>
        <w:t>”</w:t>
      </w:r>
      <w:r>
        <w:rPr>
          <w:rFonts w:hint="eastAsia"/>
          <w:color w:val="auto"/>
          <w:szCs w:val="21"/>
          <w:highlight w:val="none"/>
          <w:lang w:eastAsia="zh-CN"/>
        </w:rPr>
        <w:t>或</w:t>
      </w:r>
      <w:r>
        <w:rPr>
          <w:color w:val="auto"/>
          <w:szCs w:val="21"/>
          <w:highlight w:val="none"/>
          <w:lang w:eastAsia="zh-CN"/>
        </w:rPr>
        <w:t>“所有</w:t>
      </w:r>
      <w:r>
        <w:rPr>
          <w:rFonts w:hint="eastAsia"/>
          <w:color w:val="auto"/>
          <w:szCs w:val="21"/>
          <w:highlight w:val="none"/>
          <w:lang w:eastAsia="zh-CN"/>
        </w:rPr>
        <w:t>一般技术</w:t>
      </w:r>
      <w:r>
        <w:rPr>
          <w:color w:val="auto"/>
          <w:szCs w:val="21"/>
          <w:highlight w:val="none"/>
          <w:lang w:eastAsia="zh-CN"/>
        </w:rPr>
        <w:t>条款</w:t>
      </w:r>
      <w:r>
        <w:rPr>
          <w:rFonts w:hint="eastAsia"/>
          <w:color w:val="auto"/>
          <w:szCs w:val="21"/>
          <w:highlight w:val="none"/>
          <w:lang w:eastAsia="zh-CN"/>
        </w:rPr>
        <w:t>要求</w:t>
      </w:r>
      <w:r>
        <w:rPr>
          <w:color w:val="auto"/>
          <w:szCs w:val="21"/>
          <w:highlight w:val="none"/>
          <w:lang w:eastAsia="zh-CN"/>
        </w:rPr>
        <w:t>”</w:t>
      </w:r>
      <w:r>
        <w:rPr>
          <w:rFonts w:hint="eastAsia"/>
          <w:color w:val="auto"/>
          <w:szCs w:val="21"/>
          <w:highlight w:val="none"/>
          <w:lang w:eastAsia="zh-CN"/>
        </w:rPr>
        <w:t>；</w:t>
      </w:r>
      <w:r>
        <w:rPr>
          <w:rFonts w:hint="eastAsia"/>
          <w:b/>
          <w:bCs/>
          <w:color w:val="auto"/>
          <w:szCs w:val="21"/>
          <w:highlight w:val="none"/>
          <w:lang w:eastAsia="zh-CN"/>
        </w:rPr>
        <w:t>若供应商存在偏离项时，则所有重要或一般技术条款需要进行逐条响应。</w:t>
      </w:r>
    </w:p>
    <w:p w14:paraId="28A6B7BA">
      <w:pPr>
        <w:pStyle w:val="127"/>
        <w:keepNext w:val="0"/>
        <w:keepLines w:val="0"/>
        <w:pageBreakBefore w:val="0"/>
        <w:widowControl w:val="0"/>
        <w:numPr>
          <w:ilvl w:val="0"/>
          <w:numId w:val="28"/>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“供应商响应情况”</w:t>
      </w:r>
      <w:r>
        <w:rPr>
          <w:rFonts w:hint="eastAsia"/>
          <w:bCs/>
          <w:color w:val="auto"/>
          <w:szCs w:val="21"/>
          <w:highlight w:val="none"/>
          <w:lang w:eastAsia="zh-CN"/>
        </w:rPr>
        <w:t>项下填写供应商针对“采购文件规定的要求”的响应数值或内容</w:t>
      </w:r>
      <w:r>
        <w:rPr>
          <w:rFonts w:hint="eastAsia"/>
          <w:color w:val="auto"/>
          <w:szCs w:val="21"/>
          <w:highlight w:val="none"/>
          <w:lang w:eastAsia="zh-CN"/>
        </w:rPr>
        <w:t>；若供应商响应完全满足“采购文件规定的要求”，也可以填写“完全按照采购文件规定执行”。</w:t>
      </w:r>
    </w:p>
    <w:p w14:paraId="1EE31265">
      <w:pPr>
        <w:pStyle w:val="127"/>
        <w:keepNext w:val="0"/>
        <w:keepLines w:val="0"/>
        <w:pageBreakBefore w:val="0"/>
        <w:widowControl w:val="0"/>
        <w:numPr>
          <w:ilvl w:val="0"/>
          <w:numId w:val="28"/>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w:t>
      </w:r>
      <w:r>
        <w:rPr>
          <w:bCs/>
          <w:color w:val="auto"/>
          <w:szCs w:val="21"/>
          <w:highlight w:val="none"/>
          <w:lang w:eastAsia="zh-CN"/>
        </w:rPr>
        <w:t>偏离情况”</w:t>
      </w:r>
      <w:r>
        <w:rPr>
          <w:rFonts w:hint="eastAsia"/>
          <w:bCs/>
          <w:color w:val="auto"/>
          <w:szCs w:val="21"/>
          <w:highlight w:val="none"/>
          <w:lang w:eastAsia="zh-CN"/>
        </w:rPr>
        <w:t>项下应填写“正偏离”或“无偏离”或“负偏离”，供应商须真实体现偏离情况。其中“正偏离”是指优于采购文件规定的要求；“无偏离”是指满足采购文件规定的要求；“负偏离”是指低于采购文件规定的要求</w:t>
      </w:r>
      <w:r>
        <w:rPr>
          <w:rFonts w:hint="eastAsia"/>
          <w:color w:val="auto"/>
          <w:szCs w:val="21"/>
          <w:highlight w:val="none"/>
          <w:lang w:eastAsia="zh-CN"/>
        </w:rPr>
        <w:t>。</w:t>
      </w:r>
    </w:p>
    <w:p w14:paraId="08456C89">
      <w:pPr>
        <w:pStyle w:val="127"/>
        <w:keepNext w:val="0"/>
        <w:keepLines w:val="0"/>
        <w:pageBreakBefore w:val="0"/>
        <w:widowControl w:val="0"/>
        <w:numPr>
          <w:ilvl w:val="0"/>
          <w:numId w:val="28"/>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“备注”项下填写佐证材料的相关页码或具体偏离内容，不涉及则无需填写。</w:t>
      </w:r>
    </w:p>
    <w:p w14:paraId="6A616DF4">
      <w:pPr>
        <w:pStyle w:val="127"/>
        <w:keepNext w:val="0"/>
        <w:keepLines w:val="0"/>
        <w:pageBreakBefore w:val="0"/>
        <w:widowControl w:val="0"/>
        <w:numPr>
          <w:ilvl w:val="0"/>
          <w:numId w:val="28"/>
        </w:numPr>
        <w:kinsoku/>
        <w:wordWrap/>
        <w:overflowPunct/>
        <w:topLinePunct w:val="0"/>
        <w:autoSpaceDE/>
        <w:autoSpaceDN/>
        <w:bidi w:val="0"/>
        <w:adjustRightInd w:val="0"/>
        <w:snapToGrid w:val="0"/>
        <w:ind w:left="0" w:firstLine="422" w:firstLineChars="200"/>
        <w:rPr>
          <w:rFonts w:hint="eastAsia"/>
          <w:b/>
          <w:color w:val="auto"/>
          <w:szCs w:val="21"/>
          <w:highlight w:val="none"/>
          <w:lang w:eastAsia="zh-CN"/>
        </w:rPr>
      </w:pPr>
      <w:r>
        <w:rPr>
          <w:rFonts w:hint="eastAsia"/>
          <w:b/>
          <w:color w:val="auto"/>
          <w:szCs w:val="21"/>
          <w:highlight w:val="none"/>
          <w:lang w:eastAsia="zh-CN"/>
        </w:rPr>
        <w:t>供应商若存在“采购文件规定的要求”条款未进行响应时，将视为该条款存在负偏离或不满足。</w:t>
      </w:r>
    </w:p>
    <w:p w14:paraId="36C40D99">
      <w:pPr>
        <w:pStyle w:val="127"/>
        <w:keepNext w:val="0"/>
        <w:keepLines w:val="0"/>
        <w:pageBreakBefore w:val="0"/>
        <w:widowControl w:val="0"/>
        <w:numPr>
          <w:ilvl w:val="0"/>
          <w:numId w:val="28"/>
        </w:numPr>
        <w:kinsoku/>
        <w:wordWrap/>
        <w:overflowPunct/>
        <w:topLinePunct w:val="0"/>
        <w:autoSpaceDE/>
        <w:autoSpaceDN/>
        <w:bidi w:val="0"/>
        <w:adjustRightInd w:val="0"/>
        <w:snapToGrid w:val="0"/>
        <w:ind w:left="0" w:firstLine="420" w:firstLineChars="200"/>
        <w:rPr>
          <w:rFonts w:hint="eastAsia"/>
          <w:color w:val="auto"/>
          <w:szCs w:val="21"/>
          <w:highlight w:val="none"/>
          <w:lang w:eastAsia="zh-CN"/>
        </w:rPr>
      </w:pPr>
      <w:r>
        <w:rPr>
          <w:rFonts w:hint="eastAsia"/>
          <w:color w:val="auto"/>
          <w:szCs w:val="21"/>
          <w:highlight w:val="none"/>
          <w:lang w:eastAsia="zh-CN"/>
        </w:rPr>
        <w:t>供应商须谨慎进行响应，不可存在虚假投标（响应）的情形。</w:t>
      </w:r>
    </w:p>
    <w:p w14:paraId="2A90427B">
      <w:pPr>
        <w:pStyle w:val="45"/>
        <w:keepNext w:val="0"/>
        <w:keepLines w:val="0"/>
        <w:pageBreakBefore w:val="0"/>
        <w:widowControl w:val="0"/>
        <w:kinsoku/>
        <w:wordWrap/>
        <w:overflowPunct/>
        <w:topLinePunct w:val="0"/>
        <w:autoSpaceDE/>
        <w:autoSpaceDN/>
        <w:bidi w:val="0"/>
        <w:spacing w:after="0"/>
        <w:ind w:left="0" w:leftChars="0"/>
        <w:rPr>
          <w:rFonts w:hint="eastAsia"/>
          <w:color w:val="auto"/>
          <w:szCs w:val="21"/>
          <w:highlight w:val="none"/>
        </w:rPr>
      </w:pPr>
    </w:p>
    <w:p w14:paraId="6F115DEB">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084CEE85">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4C744F19">
      <w:pPr>
        <w:keepNext w:val="0"/>
        <w:keepLines w:val="0"/>
        <w:pageBreakBefore w:val="0"/>
        <w:widowControl w:val="0"/>
        <w:kinsoku/>
        <w:wordWrap/>
        <w:overflowPunct/>
        <w:topLinePunct w:val="0"/>
        <w:autoSpaceDE/>
        <w:autoSpaceDN/>
        <w:bidi w:val="0"/>
        <w:ind w:right="-35"/>
        <w:jc w:val="right"/>
        <w:rPr>
          <w:rFonts w:hint="eastAsia"/>
          <w:color w:val="auto"/>
          <w:szCs w:val="21"/>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rFonts w:hint="eastAsia"/>
          <w:color w:val="auto"/>
          <w:sz w:val="24"/>
          <w:highlight w:val="none"/>
        </w:rPr>
        <w:t>日</w:t>
      </w:r>
      <w:bookmarkEnd w:id="342"/>
      <w:r>
        <w:rPr>
          <w:color w:val="auto"/>
          <w:szCs w:val="21"/>
          <w:highlight w:val="none"/>
        </w:rPr>
        <w:br w:type="page"/>
      </w:r>
    </w:p>
    <w:bookmarkEnd w:id="257"/>
    <w:bookmarkEnd w:id="258"/>
    <w:bookmarkEnd w:id="273"/>
    <w:bookmarkEnd w:id="274"/>
    <w:bookmarkEnd w:id="275"/>
    <w:p w14:paraId="03FFE214">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53" w:name="_Toc28586"/>
      <w:bookmarkStart w:id="354" w:name="_Hlk111932474"/>
      <w:r>
        <w:rPr>
          <w:rFonts w:hint="eastAsia" w:ascii="宋体" w:hAnsi="宋体" w:eastAsia="宋体"/>
          <w:color w:val="auto"/>
          <w:sz w:val="24"/>
          <w:szCs w:val="24"/>
          <w:highlight w:val="none"/>
        </w:rPr>
        <w:t>承诺函</w:t>
      </w:r>
      <w:bookmarkEnd w:id="353"/>
    </w:p>
    <w:p w14:paraId="0A90CC12">
      <w:pPr>
        <w:keepNext w:val="0"/>
        <w:keepLines w:val="0"/>
        <w:pageBreakBefore w:val="0"/>
        <w:widowControl w:val="0"/>
        <w:kinsoku/>
        <w:wordWrap/>
        <w:overflowPunct/>
        <w:topLinePunct w:val="0"/>
        <w:autoSpaceDE/>
        <w:autoSpaceDN/>
        <w:bidi w:val="0"/>
        <w:rPr>
          <w:rFonts w:hint="eastAsia"/>
          <w:i/>
          <w:iCs/>
          <w:color w:val="auto"/>
          <w:szCs w:val="21"/>
          <w:highlight w:val="none"/>
        </w:rPr>
      </w:pPr>
      <w:r>
        <w:rPr>
          <w:i/>
          <w:iCs/>
          <w:color w:val="auto"/>
          <w:szCs w:val="21"/>
          <w:highlight w:val="none"/>
        </w:rPr>
        <w:t>（对于采购需求</w:t>
      </w:r>
      <w:r>
        <w:rPr>
          <w:rFonts w:hint="eastAsia"/>
          <w:i/>
          <w:iCs/>
          <w:color w:val="auto"/>
          <w:szCs w:val="21"/>
          <w:highlight w:val="none"/>
        </w:rPr>
        <w:t>或评分标准中</w:t>
      </w:r>
      <w:r>
        <w:rPr>
          <w:i/>
          <w:iCs/>
          <w:color w:val="auto"/>
          <w:szCs w:val="21"/>
          <w:highlight w:val="none"/>
        </w:rPr>
        <w:t>写明“提供承诺”的条款，供应商可参照以下格式提供承诺</w:t>
      </w:r>
      <w:r>
        <w:rPr>
          <w:rFonts w:hint="eastAsia"/>
          <w:i/>
          <w:iCs/>
          <w:color w:val="auto"/>
          <w:szCs w:val="21"/>
          <w:highlight w:val="none"/>
        </w:rPr>
        <w:t>，若要求提供证明材料或者方案的，须按要求提供，否则不予认可；以下格式文件由供应商根据需要选用。</w:t>
      </w:r>
      <w:r>
        <w:rPr>
          <w:i/>
          <w:iCs/>
          <w:color w:val="auto"/>
          <w:szCs w:val="21"/>
          <w:highlight w:val="none"/>
        </w:rPr>
        <w:t>）</w:t>
      </w:r>
    </w:p>
    <w:p w14:paraId="6FF187DB">
      <w:pPr>
        <w:pStyle w:val="356"/>
        <w:keepNext w:val="0"/>
        <w:keepLines w:val="0"/>
        <w:pageBreakBefore w:val="0"/>
        <w:widowControl w:val="0"/>
        <w:kinsoku/>
        <w:wordWrap/>
        <w:overflowPunct/>
        <w:topLinePunct w:val="0"/>
        <w:autoSpaceDE/>
        <w:autoSpaceDN/>
        <w:bidi w:val="0"/>
        <w:ind w:firstLine="0" w:firstLineChars="0"/>
        <w:jc w:val="center"/>
        <w:rPr>
          <w:rFonts w:hint="eastAsia"/>
          <w:b/>
          <w:bCs/>
          <w:color w:val="auto"/>
          <w:sz w:val="28"/>
          <w:szCs w:val="28"/>
          <w:highlight w:val="none"/>
          <w:lang w:eastAsia="zh-CN"/>
        </w:rPr>
      </w:pPr>
      <w:r>
        <w:rPr>
          <w:b/>
          <w:bCs/>
          <w:color w:val="auto"/>
          <w:sz w:val="28"/>
          <w:szCs w:val="28"/>
          <w:highlight w:val="none"/>
          <w:lang w:eastAsia="zh-CN"/>
        </w:rPr>
        <w:t>承诺函</w:t>
      </w:r>
    </w:p>
    <w:p w14:paraId="1FF5DB0A">
      <w:pPr>
        <w:keepNext w:val="0"/>
        <w:keepLines w:val="0"/>
        <w:pageBreakBefore w:val="0"/>
        <w:widowControl w:val="0"/>
        <w:kinsoku/>
        <w:wordWrap/>
        <w:overflowPunct/>
        <w:topLinePunct w:val="0"/>
        <w:autoSpaceDE/>
        <w:autoSpaceDN/>
        <w:bidi w:val="0"/>
        <w:jc w:val="left"/>
        <w:rPr>
          <w:rFonts w:hint="eastAsia"/>
          <w:color w:val="auto"/>
          <w:sz w:val="24"/>
          <w:highlight w:val="none"/>
        </w:rPr>
      </w:pPr>
      <w:r>
        <w:rPr>
          <w:color w:val="auto"/>
          <w:sz w:val="24"/>
          <w:highlight w:val="none"/>
        </w:rPr>
        <w:t>致：</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（采购人名称）</w:t>
      </w:r>
      <w:r>
        <w:rPr>
          <w:color w:val="auto"/>
          <w:sz w:val="24"/>
          <w:highlight w:val="none"/>
        </w:rPr>
        <w:br w:type="textWrapping"/>
      </w:r>
    </w:p>
    <w:p w14:paraId="35E0D97D">
      <w:pPr>
        <w:keepNext w:val="0"/>
        <w:keepLines w:val="0"/>
        <w:pageBreakBefore w:val="0"/>
        <w:widowControl w:val="0"/>
        <w:kinsoku/>
        <w:wordWrap/>
        <w:overflowPunct/>
        <w:topLinePunct w:val="0"/>
        <w:autoSpaceDE/>
        <w:autoSpaceDN/>
        <w:bidi w:val="0"/>
        <w:ind w:firstLine="480" w:firstLineChars="200"/>
        <w:rPr>
          <w:rFonts w:hint="eastAsia"/>
          <w:color w:val="auto"/>
          <w:sz w:val="24"/>
          <w:highlight w:val="none"/>
        </w:rPr>
      </w:pPr>
      <w:r>
        <w:rPr>
          <w:color w:val="auto"/>
          <w:sz w:val="24"/>
          <w:highlight w:val="none"/>
        </w:rPr>
        <w:t>对于__________项目（项目编号：__________），我方郑重承诺如下：</w:t>
      </w:r>
    </w:p>
    <w:p w14:paraId="0E04557F">
      <w:pPr>
        <w:keepNext w:val="0"/>
        <w:keepLines w:val="0"/>
        <w:pageBreakBefore w:val="0"/>
        <w:widowControl w:val="0"/>
        <w:kinsoku/>
        <w:wordWrap/>
        <w:overflowPunct/>
        <w:topLinePunct w:val="0"/>
        <w:autoSpaceDE/>
        <w:autoSpaceDN/>
        <w:bidi w:val="0"/>
        <w:ind w:firstLine="480" w:firstLineChars="200"/>
        <w:rPr>
          <w:rFonts w:hint="eastAsia"/>
          <w:color w:val="auto"/>
          <w:sz w:val="24"/>
          <w:highlight w:val="none"/>
        </w:rPr>
      </w:pPr>
      <w:r>
        <w:rPr>
          <w:color w:val="auto"/>
          <w:sz w:val="24"/>
          <w:highlight w:val="none"/>
        </w:rPr>
        <w:t>如中标/成交，我方承诺严格落实采购文件以下条款：(建议逐条复制采购文件相关条款原文)</w:t>
      </w:r>
    </w:p>
    <w:p w14:paraId="4D4CA569">
      <w:pPr>
        <w:keepNext w:val="0"/>
        <w:keepLines w:val="0"/>
        <w:pageBreakBefore w:val="0"/>
        <w:widowControl w:val="0"/>
        <w:kinsoku/>
        <w:wordWrap/>
        <w:overflowPunct/>
        <w:topLinePunct w:val="0"/>
        <w:autoSpaceDE/>
        <w:autoSpaceDN/>
        <w:bidi w:val="0"/>
        <w:ind w:firstLine="480" w:firstLineChars="200"/>
        <w:rPr>
          <w:rFonts w:hint="eastAsia"/>
          <w:color w:val="auto"/>
          <w:sz w:val="24"/>
          <w:highlight w:val="none"/>
        </w:rPr>
      </w:pPr>
      <w:r>
        <w:rPr>
          <w:color w:val="auto"/>
          <w:sz w:val="24"/>
          <w:highlight w:val="none"/>
        </w:rPr>
        <w:t>1.</w:t>
      </w:r>
    </w:p>
    <w:p w14:paraId="107286B0">
      <w:pPr>
        <w:keepNext w:val="0"/>
        <w:keepLines w:val="0"/>
        <w:pageBreakBefore w:val="0"/>
        <w:widowControl w:val="0"/>
        <w:kinsoku/>
        <w:wordWrap/>
        <w:overflowPunct/>
        <w:topLinePunct w:val="0"/>
        <w:autoSpaceDE/>
        <w:autoSpaceDN/>
        <w:bidi w:val="0"/>
        <w:ind w:firstLine="480" w:firstLineChars="200"/>
        <w:rPr>
          <w:rFonts w:hint="eastAsia"/>
          <w:color w:val="auto"/>
          <w:sz w:val="24"/>
          <w:highlight w:val="none"/>
        </w:rPr>
      </w:pPr>
      <w:r>
        <w:rPr>
          <w:color w:val="auto"/>
          <w:sz w:val="24"/>
          <w:highlight w:val="none"/>
        </w:rPr>
        <w:t>2.</w:t>
      </w:r>
    </w:p>
    <w:p w14:paraId="14A5C3BD">
      <w:pPr>
        <w:keepNext w:val="0"/>
        <w:keepLines w:val="0"/>
        <w:pageBreakBefore w:val="0"/>
        <w:widowControl w:val="0"/>
        <w:kinsoku/>
        <w:wordWrap/>
        <w:overflowPunct/>
        <w:topLinePunct w:val="0"/>
        <w:autoSpaceDE/>
        <w:autoSpaceDN/>
        <w:bidi w:val="0"/>
        <w:ind w:firstLine="480" w:firstLineChars="200"/>
        <w:rPr>
          <w:rFonts w:hint="eastAsia"/>
          <w:color w:val="auto"/>
          <w:sz w:val="24"/>
          <w:highlight w:val="none"/>
        </w:rPr>
      </w:pPr>
      <w:r>
        <w:rPr>
          <w:color w:val="auto"/>
          <w:sz w:val="24"/>
          <w:highlight w:val="none"/>
        </w:rPr>
        <w:t>3.</w:t>
      </w:r>
    </w:p>
    <w:p w14:paraId="3652ED2C">
      <w:pPr>
        <w:keepNext w:val="0"/>
        <w:keepLines w:val="0"/>
        <w:pageBreakBefore w:val="0"/>
        <w:widowControl w:val="0"/>
        <w:kinsoku/>
        <w:wordWrap/>
        <w:overflowPunct/>
        <w:topLinePunct w:val="0"/>
        <w:autoSpaceDE/>
        <w:autoSpaceDN/>
        <w:bidi w:val="0"/>
        <w:ind w:firstLine="480" w:firstLineChars="200"/>
        <w:rPr>
          <w:rFonts w:hint="eastAsia"/>
          <w:color w:val="auto"/>
          <w:sz w:val="24"/>
          <w:highlight w:val="none"/>
        </w:rPr>
      </w:pPr>
      <w:r>
        <w:rPr>
          <w:color w:val="auto"/>
          <w:sz w:val="24"/>
          <w:highlight w:val="none"/>
        </w:rPr>
        <w:t>.........</w:t>
      </w:r>
    </w:p>
    <w:p w14:paraId="2E380C74">
      <w:pPr>
        <w:keepNext w:val="0"/>
        <w:keepLines w:val="0"/>
        <w:pageBreakBefore w:val="0"/>
        <w:widowControl w:val="0"/>
        <w:kinsoku/>
        <w:wordWrap/>
        <w:overflowPunct/>
        <w:topLinePunct w:val="0"/>
        <w:autoSpaceDE/>
        <w:autoSpaceDN/>
        <w:bidi w:val="0"/>
        <w:ind w:firstLine="480"/>
        <w:rPr>
          <w:rFonts w:hint="eastAsia"/>
          <w:color w:val="auto"/>
          <w:sz w:val="24"/>
          <w:highlight w:val="none"/>
        </w:rPr>
      </w:pPr>
      <w:r>
        <w:rPr>
          <w:color w:val="auto"/>
          <w:sz w:val="24"/>
          <w:highlight w:val="none"/>
        </w:rPr>
        <w:t>特此承诺。</w:t>
      </w:r>
    </w:p>
    <w:bookmarkEnd w:id="354"/>
    <w:p w14:paraId="374288D8">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0E88A3FC">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2B07A209">
      <w:pPr>
        <w:keepNext w:val="0"/>
        <w:keepLines w:val="0"/>
        <w:pageBreakBefore w:val="0"/>
        <w:widowControl w:val="0"/>
        <w:kinsoku/>
        <w:wordWrap/>
        <w:overflowPunct/>
        <w:topLinePunct w:val="0"/>
        <w:autoSpaceDE/>
        <w:autoSpaceDN/>
        <w:bidi w:val="0"/>
        <w:jc w:val="right"/>
        <w:rPr>
          <w:rFonts w:hint="eastAsia"/>
          <w:color w:val="auto"/>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highlight w:val="none"/>
        </w:rPr>
        <w:t>日</w:t>
      </w:r>
    </w:p>
    <w:p w14:paraId="51FFD671">
      <w:pPr>
        <w:pStyle w:val="19"/>
        <w:keepNext w:val="0"/>
        <w:keepLines w:val="0"/>
        <w:pageBreakBefore w:val="0"/>
        <w:widowControl w:val="0"/>
        <w:kinsoku/>
        <w:wordWrap/>
        <w:overflowPunct/>
        <w:topLinePunct w:val="0"/>
        <w:autoSpaceDE/>
        <w:autoSpaceDN/>
        <w:bidi w:val="0"/>
        <w:rPr>
          <w:rFonts w:hint="eastAsia"/>
          <w:color w:val="auto"/>
          <w:highlight w:val="none"/>
        </w:rPr>
      </w:pPr>
      <w:r>
        <w:rPr>
          <w:color w:val="auto"/>
          <w:highlight w:val="none"/>
        </w:rPr>
        <w:br w:type="page"/>
      </w:r>
    </w:p>
    <w:p w14:paraId="0DAFB390">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55" w:name="_Toc103033251"/>
      <w:bookmarkStart w:id="356" w:name="_Toc104160540"/>
      <w:bookmarkStart w:id="357" w:name="_Toc104040720"/>
      <w:bookmarkStart w:id="358" w:name="_Toc28363"/>
      <w:bookmarkStart w:id="359" w:name="_Toc202251702"/>
      <w:bookmarkStart w:id="360" w:name="_Toc425161124"/>
      <w:bookmarkStart w:id="361" w:name="_Toc202252036"/>
      <w:bookmarkStart w:id="362" w:name="_Toc202816998"/>
      <w:bookmarkStart w:id="363" w:name="_Toc202251077"/>
      <w:bookmarkStart w:id="364" w:name="_Toc202254107"/>
      <w:bookmarkStart w:id="365" w:name="_Toc202819880"/>
      <w:bookmarkStart w:id="366" w:name="_Toc202820353"/>
      <w:bookmarkStart w:id="367" w:name="_Toc462677246"/>
      <w:bookmarkStart w:id="368" w:name="_Toc259090991"/>
      <w:r>
        <w:rPr>
          <w:rFonts w:hint="eastAsia" w:ascii="宋体" w:hAnsi="宋体" w:eastAsia="宋体"/>
          <w:color w:val="auto"/>
          <w:sz w:val="24"/>
          <w:szCs w:val="24"/>
          <w:highlight w:val="none"/>
        </w:rPr>
        <w:t>类似</w:t>
      </w:r>
      <w:r>
        <w:rPr>
          <w:rFonts w:ascii="宋体" w:hAnsi="宋体" w:eastAsia="宋体"/>
          <w:color w:val="auto"/>
          <w:sz w:val="24"/>
          <w:szCs w:val="24"/>
          <w:highlight w:val="none"/>
        </w:rPr>
        <w:t>项目</w:t>
      </w:r>
      <w:r>
        <w:rPr>
          <w:rFonts w:hint="eastAsia" w:ascii="宋体" w:hAnsi="宋体" w:eastAsia="宋体"/>
          <w:color w:val="auto"/>
          <w:sz w:val="24"/>
          <w:szCs w:val="24"/>
          <w:highlight w:val="none"/>
        </w:rPr>
        <w:t>业绩</w:t>
      </w:r>
      <w:bookmarkEnd w:id="355"/>
      <w:bookmarkEnd w:id="356"/>
      <w:bookmarkEnd w:id="357"/>
      <w:bookmarkEnd w:id="358"/>
    </w:p>
    <w:tbl>
      <w:tblPr>
        <w:tblStyle w:val="4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8"/>
        <w:gridCol w:w="1521"/>
        <w:gridCol w:w="1518"/>
        <w:gridCol w:w="1855"/>
        <w:gridCol w:w="2361"/>
        <w:gridCol w:w="1691"/>
      </w:tblGrid>
      <w:tr w14:paraId="3547F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tcBorders>
              <w:bottom w:val="single" w:color="auto" w:sz="4" w:space="0"/>
            </w:tcBorders>
            <w:shd w:val="clear" w:color="auto" w:fill="F3F3F3"/>
            <w:vAlign w:val="center"/>
          </w:tcPr>
          <w:p w14:paraId="28885EAD">
            <w:pPr>
              <w:keepNext w:val="0"/>
              <w:keepLines w:val="0"/>
              <w:pageBreakBefore w:val="0"/>
              <w:widowControl w:val="0"/>
              <w:kinsoku/>
              <w:wordWrap/>
              <w:overflowPunct/>
              <w:topLinePunct w:val="0"/>
              <w:autoSpaceDE/>
              <w:autoSpaceDN/>
              <w:bidi w:val="0"/>
              <w:spacing w:line="240" w:lineRule="auto"/>
              <w:jc w:val="center"/>
              <w:rPr>
                <w:rFonts w:hint="eastAsia" w:cs="等线"/>
                <w:b/>
                <w:bCs/>
                <w:color w:val="auto"/>
                <w:szCs w:val="21"/>
                <w:highlight w:val="none"/>
              </w:rPr>
            </w:pPr>
            <w:r>
              <w:rPr>
                <w:rFonts w:hint="eastAsia" w:cs="等线"/>
                <w:b/>
                <w:bCs/>
                <w:color w:val="auto"/>
                <w:szCs w:val="21"/>
                <w:highlight w:val="none"/>
              </w:rPr>
              <w:t>序号</w:t>
            </w:r>
          </w:p>
        </w:tc>
        <w:tc>
          <w:tcPr>
            <w:tcW w:w="772" w:type="pct"/>
            <w:tcBorders>
              <w:bottom w:val="single" w:color="auto" w:sz="4" w:space="0"/>
            </w:tcBorders>
            <w:shd w:val="clear" w:color="auto" w:fill="F3F3F3"/>
            <w:vAlign w:val="center"/>
          </w:tcPr>
          <w:p w14:paraId="12A4D1A4">
            <w:pPr>
              <w:keepNext w:val="0"/>
              <w:keepLines w:val="0"/>
              <w:pageBreakBefore w:val="0"/>
              <w:widowControl w:val="0"/>
              <w:kinsoku/>
              <w:wordWrap/>
              <w:overflowPunct/>
              <w:topLinePunct w:val="0"/>
              <w:autoSpaceDE/>
              <w:autoSpaceDN/>
              <w:bidi w:val="0"/>
              <w:spacing w:line="240" w:lineRule="auto"/>
              <w:jc w:val="center"/>
              <w:rPr>
                <w:rFonts w:hint="eastAsia" w:cs="等线"/>
                <w:b/>
                <w:bCs/>
                <w:color w:val="auto"/>
                <w:szCs w:val="21"/>
                <w:highlight w:val="none"/>
              </w:rPr>
            </w:pPr>
            <w:r>
              <w:rPr>
                <w:rFonts w:hint="eastAsia" w:cs="等线"/>
                <w:b/>
                <w:bCs/>
                <w:color w:val="auto"/>
                <w:szCs w:val="21"/>
                <w:highlight w:val="none"/>
              </w:rPr>
              <w:t>客户名称</w:t>
            </w:r>
          </w:p>
        </w:tc>
        <w:tc>
          <w:tcPr>
            <w:tcW w:w="770" w:type="pct"/>
            <w:tcBorders>
              <w:bottom w:val="single" w:color="auto" w:sz="4" w:space="0"/>
            </w:tcBorders>
            <w:shd w:val="clear" w:color="auto" w:fill="F3F3F3"/>
            <w:vAlign w:val="center"/>
          </w:tcPr>
          <w:p w14:paraId="580B3C4B">
            <w:pPr>
              <w:keepNext w:val="0"/>
              <w:keepLines w:val="0"/>
              <w:pageBreakBefore w:val="0"/>
              <w:widowControl w:val="0"/>
              <w:kinsoku/>
              <w:wordWrap/>
              <w:overflowPunct/>
              <w:topLinePunct w:val="0"/>
              <w:autoSpaceDE/>
              <w:autoSpaceDN/>
              <w:bidi w:val="0"/>
              <w:spacing w:line="240" w:lineRule="auto"/>
              <w:jc w:val="center"/>
              <w:rPr>
                <w:rFonts w:hint="eastAsia" w:cs="等线"/>
                <w:b/>
                <w:bCs/>
                <w:color w:val="auto"/>
                <w:szCs w:val="21"/>
                <w:highlight w:val="none"/>
              </w:rPr>
            </w:pPr>
            <w:r>
              <w:rPr>
                <w:rFonts w:hint="eastAsia" w:cs="等线"/>
                <w:b/>
                <w:bCs/>
                <w:color w:val="auto"/>
                <w:szCs w:val="21"/>
                <w:highlight w:val="none"/>
              </w:rPr>
              <w:t>合同名称</w:t>
            </w:r>
          </w:p>
        </w:tc>
        <w:tc>
          <w:tcPr>
            <w:tcW w:w="941" w:type="pct"/>
            <w:tcBorders>
              <w:bottom w:val="single" w:color="auto" w:sz="4" w:space="0"/>
            </w:tcBorders>
            <w:shd w:val="clear" w:color="auto" w:fill="F3F3F3"/>
            <w:vAlign w:val="center"/>
          </w:tcPr>
          <w:p w14:paraId="42150088">
            <w:pPr>
              <w:keepNext w:val="0"/>
              <w:keepLines w:val="0"/>
              <w:pageBreakBefore w:val="0"/>
              <w:widowControl w:val="0"/>
              <w:kinsoku/>
              <w:wordWrap/>
              <w:overflowPunct/>
              <w:topLinePunct w:val="0"/>
              <w:autoSpaceDE/>
              <w:autoSpaceDN/>
              <w:bidi w:val="0"/>
              <w:spacing w:line="240" w:lineRule="auto"/>
              <w:jc w:val="center"/>
              <w:rPr>
                <w:rFonts w:hint="eastAsia" w:cs="等线"/>
                <w:b/>
                <w:bCs/>
                <w:color w:val="auto"/>
                <w:szCs w:val="21"/>
                <w:highlight w:val="none"/>
              </w:rPr>
            </w:pPr>
            <w:r>
              <w:rPr>
                <w:rFonts w:hint="eastAsia" w:cs="等线"/>
                <w:b/>
                <w:bCs/>
                <w:color w:val="auto"/>
                <w:szCs w:val="21"/>
                <w:highlight w:val="none"/>
              </w:rPr>
              <w:t>合同内容</w:t>
            </w:r>
          </w:p>
        </w:tc>
        <w:tc>
          <w:tcPr>
            <w:tcW w:w="1198" w:type="pct"/>
            <w:tcBorders>
              <w:bottom w:val="single" w:color="auto" w:sz="4" w:space="0"/>
            </w:tcBorders>
            <w:shd w:val="clear" w:color="auto" w:fill="F3F3F3"/>
            <w:vAlign w:val="center"/>
          </w:tcPr>
          <w:p w14:paraId="3AC241D7">
            <w:pPr>
              <w:keepNext w:val="0"/>
              <w:keepLines w:val="0"/>
              <w:pageBreakBefore w:val="0"/>
              <w:widowControl w:val="0"/>
              <w:kinsoku/>
              <w:wordWrap/>
              <w:overflowPunct/>
              <w:topLinePunct w:val="0"/>
              <w:autoSpaceDE/>
              <w:autoSpaceDN/>
              <w:bidi w:val="0"/>
              <w:spacing w:line="240" w:lineRule="auto"/>
              <w:jc w:val="center"/>
              <w:rPr>
                <w:rFonts w:hint="eastAsia" w:cs="等线"/>
                <w:b/>
                <w:bCs/>
                <w:color w:val="auto"/>
                <w:szCs w:val="21"/>
                <w:highlight w:val="none"/>
              </w:rPr>
            </w:pPr>
            <w:r>
              <w:rPr>
                <w:rFonts w:hint="eastAsia" w:cs="等线"/>
                <w:b/>
                <w:bCs/>
                <w:color w:val="auto"/>
                <w:szCs w:val="21"/>
                <w:highlight w:val="none"/>
              </w:rPr>
              <w:t>合同签订时间</w:t>
            </w:r>
          </w:p>
        </w:tc>
        <w:tc>
          <w:tcPr>
            <w:tcW w:w="858" w:type="pct"/>
            <w:tcBorders>
              <w:bottom w:val="single" w:color="auto" w:sz="4" w:space="0"/>
            </w:tcBorders>
            <w:shd w:val="clear" w:color="auto" w:fill="F3F3F3"/>
            <w:vAlign w:val="center"/>
          </w:tcPr>
          <w:p w14:paraId="4964A62D">
            <w:pPr>
              <w:keepNext w:val="0"/>
              <w:keepLines w:val="0"/>
              <w:pageBreakBefore w:val="0"/>
              <w:widowControl w:val="0"/>
              <w:kinsoku/>
              <w:wordWrap/>
              <w:overflowPunct/>
              <w:topLinePunct w:val="0"/>
              <w:autoSpaceDE/>
              <w:autoSpaceDN/>
              <w:bidi w:val="0"/>
              <w:spacing w:line="240" w:lineRule="auto"/>
              <w:jc w:val="center"/>
              <w:rPr>
                <w:rFonts w:hint="eastAsia" w:cs="等线"/>
                <w:b/>
                <w:bCs/>
                <w:color w:val="auto"/>
                <w:szCs w:val="21"/>
                <w:highlight w:val="none"/>
              </w:rPr>
            </w:pPr>
            <w:r>
              <w:rPr>
                <w:rFonts w:hint="eastAsia" w:cs="等线"/>
                <w:b/>
                <w:bCs/>
                <w:color w:val="auto"/>
                <w:szCs w:val="21"/>
                <w:highlight w:val="none"/>
              </w:rPr>
              <w:t>备注</w:t>
            </w:r>
          </w:p>
        </w:tc>
      </w:tr>
      <w:tr w14:paraId="0E3E9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shd w:val="clear" w:color="auto" w:fill="FFFFFF"/>
            <w:vAlign w:val="center"/>
          </w:tcPr>
          <w:p w14:paraId="256A2DAD">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r>
              <w:rPr>
                <w:rFonts w:hint="eastAsia" w:cs="等线"/>
                <w:color w:val="auto"/>
                <w:szCs w:val="21"/>
                <w:highlight w:val="none"/>
              </w:rPr>
              <w:t>1</w:t>
            </w:r>
          </w:p>
        </w:tc>
        <w:tc>
          <w:tcPr>
            <w:tcW w:w="772" w:type="pct"/>
            <w:shd w:val="clear" w:color="auto" w:fill="FFFFFF"/>
            <w:vAlign w:val="center"/>
          </w:tcPr>
          <w:p w14:paraId="75670E9A">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770" w:type="pct"/>
            <w:shd w:val="clear" w:color="auto" w:fill="FFFFFF"/>
            <w:vAlign w:val="center"/>
          </w:tcPr>
          <w:p w14:paraId="0DA81219">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941" w:type="pct"/>
            <w:shd w:val="clear" w:color="auto" w:fill="FFFFFF"/>
            <w:vAlign w:val="center"/>
          </w:tcPr>
          <w:p w14:paraId="03CB0F25">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1198" w:type="pct"/>
            <w:shd w:val="clear" w:color="auto" w:fill="FFFFFF"/>
            <w:vAlign w:val="center"/>
          </w:tcPr>
          <w:p w14:paraId="2010AB8D">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858" w:type="pct"/>
            <w:shd w:val="clear" w:color="auto" w:fill="FFFFFF"/>
            <w:vAlign w:val="center"/>
          </w:tcPr>
          <w:p w14:paraId="3A920109">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r>
      <w:tr w14:paraId="4046D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shd w:val="clear" w:color="auto" w:fill="FFFFFF"/>
            <w:vAlign w:val="center"/>
          </w:tcPr>
          <w:p w14:paraId="11DAABF5">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r>
              <w:rPr>
                <w:rFonts w:hint="eastAsia" w:cs="等线"/>
                <w:color w:val="auto"/>
                <w:szCs w:val="21"/>
                <w:highlight w:val="none"/>
              </w:rPr>
              <w:t>2</w:t>
            </w:r>
          </w:p>
        </w:tc>
        <w:tc>
          <w:tcPr>
            <w:tcW w:w="772" w:type="pct"/>
            <w:shd w:val="clear" w:color="auto" w:fill="FFFFFF"/>
            <w:vAlign w:val="center"/>
          </w:tcPr>
          <w:p w14:paraId="0D039A31">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770" w:type="pct"/>
            <w:shd w:val="clear" w:color="auto" w:fill="FFFFFF"/>
            <w:vAlign w:val="center"/>
          </w:tcPr>
          <w:p w14:paraId="5E3F0884">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941" w:type="pct"/>
            <w:shd w:val="clear" w:color="auto" w:fill="FFFFFF"/>
            <w:vAlign w:val="center"/>
          </w:tcPr>
          <w:p w14:paraId="33368B11">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1198" w:type="pct"/>
            <w:shd w:val="clear" w:color="auto" w:fill="FFFFFF"/>
            <w:vAlign w:val="center"/>
          </w:tcPr>
          <w:p w14:paraId="4E81E038">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858" w:type="pct"/>
            <w:shd w:val="clear" w:color="auto" w:fill="FFFFFF"/>
            <w:vAlign w:val="center"/>
          </w:tcPr>
          <w:p w14:paraId="6783A466">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r>
      <w:tr w14:paraId="34D1B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shd w:val="clear" w:color="auto" w:fill="FFFFFF"/>
            <w:vAlign w:val="center"/>
          </w:tcPr>
          <w:p w14:paraId="78D9C7B3">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r>
              <w:rPr>
                <w:rFonts w:hint="eastAsia" w:cs="等线"/>
                <w:color w:val="auto"/>
                <w:szCs w:val="21"/>
                <w:highlight w:val="none"/>
              </w:rPr>
              <w:t>3</w:t>
            </w:r>
          </w:p>
        </w:tc>
        <w:tc>
          <w:tcPr>
            <w:tcW w:w="772" w:type="pct"/>
            <w:shd w:val="clear" w:color="auto" w:fill="FFFFFF"/>
            <w:vAlign w:val="center"/>
          </w:tcPr>
          <w:p w14:paraId="55CF0B59">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770" w:type="pct"/>
            <w:shd w:val="clear" w:color="auto" w:fill="FFFFFF"/>
            <w:vAlign w:val="center"/>
          </w:tcPr>
          <w:p w14:paraId="02F32FC6">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941" w:type="pct"/>
            <w:shd w:val="clear" w:color="auto" w:fill="FFFFFF"/>
            <w:vAlign w:val="center"/>
          </w:tcPr>
          <w:p w14:paraId="467C7B9F">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1198" w:type="pct"/>
            <w:shd w:val="clear" w:color="auto" w:fill="FFFFFF"/>
            <w:vAlign w:val="center"/>
          </w:tcPr>
          <w:p w14:paraId="309F618D">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858" w:type="pct"/>
            <w:shd w:val="clear" w:color="auto" w:fill="FFFFFF"/>
            <w:vAlign w:val="center"/>
          </w:tcPr>
          <w:p w14:paraId="6D6E2015">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r>
      <w:tr w14:paraId="2E183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shd w:val="clear" w:color="auto" w:fill="FFFFFF"/>
            <w:vAlign w:val="center"/>
          </w:tcPr>
          <w:p w14:paraId="6CAE0492">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r>
              <w:rPr>
                <w:rFonts w:hint="eastAsia" w:cs="等线"/>
                <w:color w:val="auto"/>
                <w:szCs w:val="21"/>
                <w:highlight w:val="none"/>
              </w:rPr>
              <w:t>…</w:t>
            </w:r>
          </w:p>
        </w:tc>
        <w:tc>
          <w:tcPr>
            <w:tcW w:w="772" w:type="pct"/>
            <w:shd w:val="clear" w:color="auto" w:fill="FFFFFF"/>
            <w:vAlign w:val="center"/>
          </w:tcPr>
          <w:p w14:paraId="6AF252C4">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770" w:type="pct"/>
            <w:shd w:val="clear" w:color="auto" w:fill="FFFFFF"/>
            <w:vAlign w:val="center"/>
          </w:tcPr>
          <w:p w14:paraId="6D5E219C">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941" w:type="pct"/>
            <w:shd w:val="clear" w:color="auto" w:fill="FFFFFF"/>
            <w:vAlign w:val="center"/>
          </w:tcPr>
          <w:p w14:paraId="4F3C59FA">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1198" w:type="pct"/>
            <w:shd w:val="clear" w:color="auto" w:fill="FFFFFF"/>
            <w:vAlign w:val="center"/>
          </w:tcPr>
          <w:p w14:paraId="5954B2D8">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c>
          <w:tcPr>
            <w:tcW w:w="858" w:type="pct"/>
            <w:shd w:val="clear" w:color="auto" w:fill="FFFFFF"/>
            <w:vAlign w:val="center"/>
          </w:tcPr>
          <w:p w14:paraId="215DFF4F">
            <w:pPr>
              <w:keepNext w:val="0"/>
              <w:keepLines w:val="0"/>
              <w:pageBreakBefore w:val="0"/>
              <w:widowControl w:val="0"/>
              <w:kinsoku/>
              <w:wordWrap/>
              <w:overflowPunct/>
              <w:topLinePunct w:val="0"/>
              <w:autoSpaceDE/>
              <w:autoSpaceDN/>
              <w:bidi w:val="0"/>
              <w:spacing w:line="240" w:lineRule="auto"/>
              <w:jc w:val="center"/>
              <w:rPr>
                <w:rFonts w:hint="eastAsia" w:cs="等线"/>
                <w:color w:val="auto"/>
                <w:szCs w:val="21"/>
                <w:highlight w:val="none"/>
              </w:rPr>
            </w:pPr>
          </w:p>
        </w:tc>
      </w:tr>
    </w:tbl>
    <w:p w14:paraId="7102A396">
      <w:pPr>
        <w:keepNext w:val="0"/>
        <w:keepLines w:val="0"/>
        <w:pageBreakBefore w:val="0"/>
        <w:widowControl w:val="0"/>
        <w:kinsoku/>
        <w:wordWrap/>
        <w:overflowPunct/>
        <w:topLinePunct w:val="0"/>
        <w:autoSpaceDE/>
        <w:autoSpaceDN/>
        <w:bidi w:val="0"/>
        <w:rPr>
          <w:rFonts w:hint="eastAsia"/>
          <w:color w:val="auto"/>
          <w:highlight w:val="none"/>
        </w:rPr>
      </w:pPr>
      <w:r>
        <w:rPr>
          <w:rFonts w:hint="eastAsia"/>
          <w:color w:val="auto"/>
          <w:highlight w:val="none"/>
        </w:rPr>
        <w:t>说明：根据评审标准要求提供相关证明材料。</w:t>
      </w:r>
    </w:p>
    <w:p w14:paraId="028D6E13">
      <w:pPr>
        <w:pStyle w:val="19"/>
        <w:keepNext w:val="0"/>
        <w:keepLines w:val="0"/>
        <w:pageBreakBefore w:val="0"/>
        <w:widowControl w:val="0"/>
        <w:kinsoku/>
        <w:wordWrap/>
        <w:overflowPunct/>
        <w:topLinePunct w:val="0"/>
        <w:autoSpaceDE/>
        <w:autoSpaceDN/>
        <w:bidi w:val="0"/>
        <w:rPr>
          <w:rFonts w:hint="eastAsia"/>
          <w:color w:val="auto"/>
          <w:highlight w:val="none"/>
        </w:rPr>
      </w:pPr>
    </w:p>
    <w:p w14:paraId="1A556E36">
      <w:pPr>
        <w:rPr>
          <w:rFonts w:hint="eastAsia"/>
          <w:color w:val="auto"/>
          <w:highlight w:val="none"/>
        </w:rPr>
      </w:pPr>
    </w:p>
    <w:p w14:paraId="4042AFF3">
      <w:pPr>
        <w:rPr>
          <w:rFonts w:hint="eastAsia"/>
          <w:color w:val="auto"/>
          <w:highlight w:val="none"/>
        </w:rPr>
      </w:pPr>
    </w:p>
    <w:bookmarkEnd w:id="359"/>
    <w:bookmarkEnd w:id="360"/>
    <w:bookmarkEnd w:id="361"/>
    <w:bookmarkEnd w:id="362"/>
    <w:bookmarkEnd w:id="363"/>
    <w:bookmarkEnd w:id="364"/>
    <w:bookmarkEnd w:id="365"/>
    <w:bookmarkEnd w:id="366"/>
    <w:bookmarkEnd w:id="367"/>
    <w:bookmarkEnd w:id="368"/>
    <w:p w14:paraId="1D26E7F4">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69" w:name="_Toc23304"/>
      <w:bookmarkStart w:id="370" w:name="_Toc103033247"/>
      <w:bookmarkStart w:id="371" w:name="_Toc104040719"/>
      <w:bookmarkStart w:id="372" w:name="_Toc104160539"/>
      <w:bookmarkStart w:id="373" w:name="_Toc104040721"/>
      <w:bookmarkStart w:id="374" w:name="_Toc103033254"/>
      <w:bookmarkStart w:id="375" w:name="_Toc104160541"/>
      <w:r>
        <w:rPr>
          <w:rFonts w:hint="eastAsia" w:ascii="宋体" w:hAnsi="宋体" w:eastAsia="宋体"/>
          <w:color w:val="auto"/>
          <w:sz w:val="24"/>
          <w:szCs w:val="24"/>
          <w:highlight w:val="none"/>
        </w:rPr>
        <w:t>认证情况</w:t>
      </w:r>
      <w:bookmarkEnd w:id="369"/>
    </w:p>
    <w:p w14:paraId="41107F7D">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0F92548B">
      <w:pPr>
        <w:rPr>
          <w:rFonts w:hint="eastAsia"/>
          <w:color w:val="auto"/>
          <w:highlight w:val="none"/>
        </w:rPr>
      </w:pPr>
    </w:p>
    <w:p w14:paraId="6C543D50">
      <w:pPr>
        <w:pStyle w:val="23"/>
        <w:rPr>
          <w:rFonts w:hint="eastAsia"/>
          <w:color w:val="auto"/>
          <w:highlight w:val="none"/>
        </w:rPr>
      </w:pPr>
    </w:p>
    <w:p w14:paraId="05E1E38E">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76" w:name="_Toc15525"/>
      <w:r>
        <w:rPr>
          <w:rFonts w:hint="eastAsia" w:ascii="宋体" w:hAnsi="宋体" w:eastAsia="宋体"/>
          <w:color w:val="auto"/>
          <w:sz w:val="24"/>
          <w:szCs w:val="24"/>
          <w:highlight w:val="none"/>
        </w:rPr>
        <w:t>配送车辆情况</w:t>
      </w:r>
      <w:bookmarkEnd w:id="376"/>
    </w:p>
    <w:p w14:paraId="69C29C0F">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58A77D01">
      <w:pPr>
        <w:rPr>
          <w:rFonts w:hint="eastAsia"/>
          <w:color w:val="auto"/>
          <w:highlight w:val="none"/>
        </w:rPr>
      </w:pPr>
    </w:p>
    <w:p w14:paraId="42F49FB5">
      <w:pPr>
        <w:pStyle w:val="23"/>
        <w:rPr>
          <w:rFonts w:hint="eastAsia"/>
          <w:color w:val="auto"/>
          <w:highlight w:val="none"/>
        </w:rPr>
      </w:pPr>
    </w:p>
    <w:p w14:paraId="2A00DD86">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77" w:name="_Toc15171"/>
      <w:r>
        <w:rPr>
          <w:rFonts w:hint="eastAsia" w:ascii="宋体" w:hAnsi="宋体" w:eastAsia="宋体"/>
          <w:color w:val="auto"/>
          <w:sz w:val="24"/>
          <w:szCs w:val="24"/>
          <w:highlight w:val="none"/>
        </w:rPr>
        <w:t>供货渠道多样性</w:t>
      </w:r>
      <w:bookmarkEnd w:id="377"/>
    </w:p>
    <w:p w14:paraId="32D1E257">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32BB3B63">
      <w:pPr>
        <w:rPr>
          <w:rFonts w:hint="eastAsia"/>
          <w:color w:val="auto"/>
          <w:highlight w:val="none"/>
        </w:rPr>
      </w:pPr>
    </w:p>
    <w:p w14:paraId="19C71242">
      <w:pPr>
        <w:pStyle w:val="23"/>
        <w:rPr>
          <w:rFonts w:hint="eastAsia"/>
          <w:color w:val="auto"/>
          <w:highlight w:val="none"/>
        </w:rPr>
      </w:pPr>
    </w:p>
    <w:p w14:paraId="6FEA71F8">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78" w:name="_Toc20915"/>
      <w:r>
        <w:rPr>
          <w:rFonts w:hint="eastAsia" w:ascii="宋体" w:hAnsi="宋体" w:eastAsia="宋体"/>
          <w:color w:val="auto"/>
          <w:sz w:val="24"/>
          <w:szCs w:val="24"/>
          <w:highlight w:val="none"/>
        </w:rPr>
        <w:t>食材供应保障</w:t>
      </w:r>
      <w:bookmarkEnd w:id="378"/>
    </w:p>
    <w:p w14:paraId="5DF6D153">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4DD29F4C">
      <w:pPr>
        <w:rPr>
          <w:rFonts w:hint="eastAsia"/>
          <w:color w:val="auto"/>
          <w:highlight w:val="none"/>
        </w:rPr>
      </w:pPr>
    </w:p>
    <w:p w14:paraId="1D67AEE1">
      <w:pPr>
        <w:pStyle w:val="23"/>
        <w:rPr>
          <w:rFonts w:hint="eastAsia"/>
          <w:color w:val="auto"/>
          <w:highlight w:val="none"/>
        </w:rPr>
      </w:pPr>
    </w:p>
    <w:p w14:paraId="4356EA9D">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79" w:name="_Toc8568"/>
      <w:r>
        <w:rPr>
          <w:rFonts w:hint="eastAsia" w:ascii="宋体" w:hAnsi="宋体" w:eastAsia="宋体"/>
          <w:color w:val="auto"/>
          <w:sz w:val="24"/>
          <w:szCs w:val="24"/>
          <w:highlight w:val="none"/>
        </w:rPr>
        <w:t>食材检测能力</w:t>
      </w:r>
      <w:bookmarkEnd w:id="379"/>
    </w:p>
    <w:p w14:paraId="07748EB0">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45901813">
      <w:pPr>
        <w:rPr>
          <w:rFonts w:hint="eastAsia"/>
          <w:color w:val="auto"/>
          <w:highlight w:val="none"/>
        </w:rPr>
      </w:pPr>
    </w:p>
    <w:p w14:paraId="35B7B54B">
      <w:pPr>
        <w:pStyle w:val="23"/>
        <w:rPr>
          <w:rFonts w:hint="eastAsia"/>
          <w:color w:val="auto"/>
          <w:highlight w:val="none"/>
        </w:rPr>
      </w:pPr>
    </w:p>
    <w:p w14:paraId="7D592BAF">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0" w:name="_Toc23328"/>
      <w:r>
        <w:rPr>
          <w:rFonts w:hint="eastAsia" w:ascii="宋体" w:hAnsi="宋体" w:eastAsia="宋体"/>
          <w:color w:val="auto"/>
          <w:sz w:val="24"/>
          <w:szCs w:val="24"/>
          <w:highlight w:val="none"/>
        </w:rPr>
        <w:t>食材储存能力</w:t>
      </w:r>
      <w:bookmarkEnd w:id="380"/>
    </w:p>
    <w:p w14:paraId="072DF591">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6C43E215">
      <w:pPr>
        <w:rPr>
          <w:rFonts w:hint="eastAsia"/>
          <w:color w:val="auto"/>
          <w:highlight w:val="none"/>
        </w:rPr>
      </w:pPr>
    </w:p>
    <w:p w14:paraId="47309092">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1" w:name="_Toc19633"/>
      <w:r>
        <w:rPr>
          <w:rFonts w:hint="eastAsia" w:ascii="宋体" w:hAnsi="宋体" w:eastAsia="宋体"/>
          <w:color w:val="auto"/>
          <w:sz w:val="24"/>
          <w:szCs w:val="24"/>
          <w:highlight w:val="none"/>
        </w:rPr>
        <w:t>项目负责人</w:t>
      </w:r>
      <w:bookmarkEnd w:id="381"/>
    </w:p>
    <w:p w14:paraId="14607E2E">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2B2C689B">
      <w:pPr>
        <w:rPr>
          <w:rFonts w:hint="eastAsia"/>
          <w:color w:val="auto"/>
          <w:highlight w:val="none"/>
        </w:rPr>
      </w:pPr>
    </w:p>
    <w:p w14:paraId="005434BF">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2" w:name="_Toc4113"/>
      <w:r>
        <w:rPr>
          <w:rFonts w:hint="eastAsia" w:ascii="宋体" w:hAnsi="宋体" w:eastAsia="宋体"/>
          <w:color w:val="auto"/>
          <w:sz w:val="24"/>
          <w:szCs w:val="24"/>
          <w:highlight w:val="none"/>
        </w:rPr>
        <w:t>服务团队资质</w:t>
      </w:r>
      <w:bookmarkEnd w:id="370"/>
      <w:bookmarkEnd w:id="371"/>
      <w:bookmarkEnd w:id="372"/>
      <w:bookmarkEnd w:id="382"/>
    </w:p>
    <w:p w14:paraId="39782DB9">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527EDDBC">
      <w:pPr>
        <w:pStyle w:val="19"/>
        <w:keepNext w:val="0"/>
        <w:keepLines w:val="0"/>
        <w:pageBreakBefore w:val="0"/>
        <w:widowControl w:val="0"/>
        <w:kinsoku/>
        <w:wordWrap/>
        <w:overflowPunct/>
        <w:topLinePunct w:val="0"/>
        <w:autoSpaceDE/>
        <w:autoSpaceDN/>
        <w:bidi w:val="0"/>
        <w:rPr>
          <w:rFonts w:hint="eastAsia"/>
          <w:color w:val="auto"/>
          <w:highlight w:val="none"/>
        </w:rPr>
      </w:pPr>
    </w:p>
    <w:p w14:paraId="67CDC3F0">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3" w:name="_Toc25253"/>
      <w:r>
        <w:rPr>
          <w:rFonts w:hint="eastAsia" w:ascii="宋体" w:hAnsi="宋体" w:eastAsia="宋体"/>
          <w:color w:val="auto"/>
          <w:sz w:val="24"/>
          <w:szCs w:val="24"/>
          <w:highlight w:val="none"/>
        </w:rPr>
        <w:t>服务实施方案</w:t>
      </w:r>
      <w:bookmarkEnd w:id="383"/>
    </w:p>
    <w:p w14:paraId="4CA53A6C">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01F6E727">
      <w:pPr>
        <w:rPr>
          <w:rFonts w:hint="eastAsia"/>
          <w:color w:val="auto"/>
          <w:highlight w:val="none"/>
        </w:rPr>
      </w:pPr>
    </w:p>
    <w:p w14:paraId="69F2613B">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4" w:name="_Toc9730"/>
      <w:r>
        <w:rPr>
          <w:rFonts w:hint="eastAsia" w:ascii="宋体" w:hAnsi="宋体" w:eastAsia="宋体"/>
          <w:color w:val="auto"/>
          <w:sz w:val="24"/>
          <w:szCs w:val="24"/>
          <w:highlight w:val="none"/>
        </w:rPr>
        <w:t>质量控制方案</w:t>
      </w:r>
      <w:bookmarkEnd w:id="384"/>
    </w:p>
    <w:p w14:paraId="75F910DC">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49B4B951">
      <w:pPr>
        <w:rPr>
          <w:rFonts w:hint="eastAsia"/>
          <w:color w:val="auto"/>
          <w:highlight w:val="none"/>
        </w:rPr>
      </w:pPr>
    </w:p>
    <w:p w14:paraId="7CB62443">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5" w:name="_Toc14098"/>
      <w:r>
        <w:rPr>
          <w:rFonts w:hint="eastAsia" w:ascii="宋体" w:hAnsi="宋体" w:eastAsia="宋体"/>
          <w:color w:val="auto"/>
          <w:sz w:val="24"/>
          <w:szCs w:val="24"/>
          <w:highlight w:val="none"/>
        </w:rPr>
        <w:t>服务保障方案</w:t>
      </w:r>
      <w:bookmarkEnd w:id="385"/>
    </w:p>
    <w:p w14:paraId="297433BB">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6906E7BD">
      <w:pPr>
        <w:rPr>
          <w:rFonts w:hint="eastAsia"/>
          <w:color w:val="auto"/>
          <w:highlight w:val="none"/>
        </w:rPr>
      </w:pPr>
    </w:p>
    <w:p w14:paraId="2E8E5265">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6" w:name="_Toc3356"/>
      <w:r>
        <w:rPr>
          <w:rFonts w:hint="eastAsia" w:ascii="宋体" w:hAnsi="宋体" w:eastAsia="宋体"/>
          <w:color w:val="auto"/>
          <w:sz w:val="24"/>
          <w:szCs w:val="24"/>
          <w:highlight w:val="none"/>
        </w:rPr>
        <w:t>突发事件处理及应急方案</w:t>
      </w:r>
      <w:bookmarkEnd w:id="386"/>
    </w:p>
    <w:p w14:paraId="4480CB23">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538CE2DD">
      <w:pPr>
        <w:rPr>
          <w:rFonts w:hint="eastAsia"/>
          <w:color w:val="auto"/>
          <w:highlight w:val="none"/>
        </w:rPr>
      </w:pPr>
    </w:p>
    <w:p w14:paraId="73B2B2EB">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7" w:name="_Toc24379"/>
      <w:r>
        <w:rPr>
          <w:rFonts w:hint="eastAsia" w:ascii="宋体" w:hAnsi="宋体" w:eastAsia="宋体"/>
          <w:color w:val="auto"/>
          <w:sz w:val="24"/>
          <w:szCs w:val="24"/>
          <w:highlight w:val="none"/>
        </w:rPr>
        <w:t>食品安全保障</w:t>
      </w:r>
      <w:bookmarkEnd w:id="387"/>
    </w:p>
    <w:p w14:paraId="56575759">
      <w:pPr>
        <w:keepNext w:val="0"/>
        <w:keepLines w:val="0"/>
        <w:pageBreakBefore w:val="0"/>
        <w:widowControl w:val="0"/>
        <w:kinsoku/>
        <w:wordWrap/>
        <w:overflowPunct/>
        <w:topLinePunct w:val="0"/>
        <w:autoSpaceDE/>
        <w:autoSpaceDN/>
        <w:bidi w:val="0"/>
        <w:rPr>
          <w:rFonts w:hint="eastAsia" w:cs="宋体"/>
          <w:i/>
          <w:iCs/>
          <w:color w:val="auto"/>
          <w:szCs w:val="21"/>
          <w:highlight w:val="none"/>
        </w:rPr>
      </w:pPr>
      <w:r>
        <w:rPr>
          <w:rFonts w:hint="eastAsia" w:cs="宋体"/>
          <w:i/>
          <w:iCs/>
          <w:color w:val="auto"/>
          <w:szCs w:val="21"/>
          <w:highlight w:val="none"/>
        </w:rPr>
        <w:t>（按照采购文件评审标准提供相关材料。）</w:t>
      </w:r>
    </w:p>
    <w:p w14:paraId="6F3B6225">
      <w:pPr>
        <w:rPr>
          <w:rFonts w:hint="eastAsia"/>
          <w:color w:val="auto"/>
          <w:highlight w:val="none"/>
        </w:rPr>
      </w:pPr>
    </w:p>
    <w:p w14:paraId="06C480CF">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8" w:name="_Toc23636"/>
      <w:r>
        <w:rPr>
          <w:rFonts w:hint="eastAsia" w:ascii="宋体" w:hAnsi="宋体" w:eastAsia="宋体"/>
          <w:color w:val="auto"/>
          <w:sz w:val="24"/>
          <w:szCs w:val="24"/>
          <w:highlight w:val="none"/>
        </w:rPr>
        <w:t>其它重要事项说明及承诺</w:t>
      </w:r>
      <w:bookmarkEnd w:id="373"/>
      <w:bookmarkEnd w:id="374"/>
      <w:bookmarkEnd w:id="375"/>
      <w:bookmarkEnd w:id="388"/>
    </w:p>
    <w:p w14:paraId="3B8E37A1">
      <w:pPr>
        <w:keepNext w:val="0"/>
        <w:keepLines w:val="0"/>
        <w:pageBreakBefore w:val="0"/>
        <w:widowControl w:val="0"/>
        <w:kinsoku/>
        <w:wordWrap/>
        <w:overflowPunct/>
        <w:topLinePunct w:val="0"/>
        <w:autoSpaceDE/>
        <w:autoSpaceDN/>
        <w:bidi w:val="0"/>
        <w:rPr>
          <w:rFonts w:hint="eastAsia"/>
          <w:color w:val="auto"/>
          <w:highlight w:val="none"/>
        </w:rPr>
      </w:pPr>
      <w:r>
        <w:rPr>
          <w:rFonts w:hint="eastAsia" w:cs="宋体"/>
          <w:i/>
          <w:iCs/>
          <w:color w:val="auto"/>
          <w:szCs w:val="21"/>
          <w:highlight w:val="none"/>
        </w:rPr>
        <w:t>(如有，请扼要叙述，格式自拟）</w:t>
      </w:r>
    </w:p>
    <w:p w14:paraId="6A71BC76">
      <w:pPr>
        <w:keepNext w:val="0"/>
        <w:keepLines w:val="0"/>
        <w:pageBreakBefore w:val="0"/>
        <w:widowControl w:val="0"/>
        <w:kinsoku/>
        <w:wordWrap/>
        <w:overflowPunct/>
        <w:topLinePunct w:val="0"/>
        <w:autoSpaceDE/>
        <w:autoSpaceDN/>
        <w:bidi w:val="0"/>
        <w:jc w:val="right"/>
        <w:rPr>
          <w:rFonts w:hint="eastAsia"/>
          <w:b/>
          <w:bCs/>
          <w:color w:val="auto"/>
          <w:sz w:val="24"/>
          <w:highlight w:val="none"/>
        </w:rPr>
      </w:pPr>
    </w:p>
    <w:p w14:paraId="5EE0028B">
      <w:pPr>
        <w:keepNext w:val="0"/>
        <w:keepLines w:val="0"/>
        <w:pageBreakBefore w:val="0"/>
        <w:widowControl w:val="0"/>
        <w:kinsoku/>
        <w:wordWrap/>
        <w:overflowPunct/>
        <w:topLinePunct w:val="0"/>
        <w:autoSpaceDE/>
        <w:autoSpaceDN/>
        <w:bidi w:val="0"/>
        <w:rPr>
          <w:rFonts w:hint="eastAsia" w:cs="宋体"/>
          <w:b/>
          <w:bCs/>
          <w:color w:val="auto"/>
          <w:sz w:val="28"/>
          <w:szCs w:val="22"/>
          <w:highlight w:val="none"/>
        </w:rPr>
      </w:pPr>
      <w:r>
        <w:rPr>
          <w:rFonts w:cs="宋体"/>
          <w:b/>
          <w:bCs/>
          <w:color w:val="auto"/>
          <w:sz w:val="28"/>
          <w:szCs w:val="22"/>
          <w:highlight w:val="none"/>
        </w:rPr>
        <w:br w:type="page"/>
      </w:r>
    </w:p>
    <w:p w14:paraId="7D767DB7">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89" w:name="_Toc31258"/>
      <w:r>
        <w:rPr>
          <w:rFonts w:hint="eastAsia" w:ascii="宋体" w:hAnsi="宋体" w:eastAsia="宋体"/>
          <w:color w:val="auto"/>
          <w:sz w:val="24"/>
          <w:szCs w:val="24"/>
          <w:highlight w:val="none"/>
        </w:rPr>
        <w:t>采购代理服务费支付承诺书</w:t>
      </w:r>
      <w:bookmarkEnd w:id="389"/>
    </w:p>
    <w:p w14:paraId="0C3B5390">
      <w:pPr>
        <w:pStyle w:val="19"/>
        <w:keepNext w:val="0"/>
        <w:keepLines w:val="0"/>
        <w:pageBreakBefore w:val="0"/>
        <w:widowControl w:val="0"/>
        <w:kinsoku/>
        <w:wordWrap/>
        <w:overflowPunct/>
        <w:topLinePunct w:val="0"/>
        <w:autoSpaceDE/>
        <w:autoSpaceDN/>
        <w:bidi w:val="0"/>
        <w:spacing w:before="114"/>
        <w:jc w:val="left"/>
        <w:rPr>
          <w:rFonts w:hint="eastAsia"/>
          <w:i/>
          <w:iCs/>
          <w:color w:val="auto"/>
          <w:szCs w:val="20"/>
          <w:highlight w:val="none"/>
        </w:rPr>
      </w:pPr>
      <w:r>
        <w:rPr>
          <w:rFonts w:hint="eastAsia"/>
          <w:i/>
          <w:iCs/>
          <w:color w:val="auto"/>
          <w:szCs w:val="20"/>
          <w:highlight w:val="none"/>
        </w:rPr>
        <w:t>（若采购人支付代理服务费，则无需出具此承诺书）</w:t>
      </w:r>
    </w:p>
    <w:p w14:paraId="45C1C25A">
      <w:pPr>
        <w:pStyle w:val="356"/>
        <w:keepNext w:val="0"/>
        <w:keepLines w:val="0"/>
        <w:pageBreakBefore w:val="0"/>
        <w:widowControl w:val="0"/>
        <w:kinsoku/>
        <w:wordWrap/>
        <w:overflowPunct/>
        <w:topLinePunct w:val="0"/>
        <w:autoSpaceDE/>
        <w:autoSpaceDN/>
        <w:bidi w:val="0"/>
        <w:ind w:firstLine="0" w:firstLineChars="0"/>
        <w:jc w:val="center"/>
        <w:rPr>
          <w:rFonts w:hint="eastAsia"/>
          <w:b/>
          <w:bCs/>
          <w:color w:val="auto"/>
          <w:sz w:val="28"/>
          <w:szCs w:val="28"/>
          <w:highlight w:val="none"/>
          <w:lang w:eastAsia="zh-CN"/>
        </w:rPr>
      </w:pPr>
      <w:r>
        <w:rPr>
          <w:rFonts w:hint="eastAsia"/>
          <w:b/>
          <w:bCs/>
          <w:color w:val="auto"/>
          <w:sz w:val="28"/>
          <w:szCs w:val="28"/>
          <w:highlight w:val="none"/>
          <w:lang w:eastAsia="zh-CN"/>
        </w:rPr>
        <w:t>采购代理服务费支付承诺书</w:t>
      </w:r>
    </w:p>
    <w:p w14:paraId="3549CDB0">
      <w:pPr>
        <w:pStyle w:val="45"/>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 w:val="24"/>
          <w:highlight w:val="none"/>
        </w:rPr>
      </w:pPr>
      <w:r>
        <w:rPr>
          <w:rFonts w:hint="eastAsia"/>
          <w:color w:val="auto"/>
          <w:sz w:val="24"/>
          <w:highlight w:val="none"/>
        </w:rPr>
        <w:t>致：公诚管理咨询有限公司</w:t>
      </w:r>
    </w:p>
    <w:p w14:paraId="0A1CE15E">
      <w:pPr>
        <w:pStyle w:val="45"/>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r>
        <w:rPr>
          <w:rFonts w:hint="eastAsia"/>
          <w:color w:val="auto"/>
          <w:sz w:val="24"/>
          <w:highlight w:val="none"/>
        </w:rPr>
        <w:t>我方</w:t>
      </w:r>
      <w:r>
        <w:rPr>
          <w:color w:val="auto"/>
          <w:sz w:val="24"/>
          <w:highlight w:val="none"/>
        </w:rPr>
        <w:t>作为投标</w:t>
      </w:r>
      <w:r>
        <w:rPr>
          <w:rFonts w:hint="eastAsia"/>
          <w:color w:val="auto"/>
          <w:sz w:val="24"/>
          <w:highlight w:val="none"/>
        </w:rPr>
        <w:t>（响应）供应商参加贵公司</w:t>
      </w:r>
      <w:r>
        <w:rPr>
          <w:color w:val="auto"/>
          <w:sz w:val="24"/>
          <w:highlight w:val="none"/>
        </w:rPr>
        <w:t>（公诚管理咨询有限公司）</w:t>
      </w:r>
      <w:r>
        <w:rPr>
          <w:rFonts w:hint="eastAsia"/>
          <w:color w:val="auto"/>
          <w:sz w:val="24"/>
          <w:highlight w:val="none"/>
        </w:rPr>
        <w:t>组织的</w:t>
      </w:r>
      <w:r>
        <w:rPr>
          <w:rFonts w:hint="eastAsia"/>
          <w:color w:val="auto"/>
          <w:sz w:val="24"/>
          <w:highlight w:val="none"/>
          <w:u w:val="single"/>
          <w:lang w:eastAsia="zh-CN"/>
        </w:rPr>
        <w:t>中华人民共和国青茂出入境边防检查站2026年度食堂食材配送服务采购项目</w:t>
      </w:r>
      <w:r>
        <w:rPr>
          <w:color w:val="auto"/>
          <w:sz w:val="24"/>
          <w:highlight w:val="none"/>
        </w:rPr>
        <w:t>（项目编号：</w:t>
      </w:r>
      <w:r>
        <w:rPr>
          <w:color w:val="auto"/>
          <w:sz w:val="24"/>
          <w:highlight w:val="none"/>
          <w:u w:val="single"/>
        </w:rPr>
        <w:t xml:space="preserve"> </w:t>
      </w:r>
      <w:r>
        <w:rPr>
          <w:rFonts w:hint="eastAsia"/>
          <w:color w:val="auto"/>
          <w:sz w:val="24"/>
          <w:highlight w:val="none"/>
          <w:u w:val="single"/>
        </w:rPr>
        <w:t>07-08-04F-2026-D-F-E06418</w:t>
      </w:r>
      <w:r>
        <w:rPr>
          <w:color w:val="auto"/>
          <w:sz w:val="24"/>
          <w:highlight w:val="none"/>
          <w:u w:val="single"/>
        </w:rPr>
        <w:t xml:space="preserve"> </w:t>
      </w:r>
      <w:r>
        <w:rPr>
          <w:color w:val="auto"/>
          <w:sz w:val="24"/>
          <w:highlight w:val="none"/>
        </w:rPr>
        <w:t>）</w:t>
      </w:r>
      <w:r>
        <w:rPr>
          <w:rFonts w:hint="eastAsia"/>
          <w:color w:val="auto"/>
          <w:sz w:val="24"/>
          <w:highlight w:val="none"/>
        </w:rPr>
        <w:t>采购活动</w:t>
      </w:r>
      <w:r>
        <w:rPr>
          <w:color w:val="auto"/>
          <w:sz w:val="24"/>
          <w:highlight w:val="none"/>
        </w:rPr>
        <w:t>，若在本项目</w:t>
      </w:r>
      <w:r>
        <w:rPr>
          <w:rFonts w:hint="eastAsia"/>
          <w:color w:val="auto"/>
          <w:sz w:val="24"/>
          <w:highlight w:val="none"/>
        </w:rPr>
        <w:t>中获得</w:t>
      </w:r>
      <w:r>
        <w:rPr>
          <w:color w:val="auto"/>
          <w:sz w:val="24"/>
          <w:highlight w:val="none"/>
        </w:rPr>
        <w:t>中标</w:t>
      </w:r>
      <w:r>
        <w:rPr>
          <w:rFonts w:hint="eastAsia"/>
          <w:color w:val="auto"/>
          <w:sz w:val="24"/>
          <w:highlight w:val="none"/>
        </w:rPr>
        <w:t>（成交）资格</w:t>
      </w:r>
      <w:r>
        <w:rPr>
          <w:color w:val="auto"/>
          <w:sz w:val="24"/>
          <w:highlight w:val="none"/>
        </w:rPr>
        <w:t>，</w:t>
      </w:r>
      <w:r>
        <w:rPr>
          <w:rFonts w:hint="eastAsia"/>
          <w:color w:val="auto"/>
          <w:sz w:val="24"/>
          <w:highlight w:val="none"/>
        </w:rPr>
        <w:t>将</w:t>
      </w:r>
      <w:r>
        <w:rPr>
          <w:color w:val="auto"/>
          <w:sz w:val="24"/>
          <w:highlight w:val="none"/>
        </w:rPr>
        <w:t>同意支付采购代理服务费。</w:t>
      </w:r>
    </w:p>
    <w:p w14:paraId="10FE7A90">
      <w:pPr>
        <w:pStyle w:val="45"/>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r>
        <w:rPr>
          <w:rFonts w:hint="eastAsia"/>
          <w:color w:val="auto"/>
          <w:sz w:val="24"/>
          <w:highlight w:val="none"/>
        </w:rPr>
        <w:t>我方保证在贵公司发出《中标（成交）通知书》后</w:t>
      </w:r>
      <w:r>
        <w:rPr>
          <w:color w:val="auto"/>
          <w:sz w:val="24"/>
          <w:highlight w:val="none"/>
        </w:rPr>
        <w:t>3个工作日内向贵公司缴纳本采购文件</w:t>
      </w:r>
      <w:r>
        <w:rPr>
          <w:rFonts w:hint="eastAsia"/>
          <w:color w:val="auto"/>
          <w:sz w:val="24"/>
          <w:highlight w:val="none"/>
        </w:rPr>
        <w:t>规定</w:t>
      </w:r>
      <w:r>
        <w:rPr>
          <w:color w:val="auto"/>
          <w:sz w:val="24"/>
          <w:highlight w:val="none"/>
        </w:rPr>
        <w:t>的采购代理服务费。</w:t>
      </w:r>
    </w:p>
    <w:p w14:paraId="0DB0AE9F">
      <w:pPr>
        <w:pStyle w:val="45"/>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r>
        <w:rPr>
          <w:rFonts w:hint="eastAsia"/>
          <w:color w:val="auto"/>
          <w:sz w:val="24"/>
          <w:highlight w:val="none"/>
        </w:rPr>
        <w:t>若我方未按前述期限支付采购代理服务费，贵公司有权直接在应付我方任何一笔款项中直接扣除。因前述事项发生争议，我方同意将争议提交北海国际仲裁院仲裁解决。</w:t>
      </w:r>
    </w:p>
    <w:p w14:paraId="06419566">
      <w:pPr>
        <w:pStyle w:val="45"/>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r>
        <w:rPr>
          <w:rFonts w:hint="eastAsia"/>
          <w:color w:val="auto"/>
          <w:sz w:val="24"/>
          <w:highlight w:val="none"/>
        </w:rPr>
        <w:t>特此承诺！</w:t>
      </w:r>
    </w:p>
    <w:p w14:paraId="16DD79BB">
      <w:pPr>
        <w:pStyle w:val="45"/>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p>
    <w:p w14:paraId="43EB13FF">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2C6AF5E7">
      <w:pPr>
        <w:pStyle w:val="356"/>
        <w:keepNext w:val="0"/>
        <w:keepLines w:val="0"/>
        <w:pageBreakBefore w:val="0"/>
        <w:widowControl w:val="0"/>
        <w:kinsoku/>
        <w:wordWrap/>
        <w:overflowPunct/>
        <w:topLinePunct w:val="0"/>
        <w:autoSpaceDE/>
        <w:autoSpaceDN/>
        <w:bidi w:val="0"/>
        <w:spacing w:line="48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1E6877B6">
      <w:pPr>
        <w:pStyle w:val="356"/>
        <w:keepNext w:val="0"/>
        <w:keepLines w:val="0"/>
        <w:pageBreakBefore w:val="0"/>
        <w:widowControl w:val="0"/>
        <w:kinsoku/>
        <w:wordWrap/>
        <w:overflowPunct/>
        <w:topLinePunct w:val="0"/>
        <w:autoSpaceDE/>
        <w:autoSpaceDN/>
        <w:bidi w:val="0"/>
        <w:spacing w:line="480" w:lineRule="auto"/>
        <w:ind w:firstLine="4960" w:firstLineChars="2067"/>
        <w:jc w:val="right"/>
        <w:rPr>
          <w:rFonts w:hint="eastAsia"/>
          <w:color w:val="auto"/>
          <w:highlight w:val="none"/>
        </w:r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28C53DF6">
      <w:pPr>
        <w:pStyle w:val="19"/>
        <w:keepNext w:val="0"/>
        <w:keepLines w:val="0"/>
        <w:pageBreakBefore w:val="0"/>
        <w:widowControl w:val="0"/>
        <w:kinsoku/>
        <w:wordWrap/>
        <w:overflowPunct/>
        <w:topLinePunct w:val="0"/>
        <w:autoSpaceDE/>
        <w:autoSpaceDN/>
        <w:bidi w:val="0"/>
        <w:rPr>
          <w:rFonts w:hint="eastAsia"/>
          <w:color w:val="auto"/>
          <w:highlight w:val="none"/>
        </w:rPr>
      </w:pPr>
    </w:p>
    <w:p w14:paraId="133E9E34">
      <w:pPr>
        <w:keepNext w:val="0"/>
        <w:keepLines w:val="0"/>
        <w:pageBreakBefore w:val="0"/>
        <w:widowControl w:val="0"/>
        <w:kinsoku/>
        <w:wordWrap/>
        <w:overflowPunct/>
        <w:topLinePunct w:val="0"/>
        <w:autoSpaceDE/>
        <w:autoSpaceDN/>
        <w:bidi w:val="0"/>
        <w:ind w:firstLine="480" w:firstLineChars="200"/>
        <w:jc w:val="left"/>
        <w:rPr>
          <w:rFonts w:hint="eastAsia"/>
          <w:color w:val="auto"/>
          <w:sz w:val="24"/>
          <w:highlight w:val="none"/>
        </w:rPr>
      </w:pPr>
      <w:r>
        <w:rPr>
          <w:rFonts w:hint="eastAsia"/>
          <w:color w:val="auto"/>
          <w:sz w:val="24"/>
          <w:highlight w:val="none"/>
        </w:rPr>
        <w:t>附件：</w:t>
      </w:r>
    </w:p>
    <w:tbl>
      <w:tblPr>
        <w:tblStyle w:val="4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1"/>
        <w:gridCol w:w="1864"/>
        <w:gridCol w:w="6559"/>
      </w:tblGrid>
      <w:tr w14:paraId="7ED3D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6447FEBD">
            <w:pPr>
              <w:pStyle w:val="19"/>
              <w:keepNext w:val="0"/>
              <w:keepLines w:val="0"/>
              <w:pageBreakBefore w:val="0"/>
              <w:widowControl w:val="0"/>
              <w:kinsoku/>
              <w:wordWrap/>
              <w:overflowPunct/>
              <w:topLinePunct w:val="0"/>
              <w:autoSpaceDE/>
              <w:autoSpaceDN/>
              <w:bidi w:val="0"/>
              <w:spacing w:line="240" w:lineRule="auto"/>
              <w:jc w:val="center"/>
              <w:rPr>
                <w:rFonts w:hint="eastAsia"/>
                <w:b/>
                <w:bCs/>
                <w:color w:val="auto"/>
                <w:sz w:val="24"/>
                <w:highlight w:val="none"/>
              </w:rPr>
            </w:pPr>
            <w:r>
              <w:rPr>
                <w:rFonts w:hint="eastAsia"/>
                <w:b/>
                <w:bCs/>
                <w:color w:val="auto"/>
                <w:sz w:val="24"/>
                <w:highlight w:val="none"/>
              </w:rPr>
              <w:t>项目</w:t>
            </w:r>
          </w:p>
        </w:tc>
        <w:tc>
          <w:tcPr>
            <w:tcW w:w="3328" w:type="pct"/>
            <w:vAlign w:val="center"/>
          </w:tcPr>
          <w:p w14:paraId="39048E4C">
            <w:pPr>
              <w:pStyle w:val="19"/>
              <w:keepNext w:val="0"/>
              <w:keepLines w:val="0"/>
              <w:pageBreakBefore w:val="0"/>
              <w:widowControl w:val="0"/>
              <w:kinsoku/>
              <w:wordWrap/>
              <w:overflowPunct/>
              <w:topLinePunct w:val="0"/>
              <w:autoSpaceDE/>
              <w:autoSpaceDN/>
              <w:bidi w:val="0"/>
              <w:spacing w:line="240" w:lineRule="auto"/>
              <w:jc w:val="center"/>
              <w:rPr>
                <w:rFonts w:hint="eastAsia"/>
                <w:b/>
                <w:bCs/>
                <w:color w:val="auto"/>
                <w:sz w:val="24"/>
                <w:highlight w:val="none"/>
              </w:rPr>
            </w:pPr>
            <w:r>
              <w:rPr>
                <w:rFonts w:hint="eastAsia"/>
                <w:b/>
                <w:bCs/>
                <w:color w:val="auto"/>
                <w:sz w:val="24"/>
                <w:highlight w:val="none"/>
              </w:rPr>
              <w:t>内容</w:t>
            </w:r>
          </w:p>
        </w:tc>
      </w:tr>
      <w:tr w14:paraId="221F6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206668D0">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 w:val="24"/>
                <w:highlight w:val="none"/>
              </w:rPr>
            </w:pPr>
            <w:r>
              <w:rPr>
                <w:rFonts w:hint="eastAsia"/>
                <w:color w:val="auto"/>
                <w:sz w:val="24"/>
                <w:highlight w:val="none"/>
              </w:rPr>
              <w:t>选择发票类型</w:t>
            </w:r>
          </w:p>
        </w:tc>
        <w:tc>
          <w:tcPr>
            <w:tcW w:w="3328" w:type="pct"/>
            <w:vAlign w:val="center"/>
          </w:tcPr>
          <w:p w14:paraId="13CFB354">
            <w:pPr>
              <w:pStyle w:val="19"/>
              <w:keepNext w:val="0"/>
              <w:keepLines w:val="0"/>
              <w:pageBreakBefore w:val="0"/>
              <w:widowControl w:val="0"/>
              <w:kinsoku/>
              <w:wordWrap/>
              <w:overflowPunct/>
              <w:topLinePunct w:val="0"/>
              <w:autoSpaceDE/>
              <w:autoSpaceDN/>
              <w:bidi w:val="0"/>
              <w:spacing w:line="240" w:lineRule="auto"/>
              <w:rPr>
                <w:rFonts w:hint="eastAsia"/>
                <w:color w:val="auto"/>
                <w:sz w:val="24"/>
                <w:highlight w:val="none"/>
              </w:rPr>
            </w:pPr>
            <w:r>
              <w:rPr>
                <w:rFonts w:hint="eastAsia"/>
                <w:color w:val="auto"/>
                <w:sz w:val="24"/>
                <w:highlight w:val="none"/>
              </w:rPr>
              <w:t>□数电发票（增值税专用发票）/</w:t>
            </w:r>
            <w:r>
              <w:rPr>
                <w:color w:val="auto"/>
                <w:sz w:val="24"/>
                <w:highlight w:val="none"/>
              </w:rPr>
              <w:t xml:space="preserve"> </w:t>
            </w:r>
            <w:r>
              <w:rPr>
                <w:rFonts w:hint="eastAsia"/>
                <w:color w:val="auto"/>
                <w:sz w:val="24"/>
                <w:highlight w:val="none"/>
              </w:rPr>
              <w:t>□数电发票（普通发票）</w:t>
            </w:r>
          </w:p>
        </w:tc>
      </w:tr>
      <w:tr w14:paraId="2793C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restart"/>
            <w:vAlign w:val="center"/>
          </w:tcPr>
          <w:p w14:paraId="29C2EBCC">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 w:val="24"/>
                <w:highlight w:val="none"/>
              </w:rPr>
            </w:pPr>
            <w:r>
              <w:rPr>
                <w:rFonts w:hint="eastAsia"/>
                <w:color w:val="auto"/>
                <w:sz w:val="24"/>
                <w:highlight w:val="none"/>
              </w:rPr>
              <w:t>发票内容</w:t>
            </w:r>
          </w:p>
        </w:tc>
        <w:tc>
          <w:tcPr>
            <w:tcW w:w="946" w:type="pct"/>
            <w:vAlign w:val="center"/>
          </w:tcPr>
          <w:p w14:paraId="35DCB00D">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 w:val="24"/>
                <w:highlight w:val="none"/>
              </w:rPr>
            </w:pPr>
            <w:r>
              <w:rPr>
                <w:rFonts w:hint="eastAsia"/>
                <w:color w:val="auto"/>
                <w:sz w:val="24"/>
                <w:highlight w:val="none"/>
              </w:rPr>
              <w:t>名称</w:t>
            </w:r>
          </w:p>
        </w:tc>
        <w:tc>
          <w:tcPr>
            <w:tcW w:w="3328" w:type="pct"/>
            <w:vAlign w:val="center"/>
          </w:tcPr>
          <w:p w14:paraId="6E5AAC60">
            <w:pPr>
              <w:pStyle w:val="19"/>
              <w:keepNext w:val="0"/>
              <w:keepLines w:val="0"/>
              <w:pageBreakBefore w:val="0"/>
              <w:widowControl w:val="0"/>
              <w:kinsoku/>
              <w:wordWrap/>
              <w:overflowPunct/>
              <w:topLinePunct w:val="0"/>
              <w:autoSpaceDE/>
              <w:autoSpaceDN/>
              <w:bidi w:val="0"/>
              <w:spacing w:line="240" w:lineRule="auto"/>
              <w:rPr>
                <w:rFonts w:hint="eastAsia"/>
                <w:color w:val="auto"/>
                <w:sz w:val="24"/>
                <w:highlight w:val="none"/>
              </w:rPr>
            </w:pPr>
          </w:p>
        </w:tc>
      </w:tr>
      <w:tr w14:paraId="540C3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continue"/>
            <w:vAlign w:val="center"/>
          </w:tcPr>
          <w:p w14:paraId="6C4F91B3">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 w:val="24"/>
                <w:highlight w:val="none"/>
              </w:rPr>
            </w:pPr>
          </w:p>
        </w:tc>
        <w:tc>
          <w:tcPr>
            <w:tcW w:w="946" w:type="pct"/>
            <w:vAlign w:val="center"/>
          </w:tcPr>
          <w:p w14:paraId="43957E5B">
            <w:pPr>
              <w:pStyle w:val="19"/>
              <w:keepNext w:val="0"/>
              <w:keepLines w:val="0"/>
              <w:pageBreakBefore w:val="0"/>
              <w:widowControl w:val="0"/>
              <w:kinsoku/>
              <w:wordWrap/>
              <w:overflowPunct/>
              <w:topLinePunct w:val="0"/>
              <w:autoSpaceDE/>
              <w:autoSpaceDN/>
              <w:bidi w:val="0"/>
              <w:spacing w:line="240" w:lineRule="auto"/>
              <w:jc w:val="center"/>
              <w:rPr>
                <w:rFonts w:hint="eastAsia"/>
                <w:color w:val="auto"/>
                <w:sz w:val="24"/>
                <w:highlight w:val="none"/>
              </w:rPr>
            </w:pPr>
            <w:r>
              <w:rPr>
                <w:rFonts w:hint="eastAsia"/>
                <w:color w:val="auto"/>
                <w:sz w:val="24"/>
                <w:highlight w:val="none"/>
              </w:rPr>
              <w:t>纳税人识别号</w:t>
            </w:r>
          </w:p>
        </w:tc>
        <w:tc>
          <w:tcPr>
            <w:tcW w:w="3328" w:type="pct"/>
            <w:vAlign w:val="center"/>
          </w:tcPr>
          <w:p w14:paraId="591D4C7D">
            <w:pPr>
              <w:pStyle w:val="19"/>
              <w:keepNext w:val="0"/>
              <w:keepLines w:val="0"/>
              <w:pageBreakBefore w:val="0"/>
              <w:widowControl w:val="0"/>
              <w:kinsoku/>
              <w:wordWrap/>
              <w:overflowPunct/>
              <w:topLinePunct w:val="0"/>
              <w:autoSpaceDE/>
              <w:autoSpaceDN/>
              <w:bidi w:val="0"/>
              <w:spacing w:line="240" w:lineRule="auto"/>
              <w:rPr>
                <w:rFonts w:hint="eastAsia"/>
                <w:color w:val="auto"/>
                <w:sz w:val="24"/>
                <w:highlight w:val="none"/>
              </w:rPr>
            </w:pPr>
          </w:p>
        </w:tc>
      </w:tr>
      <w:tr w14:paraId="574E2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trPr>
        <w:tc>
          <w:tcPr>
            <w:tcW w:w="5000" w:type="pct"/>
            <w:gridSpan w:val="3"/>
            <w:vAlign w:val="center"/>
          </w:tcPr>
          <w:p w14:paraId="7DDC2292">
            <w:pPr>
              <w:pStyle w:val="19"/>
              <w:keepNext w:val="0"/>
              <w:keepLines w:val="0"/>
              <w:pageBreakBefore w:val="0"/>
              <w:widowControl w:val="0"/>
              <w:kinsoku/>
              <w:wordWrap/>
              <w:overflowPunct/>
              <w:topLinePunct w:val="0"/>
              <w:autoSpaceDE/>
              <w:autoSpaceDN/>
              <w:bidi w:val="0"/>
              <w:spacing w:line="400" w:lineRule="exact"/>
              <w:rPr>
                <w:rFonts w:hint="eastAsia"/>
                <w:color w:val="auto"/>
                <w:sz w:val="24"/>
                <w:highlight w:val="none"/>
              </w:rPr>
            </w:pPr>
            <w:r>
              <w:rPr>
                <w:color w:val="auto"/>
                <w:sz w:val="24"/>
                <w:highlight w:val="none"/>
              </w:rPr>
              <w:t>1.国家税务总局关于修改《中华人民共和国发票管理办法实施细则》的决定【https://fgk.chinatax.gov.cn/zcfgk/c100011/c5221006/content.html】-“电子发票与纸质发票的法律效力相同，任何单位和个人不得拒收。”</w:t>
            </w:r>
          </w:p>
          <w:p w14:paraId="01BD540D">
            <w:pPr>
              <w:pStyle w:val="19"/>
              <w:keepNext w:val="0"/>
              <w:keepLines w:val="0"/>
              <w:pageBreakBefore w:val="0"/>
              <w:widowControl w:val="0"/>
              <w:kinsoku/>
              <w:wordWrap/>
              <w:overflowPunct/>
              <w:topLinePunct w:val="0"/>
              <w:autoSpaceDE/>
              <w:autoSpaceDN/>
              <w:bidi w:val="0"/>
              <w:spacing w:line="400" w:lineRule="exact"/>
              <w:rPr>
                <w:rFonts w:hint="eastAsia"/>
                <w:color w:val="auto"/>
                <w:sz w:val="24"/>
                <w:highlight w:val="none"/>
              </w:rPr>
            </w:pPr>
            <w:r>
              <w:rPr>
                <w:rFonts w:hint="eastAsia"/>
                <w:color w:val="auto"/>
                <w:sz w:val="24"/>
                <w:highlight w:val="none"/>
              </w:rPr>
              <w:t>2</w:t>
            </w:r>
            <w:r>
              <w:rPr>
                <w:color w:val="auto"/>
                <w:sz w:val="24"/>
                <w:highlight w:val="none"/>
              </w:rPr>
              <w:t>.</w:t>
            </w:r>
            <w:r>
              <w:rPr>
                <w:rFonts w:hint="eastAsia"/>
                <w:color w:val="auto"/>
                <w:sz w:val="24"/>
                <w:highlight w:val="none"/>
              </w:rPr>
              <w:t>数电发票开具之后将会通过邮件的形式发送至供应商邮件中，请供应商注意查收。</w:t>
            </w:r>
          </w:p>
        </w:tc>
      </w:tr>
    </w:tbl>
    <w:p w14:paraId="7690B7C2">
      <w:pPr>
        <w:pStyle w:val="45"/>
        <w:keepNext w:val="0"/>
        <w:keepLines w:val="0"/>
        <w:pageBreakBefore w:val="0"/>
        <w:widowControl w:val="0"/>
        <w:kinsoku/>
        <w:wordWrap/>
        <w:overflowPunct/>
        <w:topLinePunct w:val="0"/>
        <w:autoSpaceDE/>
        <w:autoSpaceDN/>
        <w:bidi w:val="0"/>
        <w:spacing w:after="0" w:line="360" w:lineRule="auto"/>
        <w:ind w:left="2570" w:leftChars="1224"/>
        <w:rPr>
          <w:rFonts w:hint="eastAsia"/>
          <w:color w:val="auto"/>
          <w:szCs w:val="21"/>
          <w:highlight w:val="none"/>
          <w:u w:val="single"/>
        </w:rPr>
      </w:pPr>
    </w:p>
    <w:p w14:paraId="28E6903A">
      <w:pPr>
        <w:keepNext w:val="0"/>
        <w:keepLines w:val="0"/>
        <w:pageBreakBefore w:val="0"/>
        <w:widowControl w:val="0"/>
        <w:kinsoku/>
        <w:wordWrap/>
        <w:overflowPunct/>
        <w:topLinePunct w:val="0"/>
        <w:autoSpaceDE/>
        <w:autoSpaceDN/>
        <w:bidi w:val="0"/>
        <w:rPr>
          <w:rFonts w:hint="eastAsia"/>
          <w:color w:val="auto"/>
          <w:szCs w:val="21"/>
          <w:highlight w:val="none"/>
        </w:rPr>
      </w:pPr>
      <w:r>
        <w:rPr>
          <w:color w:val="auto"/>
          <w:szCs w:val="21"/>
          <w:highlight w:val="none"/>
        </w:rPr>
        <w:br w:type="page"/>
      </w:r>
    </w:p>
    <w:p w14:paraId="01144F4F">
      <w:pPr>
        <w:pStyle w:val="3"/>
        <w:keepNext w:val="0"/>
        <w:keepLines w:val="0"/>
        <w:pageBreakBefore w:val="0"/>
        <w:widowControl w:val="0"/>
        <w:numPr>
          <w:ilvl w:val="0"/>
          <w:numId w:val="22"/>
        </w:numPr>
        <w:kinsoku/>
        <w:wordWrap/>
        <w:overflowPunct/>
        <w:topLinePunct w:val="0"/>
        <w:autoSpaceDE/>
        <w:autoSpaceDN/>
        <w:bidi w:val="0"/>
        <w:spacing w:before="120" w:after="120" w:line="240" w:lineRule="auto"/>
        <w:rPr>
          <w:rFonts w:hint="eastAsia" w:ascii="宋体" w:hAnsi="宋体" w:eastAsia="宋体"/>
          <w:color w:val="auto"/>
          <w:sz w:val="24"/>
          <w:szCs w:val="24"/>
          <w:highlight w:val="none"/>
        </w:rPr>
      </w:pPr>
      <w:bookmarkStart w:id="390" w:name="_Toc21318"/>
      <w:r>
        <w:rPr>
          <w:rFonts w:hint="eastAsia" w:ascii="宋体" w:hAnsi="宋体" w:eastAsia="宋体"/>
          <w:color w:val="auto"/>
          <w:sz w:val="24"/>
          <w:szCs w:val="24"/>
          <w:highlight w:val="none"/>
        </w:rPr>
        <w:t>询问函、质疑函、投诉书格式</w:t>
      </w:r>
      <w:bookmarkEnd w:id="390"/>
    </w:p>
    <w:p w14:paraId="03334426">
      <w:pPr>
        <w:keepNext w:val="0"/>
        <w:keepLines w:val="0"/>
        <w:pageBreakBefore w:val="0"/>
        <w:widowControl w:val="0"/>
        <w:kinsoku/>
        <w:wordWrap/>
        <w:overflowPunct/>
        <w:topLinePunct w:val="0"/>
        <w:autoSpaceDE/>
        <w:autoSpaceDN/>
        <w:bidi w:val="0"/>
        <w:jc w:val="left"/>
        <w:rPr>
          <w:rFonts w:hint="eastAsia"/>
          <w:color w:val="auto"/>
          <w:szCs w:val="21"/>
          <w:highlight w:val="none"/>
        </w:rPr>
      </w:pPr>
      <w:r>
        <w:rPr>
          <w:rFonts w:hint="eastAsia"/>
          <w:color w:val="auto"/>
          <w:szCs w:val="21"/>
          <w:highlight w:val="none"/>
        </w:rPr>
        <w:t>（</w:t>
      </w:r>
      <w:r>
        <w:rPr>
          <w:rFonts w:hint="eastAsia" w:cs="宋体"/>
          <w:i/>
          <w:iCs/>
          <w:color w:val="auto"/>
          <w:szCs w:val="21"/>
          <w:highlight w:val="none"/>
        </w:rPr>
        <w:t>以下格式文件为供应商提交询问函、质疑函、投诉函时使用，不属于响应文件格式的组成部分，供应商根据需要选用）</w:t>
      </w:r>
    </w:p>
    <w:p w14:paraId="3A88C710">
      <w:pPr>
        <w:keepNext w:val="0"/>
        <w:keepLines w:val="0"/>
        <w:pageBreakBefore w:val="0"/>
        <w:widowControl w:val="0"/>
        <w:kinsoku/>
        <w:wordWrap/>
        <w:overflowPunct/>
        <w:topLinePunct w:val="0"/>
        <w:autoSpaceDE/>
        <w:autoSpaceDN/>
        <w:bidi w:val="0"/>
        <w:jc w:val="center"/>
        <w:rPr>
          <w:rFonts w:hint="eastAsia"/>
          <w:b/>
          <w:bCs/>
          <w:color w:val="auto"/>
          <w:sz w:val="28"/>
          <w:szCs w:val="28"/>
          <w:highlight w:val="none"/>
        </w:rPr>
      </w:pPr>
      <w:r>
        <w:rPr>
          <w:rFonts w:hint="eastAsia"/>
          <w:b/>
          <w:bCs/>
          <w:color w:val="auto"/>
          <w:sz w:val="28"/>
          <w:szCs w:val="28"/>
          <w:highlight w:val="none"/>
        </w:rPr>
        <w:t>询问函</w:t>
      </w:r>
    </w:p>
    <w:p w14:paraId="2C498209">
      <w:pPr>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公诚管理咨询有限公司：</w:t>
      </w:r>
    </w:p>
    <w:p w14:paraId="1B0E6937">
      <w:pPr>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我单位准备参与</w:t>
      </w:r>
      <w:r>
        <w:rPr>
          <w:rFonts w:hint="eastAsia"/>
          <w:color w:val="auto"/>
          <w:szCs w:val="21"/>
          <w:highlight w:val="none"/>
          <w:u w:val="single"/>
          <w:lang w:eastAsia="zh-CN"/>
        </w:rPr>
        <w:t>中华人民共和国青茂出入境边防检查站2026年度食堂食材配送服务采购项目</w:t>
      </w:r>
      <w:r>
        <w:rPr>
          <w:color w:val="auto"/>
          <w:szCs w:val="21"/>
          <w:highlight w:val="none"/>
        </w:rPr>
        <w:t>（项目编</w:t>
      </w:r>
      <w:r>
        <w:rPr>
          <w:rFonts w:hint="eastAsia"/>
          <w:color w:val="auto"/>
          <w:szCs w:val="21"/>
          <w:highlight w:val="none"/>
        </w:rPr>
        <w:t>号：</w:t>
      </w:r>
      <w:r>
        <w:rPr>
          <w:color w:val="auto"/>
          <w:szCs w:val="21"/>
          <w:highlight w:val="none"/>
          <w:u w:val="single"/>
        </w:rPr>
        <w:t xml:space="preserve"> </w:t>
      </w:r>
      <w:r>
        <w:rPr>
          <w:rFonts w:hint="eastAsia"/>
          <w:color w:val="auto"/>
          <w:szCs w:val="21"/>
          <w:highlight w:val="none"/>
          <w:u w:val="single"/>
        </w:rPr>
        <w:t>07-08-04F-2026-D-F-E06418</w:t>
      </w:r>
      <w:r>
        <w:rPr>
          <w:color w:val="auto"/>
          <w:szCs w:val="21"/>
          <w:highlight w:val="none"/>
          <w:u w:val="single"/>
        </w:rPr>
        <w:t xml:space="preserve"> </w:t>
      </w:r>
      <w:r>
        <w:rPr>
          <w:color w:val="auto"/>
          <w:szCs w:val="21"/>
          <w:highlight w:val="none"/>
        </w:rPr>
        <w:t>）</w:t>
      </w:r>
      <w:r>
        <w:rPr>
          <w:rFonts w:hint="eastAsia"/>
          <w:color w:val="auto"/>
          <w:szCs w:val="21"/>
          <w:highlight w:val="none"/>
        </w:rPr>
        <w:t>的采购活动，现有以下几个内容（或条款）存在疑问（或无法理解），特提出询问。</w:t>
      </w:r>
    </w:p>
    <w:p w14:paraId="12E72392">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一、</w:t>
      </w:r>
      <w:r>
        <w:rPr>
          <w:color w:val="auto"/>
          <w:szCs w:val="21"/>
          <w:highlight w:val="none"/>
          <w:u w:val="single"/>
        </w:rPr>
        <w:t xml:space="preserve">                    </w:t>
      </w:r>
      <w:r>
        <w:rPr>
          <w:color w:val="auto"/>
          <w:szCs w:val="21"/>
          <w:highlight w:val="none"/>
        </w:rPr>
        <w:t>（事项一）</w:t>
      </w:r>
    </w:p>
    <w:p w14:paraId="484C618B">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（1）</w:t>
      </w:r>
      <w:bookmarkStart w:id="391" w:name="_Hlk104040459"/>
      <w:r>
        <w:rPr>
          <w:color w:val="auto"/>
          <w:szCs w:val="21"/>
          <w:highlight w:val="none"/>
          <w:u w:val="single"/>
        </w:rPr>
        <w:t xml:space="preserve">                   </w:t>
      </w:r>
      <w:bookmarkEnd w:id="391"/>
      <w:r>
        <w:rPr>
          <w:color w:val="auto"/>
          <w:szCs w:val="21"/>
          <w:highlight w:val="none"/>
        </w:rPr>
        <w:t>（问题或条款内容）</w:t>
      </w:r>
    </w:p>
    <w:p w14:paraId="3546F29B">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w:t>
      </w:r>
      <w:r>
        <w:rPr>
          <w:color w:val="auto"/>
          <w:szCs w:val="21"/>
          <w:highlight w:val="none"/>
        </w:rPr>
        <w:t>2</w:t>
      </w:r>
      <w:r>
        <w:rPr>
          <w:rFonts w:hint="eastAsia"/>
          <w:color w:val="auto"/>
          <w:szCs w:val="21"/>
          <w:highlight w:val="none"/>
        </w:rPr>
        <w:t>）</w:t>
      </w:r>
      <w:r>
        <w:rPr>
          <w:color w:val="auto"/>
          <w:szCs w:val="21"/>
          <w:highlight w:val="none"/>
          <w:u w:val="single"/>
        </w:rPr>
        <w:t xml:space="preserve">                   </w:t>
      </w:r>
      <w:r>
        <w:rPr>
          <w:color w:val="auto"/>
          <w:szCs w:val="21"/>
          <w:highlight w:val="none"/>
        </w:rPr>
        <w:t>（说明疑问或无法理解原因）</w:t>
      </w:r>
    </w:p>
    <w:p w14:paraId="7DD5E75E">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w:t>
      </w:r>
      <w:r>
        <w:rPr>
          <w:color w:val="auto"/>
          <w:szCs w:val="21"/>
          <w:highlight w:val="none"/>
        </w:rPr>
        <w:t>3</w:t>
      </w:r>
      <w:r>
        <w:rPr>
          <w:rFonts w:hint="eastAsia"/>
          <w:color w:val="auto"/>
          <w:szCs w:val="21"/>
          <w:highlight w:val="none"/>
        </w:rPr>
        <w:t>）</w:t>
      </w:r>
      <w:r>
        <w:rPr>
          <w:color w:val="auto"/>
          <w:szCs w:val="21"/>
          <w:highlight w:val="none"/>
          <w:u w:val="single"/>
        </w:rPr>
        <w:t xml:space="preserve">                   </w:t>
      </w:r>
      <w:r>
        <w:rPr>
          <w:color w:val="auto"/>
          <w:szCs w:val="21"/>
          <w:highlight w:val="none"/>
        </w:rPr>
        <w:t xml:space="preserve">（建议） </w:t>
      </w:r>
    </w:p>
    <w:p w14:paraId="1219F0CB">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二、</w:t>
      </w:r>
      <w:r>
        <w:rPr>
          <w:color w:val="auto"/>
          <w:szCs w:val="21"/>
          <w:highlight w:val="none"/>
          <w:u w:val="single"/>
        </w:rPr>
        <w:t xml:space="preserve">                    </w:t>
      </w:r>
      <w:r>
        <w:rPr>
          <w:color w:val="auto"/>
          <w:szCs w:val="21"/>
          <w:highlight w:val="none"/>
        </w:rPr>
        <w:t>（事项二）</w:t>
      </w:r>
    </w:p>
    <w:p w14:paraId="0837681A">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w:t>
      </w:r>
    </w:p>
    <w:p w14:paraId="50A16471">
      <w:pPr>
        <w:pStyle w:val="45"/>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随附相关证明材料如下：（目录）</w:t>
      </w:r>
    </w:p>
    <w:p w14:paraId="5A972954">
      <w:pPr>
        <w:pStyle w:val="19"/>
        <w:keepNext w:val="0"/>
        <w:keepLines w:val="0"/>
        <w:pageBreakBefore w:val="0"/>
        <w:widowControl w:val="0"/>
        <w:kinsoku/>
        <w:wordWrap/>
        <w:overflowPunct/>
        <w:topLinePunct w:val="0"/>
        <w:autoSpaceDE/>
        <w:autoSpaceDN/>
        <w:bidi w:val="0"/>
        <w:rPr>
          <w:rFonts w:hint="eastAsia"/>
          <w:color w:val="auto"/>
          <w:szCs w:val="21"/>
          <w:highlight w:val="none"/>
        </w:rPr>
      </w:pPr>
    </w:p>
    <w:p w14:paraId="74195307">
      <w:pPr>
        <w:pStyle w:val="19"/>
        <w:keepNext w:val="0"/>
        <w:keepLines w:val="0"/>
        <w:pageBreakBefore w:val="0"/>
        <w:widowControl w:val="0"/>
        <w:kinsoku/>
        <w:wordWrap/>
        <w:overflowPunct/>
        <w:topLinePunct w:val="0"/>
        <w:autoSpaceDE/>
        <w:autoSpaceDN/>
        <w:bidi w:val="0"/>
        <w:rPr>
          <w:rFonts w:hint="eastAsia"/>
          <w:color w:val="auto"/>
          <w:szCs w:val="21"/>
          <w:highlight w:val="none"/>
        </w:rPr>
      </w:pPr>
    </w:p>
    <w:p w14:paraId="0A9339BE">
      <w:pPr>
        <w:keepNext w:val="0"/>
        <w:keepLines w:val="0"/>
        <w:pageBreakBefore w:val="0"/>
        <w:widowControl w:val="0"/>
        <w:kinsoku/>
        <w:wordWrap/>
        <w:overflowPunct/>
        <w:topLinePunct w:val="0"/>
        <w:autoSpaceDE/>
        <w:autoSpaceDN/>
        <w:bidi w:val="0"/>
        <w:jc w:val="right"/>
        <w:rPr>
          <w:rFonts w:hint="eastAsia"/>
          <w:color w:val="auto"/>
          <w:szCs w:val="21"/>
          <w:highlight w:val="none"/>
        </w:rPr>
      </w:pPr>
      <w:r>
        <w:rPr>
          <w:rFonts w:hint="eastAsia"/>
          <w:color w:val="auto"/>
          <w:szCs w:val="21"/>
          <w:highlight w:val="none"/>
        </w:rPr>
        <w:t>询问人（公章）：</w:t>
      </w:r>
      <w:r>
        <w:rPr>
          <w:rFonts w:hint="eastAsia" w:cs="仿宋"/>
          <w:color w:val="auto"/>
          <w:szCs w:val="21"/>
          <w:highlight w:val="none"/>
          <w:u w:val="dotted"/>
        </w:rPr>
        <w:t xml:space="preserve">                </w:t>
      </w:r>
      <w:r>
        <w:rPr>
          <w:rFonts w:cs="仿宋"/>
          <w:color w:val="auto"/>
          <w:szCs w:val="21"/>
          <w:highlight w:val="none"/>
          <w:u w:val="dotted"/>
        </w:rPr>
        <w:t>.</w:t>
      </w:r>
      <w:r>
        <w:rPr>
          <w:color w:val="auto"/>
          <w:szCs w:val="21"/>
          <w:highlight w:val="none"/>
        </w:rPr>
        <w:t xml:space="preserve"> </w:t>
      </w:r>
    </w:p>
    <w:p w14:paraId="4D1AEDC9">
      <w:pPr>
        <w:keepNext w:val="0"/>
        <w:keepLines w:val="0"/>
        <w:pageBreakBefore w:val="0"/>
        <w:widowControl w:val="0"/>
        <w:kinsoku/>
        <w:wordWrap/>
        <w:overflowPunct/>
        <w:topLinePunct w:val="0"/>
        <w:autoSpaceDE/>
        <w:autoSpaceDN/>
        <w:bidi w:val="0"/>
        <w:jc w:val="right"/>
        <w:rPr>
          <w:rFonts w:hint="eastAsia"/>
          <w:color w:val="auto"/>
          <w:szCs w:val="21"/>
          <w:highlight w:val="none"/>
        </w:rPr>
      </w:pPr>
      <w:r>
        <w:rPr>
          <w:rFonts w:hint="eastAsia"/>
          <w:color w:val="auto"/>
          <w:szCs w:val="21"/>
          <w:highlight w:val="none"/>
        </w:rPr>
        <w:t>法定代表人或其授权代表（签字或盖章）：</w:t>
      </w:r>
      <w:r>
        <w:rPr>
          <w:rFonts w:hint="eastAsia" w:cs="仿宋"/>
          <w:color w:val="auto"/>
          <w:szCs w:val="21"/>
          <w:highlight w:val="none"/>
          <w:u w:val="dotted"/>
        </w:rPr>
        <w:t xml:space="preserve">                </w:t>
      </w:r>
      <w:r>
        <w:rPr>
          <w:rFonts w:cs="仿宋"/>
          <w:color w:val="auto"/>
          <w:szCs w:val="21"/>
          <w:highlight w:val="none"/>
          <w:u w:val="dotted"/>
        </w:rPr>
        <w:t>.</w:t>
      </w:r>
    </w:p>
    <w:p w14:paraId="1D2127F7">
      <w:pPr>
        <w:keepNext w:val="0"/>
        <w:keepLines w:val="0"/>
        <w:pageBreakBefore w:val="0"/>
        <w:widowControl w:val="0"/>
        <w:kinsoku/>
        <w:wordWrap/>
        <w:overflowPunct/>
        <w:topLinePunct w:val="0"/>
        <w:autoSpaceDE/>
        <w:autoSpaceDN/>
        <w:bidi w:val="0"/>
        <w:jc w:val="right"/>
        <w:rPr>
          <w:rFonts w:hint="eastAsia"/>
          <w:color w:val="auto"/>
          <w:szCs w:val="21"/>
          <w:highlight w:val="none"/>
        </w:rPr>
      </w:pPr>
      <w:r>
        <w:rPr>
          <w:rFonts w:hint="eastAsia"/>
          <w:color w:val="auto"/>
          <w:szCs w:val="21"/>
          <w:highlight w:val="none"/>
        </w:rPr>
        <w:t>地址/邮编：</w:t>
      </w:r>
      <w:r>
        <w:rPr>
          <w:rFonts w:hint="eastAsia" w:cs="仿宋"/>
          <w:color w:val="auto"/>
          <w:szCs w:val="21"/>
          <w:highlight w:val="none"/>
          <w:u w:val="dotted"/>
        </w:rPr>
        <w:t xml:space="preserve">                </w:t>
      </w:r>
      <w:r>
        <w:rPr>
          <w:rFonts w:cs="仿宋"/>
          <w:color w:val="auto"/>
          <w:szCs w:val="21"/>
          <w:highlight w:val="none"/>
          <w:u w:val="dotted"/>
        </w:rPr>
        <w:t>.</w:t>
      </w:r>
    </w:p>
    <w:p w14:paraId="1C06F072">
      <w:pPr>
        <w:keepNext w:val="0"/>
        <w:keepLines w:val="0"/>
        <w:pageBreakBefore w:val="0"/>
        <w:widowControl w:val="0"/>
        <w:kinsoku/>
        <w:wordWrap/>
        <w:overflowPunct/>
        <w:topLinePunct w:val="0"/>
        <w:autoSpaceDE/>
        <w:autoSpaceDN/>
        <w:bidi w:val="0"/>
        <w:jc w:val="right"/>
        <w:rPr>
          <w:rFonts w:hint="eastAsia"/>
          <w:color w:val="auto"/>
          <w:szCs w:val="21"/>
          <w:highlight w:val="none"/>
        </w:rPr>
      </w:pPr>
      <w:r>
        <w:rPr>
          <w:rFonts w:hint="eastAsia"/>
          <w:color w:val="auto"/>
          <w:szCs w:val="21"/>
          <w:highlight w:val="none"/>
        </w:rPr>
        <w:t>电话/传真：</w:t>
      </w:r>
      <w:r>
        <w:rPr>
          <w:rFonts w:hint="eastAsia" w:cs="仿宋"/>
          <w:color w:val="auto"/>
          <w:szCs w:val="21"/>
          <w:highlight w:val="none"/>
          <w:u w:val="dotted"/>
        </w:rPr>
        <w:t xml:space="preserve">                </w:t>
      </w:r>
      <w:r>
        <w:rPr>
          <w:rFonts w:cs="仿宋"/>
          <w:color w:val="auto"/>
          <w:szCs w:val="21"/>
          <w:highlight w:val="none"/>
          <w:u w:val="dotted"/>
        </w:rPr>
        <w:t>.</w:t>
      </w:r>
    </w:p>
    <w:p w14:paraId="5143045A">
      <w:pPr>
        <w:keepNext w:val="0"/>
        <w:keepLines w:val="0"/>
        <w:pageBreakBefore w:val="0"/>
        <w:widowControl w:val="0"/>
        <w:kinsoku/>
        <w:wordWrap/>
        <w:overflowPunct/>
        <w:topLinePunct w:val="0"/>
        <w:autoSpaceDE/>
        <w:autoSpaceDN/>
        <w:bidi w:val="0"/>
        <w:jc w:val="right"/>
        <w:rPr>
          <w:rFonts w:hint="eastAsia"/>
          <w:color w:val="auto"/>
          <w:szCs w:val="21"/>
          <w:highlight w:val="none"/>
        </w:rPr>
      </w:pPr>
      <w:r>
        <w:rPr>
          <w:rFonts w:hint="eastAsia" w:cs="仿宋"/>
          <w:color w:val="auto"/>
          <w:szCs w:val="21"/>
          <w:highlight w:val="none"/>
        </w:rPr>
        <w:t>日期：</w:t>
      </w:r>
      <w:r>
        <w:rPr>
          <w:rFonts w:hint="eastAsia" w:cs="仿宋"/>
          <w:color w:val="auto"/>
          <w:szCs w:val="21"/>
          <w:highlight w:val="none"/>
          <w:u w:val="dotted"/>
        </w:rPr>
        <w:t xml:space="preserve">     </w:t>
      </w:r>
      <w:r>
        <w:rPr>
          <w:rFonts w:hint="eastAsia"/>
          <w:color w:val="auto"/>
          <w:szCs w:val="21"/>
          <w:highlight w:val="none"/>
        </w:rPr>
        <w:t>年</w:t>
      </w:r>
      <w:r>
        <w:rPr>
          <w:rFonts w:hint="eastAsia" w:cs="仿宋"/>
          <w:color w:val="auto"/>
          <w:szCs w:val="21"/>
          <w:highlight w:val="none"/>
          <w:u w:val="dotted"/>
        </w:rPr>
        <w:t xml:space="preserve">     </w:t>
      </w:r>
      <w:r>
        <w:rPr>
          <w:rFonts w:hint="eastAsia"/>
          <w:color w:val="auto"/>
          <w:szCs w:val="21"/>
          <w:highlight w:val="none"/>
        </w:rPr>
        <w:t>月</w:t>
      </w:r>
      <w:r>
        <w:rPr>
          <w:rFonts w:hint="eastAsia" w:cs="仿宋"/>
          <w:color w:val="auto"/>
          <w:szCs w:val="21"/>
          <w:highlight w:val="none"/>
          <w:u w:val="dotted"/>
        </w:rPr>
        <w:t xml:space="preserve">     </w:t>
      </w:r>
      <w:r>
        <w:rPr>
          <w:rFonts w:hint="eastAsia"/>
          <w:color w:val="auto"/>
          <w:szCs w:val="21"/>
          <w:highlight w:val="none"/>
        </w:rPr>
        <w:t>日</w:t>
      </w:r>
    </w:p>
    <w:p w14:paraId="130AE0B7">
      <w:pPr>
        <w:keepNext w:val="0"/>
        <w:keepLines w:val="0"/>
        <w:pageBreakBefore w:val="0"/>
        <w:widowControl w:val="0"/>
        <w:kinsoku/>
        <w:wordWrap/>
        <w:overflowPunct/>
        <w:topLinePunct w:val="0"/>
        <w:autoSpaceDE/>
        <w:autoSpaceDN/>
        <w:bidi w:val="0"/>
        <w:rPr>
          <w:rFonts w:hint="eastAsia"/>
          <w:color w:val="auto"/>
          <w:szCs w:val="21"/>
          <w:highlight w:val="none"/>
        </w:rPr>
      </w:pPr>
      <w:r>
        <w:rPr>
          <w:color w:val="auto"/>
          <w:szCs w:val="21"/>
          <w:highlight w:val="none"/>
        </w:rPr>
        <w:br w:type="page"/>
      </w:r>
    </w:p>
    <w:p w14:paraId="235B952A">
      <w:pPr>
        <w:keepNext w:val="0"/>
        <w:keepLines w:val="0"/>
        <w:pageBreakBefore w:val="0"/>
        <w:widowControl w:val="0"/>
        <w:kinsoku/>
        <w:wordWrap/>
        <w:overflowPunct/>
        <w:topLinePunct w:val="0"/>
        <w:autoSpaceDE/>
        <w:autoSpaceDN/>
        <w:bidi w:val="0"/>
        <w:jc w:val="center"/>
        <w:rPr>
          <w:rFonts w:hint="eastAsia"/>
          <w:b/>
          <w:bCs/>
          <w:color w:val="auto"/>
          <w:sz w:val="28"/>
          <w:szCs w:val="28"/>
          <w:highlight w:val="none"/>
        </w:rPr>
      </w:pPr>
      <w:r>
        <w:rPr>
          <w:rFonts w:hint="eastAsia"/>
          <w:b/>
          <w:bCs/>
          <w:color w:val="auto"/>
          <w:sz w:val="28"/>
          <w:szCs w:val="28"/>
          <w:highlight w:val="none"/>
        </w:rPr>
        <w:t>质疑函</w:t>
      </w:r>
    </w:p>
    <w:p w14:paraId="0B762714">
      <w:pPr>
        <w:pStyle w:val="127"/>
        <w:keepNext w:val="0"/>
        <w:keepLines w:val="0"/>
        <w:pageBreakBefore w:val="0"/>
        <w:widowControl w:val="0"/>
        <w:numPr>
          <w:ilvl w:val="2"/>
          <w:numId w:val="29"/>
        </w:numPr>
        <w:kinsoku/>
        <w:wordWrap/>
        <w:overflowPunct/>
        <w:topLinePunct w:val="0"/>
        <w:autoSpaceDE/>
        <w:autoSpaceDN/>
        <w:bidi w:val="0"/>
        <w:adjustRightInd w:val="0"/>
        <w:snapToGrid w:val="0"/>
        <w:ind w:left="0" w:firstLine="0"/>
        <w:rPr>
          <w:rFonts w:hint="eastAsia" w:ascii="宋体" w:hAnsi="宋体" w:cs="仿宋"/>
          <w:b/>
          <w:color w:val="auto"/>
          <w:szCs w:val="21"/>
          <w:highlight w:val="none"/>
        </w:rPr>
      </w:pPr>
      <w:r>
        <w:rPr>
          <w:rFonts w:hint="eastAsia" w:ascii="宋体" w:hAnsi="宋体" w:cs="仿宋"/>
          <w:b/>
          <w:color w:val="auto"/>
          <w:szCs w:val="21"/>
          <w:highlight w:val="none"/>
        </w:rPr>
        <w:t>质疑供应商基本信息</w:t>
      </w:r>
    </w:p>
    <w:p w14:paraId="4EC5F44B">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u w:val="dotted"/>
        </w:rPr>
      </w:pPr>
      <w:r>
        <w:rPr>
          <w:rFonts w:hint="eastAsia" w:cs="仿宋"/>
          <w:color w:val="auto"/>
          <w:szCs w:val="21"/>
          <w:highlight w:val="none"/>
        </w:rPr>
        <w:t>质疑供应商：</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1B39CCC5">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rPr>
      </w:pPr>
      <w:r>
        <w:rPr>
          <w:rFonts w:hint="eastAsia" w:cs="仿宋"/>
          <w:color w:val="auto"/>
          <w:szCs w:val="21"/>
          <w:highlight w:val="none"/>
        </w:rPr>
        <w:t>地址：</w:t>
      </w:r>
      <w:r>
        <w:rPr>
          <w:rFonts w:hint="eastAsia" w:cs="仿宋"/>
          <w:color w:val="auto"/>
          <w:szCs w:val="21"/>
          <w:highlight w:val="none"/>
          <w:u w:val="dotted"/>
        </w:rPr>
        <w:t xml:space="preserve">                          </w:t>
      </w:r>
      <w:r>
        <w:rPr>
          <w:rFonts w:hint="eastAsia" w:cs="仿宋"/>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13716E25">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rPr>
      </w:pPr>
      <w:r>
        <w:rPr>
          <w:rFonts w:hint="eastAsia" w:cs="仿宋"/>
          <w:color w:val="auto"/>
          <w:szCs w:val="21"/>
          <w:highlight w:val="none"/>
        </w:rPr>
        <w:t>联系人：</w:t>
      </w:r>
      <w:r>
        <w:rPr>
          <w:rFonts w:hint="eastAsia" w:cs="仿宋"/>
          <w:color w:val="auto"/>
          <w:szCs w:val="21"/>
          <w:highlight w:val="none"/>
          <w:u w:val="dotted"/>
        </w:rPr>
        <w:t xml:space="preserve">                      </w:t>
      </w:r>
      <w:r>
        <w:rPr>
          <w:rFonts w:hint="eastAsia" w:cs="仿宋"/>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019B4D59">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u w:val="dotted"/>
        </w:rPr>
      </w:pPr>
      <w:r>
        <w:rPr>
          <w:rFonts w:hint="eastAsia" w:cs="仿宋"/>
          <w:color w:val="auto"/>
          <w:szCs w:val="21"/>
          <w:highlight w:val="none"/>
        </w:rPr>
        <w:t>授权代表：</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3DF302E2">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rPr>
      </w:pPr>
      <w:r>
        <w:rPr>
          <w:rFonts w:hint="eastAsia" w:cs="仿宋"/>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2EC270BF">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rPr>
      </w:pPr>
      <w:r>
        <w:rPr>
          <w:rFonts w:hint="eastAsia" w:cs="仿宋"/>
          <w:color w:val="auto"/>
          <w:szCs w:val="21"/>
          <w:highlight w:val="none"/>
        </w:rPr>
        <w:t>地址：</w:t>
      </w:r>
      <w:r>
        <w:rPr>
          <w:rFonts w:cs="仿宋"/>
          <w:color w:val="auto"/>
          <w:szCs w:val="21"/>
          <w:highlight w:val="none"/>
        </w:rPr>
        <w:t xml:space="preserve"> </w:t>
      </w:r>
      <w:r>
        <w:rPr>
          <w:rFonts w:hint="eastAsia" w:cs="仿宋"/>
          <w:color w:val="auto"/>
          <w:szCs w:val="21"/>
          <w:highlight w:val="none"/>
          <w:u w:val="dotted"/>
        </w:rPr>
        <w:t xml:space="preserve">                        </w:t>
      </w:r>
      <w:r>
        <w:rPr>
          <w:rFonts w:hint="eastAsia" w:cs="仿宋"/>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746C09C1">
      <w:pPr>
        <w:pStyle w:val="127"/>
        <w:keepNext w:val="0"/>
        <w:keepLines w:val="0"/>
        <w:pageBreakBefore w:val="0"/>
        <w:widowControl w:val="0"/>
        <w:numPr>
          <w:ilvl w:val="2"/>
          <w:numId w:val="29"/>
        </w:numPr>
        <w:kinsoku/>
        <w:wordWrap/>
        <w:overflowPunct/>
        <w:topLinePunct w:val="0"/>
        <w:autoSpaceDE/>
        <w:autoSpaceDN/>
        <w:bidi w:val="0"/>
        <w:adjustRightInd w:val="0"/>
        <w:snapToGrid w:val="0"/>
        <w:ind w:left="0" w:firstLine="0"/>
        <w:rPr>
          <w:rFonts w:hint="eastAsia" w:ascii="宋体" w:hAnsi="宋体" w:cs="仿宋"/>
          <w:b/>
          <w:color w:val="auto"/>
          <w:szCs w:val="21"/>
          <w:highlight w:val="none"/>
        </w:rPr>
      </w:pPr>
      <w:r>
        <w:rPr>
          <w:rFonts w:hint="eastAsia" w:ascii="宋体" w:hAnsi="宋体" w:cs="仿宋"/>
          <w:b/>
          <w:color w:val="auto"/>
          <w:szCs w:val="21"/>
          <w:highlight w:val="none"/>
        </w:rPr>
        <w:t>质疑项目基本情况</w:t>
      </w:r>
    </w:p>
    <w:p w14:paraId="6FBF1E0E">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rPr>
      </w:pPr>
      <w:r>
        <w:rPr>
          <w:rFonts w:hint="eastAsia" w:cs="仿宋"/>
          <w:color w:val="auto"/>
          <w:szCs w:val="21"/>
          <w:highlight w:val="none"/>
        </w:rPr>
        <w:t>质疑项目的名称：</w:t>
      </w:r>
      <w:r>
        <w:rPr>
          <w:rFonts w:hint="eastAsia" w:cs="仿宋"/>
          <w:color w:val="auto"/>
          <w:szCs w:val="21"/>
          <w:highlight w:val="none"/>
          <w:u w:val="dotted"/>
        </w:rPr>
        <w:t xml:space="preserve">                                      </w:t>
      </w:r>
      <w:r>
        <w:rPr>
          <w:rFonts w:cs="仿宋"/>
          <w:color w:val="auto"/>
          <w:szCs w:val="21"/>
          <w:highlight w:val="none"/>
          <w:u w:val="dotted"/>
        </w:rPr>
        <w:t>.</w:t>
      </w:r>
    </w:p>
    <w:p w14:paraId="11F1037D">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rPr>
      </w:pPr>
      <w:r>
        <w:rPr>
          <w:rFonts w:hint="eastAsia" w:cs="仿宋"/>
          <w:color w:val="auto"/>
          <w:szCs w:val="21"/>
          <w:highlight w:val="none"/>
        </w:rPr>
        <w:t>质疑项目的编号：</w:t>
      </w:r>
      <w:r>
        <w:rPr>
          <w:rFonts w:hint="eastAsia" w:cs="仿宋"/>
          <w:color w:val="auto"/>
          <w:szCs w:val="21"/>
          <w:highlight w:val="none"/>
          <w:u w:val="dotted"/>
        </w:rPr>
        <w:t xml:space="preserve">               </w:t>
      </w:r>
      <w:r>
        <w:rPr>
          <w:rFonts w:hint="eastAsia" w:cs="仿宋"/>
          <w:color w:val="auto"/>
          <w:szCs w:val="21"/>
          <w:highlight w:val="none"/>
        </w:rPr>
        <w:t>包号：</w:t>
      </w:r>
      <w:r>
        <w:rPr>
          <w:rFonts w:hint="eastAsia" w:cs="仿宋"/>
          <w:color w:val="auto"/>
          <w:szCs w:val="21"/>
          <w:highlight w:val="none"/>
          <w:u w:val="dotted"/>
        </w:rPr>
        <w:t xml:space="preserve">                 </w:t>
      </w:r>
      <w:r>
        <w:rPr>
          <w:rFonts w:cs="仿宋"/>
          <w:color w:val="auto"/>
          <w:szCs w:val="21"/>
          <w:highlight w:val="none"/>
          <w:u w:val="dotted"/>
        </w:rPr>
        <w:t>.</w:t>
      </w:r>
    </w:p>
    <w:p w14:paraId="661F8463">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u w:val="dotted"/>
        </w:rPr>
      </w:pPr>
      <w:r>
        <w:rPr>
          <w:rFonts w:hint="eastAsia" w:cs="仿宋"/>
          <w:color w:val="auto"/>
          <w:szCs w:val="21"/>
          <w:highlight w:val="none"/>
        </w:rPr>
        <w:t>采购人名称：</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6226A9B9">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rPr>
      </w:pPr>
      <w:r>
        <w:rPr>
          <w:rFonts w:hint="eastAsia" w:cs="仿宋"/>
          <w:color w:val="auto"/>
          <w:szCs w:val="21"/>
          <w:highlight w:val="none"/>
        </w:rPr>
        <w:t>采购文件获取日期：</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0049FD4C">
      <w:pPr>
        <w:pStyle w:val="127"/>
        <w:keepNext w:val="0"/>
        <w:keepLines w:val="0"/>
        <w:pageBreakBefore w:val="0"/>
        <w:widowControl w:val="0"/>
        <w:numPr>
          <w:ilvl w:val="2"/>
          <w:numId w:val="29"/>
        </w:numPr>
        <w:kinsoku/>
        <w:wordWrap/>
        <w:overflowPunct/>
        <w:topLinePunct w:val="0"/>
        <w:autoSpaceDE/>
        <w:autoSpaceDN/>
        <w:bidi w:val="0"/>
        <w:adjustRightInd w:val="0"/>
        <w:snapToGrid w:val="0"/>
        <w:ind w:left="0" w:firstLine="0"/>
        <w:rPr>
          <w:rFonts w:hint="eastAsia" w:ascii="宋体" w:hAnsi="宋体" w:cs="仿宋"/>
          <w:b/>
          <w:color w:val="auto"/>
          <w:szCs w:val="21"/>
          <w:highlight w:val="none"/>
        </w:rPr>
      </w:pPr>
      <w:r>
        <w:rPr>
          <w:rFonts w:hint="eastAsia" w:ascii="宋体" w:hAnsi="宋体" w:cs="仿宋"/>
          <w:b/>
          <w:color w:val="auto"/>
          <w:szCs w:val="21"/>
          <w:highlight w:val="none"/>
        </w:rPr>
        <w:t>质疑事项具体内容</w:t>
      </w:r>
    </w:p>
    <w:p w14:paraId="3186ECFB">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u w:val="dotted"/>
        </w:rPr>
      </w:pPr>
      <w:r>
        <w:rPr>
          <w:rFonts w:hint="eastAsia" w:cs="仿宋"/>
          <w:color w:val="auto"/>
          <w:szCs w:val="21"/>
          <w:highlight w:val="none"/>
        </w:rPr>
        <w:t>质疑事项1：</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203E1EA5">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u w:val="dotted"/>
        </w:rPr>
      </w:pPr>
      <w:r>
        <w:rPr>
          <w:rFonts w:hint="eastAsia" w:cs="仿宋"/>
          <w:color w:val="auto"/>
          <w:szCs w:val="21"/>
          <w:highlight w:val="none"/>
        </w:rPr>
        <w:t>事实依据：</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0A2A706B">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u w:val="dotted"/>
        </w:rPr>
      </w:pPr>
      <w:r>
        <w:rPr>
          <w:rFonts w:hint="eastAsia" w:cs="仿宋"/>
          <w:color w:val="auto"/>
          <w:szCs w:val="21"/>
          <w:highlight w:val="none"/>
        </w:rPr>
        <w:t>法律依据：</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19276F7F">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u w:val="dotted"/>
        </w:rPr>
      </w:pPr>
      <w:r>
        <w:rPr>
          <w:rFonts w:hint="eastAsia" w:cs="仿宋"/>
          <w:color w:val="auto"/>
          <w:szCs w:val="21"/>
          <w:highlight w:val="none"/>
        </w:rPr>
        <w:t>质疑事项2</w:t>
      </w:r>
    </w:p>
    <w:p w14:paraId="18ED1E93">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rPr>
      </w:pPr>
      <w:r>
        <w:rPr>
          <w:rFonts w:hint="eastAsia" w:cs="仿宋"/>
          <w:color w:val="auto"/>
          <w:szCs w:val="21"/>
          <w:highlight w:val="none"/>
        </w:rPr>
        <w:t>……</w:t>
      </w:r>
    </w:p>
    <w:p w14:paraId="5BBAB329">
      <w:pPr>
        <w:pStyle w:val="127"/>
        <w:keepNext w:val="0"/>
        <w:keepLines w:val="0"/>
        <w:pageBreakBefore w:val="0"/>
        <w:widowControl w:val="0"/>
        <w:numPr>
          <w:ilvl w:val="2"/>
          <w:numId w:val="29"/>
        </w:numPr>
        <w:kinsoku/>
        <w:wordWrap/>
        <w:overflowPunct/>
        <w:topLinePunct w:val="0"/>
        <w:autoSpaceDE/>
        <w:autoSpaceDN/>
        <w:bidi w:val="0"/>
        <w:adjustRightInd w:val="0"/>
        <w:snapToGrid w:val="0"/>
        <w:ind w:left="0" w:firstLine="0"/>
        <w:rPr>
          <w:rFonts w:hint="eastAsia" w:ascii="宋体" w:hAnsi="宋体" w:cs="仿宋"/>
          <w:b/>
          <w:color w:val="auto"/>
          <w:szCs w:val="21"/>
          <w:highlight w:val="none"/>
          <w:lang w:eastAsia="zh-CN"/>
        </w:rPr>
      </w:pPr>
      <w:r>
        <w:rPr>
          <w:rFonts w:hint="eastAsia" w:ascii="宋体" w:hAnsi="宋体" w:cs="仿宋"/>
          <w:b/>
          <w:color w:val="auto"/>
          <w:szCs w:val="21"/>
          <w:highlight w:val="none"/>
          <w:lang w:eastAsia="zh-CN"/>
        </w:rPr>
        <w:t>与质疑事项相关的质疑请求</w:t>
      </w:r>
    </w:p>
    <w:p w14:paraId="247809DB">
      <w:pPr>
        <w:keepNext w:val="0"/>
        <w:keepLines w:val="0"/>
        <w:pageBreakBefore w:val="0"/>
        <w:widowControl w:val="0"/>
        <w:kinsoku/>
        <w:wordWrap/>
        <w:overflowPunct/>
        <w:topLinePunct w:val="0"/>
        <w:autoSpaceDE/>
        <w:autoSpaceDN/>
        <w:bidi w:val="0"/>
        <w:adjustRightInd w:val="0"/>
        <w:snapToGrid w:val="0"/>
        <w:rPr>
          <w:rFonts w:hint="eastAsia" w:cs="仿宋"/>
          <w:color w:val="auto"/>
          <w:szCs w:val="21"/>
          <w:highlight w:val="none"/>
          <w:u w:val="dotted"/>
        </w:rPr>
      </w:pPr>
      <w:r>
        <w:rPr>
          <w:rFonts w:hint="eastAsia" w:cs="仿宋"/>
          <w:color w:val="auto"/>
          <w:szCs w:val="21"/>
          <w:highlight w:val="none"/>
        </w:rPr>
        <w:t>请求：</w:t>
      </w:r>
      <w:r>
        <w:rPr>
          <w:rFonts w:hint="eastAsia" w:cs="仿宋"/>
          <w:color w:val="auto"/>
          <w:szCs w:val="21"/>
          <w:highlight w:val="none"/>
          <w:u w:val="dotted"/>
        </w:rPr>
        <w:t xml:space="preserve">                                               </w:t>
      </w:r>
      <w:r>
        <w:rPr>
          <w:rFonts w:cs="仿宋"/>
          <w:color w:val="auto"/>
          <w:szCs w:val="21"/>
          <w:highlight w:val="none"/>
          <w:u w:val="dotted"/>
        </w:rPr>
        <w:t>.</w:t>
      </w:r>
    </w:p>
    <w:p w14:paraId="2C1EE7DB">
      <w:pPr>
        <w:keepNext w:val="0"/>
        <w:keepLines w:val="0"/>
        <w:pageBreakBefore w:val="0"/>
        <w:widowControl w:val="0"/>
        <w:kinsoku/>
        <w:wordWrap/>
        <w:overflowPunct/>
        <w:topLinePunct w:val="0"/>
        <w:autoSpaceDE/>
        <w:autoSpaceDN/>
        <w:bidi w:val="0"/>
        <w:rPr>
          <w:rFonts w:hint="eastAsia"/>
          <w:color w:val="auto"/>
          <w:szCs w:val="21"/>
          <w:highlight w:val="none"/>
        </w:rPr>
      </w:pPr>
    </w:p>
    <w:p w14:paraId="38B19978">
      <w:pPr>
        <w:keepNext w:val="0"/>
        <w:keepLines w:val="0"/>
        <w:pageBreakBefore w:val="0"/>
        <w:widowControl w:val="0"/>
        <w:kinsoku/>
        <w:wordWrap/>
        <w:overflowPunct/>
        <w:topLinePunct w:val="0"/>
        <w:autoSpaceDE/>
        <w:autoSpaceDN/>
        <w:bidi w:val="0"/>
        <w:jc w:val="right"/>
        <w:rPr>
          <w:rFonts w:hint="eastAsia"/>
          <w:color w:val="auto"/>
          <w:szCs w:val="21"/>
          <w:highlight w:val="none"/>
        </w:rPr>
      </w:pPr>
      <w:r>
        <w:rPr>
          <w:rFonts w:hint="eastAsia"/>
          <w:color w:val="auto"/>
          <w:szCs w:val="21"/>
          <w:highlight w:val="none"/>
        </w:rPr>
        <w:t>签字（签章）：</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hint="eastAsia"/>
          <w:color w:val="auto"/>
          <w:szCs w:val="21"/>
          <w:highlight w:val="none"/>
        </w:rPr>
        <w:t>公章：</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1059736D">
      <w:pPr>
        <w:keepNext w:val="0"/>
        <w:keepLines w:val="0"/>
        <w:pageBreakBefore w:val="0"/>
        <w:widowControl w:val="0"/>
        <w:kinsoku/>
        <w:wordWrap/>
        <w:overflowPunct/>
        <w:topLinePunct w:val="0"/>
        <w:autoSpaceDE/>
        <w:autoSpaceDN/>
        <w:bidi w:val="0"/>
        <w:jc w:val="right"/>
        <w:rPr>
          <w:rFonts w:hint="eastAsia" w:cs="仿宋"/>
          <w:color w:val="auto"/>
          <w:szCs w:val="21"/>
          <w:highlight w:val="none"/>
          <w:u w:val="dotted"/>
        </w:rPr>
      </w:pPr>
      <w:r>
        <w:rPr>
          <w:rFonts w:hint="eastAsia"/>
          <w:color w:val="auto"/>
          <w:szCs w:val="21"/>
          <w:highlight w:val="none"/>
        </w:rPr>
        <w:t>日期：</w:t>
      </w:r>
      <w:r>
        <w:rPr>
          <w:rFonts w:hint="eastAsia" w:cs="仿宋"/>
          <w:color w:val="auto"/>
          <w:szCs w:val="21"/>
          <w:highlight w:val="none"/>
          <w:u w:val="dotted"/>
        </w:rPr>
        <w:t xml:space="preserve">     </w:t>
      </w:r>
      <w:r>
        <w:rPr>
          <w:rFonts w:hint="eastAsia"/>
          <w:color w:val="auto"/>
          <w:szCs w:val="21"/>
          <w:highlight w:val="none"/>
        </w:rPr>
        <w:t>年</w:t>
      </w:r>
      <w:r>
        <w:rPr>
          <w:rFonts w:hint="eastAsia" w:cs="仿宋"/>
          <w:color w:val="auto"/>
          <w:szCs w:val="21"/>
          <w:highlight w:val="none"/>
          <w:u w:val="dotted"/>
        </w:rPr>
        <w:t xml:space="preserve">     </w:t>
      </w:r>
      <w:r>
        <w:rPr>
          <w:rFonts w:hint="eastAsia"/>
          <w:color w:val="auto"/>
          <w:szCs w:val="21"/>
          <w:highlight w:val="none"/>
        </w:rPr>
        <w:t>月</w:t>
      </w:r>
      <w:r>
        <w:rPr>
          <w:rFonts w:hint="eastAsia" w:cs="仿宋"/>
          <w:color w:val="auto"/>
          <w:szCs w:val="21"/>
          <w:highlight w:val="none"/>
          <w:u w:val="dotted"/>
        </w:rPr>
        <w:t xml:space="preserve">     </w:t>
      </w:r>
      <w:r>
        <w:rPr>
          <w:rFonts w:hint="eastAsia"/>
          <w:color w:val="auto"/>
          <w:szCs w:val="21"/>
          <w:highlight w:val="none"/>
        </w:rPr>
        <w:t>日</w:t>
      </w:r>
    </w:p>
    <w:p w14:paraId="52ADE67A">
      <w:pPr>
        <w:pStyle w:val="45"/>
        <w:keepNext w:val="0"/>
        <w:keepLines w:val="0"/>
        <w:pageBreakBefore w:val="0"/>
        <w:widowControl w:val="0"/>
        <w:kinsoku/>
        <w:wordWrap/>
        <w:overflowPunct/>
        <w:topLinePunct w:val="0"/>
        <w:autoSpaceDE/>
        <w:autoSpaceDN/>
        <w:bidi w:val="0"/>
        <w:rPr>
          <w:rFonts w:hint="eastAsia"/>
          <w:color w:val="auto"/>
          <w:highlight w:val="none"/>
        </w:rPr>
      </w:pPr>
    </w:p>
    <w:p w14:paraId="746FB3E7">
      <w:pPr>
        <w:keepNext w:val="0"/>
        <w:keepLines w:val="0"/>
        <w:pageBreakBefore w:val="0"/>
        <w:widowControl w:val="0"/>
        <w:kinsoku/>
        <w:wordWrap/>
        <w:overflowPunct/>
        <w:topLinePunct w:val="0"/>
        <w:autoSpaceDE/>
        <w:autoSpaceDN/>
        <w:bidi w:val="0"/>
        <w:spacing w:line="300" w:lineRule="exact"/>
        <w:rPr>
          <w:rFonts w:hint="eastAsia"/>
          <w:color w:val="auto"/>
          <w:szCs w:val="21"/>
          <w:highlight w:val="none"/>
        </w:rPr>
      </w:pPr>
      <w:r>
        <w:rPr>
          <w:rFonts w:hint="eastAsia"/>
          <w:color w:val="auto"/>
          <w:szCs w:val="21"/>
          <w:highlight w:val="none"/>
        </w:rPr>
        <w:t>质疑函制作说明：</w:t>
      </w:r>
    </w:p>
    <w:p w14:paraId="7C55A019">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1.</w:t>
      </w:r>
      <w:r>
        <w:rPr>
          <w:rFonts w:hint="eastAsia"/>
          <w:color w:val="auto"/>
          <w:szCs w:val="21"/>
          <w:highlight w:val="none"/>
        </w:rPr>
        <w:t>供应商提出质疑时，应提交质疑函和必要的证明材料。</w:t>
      </w:r>
    </w:p>
    <w:p w14:paraId="7BEBD098">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2.</w:t>
      </w:r>
      <w:r>
        <w:rPr>
          <w:rFonts w:hint="eastAsia"/>
          <w:color w:val="auto"/>
          <w:szCs w:val="21"/>
          <w:highlight w:val="none"/>
        </w:rPr>
        <w:t>质疑供应商若委托代理人进行质疑的，质疑函应按要求列明</w:t>
      </w:r>
      <w:r>
        <w:rPr>
          <w:color w:val="auto"/>
          <w:szCs w:val="21"/>
          <w:highlight w:val="none"/>
        </w:rPr>
        <w:t>“</w:t>
      </w:r>
      <w:r>
        <w:rPr>
          <w:rFonts w:hint="eastAsia"/>
          <w:color w:val="auto"/>
          <w:szCs w:val="21"/>
          <w:highlight w:val="none"/>
        </w:rPr>
        <w:t>授权代表</w:t>
      </w:r>
      <w:r>
        <w:rPr>
          <w:color w:val="auto"/>
          <w:szCs w:val="21"/>
          <w:highlight w:val="none"/>
        </w:rPr>
        <w:t>”</w:t>
      </w:r>
      <w:r>
        <w:rPr>
          <w:rFonts w:hint="eastAsia"/>
          <w:color w:val="auto"/>
          <w:szCs w:val="21"/>
          <w:highlight w:val="none"/>
        </w:rPr>
        <w:t>的有关内容，并在附件中提交由质疑供应商签署的授权委托书。授权委托书应载明代理人的姓名或者名称、代理事项、具体权限、期限和相关事项。</w:t>
      </w:r>
      <w:r>
        <w:rPr>
          <w:color w:val="auto"/>
          <w:szCs w:val="21"/>
          <w:highlight w:val="none"/>
        </w:rPr>
        <w:t xml:space="preserve"> </w:t>
      </w:r>
    </w:p>
    <w:p w14:paraId="20AE5E9E">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3.</w:t>
      </w:r>
      <w:r>
        <w:rPr>
          <w:rFonts w:hint="eastAsia"/>
          <w:color w:val="auto"/>
          <w:szCs w:val="21"/>
          <w:highlight w:val="none"/>
        </w:rPr>
        <w:t>质疑供应商若对项目的某一分包进行质疑，质疑函中应列明具体分包号。</w:t>
      </w:r>
    </w:p>
    <w:p w14:paraId="5C708F90">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4.</w:t>
      </w:r>
      <w:r>
        <w:rPr>
          <w:rFonts w:hint="eastAsia"/>
          <w:color w:val="auto"/>
          <w:szCs w:val="21"/>
          <w:highlight w:val="none"/>
        </w:rPr>
        <w:t>质疑函的质疑事项应具体、明确，并有必要的事实依据和法律依据。</w:t>
      </w:r>
    </w:p>
    <w:p w14:paraId="6540820B">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5.</w:t>
      </w:r>
      <w:r>
        <w:rPr>
          <w:rFonts w:hint="eastAsia"/>
          <w:color w:val="auto"/>
          <w:szCs w:val="21"/>
          <w:highlight w:val="none"/>
        </w:rPr>
        <w:t>质疑函的质疑请求应与质疑事项相关。</w:t>
      </w:r>
    </w:p>
    <w:p w14:paraId="76C9CE10">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r>
        <w:rPr>
          <w:color w:val="auto"/>
          <w:szCs w:val="21"/>
          <w:highlight w:val="none"/>
        </w:rPr>
        <w:t>6.</w:t>
      </w:r>
      <w:r>
        <w:rPr>
          <w:rFonts w:hint="eastAsia"/>
          <w:color w:val="auto"/>
          <w:szCs w:val="21"/>
          <w:highlight w:val="none"/>
        </w:rPr>
        <w:t>质疑供应商为自然人的，质疑函应由本人签字；质疑供应商为法人或者其他组织的，质疑函应由法定代表人、主要负责人，或者其授权代表签字或者盖章，并加盖公章。</w:t>
      </w:r>
    </w:p>
    <w:p w14:paraId="36F3357F">
      <w:pPr>
        <w:keepNext w:val="0"/>
        <w:keepLines w:val="0"/>
        <w:pageBreakBefore w:val="0"/>
        <w:widowControl w:val="0"/>
        <w:kinsoku/>
        <w:wordWrap/>
        <w:overflowPunct/>
        <w:topLinePunct w:val="0"/>
        <w:autoSpaceDE/>
        <w:autoSpaceDN/>
        <w:bidi w:val="0"/>
        <w:spacing w:line="240" w:lineRule="auto"/>
        <w:ind w:firstLine="420" w:firstLineChars="200"/>
        <w:rPr>
          <w:rFonts w:hint="eastAsia"/>
          <w:color w:val="auto"/>
          <w:szCs w:val="21"/>
          <w:highlight w:val="none"/>
        </w:rPr>
      </w:pPr>
      <w:bookmarkStart w:id="392" w:name="_Hlk104040558"/>
      <w:r>
        <w:rPr>
          <w:color w:val="auto"/>
          <w:szCs w:val="21"/>
          <w:highlight w:val="none"/>
        </w:rPr>
        <w:t xml:space="preserve">7. </w:t>
      </w:r>
      <w:r>
        <w:rPr>
          <w:rFonts w:hint="eastAsia"/>
          <w:color w:val="auto"/>
          <w:szCs w:val="21"/>
          <w:highlight w:val="none"/>
        </w:rPr>
        <w:t>供应商应在提交的证明材料中对质疑点的内容作出相应的标识或以醒目的方式标明。</w:t>
      </w:r>
    </w:p>
    <w:bookmarkEnd w:id="392"/>
    <w:p w14:paraId="2B582261">
      <w:pPr>
        <w:keepNext w:val="0"/>
        <w:keepLines w:val="0"/>
        <w:pageBreakBefore w:val="0"/>
        <w:widowControl w:val="0"/>
        <w:kinsoku/>
        <w:wordWrap/>
        <w:overflowPunct/>
        <w:topLinePunct w:val="0"/>
        <w:autoSpaceDE/>
        <w:autoSpaceDN/>
        <w:bidi w:val="0"/>
        <w:rPr>
          <w:rFonts w:hint="eastAsia"/>
          <w:b/>
          <w:bCs/>
          <w:color w:val="auto"/>
          <w:sz w:val="24"/>
          <w:highlight w:val="none"/>
        </w:rPr>
      </w:pPr>
      <w:r>
        <w:rPr>
          <w:b/>
          <w:bCs/>
          <w:color w:val="auto"/>
          <w:sz w:val="24"/>
          <w:highlight w:val="none"/>
        </w:rPr>
        <w:br w:type="page"/>
      </w:r>
    </w:p>
    <w:p w14:paraId="6F2BA386">
      <w:pPr>
        <w:keepNext w:val="0"/>
        <w:keepLines w:val="0"/>
        <w:pageBreakBefore w:val="0"/>
        <w:widowControl w:val="0"/>
        <w:kinsoku/>
        <w:wordWrap/>
        <w:overflowPunct/>
        <w:topLinePunct w:val="0"/>
        <w:autoSpaceDE/>
        <w:autoSpaceDN/>
        <w:bidi w:val="0"/>
        <w:jc w:val="center"/>
        <w:rPr>
          <w:rFonts w:hint="eastAsia"/>
          <w:b/>
          <w:bCs/>
          <w:color w:val="auto"/>
          <w:sz w:val="28"/>
          <w:szCs w:val="28"/>
          <w:highlight w:val="none"/>
        </w:rPr>
      </w:pPr>
      <w:r>
        <w:rPr>
          <w:rFonts w:hint="eastAsia"/>
          <w:b/>
          <w:bCs/>
          <w:color w:val="auto"/>
          <w:sz w:val="28"/>
          <w:szCs w:val="28"/>
          <w:highlight w:val="none"/>
        </w:rPr>
        <w:t>投诉书</w:t>
      </w:r>
    </w:p>
    <w:p w14:paraId="782D4609">
      <w:pPr>
        <w:pStyle w:val="19"/>
        <w:keepNext w:val="0"/>
        <w:keepLines w:val="0"/>
        <w:pageBreakBefore w:val="0"/>
        <w:widowControl w:val="0"/>
        <w:numPr>
          <w:ilvl w:val="2"/>
          <w:numId w:val="30"/>
        </w:numPr>
        <w:kinsoku/>
        <w:wordWrap/>
        <w:overflowPunct/>
        <w:topLinePunct w:val="0"/>
        <w:autoSpaceDE/>
        <w:autoSpaceDN/>
        <w:bidi w:val="0"/>
        <w:ind w:left="0" w:firstLine="0"/>
        <w:rPr>
          <w:rFonts w:hint="eastAsia"/>
          <w:b/>
          <w:bCs/>
          <w:color w:val="auto"/>
          <w:szCs w:val="20"/>
          <w:highlight w:val="none"/>
        </w:rPr>
      </w:pPr>
      <w:r>
        <w:rPr>
          <w:rFonts w:hint="eastAsia"/>
          <w:b/>
          <w:bCs/>
          <w:color w:val="auto"/>
          <w:szCs w:val="20"/>
          <w:highlight w:val="none"/>
        </w:rPr>
        <w:t>投诉相关主体基本情况</w:t>
      </w:r>
    </w:p>
    <w:p w14:paraId="7BE4B8EF">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投诉人：</w:t>
      </w:r>
      <w:r>
        <w:rPr>
          <w:rFonts w:hint="eastAsia" w:cs="仿宋"/>
          <w:color w:val="auto"/>
          <w:szCs w:val="21"/>
          <w:highlight w:val="none"/>
          <w:u w:val="dotted"/>
        </w:rPr>
        <w:t xml:space="preserve">                 </w:t>
      </w:r>
      <w:r>
        <w:rPr>
          <w:rFonts w:cs="仿宋"/>
          <w:color w:val="auto"/>
          <w:szCs w:val="21"/>
          <w:highlight w:val="none"/>
          <w:u w:val="dotted"/>
        </w:rPr>
        <w:t>.</w:t>
      </w:r>
    </w:p>
    <w:p w14:paraId="109797CC">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地 址：</w:t>
      </w:r>
      <w:r>
        <w:rPr>
          <w:rFonts w:hint="eastAsia" w:cs="仿宋"/>
          <w:color w:val="auto"/>
          <w:szCs w:val="21"/>
          <w:highlight w:val="none"/>
          <w:u w:val="dotted"/>
        </w:rPr>
        <w:t xml:space="preserve">                 </w:t>
      </w:r>
      <w:r>
        <w:rPr>
          <w:rFonts w:hint="eastAsia"/>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22A72109">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法定代表人/主要负责人：</w:t>
      </w:r>
      <w:r>
        <w:rPr>
          <w:rFonts w:hint="eastAsia" w:cs="仿宋"/>
          <w:color w:val="auto"/>
          <w:szCs w:val="21"/>
          <w:highlight w:val="none"/>
          <w:u w:val="dotted"/>
        </w:rPr>
        <w:t xml:space="preserve">                 </w:t>
      </w:r>
      <w:r>
        <w:rPr>
          <w:rFonts w:cs="仿宋"/>
          <w:color w:val="auto"/>
          <w:szCs w:val="21"/>
          <w:highlight w:val="none"/>
          <w:u w:val="dotted"/>
        </w:rPr>
        <w:t>.</w:t>
      </w:r>
    </w:p>
    <w:p w14:paraId="00AB2B64">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41AC5BFE">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授权代表：</w:t>
      </w:r>
      <w:r>
        <w:rPr>
          <w:rFonts w:hint="eastAsia" w:cs="仿宋"/>
          <w:color w:val="auto"/>
          <w:szCs w:val="21"/>
          <w:highlight w:val="none"/>
          <w:u w:val="dotted"/>
        </w:rPr>
        <w:t xml:space="preserve">                 </w:t>
      </w:r>
      <w:r>
        <w:rPr>
          <w:rFonts w:hint="eastAsia"/>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0C51EFC0">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地址：</w:t>
      </w:r>
      <w:r>
        <w:rPr>
          <w:rFonts w:hint="eastAsia" w:cs="仿宋"/>
          <w:color w:val="auto"/>
          <w:szCs w:val="21"/>
          <w:highlight w:val="none"/>
          <w:u w:val="dotted"/>
        </w:rPr>
        <w:t xml:space="preserve">                 </w:t>
      </w:r>
      <w:r>
        <w:rPr>
          <w:rFonts w:hint="eastAsia"/>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3E675AD6">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被投诉人1：</w:t>
      </w:r>
      <w:r>
        <w:rPr>
          <w:rFonts w:hint="eastAsia" w:cs="仿宋"/>
          <w:color w:val="auto"/>
          <w:szCs w:val="21"/>
          <w:highlight w:val="none"/>
          <w:u w:val="dotted"/>
        </w:rPr>
        <w:t xml:space="preserve">                 </w:t>
      </w:r>
      <w:r>
        <w:rPr>
          <w:rFonts w:cs="仿宋"/>
          <w:color w:val="auto"/>
          <w:szCs w:val="21"/>
          <w:highlight w:val="none"/>
          <w:u w:val="dotted"/>
        </w:rPr>
        <w:t>.</w:t>
      </w:r>
    </w:p>
    <w:p w14:paraId="1E14A587">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地址：</w:t>
      </w:r>
      <w:r>
        <w:rPr>
          <w:rFonts w:hint="eastAsia" w:cs="仿宋"/>
          <w:color w:val="auto"/>
          <w:szCs w:val="21"/>
          <w:highlight w:val="none"/>
          <w:u w:val="dotted"/>
        </w:rPr>
        <w:t xml:space="preserve">                 </w:t>
      </w:r>
      <w:r>
        <w:rPr>
          <w:rFonts w:hint="eastAsia"/>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191EE118">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联系人：</w:t>
      </w:r>
      <w:r>
        <w:rPr>
          <w:rFonts w:hint="eastAsia" w:cs="仿宋"/>
          <w:color w:val="auto"/>
          <w:szCs w:val="21"/>
          <w:highlight w:val="none"/>
          <w:u w:val="dotted"/>
        </w:rPr>
        <w:t xml:space="preserve">                 </w:t>
      </w:r>
      <w:r>
        <w:rPr>
          <w:rFonts w:hint="eastAsia"/>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50AE2046">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被投诉人2：</w:t>
      </w:r>
      <w:r>
        <w:rPr>
          <w:rFonts w:hint="eastAsia" w:cs="仿宋"/>
          <w:color w:val="auto"/>
          <w:szCs w:val="21"/>
          <w:highlight w:val="none"/>
          <w:u w:val="dotted"/>
        </w:rPr>
        <w:t xml:space="preserve">                 </w:t>
      </w:r>
      <w:r>
        <w:rPr>
          <w:rFonts w:cs="仿宋"/>
          <w:color w:val="auto"/>
          <w:szCs w:val="21"/>
          <w:highlight w:val="none"/>
          <w:u w:val="dotted"/>
        </w:rPr>
        <w:t>.</w:t>
      </w:r>
    </w:p>
    <w:p w14:paraId="4318ED01">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w:t>
      </w:r>
    </w:p>
    <w:p w14:paraId="2E491575">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相关供应商：</w:t>
      </w:r>
      <w:r>
        <w:rPr>
          <w:rFonts w:hint="eastAsia" w:cs="仿宋"/>
          <w:color w:val="auto"/>
          <w:szCs w:val="21"/>
          <w:highlight w:val="none"/>
          <w:u w:val="dotted"/>
        </w:rPr>
        <w:t xml:space="preserve">                 </w:t>
      </w:r>
      <w:r>
        <w:rPr>
          <w:rFonts w:cs="仿宋"/>
          <w:color w:val="auto"/>
          <w:szCs w:val="21"/>
          <w:highlight w:val="none"/>
          <w:u w:val="dotted"/>
        </w:rPr>
        <w:t>.</w:t>
      </w:r>
    </w:p>
    <w:p w14:paraId="44C8F807">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地址：</w:t>
      </w:r>
      <w:r>
        <w:rPr>
          <w:rFonts w:hint="eastAsia" w:cs="仿宋"/>
          <w:color w:val="auto"/>
          <w:szCs w:val="21"/>
          <w:highlight w:val="none"/>
          <w:u w:val="dotted"/>
        </w:rPr>
        <w:t xml:space="preserve">                 </w:t>
      </w:r>
      <w:r>
        <w:rPr>
          <w:rFonts w:hint="eastAsia"/>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6CE00C2B">
      <w:pPr>
        <w:pStyle w:val="19"/>
        <w:keepNext w:val="0"/>
        <w:keepLines w:val="0"/>
        <w:pageBreakBefore w:val="0"/>
        <w:widowControl w:val="0"/>
        <w:kinsoku/>
        <w:wordWrap/>
        <w:overflowPunct/>
        <w:topLinePunct w:val="0"/>
        <w:autoSpaceDE/>
        <w:autoSpaceDN/>
        <w:bidi w:val="0"/>
        <w:rPr>
          <w:rFonts w:hint="eastAsia" w:cs="仿宋"/>
          <w:color w:val="auto"/>
          <w:szCs w:val="21"/>
          <w:highlight w:val="none"/>
          <w:u w:val="dotted"/>
        </w:rPr>
      </w:pPr>
      <w:r>
        <w:rPr>
          <w:rFonts w:hint="eastAsia"/>
          <w:color w:val="auto"/>
          <w:szCs w:val="21"/>
          <w:highlight w:val="none"/>
        </w:rPr>
        <w:t>联系人：</w:t>
      </w:r>
      <w:r>
        <w:rPr>
          <w:rFonts w:hint="eastAsia" w:cs="仿宋"/>
          <w:color w:val="auto"/>
          <w:szCs w:val="21"/>
          <w:highlight w:val="none"/>
          <w:u w:val="dotted"/>
        </w:rPr>
        <w:t xml:space="preserve">                 </w:t>
      </w:r>
      <w:r>
        <w:rPr>
          <w:rFonts w:hint="eastAsia"/>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6A3FAF7A">
      <w:pPr>
        <w:pStyle w:val="19"/>
        <w:keepNext w:val="0"/>
        <w:keepLines w:val="0"/>
        <w:pageBreakBefore w:val="0"/>
        <w:widowControl w:val="0"/>
        <w:numPr>
          <w:ilvl w:val="2"/>
          <w:numId w:val="30"/>
        </w:numPr>
        <w:kinsoku/>
        <w:wordWrap/>
        <w:overflowPunct/>
        <w:topLinePunct w:val="0"/>
        <w:autoSpaceDE/>
        <w:autoSpaceDN/>
        <w:bidi w:val="0"/>
        <w:ind w:left="0" w:firstLine="0"/>
        <w:rPr>
          <w:rFonts w:hint="eastAsia"/>
          <w:b/>
          <w:bCs/>
          <w:color w:val="auto"/>
          <w:szCs w:val="20"/>
          <w:highlight w:val="none"/>
        </w:rPr>
      </w:pPr>
      <w:r>
        <w:rPr>
          <w:rFonts w:hint="eastAsia"/>
          <w:b/>
          <w:bCs/>
          <w:color w:val="auto"/>
          <w:szCs w:val="20"/>
          <w:highlight w:val="none"/>
        </w:rPr>
        <w:t>投诉项目基本情况</w:t>
      </w:r>
    </w:p>
    <w:p w14:paraId="283BBDDA">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采购项目名称：</w:t>
      </w:r>
      <w:r>
        <w:rPr>
          <w:rFonts w:hint="eastAsia" w:cs="仿宋"/>
          <w:color w:val="auto"/>
          <w:szCs w:val="21"/>
          <w:highlight w:val="none"/>
          <w:u w:val="dotted"/>
        </w:rPr>
        <w:t xml:space="preserve">                 </w:t>
      </w:r>
      <w:r>
        <w:rPr>
          <w:rFonts w:cs="仿宋"/>
          <w:color w:val="auto"/>
          <w:szCs w:val="21"/>
          <w:highlight w:val="none"/>
          <w:u w:val="dotted"/>
        </w:rPr>
        <w:t>.</w:t>
      </w:r>
    </w:p>
    <w:p w14:paraId="16EF2891">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采购项目编号：</w:t>
      </w:r>
      <w:r>
        <w:rPr>
          <w:rFonts w:hint="eastAsia" w:cs="仿宋"/>
          <w:color w:val="auto"/>
          <w:szCs w:val="21"/>
          <w:highlight w:val="none"/>
          <w:u w:val="dotted"/>
        </w:rPr>
        <w:t xml:space="preserve">                 </w:t>
      </w:r>
      <w:r>
        <w:rPr>
          <w:rFonts w:hint="eastAsia"/>
          <w:color w:val="auto"/>
          <w:szCs w:val="21"/>
          <w:highlight w:val="none"/>
        </w:rPr>
        <w:t>包号：</w:t>
      </w:r>
      <w:r>
        <w:rPr>
          <w:rFonts w:hint="eastAsia" w:cs="仿宋"/>
          <w:color w:val="auto"/>
          <w:szCs w:val="21"/>
          <w:highlight w:val="none"/>
          <w:u w:val="dotted"/>
        </w:rPr>
        <w:t xml:space="preserve">                 </w:t>
      </w:r>
      <w:r>
        <w:rPr>
          <w:rFonts w:cs="仿宋"/>
          <w:color w:val="auto"/>
          <w:szCs w:val="21"/>
          <w:highlight w:val="none"/>
          <w:u w:val="dotted"/>
        </w:rPr>
        <w:t>.</w:t>
      </w:r>
    </w:p>
    <w:p w14:paraId="6FF40A61">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采购人名称：</w:t>
      </w:r>
      <w:r>
        <w:rPr>
          <w:rFonts w:hint="eastAsia" w:cs="仿宋"/>
          <w:color w:val="auto"/>
          <w:szCs w:val="21"/>
          <w:highlight w:val="none"/>
          <w:u w:val="dotted"/>
        </w:rPr>
        <w:t xml:space="preserve">                 </w:t>
      </w:r>
      <w:r>
        <w:rPr>
          <w:rFonts w:cs="仿宋"/>
          <w:color w:val="auto"/>
          <w:szCs w:val="21"/>
          <w:highlight w:val="none"/>
          <w:u w:val="dotted"/>
        </w:rPr>
        <w:t>.</w:t>
      </w:r>
    </w:p>
    <w:p w14:paraId="003F24ED">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代理机构名称：</w:t>
      </w:r>
      <w:r>
        <w:rPr>
          <w:rFonts w:hint="eastAsia" w:cs="仿宋"/>
          <w:color w:val="auto"/>
          <w:szCs w:val="21"/>
          <w:highlight w:val="none"/>
          <w:u w:val="dotted"/>
        </w:rPr>
        <w:t xml:space="preserve">                 </w:t>
      </w:r>
      <w:r>
        <w:rPr>
          <w:rFonts w:cs="仿宋"/>
          <w:color w:val="auto"/>
          <w:szCs w:val="21"/>
          <w:highlight w:val="none"/>
          <w:u w:val="dotted"/>
        </w:rPr>
        <w:t>.</w:t>
      </w:r>
    </w:p>
    <w:p w14:paraId="11784AFA">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采购文件公告：</w:t>
      </w:r>
      <w:r>
        <w:rPr>
          <w:rFonts w:hint="eastAsia"/>
          <w:color w:val="auto"/>
          <w:szCs w:val="21"/>
          <w:highlight w:val="none"/>
          <w:u w:val="single"/>
        </w:rPr>
        <w:t>是/否</w:t>
      </w:r>
      <w:r>
        <w:rPr>
          <w:rFonts w:hint="eastAsia"/>
          <w:color w:val="auto"/>
          <w:szCs w:val="21"/>
          <w:highlight w:val="none"/>
        </w:rPr>
        <w:t xml:space="preserve"> 公告期限：</w:t>
      </w:r>
      <w:r>
        <w:rPr>
          <w:rFonts w:hint="eastAsia" w:cs="仿宋"/>
          <w:color w:val="auto"/>
          <w:szCs w:val="21"/>
          <w:highlight w:val="none"/>
          <w:u w:val="dotted"/>
        </w:rPr>
        <w:t xml:space="preserve">                 </w:t>
      </w:r>
      <w:r>
        <w:rPr>
          <w:rFonts w:cs="仿宋"/>
          <w:color w:val="auto"/>
          <w:szCs w:val="21"/>
          <w:highlight w:val="none"/>
          <w:u w:val="dotted"/>
        </w:rPr>
        <w:t>.</w:t>
      </w:r>
    </w:p>
    <w:p w14:paraId="4EE1191C">
      <w:pPr>
        <w:pStyle w:val="19"/>
        <w:keepNext w:val="0"/>
        <w:keepLines w:val="0"/>
        <w:pageBreakBefore w:val="0"/>
        <w:widowControl w:val="0"/>
        <w:kinsoku/>
        <w:wordWrap/>
        <w:overflowPunct/>
        <w:topLinePunct w:val="0"/>
        <w:autoSpaceDE/>
        <w:autoSpaceDN/>
        <w:bidi w:val="0"/>
        <w:rPr>
          <w:rFonts w:hint="eastAsia" w:cs="仿宋"/>
          <w:color w:val="auto"/>
          <w:szCs w:val="21"/>
          <w:highlight w:val="none"/>
          <w:u w:val="dotted"/>
        </w:rPr>
      </w:pPr>
      <w:r>
        <w:rPr>
          <w:rFonts w:hint="eastAsia"/>
          <w:color w:val="auto"/>
          <w:szCs w:val="21"/>
          <w:highlight w:val="none"/>
        </w:rPr>
        <w:t>采购结果公告：</w:t>
      </w:r>
      <w:r>
        <w:rPr>
          <w:rFonts w:hint="eastAsia"/>
          <w:color w:val="auto"/>
          <w:szCs w:val="21"/>
          <w:highlight w:val="none"/>
          <w:u w:val="single"/>
        </w:rPr>
        <w:t>是/否</w:t>
      </w:r>
      <w:r>
        <w:rPr>
          <w:rFonts w:hint="eastAsia"/>
          <w:color w:val="auto"/>
          <w:szCs w:val="21"/>
          <w:highlight w:val="none"/>
        </w:rPr>
        <w:t xml:space="preserve"> 公告期限：</w:t>
      </w:r>
      <w:r>
        <w:rPr>
          <w:rFonts w:hint="eastAsia" w:cs="仿宋"/>
          <w:color w:val="auto"/>
          <w:szCs w:val="21"/>
          <w:highlight w:val="none"/>
          <w:u w:val="dotted"/>
        </w:rPr>
        <w:t xml:space="preserve">                 </w:t>
      </w:r>
      <w:r>
        <w:rPr>
          <w:rFonts w:cs="仿宋"/>
          <w:color w:val="auto"/>
          <w:szCs w:val="21"/>
          <w:highlight w:val="none"/>
          <w:u w:val="dotted"/>
        </w:rPr>
        <w:t>.</w:t>
      </w:r>
    </w:p>
    <w:p w14:paraId="2C8D2989">
      <w:pPr>
        <w:pStyle w:val="19"/>
        <w:keepNext w:val="0"/>
        <w:keepLines w:val="0"/>
        <w:pageBreakBefore w:val="0"/>
        <w:widowControl w:val="0"/>
        <w:numPr>
          <w:ilvl w:val="2"/>
          <w:numId w:val="30"/>
        </w:numPr>
        <w:kinsoku/>
        <w:wordWrap/>
        <w:overflowPunct/>
        <w:topLinePunct w:val="0"/>
        <w:autoSpaceDE/>
        <w:autoSpaceDN/>
        <w:bidi w:val="0"/>
        <w:ind w:left="0" w:firstLine="0"/>
        <w:rPr>
          <w:rFonts w:hint="eastAsia"/>
          <w:b/>
          <w:bCs/>
          <w:color w:val="auto"/>
          <w:szCs w:val="20"/>
          <w:highlight w:val="none"/>
        </w:rPr>
      </w:pPr>
      <w:r>
        <w:rPr>
          <w:rFonts w:hint="eastAsia"/>
          <w:b/>
          <w:bCs/>
          <w:color w:val="auto"/>
          <w:szCs w:val="20"/>
          <w:highlight w:val="none"/>
        </w:rPr>
        <w:t>质疑基本情况</w:t>
      </w:r>
    </w:p>
    <w:p w14:paraId="3E7F3B12">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rPr>
        <w:t>投诉人于 ____年____月____日,向</w:t>
      </w:r>
      <w:r>
        <w:rPr>
          <w:rFonts w:hint="eastAsia" w:cs="仿宋"/>
          <w:color w:val="auto"/>
          <w:szCs w:val="21"/>
          <w:highlight w:val="none"/>
          <w:u w:val="dotted"/>
        </w:rPr>
        <w:t xml:space="preserve">              </w:t>
      </w:r>
      <w:r>
        <w:rPr>
          <w:rFonts w:hint="eastAsia"/>
          <w:color w:val="auto"/>
          <w:szCs w:val="21"/>
          <w:highlight w:val="none"/>
        </w:rPr>
        <w:t>提出质疑，质疑事项为：</w:t>
      </w:r>
      <w:r>
        <w:rPr>
          <w:rFonts w:hint="eastAsia" w:cs="仿宋"/>
          <w:color w:val="auto"/>
          <w:szCs w:val="21"/>
          <w:highlight w:val="none"/>
          <w:u w:val="dotted"/>
        </w:rPr>
        <w:t xml:space="preserve">                 </w:t>
      </w:r>
      <w:r>
        <w:rPr>
          <w:rFonts w:cs="仿宋"/>
          <w:color w:val="auto"/>
          <w:szCs w:val="21"/>
          <w:highlight w:val="none"/>
          <w:u w:val="dotted"/>
        </w:rPr>
        <w:t>.</w:t>
      </w:r>
    </w:p>
    <w:p w14:paraId="3209F443">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1"/>
          <w:highlight w:val="none"/>
        </w:rPr>
      </w:pPr>
      <w:r>
        <w:rPr>
          <w:rFonts w:hint="eastAsia"/>
          <w:color w:val="auto"/>
          <w:szCs w:val="21"/>
          <w:highlight w:val="none"/>
          <w:u w:val="single"/>
        </w:rPr>
        <w:t xml:space="preserve"> </w:t>
      </w:r>
      <w:r>
        <w:rPr>
          <w:color w:val="auto"/>
          <w:szCs w:val="21"/>
          <w:highlight w:val="none"/>
          <w:u w:val="single"/>
        </w:rPr>
        <w:t xml:space="preserve">   </w:t>
      </w:r>
      <w:r>
        <w:rPr>
          <w:rFonts w:hint="eastAsia"/>
          <w:color w:val="auto"/>
          <w:szCs w:val="21"/>
          <w:highlight w:val="none"/>
          <w:u w:val="single"/>
        </w:rPr>
        <w:t>采购人/代理机构</w:t>
      </w:r>
      <w:r>
        <w:rPr>
          <w:rFonts w:hint="eastAsia"/>
          <w:color w:val="auto"/>
          <w:szCs w:val="21"/>
          <w:highlight w:val="none"/>
        </w:rPr>
        <w:t>于____年____月____日,就质疑事项作出了答复/没有在法定期限内作出答复。</w:t>
      </w:r>
    </w:p>
    <w:p w14:paraId="42EC7632">
      <w:pPr>
        <w:pStyle w:val="19"/>
        <w:keepNext w:val="0"/>
        <w:keepLines w:val="0"/>
        <w:pageBreakBefore w:val="0"/>
        <w:widowControl w:val="0"/>
        <w:numPr>
          <w:ilvl w:val="2"/>
          <w:numId w:val="30"/>
        </w:numPr>
        <w:kinsoku/>
        <w:wordWrap/>
        <w:overflowPunct/>
        <w:topLinePunct w:val="0"/>
        <w:autoSpaceDE/>
        <w:autoSpaceDN/>
        <w:bidi w:val="0"/>
        <w:ind w:left="0" w:firstLine="0"/>
        <w:rPr>
          <w:rFonts w:hint="eastAsia"/>
          <w:b/>
          <w:bCs/>
          <w:color w:val="auto"/>
          <w:szCs w:val="20"/>
          <w:highlight w:val="none"/>
        </w:rPr>
      </w:pPr>
      <w:r>
        <w:rPr>
          <w:rFonts w:hint="eastAsia"/>
          <w:b/>
          <w:bCs/>
          <w:color w:val="auto"/>
          <w:szCs w:val="20"/>
          <w:highlight w:val="none"/>
        </w:rPr>
        <w:t>投诉事项具体内容</w:t>
      </w:r>
    </w:p>
    <w:p w14:paraId="047F3D6D">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投诉事项 1：</w:t>
      </w:r>
      <w:r>
        <w:rPr>
          <w:rFonts w:hint="eastAsia" w:cs="仿宋"/>
          <w:color w:val="auto"/>
          <w:szCs w:val="21"/>
          <w:highlight w:val="none"/>
          <w:u w:val="dotted"/>
        </w:rPr>
        <w:t xml:space="preserve">                 </w:t>
      </w:r>
      <w:r>
        <w:rPr>
          <w:rFonts w:cs="仿宋"/>
          <w:color w:val="auto"/>
          <w:szCs w:val="21"/>
          <w:highlight w:val="none"/>
          <w:u w:val="dotted"/>
        </w:rPr>
        <w:t>.</w:t>
      </w:r>
    </w:p>
    <w:p w14:paraId="2064293C">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事实依据：</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3D8EA3D6">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法律依据：</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243015B2">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投诉事项2：</w:t>
      </w:r>
      <w:r>
        <w:rPr>
          <w:rFonts w:hint="eastAsia" w:cs="仿宋"/>
          <w:color w:val="auto"/>
          <w:szCs w:val="21"/>
          <w:highlight w:val="none"/>
          <w:u w:val="dotted"/>
        </w:rPr>
        <w:t xml:space="preserve">                 </w:t>
      </w:r>
      <w:r>
        <w:rPr>
          <w:rFonts w:cs="仿宋"/>
          <w:color w:val="auto"/>
          <w:szCs w:val="21"/>
          <w:highlight w:val="none"/>
          <w:u w:val="dotted"/>
        </w:rPr>
        <w:t>.</w:t>
      </w:r>
    </w:p>
    <w:p w14:paraId="63BD160B">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w:t>
      </w:r>
    </w:p>
    <w:p w14:paraId="68038FAA">
      <w:pPr>
        <w:pStyle w:val="19"/>
        <w:keepNext w:val="0"/>
        <w:keepLines w:val="0"/>
        <w:pageBreakBefore w:val="0"/>
        <w:widowControl w:val="0"/>
        <w:numPr>
          <w:ilvl w:val="2"/>
          <w:numId w:val="30"/>
        </w:numPr>
        <w:kinsoku/>
        <w:wordWrap/>
        <w:overflowPunct/>
        <w:topLinePunct w:val="0"/>
        <w:autoSpaceDE/>
        <w:autoSpaceDN/>
        <w:bidi w:val="0"/>
        <w:ind w:left="0" w:firstLine="0"/>
        <w:rPr>
          <w:rFonts w:hint="eastAsia"/>
          <w:b/>
          <w:bCs/>
          <w:color w:val="auto"/>
          <w:szCs w:val="20"/>
          <w:highlight w:val="none"/>
        </w:rPr>
      </w:pPr>
      <w:r>
        <w:rPr>
          <w:rFonts w:hint="eastAsia"/>
          <w:b/>
          <w:bCs/>
          <w:color w:val="auto"/>
          <w:szCs w:val="20"/>
          <w:highlight w:val="none"/>
        </w:rPr>
        <w:t>与投诉事项相关的投诉请求</w:t>
      </w:r>
    </w:p>
    <w:p w14:paraId="6BAB6DA2">
      <w:pPr>
        <w:pStyle w:val="19"/>
        <w:keepNext w:val="0"/>
        <w:keepLines w:val="0"/>
        <w:pageBreakBefore w:val="0"/>
        <w:widowControl w:val="0"/>
        <w:kinsoku/>
        <w:wordWrap/>
        <w:overflowPunct/>
        <w:topLinePunct w:val="0"/>
        <w:autoSpaceDE/>
        <w:autoSpaceDN/>
        <w:bidi w:val="0"/>
        <w:rPr>
          <w:rFonts w:hint="eastAsia"/>
          <w:color w:val="auto"/>
          <w:szCs w:val="21"/>
          <w:highlight w:val="none"/>
        </w:rPr>
      </w:pPr>
      <w:r>
        <w:rPr>
          <w:rFonts w:hint="eastAsia"/>
          <w:color w:val="auto"/>
          <w:szCs w:val="21"/>
          <w:highlight w:val="none"/>
        </w:rPr>
        <w:t>请求：</w:t>
      </w:r>
      <w:r>
        <w:rPr>
          <w:rFonts w:hint="eastAsia" w:cs="仿宋"/>
          <w:color w:val="auto"/>
          <w:szCs w:val="21"/>
          <w:highlight w:val="none"/>
          <w:u w:val="dotted"/>
        </w:rPr>
        <w:t xml:space="preserve">                 </w:t>
      </w:r>
      <w:r>
        <w:rPr>
          <w:rFonts w:cs="仿宋"/>
          <w:color w:val="auto"/>
          <w:szCs w:val="21"/>
          <w:highlight w:val="none"/>
          <w:u w:val="dotted"/>
        </w:rPr>
        <w:t>.</w:t>
      </w:r>
    </w:p>
    <w:p w14:paraId="2A99C9E0">
      <w:pPr>
        <w:pStyle w:val="19"/>
        <w:keepNext w:val="0"/>
        <w:keepLines w:val="0"/>
        <w:pageBreakBefore w:val="0"/>
        <w:widowControl w:val="0"/>
        <w:kinsoku/>
        <w:wordWrap/>
        <w:overflowPunct/>
        <w:topLinePunct w:val="0"/>
        <w:autoSpaceDE/>
        <w:autoSpaceDN/>
        <w:bidi w:val="0"/>
        <w:rPr>
          <w:rFonts w:hint="eastAsia"/>
          <w:color w:val="auto"/>
          <w:szCs w:val="20"/>
          <w:highlight w:val="none"/>
        </w:rPr>
      </w:pPr>
    </w:p>
    <w:p w14:paraId="68E2711C">
      <w:pPr>
        <w:keepNext w:val="0"/>
        <w:keepLines w:val="0"/>
        <w:pageBreakBefore w:val="0"/>
        <w:widowControl w:val="0"/>
        <w:kinsoku/>
        <w:wordWrap/>
        <w:overflowPunct/>
        <w:topLinePunct w:val="0"/>
        <w:autoSpaceDE/>
        <w:autoSpaceDN/>
        <w:bidi w:val="0"/>
        <w:jc w:val="right"/>
        <w:rPr>
          <w:rFonts w:hint="eastAsia"/>
          <w:color w:val="auto"/>
          <w:szCs w:val="21"/>
          <w:highlight w:val="none"/>
        </w:rPr>
      </w:pPr>
      <w:r>
        <w:rPr>
          <w:rFonts w:hint="eastAsia"/>
          <w:color w:val="auto"/>
          <w:szCs w:val="21"/>
          <w:highlight w:val="none"/>
        </w:rPr>
        <w:t>签字（签章）：</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hint="eastAsia"/>
          <w:color w:val="auto"/>
          <w:szCs w:val="21"/>
          <w:highlight w:val="none"/>
        </w:rPr>
        <w:t>公章：</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521A3E1A">
      <w:pPr>
        <w:pStyle w:val="19"/>
        <w:keepNext w:val="0"/>
        <w:keepLines w:val="0"/>
        <w:pageBreakBefore w:val="0"/>
        <w:widowControl w:val="0"/>
        <w:kinsoku/>
        <w:wordWrap/>
        <w:overflowPunct/>
        <w:topLinePunct w:val="0"/>
        <w:autoSpaceDE/>
        <w:autoSpaceDN/>
        <w:bidi w:val="0"/>
        <w:jc w:val="right"/>
        <w:rPr>
          <w:rFonts w:hint="eastAsia"/>
          <w:color w:val="auto"/>
          <w:szCs w:val="20"/>
          <w:highlight w:val="none"/>
        </w:rPr>
      </w:pPr>
      <w:r>
        <w:rPr>
          <w:rFonts w:hint="eastAsia"/>
          <w:color w:val="auto"/>
          <w:szCs w:val="16"/>
          <w:highlight w:val="none"/>
        </w:rPr>
        <w:t>日期：</w:t>
      </w:r>
      <w:r>
        <w:rPr>
          <w:rFonts w:hint="eastAsia" w:cs="仿宋"/>
          <w:color w:val="auto"/>
          <w:szCs w:val="16"/>
          <w:highlight w:val="none"/>
          <w:u w:val="dotted"/>
        </w:rPr>
        <w:t xml:space="preserve">     </w:t>
      </w:r>
      <w:r>
        <w:rPr>
          <w:rFonts w:hint="eastAsia"/>
          <w:color w:val="auto"/>
          <w:szCs w:val="16"/>
          <w:highlight w:val="none"/>
        </w:rPr>
        <w:t>年</w:t>
      </w:r>
      <w:r>
        <w:rPr>
          <w:rFonts w:hint="eastAsia" w:cs="仿宋"/>
          <w:color w:val="auto"/>
          <w:szCs w:val="16"/>
          <w:highlight w:val="none"/>
          <w:u w:val="dotted"/>
        </w:rPr>
        <w:t xml:space="preserve">     </w:t>
      </w:r>
      <w:r>
        <w:rPr>
          <w:rFonts w:hint="eastAsia"/>
          <w:color w:val="auto"/>
          <w:szCs w:val="16"/>
          <w:highlight w:val="none"/>
        </w:rPr>
        <w:t>月</w:t>
      </w:r>
      <w:r>
        <w:rPr>
          <w:rFonts w:hint="eastAsia" w:cs="仿宋"/>
          <w:color w:val="auto"/>
          <w:szCs w:val="16"/>
          <w:highlight w:val="none"/>
          <w:u w:val="dotted"/>
        </w:rPr>
        <w:t xml:space="preserve">     </w:t>
      </w:r>
      <w:r>
        <w:rPr>
          <w:rFonts w:hint="eastAsia"/>
          <w:color w:val="auto"/>
          <w:szCs w:val="16"/>
          <w:highlight w:val="none"/>
        </w:rPr>
        <w:t>日</w:t>
      </w:r>
      <w:r>
        <w:rPr>
          <w:color w:val="auto"/>
          <w:sz w:val="16"/>
          <w:szCs w:val="15"/>
          <w:highlight w:val="none"/>
        </w:rPr>
        <w:cr/>
      </w:r>
    </w:p>
    <w:p w14:paraId="53CD39BF">
      <w:pPr>
        <w:pStyle w:val="19"/>
        <w:keepNext w:val="0"/>
        <w:keepLines w:val="0"/>
        <w:pageBreakBefore w:val="0"/>
        <w:widowControl w:val="0"/>
        <w:kinsoku/>
        <w:wordWrap/>
        <w:overflowPunct/>
        <w:topLinePunct w:val="0"/>
        <w:autoSpaceDE/>
        <w:autoSpaceDN/>
        <w:bidi w:val="0"/>
        <w:rPr>
          <w:rFonts w:hint="eastAsia"/>
          <w:color w:val="auto"/>
          <w:szCs w:val="20"/>
          <w:highlight w:val="none"/>
        </w:rPr>
      </w:pPr>
      <w:r>
        <w:rPr>
          <w:rFonts w:hint="eastAsia"/>
          <w:color w:val="auto"/>
          <w:szCs w:val="20"/>
          <w:highlight w:val="none"/>
        </w:rPr>
        <w:t>投诉书制作说明：</w:t>
      </w:r>
    </w:p>
    <w:p w14:paraId="032D271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1.投诉人提起投诉时，应当提交投诉书和必要的证明材料，并按照被投诉人和与投诉事项有关的供应商数量提供投诉书副本。</w:t>
      </w:r>
    </w:p>
    <w:p w14:paraId="76422506">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2.投诉人若委托代理人进行投诉的，投诉书应按照要求列明“授权代表”的有关内容，并在附件中提交由投诉人签署的授权委托书。授权委托书应当载明代理人的姓名或者名称、代理事项、具体权限、期限和相关事项。</w:t>
      </w:r>
    </w:p>
    <w:p w14:paraId="62935ECD">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3.投诉人若对项目的某一分包进行投诉，投诉书应列明具体分包号。</w:t>
      </w:r>
    </w:p>
    <w:p w14:paraId="4AA8C68C">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4.投诉书应简要列明质疑事项，质疑函、质疑答复等作为附件材料提供。</w:t>
      </w:r>
    </w:p>
    <w:p w14:paraId="47D5CE2A">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5.投诉书的投诉事项应具体、明确，并有必要的事实依据和法律依据。</w:t>
      </w:r>
    </w:p>
    <w:p w14:paraId="7052EAE9">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6.投诉书的投诉请求应与投诉事项相关。</w:t>
      </w:r>
    </w:p>
    <w:p w14:paraId="3AFD0E08">
      <w:pPr>
        <w:pStyle w:val="19"/>
        <w:keepNext w:val="0"/>
        <w:keepLines w:val="0"/>
        <w:pageBreakBefore w:val="0"/>
        <w:widowControl w:val="0"/>
        <w:kinsoku/>
        <w:wordWrap/>
        <w:overflowPunct/>
        <w:topLinePunct w:val="0"/>
        <w:autoSpaceDE/>
        <w:autoSpaceDN/>
        <w:bidi w:val="0"/>
        <w:ind w:firstLine="420" w:firstLineChars="200"/>
        <w:rPr>
          <w:rFonts w:hint="eastAsia"/>
          <w:color w:val="auto"/>
          <w:szCs w:val="20"/>
          <w:highlight w:val="none"/>
        </w:rPr>
      </w:pPr>
      <w:r>
        <w:rPr>
          <w:rFonts w:hint="eastAsia"/>
          <w:color w:val="auto"/>
          <w:szCs w:val="20"/>
          <w:highlight w:val="none"/>
        </w:rPr>
        <w:t>7.投诉人为自然人的，投诉书应当由本人签字；投诉人为法人或者其他组织的，投诉书应当由法定代表人、主要负责人，或者其授权代表签字或者盖章，并加盖公章。</w:t>
      </w:r>
      <w:r>
        <w:rPr>
          <w:color w:val="auto"/>
          <w:szCs w:val="20"/>
          <w:highlight w:val="none"/>
        </w:rPr>
        <w:cr/>
      </w:r>
    </w:p>
    <w:sectPr>
      <w:headerReference r:id="rId14" w:type="first"/>
      <w:pgSz w:w="11906" w:h="16838"/>
      <w:pgMar w:top="1134" w:right="1134" w:bottom="1134" w:left="1134" w:header="426" w:footer="992" w:gutter="0"/>
      <w:paperSrc w:first="7"/>
      <w:pgNumType w:fmt="decimal"/>
      <w:cols w:space="0" w:num="1"/>
      <w:titlePg/>
      <w:rtlGutter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embedRegular r:id="rId1" w:fontKey="{AC93AD8A-481F-4FB7-88A9-30DC052442CF}"/>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文鼎CS中黑">
    <w:altName w:val="黑体"/>
    <w:panose1 w:val="00000000000000000000"/>
    <w:charset w:val="86"/>
    <w:family w:val="modern"/>
    <w:pitch w:val="default"/>
    <w:sig w:usb0="00000000" w:usb1="00000000" w:usb2="00000010" w:usb3="00000000" w:csb0="00040000"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embedRegular r:id="rId2" w:fontKey="{3DCB7EFE-900A-4A2D-8579-5C613DBA3377}"/>
  </w:font>
  <w:font w:name="SimSun-Identity-H">
    <w:altName w:val="宋体"/>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embedRegular r:id="rId3" w:fontKey="{DB9429C9-D657-4B97-8C51-BF67A69F9313}"/>
  </w:font>
  <w:font w:name="Cambria">
    <w:panose1 w:val="02040503050406030204"/>
    <w:charset w:val="00"/>
    <w:family w:val="roman"/>
    <w:pitch w:val="default"/>
    <w:sig w:usb0="E00006FF" w:usb1="420024FF" w:usb2="02000000" w:usb3="00000000" w:csb0="2000019F" w:csb1="00000000"/>
  </w:font>
  <w:font w:name="Cambria Math">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embedRegular r:id="rId4" w:fontKey="{B39536D4-F186-4B9F-9280-C1FFAE3CA19F}"/>
  </w:font>
  <w:font w:name="华文中宋">
    <w:panose1 w:val="02010600040101010101"/>
    <w:charset w:val="86"/>
    <w:family w:val="auto"/>
    <w:pitch w:val="default"/>
    <w:sig w:usb0="00000287" w:usb1="080F0000" w:usb2="00000000" w:usb3="00000000" w:csb0="0004009F" w:csb1="DFD70000"/>
  </w:font>
  <w:font w:name="Arial Unicode MS">
    <w:altName w:val="宋体"/>
    <w:panose1 w:val="020B0604020202020204"/>
    <w:charset w:val="86"/>
    <w:family w:val="swiss"/>
    <w:pitch w:val="default"/>
    <w:sig w:usb0="00000000" w:usb1="00000000" w:usb2="0000003F" w:usb3="00000000" w:csb0="603F01FF" w:csb1="FFFF0000"/>
  </w:font>
  <w:font w:name="@文鼎CS中黑">
    <w:altName w:val="@黑体"/>
    <w:panose1 w:val="00000000000000000000"/>
    <w:charset w:val="86"/>
    <w:family w:val="modern"/>
    <w:pitch w:val="default"/>
    <w:sig w:usb0="00000000" w:usb1="00000000" w:usb2="00000010" w:usb3="00000000" w:csb0="00040000" w:csb1="00000000"/>
    <w:embedRegular r:id="rId5" w:fontKey="{7892F060-6829-4C0D-A128-8615720235B9}"/>
  </w:font>
  <w:font w:name="@黑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体">
    <w:altName w:val="仿宋"/>
    <w:panose1 w:val="00000000000000000000"/>
    <w:charset w:val="86"/>
    <w:family w:val="roman"/>
    <w:pitch w:val="default"/>
    <w:sig w:usb0="00000000" w:usb1="00000000" w:usb2="00000010" w:usb3="00000000" w:csb0="00040000" w:csb1="00000000"/>
  </w:font>
  <w:font w:name="Futura-Heavy">
    <w:altName w:val="Arial"/>
    <w:panose1 w:val="00000000000000000000"/>
    <w:charset w:val="00"/>
    <w:family w:val="swiss"/>
    <w:pitch w:val="default"/>
    <w:sig w:usb0="00000000" w:usb1="00000000" w:usb2="00000000" w:usb3="00000000" w:csb0="000001FB" w:csb1="00000000"/>
    <w:embedRegular r:id="rId6" w:fontKey="{4684EDDE-6542-4543-A7E4-E6E68AEEBE73}"/>
  </w:font>
  <w:font w:name="方正公文小标宋">
    <w:panose1 w:val="02000500000000000000"/>
    <w:charset w:val="86"/>
    <w:family w:val="auto"/>
    <w:pitch w:val="default"/>
    <w:sig w:usb0="A00002BF" w:usb1="38CF7CFA" w:usb2="00000016" w:usb3="00000000" w:csb0="00040001" w:csb1="00000000"/>
    <w:embedRegular r:id="rId7" w:fontKey="{9E8C31E0-AD3E-4A3B-BEC4-B46C248B49AB}"/>
  </w:font>
  <w:font w:name="Tahoma">
    <w:panose1 w:val="020B0604030504040204"/>
    <w:charset w:val="00"/>
    <w:family w:val="auto"/>
    <w:pitch w:val="default"/>
    <w:sig w:usb0="E1002EFF" w:usb1="C000605B" w:usb2="00000029" w:usb3="00000000" w:csb0="200101FF" w:csb1="2028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9C724A">
    <w:pPr>
      <w:pStyle w:val="29"/>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8CE8F1">
                          <w:pPr>
                            <w:pStyle w:val="29"/>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318CE8F1">
                    <w:pPr>
                      <w:pStyle w:val="29"/>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ACF1D">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B22E4">
    <w:pPr>
      <w:pStyle w:val="29"/>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1EBC8E">
                          <w:pPr>
                            <w:pStyle w:val="2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14:paraId="7E1EBC8E">
                    <w:pPr>
                      <w:pStyle w:val="2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F4CC26">
    <w:pPr>
      <w:pStyle w:val="29"/>
      <w:tabs>
        <w:tab w:val="clear" w:pos="4153"/>
        <w:tab w:val="clear" w:pos="8306"/>
      </w:tabs>
      <w:rPr>
        <w:rFonts w:hint="eastAsia" w:eastAsia="宋体"/>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EA2930">
                          <w:pPr>
                            <w:pStyle w:val="29"/>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0CEA2930">
                    <w:pPr>
                      <w:pStyle w:val="29"/>
                    </w:pPr>
                    <w:r>
                      <w:fldChar w:fldCharType="begin"/>
                    </w:r>
                    <w:r>
                      <w:instrText xml:space="preserve"> PAGE  \* MERGEFORMAT </w:instrText>
                    </w:r>
                    <w:r>
                      <w:fldChar w:fldCharType="separate"/>
                    </w:r>
                    <w:r>
                      <w:t>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FEEE7">
    <w:pPr>
      <w:pStyle w:val="29"/>
      <w:rPr>
        <w:rFonts w:hint="eastAsia" w:eastAsia="宋体"/>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D3F6A9">
                          <w:pPr>
                            <w:pStyle w:val="29"/>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7BD3F6A9">
                    <w:pPr>
                      <w:pStyle w:val="29"/>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C5E15">
    <w:pPr>
      <w:pStyle w:val="30"/>
      <w:jc w:val="left"/>
      <w:rPr>
        <w:rFonts w:hint="eastAsia"/>
      </w:rPr>
    </w:pPr>
    <w:r>
      <w:drawing>
        <wp:inline distT="0" distB="0" distL="0" distR="0">
          <wp:extent cx="752475" cy="36195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4AD01">
    <w:pPr>
      <w:pStyle w:val="30"/>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FE942">
    <w:pPr>
      <w:pStyle w:val="30"/>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73FAAF">
    <w:pPr>
      <w:pStyle w:val="30"/>
      <w:jc w:val="left"/>
      <w:rPr>
        <w:rFonts w:hint="eastAsia"/>
      </w:rPr>
    </w:pPr>
    <w:r>
      <w:drawing>
        <wp:inline distT="0" distB="0" distL="0" distR="0">
          <wp:extent cx="752475" cy="36195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E53234">
    <w:pP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pStyle w:val="348"/>
      <w:lvlText w:val="%1、"/>
      <w:lvlJc w:val="left"/>
      <w:pPr>
        <w:tabs>
          <w:tab w:val="left" w:pos="786"/>
        </w:tabs>
        <w:ind w:left="786" w:hanging="360"/>
      </w:pPr>
      <w:rPr>
        <w:rFonts w:hint="eastAsia"/>
      </w:rPr>
    </w:lvl>
    <w:lvl w:ilvl="1" w:tentative="0">
      <w:start w:val="1"/>
      <w:numFmt w:val="decimal"/>
      <w:lvlText w:val="（%2）"/>
      <w:lvlJc w:val="left"/>
      <w:pPr>
        <w:tabs>
          <w:tab w:val="left" w:pos="1569"/>
        </w:tabs>
        <w:ind w:left="1569" w:hanging="720"/>
      </w:pPr>
      <w:rPr>
        <w:rFonts w:hint="eastAsia"/>
      </w:rPr>
    </w:lvl>
    <w:lvl w:ilvl="2" w:tentative="0">
      <w:start w:val="1"/>
      <w:numFmt w:val="decimal"/>
      <w:lvlText w:val="%3．"/>
      <w:lvlJc w:val="left"/>
      <w:pPr>
        <w:tabs>
          <w:tab w:val="left" w:pos="1629"/>
        </w:tabs>
        <w:ind w:left="1629" w:hanging="360"/>
      </w:pPr>
      <w:rPr>
        <w:rFonts w:hint="eastAsia"/>
      </w:rPr>
    </w:lvl>
    <w:lvl w:ilvl="3" w:tentative="0">
      <w:start w:val="1"/>
      <w:numFmt w:val="decimal"/>
      <w:lvlText w:val="%4."/>
      <w:lvlJc w:val="left"/>
      <w:pPr>
        <w:tabs>
          <w:tab w:val="left" w:pos="2109"/>
        </w:tabs>
        <w:ind w:left="2109" w:hanging="420"/>
      </w:pPr>
    </w:lvl>
    <w:lvl w:ilvl="4" w:tentative="0">
      <w:start w:val="1"/>
      <w:numFmt w:val="lowerLetter"/>
      <w:lvlText w:val="%5)"/>
      <w:lvlJc w:val="left"/>
      <w:pPr>
        <w:tabs>
          <w:tab w:val="left" w:pos="2529"/>
        </w:tabs>
        <w:ind w:left="2529" w:hanging="420"/>
      </w:pPr>
    </w:lvl>
    <w:lvl w:ilvl="5" w:tentative="0">
      <w:start w:val="1"/>
      <w:numFmt w:val="lowerRoman"/>
      <w:lvlText w:val="%6."/>
      <w:lvlJc w:val="right"/>
      <w:pPr>
        <w:tabs>
          <w:tab w:val="left" w:pos="2949"/>
        </w:tabs>
        <w:ind w:left="2949" w:hanging="420"/>
      </w:pPr>
    </w:lvl>
    <w:lvl w:ilvl="6" w:tentative="0">
      <w:start w:val="1"/>
      <w:numFmt w:val="decimal"/>
      <w:lvlText w:val="%7."/>
      <w:lvlJc w:val="left"/>
      <w:pPr>
        <w:tabs>
          <w:tab w:val="left" w:pos="3369"/>
        </w:tabs>
        <w:ind w:left="3369" w:hanging="420"/>
      </w:pPr>
    </w:lvl>
    <w:lvl w:ilvl="7" w:tentative="0">
      <w:start w:val="1"/>
      <w:numFmt w:val="lowerLetter"/>
      <w:lvlText w:val="%8)"/>
      <w:lvlJc w:val="left"/>
      <w:pPr>
        <w:tabs>
          <w:tab w:val="left" w:pos="3789"/>
        </w:tabs>
        <w:ind w:left="3789" w:hanging="420"/>
      </w:pPr>
    </w:lvl>
    <w:lvl w:ilvl="8" w:tentative="0">
      <w:start w:val="1"/>
      <w:numFmt w:val="lowerRoman"/>
      <w:lvlText w:val="%9."/>
      <w:lvlJc w:val="right"/>
      <w:pPr>
        <w:tabs>
          <w:tab w:val="left" w:pos="4209"/>
        </w:tabs>
        <w:ind w:left="4209" w:hanging="420"/>
      </w:pPr>
    </w:lvl>
  </w:abstractNum>
  <w:abstractNum w:abstractNumId="1">
    <w:nsid w:val="0C4576C5"/>
    <w:multiLevelType w:val="multilevel"/>
    <w:tmpl w:val="0C4576C5"/>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0F057019"/>
    <w:multiLevelType w:val="multilevel"/>
    <w:tmpl w:val="0F057019"/>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12312063"/>
    <w:multiLevelType w:val="multilevel"/>
    <w:tmpl w:val="12312063"/>
    <w:lvl w:ilvl="0" w:tentative="0">
      <w:start w:val="1"/>
      <w:numFmt w:val="decimal"/>
      <w:lvlText w:val="%1."/>
      <w:lvlJc w:val="left"/>
      <w:pPr>
        <w:ind w:left="840" w:hanging="420"/>
      </w:pPr>
      <w:rPr>
        <w:rFonts w:hint="eastAsia"/>
      </w:rPr>
    </w:lvl>
    <w:lvl w:ilvl="1" w:tentative="0">
      <w:start w:val="1"/>
      <w:numFmt w:val="decimal"/>
      <w:suff w:val="space"/>
      <w:lvlText w:val="%2."/>
      <w:lvlJc w:val="left"/>
      <w:pPr>
        <w:ind w:left="420" w:hanging="420"/>
      </w:pPr>
      <w:rPr>
        <w:rFonts w:hint="eastAsia"/>
      </w:r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133C0F05"/>
    <w:multiLevelType w:val="multilevel"/>
    <w:tmpl w:val="133C0F05"/>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6D568E3"/>
    <w:multiLevelType w:val="multilevel"/>
    <w:tmpl w:val="26D568E3"/>
    <w:lvl w:ilvl="0" w:tentative="0">
      <w:start w:val="1"/>
      <w:numFmt w:val="decimal"/>
      <w:suff w:val="nothing"/>
      <w:lvlText w:val="%1"/>
      <w:lvlJc w:val="left"/>
      <w:pPr>
        <w:ind w:left="420" w:hanging="420"/>
      </w:pPr>
      <w:rPr>
        <w:rFonts w:hint="eastAsia" w:ascii="宋体" w:hAnsi="宋体" w:eastAsia="宋体"/>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B0AAD01"/>
    <w:multiLevelType w:val="singleLevel"/>
    <w:tmpl w:val="2B0AAD01"/>
    <w:lvl w:ilvl="0" w:tentative="0">
      <w:start w:val="1"/>
      <w:numFmt w:val="decimal"/>
      <w:suff w:val="nothing"/>
      <w:lvlText w:val="（%1）"/>
      <w:lvlJc w:val="left"/>
    </w:lvl>
  </w:abstractNum>
  <w:abstractNum w:abstractNumId="7">
    <w:nsid w:val="2D65252E"/>
    <w:multiLevelType w:val="multilevel"/>
    <w:tmpl w:val="2D65252E"/>
    <w:lvl w:ilvl="0" w:tentative="0">
      <w:start w:val="1"/>
      <w:numFmt w:val="decimal"/>
      <w:suff w:val="nothing"/>
      <w:lvlText w:val="%1"/>
      <w:lvlJc w:val="left"/>
      <w:pPr>
        <w:ind w:left="440" w:hanging="440"/>
      </w:pPr>
      <w:rPr>
        <w:rFonts w:hint="eastAsia" w:ascii="宋体" w:hAnsi="宋体" w:eastAsia="宋体" w:cs="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8">
    <w:nsid w:val="354C5B67"/>
    <w:multiLevelType w:val="multilevel"/>
    <w:tmpl w:val="354C5B67"/>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3AC30442"/>
    <w:multiLevelType w:val="multilevel"/>
    <w:tmpl w:val="3AC30442"/>
    <w:lvl w:ilvl="0" w:tentative="0">
      <w:start w:val="1"/>
      <w:numFmt w:val="decimal"/>
      <w:suff w:val="nothing"/>
      <w:lvlText w:val="%1"/>
      <w:lvlJc w:val="left"/>
      <w:pPr>
        <w:ind w:left="440" w:hanging="440"/>
      </w:pPr>
      <w:rPr>
        <w:rFonts w:hint="eastAsia" w:ascii="宋体" w:hAnsi="宋体" w:eastAsia="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0">
    <w:nsid w:val="3BF84A49"/>
    <w:multiLevelType w:val="multilevel"/>
    <w:tmpl w:val="3BF84A49"/>
    <w:lvl w:ilvl="0" w:tentative="0">
      <w:start w:val="1"/>
      <w:numFmt w:val="decimal"/>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abstractNum w:abstractNumId="11">
    <w:nsid w:val="4E2D4FF8"/>
    <w:multiLevelType w:val="multilevel"/>
    <w:tmpl w:val="4E2D4FF8"/>
    <w:lvl w:ilvl="0" w:tentative="0">
      <w:start w:val="1"/>
      <w:numFmt w:val="decimal"/>
      <w:suff w:val="nothing"/>
      <w:lvlText w:val="%1."/>
      <w:lvlJc w:val="left"/>
      <w:pPr>
        <w:ind w:left="440" w:hanging="440"/>
      </w:pPr>
      <w:rPr>
        <w:rFonts w:hint="eastAsia" w:ascii="宋体" w:hAnsi="宋体" w:eastAsia="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2">
    <w:nsid w:val="56F00EAC"/>
    <w:multiLevelType w:val="multilevel"/>
    <w:tmpl w:val="56F00EAC"/>
    <w:lvl w:ilvl="0" w:tentative="0">
      <w:start w:val="1"/>
      <w:numFmt w:val="decimal"/>
      <w:lvlText w:val="%1."/>
      <w:lvlJc w:val="left"/>
      <w:pPr>
        <w:ind w:left="420" w:hanging="420"/>
      </w:pPr>
      <w:rPr>
        <w:rFonts w:hint="eastAsia"/>
      </w:rPr>
    </w:lvl>
    <w:lvl w:ilvl="1" w:tentative="0">
      <w:start w:val="1"/>
      <w:numFmt w:val="decimal"/>
      <w:suff w:val="space"/>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5A5410B6"/>
    <w:multiLevelType w:val="singleLevel"/>
    <w:tmpl w:val="5A5410B6"/>
    <w:lvl w:ilvl="0" w:tentative="0">
      <w:start w:val="1"/>
      <w:numFmt w:val="decimal"/>
      <w:pStyle w:val="185"/>
      <w:suff w:val="space"/>
      <w:lvlText w:val="%1)"/>
      <w:lvlJc w:val="left"/>
    </w:lvl>
  </w:abstractNum>
  <w:abstractNum w:abstractNumId="14">
    <w:nsid w:val="5A5422B0"/>
    <w:multiLevelType w:val="singleLevel"/>
    <w:tmpl w:val="5A5422B0"/>
    <w:lvl w:ilvl="0" w:tentative="0">
      <w:start w:val="1"/>
      <w:numFmt w:val="decimal"/>
      <w:suff w:val="space"/>
      <w:lvlText w:val="%1)"/>
      <w:lvlJc w:val="left"/>
    </w:lvl>
  </w:abstractNum>
  <w:abstractNum w:abstractNumId="15">
    <w:nsid w:val="5B1874DF"/>
    <w:multiLevelType w:val="multilevel"/>
    <w:tmpl w:val="5B1874DF"/>
    <w:lvl w:ilvl="0" w:tentative="0">
      <w:start w:val="1"/>
      <w:numFmt w:val="chineseCountingThousand"/>
      <w:suff w:val="nothing"/>
      <w:lvlText w:val="%1、"/>
      <w:lvlJc w:val="left"/>
      <w:pPr>
        <w:ind w:left="720" w:hanging="720"/>
      </w:pPr>
      <w:rPr>
        <w:rFonts w:hint="default"/>
        <w:b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5C421F5D"/>
    <w:multiLevelType w:val="multilevel"/>
    <w:tmpl w:val="5C421F5D"/>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619B49BE"/>
    <w:multiLevelType w:val="multilevel"/>
    <w:tmpl w:val="619B49BE"/>
    <w:lvl w:ilvl="0" w:tentative="0">
      <w:start w:val="1"/>
      <w:numFmt w:val="decimal"/>
      <w:suff w:val="nothing"/>
      <w:lvlText w:val="%1"/>
      <w:lvlJc w:val="left"/>
      <w:pPr>
        <w:ind w:left="420" w:hanging="420"/>
      </w:pPr>
      <w:rPr>
        <w:rFonts w:hint="eastAsia" w:ascii="宋体" w:hAnsi="宋体" w:eastAsia="宋体"/>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8">
    <w:nsid w:val="666F7FCA"/>
    <w:multiLevelType w:val="multilevel"/>
    <w:tmpl w:val="666F7FCA"/>
    <w:lvl w:ilvl="0" w:tentative="0">
      <w:start w:val="1"/>
      <w:numFmt w:val="chineseCountingThousand"/>
      <w:suff w:val="nothing"/>
      <w:lvlText w:val="%1、"/>
      <w:lvlJc w:val="left"/>
      <w:pPr>
        <w:ind w:left="420" w:hanging="420"/>
      </w:pPr>
      <w:rPr>
        <w:rFonts w:hint="eastAsia"/>
      </w:rPr>
    </w:lvl>
    <w:lvl w:ilvl="1" w:tentative="0">
      <w:start w:val="1"/>
      <w:numFmt w:val="decimal"/>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698F699D"/>
    <w:multiLevelType w:val="multilevel"/>
    <w:tmpl w:val="698F699D"/>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
    <w:nsid w:val="6A22726A"/>
    <w:multiLevelType w:val="multilevel"/>
    <w:tmpl w:val="6A22726A"/>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chineseCountingThousand"/>
      <w:lvlText w:val="%3、"/>
      <w:lvlJc w:val="lef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1">
    <w:nsid w:val="6D203057"/>
    <w:multiLevelType w:val="multilevel"/>
    <w:tmpl w:val="6D203057"/>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2">
    <w:nsid w:val="6D300ACB"/>
    <w:multiLevelType w:val="multilevel"/>
    <w:tmpl w:val="6D300ACB"/>
    <w:lvl w:ilvl="0" w:tentative="0">
      <w:start w:val="1"/>
      <w:numFmt w:val="chineseCountingThousand"/>
      <w:suff w:val="nothing"/>
      <w:lvlText w:val="%1、"/>
      <w:lvlJc w:val="left"/>
      <w:pPr>
        <w:ind w:left="420" w:hanging="420"/>
      </w:pPr>
      <w:rPr>
        <w:rFonts w:hint="eastAsia"/>
      </w:rPr>
    </w:lvl>
    <w:lvl w:ilvl="1" w:tentative="0">
      <w:start w:val="1"/>
      <w:numFmt w:val="decimal"/>
      <w:lvlText w:val="（%2）"/>
      <w:lvlJc w:val="left"/>
      <w:pPr>
        <w:ind w:left="1140" w:hanging="720"/>
      </w:pPr>
      <w:rPr>
        <w:rFonts w:hint="default"/>
      </w:rPr>
    </w:lvl>
    <w:lvl w:ilvl="2" w:tentative="0">
      <w:start w:val="1"/>
      <w:numFmt w:val="japaneseCounting"/>
      <w:lvlText w:val="%3、"/>
      <w:lvlJc w:val="left"/>
      <w:pPr>
        <w:ind w:left="1296" w:hanging="456"/>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6E3A6AA4"/>
    <w:multiLevelType w:val="multilevel"/>
    <w:tmpl w:val="6E3A6AA4"/>
    <w:lvl w:ilvl="0" w:tentative="0">
      <w:start w:val="1"/>
      <w:numFmt w:val="decimal"/>
      <w:suff w:val="nothing"/>
      <w:lvlText w:val="%1."/>
      <w:lvlJc w:val="left"/>
      <w:pPr>
        <w:ind w:left="440" w:hanging="440"/>
      </w:pPr>
      <w:rPr>
        <w:rFonts w:hint="eastAsia" w:ascii="宋体" w:hAnsi="宋体" w:eastAsia="宋体"/>
        <w:b w:val="0"/>
        <w:bCs w:val="0"/>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4">
    <w:nsid w:val="6F9C0858"/>
    <w:multiLevelType w:val="multilevel"/>
    <w:tmpl w:val="6F9C0858"/>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chineseCountingThousand"/>
      <w:lvlText w:val="%3、"/>
      <w:lvlJc w:val="lef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5">
    <w:nsid w:val="745C42E1"/>
    <w:multiLevelType w:val="multilevel"/>
    <w:tmpl w:val="745C42E1"/>
    <w:lvl w:ilvl="0" w:tentative="0">
      <w:start w:val="1"/>
      <w:numFmt w:val="chineseCountingThousand"/>
      <w:lvlText w:val="格式%1："/>
      <w:lvlJc w:val="left"/>
      <w:pPr>
        <w:ind w:left="420" w:hanging="420"/>
      </w:pPr>
      <w:rPr>
        <w:rFonts w:hint="eastAsia"/>
        <w:color w:val="auto"/>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6">
    <w:nsid w:val="774618A2"/>
    <w:multiLevelType w:val="multilevel"/>
    <w:tmpl w:val="774618A2"/>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suff w:val="nothing"/>
      <w:lvlText w:val="%4."/>
      <w:lvlJc w:val="left"/>
      <w:pPr>
        <w:ind w:left="2120" w:hanging="440"/>
      </w:pPr>
      <w:rPr>
        <w:rFonts w:hint="eastAsia"/>
      </w:r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7">
    <w:nsid w:val="77D90384"/>
    <w:multiLevelType w:val="multilevel"/>
    <w:tmpl w:val="77D90384"/>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7AF15434"/>
    <w:multiLevelType w:val="multilevel"/>
    <w:tmpl w:val="7AF15434"/>
    <w:lvl w:ilvl="0" w:tentative="0">
      <w:start w:val="1"/>
      <w:numFmt w:val="decimal"/>
      <w:suff w:val="nothing"/>
      <w:lvlText w:val="%1"/>
      <w:lvlJc w:val="left"/>
      <w:pPr>
        <w:ind w:left="846" w:hanging="420"/>
      </w:pPr>
      <w:rPr>
        <w:rFonts w:hint="eastAsia" w:ascii="宋体" w:hAnsi="宋体" w:eastAsia="宋体"/>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9">
    <w:nsid w:val="7D5E521F"/>
    <w:multiLevelType w:val="multilevel"/>
    <w:tmpl w:val="7D5E521F"/>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3"/>
  </w:num>
  <w:num w:numId="2">
    <w:abstractNumId w:val="14"/>
  </w:num>
  <w:num w:numId="3">
    <w:abstractNumId w:val="0"/>
  </w:num>
  <w:num w:numId="4">
    <w:abstractNumId w:val="15"/>
  </w:num>
  <w:num w:numId="5">
    <w:abstractNumId w:val="10"/>
  </w:num>
  <w:num w:numId="6">
    <w:abstractNumId w:val="18"/>
  </w:num>
  <w:num w:numId="7">
    <w:abstractNumId w:val="28"/>
  </w:num>
  <w:num w:numId="8">
    <w:abstractNumId w:val="12"/>
  </w:num>
  <w:num w:numId="9">
    <w:abstractNumId w:val="1"/>
  </w:num>
  <w:num w:numId="10">
    <w:abstractNumId w:val="2"/>
  </w:num>
  <w:num w:numId="11">
    <w:abstractNumId w:val="21"/>
  </w:num>
  <w:num w:numId="12">
    <w:abstractNumId w:val="27"/>
  </w:num>
  <w:num w:numId="13">
    <w:abstractNumId w:val="22"/>
  </w:num>
  <w:num w:numId="14">
    <w:abstractNumId w:val="4"/>
  </w:num>
  <w:num w:numId="15">
    <w:abstractNumId w:val="3"/>
  </w:num>
  <w:num w:numId="16">
    <w:abstractNumId w:val="29"/>
  </w:num>
  <w:num w:numId="17">
    <w:abstractNumId w:val="6"/>
  </w:num>
  <w:num w:numId="18">
    <w:abstractNumId w:val="16"/>
  </w:num>
  <w:num w:numId="19">
    <w:abstractNumId w:val="5"/>
  </w:num>
  <w:num w:numId="20">
    <w:abstractNumId w:val="8"/>
  </w:num>
  <w:num w:numId="21">
    <w:abstractNumId w:val="19"/>
  </w:num>
  <w:num w:numId="22">
    <w:abstractNumId w:val="25"/>
  </w:num>
  <w:num w:numId="23">
    <w:abstractNumId w:val="9"/>
  </w:num>
  <w:num w:numId="24">
    <w:abstractNumId w:val="26"/>
  </w:num>
  <w:num w:numId="25">
    <w:abstractNumId w:val="17"/>
  </w:num>
  <w:num w:numId="26">
    <w:abstractNumId w:val="11"/>
  </w:num>
  <w:num w:numId="27">
    <w:abstractNumId w:val="7"/>
  </w:num>
  <w:num w:numId="28">
    <w:abstractNumId w:val="23"/>
  </w:num>
  <w:num w:numId="29">
    <w:abstractNumId w:val="20"/>
  </w:num>
  <w:num w:numId="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50"/>
  <w:displayHorizontalDrawingGridEvery w:val="1"/>
  <w:displayVerticalDrawingGridEvery w:val="1"/>
  <w:noPunctuationKerning w:val="1"/>
  <w:characterSpacingControl w:val="doNotCompress"/>
  <w:hdrShapeDefaults>
    <o:shapelayout v:ext="edit">
      <o:idmap v:ext="edit" data="3"/>
    </o:shapelayout>
  </w:hdrShapeDefaults>
  <w:footnotePr>
    <w:footnote w:id="0"/>
    <w:footnote w:id="1"/>
  </w:footnotePr>
  <w:endnotePr>
    <w:endnote w:id="0"/>
    <w:endnote w:id="1"/>
  </w:endnotePr>
  <w:compat>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1299"/>
    <w:rsid w:val="000013E9"/>
    <w:rsid w:val="000014E0"/>
    <w:rsid w:val="00001DEF"/>
    <w:rsid w:val="00002E8D"/>
    <w:rsid w:val="0000458A"/>
    <w:rsid w:val="000049CB"/>
    <w:rsid w:val="00005782"/>
    <w:rsid w:val="000062C0"/>
    <w:rsid w:val="000067C9"/>
    <w:rsid w:val="00006825"/>
    <w:rsid w:val="00006A9D"/>
    <w:rsid w:val="00006BE5"/>
    <w:rsid w:val="00007CAD"/>
    <w:rsid w:val="00010D87"/>
    <w:rsid w:val="00011353"/>
    <w:rsid w:val="00011415"/>
    <w:rsid w:val="00011A79"/>
    <w:rsid w:val="00012202"/>
    <w:rsid w:val="00014487"/>
    <w:rsid w:val="00014747"/>
    <w:rsid w:val="0001495F"/>
    <w:rsid w:val="00014AFF"/>
    <w:rsid w:val="00015A31"/>
    <w:rsid w:val="00016569"/>
    <w:rsid w:val="00016832"/>
    <w:rsid w:val="00017A1F"/>
    <w:rsid w:val="00017B50"/>
    <w:rsid w:val="00017E08"/>
    <w:rsid w:val="000212B0"/>
    <w:rsid w:val="0002137D"/>
    <w:rsid w:val="00021F2F"/>
    <w:rsid w:val="0002232A"/>
    <w:rsid w:val="00022618"/>
    <w:rsid w:val="00023112"/>
    <w:rsid w:val="00024146"/>
    <w:rsid w:val="00024375"/>
    <w:rsid w:val="00024B1B"/>
    <w:rsid w:val="00024BB3"/>
    <w:rsid w:val="00024CC4"/>
    <w:rsid w:val="00025171"/>
    <w:rsid w:val="000251E1"/>
    <w:rsid w:val="00025393"/>
    <w:rsid w:val="00025785"/>
    <w:rsid w:val="00025E0B"/>
    <w:rsid w:val="000261C9"/>
    <w:rsid w:val="00026FB2"/>
    <w:rsid w:val="00027182"/>
    <w:rsid w:val="00027202"/>
    <w:rsid w:val="00030A1C"/>
    <w:rsid w:val="00030D45"/>
    <w:rsid w:val="00030D4D"/>
    <w:rsid w:val="00030F86"/>
    <w:rsid w:val="000310FE"/>
    <w:rsid w:val="000314DF"/>
    <w:rsid w:val="000317C3"/>
    <w:rsid w:val="0003189D"/>
    <w:rsid w:val="00031A00"/>
    <w:rsid w:val="0003271D"/>
    <w:rsid w:val="000329F6"/>
    <w:rsid w:val="00032D7B"/>
    <w:rsid w:val="00033B87"/>
    <w:rsid w:val="00034C17"/>
    <w:rsid w:val="00034E6A"/>
    <w:rsid w:val="0003611C"/>
    <w:rsid w:val="000361B8"/>
    <w:rsid w:val="0003698E"/>
    <w:rsid w:val="0004008F"/>
    <w:rsid w:val="00040531"/>
    <w:rsid w:val="00040CE9"/>
    <w:rsid w:val="00041F76"/>
    <w:rsid w:val="00042B47"/>
    <w:rsid w:val="00043057"/>
    <w:rsid w:val="00043669"/>
    <w:rsid w:val="00043BF7"/>
    <w:rsid w:val="00044007"/>
    <w:rsid w:val="00044050"/>
    <w:rsid w:val="000446FF"/>
    <w:rsid w:val="00044EA3"/>
    <w:rsid w:val="00045842"/>
    <w:rsid w:val="00045BB9"/>
    <w:rsid w:val="00046212"/>
    <w:rsid w:val="00046238"/>
    <w:rsid w:val="000467E4"/>
    <w:rsid w:val="00046832"/>
    <w:rsid w:val="0004786C"/>
    <w:rsid w:val="00047FD2"/>
    <w:rsid w:val="000514CA"/>
    <w:rsid w:val="000515C4"/>
    <w:rsid w:val="000516CA"/>
    <w:rsid w:val="00051973"/>
    <w:rsid w:val="000523E0"/>
    <w:rsid w:val="00053B89"/>
    <w:rsid w:val="00053BB7"/>
    <w:rsid w:val="0005400D"/>
    <w:rsid w:val="000547C9"/>
    <w:rsid w:val="0005601C"/>
    <w:rsid w:val="00056379"/>
    <w:rsid w:val="0005678F"/>
    <w:rsid w:val="00057683"/>
    <w:rsid w:val="00057C25"/>
    <w:rsid w:val="000616F5"/>
    <w:rsid w:val="00061989"/>
    <w:rsid w:val="00062459"/>
    <w:rsid w:val="0006253D"/>
    <w:rsid w:val="0006262D"/>
    <w:rsid w:val="00062AE0"/>
    <w:rsid w:val="00062C84"/>
    <w:rsid w:val="00062E05"/>
    <w:rsid w:val="00063481"/>
    <w:rsid w:val="000650B6"/>
    <w:rsid w:val="00065688"/>
    <w:rsid w:val="00065E2F"/>
    <w:rsid w:val="00066159"/>
    <w:rsid w:val="00066997"/>
    <w:rsid w:val="00066C93"/>
    <w:rsid w:val="00066CBD"/>
    <w:rsid w:val="00066E7F"/>
    <w:rsid w:val="000675B7"/>
    <w:rsid w:val="00067C5A"/>
    <w:rsid w:val="00070803"/>
    <w:rsid w:val="00070C6A"/>
    <w:rsid w:val="00071193"/>
    <w:rsid w:val="000711C4"/>
    <w:rsid w:val="0007231D"/>
    <w:rsid w:val="00072BCE"/>
    <w:rsid w:val="000731F5"/>
    <w:rsid w:val="00073C42"/>
    <w:rsid w:val="00074C41"/>
    <w:rsid w:val="00074E7B"/>
    <w:rsid w:val="00075121"/>
    <w:rsid w:val="00076E5F"/>
    <w:rsid w:val="000770F5"/>
    <w:rsid w:val="00077D51"/>
    <w:rsid w:val="00077EB9"/>
    <w:rsid w:val="00080CB0"/>
    <w:rsid w:val="00080DAE"/>
    <w:rsid w:val="00081520"/>
    <w:rsid w:val="00081655"/>
    <w:rsid w:val="00081972"/>
    <w:rsid w:val="00081CB1"/>
    <w:rsid w:val="00081CDB"/>
    <w:rsid w:val="00081FC3"/>
    <w:rsid w:val="000838FE"/>
    <w:rsid w:val="0008531F"/>
    <w:rsid w:val="00085947"/>
    <w:rsid w:val="0008596C"/>
    <w:rsid w:val="00085EB6"/>
    <w:rsid w:val="0008635E"/>
    <w:rsid w:val="00086A33"/>
    <w:rsid w:val="00087DB8"/>
    <w:rsid w:val="00087DE3"/>
    <w:rsid w:val="00090865"/>
    <w:rsid w:val="00090B77"/>
    <w:rsid w:val="000914E6"/>
    <w:rsid w:val="000916F7"/>
    <w:rsid w:val="00091A06"/>
    <w:rsid w:val="00091ABB"/>
    <w:rsid w:val="000921B9"/>
    <w:rsid w:val="00093A9E"/>
    <w:rsid w:val="00093D6F"/>
    <w:rsid w:val="0009477C"/>
    <w:rsid w:val="000965F8"/>
    <w:rsid w:val="000968A7"/>
    <w:rsid w:val="00096C3A"/>
    <w:rsid w:val="00096C8A"/>
    <w:rsid w:val="000972C0"/>
    <w:rsid w:val="00097A9C"/>
    <w:rsid w:val="00097C2A"/>
    <w:rsid w:val="000A0647"/>
    <w:rsid w:val="000A18C9"/>
    <w:rsid w:val="000A1D27"/>
    <w:rsid w:val="000A24C1"/>
    <w:rsid w:val="000A2B41"/>
    <w:rsid w:val="000A2C52"/>
    <w:rsid w:val="000A2D7C"/>
    <w:rsid w:val="000A41BE"/>
    <w:rsid w:val="000A4B7E"/>
    <w:rsid w:val="000A4C69"/>
    <w:rsid w:val="000A4D91"/>
    <w:rsid w:val="000A5185"/>
    <w:rsid w:val="000A5607"/>
    <w:rsid w:val="000A5A49"/>
    <w:rsid w:val="000A5B1C"/>
    <w:rsid w:val="000A6E1A"/>
    <w:rsid w:val="000B0280"/>
    <w:rsid w:val="000B0E60"/>
    <w:rsid w:val="000B17A0"/>
    <w:rsid w:val="000B2335"/>
    <w:rsid w:val="000B25C8"/>
    <w:rsid w:val="000B265C"/>
    <w:rsid w:val="000B2C61"/>
    <w:rsid w:val="000B2E22"/>
    <w:rsid w:val="000B3166"/>
    <w:rsid w:val="000B37BC"/>
    <w:rsid w:val="000B3955"/>
    <w:rsid w:val="000B3CC6"/>
    <w:rsid w:val="000B42D3"/>
    <w:rsid w:val="000B4536"/>
    <w:rsid w:val="000B4976"/>
    <w:rsid w:val="000B4CF2"/>
    <w:rsid w:val="000B525E"/>
    <w:rsid w:val="000B568A"/>
    <w:rsid w:val="000B599C"/>
    <w:rsid w:val="000B5B67"/>
    <w:rsid w:val="000B60DF"/>
    <w:rsid w:val="000B62D4"/>
    <w:rsid w:val="000B6305"/>
    <w:rsid w:val="000B6441"/>
    <w:rsid w:val="000B657B"/>
    <w:rsid w:val="000B68E0"/>
    <w:rsid w:val="000B7DC9"/>
    <w:rsid w:val="000B7E65"/>
    <w:rsid w:val="000C000B"/>
    <w:rsid w:val="000C080E"/>
    <w:rsid w:val="000C0882"/>
    <w:rsid w:val="000C08EC"/>
    <w:rsid w:val="000C0E13"/>
    <w:rsid w:val="000C0E80"/>
    <w:rsid w:val="000C173C"/>
    <w:rsid w:val="000C1B44"/>
    <w:rsid w:val="000C2898"/>
    <w:rsid w:val="000C2CF5"/>
    <w:rsid w:val="000C33C4"/>
    <w:rsid w:val="000C373F"/>
    <w:rsid w:val="000C3A15"/>
    <w:rsid w:val="000C3E4D"/>
    <w:rsid w:val="000C3F26"/>
    <w:rsid w:val="000C4A44"/>
    <w:rsid w:val="000C4B63"/>
    <w:rsid w:val="000C4C06"/>
    <w:rsid w:val="000C4E00"/>
    <w:rsid w:val="000C56E2"/>
    <w:rsid w:val="000C57E5"/>
    <w:rsid w:val="000C5A60"/>
    <w:rsid w:val="000C5E46"/>
    <w:rsid w:val="000C618E"/>
    <w:rsid w:val="000C67FA"/>
    <w:rsid w:val="000C6921"/>
    <w:rsid w:val="000C6CE6"/>
    <w:rsid w:val="000C70B9"/>
    <w:rsid w:val="000C76A5"/>
    <w:rsid w:val="000D0141"/>
    <w:rsid w:val="000D0DFA"/>
    <w:rsid w:val="000D2563"/>
    <w:rsid w:val="000D3152"/>
    <w:rsid w:val="000D32E4"/>
    <w:rsid w:val="000D37D7"/>
    <w:rsid w:val="000D3DE1"/>
    <w:rsid w:val="000D3E55"/>
    <w:rsid w:val="000D4D2C"/>
    <w:rsid w:val="000D5492"/>
    <w:rsid w:val="000D5C95"/>
    <w:rsid w:val="000D657A"/>
    <w:rsid w:val="000D6625"/>
    <w:rsid w:val="000D726F"/>
    <w:rsid w:val="000D7D5D"/>
    <w:rsid w:val="000E131B"/>
    <w:rsid w:val="000E1422"/>
    <w:rsid w:val="000E1853"/>
    <w:rsid w:val="000E1926"/>
    <w:rsid w:val="000E1E79"/>
    <w:rsid w:val="000E208F"/>
    <w:rsid w:val="000E244A"/>
    <w:rsid w:val="000E28EA"/>
    <w:rsid w:val="000E2BE4"/>
    <w:rsid w:val="000E3541"/>
    <w:rsid w:val="000E3697"/>
    <w:rsid w:val="000E3F00"/>
    <w:rsid w:val="000E4163"/>
    <w:rsid w:val="000E4B71"/>
    <w:rsid w:val="000E4D99"/>
    <w:rsid w:val="000E5885"/>
    <w:rsid w:val="000E5B4E"/>
    <w:rsid w:val="000E5E95"/>
    <w:rsid w:val="000E6CBC"/>
    <w:rsid w:val="000E7149"/>
    <w:rsid w:val="000E79F3"/>
    <w:rsid w:val="000E7A1B"/>
    <w:rsid w:val="000E7C3C"/>
    <w:rsid w:val="000E7CE1"/>
    <w:rsid w:val="000E7F94"/>
    <w:rsid w:val="000F0A27"/>
    <w:rsid w:val="000F0C8C"/>
    <w:rsid w:val="000F10F4"/>
    <w:rsid w:val="000F1CDA"/>
    <w:rsid w:val="000F1DB6"/>
    <w:rsid w:val="000F25FE"/>
    <w:rsid w:val="000F2702"/>
    <w:rsid w:val="000F2D39"/>
    <w:rsid w:val="000F3035"/>
    <w:rsid w:val="000F3622"/>
    <w:rsid w:val="000F3FD3"/>
    <w:rsid w:val="000F4ECC"/>
    <w:rsid w:val="000F52D8"/>
    <w:rsid w:val="000F53C7"/>
    <w:rsid w:val="000F603C"/>
    <w:rsid w:val="000F6823"/>
    <w:rsid w:val="000F76B5"/>
    <w:rsid w:val="000F7A04"/>
    <w:rsid w:val="001000C5"/>
    <w:rsid w:val="00100911"/>
    <w:rsid w:val="00100CEA"/>
    <w:rsid w:val="00101332"/>
    <w:rsid w:val="001015EC"/>
    <w:rsid w:val="001015FE"/>
    <w:rsid w:val="001020E5"/>
    <w:rsid w:val="0010239E"/>
    <w:rsid w:val="00102768"/>
    <w:rsid w:val="00102F9A"/>
    <w:rsid w:val="00104419"/>
    <w:rsid w:val="001047CE"/>
    <w:rsid w:val="001061BE"/>
    <w:rsid w:val="0010636C"/>
    <w:rsid w:val="001066A3"/>
    <w:rsid w:val="00106D93"/>
    <w:rsid w:val="00107907"/>
    <w:rsid w:val="00107EC5"/>
    <w:rsid w:val="00110592"/>
    <w:rsid w:val="001106E4"/>
    <w:rsid w:val="001108DD"/>
    <w:rsid w:val="00111610"/>
    <w:rsid w:val="001116C5"/>
    <w:rsid w:val="001118E8"/>
    <w:rsid w:val="00111E6D"/>
    <w:rsid w:val="0011203B"/>
    <w:rsid w:val="00112150"/>
    <w:rsid w:val="001126BF"/>
    <w:rsid w:val="0011294C"/>
    <w:rsid w:val="0011317A"/>
    <w:rsid w:val="00113445"/>
    <w:rsid w:val="00113C4D"/>
    <w:rsid w:val="00113E73"/>
    <w:rsid w:val="00114630"/>
    <w:rsid w:val="00115A76"/>
    <w:rsid w:val="00115AC2"/>
    <w:rsid w:val="00116666"/>
    <w:rsid w:val="00117C77"/>
    <w:rsid w:val="00117F10"/>
    <w:rsid w:val="001207F1"/>
    <w:rsid w:val="00120989"/>
    <w:rsid w:val="0012149D"/>
    <w:rsid w:val="00121891"/>
    <w:rsid w:val="00121EA4"/>
    <w:rsid w:val="00122C52"/>
    <w:rsid w:val="00123C4A"/>
    <w:rsid w:val="00123F3C"/>
    <w:rsid w:val="00124563"/>
    <w:rsid w:val="00125200"/>
    <w:rsid w:val="001256CE"/>
    <w:rsid w:val="0012631E"/>
    <w:rsid w:val="00126DFA"/>
    <w:rsid w:val="0012791F"/>
    <w:rsid w:val="00127B0A"/>
    <w:rsid w:val="00130FA5"/>
    <w:rsid w:val="0013103E"/>
    <w:rsid w:val="0013169E"/>
    <w:rsid w:val="0013199B"/>
    <w:rsid w:val="00131F68"/>
    <w:rsid w:val="0013226D"/>
    <w:rsid w:val="00132558"/>
    <w:rsid w:val="00132D24"/>
    <w:rsid w:val="00133282"/>
    <w:rsid w:val="00133495"/>
    <w:rsid w:val="001334D9"/>
    <w:rsid w:val="00133A3A"/>
    <w:rsid w:val="00133E05"/>
    <w:rsid w:val="00133FCC"/>
    <w:rsid w:val="001341F5"/>
    <w:rsid w:val="00134432"/>
    <w:rsid w:val="00134651"/>
    <w:rsid w:val="001348EA"/>
    <w:rsid w:val="0013537A"/>
    <w:rsid w:val="0013564B"/>
    <w:rsid w:val="00136A0D"/>
    <w:rsid w:val="00136A61"/>
    <w:rsid w:val="00136AA0"/>
    <w:rsid w:val="00136DE9"/>
    <w:rsid w:val="00136DF7"/>
    <w:rsid w:val="001375C3"/>
    <w:rsid w:val="00140499"/>
    <w:rsid w:val="001407E5"/>
    <w:rsid w:val="001421D6"/>
    <w:rsid w:val="00142621"/>
    <w:rsid w:val="0014280C"/>
    <w:rsid w:val="00142B41"/>
    <w:rsid w:val="001432A1"/>
    <w:rsid w:val="0014393F"/>
    <w:rsid w:val="00143BF2"/>
    <w:rsid w:val="001452A6"/>
    <w:rsid w:val="00145D3E"/>
    <w:rsid w:val="00146063"/>
    <w:rsid w:val="00146FD3"/>
    <w:rsid w:val="00147137"/>
    <w:rsid w:val="0014722F"/>
    <w:rsid w:val="0014739F"/>
    <w:rsid w:val="00147508"/>
    <w:rsid w:val="00147FAC"/>
    <w:rsid w:val="00150920"/>
    <w:rsid w:val="001516F6"/>
    <w:rsid w:val="0015254C"/>
    <w:rsid w:val="001525AE"/>
    <w:rsid w:val="001531DF"/>
    <w:rsid w:val="0015380E"/>
    <w:rsid w:val="00153B59"/>
    <w:rsid w:val="0015479B"/>
    <w:rsid w:val="00155446"/>
    <w:rsid w:val="00155595"/>
    <w:rsid w:val="00156181"/>
    <w:rsid w:val="00156873"/>
    <w:rsid w:val="00157933"/>
    <w:rsid w:val="00161ACE"/>
    <w:rsid w:val="00162251"/>
    <w:rsid w:val="00162375"/>
    <w:rsid w:val="00162D90"/>
    <w:rsid w:val="0016377A"/>
    <w:rsid w:val="001648AD"/>
    <w:rsid w:val="001651FF"/>
    <w:rsid w:val="00165809"/>
    <w:rsid w:val="00166F1F"/>
    <w:rsid w:val="00166FC8"/>
    <w:rsid w:val="00167834"/>
    <w:rsid w:val="00170F9A"/>
    <w:rsid w:val="00171130"/>
    <w:rsid w:val="0017116E"/>
    <w:rsid w:val="0017153A"/>
    <w:rsid w:val="0017155F"/>
    <w:rsid w:val="00171844"/>
    <w:rsid w:val="00171A10"/>
    <w:rsid w:val="00171C6E"/>
    <w:rsid w:val="0017249E"/>
    <w:rsid w:val="0017250E"/>
    <w:rsid w:val="001725FC"/>
    <w:rsid w:val="001726FC"/>
    <w:rsid w:val="001728B1"/>
    <w:rsid w:val="00172A27"/>
    <w:rsid w:val="00172A3D"/>
    <w:rsid w:val="00172BEA"/>
    <w:rsid w:val="00172D13"/>
    <w:rsid w:val="00172ED7"/>
    <w:rsid w:val="001730CF"/>
    <w:rsid w:val="001737B6"/>
    <w:rsid w:val="001739AE"/>
    <w:rsid w:val="00173B14"/>
    <w:rsid w:val="0017651C"/>
    <w:rsid w:val="001767CC"/>
    <w:rsid w:val="00176EC1"/>
    <w:rsid w:val="00177B98"/>
    <w:rsid w:val="00177E75"/>
    <w:rsid w:val="001805DC"/>
    <w:rsid w:val="00181402"/>
    <w:rsid w:val="00181B65"/>
    <w:rsid w:val="0018293F"/>
    <w:rsid w:val="00183129"/>
    <w:rsid w:val="0018323B"/>
    <w:rsid w:val="00183317"/>
    <w:rsid w:val="00184A1B"/>
    <w:rsid w:val="00186215"/>
    <w:rsid w:val="00186737"/>
    <w:rsid w:val="001869BE"/>
    <w:rsid w:val="00187141"/>
    <w:rsid w:val="00187B61"/>
    <w:rsid w:val="0019037F"/>
    <w:rsid w:val="0019130F"/>
    <w:rsid w:val="00191C18"/>
    <w:rsid w:val="00191FFC"/>
    <w:rsid w:val="001920D2"/>
    <w:rsid w:val="0019244A"/>
    <w:rsid w:val="001926AD"/>
    <w:rsid w:val="001927EC"/>
    <w:rsid w:val="001933D5"/>
    <w:rsid w:val="001944E3"/>
    <w:rsid w:val="001947BE"/>
    <w:rsid w:val="001948B1"/>
    <w:rsid w:val="00195200"/>
    <w:rsid w:val="001963ED"/>
    <w:rsid w:val="00196844"/>
    <w:rsid w:val="00197CA9"/>
    <w:rsid w:val="001A00C0"/>
    <w:rsid w:val="001A0FE4"/>
    <w:rsid w:val="001A0FF1"/>
    <w:rsid w:val="001A15C1"/>
    <w:rsid w:val="001A18C3"/>
    <w:rsid w:val="001A27D1"/>
    <w:rsid w:val="001A2A04"/>
    <w:rsid w:val="001A2AA1"/>
    <w:rsid w:val="001A3019"/>
    <w:rsid w:val="001A4672"/>
    <w:rsid w:val="001A4821"/>
    <w:rsid w:val="001A58A3"/>
    <w:rsid w:val="001A6824"/>
    <w:rsid w:val="001A6B25"/>
    <w:rsid w:val="001A6F55"/>
    <w:rsid w:val="001A7C19"/>
    <w:rsid w:val="001A7D36"/>
    <w:rsid w:val="001B078D"/>
    <w:rsid w:val="001B086F"/>
    <w:rsid w:val="001B16DD"/>
    <w:rsid w:val="001B16F7"/>
    <w:rsid w:val="001B1A44"/>
    <w:rsid w:val="001B1EDF"/>
    <w:rsid w:val="001B24F2"/>
    <w:rsid w:val="001B2A67"/>
    <w:rsid w:val="001B2E0C"/>
    <w:rsid w:val="001B3125"/>
    <w:rsid w:val="001B341E"/>
    <w:rsid w:val="001B40EE"/>
    <w:rsid w:val="001B66F6"/>
    <w:rsid w:val="001B6FD5"/>
    <w:rsid w:val="001B706E"/>
    <w:rsid w:val="001B7AFC"/>
    <w:rsid w:val="001B7BC9"/>
    <w:rsid w:val="001B7C21"/>
    <w:rsid w:val="001C0AE1"/>
    <w:rsid w:val="001C181A"/>
    <w:rsid w:val="001C2468"/>
    <w:rsid w:val="001C2864"/>
    <w:rsid w:val="001C349A"/>
    <w:rsid w:val="001C378F"/>
    <w:rsid w:val="001C3B45"/>
    <w:rsid w:val="001C3D05"/>
    <w:rsid w:val="001C3D5B"/>
    <w:rsid w:val="001C4990"/>
    <w:rsid w:val="001C4C75"/>
    <w:rsid w:val="001C536B"/>
    <w:rsid w:val="001C5451"/>
    <w:rsid w:val="001C56AE"/>
    <w:rsid w:val="001C76BC"/>
    <w:rsid w:val="001C7AF5"/>
    <w:rsid w:val="001D0859"/>
    <w:rsid w:val="001D11FE"/>
    <w:rsid w:val="001D1502"/>
    <w:rsid w:val="001D176D"/>
    <w:rsid w:val="001D1E0B"/>
    <w:rsid w:val="001D1ED0"/>
    <w:rsid w:val="001D2545"/>
    <w:rsid w:val="001D2637"/>
    <w:rsid w:val="001D2A67"/>
    <w:rsid w:val="001D2C12"/>
    <w:rsid w:val="001D2D8E"/>
    <w:rsid w:val="001D3439"/>
    <w:rsid w:val="001D3C53"/>
    <w:rsid w:val="001D3C58"/>
    <w:rsid w:val="001D4AEC"/>
    <w:rsid w:val="001D4E79"/>
    <w:rsid w:val="001D5347"/>
    <w:rsid w:val="001D547A"/>
    <w:rsid w:val="001D552D"/>
    <w:rsid w:val="001D63EA"/>
    <w:rsid w:val="001D671C"/>
    <w:rsid w:val="001D7311"/>
    <w:rsid w:val="001D79E3"/>
    <w:rsid w:val="001E0BCE"/>
    <w:rsid w:val="001E0C0D"/>
    <w:rsid w:val="001E1819"/>
    <w:rsid w:val="001E1BF0"/>
    <w:rsid w:val="001E277B"/>
    <w:rsid w:val="001E293C"/>
    <w:rsid w:val="001E2C9F"/>
    <w:rsid w:val="001E3E7B"/>
    <w:rsid w:val="001E41B9"/>
    <w:rsid w:val="001E41E3"/>
    <w:rsid w:val="001E4E28"/>
    <w:rsid w:val="001E6BCB"/>
    <w:rsid w:val="001E6BDE"/>
    <w:rsid w:val="001E72AF"/>
    <w:rsid w:val="001E7413"/>
    <w:rsid w:val="001E7CA0"/>
    <w:rsid w:val="001F07E3"/>
    <w:rsid w:val="001F12E2"/>
    <w:rsid w:val="001F1970"/>
    <w:rsid w:val="001F21E7"/>
    <w:rsid w:val="001F2AF0"/>
    <w:rsid w:val="001F2B14"/>
    <w:rsid w:val="001F2F8C"/>
    <w:rsid w:val="001F3479"/>
    <w:rsid w:val="001F385A"/>
    <w:rsid w:val="001F39FD"/>
    <w:rsid w:val="001F4EBF"/>
    <w:rsid w:val="001F4FFD"/>
    <w:rsid w:val="001F503D"/>
    <w:rsid w:val="001F54C6"/>
    <w:rsid w:val="001F605D"/>
    <w:rsid w:val="001F68E8"/>
    <w:rsid w:val="001F71F7"/>
    <w:rsid w:val="00201680"/>
    <w:rsid w:val="00201791"/>
    <w:rsid w:val="0020276E"/>
    <w:rsid w:val="00202D37"/>
    <w:rsid w:val="002039A6"/>
    <w:rsid w:val="00204780"/>
    <w:rsid w:val="0020484F"/>
    <w:rsid w:val="002048B9"/>
    <w:rsid w:val="00204910"/>
    <w:rsid w:val="00204AD8"/>
    <w:rsid w:val="00204F87"/>
    <w:rsid w:val="00205266"/>
    <w:rsid w:val="00205AA6"/>
    <w:rsid w:val="00205E5C"/>
    <w:rsid w:val="00206042"/>
    <w:rsid w:val="00206864"/>
    <w:rsid w:val="002070FE"/>
    <w:rsid w:val="002103E0"/>
    <w:rsid w:val="0021054D"/>
    <w:rsid w:val="002107EF"/>
    <w:rsid w:val="002108CA"/>
    <w:rsid w:val="002118B7"/>
    <w:rsid w:val="0021328C"/>
    <w:rsid w:val="002137B9"/>
    <w:rsid w:val="00214285"/>
    <w:rsid w:val="002149C2"/>
    <w:rsid w:val="00214CE6"/>
    <w:rsid w:val="00214F90"/>
    <w:rsid w:val="00215378"/>
    <w:rsid w:val="00215702"/>
    <w:rsid w:val="00216A3B"/>
    <w:rsid w:val="00216F1A"/>
    <w:rsid w:val="00217896"/>
    <w:rsid w:val="002179B4"/>
    <w:rsid w:val="00217ABB"/>
    <w:rsid w:val="00217F42"/>
    <w:rsid w:val="002202B0"/>
    <w:rsid w:val="00220543"/>
    <w:rsid w:val="00220A59"/>
    <w:rsid w:val="00220B43"/>
    <w:rsid w:val="00221666"/>
    <w:rsid w:val="00221A01"/>
    <w:rsid w:val="00221AB0"/>
    <w:rsid w:val="00221B6E"/>
    <w:rsid w:val="00221FFB"/>
    <w:rsid w:val="00222358"/>
    <w:rsid w:val="002224CF"/>
    <w:rsid w:val="002225C3"/>
    <w:rsid w:val="002227B3"/>
    <w:rsid w:val="002228F0"/>
    <w:rsid w:val="00222E00"/>
    <w:rsid w:val="00223110"/>
    <w:rsid w:val="00223649"/>
    <w:rsid w:val="00224A65"/>
    <w:rsid w:val="00224B13"/>
    <w:rsid w:val="00224BE9"/>
    <w:rsid w:val="002256B7"/>
    <w:rsid w:val="002264A7"/>
    <w:rsid w:val="002278DD"/>
    <w:rsid w:val="00227BF7"/>
    <w:rsid w:val="00230074"/>
    <w:rsid w:val="00230FFD"/>
    <w:rsid w:val="00231021"/>
    <w:rsid w:val="002310C9"/>
    <w:rsid w:val="00233133"/>
    <w:rsid w:val="00233322"/>
    <w:rsid w:val="00234CB7"/>
    <w:rsid w:val="00235715"/>
    <w:rsid w:val="00235941"/>
    <w:rsid w:val="00235944"/>
    <w:rsid w:val="00235A20"/>
    <w:rsid w:val="002361DD"/>
    <w:rsid w:val="002365BA"/>
    <w:rsid w:val="00236A36"/>
    <w:rsid w:val="00236AC5"/>
    <w:rsid w:val="00236F21"/>
    <w:rsid w:val="00237008"/>
    <w:rsid w:val="002372BC"/>
    <w:rsid w:val="002402C0"/>
    <w:rsid w:val="00240457"/>
    <w:rsid w:val="00240D79"/>
    <w:rsid w:val="00240EF4"/>
    <w:rsid w:val="00241290"/>
    <w:rsid w:val="002417D9"/>
    <w:rsid w:val="00241BDE"/>
    <w:rsid w:val="002424A2"/>
    <w:rsid w:val="00242768"/>
    <w:rsid w:val="00244261"/>
    <w:rsid w:val="00244BD1"/>
    <w:rsid w:val="00244C05"/>
    <w:rsid w:val="002452E7"/>
    <w:rsid w:val="002454E1"/>
    <w:rsid w:val="00245BE8"/>
    <w:rsid w:val="00245C8B"/>
    <w:rsid w:val="00245EE8"/>
    <w:rsid w:val="00246539"/>
    <w:rsid w:val="00247DB5"/>
    <w:rsid w:val="00247E4A"/>
    <w:rsid w:val="00247F9D"/>
    <w:rsid w:val="002509A5"/>
    <w:rsid w:val="00251304"/>
    <w:rsid w:val="00251444"/>
    <w:rsid w:val="0025232D"/>
    <w:rsid w:val="002528F9"/>
    <w:rsid w:val="00252BA1"/>
    <w:rsid w:val="00252C81"/>
    <w:rsid w:val="0025350A"/>
    <w:rsid w:val="002543A8"/>
    <w:rsid w:val="002552CA"/>
    <w:rsid w:val="00256C38"/>
    <w:rsid w:val="00256DD3"/>
    <w:rsid w:val="00256F70"/>
    <w:rsid w:val="002575FC"/>
    <w:rsid w:val="0026015F"/>
    <w:rsid w:val="00260C55"/>
    <w:rsid w:val="002617A5"/>
    <w:rsid w:val="00262C86"/>
    <w:rsid w:val="002632EB"/>
    <w:rsid w:val="002633EC"/>
    <w:rsid w:val="002634FE"/>
    <w:rsid w:val="0026365B"/>
    <w:rsid w:val="0026367D"/>
    <w:rsid w:val="00263C45"/>
    <w:rsid w:val="00263CF0"/>
    <w:rsid w:val="0026526A"/>
    <w:rsid w:val="00266182"/>
    <w:rsid w:val="002667B2"/>
    <w:rsid w:val="00266929"/>
    <w:rsid w:val="00266C2B"/>
    <w:rsid w:val="00266D87"/>
    <w:rsid w:val="0026731E"/>
    <w:rsid w:val="00270214"/>
    <w:rsid w:val="0027060F"/>
    <w:rsid w:val="002709ED"/>
    <w:rsid w:val="00270F61"/>
    <w:rsid w:val="0027135E"/>
    <w:rsid w:val="002717E5"/>
    <w:rsid w:val="0027195B"/>
    <w:rsid w:val="00271BD4"/>
    <w:rsid w:val="00272339"/>
    <w:rsid w:val="00273824"/>
    <w:rsid w:val="00274993"/>
    <w:rsid w:val="002757ED"/>
    <w:rsid w:val="0027591F"/>
    <w:rsid w:val="002759E4"/>
    <w:rsid w:val="002805B6"/>
    <w:rsid w:val="00281088"/>
    <w:rsid w:val="002813C9"/>
    <w:rsid w:val="0028182A"/>
    <w:rsid w:val="00281E3C"/>
    <w:rsid w:val="00281E52"/>
    <w:rsid w:val="0028295F"/>
    <w:rsid w:val="00282B55"/>
    <w:rsid w:val="00283E3D"/>
    <w:rsid w:val="0028437D"/>
    <w:rsid w:val="00285131"/>
    <w:rsid w:val="0028530E"/>
    <w:rsid w:val="0028555C"/>
    <w:rsid w:val="002859D5"/>
    <w:rsid w:val="00285B30"/>
    <w:rsid w:val="00285F40"/>
    <w:rsid w:val="0028627B"/>
    <w:rsid w:val="002866D1"/>
    <w:rsid w:val="0028708A"/>
    <w:rsid w:val="00287122"/>
    <w:rsid w:val="0028741B"/>
    <w:rsid w:val="00290082"/>
    <w:rsid w:val="00290B90"/>
    <w:rsid w:val="002912A9"/>
    <w:rsid w:val="002918BF"/>
    <w:rsid w:val="00292E50"/>
    <w:rsid w:val="00293033"/>
    <w:rsid w:val="00293321"/>
    <w:rsid w:val="00294024"/>
    <w:rsid w:val="00294C06"/>
    <w:rsid w:val="002951F5"/>
    <w:rsid w:val="00295311"/>
    <w:rsid w:val="0029551B"/>
    <w:rsid w:val="00296450"/>
    <w:rsid w:val="0029663D"/>
    <w:rsid w:val="002969F2"/>
    <w:rsid w:val="00296F36"/>
    <w:rsid w:val="002A2080"/>
    <w:rsid w:val="002A2572"/>
    <w:rsid w:val="002A30D1"/>
    <w:rsid w:val="002A3220"/>
    <w:rsid w:val="002A3B53"/>
    <w:rsid w:val="002A3E2E"/>
    <w:rsid w:val="002A50F4"/>
    <w:rsid w:val="002A5D07"/>
    <w:rsid w:val="002A5FCB"/>
    <w:rsid w:val="002A64CD"/>
    <w:rsid w:val="002A7307"/>
    <w:rsid w:val="002A7C08"/>
    <w:rsid w:val="002B0B09"/>
    <w:rsid w:val="002B10C9"/>
    <w:rsid w:val="002B10CE"/>
    <w:rsid w:val="002B14AE"/>
    <w:rsid w:val="002B1614"/>
    <w:rsid w:val="002B18D4"/>
    <w:rsid w:val="002B1DB2"/>
    <w:rsid w:val="002B26E7"/>
    <w:rsid w:val="002B3373"/>
    <w:rsid w:val="002B35DE"/>
    <w:rsid w:val="002B38BB"/>
    <w:rsid w:val="002B3FBB"/>
    <w:rsid w:val="002B537E"/>
    <w:rsid w:val="002B5917"/>
    <w:rsid w:val="002B5B72"/>
    <w:rsid w:val="002B5B98"/>
    <w:rsid w:val="002B6353"/>
    <w:rsid w:val="002B639C"/>
    <w:rsid w:val="002B6CEC"/>
    <w:rsid w:val="002B6E11"/>
    <w:rsid w:val="002B75BE"/>
    <w:rsid w:val="002C0DF3"/>
    <w:rsid w:val="002C26FC"/>
    <w:rsid w:val="002C297A"/>
    <w:rsid w:val="002C3102"/>
    <w:rsid w:val="002C3B66"/>
    <w:rsid w:val="002C3BC2"/>
    <w:rsid w:val="002C3D13"/>
    <w:rsid w:val="002C5326"/>
    <w:rsid w:val="002C5484"/>
    <w:rsid w:val="002C64AB"/>
    <w:rsid w:val="002C64FB"/>
    <w:rsid w:val="002C7CC5"/>
    <w:rsid w:val="002D0808"/>
    <w:rsid w:val="002D099B"/>
    <w:rsid w:val="002D0E84"/>
    <w:rsid w:val="002D0F33"/>
    <w:rsid w:val="002D200B"/>
    <w:rsid w:val="002D205B"/>
    <w:rsid w:val="002D21C8"/>
    <w:rsid w:val="002D2497"/>
    <w:rsid w:val="002D2F5D"/>
    <w:rsid w:val="002D2FCB"/>
    <w:rsid w:val="002D3F1C"/>
    <w:rsid w:val="002D42F3"/>
    <w:rsid w:val="002D45F6"/>
    <w:rsid w:val="002D46C7"/>
    <w:rsid w:val="002D4D1D"/>
    <w:rsid w:val="002D54EA"/>
    <w:rsid w:val="002D599C"/>
    <w:rsid w:val="002D5B89"/>
    <w:rsid w:val="002D5C89"/>
    <w:rsid w:val="002D5FC4"/>
    <w:rsid w:val="002D6AE9"/>
    <w:rsid w:val="002D78FC"/>
    <w:rsid w:val="002D7A61"/>
    <w:rsid w:val="002D7ED4"/>
    <w:rsid w:val="002D7F19"/>
    <w:rsid w:val="002E09F2"/>
    <w:rsid w:val="002E10ED"/>
    <w:rsid w:val="002E16B5"/>
    <w:rsid w:val="002E18C1"/>
    <w:rsid w:val="002E1D86"/>
    <w:rsid w:val="002E2145"/>
    <w:rsid w:val="002E244B"/>
    <w:rsid w:val="002E294B"/>
    <w:rsid w:val="002E2E94"/>
    <w:rsid w:val="002E3921"/>
    <w:rsid w:val="002E3ED2"/>
    <w:rsid w:val="002E4558"/>
    <w:rsid w:val="002E4E75"/>
    <w:rsid w:val="002E6666"/>
    <w:rsid w:val="002E680E"/>
    <w:rsid w:val="002E6DA1"/>
    <w:rsid w:val="002E7399"/>
    <w:rsid w:val="002E76D5"/>
    <w:rsid w:val="002F01B0"/>
    <w:rsid w:val="002F08AB"/>
    <w:rsid w:val="002F0F17"/>
    <w:rsid w:val="002F14BD"/>
    <w:rsid w:val="002F29D7"/>
    <w:rsid w:val="002F33B5"/>
    <w:rsid w:val="002F367A"/>
    <w:rsid w:val="002F42C4"/>
    <w:rsid w:val="002F4322"/>
    <w:rsid w:val="002F59DF"/>
    <w:rsid w:val="002F621E"/>
    <w:rsid w:val="002F64A4"/>
    <w:rsid w:val="002F6AC8"/>
    <w:rsid w:val="002F6E79"/>
    <w:rsid w:val="002F7093"/>
    <w:rsid w:val="002F7815"/>
    <w:rsid w:val="002F78AA"/>
    <w:rsid w:val="002F79EF"/>
    <w:rsid w:val="002F7BBC"/>
    <w:rsid w:val="003003F7"/>
    <w:rsid w:val="003004FE"/>
    <w:rsid w:val="00301A61"/>
    <w:rsid w:val="00301E6C"/>
    <w:rsid w:val="003027ED"/>
    <w:rsid w:val="0030287A"/>
    <w:rsid w:val="00302C17"/>
    <w:rsid w:val="00302F9A"/>
    <w:rsid w:val="003032FC"/>
    <w:rsid w:val="00303339"/>
    <w:rsid w:val="00303D76"/>
    <w:rsid w:val="0030415F"/>
    <w:rsid w:val="003044FC"/>
    <w:rsid w:val="00304AF4"/>
    <w:rsid w:val="003058FB"/>
    <w:rsid w:val="00305CF9"/>
    <w:rsid w:val="0030611E"/>
    <w:rsid w:val="00306595"/>
    <w:rsid w:val="003067BD"/>
    <w:rsid w:val="00307266"/>
    <w:rsid w:val="003075ED"/>
    <w:rsid w:val="0030793B"/>
    <w:rsid w:val="00307C42"/>
    <w:rsid w:val="0031072C"/>
    <w:rsid w:val="00310D15"/>
    <w:rsid w:val="00311B3A"/>
    <w:rsid w:val="00311E8B"/>
    <w:rsid w:val="0031214F"/>
    <w:rsid w:val="00312784"/>
    <w:rsid w:val="00312860"/>
    <w:rsid w:val="00312DC6"/>
    <w:rsid w:val="00313071"/>
    <w:rsid w:val="00313C7E"/>
    <w:rsid w:val="00313CE7"/>
    <w:rsid w:val="0031412C"/>
    <w:rsid w:val="003149B3"/>
    <w:rsid w:val="00314E91"/>
    <w:rsid w:val="00315387"/>
    <w:rsid w:val="003160F8"/>
    <w:rsid w:val="00316639"/>
    <w:rsid w:val="0031742B"/>
    <w:rsid w:val="0031782C"/>
    <w:rsid w:val="00317941"/>
    <w:rsid w:val="00317C39"/>
    <w:rsid w:val="00317D95"/>
    <w:rsid w:val="003212B1"/>
    <w:rsid w:val="0032136F"/>
    <w:rsid w:val="003214F4"/>
    <w:rsid w:val="00321F32"/>
    <w:rsid w:val="00323606"/>
    <w:rsid w:val="00323E2C"/>
    <w:rsid w:val="00323F20"/>
    <w:rsid w:val="0032434F"/>
    <w:rsid w:val="0032521C"/>
    <w:rsid w:val="0032555A"/>
    <w:rsid w:val="003258DE"/>
    <w:rsid w:val="00325FAE"/>
    <w:rsid w:val="0032776A"/>
    <w:rsid w:val="00327B32"/>
    <w:rsid w:val="00327BA9"/>
    <w:rsid w:val="0033011D"/>
    <w:rsid w:val="00331BED"/>
    <w:rsid w:val="00331CE0"/>
    <w:rsid w:val="00331E23"/>
    <w:rsid w:val="0033260D"/>
    <w:rsid w:val="00332979"/>
    <w:rsid w:val="00332E25"/>
    <w:rsid w:val="00333111"/>
    <w:rsid w:val="00333983"/>
    <w:rsid w:val="00333CAB"/>
    <w:rsid w:val="00333D61"/>
    <w:rsid w:val="0033440B"/>
    <w:rsid w:val="00334D4F"/>
    <w:rsid w:val="0033519C"/>
    <w:rsid w:val="0033603A"/>
    <w:rsid w:val="0033603C"/>
    <w:rsid w:val="00336A3B"/>
    <w:rsid w:val="00337264"/>
    <w:rsid w:val="00340381"/>
    <w:rsid w:val="00340907"/>
    <w:rsid w:val="00340AF3"/>
    <w:rsid w:val="00340B2C"/>
    <w:rsid w:val="00341F68"/>
    <w:rsid w:val="003420EA"/>
    <w:rsid w:val="0034244F"/>
    <w:rsid w:val="00342DA5"/>
    <w:rsid w:val="003435AE"/>
    <w:rsid w:val="00344982"/>
    <w:rsid w:val="00344B54"/>
    <w:rsid w:val="00345C01"/>
    <w:rsid w:val="00347263"/>
    <w:rsid w:val="003472D4"/>
    <w:rsid w:val="003472E3"/>
    <w:rsid w:val="00347889"/>
    <w:rsid w:val="00347AF5"/>
    <w:rsid w:val="00347C5E"/>
    <w:rsid w:val="00350469"/>
    <w:rsid w:val="003512A4"/>
    <w:rsid w:val="003512EC"/>
    <w:rsid w:val="00351335"/>
    <w:rsid w:val="00351BA2"/>
    <w:rsid w:val="00351D7A"/>
    <w:rsid w:val="00351DE7"/>
    <w:rsid w:val="00353D90"/>
    <w:rsid w:val="003540AF"/>
    <w:rsid w:val="0035416E"/>
    <w:rsid w:val="0035563D"/>
    <w:rsid w:val="003561A5"/>
    <w:rsid w:val="003563BF"/>
    <w:rsid w:val="00357459"/>
    <w:rsid w:val="00357636"/>
    <w:rsid w:val="00357A5A"/>
    <w:rsid w:val="003611AF"/>
    <w:rsid w:val="0036181A"/>
    <w:rsid w:val="00361B25"/>
    <w:rsid w:val="00362367"/>
    <w:rsid w:val="00362BDA"/>
    <w:rsid w:val="00362CB9"/>
    <w:rsid w:val="00362EB6"/>
    <w:rsid w:val="00363A98"/>
    <w:rsid w:val="00363ADB"/>
    <w:rsid w:val="00364230"/>
    <w:rsid w:val="003643E8"/>
    <w:rsid w:val="00364528"/>
    <w:rsid w:val="00364787"/>
    <w:rsid w:val="003648C6"/>
    <w:rsid w:val="00365B33"/>
    <w:rsid w:val="003662D9"/>
    <w:rsid w:val="003664B0"/>
    <w:rsid w:val="00366B7F"/>
    <w:rsid w:val="00366C7A"/>
    <w:rsid w:val="00366EF4"/>
    <w:rsid w:val="003673A0"/>
    <w:rsid w:val="00367EF7"/>
    <w:rsid w:val="00370428"/>
    <w:rsid w:val="0037060C"/>
    <w:rsid w:val="00370D82"/>
    <w:rsid w:val="00371571"/>
    <w:rsid w:val="00371C35"/>
    <w:rsid w:val="00371FC2"/>
    <w:rsid w:val="00372570"/>
    <w:rsid w:val="003740C4"/>
    <w:rsid w:val="00374B7E"/>
    <w:rsid w:val="003758F3"/>
    <w:rsid w:val="00375E16"/>
    <w:rsid w:val="00376035"/>
    <w:rsid w:val="0037610B"/>
    <w:rsid w:val="003768C3"/>
    <w:rsid w:val="00376D82"/>
    <w:rsid w:val="00376F54"/>
    <w:rsid w:val="0037737E"/>
    <w:rsid w:val="003778D2"/>
    <w:rsid w:val="00377FED"/>
    <w:rsid w:val="00380003"/>
    <w:rsid w:val="003806EA"/>
    <w:rsid w:val="0038177E"/>
    <w:rsid w:val="00382088"/>
    <w:rsid w:val="003824EE"/>
    <w:rsid w:val="00382E0E"/>
    <w:rsid w:val="00382F89"/>
    <w:rsid w:val="0038360E"/>
    <w:rsid w:val="00383762"/>
    <w:rsid w:val="00383DAF"/>
    <w:rsid w:val="00383FB7"/>
    <w:rsid w:val="00384551"/>
    <w:rsid w:val="003854D6"/>
    <w:rsid w:val="003859E9"/>
    <w:rsid w:val="00386417"/>
    <w:rsid w:val="0038660E"/>
    <w:rsid w:val="00386D06"/>
    <w:rsid w:val="00386DA0"/>
    <w:rsid w:val="003871AC"/>
    <w:rsid w:val="003902EC"/>
    <w:rsid w:val="003903E5"/>
    <w:rsid w:val="00390E31"/>
    <w:rsid w:val="00390EA9"/>
    <w:rsid w:val="00391212"/>
    <w:rsid w:val="003915F7"/>
    <w:rsid w:val="00392205"/>
    <w:rsid w:val="00393FFE"/>
    <w:rsid w:val="00394E5B"/>
    <w:rsid w:val="00394EAE"/>
    <w:rsid w:val="00395569"/>
    <w:rsid w:val="00395C04"/>
    <w:rsid w:val="00395CC7"/>
    <w:rsid w:val="003961D7"/>
    <w:rsid w:val="00397584"/>
    <w:rsid w:val="00397A94"/>
    <w:rsid w:val="00397C8F"/>
    <w:rsid w:val="003A0411"/>
    <w:rsid w:val="003A1D62"/>
    <w:rsid w:val="003A22E4"/>
    <w:rsid w:val="003A24BE"/>
    <w:rsid w:val="003A2541"/>
    <w:rsid w:val="003A2E7E"/>
    <w:rsid w:val="003A38FE"/>
    <w:rsid w:val="003A39B8"/>
    <w:rsid w:val="003A3CA6"/>
    <w:rsid w:val="003A4112"/>
    <w:rsid w:val="003A4150"/>
    <w:rsid w:val="003A45FD"/>
    <w:rsid w:val="003A4CB1"/>
    <w:rsid w:val="003A588C"/>
    <w:rsid w:val="003A6003"/>
    <w:rsid w:val="003A60AA"/>
    <w:rsid w:val="003A653A"/>
    <w:rsid w:val="003A6737"/>
    <w:rsid w:val="003A6D16"/>
    <w:rsid w:val="003A778E"/>
    <w:rsid w:val="003A7C07"/>
    <w:rsid w:val="003A7EBC"/>
    <w:rsid w:val="003B00E6"/>
    <w:rsid w:val="003B0417"/>
    <w:rsid w:val="003B04C0"/>
    <w:rsid w:val="003B051C"/>
    <w:rsid w:val="003B0631"/>
    <w:rsid w:val="003B0B48"/>
    <w:rsid w:val="003B2FC1"/>
    <w:rsid w:val="003B387F"/>
    <w:rsid w:val="003B40FE"/>
    <w:rsid w:val="003B48F7"/>
    <w:rsid w:val="003B49C2"/>
    <w:rsid w:val="003B51A7"/>
    <w:rsid w:val="003B5328"/>
    <w:rsid w:val="003B5360"/>
    <w:rsid w:val="003B5691"/>
    <w:rsid w:val="003B5868"/>
    <w:rsid w:val="003B5BD3"/>
    <w:rsid w:val="003B650F"/>
    <w:rsid w:val="003B66DF"/>
    <w:rsid w:val="003B6814"/>
    <w:rsid w:val="003B6FA6"/>
    <w:rsid w:val="003B7FC6"/>
    <w:rsid w:val="003C0720"/>
    <w:rsid w:val="003C0BCF"/>
    <w:rsid w:val="003C109A"/>
    <w:rsid w:val="003C185F"/>
    <w:rsid w:val="003C18D3"/>
    <w:rsid w:val="003C2275"/>
    <w:rsid w:val="003C282E"/>
    <w:rsid w:val="003C2EA8"/>
    <w:rsid w:val="003C2FA6"/>
    <w:rsid w:val="003C3651"/>
    <w:rsid w:val="003C3B27"/>
    <w:rsid w:val="003C3C69"/>
    <w:rsid w:val="003C3FBD"/>
    <w:rsid w:val="003C4046"/>
    <w:rsid w:val="003C69DC"/>
    <w:rsid w:val="003C6D32"/>
    <w:rsid w:val="003C712A"/>
    <w:rsid w:val="003C77FA"/>
    <w:rsid w:val="003D0CC8"/>
    <w:rsid w:val="003D0E0C"/>
    <w:rsid w:val="003D18D3"/>
    <w:rsid w:val="003D1E21"/>
    <w:rsid w:val="003D1F42"/>
    <w:rsid w:val="003D245D"/>
    <w:rsid w:val="003D2CFA"/>
    <w:rsid w:val="003D3ACD"/>
    <w:rsid w:val="003D3E81"/>
    <w:rsid w:val="003D5706"/>
    <w:rsid w:val="003D58A0"/>
    <w:rsid w:val="003D5B01"/>
    <w:rsid w:val="003D5FC2"/>
    <w:rsid w:val="003D602E"/>
    <w:rsid w:val="003D6BB7"/>
    <w:rsid w:val="003D7C1C"/>
    <w:rsid w:val="003E045B"/>
    <w:rsid w:val="003E0842"/>
    <w:rsid w:val="003E08A6"/>
    <w:rsid w:val="003E140C"/>
    <w:rsid w:val="003E1BE3"/>
    <w:rsid w:val="003E23BD"/>
    <w:rsid w:val="003E2B98"/>
    <w:rsid w:val="003E39C6"/>
    <w:rsid w:val="003E3C1A"/>
    <w:rsid w:val="003E3FD6"/>
    <w:rsid w:val="003E60CE"/>
    <w:rsid w:val="003E6286"/>
    <w:rsid w:val="003E67C6"/>
    <w:rsid w:val="003E6DBD"/>
    <w:rsid w:val="003E6FA7"/>
    <w:rsid w:val="003E734A"/>
    <w:rsid w:val="003E7D18"/>
    <w:rsid w:val="003F0E64"/>
    <w:rsid w:val="003F1862"/>
    <w:rsid w:val="003F1CC2"/>
    <w:rsid w:val="003F1CCD"/>
    <w:rsid w:val="003F327C"/>
    <w:rsid w:val="003F4022"/>
    <w:rsid w:val="003F458A"/>
    <w:rsid w:val="003F4FFA"/>
    <w:rsid w:val="003F5244"/>
    <w:rsid w:val="003F579F"/>
    <w:rsid w:val="003F6103"/>
    <w:rsid w:val="003F61E6"/>
    <w:rsid w:val="003F65DB"/>
    <w:rsid w:val="003F67D5"/>
    <w:rsid w:val="003F685D"/>
    <w:rsid w:val="003F6C0B"/>
    <w:rsid w:val="003F719B"/>
    <w:rsid w:val="003F7640"/>
    <w:rsid w:val="00400C6B"/>
    <w:rsid w:val="00400F2E"/>
    <w:rsid w:val="00400F77"/>
    <w:rsid w:val="004019E8"/>
    <w:rsid w:val="00401D69"/>
    <w:rsid w:val="00401F57"/>
    <w:rsid w:val="00402A26"/>
    <w:rsid w:val="00402FEC"/>
    <w:rsid w:val="004033CF"/>
    <w:rsid w:val="00403E56"/>
    <w:rsid w:val="004041B0"/>
    <w:rsid w:val="00404239"/>
    <w:rsid w:val="00404EB0"/>
    <w:rsid w:val="00405202"/>
    <w:rsid w:val="004056F1"/>
    <w:rsid w:val="0040574B"/>
    <w:rsid w:val="00406045"/>
    <w:rsid w:val="004068F8"/>
    <w:rsid w:val="004073EC"/>
    <w:rsid w:val="00407468"/>
    <w:rsid w:val="00407909"/>
    <w:rsid w:val="00410D13"/>
    <w:rsid w:val="004121E2"/>
    <w:rsid w:val="00412934"/>
    <w:rsid w:val="00412BE8"/>
    <w:rsid w:val="00412DA7"/>
    <w:rsid w:val="00413965"/>
    <w:rsid w:val="004139FF"/>
    <w:rsid w:val="00413EA2"/>
    <w:rsid w:val="00413EF1"/>
    <w:rsid w:val="00414A6F"/>
    <w:rsid w:val="00415077"/>
    <w:rsid w:val="004150F0"/>
    <w:rsid w:val="00415371"/>
    <w:rsid w:val="004158C1"/>
    <w:rsid w:val="00415D8F"/>
    <w:rsid w:val="0041632B"/>
    <w:rsid w:val="00416D7F"/>
    <w:rsid w:val="00416E11"/>
    <w:rsid w:val="00417070"/>
    <w:rsid w:val="004174C7"/>
    <w:rsid w:val="004179DC"/>
    <w:rsid w:val="004179E6"/>
    <w:rsid w:val="00417EFA"/>
    <w:rsid w:val="00420328"/>
    <w:rsid w:val="00420D96"/>
    <w:rsid w:val="0042169C"/>
    <w:rsid w:val="004223BB"/>
    <w:rsid w:val="004225C3"/>
    <w:rsid w:val="0042279E"/>
    <w:rsid w:val="00422FA5"/>
    <w:rsid w:val="00423300"/>
    <w:rsid w:val="0042332D"/>
    <w:rsid w:val="004235F6"/>
    <w:rsid w:val="004239C7"/>
    <w:rsid w:val="004242A4"/>
    <w:rsid w:val="00424E86"/>
    <w:rsid w:val="0042509D"/>
    <w:rsid w:val="004250EF"/>
    <w:rsid w:val="004253F5"/>
    <w:rsid w:val="0042550B"/>
    <w:rsid w:val="00425E3F"/>
    <w:rsid w:val="004266F8"/>
    <w:rsid w:val="0043041E"/>
    <w:rsid w:val="00430787"/>
    <w:rsid w:val="00430A91"/>
    <w:rsid w:val="004313DA"/>
    <w:rsid w:val="0043173F"/>
    <w:rsid w:val="00432B46"/>
    <w:rsid w:val="004334E5"/>
    <w:rsid w:val="00433792"/>
    <w:rsid w:val="0043389A"/>
    <w:rsid w:val="00433BB1"/>
    <w:rsid w:val="00433C2C"/>
    <w:rsid w:val="00433F7A"/>
    <w:rsid w:val="0043402B"/>
    <w:rsid w:val="0043464C"/>
    <w:rsid w:val="0043493F"/>
    <w:rsid w:val="00434D28"/>
    <w:rsid w:val="00434F5A"/>
    <w:rsid w:val="00435186"/>
    <w:rsid w:val="00437920"/>
    <w:rsid w:val="004400BF"/>
    <w:rsid w:val="00440226"/>
    <w:rsid w:val="0044198A"/>
    <w:rsid w:val="00441CA2"/>
    <w:rsid w:val="00442060"/>
    <w:rsid w:val="004424D4"/>
    <w:rsid w:val="0044394B"/>
    <w:rsid w:val="00443ECC"/>
    <w:rsid w:val="00443F27"/>
    <w:rsid w:val="00443F64"/>
    <w:rsid w:val="004443D6"/>
    <w:rsid w:val="0044452D"/>
    <w:rsid w:val="004448A5"/>
    <w:rsid w:val="00444EB8"/>
    <w:rsid w:val="004456DE"/>
    <w:rsid w:val="004458D2"/>
    <w:rsid w:val="00445A8D"/>
    <w:rsid w:val="00445CCA"/>
    <w:rsid w:val="00445DDC"/>
    <w:rsid w:val="00445E5A"/>
    <w:rsid w:val="0044683C"/>
    <w:rsid w:val="00446C11"/>
    <w:rsid w:val="004476C2"/>
    <w:rsid w:val="004476E9"/>
    <w:rsid w:val="004501A2"/>
    <w:rsid w:val="00450AF0"/>
    <w:rsid w:val="0045104D"/>
    <w:rsid w:val="0045119E"/>
    <w:rsid w:val="0045143C"/>
    <w:rsid w:val="00451440"/>
    <w:rsid w:val="004523D0"/>
    <w:rsid w:val="004534FB"/>
    <w:rsid w:val="00453922"/>
    <w:rsid w:val="00454753"/>
    <w:rsid w:val="004551FE"/>
    <w:rsid w:val="004554EB"/>
    <w:rsid w:val="00455B36"/>
    <w:rsid w:val="00455B8F"/>
    <w:rsid w:val="00456F7C"/>
    <w:rsid w:val="0045742C"/>
    <w:rsid w:val="00457E2A"/>
    <w:rsid w:val="00457E5C"/>
    <w:rsid w:val="0046096F"/>
    <w:rsid w:val="00461578"/>
    <w:rsid w:val="004619F6"/>
    <w:rsid w:val="004622F3"/>
    <w:rsid w:val="0046263B"/>
    <w:rsid w:val="004635B9"/>
    <w:rsid w:val="0046381C"/>
    <w:rsid w:val="00463F6C"/>
    <w:rsid w:val="004648E0"/>
    <w:rsid w:val="00464AE3"/>
    <w:rsid w:val="00465077"/>
    <w:rsid w:val="00465931"/>
    <w:rsid w:val="0046632C"/>
    <w:rsid w:val="00466593"/>
    <w:rsid w:val="00466CE9"/>
    <w:rsid w:val="00467143"/>
    <w:rsid w:val="00467304"/>
    <w:rsid w:val="00467658"/>
    <w:rsid w:val="00467A9A"/>
    <w:rsid w:val="00471040"/>
    <w:rsid w:val="00471439"/>
    <w:rsid w:val="004715C1"/>
    <w:rsid w:val="00471DF8"/>
    <w:rsid w:val="0047230A"/>
    <w:rsid w:val="00472AF6"/>
    <w:rsid w:val="00472F0D"/>
    <w:rsid w:val="00472F4B"/>
    <w:rsid w:val="00473F2B"/>
    <w:rsid w:val="00473FC6"/>
    <w:rsid w:val="00474313"/>
    <w:rsid w:val="004744FB"/>
    <w:rsid w:val="00476878"/>
    <w:rsid w:val="00476CC1"/>
    <w:rsid w:val="00477472"/>
    <w:rsid w:val="00477D7A"/>
    <w:rsid w:val="0048068A"/>
    <w:rsid w:val="0048150F"/>
    <w:rsid w:val="004825C0"/>
    <w:rsid w:val="00482875"/>
    <w:rsid w:val="0048305F"/>
    <w:rsid w:val="004830FF"/>
    <w:rsid w:val="0048330A"/>
    <w:rsid w:val="00483B48"/>
    <w:rsid w:val="00483E95"/>
    <w:rsid w:val="00483EF9"/>
    <w:rsid w:val="004845A1"/>
    <w:rsid w:val="00484611"/>
    <w:rsid w:val="00484BCD"/>
    <w:rsid w:val="00485159"/>
    <w:rsid w:val="004857FE"/>
    <w:rsid w:val="00485E6B"/>
    <w:rsid w:val="00486145"/>
    <w:rsid w:val="00487D68"/>
    <w:rsid w:val="00487EB1"/>
    <w:rsid w:val="004908D8"/>
    <w:rsid w:val="00490A10"/>
    <w:rsid w:val="00491685"/>
    <w:rsid w:val="00491A13"/>
    <w:rsid w:val="004920E6"/>
    <w:rsid w:val="004929D9"/>
    <w:rsid w:val="00492FA1"/>
    <w:rsid w:val="00493962"/>
    <w:rsid w:val="00493BED"/>
    <w:rsid w:val="0049583C"/>
    <w:rsid w:val="00496531"/>
    <w:rsid w:val="0049686A"/>
    <w:rsid w:val="00496970"/>
    <w:rsid w:val="00496C0A"/>
    <w:rsid w:val="00497A02"/>
    <w:rsid w:val="00497DA0"/>
    <w:rsid w:val="00497EFD"/>
    <w:rsid w:val="004A0B7A"/>
    <w:rsid w:val="004A0CAD"/>
    <w:rsid w:val="004A1D26"/>
    <w:rsid w:val="004A280B"/>
    <w:rsid w:val="004A2C1B"/>
    <w:rsid w:val="004A2D20"/>
    <w:rsid w:val="004A2E0F"/>
    <w:rsid w:val="004A36EA"/>
    <w:rsid w:val="004A3825"/>
    <w:rsid w:val="004A3DD7"/>
    <w:rsid w:val="004A41C1"/>
    <w:rsid w:val="004A41C7"/>
    <w:rsid w:val="004A422B"/>
    <w:rsid w:val="004A430F"/>
    <w:rsid w:val="004A4976"/>
    <w:rsid w:val="004A50D1"/>
    <w:rsid w:val="004A5726"/>
    <w:rsid w:val="004A617F"/>
    <w:rsid w:val="004A6F40"/>
    <w:rsid w:val="004B030E"/>
    <w:rsid w:val="004B04AB"/>
    <w:rsid w:val="004B0B03"/>
    <w:rsid w:val="004B1BD7"/>
    <w:rsid w:val="004B1EEA"/>
    <w:rsid w:val="004B21CB"/>
    <w:rsid w:val="004B2238"/>
    <w:rsid w:val="004B282F"/>
    <w:rsid w:val="004B30D2"/>
    <w:rsid w:val="004B36B6"/>
    <w:rsid w:val="004B3B41"/>
    <w:rsid w:val="004B41DE"/>
    <w:rsid w:val="004B4412"/>
    <w:rsid w:val="004B4A5E"/>
    <w:rsid w:val="004B4D90"/>
    <w:rsid w:val="004B54DE"/>
    <w:rsid w:val="004B5AAE"/>
    <w:rsid w:val="004B5FB2"/>
    <w:rsid w:val="004B73B2"/>
    <w:rsid w:val="004C030D"/>
    <w:rsid w:val="004C0968"/>
    <w:rsid w:val="004C17E3"/>
    <w:rsid w:val="004C1EE1"/>
    <w:rsid w:val="004C270C"/>
    <w:rsid w:val="004C2C6A"/>
    <w:rsid w:val="004C2D36"/>
    <w:rsid w:val="004C39EB"/>
    <w:rsid w:val="004C3CE0"/>
    <w:rsid w:val="004C3D5A"/>
    <w:rsid w:val="004C4535"/>
    <w:rsid w:val="004C5D9B"/>
    <w:rsid w:val="004C5DBF"/>
    <w:rsid w:val="004C6910"/>
    <w:rsid w:val="004C759D"/>
    <w:rsid w:val="004C7649"/>
    <w:rsid w:val="004C79AD"/>
    <w:rsid w:val="004D04BA"/>
    <w:rsid w:val="004D04D1"/>
    <w:rsid w:val="004D11A1"/>
    <w:rsid w:val="004D190F"/>
    <w:rsid w:val="004D299A"/>
    <w:rsid w:val="004D315D"/>
    <w:rsid w:val="004D394C"/>
    <w:rsid w:val="004D4A84"/>
    <w:rsid w:val="004D4E63"/>
    <w:rsid w:val="004D55BE"/>
    <w:rsid w:val="004D5671"/>
    <w:rsid w:val="004D574C"/>
    <w:rsid w:val="004D59DE"/>
    <w:rsid w:val="004D5C9F"/>
    <w:rsid w:val="004D5F96"/>
    <w:rsid w:val="004D780A"/>
    <w:rsid w:val="004D7E64"/>
    <w:rsid w:val="004E0352"/>
    <w:rsid w:val="004E040B"/>
    <w:rsid w:val="004E0BCC"/>
    <w:rsid w:val="004E1B97"/>
    <w:rsid w:val="004E2C8A"/>
    <w:rsid w:val="004E4649"/>
    <w:rsid w:val="004E4F94"/>
    <w:rsid w:val="004E4FC3"/>
    <w:rsid w:val="004E57D8"/>
    <w:rsid w:val="004E5AB8"/>
    <w:rsid w:val="004E6195"/>
    <w:rsid w:val="004E7FA8"/>
    <w:rsid w:val="004F02B1"/>
    <w:rsid w:val="004F169E"/>
    <w:rsid w:val="004F1782"/>
    <w:rsid w:val="004F1B37"/>
    <w:rsid w:val="004F25F1"/>
    <w:rsid w:val="004F30A5"/>
    <w:rsid w:val="004F33A6"/>
    <w:rsid w:val="004F3580"/>
    <w:rsid w:val="004F3E35"/>
    <w:rsid w:val="004F3ED5"/>
    <w:rsid w:val="004F4A30"/>
    <w:rsid w:val="004F5553"/>
    <w:rsid w:val="004F5872"/>
    <w:rsid w:val="004F599F"/>
    <w:rsid w:val="004F5CF2"/>
    <w:rsid w:val="004F64F0"/>
    <w:rsid w:val="004F695E"/>
    <w:rsid w:val="004F74DC"/>
    <w:rsid w:val="004F7512"/>
    <w:rsid w:val="005010AD"/>
    <w:rsid w:val="00501235"/>
    <w:rsid w:val="00501547"/>
    <w:rsid w:val="00501791"/>
    <w:rsid w:val="00501EC0"/>
    <w:rsid w:val="005024C6"/>
    <w:rsid w:val="00502589"/>
    <w:rsid w:val="005025F9"/>
    <w:rsid w:val="00502F06"/>
    <w:rsid w:val="00502FD4"/>
    <w:rsid w:val="00503A40"/>
    <w:rsid w:val="00503A63"/>
    <w:rsid w:val="005042AE"/>
    <w:rsid w:val="00504D62"/>
    <w:rsid w:val="00505854"/>
    <w:rsid w:val="00506323"/>
    <w:rsid w:val="00506631"/>
    <w:rsid w:val="0050782E"/>
    <w:rsid w:val="005105E4"/>
    <w:rsid w:val="005108F3"/>
    <w:rsid w:val="00510B1B"/>
    <w:rsid w:val="005113A8"/>
    <w:rsid w:val="00511AB9"/>
    <w:rsid w:val="005120FC"/>
    <w:rsid w:val="005122E5"/>
    <w:rsid w:val="005125D8"/>
    <w:rsid w:val="005129B9"/>
    <w:rsid w:val="00512F24"/>
    <w:rsid w:val="00513024"/>
    <w:rsid w:val="005134E0"/>
    <w:rsid w:val="005134EC"/>
    <w:rsid w:val="0051386C"/>
    <w:rsid w:val="00513A9C"/>
    <w:rsid w:val="00513D00"/>
    <w:rsid w:val="0051469B"/>
    <w:rsid w:val="00515AE1"/>
    <w:rsid w:val="00515C92"/>
    <w:rsid w:val="005172BC"/>
    <w:rsid w:val="00517A48"/>
    <w:rsid w:val="00517C17"/>
    <w:rsid w:val="00517E5D"/>
    <w:rsid w:val="00517F0D"/>
    <w:rsid w:val="0052024A"/>
    <w:rsid w:val="00521D35"/>
    <w:rsid w:val="005223C4"/>
    <w:rsid w:val="005224A2"/>
    <w:rsid w:val="0052258C"/>
    <w:rsid w:val="00522980"/>
    <w:rsid w:val="00523A4B"/>
    <w:rsid w:val="00524609"/>
    <w:rsid w:val="00524FBF"/>
    <w:rsid w:val="00525088"/>
    <w:rsid w:val="00525091"/>
    <w:rsid w:val="0052514B"/>
    <w:rsid w:val="005252D1"/>
    <w:rsid w:val="005258F9"/>
    <w:rsid w:val="005263DF"/>
    <w:rsid w:val="00526677"/>
    <w:rsid w:val="00526757"/>
    <w:rsid w:val="00527C48"/>
    <w:rsid w:val="00530194"/>
    <w:rsid w:val="005302EA"/>
    <w:rsid w:val="00530D73"/>
    <w:rsid w:val="005311CB"/>
    <w:rsid w:val="005318C5"/>
    <w:rsid w:val="00531F3F"/>
    <w:rsid w:val="005320F0"/>
    <w:rsid w:val="0053253D"/>
    <w:rsid w:val="00532E6B"/>
    <w:rsid w:val="00533A35"/>
    <w:rsid w:val="0053430F"/>
    <w:rsid w:val="005348F4"/>
    <w:rsid w:val="00534C4D"/>
    <w:rsid w:val="005354DC"/>
    <w:rsid w:val="00535F92"/>
    <w:rsid w:val="00535FAB"/>
    <w:rsid w:val="00536D58"/>
    <w:rsid w:val="00537866"/>
    <w:rsid w:val="005405C0"/>
    <w:rsid w:val="0054060B"/>
    <w:rsid w:val="005413CB"/>
    <w:rsid w:val="00541A6D"/>
    <w:rsid w:val="00541E39"/>
    <w:rsid w:val="00542B10"/>
    <w:rsid w:val="00542CC2"/>
    <w:rsid w:val="0054307B"/>
    <w:rsid w:val="005430B2"/>
    <w:rsid w:val="00543B9C"/>
    <w:rsid w:val="005440E3"/>
    <w:rsid w:val="00544E6A"/>
    <w:rsid w:val="00544F98"/>
    <w:rsid w:val="0054526C"/>
    <w:rsid w:val="00545DC2"/>
    <w:rsid w:val="00546ACF"/>
    <w:rsid w:val="00546D64"/>
    <w:rsid w:val="00546E39"/>
    <w:rsid w:val="00547004"/>
    <w:rsid w:val="0054732C"/>
    <w:rsid w:val="00547B03"/>
    <w:rsid w:val="00547DBD"/>
    <w:rsid w:val="00547E01"/>
    <w:rsid w:val="00550D1C"/>
    <w:rsid w:val="0055128E"/>
    <w:rsid w:val="0055151E"/>
    <w:rsid w:val="00551BBA"/>
    <w:rsid w:val="00551DC5"/>
    <w:rsid w:val="00551DD3"/>
    <w:rsid w:val="00551E70"/>
    <w:rsid w:val="00552875"/>
    <w:rsid w:val="005533D6"/>
    <w:rsid w:val="0055360C"/>
    <w:rsid w:val="005536BC"/>
    <w:rsid w:val="0055389F"/>
    <w:rsid w:val="0055417B"/>
    <w:rsid w:val="00554552"/>
    <w:rsid w:val="00554606"/>
    <w:rsid w:val="00554D0C"/>
    <w:rsid w:val="0055518E"/>
    <w:rsid w:val="00555923"/>
    <w:rsid w:val="00555F11"/>
    <w:rsid w:val="00556069"/>
    <w:rsid w:val="005564A7"/>
    <w:rsid w:val="00557182"/>
    <w:rsid w:val="00557992"/>
    <w:rsid w:val="00560009"/>
    <w:rsid w:val="00560574"/>
    <w:rsid w:val="005609B8"/>
    <w:rsid w:val="005612E8"/>
    <w:rsid w:val="00561762"/>
    <w:rsid w:val="00561A62"/>
    <w:rsid w:val="00561DBF"/>
    <w:rsid w:val="00562260"/>
    <w:rsid w:val="005626F9"/>
    <w:rsid w:val="00562933"/>
    <w:rsid w:val="00563165"/>
    <w:rsid w:val="00563450"/>
    <w:rsid w:val="005634CA"/>
    <w:rsid w:val="00563804"/>
    <w:rsid w:val="005640A0"/>
    <w:rsid w:val="00565099"/>
    <w:rsid w:val="005665EC"/>
    <w:rsid w:val="005669F6"/>
    <w:rsid w:val="00566E3F"/>
    <w:rsid w:val="005706E5"/>
    <w:rsid w:val="005713A3"/>
    <w:rsid w:val="00571629"/>
    <w:rsid w:val="00572C4D"/>
    <w:rsid w:val="00573950"/>
    <w:rsid w:val="00573FCD"/>
    <w:rsid w:val="005740A7"/>
    <w:rsid w:val="005746BE"/>
    <w:rsid w:val="005748B6"/>
    <w:rsid w:val="005753EC"/>
    <w:rsid w:val="005754DE"/>
    <w:rsid w:val="00575739"/>
    <w:rsid w:val="00575874"/>
    <w:rsid w:val="00575D4C"/>
    <w:rsid w:val="005761C3"/>
    <w:rsid w:val="00576C3B"/>
    <w:rsid w:val="00576DFD"/>
    <w:rsid w:val="00576EA8"/>
    <w:rsid w:val="00576F31"/>
    <w:rsid w:val="00580539"/>
    <w:rsid w:val="0058098B"/>
    <w:rsid w:val="005812C9"/>
    <w:rsid w:val="005812E9"/>
    <w:rsid w:val="00581949"/>
    <w:rsid w:val="00581E65"/>
    <w:rsid w:val="00582772"/>
    <w:rsid w:val="00583B34"/>
    <w:rsid w:val="00583BDF"/>
    <w:rsid w:val="00584CDC"/>
    <w:rsid w:val="00584E5A"/>
    <w:rsid w:val="00585028"/>
    <w:rsid w:val="00585229"/>
    <w:rsid w:val="0058585F"/>
    <w:rsid w:val="00585E0C"/>
    <w:rsid w:val="005868AF"/>
    <w:rsid w:val="00586965"/>
    <w:rsid w:val="005911BD"/>
    <w:rsid w:val="00591C9B"/>
    <w:rsid w:val="00591FD4"/>
    <w:rsid w:val="005923FE"/>
    <w:rsid w:val="005924F0"/>
    <w:rsid w:val="005926BB"/>
    <w:rsid w:val="00592C62"/>
    <w:rsid w:val="00592F77"/>
    <w:rsid w:val="0059304B"/>
    <w:rsid w:val="005936F5"/>
    <w:rsid w:val="0059423C"/>
    <w:rsid w:val="00594271"/>
    <w:rsid w:val="0059479C"/>
    <w:rsid w:val="00594B49"/>
    <w:rsid w:val="00595F44"/>
    <w:rsid w:val="00595FCB"/>
    <w:rsid w:val="0059649F"/>
    <w:rsid w:val="0059676A"/>
    <w:rsid w:val="0059754D"/>
    <w:rsid w:val="00597987"/>
    <w:rsid w:val="005979D9"/>
    <w:rsid w:val="005A0018"/>
    <w:rsid w:val="005A0B70"/>
    <w:rsid w:val="005A14A8"/>
    <w:rsid w:val="005A1A3B"/>
    <w:rsid w:val="005A2C33"/>
    <w:rsid w:val="005A2EB6"/>
    <w:rsid w:val="005A2F3E"/>
    <w:rsid w:val="005A2FCA"/>
    <w:rsid w:val="005A3A3F"/>
    <w:rsid w:val="005A441E"/>
    <w:rsid w:val="005A635F"/>
    <w:rsid w:val="005A690E"/>
    <w:rsid w:val="005A6961"/>
    <w:rsid w:val="005A7093"/>
    <w:rsid w:val="005A75C4"/>
    <w:rsid w:val="005A7ECC"/>
    <w:rsid w:val="005B0E28"/>
    <w:rsid w:val="005B1C51"/>
    <w:rsid w:val="005B1EC7"/>
    <w:rsid w:val="005B2267"/>
    <w:rsid w:val="005B2BD0"/>
    <w:rsid w:val="005B2C70"/>
    <w:rsid w:val="005B31B9"/>
    <w:rsid w:val="005B3B48"/>
    <w:rsid w:val="005B43F7"/>
    <w:rsid w:val="005B4AD9"/>
    <w:rsid w:val="005B4B33"/>
    <w:rsid w:val="005B514C"/>
    <w:rsid w:val="005B5E68"/>
    <w:rsid w:val="005B6931"/>
    <w:rsid w:val="005B7313"/>
    <w:rsid w:val="005B7BD6"/>
    <w:rsid w:val="005B7E67"/>
    <w:rsid w:val="005C26BA"/>
    <w:rsid w:val="005C439F"/>
    <w:rsid w:val="005C4569"/>
    <w:rsid w:val="005C477C"/>
    <w:rsid w:val="005C4C1E"/>
    <w:rsid w:val="005C4D0E"/>
    <w:rsid w:val="005C5463"/>
    <w:rsid w:val="005C5F5B"/>
    <w:rsid w:val="005C60FC"/>
    <w:rsid w:val="005C6425"/>
    <w:rsid w:val="005C6EDD"/>
    <w:rsid w:val="005C7BF5"/>
    <w:rsid w:val="005D0274"/>
    <w:rsid w:val="005D07C1"/>
    <w:rsid w:val="005D07DC"/>
    <w:rsid w:val="005D14B9"/>
    <w:rsid w:val="005D1ADD"/>
    <w:rsid w:val="005D1BEF"/>
    <w:rsid w:val="005D2E92"/>
    <w:rsid w:val="005D2F3B"/>
    <w:rsid w:val="005D30E4"/>
    <w:rsid w:val="005D35BA"/>
    <w:rsid w:val="005D3627"/>
    <w:rsid w:val="005D3BCA"/>
    <w:rsid w:val="005D428A"/>
    <w:rsid w:val="005D47BD"/>
    <w:rsid w:val="005D6E45"/>
    <w:rsid w:val="005D711C"/>
    <w:rsid w:val="005D71F1"/>
    <w:rsid w:val="005E1289"/>
    <w:rsid w:val="005E17BF"/>
    <w:rsid w:val="005E19DE"/>
    <w:rsid w:val="005E297D"/>
    <w:rsid w:val="005E33F5"/>
    <w:rsid w:val="005E42E6"/>
    <w:rsid w:val="005E4E17"/>
    <w:rsid w:val="005E54A8"/>
    <w:rsid w:val="005E5C5D"/>
    <w:rsid w:val="005E5D86"/>
    <w:rsid w:val="005E6AE7"/>
    <w:rsid w:val="005E7EFC"/>
    <w:rsid w:val="005F0043"/>
    <w:rsid w:val="005F072F"/>
    <w:rsid w:val="005F080A"/>
    <w:rsid w:val="005F0B69"/>
    <w:rsid w:val="005F0BF4"/>
    <w:rsid w:val="005F1396"/>
    <w:rsid w:val="005F1E1B"/>
    <w:rsid w:val="005F2169"/>
    <w:rsid w:val="005F2B52"/>
    <w:rsid w:val="005F2EFD"/>
    <w:rsid w:val="005F2FCD"/>
    <w:rsid w:val="005F4358"/>
    <w:rsid w:val="005F462B"/>
    <w:rsid w:val="005F5543"/>
    <w:rsid w:val="005F5AC1"/>
    <w:rsid w:val="005F659C"/>
    <w:rsid w:val="005F7011"/>
    <w:rsid w:val="005F750F"/>
    <w:rsid w:val="005F7A9E"/>
    <w:rsid w:val="005F7CFF"/>
    <w:rsid w:val="006003CE"/>
    <w:rsid w:val="00600D9F"/>
    <w:rsid w:val="00601541"/>
    <w:rsid w:val="006017D7"/>
    <w:rsid w:val="00601880"/>
    <w:rsid w:val="00601AC5"/>
    <w:rsid w:val="00602605"/>
    <w:rsid w:val="00602C45"/>
    <w:rsid w:val="00602DDF"/>
    <w:rsid w:val="006030B2"/>
    <w:rsid w:val="00603105"/>
    <w:rsid w:val="0060361A"/>
    <w:rsid w:val="00603A5B"/>
    <w:rsid w:val="00603E40"/>
    <w:rsid w:val="00604B22"/>
    <w:rsid w:val="0060500C"/>
    <w:rsid w:val="00605905"/>
    <w:rsid w:val="00605A7F"/>
    <w:rsid w:val="00605C38"/>
    <w:rsid w:val="00606159"/>
    <w:rsid w:val="00606583"/>
    <w:rsid w:val="00606D07"/>
    <w:rsid w:val="006071A6"/>
    <w:rsid w:val="0060744F"/>
    <w:rsid w:val="00607A09"/>
    <w:rsid w:val="00610072"/>
    <w:rsid w:val="00611709"/>
    <w:rsid w:val="00611D19"/>
    <w:rsid w:val="00611E04"/>
    <w:rsid w:val="006127EE"/>
    <w:rsid w:val="00613122"/>
    <w:rsid w:val="00613875"/>
    <w:rsid w:val="006139D7"/>
    <w:rsid w:val="00613AE8"/>
    <w:rsid w:val="00614A92"/>
    <w:rsid w:val="00615AAC"/>
    <w:rsid w:val="00615BB7"/>
    <w:rsid w:val="00615D60"/>
    <w:rsid w:val="0061609A"/>
    <w:rsid w:val="00616629"/>
    <w:rsid w:val="006168B6"/>
    <w:rsid w:val="00616F5D"/>
    <w:rsid w:val="0062028E"/>
    <w:rsid w:val="0062102F"/>
    <w:rsid w:val="00621AD5"/>
    <w:rsid w:val="006223F1"/>
    <w:rsid w:val="006224BA"/>
    <w:rsid w:val="00622FEF"/>
    <w:rsid w:val="0062312F"/>
    <w:rsid w:val="0062341C"/>
    <w:rsid w:val="00623CC4"/>
    <w:rsid w:val="006245BB"/>
    <w:rsid w:val="00624C81"/>
    <w:rsid w:val="006250E8"/>
    <w:rsid w:val="00625BA2"/>
    <w:rsid w:val="00626580"/>
    <w:rsid w:val="00626605"/>
    <w:rsid w:val="00626C6E"/>
    <w:rsid w:val="00626E86"/>
    <w:rsid w:val="00627CAA"/>
    <w:rsid w:val="00630642"/>
    <w:rsid w:val="00630C95"/>
    <w:rsid w:val="00630ECE"/>
    <w:rsid w:val="00631218"/>
    <w:rsid w:val="00631B64"/>
    <w:rsid w:val="00632F9C"/>
    <w:rsid w:val="0063322A"/>
    <w:rsid w:val="0063361C"/>
    <w:rsid w:val="00633739"/>
    <w:rsid w:val="00634EF7"/>
    <w:rsid w:val="00635562"/>
    <w:rsid w:val="00635D7B"/>
    <w:rsid w:val="00635E1D"/>
    <w:rsid w:val="0063629A"/>
    <w:rsid w:val="00636BF3"/>
    <w:rsid w:val="006374EB"/>
    <w:rsid w:val="00637D3A"/>
    <w:rsid w:val="006402A1"/>
    <w:rsid w:val="00640B34"/>
    <w:rsid w:val="00640DC0"/>
    <w:rsid w:val="006411AA"/>
    <w:rsid w:val="006416CF"/>
    <w:rsid w:val="006418A2"/>
    <w:rsid w:val="00641EF7"/>
    <w:rsid w:val="006422B7"/>
    <w:rsid w:val="0064254A"/>
    <w:rsid w:val="00642689"/>
    <w:rsid w:val="00642CA9"/>
    <w:rsid w:val="00642CD7"/>
    <w:rsid w:val="00642DA8"/>
    <w:rsid w:val="006433F2"/>
    <w:rsid w:val="0064384A"/>
    <w:rsid w:val="00643DDF"/>
    <w:rsid w:val="00643E3A"/>
    <w:rsid w:val="00644BEA"/>
    <w:rsid w:val="00644F51"/>
    <w:rsid w:val="0064534D"/>
    <w:rsid w:val="006454AC"/>
    <w:rsid w:val="00645DC5"/>
    <w:rsid w:val="00645FA7"/>
    <w:rsid w:val="006468F1"/>
    <w:rsid w:val="0064755C"/>
    <w:rsid w:val="00650699"/>
    <w:rsid w:val="006524D2"/>
    <w:rsid w:val="00652949"/>
    <w:rsid w:val="00652AEF"/>
    <w:rsid w:val="00652DB7"/>
    <w:rsid w:val="00652FB8"/>
    <w:rsid w:val="006564EF"/>
    <w:rsid w:val="006566A7"/>
    <w:rsid w:val="00656790"/>
    <w:rsid w:val="006567F3"/>
    <w:rsid w:val="006569EB"/>
    <w:rsid w:val="006573D6"/>
    <w:rsid w:val="00657526"/>
    <w:rsid w:val="006607AD"/>
    <w:rsid w:val="00660954"/>
    <w:rsid w:val="00660CEB"/>
    <w:rsid w:val="00661A0C"/>
    <w:rsid w:val="006621D4"/>
    <w:rsid w:val="006624CC"/>
    <w:rsid w:val="00662584"/>
    <w:rsid w:val="006630C6"/>
    <w:rsid w:val="00663199"/>
    <w:rsid w:val="006638A6"/>
    <w:rsid w:val="0066394B"/>
    <w:rsid w:val="0066431B"/>
    <w:rsid w:val="00664791"/>
    <w:rsid w:val="006652A6"/>
    <w:rsid w:val="0066563B"/>
    <w:rsid w:val="0066609D"/>
    <w:rsid w:val="006667E5"/>
    <w:rsid w:val="00666B84"/>
    <w:rsid w:val="006678D6"/>
    <w:rsid w:val="00670394"/>
    <w:rsid w:val="00670B3F"/>
    <w:rsid w:val="00670CE8"/>
    <w:rsid w:val="0067113E"/>
    <w:rsid w:val="00672198"/>
    <w:rsid w:val="0067302F"/>
    <w:rsid w:val="006736E1"/>
    <w:rsid w:val="006740C2"/>
    <w:rsid w:val="006756FC"/>
    <w:rsid w:val="00676991"/>
    <w:rsid w:val="00677D69"/>
    <w:rsid w:val="00677EC4"/>
    <w:rsid w:val="00680085"/>
    <w:rsid w:val="0068087E"/>
    <w:rsid w:val="006808DD"/>
    <w:rsid w:val="00680E0A"/>
    <w:rsid w:val="00681448"/>
    <w:rsid w:val="00681812"/>
    <w:rsid w:val="00681AF3"/>
    <w:rsid w:val="00681E34"/>
    <w:rsid w:val="00682995"/>
    <w:rsid w:val="006830EE"/>
    <w:rsid w:val="0068396B"/>
    <w:rsid w:val="00684B04"/>
    <w:rsid w:val="00684D26"/>
    <w:rsid w:val="00684EA0"/>
    <w:rsid w:val="0068505B"/>
    <w:rsid w:val="00686CBA"/>
    <w:rsid w:val="00687212"/>
    <w:rsid w:val="00687364"/>
    <w:rsid w:val="00687522"/>
    <w:rsid w:val="00687EC6"/>
    <w:rsid w:val="0069073E"/>
    <w:rsid w:val="00691CC3"/>
    <w:rsid w:val="00692397"/>
    <w:rsid w:val="00692635"/>
    <w:rsid w:val="0069306F"/>
    <w:rsid w:val="00693E7E"/>
    <w:rsid w:val="00693F26"/>
    <w:rsid w:val="0069553E"/>
    <w:rsid w:val="00695A34"/>
    <w:rsid w:val="00696288"/>
    <w:rsid w:val="00696B65"/>
    <w:rsid w:val="00696D9D"/>
    <w:rsid w:val="006970EC"/>
    <w:rsid w:val="00697163"/>
    <w:rsid w:val="00697332"/>
    <w:rsid w:val="00697C29"/>
    <w:rsid w:val="006A0402"/>
    <w:rsid w:val="006A096D"/>
    <w:rsid w:val="006A1069"/>
    <w:rsid w:val="006A10E1"/>
    <w:rsid w:val="006A247F"/>
    <w:rsid w:val="006A24E1"/>
    <w:rsid w:val="006A28B5"/>
    <w:rsid w:val="006A462E"/>
    <w:rsid w:val="006A60D5"/>
    <w:rsid w:val="006A7072"/>
    <w:rsid w:val="006A7356"/>
    <w:rsid w:val="006A73B0"/>
    <w:rsid w:val="006A772E"/>
    <w:rsid w:val="006A7BBD"/>
    <w:rsid w:val="006B0025"/>
    <w:rsid w:val="006B0465"/>
    <w:rsid w:val="006B05B5"/>
    <w:rsid w:val="006B0D13"/>
    <w:rsid w:val="006B12C7"/>
    <w:rsid w:val="006B1329"/>
    <w:rsid w:val="006B1FB2"/>
    <w:rsid w:val="006B354D"/>
    <w:rsid w:val="006B3859"/>
    <w:rsid w:val="006B468A"/>
    <w:rsid w:val="006B5373"/>
    <w:rsid w:val="006B54A2"/>
    <w:rsid w:val="006B55B7"/>
    <w:rsid w:val="006B566F"/>
    <w:rsid w:val="006B5813"/>
    <w:rsid w:val="006B590D"/>
    <w:rsid w:val="006B5D52"/>
    <w:rsid w:val="006B604B"/>
    <w:rsid w:val="006B6456"/>
    <w:rsid w:val="006B7BAA"/>
    <w:rsid w:val="006B7E7B"/>
    <w:rsid w:val="006C10FC"/>
    <w:rsid w:val="006C1343"/>
    <w:rsid w:val="006C145B"/>
    <w:rsid w:val="006C19C5"/>
    <w:rsid w:val="006C2B22"/>
    <w:rsid w:val="006C3030"/>
    <w:rsid w:val="006C32A9"/>
    <w:rsid w:val="006C367A"/>
    <w:rsid w:val="006C375D"/>
    <w:rsid w:val="006C3980"/>
    <w:rsid w:val="006C45ED"/>
    <w:rsid w:val="006C4BFB"/>
    <w:rsid w:val="006C4C03"/>
    <w:rsid w:val="006C573A"/>
    <w:rsid w:val="006C6541"/>
    <w:rsid w:val="006C77F9"/>
    <w:rsid w:val="006D0C4C"/>
    <w:rsid w:val="006D0E89"/>
    <w:rsid w:val="006D0F69"/>
    <w:rsid w:val="006D1CAA"/>
    <w:rsid w:val="006D1F3B"/>
    <w:rsid w:val="006D2039"/>
    <w:rsid w:val="006D244D"/>
    <w:rsid w:val="006D2613"/>
    <w:rsid w:val="006D2E2D"/>
    <w:rsid w:val="006D58A2"/>
    <w:rsid w:val="006D5C45"/>
    <w:rsid w:val="006D5E20"/>
    <w:rsid w:val="006D65A0"/>
    <w:rsid w:val="006D6621"/>
    <w:rsid w:val="006D6CC0"/>
    <w:rsid w:val="006D712A"/>
    <w:rsid w:val="006E005F"/>
    <w:rsid w:val="006E02A8"/>
    <w:rsid w:val="006E02AB"/>
    <w:rsid w:val="006E07F9"/>
    <w:rsid w:val="006E0DC9"/>
    <w:rsid w:val="006E0EC1"/>
    <w:rsid w:val="006E15A2"/>
    <w:rsid w:val="006E181B"/>
    <w:rsid w:val="006E261A"/>
    <w:rsid w:val="006E2765"/>
    <w:rsid w:val="006E287E"/>
    <w:rsid w:val="006E47A0"/>
    <w:rsid w:val="006E5238"/>
    <w:rsid w:val="006E5D41"/>
    <w:rsid w:val="006E5D5C"/>
    <w:rsid w:val="006E5F74"/>
    <w:rsid w:val="006E6AB9"/>
    <w:rsid w:val="006E6C67"/>
    <w:rsid w:val="006E6E14"/>
    <w:rsid w:val="006E73B9"/>
    <w:rsid w:val="006E7D0E"/>
    <w:rsid w:val="006E7EA9"/>
    <w:rsid w:val="006F02AD"/>
    <w:rsid w:val="006F0BA5"/>
    <w:rsid w:val="006F1132"/>
    <w:rsid w:val="006F1245"/>
    <w:rsid w:val="006F138A"/>
    <w:rsid w:val="006F16AA"/>
    <w:rsid w:val="006F1918"/>
    <w:rsid w:val="006F245E"/>
    <w:rsid w:val="006F3212"/>
    <w:rsid w:val="006F349D"/>
    <w:rsid w:val="006F37DF"/>
    <w:rsid w:val="006F40CC"/>
    <w:rsid w:val="006F4A1E"/>
    <w:rsid w:val="006F63CD"/>
    <w:rsid w:val="006F670A"/>
    <w:rsid w:val="006F6A92"/>
    <w:rsid w:val="006F6C80"/>
    <w:rsid w:val="00700A1C"/>
    <w:rsid w:val="00700E96"/>
    <w:rsid w:val="0070171D"/>
    <w:rsid w:val="007018FF"/>
    <w:rsid w:val="00701B4F"/>
    <w:rsid w:val="00701C67"/>
    <w:rsid w:val="00702027"/>
    <w:rsid w:val="00702298"/>
    <w:rsid w:val="007022BE"/>
    <w:rsid w:val="00702490"/>
    <w:rsid w:val="007025BC"/>
    <w:rsid w:val="00702D16"/>
    <w:rsid w:val="00702DC4"/>
    <w:rsid w:val="00702E10"/>
    <w:rsid w:val="00703173"/>
    <w:rsid w:val="00703E4E"/>
    <w:rsid w:val="0070450A"/>
    <w:rsid w:val="0070483D"/>
    <w:rsid w:val="00705CF0"/>
    <w:rsid w:val="00705D24"/>
    <w:rsid w:val="007064D3"/>
    <w:rsid w:val="007067F3"/>
    <w:rsid w:val="00707453"/>
    <w:rsid w:val="00707F7A"/>
    <w:rsid w:val="00710AB2"/>
    <w:rsid w:val="00710FA4"/>
    <w:rsid w:val="007117AC"/>
    <w:rsid w:val="00711B02"/>
    <w:rsid w:val="00711CAE"/>
    <w:rsid w:val="007120D1"/>
    <w:rsid w:val="00712385"/>
    <w:rsid w:val="0071308F"/>
    <w:rsid w:val="00713E64"/>
    <w:rsid w:val="007140E2"/>
    <w:rsid w:val="007142DF"/>
    <w:rsid w:val="00714603"/>
    <w:rsid w:val="00714867"/>
    <w:rsid w:val="007203ED"/>
    <w:rsid w:val="007205D7"/>
    <w:rsid w:val="00720C24"/>
    <w:rsid w:val="00720E00"/>
    <w:rsid w:val="0072172C"/>
    <w:rsid w:val="007222C3"/>
    <w:rsid w:val="00722950"/>
    <w:rsid w:val="00722E0B"/>
    <w:rsid w:val="00723001"/>
    <w:rsid w:val="0072311E"/>
    <w:rsid w:val="00723631"/>
    <w:rsid w:val="00723E38"/>
    <w:rsid w:val="00724144"/>
    <w:rsid w:val="007241FB"/>
    <w:rsid w:val="00725EF1"/>
    <w:rsid w:val="00727317"/>
    <w:rsid w:val="007279BD"/>
    <w:rsid w:val="00727AB9"/>
    <w:rsid w:val="00727AEA"/>
    <w:rsid w:val="00727D30"/>
    <w:rsid w:val="0073017F"/>
    <w:rsid w:val="00731674"/>
    <w:rsid w:val="00731849"/>
    <w:rsid w:val="007319F9"/>
    <w:rsid w:val="00731A10"/>
    <w:rsid w:val="00731CB9"/>
    <w:rsid w:val="00732B1B"/>
    <w:rsid w:val="00733B7A"/>
    <w:rsid w:val="00733BD6"/>
    <w:rsid w:val="0073499C"/>
    <w:rsid w:val="00734E4B"/>
    <w:rsid w:val="00734EAB"/>
    <w:rsid w:val="00734EB3"/>
    <w:rsid w:val="00735162"/>
    <w:rsid w:val="007357B8"/>
    <w:rsid w:val="00736012"/>
    <w:rsid w:val="0073665A"/>
    <w:rsid w:val="0073779D"/>
    <w:rsid w:val="00737E0C"/>
    <w:rsid w:val="00737F23"/>
    <w:rsid w:val="0074084F"/>
    <w:rsid w:val="00740C17"/>
    <w:rsid w:val="00741081"/>
    <w:rsid w:val="00741F72"/>
    <w:rsid w:val="0074318A"/>
    <w:rsid w:val="00743270"/>
    <w:rsid w:val="00743414"/>
    <w:rsid w:val="007440D1"/>
    <w:rsid w:val="00744745"/>
    <w:rsid w:val="00744D45"/>
    <w:rsid w:val="00744E1B"/>
    <w:rsid w:val="007451DC"/>
    <w:rsid w:val="00745790"/>
    <w:rsid w:val="007459CA"/>
    <w:rsid w:val="00745D29"/>
    <w:rsid w:val="007463B2"/>
    <w:rsid w:val="00746A40"/>
    <w:rsid w:val="00747EC2"/>
    <w:rsid w:val="0075019E"/>
    <w:rsid w:val="00750D23"/>
    <w:rsid w:val="007514ED"/>
    <w:rsid w:val="00751A69"/>
    <w:rsid w:val="0075287B"/>
    <w:rsid w:val="0075327C"/>
    <w:rsid w:val="0075376C"/>
    <w:rsid w:val="00753D61"/>
    <w:rsid w:val="00753DF0"/>
    <w:rsid w:val="00753E5C"/>
    <w:rsid w:val="00754230"/>
    <w:rsid w:val="00754737"/>
    <w:rsid w:val="0075569B"/>
    <w:rsid w:val="007559BC"/>
    <w:rsid w:val="007559F0"/>
    <w:rsid w:val="00755FF0"/>
    <w:rsid w:val="0075610B"/>
    <w:rsid w:val="00756178"/>
    <w:rsid w:val="007568E8"/>
    <w:rsid w:val="00756CC7"/>
    <w:rsid w:val="0076072E"/>
    <w:rsid w:val="0076146E"/>
    <w:rsid w:val="00761A14"/>
    <w:rsid w:val="007626F7"/>
    <w:rsid w:val="00763FB1"/>
    <w:rsid w:val="00764520"/>
    <w:rsid w:val="0076476F"/>
    <w:rsid w:val="00765115"/>
    <w:rsid w:val="00765E85"/>
    <w:rsid w:val="00765F31"/>
    <w:rsid w:val="007663C3"/>
    <w:rsid w:val="00766940"/>
    <w:rsid w:val="00767837"/>
    <w:rsid w:val="0076793E"/>
    <w:rsid w:val="00767E98"/>
    <w:rsid w:val="0077003E"/>
    <w:rsid w:val="007702F3"/>
    <w:rsid w:val="00770ACF"/>
    <w:rsid w:val="00771367"/>
    <w:rsid w:val="007714AD"/>
    <w:rsid w:val="00771D83"/>
    <w:rsid w:val="00772881"/>
    <w:rsid w:val="00773AB9"/>
    <w:rsid w:val="007754A7"/>
    <w:rsid w:val="00776BB7"/>
    <w:rsid w:val="00776E1C"/>
    <w:rsid w:val="007770FE"/>
    <w:rsid w:val="00777F98"/>
    <w:rsid w:val="00780069"/>
    <w:rsid w:val="00780418"/>
    <w:rsid w:val="0078127F"/>
    <w:rsid w:val="0078155F"/>
    <w:rsid w:val="007825DE"/>
    <w:rsid w:val="007828D8"/>
    <w:rsid w:val="00783643"/>
    <w:rsid w:val="0078391A"/>
    <w:rsid w:val="00783CF1"/>
    <w:rsid w:val="00784FFC"/>
    <w:rsid w:val="00785492"/>
    <w:rsid w:val="00785C46"/>
    <w:rsid w:val="00786741"/>
    <w:rsid w:val="00787E6A"/>
    <w:rsid w:val="00790322"/>
    <w:rsid w:val="0079045A"/>
    <w:rsid w:val="00790E66"/>
    <w:rsid w:val="00791B5A"/>
    <w:rsid w:val="00792338"/>
    <w:rsid w:val="007925F1"/>
    <w:rsid w:val="00792BDC"/>
    <w:rsid w:val="007942C1"/>
    <w:rsid w:val="00794D49"/>
    <w:rsid w:val="007951CF"/>
    <w:rsid w:val="00795920"/>
    <w:rsid w:val="00795E18"/>
    <w:rsid w:val="0079612C"/>
    <w:rsid w:val="00796218"/>
    <w:rsid w:val="007962B9"/>
    <w:rsid w:val="00796382"/>
    <w:rsid w:val="00797E06"/>
    <w:rsid w:val="007A0310"/>
    <w:rsid w:val="007A0CBD"/>
    <w:rsid w:val="007A1455"/>
    <w:rsid w:val="007A1632"/>
    <w:rsid w:val="007A16A9"/>
    <w:rsid w:val="007A2165"/>
    <w:rsid w:val="007A2864"/>
    <w:rsid w:val="007A2CB9"/>
    <w:rsid w:val="007A4269"/>
    <w:rsid w:val="007A4566"/>
    <w:rsid w:val="007A473D"/>
    <w:rsid w:val="007A4FE8"/>
    <w:rsid w:val="007A525C"/>
    <w:rsid w:val="007A54FD"/>
    <w:rsid w:val="007A583C"/>
    <w:rsid w:val="007A59BC"/>
    <w:rsid w:val="007A5C56"/>
    <w:rsid w:val="007A5E1E"/>
    <w:rsid w:val="007A5E9B"/>
    <w:rsid w:val="007A6551"/>
    <w:rsid w:val="007A6650"/>
    <w:rsid w:val="007A6813"/>
    <w:rsid w:val="007A6936"/>
    <w:rsid w:val="007A7C1A"/>
    <w:rsid w:val="007A7DC6"/>
    <w:rsid w:val="007B07E5"/>
    <w:rsid w:val="007B0A40"/>
    <w:rsid w:val="007B0C9E"/>
    <w:rsid w:val="007B0F18"/>
    <w:rsid w:val="007B0FBE"/>
    <w:rsid w:val="007B3944"/>
    <w:rsid w:val="007B3A12"/>
    <w:rsid w:val="007B5D98"/>
    <w:rsid w:val="007B5FB7"/>
    <w:rsid w:val="007B64F6"/>
    <w:rsid w:val="007B65CF"/>
    <w:rsid w:val="007B6D48"/>
    <w:rsid w:val="007B6D55"/>
    <w:rsid w:val="007B7143"/>
    <w:rsid w:val="007B7792"/>
    <w:rsid w:val="007C0EC3"/>
    <w:rsid w:val="007C11FC"/>
    <w:rsid w:val="007C12E4"/>
    <w:rsid w:val="007C14C4"/>
    <w:rsid w:val="007C177A"/>
    <w:rsid w:val="007C222D"/>
    <w:rsid w:val="007C2257"/>
    <w:rsid w:val="007C2B97"/>
    <w:rsid w:val="007C3530"/>
    <w:rsid w:val="007C3881"/>
    <w:rsid w:val="007C3E23"/>
    <w:rsid w:val="007C4051"/>
    <w:rsid w:val="007C5035"/>
    <w:rsid w:val="007C57B9"/>
    <w:rsid w:val="007C58E4"/>
    <w:rsid w:val="007C617F"/>
    <w:rsid w:val="007C63F0"/>
    <w:rsid w:val="007C690F"/>
    <w:rsid w:val="007D1DE8"/>
    <w:rsid w:val="007D2925"/>
    <w:rsid w:val="007D2D12"/>
    <w:rsid w:val="007D2D2F"/>
    <w:rsid w:val="007D2F74"/>
    <w:rsid w:val="007D2F93"/>
    <w:rsid w:val="007D3284"/>
    <w:rsid w:val="007D368D"/>
    <w:rsid w:val="007D36A0"/>
    <w:rsid w:val="007D4020"/>
    <w:rsid w:val="007D4184"/>
    <w:rsid w:val="007D4410"/>
    <w:rsid w:val="007D4AD5"/>
    <w:rsid w:val="007D4C2F"/>
    <w:rsid w:val="007D4DF6"/>
    <w:rsid w:val="007D55DF"/>
    <w:rsid w:val="007D7800"/>
    <w:rsid w:val="007E036B"/>
    <w:rsid w:val="007E0426"/>
    <w:rsid w:val="007E05E1"/>
    <w:rsid w:val="007E1569"/>
    <w:rsid w:val="007E1CEC"/>
    <w:rsid w:val="007E217B"/>
    <w:rsid w:val="007E2682"/>
    <w:rsid w:val="007E34C1"/>
    <w:rsid w:val="007E375B"/>
    <w:rsid w:val="007E3895"/>
    <w:rsid w:val="007E396E"/>
    <w:rsid w:val="007E3A20"/>
    <w:rsid w:val="007E3ECF"/>
    <w:rsid w:val="007E44EC"/>
    <w:rsid w:val="007E451E"/>
    <w:rsid w:val="007E45C3"/>
    <w:rsid w:val="007E4BFA"/>
    <w:rsid w:val="007E4FE7"/>
    <w:rsid w:val="007E54F4"/>
    <w:rsid w:val="007E5AEC"/>
    <w:rsid w:val="007E5E93"/>
    <w:rsid w:val="007E62AD"/>
    <w:rsid w:val="007E7284"/>
    <w:rsid w:val="007E74AC"/>
    <w:rsid w:val="007E7733"/>
    <w:rsid w:val="007E7BA6"/>
    <w:rsid w:val="007F02B8"/>
    <w:rsid w:val="007F08F4"/>
    <w:rsid w:val="007F1491"/>
    <w:rsid w:val="007F1508"/>
    <w:rsid w:val="007F17CE"/>
    <w:rsid w:val="007F1949"/>
    <w:rsid w:val="007F19E1"/>
    <w:rsid w:val="007F2485"/>
    <w:rsid w:val="007F2762"/>
    <w:rsid w:val="007F27A7"/>
    <w:rsid w:val="007F2833"/>
    <w:rsid w:val="007F28B6"/>
    <w:rsid w:val="007F2C2F"/>
    <w:rsid w:val="007F310C"/>
    <w:rsid w:val="007F3748"/>
    <w:rsid w:val="007F37A2"/>
    <w:rsid w:val="007F3A58"/>
    <w:rsid w:val="007F3C06"/>
    <w:rsid w:val="007F4235"/>
    <w:rsid w:val="007F4263"/>
    <w:rsid w:val="007F458F"/>
    <w:rsid w:val="007F51E0"/>
    <w:rsid w:val="007F55B6"/>
    <w:rsid w:val="007F6006"/>
    <w:rsid w:val="007F6279"/>
    <w:rsid w:val="007F64FE"/>
    <w:rsid w:val="007F6DE5"/>
    <w:rsid w:val="007F74AF"/>
    <w:rsid w:val="007F761A"/>
    <w:rsid w:val="007F7C40"/>
    <w:rsid w:val="008009C5"/>
    <w:rsid w:val="00800D68"/>
    <w:rsid w:val="008011E0"/>
    <w:rsid w:val="00801839"/>
    <w:rsid w:val="0080191F"/>
    <w:rsid w:val="00802E11"/>
    <w:rsid w:val="008030B2"/>
    <w:rsid w:val="00803FBC"/>
    <w:rsid w:val="008042B7"/>
    <w:rsid w:val="008044FD"/>
    <w:rsid w:val="00804D3A"/>
    <w:rsid w:val="008050F5"/>
    <w:rsid w:val="00805120"/>
    <w:rsid w:val="00805464"/>
    <w:rsid w:val="00805929"/>
    <w:rsid w:val="00805AB7"/>
    <w:rsid w:val="00805F13"/>
    <w:rsid w:val="0080715E"/>
    <w:rsid w:val="00810018"/>
    <w:rsid w:val="00810AE9"/>
    <w:rsid w:val="00810B03"/>
    <w:rsid w:val="0081143C"/>
    <w:rsid w:val="008116EF"/>
    <w:rsid w:val="008122AD"/>
    <w:rsid w:val="0081268E"/>
    <w:rsid w:val="008126B1"/>
    <w:rsid w:val="008129E9"/>
    <w:rsid w:val="00812FBC"/>
    <w:rsid w:val="00813358"/>
    <w:rsid w:val="00813654"/>
    <w:rsid w:val="00813AFF"/>
    <w:rsid w:val="00813C5C"/>
    <w:rsid w:val="00813E88"/>
    <w:rsid w:val="00814638"/>
    <w:rsid w:val="00814BF6"/>
    <w:rsid w:val="0081683C"/>
    <w:rsid w:val="00816944"/>
    <w:rsid w:val="00817388"/>
    <w:rsid w:val="0081740E"/>
    <w:rsid w:val="008174E1"/>
    <w:rsid w:val="008175B6"/>
    <w:rsid w:val="00817894"/>
    <w:rsid w:val="00817ABD"/>
    <w:rsid w:val="00817E8F"/>
    <w:rsid w:val="00817FA1"/>
    <w:rsid w:val="008209EF"/>
    <w:rsid w:val="00820DBF"/>
    <w:rsid w:val="00820FD8"/>
    <w:rsid w:val="008222F0"/>
    <w:rsid w:val="00823BE6"/>
    <w:rsid w:val="00824B8F"/>
    <w:rsid w:val="00824EB6"/>
    <w:rsid w:val="00824F23"/>
    <w:rsid w:val="00825B0D"/>
    <w:rsid w:val="00825B92"/>
    <w:rsid w:val="00825FCE"/>
    <w:rsid w:val="008264D2"/>
    <w:rsid w:val="0082671A"/>
    <w:rsid w:val="00827936"/>
    <w:rsid w:val="00827B51"/>
    <w:rsid w:val="00827E6E"/>
    <w:rsid w:val="00830680"/>
    <w:rsid w:val="008306AC"/>
    <w:rsid w:val="0083146D"/>
    <w:rsid w:val="00831BD6"/>
    <w:rsid w:val="00832B18"/>
    <w:rsid w:val="00833CB2"/>
    <w:rsid w:val="00834B59"/>
    <w:rsid w:val="00834C4C"/>
    <w:rsid w:val="00836467"/>
    <w:rsid w:val="008366F1"/>
    <w:rsid w:val="00837FCF"/>
    <w:rsid w:val="008401E8"/>
    <w:rsid w:val="00841297"/>
    <w:rsid w:val="00841D28"/>
    <w:rsid w:val="008421BA"/>
    <w:rsid w:val="008433C4"/>
    <w:rsid w:val="00843B53"/>
    <w:rsid w:val="00844159"/>
    <w:rsid w:val="008442F4"/>
    <w:rsid w:val="008464B8"/>
    <w:rsid w:val="00847C2F"/>
    <w:rsid w:val="00847CD2"/>
    <w:rsid w:val="008514C9"/>
    <w:rsid w:val="00851A08"/>
    <w:rsid w:val="0085229D"/>
    <w:rsid w:val="008524EA"/>
    <w:rsid w:val="008527C2"/>
    <w:rsid w:val="008527DA"/>
    <w:rsid w:val="008535B8"/>
    <w:rsid w:val="00853DCF"/>
    <w:rsid w:val="00855964"/>
    <w:rsid w:val="00855A8A"/>
    <w:rsid w:val="00856041"/>
    <w:rsid w:val="00857163"/>
    <w:rsid w:val="008573DF"/>
    <w:rsid w:val="00857712"/>
    <w:rsid w:val="00857716"/>
    <w:rsid w:val="00860180"/>
    <w:rsid w:val="008601B7"/>
    <w:rsid w:val="0086159D"/>
    <w:rsid w:val="00861CA6"/>
    <w:rsid w:val="008624B4"/>
    <w:rsid w:val="0086262A"/>
    <w:rsid w:val="00862AED"/>
    <w:rsid w:val="00862BD4"/>
    <w:rsid w:val="00863187"/>
    <w:rsid w:val="00863647"/>
    <w:rsid w:val="00863E57"/>
    <w:rsid w:val="00864361"/>
    <w:rsid w:val="008644E4"/>
    <w:rsid w:val="00864E82"/>
    <w:rsid w:val="008665BE"/>
    <w:rsid w:val="00870327"/>
    <w:rsid w:val="00870FA6"/>
    <w:rsid w:val="008713A8"/>
    <w:rsid w:val="008728A1"/>
    <w:rsid w:val="008729D4"/>
    <w:rsid w:val="00872D4D"/>
    <w:rsid w:val="00872D65"/>
    <w:rsid w:val="0087311B"/>
    <w:rsid w:val="008733F4"/>
    <w:rsid w:val="0087392B"/>
    <w:rsid w:val="00874205"/>
    <w:rsid w:val="00874284"/>
    <w:rsid w:val="00874477"/>
    <w:rsid w:val="00874C5C"/>
    <w:rsid w:val="008758C5"/>
    <w:rsid w:val="00875A1C"/>
    <w:rsid w:val="00875DF8"/>
    <w:rsid w:val="00877061"/>
    <w:rsid w:val="008805D8"/>
    <w:rsid w:val="008807C9"/>
    <w:rsid w:val="0088094D"/>
    <w:rsid w:val="00881C74"/>
    <w:rsid w:val="00882714"/>
    <w:rsid w:val="008840C0"/>
    <w:rsid w:val="00884FEC"/>
    <w:rsid w:val="00885418"/>
    <w:rsid w:val="00885B25"/>
    <w:rsid w:val="00885DEE"/>
    <w:rsid w:val="00885F72"/>
    <w:rsid w:val="0088625D"/>
    <w:rsid w:val="00886573"/>
    <w:rsid w:val="00886687"/>
    <w:rsid w:val="00886FFC"/>
    <w:rsid w:val="00890363"/>
    <w:rsid w:val="00890D49"/>
    <w:rsid w:val="008911E9"/>
    <w:rsid w:val="008912A6"/>
    <w:rsid w:val="008912F3"/>
    <w:rsid w:val="00891739"/>
    <w:rsid w:val="0089191D"/>
    <w:rsid w:val="00891C1C"/>
    <w:rsid w:val="00891EDC"/>
    <w:rsid w:val="0089282B"/>
    <w:rsid w:val="00892A05"/>
    <w:rsid w:val="00892EEF"/>
    <w:rsid w:val="008931D3"/>
    <w:rsid w:val="00893248"/>
    <w:rsid w:val="0089355B"/>
    <w:rsid w:val="00893A0F"/>
    <w:rsid w:val="00893A3D"/>
    <w:rsid w:val="00893F71"/>
    <w:rsid w:val="0089422B"/>
    <w:rsid w:val="008942D2"/>
    <w:rsid w:val="00894DB6"/>
    <w:rsid w:val="00895318"/>
    <w:rsid w:val="0089567F"/>
    <w:rsid w:val="008965B8"/>
    <w:rsid w:val="00896C43"/>
    <w:rsid w:val="00896FA0"/>
    <w:rsid w:val="008A04D6"/>
    <w:rsid w:val="008A0D94"/>
    <w:rsid w:val="008A2292"/>
    <w:rsid w:val="008A24A0"/>
    <w:rsid w:val="008A25A6"/>
    <w:rsid w:val="008A2AF1"/>
    <w:rsid w:val="008A32CB"/>
    <w:rsid w:val="008A3829"/>
    <w:rsid w:val="008A3C17"/>
    <w:rsid w:val="008A42B8"/>
    <w:rsid w:val="008A4E54"/>
    <w:rsid w:val="008A5E6B"/>
    <w:rsid w:val="008A5F70"/>
    <w:rsid w:val="008A64B4"/>
    <w:rsid w:val="008A6956"/>
    <w:rsid w:val="008A6A70"/>
    <w:rsid w:val="008A6C38"/>
    <w:rsid w:val="008A7156"/>
    <w:rsid w:val="008A791E"/>
    <w:rsid w:val="008A79DF"/>
    <w:rsid w:val="008A79F8"/>
    <w:rsid w:val="008A7FFD"/>
    <w:rsid w:val="008B019A"/>
    <w:rsid w:val="008B0C08"/>
    <w:rsid w:val="008B0CFB"/>
    <w:rsid w:val="008B0EFD"/>
    <w:rsid w:val="008B1620"/>
    <w:rsid w:val="008B199F"/>
    <w:rsid w:val="008B1A1C"/>
    <w:rsid w:val="008B217B"/>
    <w:rsid w:val="008B28B3"/>
    <w:rsid w:val="008B367F"/>
    <w:rsid w:val="008B38DD"/>
    <w:rsid w:val="008B4205"/>
    <w:rsid w:val="008B44AB"/>
    <w:rsid w:val="008B498E"/>
    <w:rsid w:val="008B54E7"/>
    <w:rsid w:val="008B54EC"/>
    <w:rsid w:val="008B5C34"/>
    <w:rsid w:val="008B614A"/>
    <w:rsid w:val="008B699D"/>
    <w:rsid w:val="008B6D84"/>
    <w:rsid w:val="008B7011"/>
    <w:rsid w:val="008B7146"/>
    <w:rsid w:val="008B74CD"/>
    <w:rsid w:val="008C0749"/>
    <w:rsid w:val="008C15A3"/>
    <w:rsid w:val="008C170F"/>
    <w:rsid w:val="008C1D04"/>
    <w:rsid w:val="008C20DD"/>
    <w:rsid w:val="008C22F4"/>
    <w:rsid w:val="008C2A6D"/>
    <w:rsid w:val="008C30CA"/>
    <w:rsid w:val="008C3437"/>
    <w:rsid w:val="008C40EF"/>
    <w:rsid w:val="008C4135"/>
    <w:rsid w:val="008C4B45"/>
    <w:rsid w:val="008C5061"/>
    <w:rsid w:val="008C51A5"/>
    <w:rsid w:val="008C53CF"/>
    <w:rsid w:val="008C57F4"/>
    <w:rsid w:val="008C5E42"/>
    <w:rsid w:val="008C675D"/>
    <w:rsid w:val="008C67F4"/>
    <w:rsid w:val="008C6B42"/>
    <w:rsid w:val="008C6BBC"/>
    <w:rsid w:val="008C723F"/>
    <w:rsid w:val="008C735E"/>
    <w:rsid w:val="008C773C"/>
    <w:rsid w:val="008C78F3"/>
    <w:rsid w:val="008C7D1C"/>
    <w:rsid w:val="008D0AAA"/>
    <w:rsid w:val="008D0E0F"/>
    <w:rsid w:val="008D160C"/>
    <w:rsid w:val="008D16DA"/>
    <w:rsid w:val="008D2102"/>
    <w:rsid w:val="008D2175"/>
    <w:rsid w:val="008D2407"/>
    <w:rsid w:val="008D3918"/>
    <w:rsid w:val="008D3ADB"/>
    <w:rsid w:val="008D41A2"/>
    <w:rsid w:val="008D43C8"/>
    <w:rsid w:val="008D534F"/>
    <w:rsid w:val="008D5577"/>
    <w:rsid w:val="008D6043"/>
    <w:rsid w:val="008D690F"/>
    <w:rsid w:val="008D69E6"/>
    <w:rsid w:val="008D76F5"/>
    <w:rsid w:val="008D7CC8"/>
    <w:rsid w:val="008E056D"/>
    <w:rsid w:val="008E12F2"/>
    <w:rsid w:val="008E145E"/>
    <w:rsid w:val="008E1983"/>
    <w:rsid w:val="008E1FE9"/>
    <w:rsid w:val="008E20A5"/>
    <w:rsid w:val="008E243A"/>
    <w:rsid w:val="008E2635"/>
    <w:rsid w:val="008E26D3"/>
    <w:rsid w:val="008E322A"/>
    <w:rsid w:val="008E3248"/>
    <w:rsid w:val="008E3552"/>
    <w:rsid w:val="008E38CE"/>
    <w:rsid w:val="008E38DE"/>
    <w:rsid w:val="008E3D47"/>
    <w:rsid w:val="008E3FBE"/>
    <w:rsid w:val="008E40CB"/>
    <w:rsid w:val="008E4C43"/>
    <w:rsid w:val="008E50E0"/>
    <w:rsid w:val="008E5336"/>
    <w:rsid w:val="008E5E5C"/>
    <w:rsid w:val="008E6352"/>
    <w:rsid w:val="008E686E"/>
    <w:rsid w:val="008E688A"/>
    <w:rsid w:val="008E7136"/>
    <w:rsid w:val="008E7A11"/>
    <w:rsid w:val="008F00D4"/>
    <w:rsid w:val="008F03D9"/>
    <w:rsid w:val="008F0C02"/>
    <w:rsid w:val="008F0D93"/>
    <w:rsid w:val="008F1C09"/>
    <w:rsid w:val="008F29ED"/>
    <w:rsid w:val="008F2B48"/>
    <w:rsid w:val="008F366E"/>
    <w:rsid w:val="008F3E77"/>
    <w:rsid w:val="008F4E27"/>
    <w:rsid w:val="008F5399"/>
    <w:rsid w:val="008F5640"/>
    <w:rsid w:val="008F597C"/>
    <w:rsid w:val="008F607E"/>
    <w:rsid w:val="008F76A6"/>
    <w:rsid w:val="008F76D2"/>
    <w:rsid w:val="008F7F02"/>
    <w:rsid w:val="009009F1"/>
    <w:rsid w:val="00900B47"/>
    <w:rsid w:val="00900E2D"/>
    <w:rsid w:val="00900ED3"/>
    <w:rsid w:val="00901015"/>
    <w:rsid w:val="00901092"/>
    <w:rsid w:val="00901CB7"/>
    <w:rsid w:val="009024A8"/>
    <w:rsid w:val="00902570"/>
    <w:rsid w:val="0090265E"/>
    <w:rsid w:val="00903073"/>
    <w:rsid w:val="009030C1"/>
    <w:rsid w:val="00903204"/>
    <w:rsid w:val="00903E03"/>
    <w:rsid w:val="00904866"/>
    <w:rsid w:val="00905469"/>
    <w:rsid w:val="00905AA6"/>
    <w:rsid w:val="00905ED5"/>
    <w:rsid w:val="00906338"/>
    <w:rsid w:val="00907AE5"/>
    <w:rsid w:val="00910C20"/>
    <w:rsid w:val="00910EA0"/>
    <w:rsid w:val="0091123A"/>
    <w:rsid w:val="0091182C"/>
    <w:rsid w:val="00911BF8"/>
    <w:rsid w:val="00912633"/>
    <w:rsid w:val="0091351C"/>
    <w:rsid w:val="009143E9"/>
    <w:rsid w:val="00914540"/>
    <w:rsid w:val="0091593E"/>
    <w:rsid w:val="00915C32"/>
    <w:rsid w:val="00915E0D"/>
    <w:rsid w:val="00916A3F"/>
    <w:rsid w:val="00917352"/>
    <w:rsid w:val="00917FFB"/>
    <w:rsid w:val="009204C3"/>
    <w:rsid w:val="009206FC"/>
    <w:rsid w:val="0092078F"/>
    <w:rsid w:val="0092089A"/>
    <w:rsid w:val="00920A18"/>
    <w:rsid w:val="00920EBF"/>
    <w:rsid w:val="00920F1A"/>
    <w:rsid w:val="00921415"/>
    <w:rsid w:val="00921A03"/>
    <w:rsid w:val="009220BE"/>
    <w:rsid w:val="00922192"/>
    <w:rsid w:val="00922A4C"/>
    <w:rsid w:val="00922A68"/>
    <w:rsid w:val="00923068"/>
    <w:rsid w:val="009238D4"/>
    <w:rsid w:val="00923A00"/>
    <w:rsid w:val="00924D50"/>
    <w:rsid w:val="00924F43"/>
    <w:rsid w:val="00926020"/>
    <w:rsid w:val="0092628A"/>
    <w:rsid w:val="0092688E"/>
    <w:rsid w:val="00926DE4"/>
    <w:rsid w:val="00927363"/>
    <w:rsid w:val="009274F8"/>
    <w:rsid w:val="00930867"/>
    <w:rsid w:val="009309BD"/>
    <w:rsid w:val="009310C0"/>
    <w:rsid w:val="00932023"/>
    <w:rsid w:val="009322EE"/>
    <w:rsid w:val="00932AE6"/>
    <w:rsid w:val="0093324C"/>
    <w:rsid w:val="00933645"/>
    <w:rsid w:val="009337FE"/>
    <w:rsid w:val="0093421A"/>
    <w:rsid w:val="0093530E"/>
    <w:rsid w:val="00935442"/>
    <w:rsid w:val="00936237"/>
    <w:rsid w:val="009366AA"/>
    <w:rsid w:val="0093670A"/>
    <w:rsid w:val="00936A31"/>
    <w:rsid w:val="00936F7C"/>
    <w:rsid w:val="00937121"/>
    <w:rsid w:val="009372C1"/>
    <w:rsid w:val="00937807"/>
    <w:rsid w:val="00937B86"/>
    <w:rsid w:val="00940289"/>
    <w:rsid w:val="009402EE"/>
    <w:rsid w:val="00941201"/>
    <w:rsid w:val="00941B41"/>
    <w:rsid w:val="00941F01"/>
    <w:rsid w:val="009425F4"/>
    <w:rsid w:val="00942655"/>
    <w:rsid w:val="00942695"/>
    <w:rsid w:val="00942707"/>
    <w:rsid w:val="009430FD"/>
    <w:rsid w:val="00943C71"/>
    <w:rsid w:val="00943E6B"/>
    <w:rsid w:val="009447A2"/>
    <w:rsid w:val="0094508D"/>
    <w:rsid w:val="009454CA"/>
    <w:rsid w:val="00945718"/>
    <w:rsid w:val="009462B5"/>
    <w:rsid w:val="0094686F"/>
    <w:rsid w:val="00946E16"/>
    <w:rsid w:val="00947650"/>
    <w:rsid w:val="00947C3A"/>
    <w:rsid w:val="00950742"/>
    <w:rsid w:val="00951481"/>
    <w:rsid w:val="00951924"/>
    <w:rsid w:val="00951C33"/>
    <w:rsid w:val="00951CAD"/>
    <w:rsid w:val="00952109"/>
    <w:rsid w:val="00952A4B"/>
    <w:rsid w:val="00952D71"/>
    <w:rsid w:val="00953E33"/>
    <w:rsid w:val="00953E50"/>
    <w:rsid w:val="0095442A"/>
    <w:rsid w:val="009546CE"/>
    <w:rsid w:val="0095582F"/>
    <w:rsid w:val="00955D17"/>
    <w:rsid w:val="00956123"/>
    <w:rsid w:val="0095656F"/>
    <w:rsid w:val="00956A88"/>
    <w:rsid w:val="00956CB0"/>
    <w:rsid w:val="0095710F"/>
    <w:rsid w:val="009575DB"/>
    <w:rsid w:val="00960166"/>
    <w:rsid w:val="009604E1"/>
    <w:rsid w:val="00960873"/>
    <w:rsid w:val="00961ADD"/>
    <w:rsid w:val="00961E3E"/>
    <w:rsid w:val="00961FF5"/>
    <w:rsid w:val="00962655"/>
    <w:rsid w:val="00962B12"/>
    <w:rsid w:val="00963A64"/>
    <w:rsid w:val="00963D31"/>
    <w:rsid w:val="00964E30"/>
    <w:rsid w:val="0096547D"/>
    <w:rsid w:val="00965F61"/>
    <w:rsid w:val="009662E5"/>
    <w:rsid w:val="00970513"/>
    <w:rsid w:val="00970D02"/>
    <w:rsid w:val="00970DD5"/>
    <w:rsid w:val="00970E16"/>
    <w:rsid w:val="009710A4"/>
    <w:rsid w:val="00971370"/>
    <w:rsid w:val="00972508"/>
    <w:rsid w:val="00972B12"/>
    <w:rsid w:val="00974AA6"/>
    <w:rsid w:val="00974CC4"/>
    <w:rsid w:val="00974F09"/>
    <w:rsid w:val="00974F80"/>
    <w:rsid w:val="00976782"/>
    <w:rsid w:val="0097717C"/>
    <w:rsid w:val="00981A32"/>
    <w:rsid w:val="009835E2"/>
    <w:rsid w:val="00983C70"/>
    <w:rsid w:val="00983D1A"/>
    <w:rsid w:val="009842E3"/>
    <w:rsid w:val="009846C8"/>
    <w:rsid w:val="00984D0E"/>
    <w:rsid w:val="009850F8"/>
    <w:rsid w:val="00985655"/>
    <w:rsid w:val="00986771"/>
    <w:rsid w:val="00986956"/>
    <w:rsid w:val="00986991"/>
    <w:rsid w:val="009869BA"/>
    <w:rsid w:val="00986EFA"/>
    <w:rsid w:val="009870C5"/>
    <w:rsid w:val="00987107"/>
    <w:rsid w:val="009877D1"/>
    <w:rsid w:val="009907AE"/>
    <w:rsid w:val="00991185"/>
    <w:rsid w:val="00991422"/>
    <w:rsid w:val="009916F7"/>
    <w:rsid w:val="00992476"/>
    <w:rsid w:val="009926E4"/>
    <w:rsid w:val="00992B53"/>
    <w:rsid w:val="00992D96"/>
    <w:rsid w:val="0099301F"/>
    <w:rsid w:val="0099371F"/>
    <w:rsid w:val="00993D81"/>
    <w:rsid w:val="00993FE4"/>
    <w:rsid w:val="00994518"/>
    <w:rsid w:val="009945AA"/>
    <w:rsid w:val="0099468D"/>
    <w:rsid w:val="00994851"/>
    <w:rsid w:val="00994F29"/>
    <w:rsid w:val="009950CD"/>
    <w:rsid w:val="00995DA1"/>
    <w:rsid w:val="00995F7F"/>
    <w:rsid w:val="009961D6"/>
    <w:rsid w:val="00996342"/>
    <w:rsid w:val="0099698C"/>
    <w:rsid w:val="00996AA7"/>
    <w:rsid w:val="0099714D"/>
    <w:rsid w:val="00997218"/>
    <w:rsid w:val="00997A1F"/>
    <w:rsid w:val="00997CC5"/>
    <w:rsid w:val="00997DDC"/>
    <w:rsid w:val="009A073F"/>
    <w:rsid w:val="009A0AAF"/>
    <w:rsid w:val="009A0E76"/>
    <w:rsid w:val="009A126B"/>
    <w:rsid w:val="009A148C"/>
    <w:rsid w:val="009A1707"/>
    <w:rsid w:val="009A1A3C"/>
    <w:rsid w:val="009A1B6F"/>
    <w:rsid w:val="009A2208"/>
    <w:rsid w:val="009A241E"/>
    <w:rsid w:val="009A35DC"/>
    <w:rsid w:val="009A36B4"/>
    <w:rsid w:val="009A3CAE"/>
    <w:rsid w:val="009A3E95"/>
    <w:rsid w:val="009A4C0F"/>
    <w:rsid w:val="009A528E"/>
    <w:rsid w:val="009A5616"/>
    <w:rsid w:val="009A57CB"/>
    <w:rsid w:val="009A5950"/>
    <w:rsid w:val="009A6299"/>
    <w:rsid w:val="009A6DEF"/>
    <w:rsid w:val="009A764E"/>
    <w:rsid w:val="009B07B9"/>
    <w:rsid w:val="009B0A4B"/>
    <w:rsid w:val="009B0FE0"/>
    <w:rsid w:val="009B104F"/>
    <w:rsid w:val="009B1848"/>
    <w:rsid w:val="009B2952"/>
    <w:rsid w:val="009B31C9"/>
    <w:rsid w:val="009B337B"/>
    <w:rsid w:val="009B3B82"/>
    <w:rsid w:val="009B41BE"/>
    <w:rsid w:val="009B4410"/>
    <w:rsid w:val="009B4607"/>
    <w:rsid w:val="009B4A0A"/>
    <w:rsid w:val="009B513F"/>
    <w:rsid w:val="009B55C7"/>
    <w:rsid w:val="009B5646"/>
    <w:rsid w:val="009B582E"/>
    <w:rsid w:val="009B5BFA"/>
    <w:rsid w:val="009B5F75"/>
    <w:rsid w:val="009B602E"/>
    <w:rsid w:val="009B6DC9"/>
    <w:rsid w:val="009B78F2"/>
    <w:rsid w:val="009C0025"/>
    <w:rsid w:val="009C148E"/>
    <w:rsid w:val="009C2603"/>
    <w:rsid w:val="009C3007"/>
    <w:rsid w:val="009C3711"/>
    <w:rsid w:val="009C3942"/>
    <w:rsid w:val="009C4042"/>
    <w:rsid w:val="009C4C14"/>
    <w:rsid w:val="009C59E6"/>
    <w:rsid w:val="009C5B67"/>
    <w:rsid w:val="009C5C89"/>
    <w:rsid w:val="009C60CE"/>
    <w:rsid w:val="009C61F8"/>
    <w:rsid w:val="009C642E"/>
    <w:rsid w:val="009C67EF"/>
    <w:rsid w:val="009C6E74"/>
    <w:rsid w:val="009C7042"/>
    <w:rsid w:val="009C780F"/>
    <w:rsid w:val="009C78A4"/>
    <w:rsid w:val="009C7A14"/>
    <w:rsid w:val="009D00D1"/>
    <w:rsid w:val="009D0B9C"/>
    <w:rsid w:val="009D0CA6"/>
    <w:rsid w:val="009D106F"/>
    <w:rsid w:val="009D1E80"/>
    <w:rsid w:val="009D23E4"/>
    <w:rsid w:val="009D2800"/>
    <w:rsid w:val="009D2C3E"/>
    <w:rsid w:val="009D34D0"/>
    <w:rsid w:val="009D35E3"/>
    <w:rsid w:val="009D361E"/>
    <w:rsid w:val="009D408F"/>
    <w:rsid w:val="009D4337"/>
    <w:rsid w:val="009D450B"/>
    <w:rsid w:val="009D4A8D"/>
    <w:rsid w:val="009D4E19"/>
    <w:rsid w:val="009D5814"/>
    <w:rsid w:val="009D675F"/>
    <w:rsid w:val="009D7560"/>
    <w:rsid w:val="009D7698"/>
    <w:rsid w:val="009D76F9"/>
    <w:rsid w:val="009D774B"/>
    <w:rsid w:val="009D7D4D"/>
    <w:rsid w:val="009E057E"/>
    <w:rsid w:val="009E1101"/>
    <w:rsid w:val="009E1581"/>
    <w:rsid w:val="009E1695"/>
    <w:rsid w:val="009E19CE"/>
    <w:rsid w:val="009E2758"/>
    <w:rsid w:val="009E28B2"/>
    <w:rsid w:val="009E388F"/>
    <w:rsid w:val="009E3D66"/>
    <w:rsid w:val="009E4865"/>
    <w:rsid w:val="009E4E7E"/>
    <w:rsid w:val="009E5042"/>
    <w:rsid w:val="009E5469"/>
    <w:rsid w:val="009E59D5"/>
    <w:rsid w:val="009E6EA8"/>
    <w:rsid w:val="009E7A32"/>
    <w:rsid w:val="009F06C5"/>
    <w:rsid w:val="009F0EAB"/>
    <w:rsid w:val="009F1C7F"/>
    <w:rsid w:val="009F1E26"/>
    <w:rsid w:val="009F1FB1"/>
    <w:rsid w:val="009F2234"/>
    <w:rsid w:val="009F2329"/>
    <w:rsid w:val="009F30CC"/>
    <w:rsid w:val="009F3E6A"/>
    <w:rsid w:val="009F4E97"/>
    <w:rsid w:val="009F5572"/>
    <w:rsid w:val="009F5E37"/>
    <w:rsid w:val="009F5EB9"/>
    <w:rsid w:val="009F692D"/>
    <w:rsid w:val="009F6CCA"/>
    <w:rsid w:val="00A01866"/>
    <w:rsid w:val="00A01A11"/>
    <w:rsid w:val="00A01DFC"/>
    <w:rsid w:val="00A02274"/>
    <w:rsid w:val="00A0293F"/>
    <w:rsid w:val="00A03503"/>
    <w:rsid w:val="00A0362B"/>
    <w:rsid w:val="00A03CBF"/>
    <w:rsid w:val="00A0483D"/>
    <w:rsid w:val="00A05455"/>
    <w:rsid w:val="00A059C5"/>
    <w:rsid w:val="00A05A89"/>
    <w:rsid w:val="00A05BE7"/>
    <w:rsid w:val="00A05FB3"/>
    <w:rsid w:val="00A0735D"/>
    <w:rsid w:val="00A07CD5"/>
    <w:rsid w:val="00A1023B"/>
    <w:rsid w:val="00A11766"/>
    <w:rsid w:val="00A11B08"/>
    <w:rsid w:val="00A12C66"/>
    <w:rsid w:val="00A13EB3"/>
    <w:rsid w:val="00A161C1"/>
    <w:rsid w:val="00A16239"/>
    <w:rsid w:val="00A17156"/>
    <w:rsid w:val="00A17781"/>
    <w:rsid w:val="00A20242"/>
    <w:rsid w:val="00A20310"/>
    <w:rsid w:val="00A20742"/>
    <w:rsid w:val="00A240ED"/>
    <w:rsid w:val="00A2461F"/>
    <w:rsid w:val="00A247BF"/>
    <w:rsid w:val="00A25015"/>
    <w:rsid w:val="00A2531A"/>
    <w:rsid w:val="00A25B68"/>
    <w:rsid w:val="00A2603B"/>
    <w:rsid w:val="00A260E4"/>
    <w:rsid w:val="00A2676D"/>
    <w:rsid w:val="00A267CA"/>
    <w:rsid w:val="00A26A69"/>
    <w:rsid w:val="00A27187"/>
    <w:rsid w:val="00A271B5"/>
    <w:rsid w:val="00A27C3B"/>
    <w:rsid w:val="00A27DE8"/>
    <w:rsid w:val="00A27E16"/>
    <w:rsid w:val="00A303E5"/>
    <w:rsid w:val="00A314CE"/>
    <w:rsid w:val="00A32411"/>
    <w:rsid w:val="00A324E0"/>
    <w:rsid w:val="00A33CE2"/>
    <w:rsid w:val="00A34EC2"/>
    <w:rsid w:val="00A351FE"/>
    <w:rsid w:val="00A358D5"/>
    <w:rsid w:val="00A37A30"/>
    <w:rsid w:val="00A40BD1"/>
    <w:rsid w:val="00A40F1E"/>
    <w:rsid w:val="00A41915"/>
    <w:rsid w:val="00A41B8C"/>
    <w:rsid w:val="00A42731"/>
    <w:rsid w:val="00A42FA2"/>
    <w:rsid w:val="00A4316F"/>
    <w:rsid w:val="00A43D99"/>
    <w:rsid w:val="00A44177"/>
    <w:rsid w:val="00A44F4E"/>
    <w:rsid w:val="00A45A33"/>
    <w:rsid w:val="00A4669F"/>
    <w:rsid w:val="00A466A6"/>
    <w:rsid w:val="00A470E5"/>
    <w:rsid w:val="00A47D47"/>
    <w:rsid w:val="00A50F7B"/>
    <w:rsid w:val="00A51474"/>
    <w:rsid w:val="00A51561"/>
    <w:rsid w:val="00A51DA5"/>
    <w:rsid w:val="00A522B0"/>
    <w:rsid w:val="00A52619"/>
    <w:rsid w:val="00A52BD2"/>
    <w:rsid w:val="00A5472F"/>
    <w:rsid w:val="00A54867"/>
    <w:rsid w:val="00A54C0E"/>
    <w:rsid w:val="00A54DF5"/>
    <w:rsid w:val="00A55B58"/>
    <w:rsid w:val="00A56DF1"/>
    <w:rsid w:val="00A56E3C"/>
    <w:rsid w:val="00A579AB"/>
    <w:rsid w:val="00A57ED4"/>
    <w:rsid w:val="00A603E3"/>
    <w:rsid w:val="00A607C1"/>
    <w:rsid w:val="00A60BB1"/>
    <w:rsid w:val="00A6173E"/>
    <w:rsid w:val="00A62032"/>
    <w:rsid w:val="00A62081"/>
    <w:rsid w:val="00A6256F"/>
    <w:rsid w:val="00A62948"/>
    <w:rsid w:val="00A63678"/>
    <w:rsid w:val="00A6372B"/>
    <w:rsid w:val="00A64758"/>
    <w:rsid w:val="00A648A0"/>
    <w:rsid w:val="00A64A87"/>
    <w:rsid w:val="00A65604"/>
    <w:rsid w:val="00A6591F"/>
    <w:rsid w:val="00A65995"/>
    <w:rsid w:val="00A65CCA"/>
    <w:rsid w:val="00A65E35"/>
    <w:rsid w:val="00A65F31"/>
    <w:rsid w:val="00A66189"/>
    <w:rsid w:val="00A66405"/>
    <w:rsid w:val="00A665E5"/>
    <w:rsid w:val="00A666FC"/>
    <w:rsid w:val="00A6789F"/>
    <w:rsid w:val="00A7056E"/>
    <w:rsid w:val="00A70EF8"/>
    <w:rsid w:val="00A711FE"/>
    <w:rsid w:val="00A712FC"/>
    <w:rsid w:val="00A71CF1"/>
    <w:rsid w:val="00A7276B"/>
    <w:rsid w:val="00A728F4"/>
    <w:rsid w:val="00A729CC"/>
    <w:rsid w:val="00A72E3F"/>
    <w:rsid w:val="00A736B4"/>
    <w:rsid w:val="00A73758"/>
    <w:rsid w:val="00A73ED1"/>
    <w:rsid w:val="00A743F5"/>
    <w:rsid w:val="00A745A8"/>
    <w:rsid w:val="00A7494C"/>
    <w:rsid w:val="00A750F6"/>
    <w:rsid w:val="00A75573"/>
    <w:rsid w:val="00A77907"/>
    <w:rsid w:val="00A77CFA"/>
    <w:rsid w:val="00A77EA1"/>
    <w:rsid w:val="00A8090F"/>
    <w:rsid w:val="00A8173D"/>
    <w:rsid w:val="00A81FBF"/>
    <w:rsid w:val="00A82BE3"/>
    <w:rsid w:val="00A82DE4"/>
    <w:rsid w:val="00A83A06"/>
    <w:rsid w:val="00A83AD1"/>
    <w:rsid w:val="00A840D5"/>
    <w:rsid w:val="00A86862"/>
    <w:rsid w:val="00A8784D"/>
    <w:rsid w:val="00A91339"/>
    <w:rsid w:val="00A9198E"/>
    <w:rsid w:val="00A9208D"/>
    <w:rsid w:val="00A922C9"/>
    <w:rsid w:val="00A92A6C"/>
    <w:rsid w:val="00A9343B"/>
    <w:rsid w:val="00A946CE"/>
    <w:rsid w:val="00A947A3"/>
    <w:rsid w:val="00A94D00"/>
    <w:rsid w:val="00A94E71"/>
    <w:rsid w:val="00A95045"/>
    <w:rsid w:val="00A950D7"/>
    <w:rsid w:val="00A95111"/>
    <w:rsid w:val="00A95224"/>
    <w:rsid w:val="00A95793"/>
    <w:rsid w:val="00A958B7"/>
    <w:rsid w:val="00A95FA1"/>
    <w:rsid w:val="00A963BA"/>
    <w:rsid w:val="00A965BD"/>
    <w:rsid w:val="00A96A72"/>
    <w:rsid w:val="00A97183"/>
    <w:rsid w:val="00A972EB"/>
    <w:rsid w:val="00A97D07"/>
    <w:rsid w:val="00AA0994"/>
    <w:rsid w:val="00AA1897"/>
    <w:rsid w:val="00AA1A32"/>
    <w:rsid w:val="00AA1B46"/>
    <w:rsid w:val="00AA217D"/>
    <w:rsid w:val="00AA265A"/>
    <w:rsid w:val="00AA2B19"/>
    <w:rsid w:val="00AA2BCB"/>
    <w:rsid w:val="00AA31A3"/>
    <w:rsid w:val="00AA360A"/>
    <w:rsid w:val="00AA3BB3"/>
    <w:rsid w:val="00AA3F3B"/>
    <w:rsid w:val="00AA4681"/>
    <w:rsid w:val="00AA49F4"/>
    <w:rsid w:val="00AA4DCB"/>
    <w:rsid w:val="00AA522E"/>
    <w:rsid w:val="00AA5526"/>
    <w:rsid w:val="00AA5BFA"/>
    <w:rsid w:val="00AA6AD3"/>
    <w:rsid w:val="00AA7475"/>
    <w:rsid w:val="00AA7DC5"/>
    <w:rsid w:val="00AB0115"/>
    <w:rsid w:val="00AB0C63"/>
    <w:rsid w:val="00AB0F80"/>
    <w:rsid w:val="00AB10E6"/>
    <w:rsid w:val="00AB1937"/>
    <w:rsid w:val="00AB22BE"/>
    <w:rsid w:val="00AB2621"/>
    <w:rsid w:val="00AB2F08"/>
    <w:rsid w:val="00AB37D6"/>
    <w:rsid w:val="00AB3BAD"/>
    <w:rsid w:val="00AB4172"/>
    <w:rsid w:val="00AB4568"/>
    <w:rsid w:val="00AB46E2"/>
    <w:rsid w:val="00AB5672"/>
    <w:rsid w:val="00AB6EF9"/>
    <w:rsid w:val="00AB7BAF"/>
    <w:rsid w:val="00AC0E30"/>
    <w:rsid w:val="00AC1F28"/>
    <w:rsid w:val="00AC4585"/>
    <w:rsid w:val="00AC4791"/>
    <w:rsid w:val="00AC47E2"/>
    <w:rsid w:val="00AC49EE"/>
    <w:rsid w:val="00AC51F3"/>
    <w:rsid w:val="00AC5230"/>
    <w:rsid w:val="00AC55BB"/>
    <w:rsid w:val="00AC573F"/>
    <w:rsid w:val="00AC623A"/>
    <w:rsid w:val="00AC66BC"/>
    <w:rsid w:val="00AC6A4D"/>
    <w:rsid w:val="00AC720A"/>
    <w:rsid w:val="00AC7500"/>
    <w:rsid w:val="00AC79AE"/>
    <w:rsid w:val="00AC7FBE"/>
    <w:rsid w:val="00AD0297"/>
    <w:rsid w:val="00AD1227"/>
    <w:rsid w:val="00AD15B5"/>
    <w:rsid w:val="00AD259A"/>
    <w:rsid w:val="00AD34BF"/>
    <w:rsid w:val="00AD35CB"/>
    <w:rsid w:val="00AD416F"/>
    <w:rsid w:val="00AD6015"/>
    <w:rsid w:val="00AD631B"/>
    <w:rsid w:val="00AD635A"/>
    <w:rsid w:val="00AD648C"/>
    <w:rsid w:val="00AD6DE9"/>
    <w:rsid w:val="00AD7108"/>
    <w:rsid w:val="00AD7B3D"/>
    <w:rsid w:val="00AE00E3"/>
    <w:rsid w:val="00AE03A0"/>
    <w:rsid w:val="00AE082D"/>
    <w:rsid w:val="00AE12BB"/>
    <w:rsid w:val="00AE1FC2"/>
    <w:rsid w:val="00AE2145"/>
    <w:rsid w:val="00AE2327"/>
    <w:rsid w:val="00AE28E4"/>
    <w:rsid w:val="00AE2C48"/>
    <w:rsid w:val="00AE35EA"/>
    <w:rsid w:val="00AE3BCE"/>
    <w:rsid w:val="00AE43BC"/>
    <w:rsid w:val="00AE4487"/>
    <w:rsid w:val="00AE5131"/>
    <w:rsid w:val="00AE51F2"/>
    <w:rsid w:val="00AE5D01"/>
    <w:rsid w:val="00AE64B7"/>
    <w:rsid w:val="00AE65E0"/>
    <w:rsid w:val="00AE7762"/>
    <w:rsid w:val="00AE7CA0"/>
    <w:rsid w:val="00AE7F7F"/>
    <w:rsid w:val="00AF01E7"/>
    <w:rsid w:val="00AF365C"/>
    <w:rsid w:val="00AF3B0A"/>
    <w:rsid w:val="00AF3B6C"/>
    <w:rsid w:val="00AF3BF6"/>
    <w:rsid w:val="00AF4104"/>
    <w:rsid w:val="00AF5A8D"/>
    <w:rsid w:val="00AF6465"/>
    <w:rsid w:val="00AF6543"/>
    <w:rsid w:val="00AF689F"/>
    <w:rsid w:val="00AF7163"/>
    <w:rsid w:val="00AF7487"/>
    <w:rsid w:val="00AF7DD3"/>
    <w:rsid w:val="00AF7EE3"/>
    <w:rsid w:val="00AF7F7E"/>
    <w:rsid w:val="00B01569"/>
    <w:rsid w:val="00B0235F"/>
    <w:rsid w:val="00B023A8"/>
    <w:rsid w:val="00B02E0A"/>
    <w:rsid w:val="00B02E54"/>
    <w:rsid w:val="00B03961"/>
    <w:rsid w:val="00B03E75"/>
    <w:rsid w:val="00B04802"/>
    <w:rsid w:val="00B05CAF"/>
    <w:rsid w:val="00B06AC1"/>
    <w:rsid w:val="00B07A78"/>
    <w:rsid w:val="00B121EF"/>
    <w:rsid w:val="00B13A7F"/>
    <w:rsid w:val="00B144AD"/>
    <w:rsid w:val="00B1455A"/>
    <w:rsid w:val="00B146EE"/>
    <w:rsid w:val="00B14932"/>
    <w:rsid w:val="00B14A04"/>
    <w:rsid w:val="00B14A39"/>
    <w:rsid w:val="00B153D9"/>
    <w:rsid w:val="00B156BA"/>
    <w:rsid w:val="00B15AF7"/>
    <w:rsid w:val="00B15CE2"/>
    <w:rsid w:val="00B161D5"/>
    <w:rsid w:val="00B1622E"/>
    <w:rsid w:val="00B16701"/>
    <w:rsid w:val="00B173AE"/>
    <w:rsid w:val="00B176BA"/>
    <w:rsid w:val="00B17778"/>
    <w:rsid w:val="00B206F5"/>
    <w:rsid w:val="00B20B30"/>
    <w:rsid w:val="00B20CDA"/>
    <w:rsid w:val="00B20D28"/>
    <w:rsid w:val="00B21333"/>
    <w:rsid w:val="00B21C80"/>
    <w:rsid w:val="00B227DD"/>
    <w:rsid w:val="00B23520"/>
    <w:rsid w:val="00B23557"/>
    <w:rsid w:val="00B236D2"/>
    <w:rsid w:val="00B23DD1"/>
    <w:rsid w:val="00B2434A"/>
    <w:rsid w:val="00B248A5"/>
    <w:rsid w:val="00B24CC3"/>
    <w:rsid w:val="00B24D77"/>
    <w:rsid w:val="00B24E41"/>
    <w:rsid w:val="00B24F46"/>
    <w:rsid w:val="00B257A6"/>
    <w:rsid w:val="00B25923"/>
    <w:rsid w:val="00B259F5"/>
    <w:rsid w:val="00B25B6D"/>
    <w:rsid w:val="00B26548"/>
    <w:rsid w:val="00B265E6"/>
    <w:rsid w:val="00B26D3C"/>
    <w:rsid w:val="00B26EA1"/>
    <w:rsid w:val="00B26F4A"/>
    <w:rsid w:val="00B27B02"/>
    <w:rsid w:val="00B301C3"/>
    <w:rsid w:val="00B307EB"/>
    <w:rsid w:val="00B30890"/>
    <w:rsid w:val="00B30A1F"/>
    <w:rsid w:val="00B30A51"/>
    <w:rsid w:val="00B30C36"/>
    <w:rsid w:val="00B30D7B"/>
    <w:rsid w:val="00B30FD6"/>
    <w:rsid w:val="00B3126F"/>
    <w:rsid w:val="00B3142D"/>
    <w:rsid w:val="00B316DF"/>
    <w:rsid w:val="00B31D80"/>
    <w:rsid w:val="00B31F47"/>
    <w:rsid w:val="00B32FD1"/>
    <w:rsid w:val="00B348FE"/>
    <w:rsid w:val="00B34B07"/>
    <w:rsid w:val="00B34B89"/>
    <w:rsid w:val="00B35585"/>
    <w:rsid w:val="00B35A4F"/>
    <w:rsid w:val="00B35D54"/>
    <w:rsid w:val="00B36333"/>
    <w:rsid w:val="00B36D99"/>
    <w:rsid w:val="00B36F1D"/>
    <w:rsid w:val="00B40392"/>
    <w:rsid w:val="00B4077F"/>
    <w:rsid w:val="00B40795"/>
    <w:rsid w:val="00B40817"/>
    <w:rsid w:val="00B40B90"/>
    <w:rsid w:val="00B41810"/>
    <w:rsid w:val="00B41C29"/>
    <w:rsid w:val="00B420B5"/>
    <w:rsid w:val="00B42290"/>
    <w:rsid w:val="00B4251E"/>
    <w:rsid w:val="00B42AA2"/>
    <w:rsid w:val="00B42BFB"/>
    <w:rsid w:val="00B42C38"/>
    <w:rsid w:val="00B43153"/>
    <w:rsid w:val="00B43BD7"/>
    <w:rsid w:val="00B43FB4"/>
    <w:rsid w:val="00B444B1"/>
    <w:rsid w:val="00B45B3C"/>
    <w:rsid w:val="00B45FBA"/>
    <w:rsid w:val="00B46241"/>
    <w:rsid w:val="00B4657B"/>
    <w:rsid w:val="00B469A5"/>
    <w:rsid w:val="00B46CE0"/>
    <w:rsid w:val="00B4711D"/>
    <w:rsid w:val="00B47EC7"/>
    <w:rsid w:val="00B50660"/>
    <w:rsid w:val="00B50C4A"/>
    <w:rsid w:val="00B50CAB"/>
    <w:rsid w:val="00B50F81"/>
    <w:rsid w:val="00B5118B"/>
    <w:rsid w:val="00B512A7"/>
    <w:rsid w:val="00B514DB"/>
    <w:rsid w:val="00B523AD"/>
    <w:rsid w:val="00B528ED"/>
    <w:rsid w:val="00B52FD9"/>
    <w:rsid w:val="00B5340E"/>
    <w:rsid w:val="00B536C8"/>
    <w:rsid w:val="00B5380B"/>
    <w:rsid w:val="00B54018"/>
    <w:rsid w:val="00B542E9"/>
    <w:rsid w:val="00B5510B"/>
    <w:rsid w:val="00B55756"/>
    <w:rsid w:val="00B55B26"/>
    <w:rsid w:val="00B55BB1"/>
    <w:rsid w:val="00B57B9C"/>
    <w:rsid w:val="00B60145"/>
    <w:rsid w:val="00B60815"/>
    <w:rsid w:val="00B619F6"/>
    <w:rsid w:val="00B620E5"/>
    <w:rsid w:val="00B62B41"/>
    <w:rsid w:val="00B64048"/>
    <w:rsid w:val="00B642FE"/>
    <w:rsid w:val="00B646D0"/>
    <w:rsid w:val="00B660C3"/>
    <w:rsid w:val="00B661ED"/>
    <w:rsid w:val="00B664C4"/>
    <w:rsid w:val="00B66835"/>
    <w:rsid w:val="00B67C15"/>
    <w:rsid w:val="00B70789"/>
    <w:rsid w:val="00B708CE"/>
    <w:rsid w:val="00B70FD3"/>
    <w:rsid w:val="00B7141A"/>
    <w:rsid w:val="00B715FD"/>
    <w:rsid w:val="00B72D41"/>
    <w:rsid w:val="00B73010"/>
    <w:rsid w:val="00B73BFE"/>
    <w:rsid w:val="00B7432B"/>
    <w:rsid w:val="00B752BE"/>
    <w:rsid w:val="00B75521"/>
    <w:rsid w:val="00B7579B"/>
    <w:rsid w:val="00B75CE6"/>
    <w:rsid w:val="00B7690D"/>
    <w:rsid w:val="00B76966"/>
    <w:rsid w:val="00B779C7"/>
    <w:rsid w:val="00B8104F"/>
    <w:rsid w:val="00B812B2"/>
    <w:rsid w:val="00B816E9"/>
    <w:rsid w:val="00B81A39"/>
    <w:rsid w:val="00B81C4F"/>
    <w:rsid w:val="00B82431"/>
    <w:rsid w:val="00B82FE4"/>
    <w:rsid w:val="00B834F9"/>
    <w:rsid w:val="00B83D15"/>
    <w:rsid w:val="00B83EF9"/>
    <w:rsid w:val="00B845F5"/>
    <w:rsid w:val="00B84D71"/>
    <w:rsid w:val="00B85368"/>
    <w:rsid w:val="00B85841"/>
    <w:rsid w:val="00B85DA7"/>
    <w:rsid w:val="00B86C25"/>
    <w:rsid w:val="00B87EA0"/>
    <w:rsid w:val="00B9111E"/>
    <w:rsid w:val="00B91841"/>
    <w:rsid w:val="00B92417"/>
    <w:rsid w:val="00B924FE"/>
    <w:rsid w:val="00B9275C"/>
    <w:rsid w:val="00B93179"/>
    <w:rsid w:val="00B93505"/>
    <w:rsid w:val="00B937D9"/>
    <w:rsid w:val="00B93FD6"/>
    <w:rsid w:val="00B9404A"/>
    <w:rsid w:val="00B9628B"/>
    <w:rsid w:val="00B96BA6"/>
    <w:rsid w:val="00BA061F"/>
    <w:rsid w:val="00BA0631"/>
    <w:rsid w:val="00BA076F"/>
    <w:rsid w:val="00BA0CEE"/>
    <w:rsid w:val="00BA0E33"/>
    <w:rsid w:val="00BA113F"/>
    <w:rsid w:val="00BA18B3"/>
    <w:rsid w:val="00BA1B65"/>
    <w:rsid w:val="00BA1CDB"/>
    <w:rsid w:val="00BA1D60"/>
    <w:rsid w:val="00BA1FE7"/>
    <w:rsid w:val="00BA35AD"/>
    <w:rsid w:val="00BA3608"/>
    <w:rsid w:val="00BA37CF"/>
    <w:rsid w:val="00BA3D4A"/>
    <w:rsid w:val="00BA3D62"/>
    <w:rsid w:val="00BA4691"/>
    <w:rsid w:val="00BA4881"/>
    <w:rsid w:val="00BA4F87"/>
    <w:rsid w:val="00BA5D09"/>
    <w:rsid w:val="00BA783C"/>
    <w:rsid w:val="00BB10DF"/>
    <w:rsid w:val="00BB1DD6"/>
    <w:rsid w:val="00BB25C5"/>
    <w:rsid w:val="00BB2B17"/>
    <w:rsid w:val="00BB2C36"/>
    <w:rsid w:val="00BB346B"/>
    <w:rsid w:val="00BB3B2F"/>
    <w:rsid w:val="00BB41F8"/>
    <w:rsid w:val="00BB47CC"/>
    <w:rsid w:val="00BB4EA8"/>
    <w:rsid w:val="00BB5213"/>
    <w:rsid w:val="00BB5246"/>
    <w:rsid w:val="00BB5499"/>
    <w:rsid w:val="00BB57F9"/>
    <w:rsid w:val="00BB6520"/>
    <w:rsid w:val="00BB7065"/>
    <w:rsid w:val="00BB709D"/>
    <w:rsid w:val="00BB722F"/>
    <w:rsid w:val="00BB723E"/>
    <w:rsid w:val="00BB7268"/>
    <w:rsid w:val="00BB7663"/>
    <w:rsid w:val="00BB76EC"/>
    <w:rsid w:val="00BB7BF0"/>
    <w:rsid w:val="00BC0189"/>
    <w:rsid w:val="00BC093A"/>
    <w:rsid w:val="00BC0BA5"/>
    <w:rsid w:val="00BC0FF7"/>
    <w:rsid w:val="00BC18D2"/>
    <w:rsid w:val="00BC196F"/>
    <w:rsid w:val="00BC1DEF"/>
    <w:rsid w:val="00BC2904"/>
    <w:rsid w:val="00BC2F6A"/>
    <w:rsid w:val="00BC30EB"/>
    <w:rsid w:val="00BC4127"/>
    <w:rsid w:val="00BC42CA"/>
    <w:rsid w:val="00BC4852"/>
    <w:rsid w:val="00BC48BF"/>
    <w:rsid w:val="00BC4925"/>
    <w:rsid w:val="00BC4B64"/>
    <w:rsid w:val="00BC4D70"/>
    <w:rsid w:val="00BC4F57"/>
    <w:rsid w:val="00BC4F62"/>
    <w:rsid w:val="00BC52D3"/>
    <w:rsid w:val="00BC5EAB"/>
    <w:rsid w:val="00BC5FA8"/>
    <w:rsid w:val="00BC6246"/>
    <w:rsid w:val="00BC64FB"/>
    <w:rsid w:val="00BC6F23"/>
    <w:rsid w:val="00BD0064"/>
    <w:rsid w:val="00BD0292"/>
    <w:rsid w:val="00BD0333"/>
    <w:rsid w:val="00BD04AE"/>
    <w:rsid w:val="00BD1081"/>
    <w:rsid w:val="00BD1452"/>
    <w:rsid w:val="00BD18BD"/>
    <w:rsid w:val="00BD230B"/>
    <w:rsid w:val="00BD23C9"/>
    <w:rsid w:val="00BD2DCE"/>
    <w:rsid w:val="00BD2DF6"/>
    <w:rsid w:val="00BD327E"/>
    <w:rsid w:val="00BD4361"/>
    <w:rsid w:val="00BD43BD"/>
    <w:rsid w:val="00BD5F69"/>
    <w:rsid w:val="00BD73A1"/>
    <w:rsid w:val="00BD744D"/>
    <w:rsid w:val="00BD7B49"/>
    <w:rsid w:val="00BE16C7"/>
    <w:rsid w:val="00BE1707"/>
    <w:rsid w:val="00BE1747"/>
    <w:rsid w:val="00BE1B80"/>
    <w:rsid w:val="00BE1CC4"/>
    <w:rsid w:val="00BE2408"/>
    <w:rsid w:val="00BE27C9"/>
    <w:rsid w:val="00BE289C"/>
    <w:rsid w:val="00BE28B9"/>
    <w:rsid w:val="00BE28F0"/>
    <w:rsid w:val="00BE3185"/>
    <w:rsid w:val="00BE34B9"/>
    <w:rsid w:val="00BE3643"/>
    <w:rsid w:val="00BE3ACB"/>
    <w:rsid w:val="00BE3D2C"/>
    <w:rsid w:val="00BE3E7D"/>
    <w:rsid w:val="00BE41FA"/>
    <w:rsid w:val="00BE421A"/>
    <w:rsid w:val="00BE42BD"/>
    <w:rsid w:val="00BE48FD"/>
    <w:rsid w:val="00BE633B"/>
    <w:rsid w:val="00BE6C8C"/>
    <w:rsid w:val="00BE6E02"/>
    <w:rsid w:val="00BE6FDF"/>
    <w:rsid w:val="00BE7C59"/>
    <w:rsid w:val="00BF0082"/>
    <w:rsid w:val="00BF0551"/>
    <w:rsid w:val="00BF119A"/>
    <w:rsid w:val="00BF2229"/>
    <w:rsid w:val="00BF2BEA"/>
    <w:rsid w:val="00BF3143"/>
    <w:rsid w:val="00BF5752"/>
    <w:rsid w:val="00BF5A36"/>
    <w:rsid w:val="00BF5C69"/>
    <w:rsid w:val="00BF5DE8"/>
    <w:rsid w:val="00BF72F9"/>
    <w:rsid w:val="00BF744C"/>
    <w:rsid w:val="00BF7E5B"/>
    <w:rsid w:val="00C00270"/>
    <w:rsid w:val="00C00552"/>
    <w:rsid w:val="00C005A6"/>
    <w:rsid w:val="00C0078F"/>
    <w:rsid w:val="00C00BD2"/>
    <w:rsid w:val="00C01005"/>
    <w:rsid w:val="00C0138A"/>
    <w:rsid w:val="00C018F2"/>
    <w:rsid w:val="00C01C4F"/>
    <w:rsid w:val="00C02033"/>
    <w:rsid w:val="00C03216"/>
    <w:rsid w:val="00C03402"/>
    <w:rsid w:val="00C036A6"/>
    <w:rsid w:val="00C03876"/>
    <w:rsid w:val="00C03B39"/>
    <w:rsid w:val="00C03F9E"/>
    <w:rsid w:val="00C04458"/>
    <w:rsid w:val="00C04A67"/>
    <w:rsid w:val="00C04EA4"/>
    <w:rsid w:val="00C0586A"/>
    <w:rsid w:val="00C05FED"/>
    <w:rsid w:val="00C060F1"/>
    <w:rsid w:val="00C06425"/>
    <w:rsid w:val="00C064AB"/>
    <w:rsid w:val="00C06ACC"/>
    <w:rsid w:val="00C06D90"/>
    <w:rsid w:val="00C07EF7"/>
    <w:rsid w:val="00C10034"/>
    <w:rsid w:val="00C1088B"/>
    <w:rsid w:val="00C11D77"/>
    <w:rsid w:val="00C125A0"/>
    <w:rsid w:val="00C12743"/>
    <w:rsid w:val="00C12F94"/>
    <w:rsid w:val="00C139AE"/>
    <w:rsid w:val="00C146B6"/>
    <w:rsid w:val="00C14976"/>
    <w:rsid w:val="00C149CF"/>
    <w:rsid w:val="00C14BB5"/>
    <w:rsid w:val="00C14C0F"/>
    <w:rsid w:val="00C15568"/>
    <w:rsid w:val="00C15F7F"/>
    <w:rsid w:val="00C16B2E"/>
    <w:rsid w:val="00C17256"/>
    <w:rsid w:val="00C17562"/>
    <w:rsid w:val="00C176B4"/>
    <w:rsid w:val="00C17918"/>
    <w:rsid w:val="00C17B66"/>
    <w:rsid w:val="00C20062"/>
    <w:rsid w:val="00C2030A"/>
    <w:rsid w:val="00C20899"/>
    <w:rsid w:val="00C21DC3"/>
    <w:rsid w:val="00C222D1"/>
    <w:rsid w:val="00C22E48"/>
    <w:rsid w:val="00C23D8E"/>
    <w:rsid w:val="00C24A3B"/>
    <w:rsid w:val="00C24DD9"/>
    <w:rsid w:val="00C25318"/>
    <w:rsid w:val="00C2536A"/>
    <w:rsid w:val="00C25507"/>
    <w:rsid w:val="00C2583F"/>
    <w:rsid w:val="00C269BC"/>
    <w:rsid w:val="00C271C8"/>
    <w:rsid w:val="00C2781B"/>
    <w:rsid w:val="00C27986"/>
    <w:rsid w:val="00C27BC8"/>
    <w:rsid w:val="00C306C0"/>
    <w:rsid w:val="00C308BD"/>
    <w:rsid w:val="00C308D6"/>
    <w:rsid w:val="00C3266D"/>
    <w:rsid w:val="00C32BC4"/>
    <w:rsid w:val="00C331FC"/>
    <w:rsid w:val="00C3328D"/>
    <w:rsid w:val="00C33D6C"/>
    <w:rsid w:val="00C34017"/>
    <w:rsid w:val="00C344E1"/>
    <w:rsid w:val="00C34D97"/>
    <w:rsid w:val="00C34DDD"/>
    <w:rsid w:val="00C350C7"/>
    <w:rsid w:val="00C358A7"/>
    <w:rsid w:val="00C363F4"/>
    <w:rsid w:val="00C3661C"/>
    <w:rsid w:val="00C36BC7"/>
    <w:rsid w:val="00C36BCD"/>
    <w:rsid w:val="00C37458"/>
    <w:rsid w:val="00C37472"/>
    <w:rsid w:val="00C378B1"/>
    <w:rsid w:val="00C37E4C"/>
    <w:rsid w:val="00C400D0"/>
    <w:rsid w:val="00C408CE"/>
    <w:rsid w:val="00C4091B"/>
    <w:rsid w:val="00C41509"/>
    <w:rsid w:val="00C423C2"/>
    <w:rsid w:val="00C427F1"/>
    <w:rsid w:val="00C42B56"/>
    <w:rsid w:val="00C42D4E"/>
    <w:rsid w:val="00C42FB7"/>
    <w:rsid w:val="00C439AE"/>
    <w:rsid w:val="00C44099"/>
    <w:rsid w:val="00C4434B"/>
    <w:rsid w:val="00C456CC"/>
    <w:rsid w:val="00C45714"/>
    <w:rsid w:val="00C46449"/>
    <w:rsid w:val="00C466C1"/>
    <w:rsid w:val="00C46A35"/>
    <w:rsid w:val="00C47881"/>
    <w:rsid w:val="00C51A35"/>
    <w:rsid w:val="00C51C57"/>
    <w:rsid w:val="00C52277"/>
    <w:rsid w:val="00C5261F"/>
    <w:rsid w:val="00C53087"/>
    <w:rsid w:val="00C533B8"/>
    <w:rsid w:val="00C536C6"/>
    <w:rsid w:val="00C53A04"/>
    <w:rsid w:val="00C53EE9"/>
    <w:rsid w:val="00C54B01"/>
    <w:rsid w:val="00C54C35"/>
    <w:rsid w:val="00C550AC"/>
    <w:rsid w:val="00C554E5"/>
    <w:rsid w:val="00C55D2D"/>
    <w:rsid w:val="00C56076"/>
    <w:rsid w:val="00C56653"/>
    <w:rsid w:val="00C56AAD"/>
    <w:rsid w:val="00C60E18"/>
    <w:rsid w:val="00C61873"/>
    <w:rsid w:val="00C6190D"/>
    <w:rsid w:val="00C61B88"/>
    <w:rsid w:val="00C62376"/>
    <w:rsid w:val="00C6264B"/>
    <w:rsid w:val="00C62654"/>
    <w:rsid w:val="00C62B7D"/>
    <w:rsid w:val="00C63725"/>
    <w:rsid w:val="00C6519B"/>
    <w:rsid w:val="00C65F9A"/>
    <w:rsid w:val="00C669F0"/>
    <w:rsid w:val="00C66B65"/>
    <w:rsid w:val="00C66F6E"/>
    <w:rsid w:val="00C66FB0"/>
    <w:rsid w:val="00C673B7"/>
    <w:rsid w:val="00C67932"/>
    <w:rsid w:val="00C67A24"/>
    <w:rsid w:val="00C72511"/>
    <w:rsid w:val="00C72915"/>
    <w:rsid w:val="00C72A7C"/>
    <w:rsid w:val="00C7318E"/>
    <w:rsid w:val="00C73688"/>
    <w:rsid w:val="00C73B81"/>
    <w:rsid w:val="00C73FDC"/>
    <w:rsid w:val="00C74409"/>
    <w:rsid w:val="00C74BE2"/>
    <w:rsid w:val="00C74C9B"/>
    <w:rsid w:val="00C74E6E"/>
    <w:rsid w:val="00C75038"/>
    <w:rsid w:val="00C75750"/>
    <w:rsid w:val="00C75808"/>
    <w:rsid w:val="00C76A76"/>
    <w:rsid w:val="00C774C2"/>
    <w:rsid w:val="00C80147"/>
    <w:rsid w:val="00C80739"/>
    <w:rsid w:val="00C80AFE"/>
    <w:rsid w:val="00C817BA"/>
    <w:rsid w:val="00C81E26"/>
    <w:rsid w:val="00C81E65"/>
    <w:rsid w:val="00C82054"/>
    <w:rsid w:val="00C83102"/>
    <w:rsid w:val="00C83425"/>
    <w:rsid w:val="00C83CCA"/>
    <w:rsid w:val="00C840D5"/>
    <w:rsid w:val="00C84FB6"/>
    <w:rsid w:val="00C86E40"/>
    <w:rsid w:val="00C87389"/>
    <w:rsid w:val="00C878A4"/>
    <w:rsid w:val="00C87B46"/>
    <w:rsid w:val="00C90EDB"/>
    <w:rsid w:val="00C90F4D"/>
    <w:rsid w:val="00C91066"/>
    <w:rsid w:val="00C91743"/>
    <w:rsid w:val="00C91C82"/>
    <w:rsid w:val="00C91D86"/>
    <w:rsid w:val="00C921AA"/>
    <w:rsid w:val="00C924F9"/>
    <w:rsid w:val="00C93540"/>
    <w:rsid w:val="00C935F6"/>
    <w:rsid w:val="00C93DE8"/>
    <w:rsid w:val="00C95252"/>
    <w:rsid w:val="00C95947"/>
    <w:rsid w:val="00C959FB"/>
    <w:rsid w:val="00C968DE"/>
    <w:rsid w:val="00C968EB"/>
    <w:rsid w:val="00CA0322"/>
    <w:rsid w:val="00CA0480"/>
    <w:rsid w:val="00CA08CD"/>
    <w:rsid w:val="00CA16CF"/>
    <w:rsid w:val="00CA1D11"/>
    <w:rsid w:val="00CA207C"/>
    <w:rsid w:val="00CA29BC"/>
    <w:rsid w:val="00CA322C"/>
    <w:rsid w:val="00CA386C"/>
    <w:rsid w:val="00CA408F"/>
    <w:rsid w:val="00CA41D3"/>
    <w:rsid w:val="00CA4C78"/>
    <w:rsid w:val="00CA4E7F"/>
    <w:rsid w:val="00CA574C"/>
    <w:rsid w:val="00CA5BD9"/>
    <w:rsid w:val="00CA6087"/>
    <w:rsid w:val="00CA6506"/>
    <w:rsid w:val="00CA76C3"/>
    <w:rsid w:val="00CA794F"/>
    <w:rsid w:val="00CB0241"/>
    <w:rsid w:val="00CB0E5B"/>
    <w:rsid w:val="00CB1B56"/>
    <w:rsid w:val="00CB1FE4"/>
    <w:rsid w:val="00CB26C9"/>
    <w:rsid w:val="00CB3051"/>
    <w:rsid w:val="00CB3C7D"/>
    <w:rsid w:val="00CB3D5F"/>
    <w:rsid w:val="00CB3FB0"/>
    <w:rsid w:val="00CB57CD"/>
    <w:rsid w:val="00CB7414"/>
    <w:rsid w:val="00CB7605"/>
    <w:rsid w:val="00CB7701"/>
    <w:rsid w:val="00CC02DE"/>
    <w:rsid w:val="00CC31DF"/>
    <w:rsid w:val="00CC3267"/>
    <w:rsid w:val="00CC3BA3"/>
    <w:rsid w:val="00CC3C6E"/>
    <w:rsid w:val="00CC3C8A"/>
    <w:rsid w:val="00CC3CBE"/>
    <w:rsid w:val="00CC3F71"/>
    <w:rsid w:val="00CC4070"/>
    <w:rsid w:val="00CC4273"/>
    <w:rsid w:val="00CC4C00"/>
    <w:rsid w:val="00CC517C"/>
    <w:rsid w:val="00CC53D3"/>
    <w:rsid w:val="00CC5554"/>
    <w:rsid w:val="00CC6328"/>
    <w:rsid w:val="00CC70A9"/>
    <w:rsid w:val="00CC715A"/>
    <w:rsid w:val="00CC77F3"/>
    <w:rsid w:val="00CD0114"/>
    <w:rsid w:val="00CD044F"/>
    <w:rsid w:val="00CD2702"/>
    <w:rsid w:val="00CD2E89"/>
    <w:rsid w:val="00CD2FEB"/>
    <w:rsid w:val="00CD3236"/>
    <w:rsid w:val="00CD36CA"/>
    <w:rsid w:val="00CD3F4C"/>
    <w:rsid w:val="00CD43DF"/>
    <w:rsid w:val="00CD441D"/>
    <w:rsid w:val="00CD4584"/>
    <w:rsid w:val="00CD5689"/>
    <w:rsid w:val="00CD56E3"/>
    <w:rsid w:val="00CD572E"/>
    <w:rsid w:val="00CD5A5E"/>
    <w:rsid w:val="00CD6629"/>
    <w:rsid w:val="00CD6AFB"/>
    <w:rsid w:val="00CD6EF0"/>
    <w:rsid w:val="00CD6FCE"/>
    <w:rsid w:val="00CD7891"/>
    <w:rsid w:val="00CD7995"/>
    <w:rsid w:val="00CD7B71"/>
    <w:rsid w:val="00CE042F"/>
    <w:rsid w:val="00CE0449"/>
    <w:rsid w:val="00CE122A"/>
    <w:rsid w:val="00CE12AC"/>
    <w:rsid w:val="00CE15F3"/>
    <w:rsid w:val="00CE1A92"/>
    <w:rsid w:val="00CE1CE3"/>
    <w:rsid w:val="00CE1EC3"/>
    <w:rsid w:val="00CE1EF8"/>
    <w:rsid w:val="00CE2807"/>
    <w:rsid w:val="00CE2EBC"/>
    <w:rsid w:val="00CE30B7"/>
    <w:rsid w:val="00CE3655"/>
    <w:rsid w:val="00CE3AF0"/>
    <w:rsid w:val="00CE407D"/>
    <w:rsid w:val="00CE4A32"/>
    <w:rsid w:val="00CE4AF5"/>
    <w:rsid w:val="00CE4C2E"/>
    <w:rsid w:val="00CE59C6"/>
    <w:rsid w:val="00CE5C03"/>
    <w:rsid w:val="00CE6A0E"/>
    <w:rsid w:val="00CE752B"/>
    <w:rsid w:val="00CE7A03"/>
    <w:rsid w:val="00CF0BBD"/>
    <w:rsid w:val="00CF157E"/>
    <w:rsid w:val="00CF1BA1"/>
    <w:rsid w:val="00CF1BFA"/>
    <w:rsid w:val="00CF1C3C"/>
    <w:rsid w:val="00CF205D"/>
    <w:rsid w:val="00CF244B"/>
    <w:rsid w:val="00CF35E4"/>
    <w:rsid w:val="00CF3D5C"/>
    <w:rsid w:val="00CF653C"/>
    <w:rsid w:val="00CF6D0A"/>
    <w:rsid w:val="00CF7074"/>
    <w:rsid w:val="00CF75D4"/>
    <w:rsid w:val="00CF77FB"/>
    <w:rsid w:val="00CF7BCC"/>
    <w:rsid w:val="00D005E0"/>
    <w:rsid w:val="00D00755"/>
    <w:rsid w:val="00D008F6"/>
    <w:rsid w:val="00D010D8"/>
    <w:rsid w:val="00D01199"/>
    <w:rsid w:val="00D0154D"/>
    <w:rsid w:val="00D01EB4"/>
    <w:rsid w:val="00D021BF"/>
    <w:rsid w:val="00D03BAD"/>
    <w:rsid w:val="00D03E61"/>
    <w:rsid w:val="00D04563"/>
    <w:rsid w:val="00D05531"/>
    <w:rsid w:val="00D059CC"/>
    <w:rsid w:val="00D05A51"/>
    <w:rsid w:val="00D061ED"/>
    <w:rsid w:val="00D06598"/>
    <w:rsid w:val="00D07313"/>
    <w:rsid w:val="00D07791"/>
    <w:rsid w:val="00D079AC"/>
    <w:rsid w:val="00D07B37"/>
    <w:rsid w:val="00D104EC"/>
    <w:rsid w:val="00D10B98"/>
    <w:rsid w:val="00D11992"/>
    <w:rsid w:val="00D11F0F"/>
    <w:rsid w:val="00D1275E"/>
    <w:rsid w:val="00D12F45"/>
    <w:rsid w:val="00D14DB1"/>
    <w:rsid w:val="00D14F0D"/>
    <w:rsid w:val="00D150EB"/>
    <w:rsid w:val="00D15261"/>
    <w:rsid w:val="00D1638E"/>
    <w:rsid w:val="00D16D76"/>
    <w:rsid w:val="00D16ED8"/>
    <w:rsid w:val="00D1796A"/>
    <w:rsid w:val="00D17C19"/>
    <w:rsid w:val="00D17E53"/>
    <w:rsid w:val="00D2119C"/>
    <w:rsid w:val="00D21319"/>
    <w:rsid w:val="00D2142B"/>
    <w:rsid w:val="00D22462"/>
    <w:rsid w:val="00D22C59"/>
    <w:rsid w:val="00D22E55"/>
    <w:rsid w:val="00D231E9"/>
    <w:rsid w:val="00D23539"/>
    <w:rsid w:val="00D24164"/>
    <w:rsid w:val="00D256D2"/>
    <w:rsid w:val="00D25931"/>
    <w:rsid w:val="00D25ACF"/>
    <w:rsid w:val="00D2742F"/>
    <w:rsid w:val="00D276F0"/>
    <w:rsid w:val="00D27A9C"/>
    <w:rsid w:val="00D27BFA"/>
    <w:rsid w:val="00D27C4D"/>
    <w:rsid w:val="00D30AE3"/>
    <w:rsid w:val="00D30CC3"/>
    <w:rsid w:val="00D311CF"/>
    <w:rsid w:val="00D31348"/>
    <w:rsid w:val="00D31B30"/>
    <w:rsid w:val="00D320A7"/>
    <w:rsid w:val="00D322A8"/>
    <w:rsid w:val="00D32335"/>
    <w:rsid w:val="00D323E3"/>
    <w:rsid w:val="00D32EC9"/>
    <w:rsid w:val="00D33B05"/>
    <w:rsid w:val="00D33E32"/>
    <w:rsid w:val="00D33F2E"/>
    <w:rsid w:val="00D33FD9"/>
    <w:rsid w:val="00D3457C"/>
    <w:rsid w:val="00D357F0"/>
    <w:rsid w:val="00D37410"/>
    <w:rsid w:val="00D4013D"/>
    <w:rsid w:val="00D401AF"/>
    <w:rsid w:val="00D414F9"/>
    <w:rsid w:val="00D41502"/>
    <w:rsid w:val="00D4167B"/>
    <w:rsid w:val="00D416E5"/>
    <w:rsid w:val="00D42621"/>
    <w:rsid w:val="00D428B3"/>
    <w:rsid w:val="00D42F9F"/>
    <w:rsid w:val="00D431C4"/>
    <w:rsid w:val="00D444D8"/>
    <w:rsid w:val="00D45926"/>
    <w:rsid w:val="00D45F89"/>
    <w:rsid w:val="00D460B0"/>
    <w:rsid w:val="00D46CC6"/>
    <w:rsid w:val="00D46DAD"/>
    <w:rsid w:val="00D47128"/>
    <w:rsid w:val="00D471FE"/>
    <w:rsid w:val="00D475F5"/>
    <w:rsid w:val="00D47AEE"/>
    <w:rsid w:val="00D501B5"/>
    <w:rsid w:val="00D50338"/>
    <w:rsid w:val="00D51612"/>
    <w:rsid w:val="00D51650"/>
    <w:rsid w:val="00D5297C"/>
    <w:rsid w:val="00D52D4F"/>
    <w:rsid w:val="00D53095"/>
    <w:rsid w:val="00D53C35"/>
    <w:rsid w:val="00D54644"/>
    <w:rsid w:val="00D54A94"/>
    <w:rsid w:val="00D557D5"/>
    <w:rsid w:val="00D55C59"/>
    <w:rsid w:val="00D5682E"/>
    <w:rsid w:val="00D570DF"/>
    <w:rsid w:val="00D572F6"/>
    <w:rsid w:val="00D575D5"/>
    <w:rsid w:val="00D57B16"/>
    <w:rsid w:val="00D57DBA"/>
    <w:rsid w:val="00D57F9C"/>
    <w:rsid w:val="00D6180D"/>
    <w:rsid w:val="00D61E9C"/>
    <w:rsid w:val="00D622EA"/>
    <w:rsid w:val="00D62905"/>
    <w:rsid w:val="00D62B37"/>
    <w:rsid w:val="00D63712"/>
    <w:rsid w:val="00D63C22"/>
    <w:rsid w:val="00D64FE0"/>
    <w:rsid w:val="00D65CC4"/>
    <w:rsid w:val="00D6706B"/>
    <w:rsid w:val="00D67B5E"/>
    <w:rsid w:val="00D703C9"/>
    <w:rsid w:val="00D71700"/>
    <w:rsid w:val="00D71795"/>
    <w:rsid w:val="00D71AA0"/>
    <w:rsid w:val="00D73642"/>
    <w:rsid w:val="00D74258"/>
    <w:rsid w:val="00D7435E"/>
    <w:rsid w:val="00D74E6C"/>
    <w:rsid w:val="00D7505B"/>
    <w:rsid w:val="00D755A2"/>
    <w:rsid w:val="00D7703D"/>
    <w:rsid w:val="00D77244"/>
    <w:rsid w:val="00D8179C"/>
    <w:rsid w:val="00D821B5"/>
    <w:rsid w:val="00D821C3"/>
    <w:rsid w:val="00D82E25"/>
    <w:rsid w:val="00D836E5"/>
    <w:rsid w:val="00D854EB"/>
    <w:rsid w:val="00D85703"/>
    <w:rsid w:val="00D85DE1"/>
    <w:rsid w:val="00D8615D"/>
    <w:rsid w:val="00D865B3"/>
    <w:rsid w:val="00D86E06"/>
    <w:rsid w:val="00D87458"/>
    <w:rsid w:val="00D87888"/>
    <w:rsid w:val="00D87A1C"/>
    <w:rsid w:val="00D905B9"/>
    <w:rsid w:val="00D9081A"/>
    <w:rsid w:val="00D919BB"/>
    <w:rsid w:val="00D91E97"/>
    <w:rsid w:val="00D936C1"/>
    <w:rsid w:val="00D939C3"/>
    <w:rsid w:val="00D942A2"/>
    <w:rsid w:val="00D9468A"/>
    <w:rsid w:val="00D95F01"/>
    <w:rsid w:val="00D95FBF"/>
    <w:rsid w:val="00D97119"/>
    <w:rsid w:val="00D972A1"/>
    <w:rsid w:val="00D97A9C"/>
    <w:rsid w:val="00DA01D3"/>
    <w:rsid w:val="00DA0606"/>
    <w:rsid w:val="00DA0A33"/>
    <w:rsid w:val="00DA149E"/>
    <w:rsid w:val="00DA2F51"/>
    <w:rsid w:val="00DA37D6"/>
    <w:rsid w:val="00DA3979"/>
    <w:rsid w:val="00DA4D43"/>
    <w:rsid w:val="00DA5433"/>
    <w:rsid w:val="00DA5F42"/>
    <w:rsid w:val="00DA6058"/>
    <w:rsid w:val="00DA6516"/>
    <w:rsid w:val="00DA7510"/>
    <w:rsid w:val="00DA789D"/>
    <w:rsid w:val="00DB084C"/>
    <w:rsid w:val="00DB0A1A"/>
    <w:rsid w:val="00DB0B3F"/>
    <w:rsid w:val="00DB1755"/>
    <w:rsid w:val="00DB1891"/>
    <w:rsid w:val="00DB1973"/>
    <w:rsid w:val="00DB1B51"/>
    <w:rsid w:val="00DB1E5D"/>
    <w:rsid w:val="00DB275A"/>
    <w:rsid w:val="00DB29C8"/>
    <w:rsid w:val="00DB39E4"/>
    <w:rsid w:val="00DB3A52"/>
    <w:rsid w:val="00DB3C39"/>
    <w:rsid w:val="00DB414A"/>
    <w:rsid w:val="00DB42B4"/>
    <w:rsid w:val="00DB493B"/>
    <w:rsid w:val="00DB4B6D"/>
    <w:rsid w:val="00DB500B"/>
    <w:rsid w:val="00DB5BC2"/>
    <w:rsid w:val="00DB621A"/>
    <w:rsid w:val="00DB65D3"/>
    <w:rsid w:val="00DB6AE4"/>
    <w:rsid w:val="00DB6E10"/>
    <w:rsid w:val="00DB72C5"/>
    <w:rsid w:val="00DB7B97"/>
    <w:rsid w:val="00DC0162"/>
    <w:rsid w:val="00DC033E"/>
    <w:rsid w:val="00DC0881"/>
    <w:rsid w:val="00DC0A6E"/>
    <w:rsid w:val="00DC0ADC"/>
    <w:rsid w:val="00DC0CA5"/>
    <w:rsid w:val="00DC0FE9"/>
    <w:rsid w:val="00DC2231"/>
    <w:rsid w:val="00DC2509"/>
    <w:rsid w:val="00DC2669"/>
    <w:rsid w:val="00DC27A4"/>
    <w:rsid w:val="00DC3889"/>
    <w:rsid w:val="00DC394D"/>
    <w:rsid w:val="00DC47E0"/>
    <w:rsid w:val="00DC6F86"/>
    <w:rsid w:val="00DC72F3"/>
    <w:rsid w:val="00DC770F"/>
    <w:rsid w:val="00DD088D"/>
    <w:rsid w:val="00DD1BBC"/>
    <w:rsid w:val="00DD1F0A"/>
    <w:rsid w:val="00DD2D2D"/>
    <w:rsid w:val="00DD33DD"/>
    <w:rsid w:val="00DD349F"/>
    <w:rsid w:val="00DD3798"/>
    <w:rsid w:val="00DD3954"/>
    <w:rsid w:val="00DD3A4C"/>
    <w:rsid w:val="00DD3B58"/>
    <w:rsid w:val="00DD3E1B"/>
    <w:rsid w:val="00DD44FD"/>
    <w:rsid w:val="00DD4D46"/>
    <w:rsid w:val="00DD57F7"/>
    <w:rsid w:val="00DD5B8C"/>
    <w:rsid w:val="00DD63C5"/>
    <w:rsid w:val="00DD70C3"/>
    <w:rsid w:val="00DD722C"/>
    <w:rsid w:val="00DE0344"/>
    <w:rsid w:val="00DE06B5"/>
    <w:rsid w:val="00DE1AF0"/>
    <w:rsid w:val="00DE29A8"/>
    <w:rsid w:val="00DE2A98"/>
    <w:rsid w:val="00DE3351"/>
    <w:rsid w:val="00DE447D"/>
    <w:rsid w:val="00DE4E31"/>
    <w:rsid w:val="00DE52C1"/>
    <w:rsid w:val="00DE58A1"/>
    <w:rsid w:val="00DE5B89"/>
    <w:rsid w:val="00DE5C48"/>
    <w:rsid w:val="00DE5EBC"/>
    <w:rsid w:val="00DE625F"/>
    <w:rsid w:val="00DE6653"/>
    <w:rsid w:val="00DE6951"/>
    <w:rsid w:val="00DE7A9A"/>
    <w:rsid w:val="00DE7BCF"/>
    <w:rsid w:val="00DF0AF7"/>
    <w:rsid w:val="00DF113B"/>
    <w:rsid w:val="00DF12C3"/>
    <w:rsid w:val="00DF166D"/>
    <w:rsid w:val="00DF1983"/>
    <w:rsid w:val="00DF2109"/>
    <w:rsid w:val="00DF34CC"/>
    <w:rsid w:val="00DF4110"/>
    <w:rsid w:val="00DF4A75"/>
    <w:rsid w:val="00DF4C05"/>
    <w:rsid w:val="00DF528F"/>
    <w:rsid w:val="00DF5317"/>
    <w:rsid w:val="00DF5761"/>
    <w:rsid w:val="00DF586A"/>
    <w:rsid w:val="00DF5F9C"/>
    <w:rsid w:val="00DF64F5"/>
    <w:rsid w:val="00DF6A35"/>
    <w:rsid w:val="00DF6E36"/>
    <w:rsid w:val="00E00537"/>
    <w:rsid w:val="00E008D2"/>
    <w:rsid w:val="00E0144A"/>
    <w:rsid w:val="00E02743"/>
    <w:rsid w:val="00E0369D"/>
    <w:rsid w:val="00E038E5"/>
    <w:rsid w:val="00E03BF3"/>
    <w:rsid w:val="00E03C79"/>
    <w:rsid w:val="00E040A0"/>
    <w:rsid w:val="00E04396"/>
    <w:rsid w:val="00E0443A"/>
    <w:rsid w:val="00E048D6"/>
    <w:rsid w:val="00E05A7B"/>
    <w:rsid w:val="00E05FB1"/>
    <w:rsid w:val="00E06541"/>
    <w:rsid w:val="00E06DA1"/>
    <w:rsid w:val="00E07BE4"/>
    <w:rsid w:val="00E07E5E"/>
    <w:rsid w:val="00E100BA"/>
    <w:rsid w:val="00E10EBA"/>
    <w:rsid w:val="00E11938"/>
    <w:rsid w:val="00E1196A"/>
    <w:rsid w:val="00E11AFD"/>
    <w:rsid w:val="00E12B6C"/>
    <w:rsid w:val="00E12CDB"/>
    <w:rsid w:val="00E12CF8"/>
    <w:rsid w:val="00E1301F"/>
    <w:rsid w:val="00E13327"/>
    <w:rsid w:val="00E13629"/>
    <w:rsid w:val="00E1432B"/>
    <w:rsid w:val="00E14AEF"/>
    <w:rsid w:val="00E14D47"/>
    <w:rsid w:val="00E14D64"/>
    <w:rsid w:val="00E152CE"/>
    <w:rsid w:val="00E15E98"/>
    <w:rsid w:val="00E15FD8"/>
    <w:rsid w:val="00E16949"/>
    <w:rsid w:val="00E16D70"/>
    <w:rsid w:val="00E16F8B"/>
    <w:rsid w:val="00E17577"/>
    <w:rsid w:val="00E17CDB"/>
    <w:rsid w:val="00E17E15"/>
    <w:rsid w:val="00E2089E"/>
    <w:rsid w:val="00E20BDD"/>
    <w:rsid w:val="00E20C15"/>
    <w:rsid w:val="00E20F60"/>
    <w:rsid w:val="00E211AA"/>
    <w:rsid w:val="00E213B2"/>
    <w:rsid w:val="00E220F9"/>
    <w:rsid w:val="00E225FE"/>
    <w:rsid w:val="00E22D2E"/>
    <w:rsid w:val="00E232A5"/>
    <w:rsid w:val="00E23412"/>
    <w:rsid w:val="00E237D4"/>
    <w:rsid w:val="00E23BAB"/>
    <w:rsid w:val="00E23BC3"/>
    <w:rsid w:val="00E23C4E"/>
    <w:rsid w:val="00E25269"/>
    <w:rsid w:val="00E254FB"/>
    <w:rsid w:val="00E264C4"/>
    <w:rsid w:val="00E264CD"/>
    <w:rsid w:val="00E26A23"/>
    <w:rsid w:val="00E26CAE"/>
    <w:rsid w:val="00E26D26"/>
    <w:rsid w:val="00E2761E"/>
    <w:rsid w:val="00E27EED"/>
    <w:rsid w:val="00E3051A"/>
    <w:rsid w:val="00E310F6"/>
    <w:rsid w:val="00E31547"/>
    <w:rsid w:val="00E3196E"/>
    <w:rsid w:val="00E31EEF"/>
    <w:rsid w:val="00E3224E"/>
    <w:rsid w:val="00E330BA"/>
    <w:rsid w:val="00E33364"/>
    <w:rsid w:val="00E33B5A"/>
    <w:rsid w:val="00E33D31"/>
    <w:rsid w:val="00E346FF"/>
    <w:rsid w:val="00E347D8"/>
    <w:rsid w:val="00E34AD5"/>
    <w:rsid w:val="00E34C3B"/>
    <w:rsid w:val="00E350D9"/>
    <w:rsid w:val="00E35FDC"/>
    <w:rsid w:val="00E36300"/>
    <w:rsid w:val="00E36BE5"/>
    <w:rsid w:val="00E372EA"/>
    <w:rsid w:val="00E376A8"/>
    <w:rsid w:val="00E37908"/>
    <w:rsid w:val="00E37FEB"/>
    <w:rsid w:val="00E40BDB"/>
    <w:rsid w:val="00E40CCF"/>
    <w:rsid w:val="00E43641"/>
    <w:rsid w:val="00E44308"/>
    <w:rsid w:val="00E445B6"/>
    <w:rsid w:val="00E44668"/>
    <w:rsid w:val="00E44A16"/>
    <w:rsid w:val="00E4575A"/>
    <w:rsid w:val="00E4622E"/>
    <w:rsid w:val="00E463C9"/>
    <w:rsid w:val="00E464B7"/>
    <w:rsid w:val="00E467FD"/>
    <w:rsid w:val="00E47A43"/>
    <w:rsid w:val="00E47C25"/>
    <w:rsid w:val="00E47D8D"/>
    <w:rsid w:val="00E5087F"/>
    <w:rsid w:val="00E513BC"/>
    <w:rsid w:val="00E516E8"/>
    <w:rsid w:val="00E51E46"/>
    <w:rsid w:val="00E51F62"/>
    <w:rsid w:val="00E52601"/>
    <w:rsid w:val="00E52C34"/>
    <w:rsid w:val="00E52E9A"/>
    <w:rsid w:val="00E53B63"/>
    <w:rsid w:val="00E53C42"/>
    <w:rsid w:val="00E5475A"/>
    <w:rsid w:val="00E54F76"/>
    <w:rsid w:val="00E56A1B"/>
    <w:rsid w:val="00E56B25"/>
    <w:rsid w:val="00E573AD"/>
    <w:rsid w:val="00E57E3C"/>
    <w:rsid w:val="00E60467"/>
    <w:rsid w:val="00E609F0"/>
    <w:rsid w:val="00E6120C"/>
    <w:rsid w:val="00E62418"/>
    <w:rsid w:val="00E6282B"/>
    <w:rsid w:val="00E62BE5"/>
    <w:rsid w:val="00E62BF6"/>
    <w:rsid w:val="00E62DBD"/>
    <w:rsid w:val="00E63229"/>
    <w:rsid w:val="00E64D84"/>
    <w:rsid w:val="00E64F98"/>
    <w:rsid w:val="00E650B8"/>
    <w:rsid w:val="00E65113"/>
    <w:rsid w:val="00E66FEA"/>
    <w:rsid w:val="00E67727"/>
    <w:rsid w:val="00E67A4E"/>
    <w:rsid w:val="00E67E54"/>
    <w:rsid w:val="00E70CBF"/>
    <w:rsid w:val="00E71014"/>
    <w:rsid w:val="00E721D2"/>
    <w:rsid w:val="00E72BF3"/>
    <w:rsid w:val="00E72FAC"/>
    <w:rsid w:val="00E733B6"/>
    <w:rsid w:val="00E73995"/>
    <w:rsid w:val="00E73A3F"/>
    <w:rsid w:val="00E75145"/>
    <w:rsid w:val="00E75914"/>
    <w:rsid w:val="00E76324"/>
    <w:rsid w:val="00E763D3"/>
    <w:rsid w:val="00E77B23"/>
    <w:rsid w:val="00E77E1E"/>
    <w:rsid w:val="00E80602"/>
    <w:rsid w:val="00E80E9C"/>
    <w:rsid w:val="00E8147F"/>
    <w:rsid w:val="00E82095"/>
    <w:rsid w:val="00E82459"/>
    <w:rsid w:val="00E832EC"/>
    <w:rsid w:val="00E83742"/>
    <w:rsid w:val="00E83930"/>
    <w:rsid w:val="00E842FC"/>
    <w:rsid w:val="00E84F18"/>
    <w:rsid w:val="00E85D5B"/>
    <w:rsid w:val="00E85E34"/>
    <w:rsid w:val="00E8631F"/>
    <w:rsid w:val="00E86A36"/>
    <w:rsid w:val="00E90194"/>
    <w:rsid w:val="00E90724"/>
    <w:rsid w:val="00E91439"/>
    <w:rsid w:val="00E91598"/>
    <w:rsid w:val="00E91C70"/>
    <w:rsid w:val="00E92797"/>
    <w:rsid w:val="00E92B15"/>
    <w:rsid w:val="00E92F63"/>
    <w:rsid w:val="00E92FE2"/>
    <w:rsid w:val="00E9356B"/>
    <w:rsid w:val="00E9382B"/>
    <w:rsid w:val="00E93BE8"/>
    <w:rsid w:val="00E93E03"/>
    <w:rsid w:val="00E94152"/>
    <w:rsid w:val="00E94417"/>
    <w:rsid w:val="00E958BD"/>
    <w:rsid w:val="00E95E98"/>
    <w:rsid w:val="00E961B3"/>
    <w:rsid w:val="00E963ED"/>
    <w:rsid w:val="00E96558"/>
    <w:rsid w:val="00E97159"/>
    <w:rsid w:val="00EA02EF"/>
    <w:rsid w:val="00EA114D"/>
    <w:rsid w:val="00EA2F5E"/>
    <w:rsid w:val="00EA3251"/>
    <w:rsid w:val="00EA33C4"/>
    <w:rsid w:val="00EA352E"/>
    <w:rsid w:val="00EA5117"/>
    <w:rsid w:val="00EA524B"/>
    <w:rsid w:val="00EA61A3"/>
    <w:rsid w:val="00EA71C4"/>
    <w:rsid w:val="00EA744F"/>
    <w:rsid w:val="00EA787F"/>
    <w:rsid w:val="00EA7901"/>
    <w:rsid w:val="00EA7BB4"/>
    <w:rsid w:val="00EA7EC8"/>
    <w:rsid w:val="00EB062A"/>
    <w:rsid w:val="00EB065C"/>
    <w:rsid w:val="00EB0D00"/>
    <w:rsid w:val="00EB11DE"/>
    <w:rsid w:val="00EB267E"/>
    <w:rsid w:val="00EB281F"/>
    <w:rsid w:val="00EB2F46"/>
    <w:rsid w:val="00EB2F4A"/>
    <w:rsid w:val="00EB3173"/>
    <w:rsid w:val="00EB33CF"/>
    <w:rsid w:val="00EB4C17"/>
    <w:rsid w:val="00EB5811"/>
    <w:rsid w:val="00EB5D91"/>
    <w:rsid w:val="00EB6212"/>
    <w:rsid w:val="00EB6C4B"/>
    <w:rsid w:val="00EB6DAC"/>
    <w:rsid w:val="00EB72AD"/>
    <w:rsid w:val="00EB7DEB"/>
    <w:rsid w:val="00EC0049"/>
    <w:rsid w:val="00EC0414"/>
    <w:rsid w:val="00EC0B39"/>
    <w:rsid w:val="00EC1322"/>
    <w:rsid w:val="00EC2C0B"/>
    <w:rsid w:val="00EC2DC5"/>
    <w:rsid w:val="00EC344C"/>
    <w:rsid w:val="00EC3670"/>
    <w:rsid w:val="00EC416A"/>
    <w:rsid w:val="00EC4240"/>
    <w:rsid w:val="00EC570D"/>
    <w:rsid w:val="00EC5BF9"/>
    <w:rsid w:val="00EC5DCD"/>
    <w:rsid w:val="00EC6439"/>
    <w:rsid w:val="00EC667D"/>
    <w:rsid w:val="00EC7A09"/>
    <w:rsid w:val="00ED0786"/>
    <w:rsid w:val="00ED0B37"/>
    <w:rsid w:val="00ED0F7A"/>
    <w:rsid w:val="00ED1010"/>
    <w:rsid w:val="00ED1A7A"/>
    <w:rsid w:val="00ED1DA7"/>
    <w:rsid w:val="00ED3AA9"/>
    <w:rsid w:val="00ED40D8"/>
    <w:rsid w:val="00ED42AA"/>
    <w:rsid w:val="00ED4A2F"/>
    <w:rsid w:val="00ED55EE"/>
    <w:rsid w:val="00ED5F7C"/>
    <w:rsid w:val="00ED6FD3"/>
    <w:rsid w:val="00ED6FDB"/>
    <w:rsid w:val="00ED7DCE"/>
    <w:rsid w:val="00EE063E"/>
    <w:rsid w:val="00EE081F"/>
    <w:rsid w:val="00EE2520"/>
    <w:rsid w:val="00EE2B6D"/>
    <w:rsid w:val="00EE3397"/>
    <w:rsid w:val="00EE33BB"/>
    <w:rsid w:val="00EE3719"/>
    <w:rsid w:val="00EE4484"/>
    <w:rsid w:val="00EE4EC9"/>
    <w:rsid w:val="00EE5754"/>
    <w:rsid w:val="00EE5C94"/>
    <w:rsid w:val="00EE6C40"/>
    <w:rsid w:val="00EE7286"/>
    <w:rsid w:val="00EE7A41"/>
    <w:rsid w:val="00EF1977"/>
    <w:rsid w:val="00EF1DF7"/>
    <w:rsid w:val="00EF1E19"/>
    <w:rsid w:val="00EF2B9D"/>
    <w:rsid w:val="00EF2E05"/>
    <w:rsid w:val="00EF2FC6"/>
    <w:rsid w:val="00EF3593"/>
    <w:rsid w:val="00EF3821"/>
    <w:rsid w:val="00EF3E9A"/>
    <w:rsid w:val="00EF43D7"/>
    <w:rsid w:val="00EF6FF1"/>
    <w:rsid w:val="00EF712B"/>
    <w:rsid w:val="00EF73F6"/>
    <w:rsid w:val="00EF76F2"/>
    <w:rsid w:val="00F0003D"/>
    <w:rsid w:val="00F0031D"/>
    <w:rsid w:val="00F009AC"/>
    <w:rsid w:val="00F00F55"/>
    <w:rsid w:val="00F018E6"/>
    <w:rsid w:val="00F01CED"/>
    <w:rsid w:val="00F01E12"/>
    <w:rsid w:val="00F02EA0"/>
    <w:rsid w:val="00F040EE"/>
    <w:rsid w:val="00F0414E"/>
    <w:rsid w:val="00F04AEA"/>
    <w:rsid w:val="00F04C1E"/>
    <w:rsid w:val="00F04E63"/>
    <w:rsid w:val="00F06603"/>
    <w:rsid w:val="00F0662D"/>
    <w:rsid w:val="00F06ECB"/>
    <w:rsid w:val="00F07F96"/>
    <w:rsid w:val="00F1027D"/>
    <w:rsid w:val="00F10529"/>
    <w:rsid w:val="00F10653"/>
    <w:rsid w:val="00F10805"/>
    <w:rsid w:val="00F10BCE"/>
    <w:rsid w:val="00F11290"/>
    <w:rsid w:val="00F1187D"/>
    <w:rsid w:val="00F12094"/>
    <w:rsid w:val="00F12C32"/>
    <w:rsid w:val="00F14352"/>
    <w:rsid w:val="00F14B4B"/>
    <w:rsid w:val="00F15BB4"/>
    <w:rsid w:val="00F16456"/>
    <w:rsid w:val="00F17E69"/>
    <w:rsid w:val="00F20FA2"/>
    <w:rsid w:val="00F21564"/>
    <w:rsid w:val="00F22138"/>
    <w:rsid w:val="00F22254"/>
    <w:rsid w:val="00F226E6"/>
    <w:rsid w:val="00F22A44"/>
    <w:rsid w:val="00F22F90"/>
    <w:rsid w:val="00F22FD1"/>
    <w:rsid w:val="00F2317F"/>
    <w:rsid w:val="00F2344D"/>
    <w:rsid w:val="00F23592"/>
    <w:rsid w:val="00F236DF"/>
    <w:rsid w:val="00F241FA"/>
    <w:rsid w:val="00F24378"/>
    <w:rsid w:val="00F24DBD"/>
    <w:rsid w:val="00F255C6"/>
    <w:rsid w:val="00F2597C"/>
    <w:rsid w:val="00F25A41"/>
    <w:rsid w:val="00F25DBB"/>
    <w:rsid w:val="00F26056"/>
    <w:rsid w:val="00F26988"/>
    <w:rsid w:val="00F26A52"/>
    <w:rsid w:val="00F3012A"/>
    <w:rsid w:val="00F3012C"/>
    <w:rsid w:val="00F302E9"/>
    <w:rsid w:val="00F306B2"/>
    <w:rsid w:val="00F321F2"/>
    <w:rsid w:val="00F32478"/>
    <w:rsid w:val="00F33325"/>
    <w:rsid w:val="00F33AAF"/>
    <w:rsid w:val="00F349EB"/>
    <w:rsid w:val="00F35158"/>
    <w:rsid w:val="00F35C22"/>
    <w:rsid w:val="00F36783"/>
    <w:rsid w:val="00F36859"/>
    <w:rsid w:val="00F36AAE"/>
    <w:rsid w:val="00F3731D"/>
    <w:rsid w:val="00F40670"/>
    <w:rsid w:val="00F40BF5"/>
    <w:rsid w:val="00F40E81"/>
    <w:rsid w:val="00F410EF"/>
    <w:rsid w:val="00F41710"/>
    <w:rsid w:val="00F41BD0"/>
    <w:rsid w:val="00F422CC"/>
    <w:rsid w:val="00F4273F"/>
    <w:rsid w:val="00F42F89"/>
    <w:rsid w:val="00F43042"/>
    <w:rsid w:val="00F433E4"/>
    <w:rsid w:val="00F433F4"/>
    <w:rsid w:val="00F441DB"/>
    <w:rsid w:val="00F4662B"/>
    <w:rsid w:val="00F46B46"/>
    <w:rsid w:val="00F47341"/>
    <w:rsid w:val="00F47648"/>
    <w:rsid w:val="00F47694"/>
    <w:rsid w:val="00F5059C"/>
    <w:rsid w:val="00F505D8"/>
    <w:rsid w:val="00F50769"/>
    <w:rsid w:val="00F512F0"/>
    <w:rsid w:val="00F522C5"/>
    <w:rsid w:val="00F526E1"/>
    <w:rsid w:val="00F528CE"/>
    <w:rsid w:val="00F53478"/>
    <w:rsid w:val="00F542CF"/>
    <w:rsid w:val="00F54653"/>
    <w:rsid w:val="00F547FA"/>
    <w:rsid w:val="00F54BF3"/>
    <w:rsid w:val="00F54CA1"/>
    <w:rsid w:val="00F5513C"/>
    <w:rsid w:val="00F55CF4"/>
    <w:rsid w:val="00F56163"/>
    <w:rsid w:val="00F565F4"/>
    <w:rsid w:val="00F56AD7"/>
    <w:rsid w:val="00F56B6B"/>
    <w:rsid w:val="00F56B6C"/>
    <w:rsid w:val="00F56D31"/>
    <w:rsid w:val="00F576FD"/>
    <w:rsid w:val="00F60032"/>
    <w:rsid w:val="00F606CC"/>
    <w:rsid w:val="00F60C78"/>
    <w:rsid w:val="00F60D3B"/>
    <w:rsid w:val="00F60EF0"/>
    <w:rsid w:val="00F61233"/>
    <w:rsid w:val="00F616DC"/>
    <w:rsid w:val="00F61B90"/>
    <w:rsid w:val="00F61C10"/>
    <w:rsid w:val="00F61E6D"/>
    <w:rsid w:val="00F62029"/>
    <w:rsid w:val="00F6288D"/>
    <w:rsid w:val="00F630AC"/>
    <w:rsid w:val="00F633F0"/>
    <w:rsid w:val="00F6379D"/>
    <w:rsid w:val="00F63C4F"/>
    <w:rsid w:val="00F64175"/>
    <w:rsid w:val="00F6419B"/>
    <w:rsid w:val="00F64461"/>
    <w:rsid w:val="00F64978"/>
    <w:rsid w:val="00F65E91"/>
    <w:rsid w:val="00F662C2"/>
    <w:rsid w:val="00F6647B"/>
    <w:rsid w:val="00F664A7"/>
    <w:rsid w:val="00F668C0"/>
    <w:rsid w:val="00F66A8F"/>
    <w:rsid w:val="00F66CB2"/>
    <w:rsid w:val="00F67222"/>
    <w:rsid w:val="00F6745D"/>
    <w:rsid w:val="00F67587"/>
    <w:rsid w:val="00F67618"/>
    <w:rsid w:val="00F67F28"/>
    <w:rsid w:val="00F71BE5"/>
    <w:rsid w:val="00F72399"/>
    <w:rsid w:val="00F72731"/>
    <w:rsid w:val="00F72AB0"/>
    <w:rsid w:val="00F72C29"/>
    <w:rsid w:val="00F730E8"/>
    <w:rsid w:val="00F731ED"/>
    <w:rsid w:val="00F73790"/>
    <w:rsid w:val="00F74AC1"/>
    <w:rsid w:val="00F74F9F"/>
    <w:rsid w:val="00F75822"/>
    <w:rsid w:val="00F758EE"/>
    <w:rsid w:val="00F76135"/>
    <w:rsid w:val="00F770E1"/>
    <w:rsid w:val="00F77FDB"/>
    <w:rsid w:val="00F801F9"/>
    <w:rsid w:val="00F80F37"/>
    <w:rsid w:val="00F82CAC"/>
    <w:rsid w:val="00F8331D"/>
    <w:rsid w:val="00F83A15"/>
    <w:rsid w:val="00F8474A"/>
    <w:rsid w:val="00F847AB"/>
    <w:rsid w:val="00F850E0"/>
    <w:rsid w:val="00F85337"/>
    <w:rsid w:val="00F85978"/>
    <w:rsid w:val="00F85FA8"/>
    <w:rsid w:val="00F8623F"/>
    <w:rsid w:val="00F863E3"/>
    <w:rsid w:val="00F86778"/>
    <w:rsid w:val="00F8680E"/>
    <w:rsid w:val="00F87342"/>
    <w:rsid w:val="00F87B3F"/>
    <w:rsid w:val="00F90CAF"/>
    <w:rsid w:val="00F910F0"/>
    <w:rsid w:val="00F915ED"/>
    <w:rsid w:val="00F91E22"/>
    <w:rsid w:val="00F91F1D"/>
    <w:rsid w:val="00F927F5"/>
    <w:rsid w:val="00F92F22"/>
    <w:rsid w:val="00F93070"/>
    <w:rsid w:val="00F93469"/>
    <w:rsid w:val="00F9374B"/>
    <w:rsid w:val="00F939E7"/>
    <w:rsid w:val="00F93C1B"/>
    <w:rsid w:val="00F94095"/>
    <w:rsid w:val="00F943F3"/>
    <w:rsid w:val="00F945D4"/>
    <w:rsid w:val="00F94BC5"/>
    <w:rsid w:val="00F94DBB"/>
    <w:rsid w:val="00F958B1"/>
    <w:rsid w:val="00F95C7F"/>
    <w:rsid w:val="00F96538"/>
    <w:rsid w:val="00F9694D"/>
    <w:rsid w:val="00F96986"/>
    <w:rsid w:val="00F977E8"/>
    <w:rsid w:val="00FA0054"/>
    <w:rsid w:val="00FA0095"/>
    <w:rsid w:val="00FA1B45"/>
    <w:rsid w:val="00FA1BB7"/>
    <w:rsid w:val="00FA212D"/>
    <w:rsid w:val="00FA25FE"/>
    <w:rsid w:val="00FA307E"/>
    <w:rsid w:val="00FA34A1"/>
    <w:rsid w:val="00FA369B"/>
    <w:rsid w:val="00FA3BD3"/>
    <w:rsid w:val="00FA3D67"/>
    <w:rsid w:val="00FA509C"/>
    <w:rsid w:val="00FA51AF"/>
    <w:rsid w:val="00FA53EA"/>
    <w:rsid w:val="00FA54E8"/>
    <w:rsid w:val="00FA5711"/>
    <w:rsid w:val="00FA58D6"/>
    <w:rsid w:val="00FA6952"/>
    <w:rsid w:val="00FA6CE8"/>
    <w:rsid w:val="00FA6F99"/>
    <w:rsid w:val="00FA70ED"/>
    <w:rsid w:val="00FA759C"/>
    <w:rsid w:val="00FA7952"/>
    <w:rsid w:val="00FB0094"/>
    <w:rsid w:val="00FB0203"/>
    <w:rsid w:val="00FB047E"/>
    <w:rsid w:val="00FB054D"/>
    <w:rsid w:val="00FB06B7"/>
    <w:rsid w:val="00FB0B8D"/>
    <w:rsid w:val="00FB14E0"/>
    <w:rsid w:val="00FB210C"/>
    <w:rsid w:val="00FB34CB"/>
    <w:rsid w:val="00FB3BF0"/>
    <w:rsid w:val="00FB411A"/>
    <w:rsid w:val="00FB5778"/>
    <w:rsid w:val="00FB593D"/>
    <w:rsid w:val="00FB665F"/>
    <w:rsid w:val="00FB695F"/>
    <w:rsid w:val="00FB6D2E"/>
    <w:rsid w:val="00FB7455"/>
    <w:rsid w:val="00FB7995"/>
    <w:rsid w:val="00FC063C"/>
    <w:rsid w:val="00FC1508"/>
    <w:rsid w:val="00FC1DC6"/>
    <w:rsid w:val="00FC268F"/>
    <w:rsid w:val="00FC271B"/>
    <w:rsid w:val="00FC363E"/>
    <w:rsid w:val="00FC3AB3"/>
    <w:rsid w:val="00FC42EF"/>
    <w:rsid w:val="00FC449E"/>
    <w:rsid w:val="00FC478E"/>
    <w:rsid w:val="00FC4DA9"/>
    <w:rsid w:val="00FC4EF8"/>
    <w:rsid w:val="00FC5353"/>
    <w:rsid w:val="00FC5457"/>
    <w:rsid w:val="00FC563C"/>
    <w:rsid w:val="00FC5EA1"/>
    <w:rsid w:val="00FC6140"/>
    <w:rsid w:val="00FC7142"/>
    <w:rsid w:val="00FC7731"/>
    <w:rsid w:val="00FC77B0"/>
    <w:rsid w:val="00FC78DC"/>
    <w:rsid w:val="00FC7A25"/>
    <w:rsid w:val="00FC7B5C"/>
    <w:rsid w:val="00FD0166"/>
    <w:rsid w:val="00FD184A"/>
    <w:rsid w:val="00FD219B"/>
    <w:rsid w:val="00FD2745"/>
    <w:rsid w:val="00FD2A66"/>
    <w:rsid w:val="00FD2E47"/>
    <w:rsid w:val="00FD37CB"/>
    <w:rsid w:val="00FD40A9"/>
    <w:rsid w:val="00FD5D05"/>
    <w:rsid w:val="00FD74B8"/>
    <w:rsid w:val="00FD78F9"/>
    <w:rsid w:val="00FD7E0E"/>
    <w:rsid w:val="00FE088F"/>
    <w:rsid w:val="00FE08DE"/>
    <w:rsid w:val="00FE13ED"/>
    <w:rsid w:val="00FE179F"/>
    <w:rsid w:val="00FE1D4C"/>
    <w:rsid w:val="00FE208A"/>
    <w:rsid w:val="00FE2AB0"/>
    <w:rsid w:val="00FE2BCC"/>
    <w:rsid w:val="00FE330E"/>
    <w:rsid w:val="00FE366E"/>
    <w:rsid w:val="00FE4000"/>
    <w:rsid w:val="00FE4621"/>
    <w:rsid w:val="00FE4E9D"/>
    <w:rsid w:val="00FE5232"/>
    <w:rsid w:val="00FE54D9"/>
    <w:rsid w:val="00FE54F6"/>
    <w:rsid w:val="00FE6D81"/>
    <w:rsid w:val="00FE70B1"/>
    <w:rsid w:val="00FE7C61"/>
    <w:rsid w:val="00FF0740"/>
    <w:rsid w:val="00FF0812"/>
    <w:rsid w:val="00FF0992"/>
    <w:rsid w:val="00FF0EAE"/>
    <w:rsid w:val="00FF14EA"/>
    <w:rsid w:val="00FF1EC8"/>
    <w:rsid w:val="00FF2999"/>
    <w:rsid w:val="00FF2B34"/>
    <w:rsid w:val="00FF2BBD"/>
    <w:rsid w:val="00FF37C1"/>
    <w:rsid w:val="00FF37C6"/>
    <w:rsid w:val="00FF3808"/>
    <w:rsid w:val="00FF39C0"/>
    <w:rsid w:val="00FF3A22"/>
    <w:rsid w:val="00FF4124"/>
    <w:rsid w:val="00FF44C3"/>
    <w:rsid w:val="00FF44F8"/>
    <w:rsid w:val="00FF47F9"/>
    <w:rsid w:val="00FF4F7C"/>
    <w:rsid w:val="00FF5542"/>
    <w:rsid w:val="00FF559F"/>
    <w:rsid w:val="00FF5FD3"/>
    <w:rsid w:val="00FF60D3"/>
    <w:rsid w:val="00FF62B7"/>
    <w:rsid w:val="00FF7A5F"/>
    <w:rsid w:val="00FF7D5E"/>
    <w:rsid w:val="01506A74"/>
    <w:rsid w:val="017A6B77"/>
    <w:rsid w:val="01884059"/>
    <w:rsid w:val="01C53E9C"/>
    <w:rsid w:val="02C2534B"/>
    <w:rsid w:val="02D76375"/>
    <w:rsid w:val="03097E03"/>
    <w:rsid w:val="032128C3"/>
    <w:rsid w:val="03393C8A"/>
    <w:rsid w:val="039E5752"/>
    <w:rsid w:val="03C12DCD"/>
    <w:rsid w:val="03DB766E"/>
    <w:rsid w:val="048B3E34"/>
    <w:rsid w:val="04DF5103"/>
    <w:rsid w:val="04E1762A"/>
    <w:rsid w:val="051D01F9"/>
    <w:rsid w:val="05790259"/>
    <w:rsid w:val="05821257"/>
    <w:rsid w:val="058C4049"/>
    <w:rsid w:val="058D4E78"/>
    <w:rsid w:val="05CD3FD8"/>
    <w:rsid w:val="06732DD2"/>
    <w:rsid w:val="06B3799E"/>
    <w:rsid w:val="07142CD0"/>
    <w:rsid w:val="079F74E7"/>
    <w:rsid w:val="08064057"/>
    <w:rsid w:val="08975580"/>
    <w:rsid w:val="09067AC2"/>
    <w:rsid w:val="09385CEE"/>
    <w:rsid w:val="09B970EC"/>
    <w:rsid w:val="0A9B567F"/>
    <w:rsid w:val="0B5F35E9"/>
    <w:rsid w:val="0B650A2B"/>
    <w:rsid w:val="0B6B30D8"/>
    <w:rsid w:val="0BBA7AB3"/>
    <w:rsid w:val="0C1006E0"/>
    <w:rsid w:val="0C8128FE"/>
    <w:rsid w:val="0CF23CC3"/>
    <w:rsid w:val="0D57116F"/>
    <w:rsid w:val="0D730491"/>
    <w:rsid w:val="0E46447D"/>
    <w:rsid w:val="0EC66EA3"/>
    <w:rsid w:val="0F6E0C22"/>
    <w:rsid w:val="0F8B0C35"/>
    <w:rsid w:val="10436E2B"/>
    <w:rsid w:val="10E51529"/>
    <w:rsid w:val="111E5870"/>
    <w:rsid w:val="113904C4"/>
    <w:rsid w:val="11D87C3B"/>
    <w:rsid w:val="12143A40"/>
    <w:rsid w:val="122F3917"/>
    <w:rsid w:val="12F6055F"/>
    <w:rsid w:val="13845891"/>
    <w:rsid w:val="13845EF5"/>
    <w:rsid w:val="13D43AB9"/>
    <w:rsid w:val="14125887"/>
    <w:rsid w:val="141D4441"/>
    <w:rsid w:val="144E5DDF"/>
    <w:rsid w:val="14A472DE"/>
    <w:rsid w:val="14E95D00"/>
    <w:rsid w:val="14FC5865"/>
    <w:rsid w:val="15144613"/>
    <w:rsid w:val="151E1269"/>
    <w:rsid w:val="15426C85"/>
    <w:rsid w:val="16940363"/>
    <w:rsid w:val="16D96445"/>
    <w:rsid w:val="1745310A"/>
    <w:rsid w:val="17482C6D"/>
    <w:rsid w:val="17A05EF6"/>
    <w:rsid w:val="180C1D89"/>
    <w:rsid w:val="1870398A"/>
    <w:rsid w:val="18C16485"/>
    <w:rsid w:val="196920FE"/>
    <w:rsid w:val="198D378D"/>
    <w:rsid w:val="19BF6E5F"/>
    <w:rsid w:val="1A50247D"/>
    <w:rsid w:val="1A5F105C"/>
    <w:rsid w:val="1A774239"/>
    <w:rsid w:val="1A835774"/>
    <w:rsid w:val="1B4A3A6B"/>
    <w:rsid w:val="1B787921"/>
    <w:rsid w:val="1C031EA9"/>
    <w:rsid w:val="1C362F89"/>
    <w:rsid w:val="1C5E0A39"/>
    <w:rsid w:val="1C9F47E6"/>
    <w:rsid w:val="1CFF7659"/>
    <w:rsid w:val="1DB00922"/>
    <w:rsid w:val="1E997F06"/>
    <w:rsid w:val="1F136D9A"/>
    <w:rsid w:val="1F792C51"/>
    <w:rsid w:val="1F9A7BF1"/>
    <w:rsid w:val="1FB52DF2"/>
    <w:rsid w:val="1FCC34D8"/>
    <w:rsid w:val="201A33DF"/>
    <w:rsid w:val="201A3813"/>
    <w:rsid w:val="20532E6F"/>
    <w:rsid w:val="20581155"/>
    <w:rsid w:val="207E3474"/>
    <w:rsid w:val="209B45F7"/>
    <w:rsid w:val="20B6437A"/>
    <w:rsid w:val="20C52024"/>
    <w:rsid w:val="212A098B"/>
    <w:rsid w:val="21333B63"/>
    <w:rsid w:val="21A84A07"/>
    <w:rsid w:val="229131E4"/>
    <w:rsid w:val="22C205F2"/>
    <w:rsid w:val="231D447F"/>
    <w:rsid w:val="234E65F3"/>
    <w:rsid w:val="23A87474"/>
    <w:rsid w:val="2492687D"/>
    <w:rsid w:val="24BB2A89"/>
    <w:rsid w:val="25551585"/>
    <w:rsid w:val="25B34B4D"/>
    <w:rsid w:val="260165BE"/>
    <w:rsid w:val="2657132A"/>
    <w:rsid w:val="265D7770"/>
    <w:rsid w:val="268811DB"/>
    <w:rsid w:val="276C147C"/>
    <w:rsid w:val="27A07BA9"/>
    <w:rsid w:val="27BB3FBE"/>
    <w:rsid w:val="27E8602A"/>
    <w:rsid w:val="288A7DDB"/>
    <w:rsid w:val="288D7B89"/>
    <w:rsid w:val="28B35F4A"/>
    <w:rsid w:val="28EE56B1"/>
    <w:rsid w:val="292F3BA8"/>
    <w:rsid w:val="29A8612B"/>
    <w:rsid w:val="29D60947"/>
    <w:rsid w:val="2A0E20E1"/>
    <w:rsid w:val="2ADF4A92"/>
    <w:rsid w:val="2B1E0CAF"/>
    <w:rsid w:val="2B310AE2"/>
    <w:rsid w:val="2B316E3A"/>
    <w:rsid w:val="2B67099A"/>
    <w:rsid w:val="2C226F36"/>
    <w:rsid w:val="2C3562B0"/>
    <w:rsid w:val="2C6D2EB1"/>
    <w:rsid w:val="2C934206"/>
    <w:rsid w:val="2CA45E84"/>
    <w:rsid w:val="2CC01EF0"/>
    <w:rsid w:val="2CF376D9"/>
    <w:rsid w:val="2D2307FE"/>
    <w:rsid w:val="2D337A36"/>
    <w:rsid w:val="2D3D2E72"/>
    <w:rsid w:val="2D8D588A"/>
    <w:rsid w:val="2DC61F0B"/>
    <w:rsid w:val="2E361DCA"/>
    <w:rsid w:val="2E406BEC"/>
    <w:rsid w:val="2E7B3D22"/>
    <w:rsid w:val="2E83212B"/>
    <w:rsid w:val="2EDB3A61"/>
    <w:rsid w:val="2F491B5D"/>
    <w:rsid w:val="2FDC22D0"/>
    <w:rsid w:val="2FF13040"/>
    <w:rsid w:val="307D49E3"/>
    <w:rsid w:val="30965A6E"/>
    <w:rsid w:val="30971795"/>
    <w:rsid w:val="32327822"/>
    <w:rsid w:val="324F0AB1"/>
    <w:rsid w:val="326226D9"/>
    <w:rsid w:val="32820EF4"/>
    <w:rsid w:val="335B3C85"/>
    <w:rsid w:val="338E60E9"/>
    <w:rsid w:val="33C944CB"/>
    <w:rsid w:val="33D40A7C"/>
    <w:rsid w:val="33F95DAB"/>
    <w:rsid w:val="34AC732B"/>
    <w:rsid w:val="34CD27C2"/>
    <w:rsid w:val="35032D7E"/>
    <w:rsid w:val="35356E8B"/>
    <w:rsid w:val="363D7E52"/>
    <w:rsid w:val="366C2B7A"/>
    <w:rsid w:val="36895528"/>
    <w:rsid w:val="36B73952"/>
    <w:rsid w:val="37B53DD6"/>
    <w:rsid w:val="37E02662"/>
    <w:rsid w:val="37E45C15"/>
    <w:rsid w:val="382B49A0"/>
    <w:rsid w:val="38A40ECA"/>
    <w:rsid w:val="38C63DD6"/>
    <w:rsid w:val="39A453CE"/>
    <w:rsid w:val="39AE714F"/>
    <w:rsid w:val="39FE51E3"/>
    <w:rsid w:val="3A085567"/>
    <w:rsid w:val="3A1E2D54"/>
    <w:rsid w:val="3A3019BD"/>
    <w:rsid w:val="3A621EEC"/>
    <w:rsid w:val="3B3D6F2F"/>
    <w:rsid w:val="3B807EE0"/>
    <w:rsid w:val="3CA52176"/>
    <w:rsid w:val="3CA65922"/>
    <w:rsid w:val="3CCF2901"/>
    <w:rsid w:val="3D080C44"/>
    <w:rsid w:val="3D4C1FD3"/>
    <w:rsid w:val="3FAA4467"/>
    <w:rsid w:val="3FB11C9A"/>
    <w:rsid w:val="3FE536F1"/>
    <w:rsid w:val="40036E1F"/>
    <w:rsid w:val="401B483B"/>
    <w:rsid w:val="4047615A"/>
    <w:rsid w:val="407D5894"/>
    <w:rsid w:val="40974BC2"/>
    <w:rsid w:val="41C87501"/>
    <w:rsid w:val="41DA19D0"/>
    <w:rsid w:val="41F669B6"/>
    <w:rsid w:val="420122FB"/>
    <w:rsid w:val="42194B45"/>
    <w:rsid w:val="423C06DD"/>
    <w:rsid w:val="42DD316C"/>
    <w:rsid w:val="43305963"/>
    <w:rsid w:val="438861FD"/>
    <w:rsid w:val="43D02173"/>
    <w:rsid w:val="43E07BD4"/>
    <w:rsid w:val="443C4754"/>
    <w:rsid w:val="446D6E42"/>
    <w:rsid w:val="44756BCF"/>
    <w:rsid w:val="44C24A7E"/>
    <w:rsid w:val="44D93B1A"/>
    <w:rsid w:val="44F536EC"/>
    <w:rsid w:val="45D75C29"/>
    <w:rsid w:val="45F56103"/>
    <w:rsid w:val="462B36CF"/>
    <w:rsid w:val="46B8005A"/>
    <w:rsid w:val="47270DA1"/>
    <w:rsid w:val="476F07F0"/>
    <w:rsid w:val="47763062"/>
    <w:rsid w:val="485F2408"/>
    <w:rsid w:val="48841A45"/>
    <w:rsid w:val="48FF4813"/>
    <w:rsid w:val="4911355A"/>
    <w:rsid w:val="496366C7"/>
    <w:rsid w:val="4A5F68A6"/>
    <w:rsid w:val="4A9E221C"/>
    <w:rsid w:val="4B2F236F"/>
    <w:rsid w:val="4B4B11E1"/>
    <w:rsid w:val="4B6E09D0"/>
    <w:rsid w:val="4B885722"/>
    <w:rsid w:val="4BD7630A"/>
    <w:rsid w:val="4C0E1178"/>
    <w:rsid w:val="4C224B61"/>
    <w:rsid w:val="4D655830"/>
    <w:rsid w:val="4D6D4C09"/>
    <w:rsid w:val="4DB43081"/>
    <w:rsid w:val="4E141941"/>
    <w:rsid w:val="4EA840D2"/>
    <w:rsid w:val="4ECC324D"/>
    <w:rsid w:val="4F3931D4"/>
    <w:rsid w:val="4FA240C2"/>
    <w:rsid w:val="4FAD25E7"/>
    <w:rsid w:val="4FF3197B"/>
    <w:rsid w:val="50016834"/>
    <w:rsid w:val="501F5087"/>
    <w:rsid w:val="51D35A9F"/>
    <w:rsid w:val="5247445F"/>
    <w:rsid w:val="52F511F4"/>
    <w:rsid w:val="536A0212"/>
    <w:rsid w:val="538C5F50"/>
    <w:rsid w:val="53D928F4"/>
    <w:rsid w:val="53F61B49"/>
    <w:rsid w:val="53FE3574"/>
    <w:rsid w:val="540344BB"/>
    <w:rsid w:val="54E81D95"/>
    <w:rsid w:val="553C29B5"/>
    <w:rsid w:val="55B814AD"/>
    <w:rsid w:val="55BD51E8"/>
    <w:rsid w:val="55FD7E39"/>
    <w:rsid w:val="56124CA9"/>
    <w:rsid w:val="56F50547"/>
    <w:rsid w:val="57277DB8"/>
    <w:rsid w:val="5741540F"/>
    <w:rsid w:val="57594ECB"/>
    <w:rsid w:val="591413EF"/>
    <w:rsid w:val="595B7E9D"/>
    <w:rsid w:val="598F6686"/>
    <w:rsid w:val="59E22AC0"/>
    <w:rsid w:val="5A495741"/>
    <w:rsid w:val="5AC95965"/>
    <w:rsid w:val="5B163AB7"/>
    <w:rsid w:val="5B671838"/>
    <w:rsid w:val="5B82603A"/>
    <w:rsid w:val="5BDB57C6"/>
    <w:rsid w:val="5C311C73"/>
    <w:rsid w:val="5CB965D9"/>
    <w:rsid w:val="5DAB154C"/>
    <w:rsid w:val="5E1A69B3"/>
    <w:rsid w:val="5F4E7EDA"/>
    <w:rsid w:val="5FC15189"/>
    <w:rsid w:val="5FD30092"/>
    <w:rsid w:val="608D6F3B"/>
    <w:rsid w:val="61D13262"/>
    <w:rsid w:val="621F132D"/>
    <w:rsid w:val="622B6D0B"/>
    <w:rsid w:val="62595244"/>
    <w:rsid w:val="627B3069"/>
    <w:rsid w:val="629608F0"/>
    <w:rsid w:val="62F977F1"/>
    <w:rsid w:val="63665BD5"/>
    <w:rsid w:val="64C04ED5"/>
    <w:rsid w:val="65267BBD"/>
    <w:rsid w:val="656A56B1"/>
    <w:rsid w:val="6577172A"/>
    <w:rsid w:val="657838F7"/>
    <w:rsid w:val="658971F4"/>
    <w:rsid w:val="65BF0105"/>
    <w:rsid w:val="65D62E60"/>
    <w:rsid w:val="65D94029"/>
    <w:rsid w:val="66361DB7"/>
    <w:rsid w:val="66522FDF"/>
    <w:rsid w:val="671B1407"/>
    <w:rsid w:val="68D4090E"/>
    <w:rsid w:val="68F205FC"/>
    <w:rsid w:val="69096CF1"/>
    <w:rsid w:val="694B1E9F"/>
    <w:rsid w:val="697F2C44"/>
    <w:rsid w:val="6A384A92"/>
    <w:rsid w:val="6A530E57"/>
    <w:rsid w:val="6AC931BB"/>
    <w:rsid w:val="6B1A261E"/>
    <w:rsid w:val="6B3451DC"/>
    <w:rsid w:val="6B4E3A65"/>
    <w:rsid w:val="6C363F51"/>
    <w:rsid w:val="6D5172C8"/>
    <w:rsid w:val="6D9F184F"/>
    <w:rsid w:val="6DAC1D3E"/>
    <w:rsid w:val="6DD707A9"/>
    <w:rsid w:val="6E0B117C"/>
    <w:rsid w:val="6E597DBE"/>
    <w:rsid w:val="6E701725"/>
    <w:rsid w:val="6E996E51"/>
    <w:rsid w:val="6EE044A9"/>
    <w:rsid w:val="6F2B042D"/>
    <w:rsid w:val="6F34119D"/>
    <w:rsid w:val="6F5342B5"/>
    <w:rsid w:val="6F86241B"/>
    <w:rsid w:val="70364F31"/>
    <w:rsid w:val="705310E6"/>
    <w:rsid w:val="70A115EB"/>
    <w:rsid w:val="70F47CA8"/>
    <w:rsid w:val="720A7BB6"/>
    <w:rsid w:val="7214383E"/>
    <w:rsid w:val="72206064"/>
    <w:rsid w:val="73A53BF3"/>
    <w:rsid w:val="73F3543A"/>
    <w:rsid w:val="740814E4"/>
    <w:rsid w:val="741301BF"/>
    <w:rsid w:val="744D716B"/>
    <w:rsid w:val="74566F11"/>
    <w:rsid w:val="74B42A00"/>
    <w:rsid w:val="74D36C9A"/>
    <w:rsid w:val="74F126BE"/>
    <w:rsid w:val="750632D6"/>
    <w:rsid w:val="751D7614"/>
    <w:rsid w:val="7535387E"/>
    <w:rsid w:val="753C303D"/>
    <w:rsid w:val="7544443B"/>
    <w:rsid w:val="76703FB5"/>
    <w:rsid w:val="767E4C92"/>
    <w:rsid w:val="772752DF"/>
    <w:rsid w:val="77F24FA9"/>
    <w:rsid w:val="786728C9"/>
    <w:rsid w:val="789915CE"/>
    <w:rsid w:val="78B25C7E"/>
    <w:rsid w:val="793A116E"/>
    <w:rsid w:val="79DA230D"/>
    <w:rsid w:val="7A046447"/>
    <w:rsid w:val="7A0F6CE8"/>
    <w:rsid w:val="7A736E3D"/>
    <w:rsid w:val="7A775BB7"/>
    <w:rsid w:val="7B5E2BF8"/>
    <w:rsid w:val="7BE43F56"/>
    <w:rsid w:val="7BEB323D"/>
    <w:rsid w:val="7C201B9C"/>
    <w:rsid w:val="7C2F4502"/>
    <w:rsid w:val="7C3974EC"/>
    <w:rsid w:val="7C6423A7"/>
    <w:rsid w:val="7DCC76C3"/>
    <w:rsid w:val="7DDE2304"/>
    <w:rsid w:val="7E2C3CBE"/>
    <w:rsid w:val="7E4C5F38"/>
    <w:rsid w:val="7E6D3342"/>
    <w:rsid w:val="7E711F53"/>
    <w:rsid w:val="7E8D2612"/>
    <w:rsid w:val="7F596F47"/>
    <w:rsid w:val="7F5C0E2F"/>
    <w:rsid w:val="7F8F4C18"/>
    <w:rsid w:val="7F9E6EE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qFormat="1"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99"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jc w:val="both"/>
    </w:pPr>
    <w:rPr>
      <w:rFonts w:ascii="宋体" w:hAnsi="宋体" w:eastAsia="宋体" w:cs="Times New Roman"/>
      <w:kern w:val="2"/>
      <w:sz w:val="21"/>
      <w:szCs w:val="24"/>
      <w:lang w:val="en-US" w:eastAsia="zh-CN" w:bidi="ar-SA"/>
    </w:rPr>
  </w:style>
  <w:style w:type="paragraph" w:styleId="2">
    <w:name w:val="heading 1"/>
    <w:basedOn w:val="1"/>
    <w:next w:val="1"/>
    <w:link w:val="63"/>
    <w:qFormat/>
    <w:uiPriority w:val="9"/>
    <w:pPr>
      <w:keepNext/>
      <w:keepLines/>
      <w:spacing w:before="340" w:after="330" w:line="578" w:lineRule="auto"/>
      <w:jc w:val="center"/>
      <w:outlineLvl w:val="0"/>
    </w:pPr>
    <w:rPr>
      <w:rFonts w:eastAsia="文鼎CS中黑"/>
      <w:b/>
      <w:bCs/>
      <w:kern w:val="44"/>
      <w:sz w:val="52"/>
      <w:szCs w:val="44"/>
    </w:rPr>
  </w:style>
  <w:style w:type="paragraph" w:styleId="3">
    <w:name w:val="heading 2"/>
    <w:basedOn w:val="1"/>
    <w:next w:val="1"/>
    <w:link w:val="64"/>
    <w:qFormat/>
    <w:uiPriority w:val="9"/>
    <w:pPr>
      <w:keepNext/>
      <w:keepLines/>
      <w:spacing w:before="260" w:after="260" w:line="416" w:lineRule="auto"/>
      <w:outlineLvl w:val="1"/>
    </w:pPr>
    <w:rPr>
      <w:rFonts w:ascii="Wingdings" w:hAnsi="Wingdings" w:eastAsia="文鼎CS中黑"/>
      <w:b/>
      <w:bCs/>
      <w:sz w:val="32"/>
      <w:szCs w:val="32"/>
    </w:rPr>
  </w:style>
  <w:style w:type="paragraph" w:styleId="4">
    <w:name w:val="heading 3"/>
    <w:basedOn w:val="1"/>
    <w:next w:val="1"/>
    <w:link w:val="65"/>
    <w:qFormat/>
    <w:uiPriority w:val="9"/>
    <w:pPr>
      <w:keepNext/>
      <w:keepLines/>
      <w:spacing w:before="260" w:after="260" w:line="416" w:lineRule="auto"/>
      <w:outlineLvl w:val="2"/>
    </w:pPr>
    <w:rPr>
      <w:rFonts w:eastAsia="Courier New"/>
      <w:b/>
      <w:bCs/>
      <w:sz w:val="32"/>
      <w:szCs w:val="32"/>
    </w:rPr>
  </w:style>
  <w:style w:type="paragraph" w:styleId="5">
    <w:name w:val="heading 4"/>
    <w:basedOn w:val="1"/>
    <w:next w:val="1"/>
    <w:link w:val="66"/>
    <w:qFormat/>
    <w:uiPriority w:val="9"/>
    <w:pPr>
      <w:keepNext/>
      <w:keepLines/>
      <w:jc w:val="center"/>
      <w:outlineLvl w:val="3"/>
    </w:pPr>
    <w:rPr>
      <w:bCs/>
      <w:sz w:val="28"/>
    </w:rPr>
  </w:style>
  <w:style w:type="paragraph" w:styleId="6">
    <w:name w:val="heading 5"/>
    <w:basedOn w:val="1"/>
    <w:next w:val="1"/>
    <w:link w:val="67"/>
    <w:qFormat/>
    <w:uiPriority w:val="0"/>
    <w:pPr>
      <w:keepNext/>
      <w:keepLines/>
      <w:jc w:val="center"/>
      <w:outlineLvl w:val="4"/>
    </w:pPr>
    <w:rPr>
      <w:b/>
      <w:sz w:val="44"/>
    </w:rPr>
  </w:style>
  <w:style w:type="paragraph" w:styleId="7">
    <w:name w:val="heading 6"/>
    <w:basedOn w:val="1"/>
    <w:next w:val="1"/>
    <w:link w:val="68"/>
    <w:qFormat/>
    <w:uiPriority w:val="0"/>
    <w:pPr>
      <w:keepNext/>
      <w:keepLines/>
      <w:spacing w:before="240" w:after="64" w:line="320" w:lineRule="auto"/>
      <w:outlineLvl w:val="5"/>
    </w:pPr>
    <w:rPr>
      <w:rFonts w:ascii="等线 Light" w:hAnsi="等线 Light" w:eastAsia="等线 Light"/>
      <w:b/>
      <w:bCs/>
      <w:sz w:val="24"/>
    </w:rPr>
  </w:style>
  <w:style w:type="paragraph" w:styleId="8">
    <w:name w:val="heading 7"/>
    <w:basedOn w:val="1"/>
    <w:next w:val="1"/>
    <w:link w:val="69"/>
    <w:qFormat/>
    <w:uiPriority w:val="0"/>
    <w:pPr>
      <w:keepNext/>
      <w:keepLines/>
      <w:tabs>
        <w:tab w:val="left" w:pos="1296"/>
      </w:tabs>
      <w:spacing w:before="260" w:after="260" w:line="319" w:lineRule="auto"/>
      <w:outlineLvl w:val="6"/>
    </w:pPr>
    <w:rPr>
      <w:b/>
      <w:bCs/>
      <w:sz w:val="24"/>
    </w:rPr>
  </w:style>
  <w:style w:type="paragraph" w:styleId="9">
    <w:name w:val="heading 8"/>
    <w:basedOn w:val="1"/>
    <w:next w:val="1"/>
    <w:link w:val="70"/>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71"/>
    <w:qFormat/>
    <w:uiPriority w:val="0"/>
    <w:pPr>
      <w:keepNext/>
      <w:keepLines/>
      <w:tabs>
        <w:tab w:val="left" w:pos="1584"/>
      </w:tabs>
      <w:spacing w:before="240" w:after="64" w:line="320" w:lineRule="auto"/>
      <w:ind w:left="1584" w:hanging="1584"/>
      <w:outlineLvl w:val="8"/>
    </w:pPr>
    <w:rPr>
      <w:rFonts w:ascii="Arial" w:hAnsi="Arial" w:eastAsia="黑体"/>
      <w:sz w:val="24"/>
      <w:szCs w:val="21"/>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1260"/>
      <w:jc w:val="left"/>
    </w:pPr>
    <w:rPr>
      <w:rFonts w:asciiTheme="minorHAnsi" w:eastAsiaTheme="minorHAnsi"/>
      <w:sz w:val="18"/>
      <w:szCs w:val="18"/>
    </w:rPr>
  </w:style>
  <w:style w:type="paragraph" w:styleId="12">
    <w:name w:val="List Number"/>
    <w:basedOn w:val="1"/>
    <w:qFormat/>
    <w:uiPriority w:val="0"/>
    <w:pPr>
      <w:tabs>
        <w:tab w:val="left" w:pos="845"/>
      </w:tabs>
      <w:adjustRightInd w:val="0"/>
      <w:ind w:left="845" w:hanging="420"/>
      <w:textAlignment w:val="baseline"/>
    </w:pPr>
    <w:rPr>
      <w:b/>
      <w:bCs/>
      <w:color w:val="000000"/>
      <w:kern w:val="0"/>
      <w:sz w:val="24"/>
      <w:szCs w:val="20"/>
    </w:rPr>
  </w:style>
  <w:style w:type="paragraph" w:styleId="13">
    <w:name w:val="Normal Indent"/>
    <w:basedOn w:val="1"/>
    <w:next w:val="1"/>
    <w:link w:val="72"/>
    <w:qFormat/>
    <w:uiPriority w:val="0"/>
    <w:pPr>
      <w:autoSpaceDE w:val="0"/>
      <w:autoSpaceDN w:val="0"/>
      <w:adjustRightInd w:val="0"/>
      <w:ind w:firstLine="420"/>
      <w:jc w:val="left"/>
      <w:textAlignment w:val="baseline"/>
    </w:pPr>
    <w:rPr>
      <w:rFonts w:eastAsia="Courier New"/>
      <w:kern w:val="0"/>
      <w:sz w:val="34"/>
      <w:szCs w:val="20"/>
    </w:rPr>
  </w:style>
  <w:style w:type="paragraph" w:styleId="14">
    <w:name w:val="caption"/>
    <w:basedOn w:val="1"/>
    <w:next w:val="1"/>
    <w:qFormat/>
    <w:uiPriority w:val="35"/>
    <w:rPr>
      <w:rFonts w:ascii="Wingdings" w:hAnsi="Wingdings" w:eastAsia="文鼎CS中黑" w:cs="Wingdings"/>
      <w:sz w:val="20"/>
      <w:szCs w:val="20"/>
    </w:rPr>
  </w:style>
  <w:style w:type="paragraph" w:styleId="15">
    <w:name w:val="Document Map"/>
    <w:basedOn w:val="1"/>
    <w:link w:val="333"/>
    <w:qFormat/>
    <w:uiPriority w:val="99"/>
    <w:pPr>
      <w:shd w:val="clear" w:color="auto" w:fill="000080"/>
    </w:pPr>
  </w:style>
  <w:style w:type="paragraph" w:styleId="16">
    <w:name w:val="annotation text"/>
    <w:basedOn w:val="1"/>
    <w:link w:val="73"/>
    <w:qFormat/>
    <w:uiPriority w:val="99"/>
    <w:pPr>
      <w:jc w:val="left"/>
    </w:pPr>
  </w:style>
  <w:style w:type="paragraph" w:styleId="17">
    <w:name w:val="Salutation"/>
    <w:basedOn w:val="1"/>
    <w:next w:val="1"/>
    <w:link w:val="334"/>
    <w:qFormat/>
    <w:uiPriority w:val="0"/>
  </w:style>
  <w:style w:type="paragraph" w:styleId="18">
    <w:name w:val="Body Text 3"/>
    <w:basedOn w:val="1"/>
    <w:link w:val="335"/>
    <w:qFormat/>
    <w:uiPriority w:val="0"/>
    <w:pPr>
      <w:spacing w:after="120"/>
    </w:pPr>
    <w:rPr>
      <w:sz w:val="16"/>
      <w:szCs w:val="16"/>
    </w:rPr>
  </w:style>
  <w:style w:type="paragraph" w:styleId="19">
    <w:name w:val="Body Text"/>
    <w:basedOn w:val="1"/>
    <w:next w:val="1"/>
    <w:link w:val="62"/>
    <w:qFormat/>
    <w:uiPriority w:val="0"/>
  </w:style>
  <w:style w:type="paragraph" w:styleId="20">
    <w:name w:val="Body Text Indent"/>
    <w:basedOn w:val="1"/>
    <w:link w:val="74"/>
    <w:qFormat/>
    <w:uiPriority w:val="0"/>
    <w:pPr>
      <w:adjustRightInd w:val="0"/>
      <w:snapToGrid w:val="0"/>
      <w:ind w:firstLine="420" w:firstLineChars="200"/>
    </w:pPr>
  </w:style>
  <w:style w:type="paragraph" w:styleId="21">
    <w:name w:val="toc 5"/>
    <w:basedOn w:val="1"/>
    <w:next w:val="1"/>
    <w:qFormat/>
    <w:uiPriority w:val="39"/>
    <w:pPr>
      <w:ind w:left="840"/>
      <w:jc w:val="left"/>
    </w:pPr>
    <w:rPr>
      <w:rFonts w:asciiTheme="minorHAnsi" w:eastAsiaTheme="minorHAnsi"/>
      <w:sz w:val="18"/>
      <w:szCs w:val="18"/>
    </w:rPr>
  </w:style>
  <w:style w:type="paragraph" w:styleId="22">
    <w:name w:val="toc 3"/>
    <w:basedOn w:val="1"/>
    <w:next w:val="1"/>
    <w:qFormat/>
    <w:uiPriority w:val="39"/>
    <w:pPr>
      <w:ind w:left="420"/>
      <w:jc w:val="left"/>
    </w:pPr>
    <w:rPr>
      <w:rFonts w:asciiTheme="minorHAnsi" w:eastAsiaTheme="minorHAnsi"/>
      <w:i/>
      <w:iCs/>
      <w:sz w:val="20"/>
      <w:szCs w:val="20"/>
    </w:rPr>
  </w:style>
  <w:style w:type="paragraph" w:styleId="23">
    <w:name w:val="Plain Text"/>
    <w:basedOn w:val="1"/>
    <w:link w:val="75"/>
    <w:qFormat/>
    <w:uiPriority w:val="0"/>
    <w:rPr>
      <w:rFonts w:hAnsi="等线 Light" w:eastAsia="Courier New" w:cs="等线 Light"/>
      <w:szCs w:val="21"/>
    </w:rPr>
  </w:style>
  <w:style w:type="paragraph" w:styleId="24">
    <w:name w:val="toc 8"/>
    <w:basedOn w:val="1"/>
    <w:next w:val="1"/>
    <w:qFormat/>
    <w:uiPriority w:val="39"/>
    <w:pPr>
      <w:ind w:left="1470"/>
      <w:jc w:val="left"/>
    </w:pPr>
    <w:rPr>
      <w:rFonts w:asciiTheme="minorHAnsi" w:eastAsiaTheme="minorHAnsi"/>
      <w:sz w:val="18"/>
      <w:szCs w:val="18"/>
    </w:rPr>
  </w:style>
  <w:style w:type="paragraph" w:styleId="25">
    <w:name w:val="Date"/>
    <w:basedOn w:val="1"/>
    <w:next w:val="1"/>
    <w:link w:val="76"/>
    <w:qFormat/>
    <w:uiPriority w:val="99"/>
    <w:pPr>
      <w:autoSpaceDE w:val="0"/>
      <w:autoSpaceDN w:val="0"/>
      <w:adjustRightInd w:val="0"/>
      <w:textAlignment w:val="baseline"/>
    </w:pPr>
    <w:rPr>
      <w:kern w:val="0"/>
      <w:sz w:val="28"/>
      <w:szCs w:val="20"/>
    </w:rPr>
  </w:style>
  <w:style w:type="paragraph" w:styleId="26">
    <w:name w:val="Body Text Indent 2"/>
    <w:basedOn w:val="1"/>
    <w:link w:val="77"/>
    <w:qFormat/>
    <w:uiPriority w:val="0"/>
    <w:pPr>
      <w:spacing w:line="480" w:lineRule="exact"/>
      <w:ind w:left="810" w:firstLine="675"/>
    </w:pPr>
    <w:rPr>
      <w:rFonts w:eastAsia="SimSun-Identity-H"/>
      <w:sz w:val="30"/>
      <w:szCs w:val="20"/>
    </w:rPr>
  </w:style>
  <w:style w:type="paragraph" w:styleId="27">
    <w:name w:val="endnote text"/>
    <w:basedOn w:val="1"/>
    <w:link w:val="78"/>
    <w:qFormat/>
    <w:uiPriority w:val="0"/>
    <w:pPr>
      <w:snapToGrid w:val="0"/>
      <w:jc w:val="left"/>
    </w:pPr>
  </w:style>
  <w:style w:type="paragraph" w:styleId="28">
    <w:name w:val="Balloon Text"/>
    <w:basedOn w:val="1"/>
    <w:link w:val="79"/>
    <w:qFormat/>
    <w:uiPriority w:val="0"/>
    <w:rPr>
      <w:sz w:val="18"/>
      <w:szCs w:val="18"/>
    </w:rPr>
  </w:style>
  <w:style w:type="paragraph" w:styleId="29">
    <w:name w:val="footer"/>
    <w:basedOn w:val="1"/>
    <w:link w:val="80"/>
    <w:qFormat/>
    <w:uiPriority w:val="99"/>
    <w:pPr>
      <w:tabs>
        <w:tab w:val="center" w:pos="4153"/>
        <w:tab w:val="right" w:pos="8306"/>
      </w:tabs>
      <w:snapToGrid w:val="0"/>
      <w:jc w:val="left"/>
    </w:pPr>
    <w:rPr>
      <w:rFonts w:eastAsia="Courier New"/>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1"/>
    <w:next w:val="1"/>
    <w:qFormat/>
    <w:uiPriority w:val="39"/>
    <w:pPr>
      <w:spacing w:before="120" w:after="120"/>
      <w:jc w:val="left"/>
    </w:pPr>
    <w:rPr>
      <w:rFonts w:asciiTheme="minorHAnsi" w:eastAsiaTheme="minorHAnsi"/>
      <w:b/>
      <w:bCs/>
      <w:caps/>
      <w:sz w:val="20"/>
      <w:szCs w:val="20"/>
    </w:rPr>
  </w:style>
  <w:style w:type="paragraph" w:styleId="32">
    <w:name w:val="toc 4"/>
    <w:basedOn w:val="1"/>
    <w:next w:val="1"/>
    <w:qFormat/>
    <w:uiPriority w:val="39"/>
    <w:pPr>
      <w:ind w:left="630"/>
      <w:jc w:val="left"/>
    </w:pPr>
    <w:rPr>
      <w:rFonts w:asciiTheme="minorHAnsi" w:eastAsiaTheme="minorHAnsi"/>
      <w:sz w:val="18"/>
      <w:szCs w:val="18"/>
    </w:rPr>
  </w:style>
  <w:style w:type="paragraph" w:styleId="33">
    <w:name w:val="index heading"/>
    <w:basedOn w:val="1"/>
    <w:next w:val="34"/>
    <w:qFormat/>
    <w:uiPriority w:val="0"/>
    <w:rPr>
      <w:szCs w:val="20"/>
    </w:rPr>
  </w:style>
  <w:style w:type="paragraph" w:styleId="34">
    <w:name w:val="index 1"/>
    <w:basedOn w:val="1"/>
    <w:next w:val="1"/>
    <w:qFormat/>
    <w:uiPriority w:val="0"/>
  </w:style>
  <w:style w:type="paragraph" w:styleId="35">
    <w:name w:val="footnote text"/>
    <w:basedOn w:val="1"/>
    <w:link w:val="82"/>
    <w:qFormat/>
    <w:uiPriority w:val="0"/>
    <w:pPr>
      <w:snapToGrid w:val="0"/>
      <w:jc w:val="left"/>
    </w:pPr>
    <w:rPr>
      <w:sz w:val="18"/>
      <w:szCs w:val="20"/>
    </w:rPr>
  </w:style>
  <w:style w:type="paragraph" w:styleId="36">
    <w:name w:val="toc 6"/>
    <w:basedOn w:val="1"/>
    <w:next w:val="1"/>
    <w:qFormat/>
    <w:uiPriority w:val="39"/>
    <w:pPr>
      <w:ind w:left="1050"/>
      <w:jc w:val="left"/>
    </w:pPr>
    <w:rPr>
      <w:rFonts w:asciiTheme="minorHAnsi" w:eastAsiaTheme="minorHAnsi"/>
      <w:sz w:val="18"/>
      <w:szCs w:val="18"/>
    </w:rPr>
  </w:style>
  <w:style w:type="paragraph" w:styleId="37">
    <w:name w:val="Body Text Indent 3"/>
    <w:basedOn w:val="1"/>
    <w:link w:val="83"/>
    <w:qFormat/>
    <w:uiPriority w:val="99"/>
    <w:pPr>
      <w:adjustRightInd w:val="0"/>
      <w:snapToGrid w:val="0"/>
      <w:ind w:firstLine="560" w:firstLineChars="200"/>
    </w:pPr>
    <w:rPr>
      <w:sz w:val="28"/>
    </w:rPr>
  </w:style>
  <w:style w:type="paragraph" w:styleId="38">
    <w:name w:val="toc 2"/>
    <w:basedOn w:val="1"/>
    <w:next w:val="1"/>
    <w:qFormat/>
    <w:uiPriority w:val="39"/>
    <w:pPr>
      <w:ind w:left="210"/>
      <w:jc w:val="left"/>
    </w:pPr>
    <w:rPr>
      <w:rFonts w:asciiTheme="minorHAnsi" w:eastAsiaTheme="minorHAnsi"/>
      <w:smallCaps/>
      <w:sz w:val="20"/>
      <w:szCs w:val="20"/>
    </w:rPr>
  </w:style>
  <w:style w:type="paragraph" w:styleId="39">
    <w:name w:val="toc 9"/>
    <w:basedOn w:val="1"/>
    <w:next w:val="1"/>
    <w:qFormat/>
    <w:uiPriority w:val="39"/>
    <w:pPr>
      <w:ind w:left="1680"/>
      <w:jc w:val="left"/>
    </w:pPr>
    <w:rPr>
      <w:rFonts w:asciiTheme="minorHAnsi" w:eastAsiaTheme="minorHAnsi"/>
      <w:sz w:val="18"/>
      <w:szCs w:val="18"/>
    </w:rPr>
  </w:style>
  <w:style w:type="paragraph" w:styleId="40">
    <w:name w:val="Body Text 2"/>
    <w:basedOn w:val="1"/>
    <w:link w:val="84"/>
    <w:qFormat/>
    <w:uiPriority w:val="0"/>
    <w:pPr>
      <w:spacing w:after="120" w:line="480" w:lineRule="auto"/>
    </w:pPr>
  </w:style>
  <w:style w:type="paragraph" w:styleId="41">
    <w:name w:val="Normal (Web)"/>
    <w:basedOn w:val="1"/>
    <w:qFormat/>
    <w:uiPriority w:val="0"/>
    <w:pPr>
      <w:spacing w:before="100" w:beforeAutospacing="1" w:after="100" w:afterAutospacing="1"/>
      <w:jc w:val="left"/>
    </w:pPr>
    <w:rPr>
      <w:color w:val="000000"/>
      <w:kern w:val="0"/>
      <w:sz w:val="24"/>
    </w:rPr>
  </w:style>
  <w:style w:type="paragraph" w:styleId="42">
    <w:name w:val="Title"/>
    <w:basedOn w:val="1"/>
    <w:link w:val="85"/>
    <w:qFormat/>
    <w:uiPriority w:val="0"/>
    <w:pPr>
      <w:spacing w:before="240" w:after="60"/>
      <w:jc w:val="center"/>
      <w:outlineLvl w:val="0"/>
    </w:pPr>
    <w:rPr>
      <w:rFonts w:ascii="Wingdings" w:hAnsi="Wingdings"/>
      <w:b/>
      <w:bCs/>
      <w:sz w:val="32"/>
      <w:szCs w:val="32"/>
    </w:rPr>
  </w:style>
  <w:style w:type="paragraph" w:styleId="43">
    <w:name w:val="annotation subject"/>
    <w:basedOn w:val="16"/>
    <w:next w:val="16"/>
    <w:link w:val="86"/>
    <w:qFormat/>
    <w:uiPriority w:val="0"/>
    <w:rPr>
      <w:b/>
      <w:bCs/>
    </w:rPr>
  </w:style>
  <w:style w:type="paragraph" w:styleId="44">
    <w:name w:val="Body Text First Indent"/>
    <w:basedOn w:val="19"/>
    <w:link w:val="336"/>
    <w:qFormat/>
    <w:uiPriority w:val="99"/>
    <w:pPr>
      <w:spacing w:after="120" w:line="240" w:lineRule="auto"/>
      <w:ind w:firstLine="420" w:firstLineChars="100"/>
    </w:pPr>
  </w:style>
  <w:style w:type="paragraph" w:styleId="45">
    <w:name w:val="Body Text First Indent 2"/>
    <w:basedOn w:val="20"/>
    <w:link w:val="87"/>
    <w:qFormat/>
    <w:uiPriority w:val="99"/>
    <w:pPr>
      <w:adjustRightInd/>
      <w:snapToGrid/>
      <w:spacing w:after="120" w:line="240" w:lineRule="auto"/>
      <w:ind w:left="420" w:leftChars="200"/>
    </w:pPr>
  </w:style>
  <w:style w:type="table" w:styleId="47">
    <w:name w:val="Table Grid"/>
    <w:basedOn w:val="46"/>
    <w:unhideWhenUse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9">
    <w:name w:val="Strong"/>
    <w:qFormat/>
    <w:uiPriority w:val="0"/>
    <w:rPr>
      <w:rFonts w:ascii="仿宋" w:hAnsi="仿宋" w:eastAsia="Courier New"/>
      <w:b/>
      <w:bCs/>
      <w:spacing w:val="10"/>
      <w:sz w:val="24"/>
      <w:lang w:val="en-US" w:eastAsia="zh-CN" w:bidi="ar-SA"/>
    </w:rPr>
  </w:style>
  <w:style w:type="character" w:styleId="50">
    <w:name w:val="endnote reference"/>
    <w:qFormat/>
    <w:uiPriority w:val="0"/>
    <w:rPr>
      <w:vertAlign w:val="superscript"/>
    </w:rPr>
  </w:style>
  <w:style w:type="character" w:styleId="51">
    <w:name w:val="page number"/>
    <w:qFormat/>
    <w:uiPriority w:val="0"/>
  </w:style>
  <w:style w:type="character" w:styleId="52">
    <w:name w:val="FollowedHyperlink"/>
    <w:qFormat/>
    <w:uiPriority w:val="0"/>
    <w:rPr>
      <w:color w:val="333333"/>
      <w:u w:val="none"/>
    </w:rPr>
  </w:style>
  <w:style w:type="character" w:styleId="53">
    <w:name w:val="Emphasis"/>
    <w:qFormat/>
    <w:uiPriority w:val="0"/>
    <w:rPr>
      <w:i/>
      <w:iCs/>
    </w:rPr>
  </w:style>
  <w:style w:type="character" w:styleId="54">
    <w:name w:val="HTML Definition"/>
    <w:qFormat/>
    <w:uiPriority w:val="0"/>
  </w:style>
  <w:style w:type="character" w:styleId="55">
    <w:name w:val="HTML Acronym"/>
    <w:qFormat/>
    <w:uiPriority w:val="0"/>
  </w:style>
  <w:style w:type="character" w:styleId="56">
    <w:name w:val="HTML Variable"/>
    <w:qFormat/>
    <w:uiPriority w:val="0"/>
  </w:style>
  <w:style w:type="character" w:styleId="57">
    <w:name w:val="Hyperlink"/>
    <w:qFormat/>
    <w:uiPriority w:val="99"/>
    <w:rPr>
      <w:color w:val="333333"/>
      <w:u w:val="none"/>
    </w:rPr>
  </w:style>
  <w:style w:type="character" w:styleId="58">
    <w:name w:val="HTML Code"/>
    <w:qFormat/>
    <w:uiPriority w:val="0"/>
    <w:rPr>
      <w:rFonts w:ascii="Courier New" w:hAnsi="Courier New"/>
      <w:sz w:val="20"/>
    </w:rPr>
  </w:style>
  <w:style w:type="character" w:styleId="59">
    <w:name w:val="annotation reference"/>
    <w:qFormat/>
    <w:uiPriority w:val="99"/>
    <w:rPr>
      <w:sz w:val="21"/>
      <w:szCs w:val="21"/>
    </w:rPr>
  </w:style>
  <w:style w:type="character" w:styleId="60">
    <w:name w:val="HTML Cite"/>
    <w:qFormat/>
    <w:uiPriority w:val="0"/>
  </w:style>
  <w:style w:type="paragraph" w:customStyle="1" w:styleId="61">
    <w:name w:val="_Style 2"/>
    <w:basedOn w:val="1"/>
    <w:next w:val="1"/>
    <w:qFormat/>
    <w:uiPriority w:val="99"/>
    <w:pPr>
      <w:ind w:firstLine="420"/>
    </w:pPr>
    <w:rPr>
      <w:rFonts w:ascii="Cambria" w:hAnsi="Cambria"/>
    </w:rPr>
  </w:style>
  <w:style w:type="character" w:customStyle="1" w:styleId="62">
    <w:name w:val="正文文本 字符"/>
    <w:link w:val="19"/>
    <w:qFormat/>
    <w:uiPriority w:val="0"/>
    <w:rPr>
      <w:rFonts w:ascii="宋体" w:hAnsi="宋体"/>
    </w:rPr>
  </w:style>
  <w:style w:type="character" w:customStyle="1" w:styleId="63">
    <w:name w:val="标题 1 字符"/>
    <w:link w:val="2"/>
    <w:qFormat/>
    <w:uiPriority w:val="9"/>
    <w:rPr>
      <w:rFonts w:eastAsia="文鼎CS中黑"/>
      <w:b/>
      <w:bCs/>
      <w:kern w:val="44"/>
      <w:sz w:val="52"/>
      <w:szCs w:val="44"/>
    </w:rPr>
  </w:style>
  <w:style w:type="character" w:customStyle="1" w:styleId="64">
    <w:name w:val="标题 2 字符"/>
    <w:link w:val="3"/>
    <w:qFormat/>
    <w:uiPriority w:val="9"/>
    <w:rPr>
      <w:rFonts w:ascii="Wingdings" w:hAnsi="Wingdings" w:eastAsia="文鼎CS中黑"/>
      <w:b/>
      <w:bCs/>
      <w:kern w:val="2"/>
      <w:sz w:val="32"/>
      <w:szCs w:val="32"/>
    </w:rPr>
  </w:style>
  <w:style w:type="character" w:customStyle="1" w:styleId="65">
    <w:name w:val="标题 3 字符"/>
    <w:link w:val="4"/>
    <w:qFormat/>
    <w:uiPriority w:val="9"/>
    <w:rPr>
      <w:rFonts w:eastAsia="Courier New"/>
      <w:b/>
      <w:bCs/>
      <w:kern w:val="2"/>
      <w:sz w:val="32"/>
      <w:szCs w:val="32"/>
      <w:lang w:val="en-US" w:eastAsia="zh-CN" w:bidi="ar-SA"/>
    </w:rPr>
  </w:style>
  <w:style w:type="character" w:customStyle="1" w:styleId="66">
    <w:name w:val="标题 4 字符"/>
    <w:link w:val="5"/>
    <w:qFormat/>
    <w:uiPriority w:val="9"/>
    <w:rPr>
      <w:rFonts w:ascii="Courier New" w:hAnsi="Courier New"/>
      <w:bCs/>
      <w:kern w:val="2"/>
      <w:sz w:val="28"/>
      <w:szCs w:val="24"/>
    </w:rPr>
  </w:style>
  <w:style w:type="character" w:customStyle="1" w:styleId="67">
    <w:name w:val="标题 5 字符"/>
    <w:link w:val="6"/>
    <w:qFormat/>
    <w:uiPriority w:val="0"/>
    <w:rPr>
      <w:rFonts w:ascii="Courier New" w:hAnsi="Courier New"/>
      <w:b/>
      <w:kern w:val="2"/>
      <w:sz w:val="44"/>
      <w:szCs w:val="24"/>
    </w:rPr>
  </w:style>
  <w:style w:type="character" w:customStyle="1" w:styleId="68">
    <w:name w:val="标题 6 字符"/>
    <w:link w:val="7"/>
    <w:qFormat/>
    <w:uiPriority w:val="0"/>
    <w:rPr>
      <w:rFonts w:ascii="等线 Light" w:hAnsi="等线 Light" w:eastAsia="等线 Light" w:cs="Times New Roman"/>
      <w:b/>
      <w:bCs/>
      <w:kern w:val="2"/>
      <w:sz w:val="24"/>
      <w:szCs w:val="24"/>
    </w:rPr>
  </w:style>
  <w:style w:type="character" w:customStyle="1" w:styleId="69">
    <w:name w:val="标题 7 字符"/>
    <w:link w:val="8"/>
    <w:qFormat/>
    <w:uiPriority w:val="0"/>
    <w:rPr>
      <w:rFonts w:ascii="宋体" w:hAnsi="宋体"/>
      <w:b/>
      <w:bCs/>
      <w:kern w:val="2"/>
      <w:sz w:val="24"/>
      <w:szCs w:val="24"/>
    </w:rPr>
  </w:style>
  <w:style w:type="character" w:customStyle="1" w:styleId="70">
    <w:name w:val="标题 8 字符"/>
    <w:link w:val="9"/>
    <w:qFormat/>
    <w:uiPriority w:val="0"/>
    <w:rPr>
      <w:rFonts w:ascii="Arial" w:hAnsi="Arial" w:eastAsia="黑体"/>
      <w:kern w:val="2"/>
      <w:sz w:val="24"/>
      <w:szCs w:val="24"/>
    </w:rPr>
  </w:style>
  <w:style w:type="character" w:customStyle="1" w:styleId="71">
    <w:name w:val="标题 9 字符"/>
    <w:link w:val="10"/>
    <w:qFormat/>
    <w:uiPriority w:val="0"/>
    <w:rPr>
      <w:rFonts w:ascii="Arial" w:hAnsi="Arial" w:eastAsia="黑体"/>
      <w:kern w:val="2"/>
      <w:sz w:val="24"/>
      <w:szCs w:val="21"/>
    </w:rPr>
  </w:style>
  <w:style w:type="character" w:customStyle="1" w:styleId="72">
    <w:name w:val="正文缩进 字符"/>
    <w:link w:val="13"/>
    <w:qFormat/>
    <w:uiPriority w:val="0"/>
    <w:rPr>
      <w:rFonts w:ascii="Courier New" w:eastAsia="Courier New"/>
      <w:sz w:val="34"/>
      <w:lang w:val="en-US" w:eastAsia="zh-CN" w:bidi="ar-SA"/>
    </w:rPr>
  </w:style>
  <w:style w:type="character" w:customStyle="1" w:styleId="73">
    <w:name w:val="批注文字 字符"/>
    <w:link w:val="16"/>
    <w:qFormat/>
    <w:uiPriority w:val="99"/>
    <w:rPr>
      <w:kern w:val="2"/>
      <w:sz w:val="21"/>
      <w:szCs w:val="24"/>
    </w:rPr>
  </w:style>
  <w:style w:type="character" w:customStyle="1" w:styleId="74">
    <w:name w:val="正文文本缩进 字符"/>
    <w:link w:val="20"/>
    <w:qFormat/>
    <w:uiPriority w:val="0"/>
    <w:rPr>
      <w:kern w:val="2"/>
      <w:sz w:val="21"/>
      <w:szCs w:val="24"/>
    </w:rPr>
  </w:style>
  <w:style w:type="character" w:customStyle="1" w:styleId="75">
    <w:name w:val="纯文本 字符1"/>
    <w:link w:val="23"/>
    <w:qFormat/>
    <w:uiPriority w:val="99"/>
    <w:rPr>
      <w:rFonts w:ascii="Courier New" w:hAnsi="等线 Light" w:eastAsia="Courier New" w:cs="等线 Light"/>
      <w:kern w:val="2"/>
      <w:sz w:val="21"/>
      <w:szCs w:val="21"/>
      <w:lang w:val="en-US" w:eastAsia="zh-CN" w:bidi="ar-SA"/>
    </w:rPr>
  </w:style>
  <w:style w:type="character" w:customStyle="1" w:styleId="76">
    <w:name w:val="日期 字符"/>
    <w:link w:val="25"/>
    <w:qFormat/>
    <w:uiPriority w:val="99"/>
    <w:rPr>
      <w:rFonts w:ascii="Courier New"/>
      <w:sz w:val="28"/>
    </w:rPr>
  </w:style>
  <w:style w:type="character" w:customStyle="1" w:styleId="77">
    <w:name w:val="正文文本缩进 2 字符"/>
    <w:link w:val="26"/>
    <w:qFormat/>
    <w:uiPriority w:val="0"/>
    <w:rPr>
      <w:rFonts w:eastAsia="SimSun-Identity-H"/>
      <w:kern w:val="2"/>
      <w:sz w:val="30"/>
    </w:rPr>
  </w:style>
  <w:style w:type="character" w:customStyle="1" w:styleId="78">
    <w:name w:val="尾注文本 字符"/>
    <w:link w:val="27"/>
    <w:qFormat/>
    <w:uiPriority w:val="0"/>
    <w:rPr>
      <w:kern w:val="2"/>
      <w:sz w:val="21"/>
      <w:szCs w:val="24"/>
    </w:rPr>
  </w:style>
  <w:style w:type="character" w:customStyle="1" w:styleId="79">
    <w:name w:val="批注框文本 字符"/>
    <w:link w:val="28"/>
    <w:qFormat/>
    <w:uiPriority w:val="0"/>
    <w:rPr>
      <w:kern w:val="2"/>
      <w:sz w:val="18"/>
      <w:szCs w:val="18"/>
    </w:rPr>
  </w:style>
  <w:style w:type="character" w:customStyle="1" w:styleId="80">
    <w:name w:val="页脚 字符1"/>
    <w:link w:val="29"/>
    <w:qFormat/>
    <w:uiPriority w:val="99"/>
    <w:rPr>
      <w:rFonts w:eastAsia="Courier New"/>
      <w:kern w:val="2"/>
      <w:sz w:val="18"/>
      <w:szCs w:val="18"/>
      <w:lang w:val="en-US" w:eastAsia="zh-CN" w:bidi="ar-SA"/>
    </w:rPr>
  </w:style>
  <w:style w:type="character" w:customStyle="1" w:styleId="81">
    <w:name w:val="页眉 字符"/>
    <w:link w:val="30"/>
    <w:qFormat/>
    <w:uiPriority w:val="99"/>
    <w:rPr>
      <w:kern w:val="2"/>
      <w:sz w:val="18"/>
      <w:szCs w:val="18"/>
    </w:rPr>
  </w:style>
  <w:style w:type="character" w:customStyle="1" w:styleId="82">
    <w:name w:val="脚注文本 字符"/>
    <w:link w:val="35"/>
    <w:qFormat/>
    <w:uiPriority w:val="0"/>
    <w:rPr>
      <w:kern w:val="2"/>
      <w:sz w:val="18"/>
    </w:rPr>
  </w:style>
  <w:style w:type="character" w:customStyle="1" w:styleId="83">
    <w:name w:val="正文文本缩进 3 字符"/>
    <w:link w:val="37"/>
    <w:qFormat/>
    <w:uiPriority w:val="99"/>
    <w:rPr>
      <w:rFonts w:ascii="Courier New" w:hAnsi="Courier New"/>
      <w:kern w:val="2"/>
      <w:sz w:val="28"/>
      <w:szCs w:val="24"/>
    </w:rPr>
  </w:style>
  <w:style w:type="character" w:customStyle="1" w:styleId="84">
    <w:name w:val="正文文本 2 字符"/>
    <w:link w:val="40"/>
    <w:qFormat/>
    <w:uiPriority w:val="0"/>
    <w:rPr>
      <w:kern w:val="2"/>
      <w:sz w:val="21"/>
      <w:szCs w:val="24"/>
    </w:rPr>
  </w:style>
  <w:style w:type="character" w:customStyle="1" w:styleId="85">
    <w:name w:val="标题 字符"/>
    <w:link w:val="42"/>
    <w:qFormat/>
    <w:uiPriority w:val="0"/>
    <w:rPr>
      <w:rFonts w:ascii="Wingdings" w:hAnsi="Wingdings" w:cs="Wingdings"/>
      <w:b/>
      <w:bCs/>
      <w:kern w:val="2"/>
      <w:sz w:val="32"/>
      <w:szCs w:val="32"/>
    </w:rPr>
  </w:style>
  <w:style w:type="character" w:customStyle="1" w:styleId="86">
    <w:name w:val="批注主题 字符"/>
    <w:link w:val="43"/>
    <w:qFormat/>
    <w:uiPriority w:val="0"/>
    <w:rPr>
      <w:b/>
      <w:bCs/>
      <w:kern w:val="2"/>
      <w:sz w:val="21"/>
      <w:szCs w:val="24"/>
    </w:rPr>
  </w:style>
  <w:style w:type="character" w:customStyle="1" w:styleId="87">
    <w:name w:val="正文文本首行缩进 2 字符"/>
    <w:link w:val="45"/>
    <w:qFormat/>
    <w:uiPriority w:val="0"/>
  </w:style>
  <w:style w:type="character" w:customStyle="1" w:styleId="88">
    <w:name w:val="wen"/>
    <w:qFormat/>
    <w:uiPriority w:val="0"/>
    <w:rPr>
      <w:color w:val="FFFFFF"/>
      <w:shd w:val="clear" w:color="auto" w:fill="24A8F6"/>
    </w:rPr>
  </w:style>
  <w:style w:type="character" w:customStyle="1" w:styleId="89">
    <w:name w:val="wlwt"/>
    <w:qFormat/>
    <w:uiPriority w:val="0"/>
    <w:rPr>
      <w:color w:val="24A8F6"/>
    </w:rPr>
  </w:style>
  <w:style w:type="character" w:customStyle="1" w:styleId="90">
    <w:name w:val="font11"/>
    <w:basedOn w:val="48"/>
    <w:qFormat/>
    <w:uiPriority w:val="0"/>
    <w:rPr>
      <w:rFonts w:ascii="Calibri" w:hAnsi="Calibri" w:cs="Calibri"/>
      <w:color w:val="000000"/>
      <w:sz w:val="24"/>
      <w:szCs w:val="24"/>
      <w:u w:val="none"/>
    </w:rPr>
  </w:style>
  <w:style w:type="character" w:customStyle="1" w:styleId="91">
    <w:name w:val="l-btn-icon-right"/>
    <w:qFormat/>
    <w:uiPriority w:val="0"/>
  </w:style>
  <w:style w:type="character" w:customStyle="1" w:styleId="92">
    <w:name w:val="H4 Char"/>
    <w:qFormat/>
    <w:uiPriority w:val="0"/>
    <w:rPr>
      <w:rFonts w:ascii="Wingdings" w:hAnsi="Wingdings" w:eastAsia="文鼎CS中黑"/>
      <w:b/>
      <w:sz w:val="28"/>
      <w:lang w:val="en-US" w:eastAsia="zh-CN"/>
    </w:rPr>
  </w:style>
  <w:style w:type="character" w:customStyle="1" w:styleId="93">
    <w:name w:val="l-btn-text"/>
    <w:qFormat/>
    <w:uiPriority w:val="0"/>
    <w:rPr>
      <w:vertAlign w:val="baseline"/>
    </w:rPr>
  </w:style>
  <w:style w:type="character" w:customStyle="1" w:styleId="94">
    <w:name w:val="l-btn-left1"/>
    <w:qFormat/>
    <w:uiPriority w:val="0"/>
  </w:style>
  <w:style w:type="character" w:customStyle="1" w:styleId="95">
    <w:name w:val="z-窗体顶端 字符"/>
    <w:link w:val="96"/>
    <w:qFormat/>
    <w:uiPriority w:val="34"/>
    <w:rPr>
      <w:kern w:val="2"/>
      <w:sz w:val="21"/>
      <w:szCs w:val="24"/>
    </w:rPr>
  </w:style>
  <w:style w:type="paragraph" w:customStyle="1" w:styleId="96">
    <w:name w:val="z-窗体顶端1"/>
    <w:basedOn w:val="1"/>
    <w:link w:val="95"/>
    <w:qFormat/>
    <w:uiPriority w:val="34"/>
    <w:pPr>
      <w:ind w:firstLine="420" w:firstLineChars="200"/>
    </w:pPr>
  </w:style>
  <w:style w:type="character" w:customStyle="1" w:styleId="97">
    <w:name w:val="正文文本 2 字符1"/>
    <w:qFormat/>
    <w:uiPriority w:val="0"/>
    <w:rPr>
      <w:kern w:val="2"/>
      <w:sz w:val="21"/>
      <w:szCs w:val="24"/>
    </w:rPr>
  </w:style>
  <w:style w:type="character" w:customStyle="1" w:styleId="98">
    <w:name w:val="l-btn-icon-left"/>
    <w:qFormat/>
    <w:uiPriority w:val="0"/>
  </w:style>
  <w:style w:type="character" w:customStyle="1" w:styleId="99">
    <w:name w:val="未处理的提及1"/>
    <w:unhideWhenUsed/>
    <w:qFormat/>
    <w:uiPriority w:val="99"/>
    <w:rPr>
      <w:color w:val="605E5C"/>
      <w:shd w:val="clear" w:color="auto" w:fill="E1DFDD"/>
    </w:rPr>
  </w:style>
  <w:style w:type="character" w:customStyle="1" w:styleId="100">
    <w:name w:val="apple-converted-space"/>
    <w:qFormat/>
    <w:uiPriority w:val="0"/>
  </w:style>
  <w:style w:type="character" w:customStyle="1" w:styleId="101">
    <w:name w:val="text91"/>
    <w:qFormat/>
    <w:uiPriority w:val="0"/>
    <w:rPr>
      <w:sz w:val="18"/>
      <w:szCs w:val="18"/>
      <w:u w:val="none"/>
    </w:rPr>
  </w:style>
  <w:style w:type="character" w:customStyle="1" w:styleId="102">
    <w:name w:val="正文缩进 Char Char1"/>
    <w:qFormat/>
    <w:uiPriority w:val="0"/>
    <w:rPr>
      <w:rFonts w:ascii="Courier New" w:eastAsia="Courier New"/>
      <w:sz w:val="34"/>
      <w:lang w:val="en-US" w:eastAsia="zh-CN" w:bidi="ar-SA"/>
    </w:rPr>
  </w:style>
  <w:style w:type="character" w:customStyle="1" w:styleId="103">
    <w:name w:val="l-btn-left2"/>
    <w:qFormat/>
    <w:uiPriority w:val="0"/>
  </w:style>
  <w:style w:type="character" w:customStyle="1" w:styleId="104">
    <w:name w:val="fontp1"/>
    <w:qFormat/>
    <w:uiPriority w:val="0"/>
    <w:rPr>
      <w:rFonts w:hint="eastAsia" w:ascii="Courier New" w:hAnsi="Courier New" w:eastAsia="Courier New"/>
      <w:sz w:val="18"/>
      <w:szCs w:val="18"/>
    </w:rPr>
  </w:style>
  <w:style w:type="character" w:customStyle="1" w:styleId="105">
    <w:name w:val="纯文本 Char2"/>
    <w:qFormat/>
    <w:locked/>
    <w:uiPriority w:val="0"/>
    <w:rPr>
      <w:rFonts w:ascii="Cambria Math" w:hAnsi="仿宋_GB2312" w:eastAsia="Cambria Math" w:cs="仿宋_GB2312"/>
      <w:sz w:val="21"/>
      <w:szCs w:val="21"/>
    </w:rPr>
  </w:style>
  <w:style w:type="character" w:customStyle="1" w:styleId="106">
    <w:name w:val="font91"/>
    <w:qFormat/>
    <w:uiPriority w:val="0"/>
    <w:rPr>
      <w:rFonts w:hint="eastAsia" w:ascii="宋体" w:hAnsi="宋体" w:eastAsia="宋体" w:cs="宋体"/>
      <w:color w:val="000000"/>
      <w:sz w:val="24"/>
      <w:szCs w:val="24"/>
      <w:u w:val="none"/>
    </w:rPr>
  </w:style>
  <w:style w:type="character" w:customStyle="1" w:styleId="107">
    <w:name w:val="纯文本 字符"/>
    <w:qFormat/>
    <w:uiPriority w:val="0"/>
    <w:rPr>
      <w:rFonts w:ascii="Courier New" w:hAnsi="等线 Light" w:cs="等线 Light"/>
      <w:kern w:val="2"/>
      <w:sz w:val="21"/>
      <w:szCs w:val="21"/>
    </w:rPr>
  </w:style>
  <w:style w:type="character" w:customStyle="1" w:styleId="108">
    <w:name w:val="正文模版 Char Char"/>
    <w:link w:val="109"/>
    <w:qFormat/>
    <w:uiPriority w:val="0"/>
    <w:rPr>
      <w:sz w:val="24"/>
    </w:rPr>
  </w:style>
  <w:style w:type="paragraph" w:customStyle="1" w:styleId="109">
    <w:name w:val="正文模版"/>
    <w:basedOn w:val="1"/>
    <w:link w:val="108"/>
    <w:qFormat/>
    <w:uiPriority w:val="0"/>
    <w:pPr>
      <w:ind w:firstLine="480" w:firstLineChars="200"/>
    </w:pPr>
    <w:rPr>
      <w:kern w:val="0"/>
      <w:sz w:val="24"/>
      <w:szCs w:val="20"/>
    </w:rPr>
  </w:style>
  <w:style w:type="character" w:customStyle="1" w:styleId="110">
    <w:name w:val="font21"/>
    <w:basedOn w:val="48"/>
    <w:qFormat/>
    <w:uiPriority w:val="0"/>
    <w:rPr>
      <w:rFonts w:hint="eastAsia" w:ascii="宋体" w:hAnsi="宋体" w:eastAsia="宋体" w:cs="宋体"/>
      <w:color w:val="000000"/>
      <w:sz w:val="24"/>
      <w:szCs w:val="24"/>
      <w:u w:val="none"/>
    </w:rPr>
  </w:style>
  <w:style w:type="character" w:customStyle="1" w:styleId="111">
    <w:name w:val="z-窗体顶端 Char"/>
    <w:link w:val="112"/>
    <w:qFormat/>
    <w:uiPriority w:val="34"/>
    <w:rPr>
      <w:rFonts w:ascii="Times New Roman" w:hAnsi="Times New Roman" w:eastAsia="宋体" w:cs="Times New Roman"/>
      <w:kern w:val="2"/>
      <w:sz w:val="21"/>
      <w:szCs w:val="24"/>
    </w:rPr>
  </w:style>
  <w:style w:type="paragraph" w:customStyle="1" w:styleId="112">
    <w:name w:val="z-窗体顶端111"/>
    <w:basedOn w:val="1"/>
    <w:link w:val="111"/>
    <w:qFormat/>
    <w:uiPriority w:val="34"/>
    <w:pPr>
      <w:tabs>
        <w:tab w:val="left" w:pos="1276"/>
      </w:tabs>
      <w:ind w:firstLine="420" w:firstLineChars="200"/>
    </w:pPr>
    <w:rPr>
      <w:rFonts w:ascii="Times New Roman" w:hAnsi="Times New Roman"/>
    </w:rPr>
  </w:style>
  <w:style w:type="character" w:customStyle="1" w:styleId="113">
    <w:name w:val="font41"/>
    <w:basedOn w:val="48"/>
    <w:qFormat/>
    <w:uiPriority w:val="0"/>
    <w:rPr>
      <w:rFonts w:hint="default" w:ascii="Calibri" w:hAnsi="Calibri" w:cs="Calibri"/>
      <w:color w:val="000000"/>
      <w:sz w:val="24"/>
      <w:szCs w:val="24"/>
      <w:u w:val="none"/>
    </w:rPr>
  </w:style>
  <w:style w:type="character" w:customStyle="1" w:styleId="114">
    <w:name w:val="纯文本 Char1"/>
    <w:qFormat/>
    <w:uiPriority w:val="0"/>
    <w:rPr>
      <w:rFonts w:ascii="Courier New" w:hAnsi="等线 Light" w:eastAsia="Courier New" w:cs="等线 Light"/>
      <w:kern w:val="2"/>
      <w:sz w:val="21"/>
      <w:szCs w:val="21"/>
      <w:lang w:val="en-US" w:eastAsia="zh-CN" w:bidi="ar-SA"/>
    </w:rPr>
  </w:style>
  <w:style w:type="character" w:customStyle="1" w:styleId="115">
    <w:name w:val="font71"/>
    <w:qFormat/>
    <w:uiPriority w:val="0"/>
    <w:rPr>
      <w:rFonts w:hint="eastAsia" w:ascii="宋体" w:hAnsi="宋体" w:eastAsia="宋体" w:cs="宋体"/>
      <w:color w:val="000000"/>
      <w:sz w:val="24"/>
      <w:szCs w:val="24"/>
      <w:u w:val="none"/>
    </w:rPr>
  </w:style>
  <w:style w:type="character" w:customStyle="1" w:styleId="116">
    <w:name w:val="font31"/>
    <w:qFormat/>
    <w:uiPriority w:val="0"/>
    <w:rPr>
      <w:rFonts w:hint="eastAsia" w:ascii="宋体" w:hAnsi="宋体" w:eastAsia="宋体" w:cs="宋体"/>
      <w:color w:val="000000"/>
      <w:sz w:val="22"/>
      <w:szCs w:val="22"/>
      <w:u w:val="none"/>
    </w:rPr>
  </w:style>
  <w:style w:type="character" w:customStyle="1" w:styleId="117">
    <w:name w:val="font121"/>
    <w:qFormat/>
    <w:uiPriority w:val="0"/>
    <w:rPr>
      <w:rFonts w:hint="default" w:ascii="Calibri" w:hAnsi="Calibri" w:cs="Calibri"/>
      <w:color w:val="000000"/>
      <w:sz w:val="24"/>
      <w:szCs w:val="24"/>
      <w:u w:val="none"/>
    </w:rPr>
  </w:style>
  <w:style w:type="character" w:customStyle="1" w:styleId="118">
    <w:name w:val="标题 2 Char"/>
    <w:qFormat/>
    <w:uiPriority w:val="0"/>
    <w:rPr>
      <w:rFonts w:ascii="Wingdings" w:hAnsi="Wingdings" w:eastAsia="文鼎CS中黑"/>
      <w:b/>
      <w:bCs/>
      <w:kern w:val="2"/>
      <w:sz w:val="32"/>
      <w:szCs w:val="32"/>
      <w:lang w:val="en-US" w:eastAsia="zh-CN" w:bidi="ar-SA"/>
    </w:rPr>
  </w:style>
  <w:style w:type="character" w:customStyle="1" w:styleId="119">
    <w:name w:val="l-btn-empty"/>
    <w:qFormat/>
    <w:uiPriority w:val="0"/>
  </w:style>
  <w:style w:type="character" w:customStyle="1" w:styleId="120">
    <w:name w:val="批注文字 Char"/>
    <w:qFormat/>
    <w:uiPriority w:val="99"/>
    <w:rPr>
      <w:kern w:val="2"/>
      <w:sz w:val="21"/>
      <w:szCs w:val="24"/>
    </w:rPr>
  </w:style>
  <w:style w:type="character" w:customStyle="1" w:styleId="121">
    <w:name w:val="列出段落 Char"/>
    <w:link w:val="122"/>
    <w:qFormat/>
    <w:uiPriority w:val="34"/>
    <w:rPr>
      <w:rFonts w:ascii="Calibri" w:hAnsi="Calibri" w:eastAsia="宋体" w:cs="Times New Roman"/>
      <w:kern w:val="1"/>
      <w:sz w:val="21"/>
      <w:szCs w:val="22"/>
      <w:lang w:eastAsia="ar-SA"/>
    </w:rPr>
  </w:style>
  <w:style w:type="paragraph" w:customStyle="1" w:styleId="122">
    <w:name w:val="列出段落1"/>
    <w:basedOn w:val="1"/>
    <w:link w:val="121"/>
    <w:qFormat/>
    <w:uiPriority w:val="34"/>
    <w:pPr>
      <w:tabs>
        <w:tab w:val="left" w:pos="1276"/>
      </w:tabs>
      <w:suppressAutoHyphens/>
      <w:ind w:firstLine="420" w:firstLineChars="200"/>
    </w:pPr>
    <w:rPr>
      <w:kern w:val="1"/>
      <w:szCs w:val="22"/>
      <w:lang w:eastAsia="ar-SA"/>
    </w:rPr>
  </w:style>
  <w:style w:type="character" w:customStyle="1" w:styleId="123">
    <w:name w:val="font01"/>
    <w:basedOn w:val="48"/>
    <w:qFormat/>
    <w:uiPriority w:val="0"/>
    <w:rPr>
      <w:rFonts w:ascii="Calibri" w:hAnsi="Calibri" w:cs="Calibri"/>
      <w:color w:val="000000"/>
      <w:sz w:val="21"/>
      <w:szCs w:val="21"/>
      <w:u w:val="none"/>
    </w:rPr>
  </w:style>
  <w:style w:type="character" w:customStyle="1" w:styleId="124">
    <w:name w:val="arrow"/>
    <w:qFormat/>
    <w:uiPriority w:val="0"/>
  </w:style>
  <w:style w:type="character" w:customStyle="1" w:styleId="125">
    <w:name w:val="l-btn-left"/>
    <w:qFormat/>
    <w:uiPriority w:val="0"/>
    <w:rPr>
      <w:color w:val="333333"/>
    </w:rPr>
  </w:style>
  <w:style w:type="character" w:customStyle="1" w:styleId="126">
    <w:name w:val="列表段落 字符"/>
    <w:link w:val="127"/>
    <w:qFormat/>
    <w:uiPriority w:val="1"/>
    <w:rPr>
      <w:rFonts w:ascii="华文中宋" w:hAnsi="华文中宋"/>
      <w:kern w:val="1"/>
      <w:sz w:val="21"/>
      <w:szCs w:val="22"/>
      <w:lang w:eastAsia="ar-SA"/>
    </w:rPr>
  </w:style>
  <w:style w:type="paragraph" w:styleId="127">
    <w:name w:val="List Paragraph"/>
    <w:basedOn w:val="1"/>
    <w:link w:val="126"/>
    <w:qFormat/>
    <w:uiPriority w:val="1"/>
    <w:pPr>
      <w:suppressAutoHyphens/>
      <w:ind w:firstLine="420"/>
    </w:pPr>
    <w:rPr>
      <w:rFonts w:ascii="华文中宋" w:hAnsi="华文中宋"/>
      <w:kern w:val="1"/>
      <w:szCs w:val="22"/>
      <w:lang w:eastAsia="ar-SA"/>
    </w:rPr>
  </w:style>
  <w:style w:type="character" w:customStyle="1" w:styleId="128">
    <w:name w:val="l-btn-left3"/>
    <w:qFormat/>
    <w:uiPriority w:val="0"/>
  </w:style>
  <w:style w:type="character" w:customStyle="1" w:styleId="129">
    <w:name w:val="页脚 字符"/>
    <w:qFormat/>
    <w:uiPriority w:val="99"/>
    <w:rPr>
      <w:rFonts w:ascii="华文中宋" w:hAnsi="华文中宋" w:eastAsia="Courier New" w:cs="宋体"/>
      <w:kern w:val="2"/>
      <w:sz w:val="18"/>
      <w:szCs w:val="18"/>
    </w:rPr>
  </w:style>
  <w:style w:type="character" w:customStyle="1" w:styleId="130">
    <w:name w:val="font61"/>
    <w:qFormat/>
    <w:uiPriority w:val="0"/>
    <w:rPr>
      <w:rFonts w:hint="default" w:ascii="Calibri" w:hAnsi="Calibri" w:cs="Calibri"/>
      <w:color w:val="000000"/>
      <w:sz w:val="22"/>
      <w:szCs w:val="22"/>
      <w:u w:val="none"/>
    </w:rPr>
  </w:style>
  <w:style w:type="paragraph" w:customStyle="1" w:styleId="131">
    <w:name w:val="xl81"/>
    <w:basedOn w:val="1"/>
    <w:qFormat/>
    <w:uiPriority w:val="0"/>
    <w:pPr>
      <w:shd w:val="clear" w:color="000000" w:fill="FFFFFF"/>
      <w:spacing w:before="100" w:beforeAutospacing="1" w:after="100" w:afterAutospacing="1"/>
      <w:jc w:val="left"/>
    </w:pPr>
    <w:rPr>
      <w:rFonts w:cs="宋体"/>
      <w:kern w:val="0"/>
      <w:sz w:val="24"/>
    </w:rPr>
  </w:style>
  <w:style w:type="paragraph" w:customStyle="1" w:styleId="132">
    <w:name w:val="xl172"/>
    <w:basedOn w:val="1"/>
    <w:qFormat/>
    <w:uiPriority w:val="0"/>
    <w:pPr>
      <w:pBdr>
        <w:top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33">
    <w:name w:val="xl12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34">
    <w:name w:val="xl175"/>
    <w:basedOn w:val="1"/>
    <w:qFormat/>
    <w:uiPriority w:val="0"/>
    <w:pPr>
      <w:pBdr>
        <w:top w:val="single" w:color="000000" w:sz="4" w:space="0"/>
        <w:left w:val="single" w:color="000000" w:sz="4" w:space="0"/>
        <w:right w:val="single" w:color="000000" w:sz="4" w:space="0"/>
      </w:pBdr>
      <w:spacing w:before="100" w:beforeAutospacing="1" w:after="100" w:afterAutospacing="1"/>
      <w:jc w:val="left"/>
    </w:pPr>
    <w:rPr>
      <w:rFonts w:cs="Courier New"/>
      <w:kern w:val="0"/>
      <w:sz w:val="22"/>
      <w:szCs w:val="22"/>
    </w:rPr>
  </w:style>
  <w:style w:type="paragraph" w:customStyle="1" w:styleId="135">
    <w:name w:val="xl82"/>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宋体"/>
      <w:b/>
      <w:bCs/>
      <w:color w:val="000000"/>
      <w:kern w:val="0"/>
      <w:sz w:val="18"/>
      <w:szCs w:val="18"/>
    </w:rPr>
  </w:style>
  <w:style w:type="paragraph" w:customStyle="1" w:styleId="136">
    <w:name w:val="前言正文"/>
    <w:qFormat/>
    <w:uiPriority w:val="0"/>
    <w:pPr>
      <w:spacing w:before="120" w:line="360" w:lineRule="auto"/>
      <w:ind w:firstLine="425"/>
      <w:jc w:val="both"/>
    </w:pPr>
    <w:rPr>
      <w:rFonts w:ascii="Courier New" w:hAnsi="Courier New" w:eastAsia="SimSun-Identity-H" w:cs="Times New Roman"/>
      <w:kern w:val="2"/>
      <w:sz w:val="24"/>
      <w:szCs w:val="22"/>
      <w:lang w:val="en-US" w:eastAsia="zh-CN" w:bidi="ar-SA"/>
    </w:rPr>
  </w:style>
  <w:style w:type="paragraph" w:customStyle="1" w:styleId="137">
    <w:name w:val="默认段落字体 Para Char"/>
    <w:basedOn w:val="1"/>
    <w:qFormat/>
    <w:uiPriority w:val="0"/>
    <w:rPr>
      <w:b/>
      <w:sz w:val="28"/>
      <w:szCs w:val="28"/>
    </w:rPr>
  </w:style>
  <w:style w:type="paragraph" w:customStyle="1" w:styleId="138">
    <w:name w:val="xl12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39">
    <w:name w:val="Char Char Char Char"/>
    <w:basedOn w:val="1"/>
    <w:qFormat/>
    <w:uiPriority w:val="0"/>
    <w:pPr>
      <w:spacing w:after="160" w:line="240" w:lineRule="exact"/>
      <w:jc w:val="left"/>
    </w:pPr>
    <w:rPr>
      <w:kern w:val="0"/>
      <w:sz w:val="20"/>
      <w:szCs w:val="20"/>
      <w:lang w:eastAsia="en-US"/>
    </w:rPr>
  </w:style>
  <w:style w:type="paragraph" w:customStyle="1" w:styleId="140">
    <w:name w:val="网格 居中"/>
    <w:basedOn w:val="1"/>
    <w:qFormat/>
    <w:uiPriority w:val="0"/>
    <w:pPr>
      <w:jc w:val="center"/>
    </w:pPr>
    <w:rPr>
      <w:szCs w:val="20"/>
    </w:rPr>
  </w:style>
  <w:style w:type="paragraph" w:customStyle="1" w:styleId="141">
    <w:name w:val="xl161"/>
    <w:basedOn w:val="1"/>
    <w:qFormat/>
    <w:uiPriority w:val="0"/>
    <w:pPr>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cs="Courier New"/>
      <w:kern w:val="0"/>
      <w:sz w:val="22"/>
      <w:szCs w:val="22"/>
    </w:rPr>
  </w:style>
  <w:style w:type="paragraph" w:customStyle="1" w:styleId="142">
    <w:name w:val="xl13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143">
    <w:name w:val="前言目录"/>
    <w:next w:val="136"/>
    <w:qFormat/>
    <w:uiPriority w:val="0"/>
    <w:pPr>
      <w:spacing w:before="480" w:after="240" w:line="480" w:lineRule="auto"/>
      <w:jc w:val="center"/>
    </w:pPr>
    <w:rPr>
      <w:rFonts w:ascii="Courier New" w:hAnsi="Courier New" w:eastAsia="文鼎CS中黑" w:cs="Times New Roman"/>
      <w:b/>
      <w:kern w:val="2"/>
      <w:sz w:val="44"/>
      <w:szCs w:val="22"/>
      <w:lang w:val="en-US" w:eastAsia="zh-CN" w:bidi="ar-SA"/>
    </w:rPr>
  </w:style>
  <w:style w:type="paragraph" w:customStyle="1" w:styleId="144">
    <w:name w:val="正文_0"/>
    <w:qFormat/>
    <w:uiPriority w:val="0"/>
    <w:pPr>
      <w:widowControl w:val="0"/>
      <w:spacing w:line="360" w:lineRule="auto"/>
      <w:jc w:val="both"/>
    </w:pPr>
    <w:rPr>
      <w:rFonts w:ascii="Courier New" w:hAnsi="Courier New" w:eastAsia="宋体" w:cs="Times New Roman"/>
      <w:kern w:val="2"/>
      <w:sz w:val="21"/>
      <w:szCs w:val="24"/>
      <w:lang w:val="en-US" w:eastAsia="zh-CN" w:bidi="ar-SA"/>
    </w:rPr>
  </w:style>
  <w:style w:type="paragraph" w:customStyle="1" w:styleId="145">
    <w:name w:val="xl78"/>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146">
    <w:name w:val="xl195"/>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47">
    <w:name w:val="xl14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48">
    <w:name w:val="xl145"/>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kern w:val="0"/>
      <w:sz w:val="23"/>
      <w:szCs w:val="23"/>
    </w:rPr>
  </w:style>
  <w:style w:type="paragraph" w:customStyle="1" w:styleId="149">
    <w:name w:val="xl10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150">
    <w:name w:val="xl89"/>
    <w:basedOn w:val="1"/>
    <w:qFormat/>
    <w:uiPriority w:val="0"/>
    <w:pPr>
      <w:spacing w:before="100" w:beforeAutospacing="1" w:after="100" w:afterAutospacing="1"/>
      <w:jc w:val="center"/>
    </w:pPr>
    <w:rPr>
      <w:rFonts w:cs="Courier New"/>
      <w:kern w:val="0"/>
      <w:sz w:val="23"/>
      <w:szCs w:val="23"/>
    </w:rPr>
  </w:style>
  <w:style w:type="paragraph" w:customStyle="1" w:styleId="151">
    <w:name w:val="EHPT"/>
    <w:basedOn w:val="1"/>
    <w:next w:val="19"/>
    <w:qFormat/>
    <w:uiPriority w:val="0"/>
    <w:pPr>
      <w:ind w:right="-694"/>
    </w:pPr>
    <w:rPr>
      <w:sz w:val="24"/>
      <w:szCs w:val="20"/>
    </w:rPr>
  </w:style>
  <w:style w:type="paragraph" w:customStyle="1" w:styleId="152">
    <w:name w:val="xl12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53">
    <w:name w:val="xl114"/>
    <w:basedOn w:val="1"/>
    <w:qFormat/>
    <w:uiPriority w:val="0"/>
    <w:pPr>
      <w:pBdr>
        <w:top w:val="single" w:color="auto" w:sz="4" w:space="0"/>
        <w:bottom w:val="single" w:color="auto" w:sz="4" w:space="0"/>
      </w:pBdr>
      <w:spacing w:before="100" w:beforeAutospacing="1" w:after="100" w:afterAutospacing="1"/>
      <w:jc w:val="center"/>
    </w:pPr>
    <w:rPr>
      <w:rFonts w:cs="Courier New"/>
      <w:b/>
      <w:bCs/>
      <w:kern w:val="0"/>
      <w:sz w:val="23"/>
      <w:szCs w:val="23"/>
    </w:rPr>
  </w:style>
  <w:style w:type="paragraph" w:customStyle="1" w:styleId="154">
    <w:name w:val="纯文本1"/>
    <w:basedOn w:val="1"/>
    <w:qFormat/>
    <w:uiPriority w:val="0"/>
    <w:pPr>
      <w:suppressAutoHyphens/>
    </w:pPr>
    <w:rPr>
      <w:kern w:val="1"/>
      <w:szCs w:val="20"/>
      <w:lang w:eastAsia="ar-SA"/>
    </w:rPr>
  </w:style>
  <w:style w:type="paragraph" w:customStyle="1" w:styleId="155">
    <w:name w:val="font5"/>
    <w:basedOn w:val="1"/>
    <w:qFormat/>
    <w:uiPriority w:val="0"/>
    <w:pPr>
      <w:spacing w:before="100" w:beforeAutospacing="1" w:after="100" w:afterAutospacing="1"/>
      <w:jc w:val="left"/>
    </w:pPr>
    <w:rPr>
      <w:rFonts w:cs="Courier New"/>
      <w:kern w:val="0"/>
      <w:sz w:val="23"/>
      <w:szCs w:val="23"/>
    </w:rPr>
  </w:style>
  <w:style w:type="paragraph" w:customStyle="1" w:styleId="156">
    <w:name w:val="xl80"/>
    <w:basedOn w:val="1"/>
    <w:qFormat/>
    <w:uiPriority w:val="0"/>
    <w:pPr>
      <w:shd w:val="clear" w:color="000000" w:fill="FFFFFF"/>
      <w:spacing w:before="100" w:beforeAutospacing="1" w:after="100" w:afterAutospacing="1"/>
      <w:jc w:val="center"/>
    </w:pPr>
    <w:rPr>
      <w:rFonts w:cs="宋体"/>
      <w:kern w:val="0"/>
      <w:sz w:val="22"/>
      <w:szCs w:val="22"/>
    </w:rPr>
  </w:style>
  <w:style w:type="paragraph" w:customStyle="1" w:styleId="157">
    <w:name w:val="xl19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58">
    <w:name w:val="xl179"/>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159">
    <w:name w:val="普通 (Web)"/>
    <w:basedOn w:val="1"/>
    <w:qFormat/>
    <w:uiPriority w:val="0"/>
    <w:pPr>
      <w:spacing w:before="100" w:beforeAutospacing="1" w:after="100" w:afterAutospacing="1"/>
      <w:jc w:val="left"/>
    </w:pPr>
    <w:rPr>
      <w:kern w:val="0"/>
      <w:sz w:val="24"/>
      <w:szCs w:val="20"/>
    </w:rPr>
  </w:style>
  <w:style w:type="paragraph" w:customStyle="1" w:styleId="160">
    <w:name w:val="xl90"/>
    <w:basedOn w:val="1"/>
    <w:qFormat/>
    <w:uiPriority w:val="0"/>
    <w:pPr>
      <w:spacing w:before="100" w:beforeAutospacing="1" w:after="100" w:afterAutospacing="1"/>
      <w:jc w:val="left"/>
    </w:pPr>
    <w:rPr>
      <w:rFonts w:cs="Courier New"/>
      <w:b/>
      <w:bCs/>
      <w:kern w:val="0"/>
      <w:sz w:val="23"/>
      <w:szCs w:val="23"/>
    </w:rPr>
  </w:style>
  <w:style w:type="paragraph" w:customStyle="1" w:styleId="161">
    <w:name w:val="Default"/>
    <w:qFormat/>
    <w:uiPriority w:val="0"/>
    <w:pPr>
      <w:widowControl w:val="0"/>
      <w:autoSpaceDE w:val="0"/>
      <w:autoSpaceDN w:val="0"/>
      <w:adjustRightInd w:val="0"/>
      <w:spacing w:line="360" w:lineRule="auto"/>
      <w:jc w:val="both"/>
    </w:pPr>
    <w:rPr>
      <w:rFonts w:ascii="Wingdings" w:hAnsi="Wingdings" w:eastAsia="宋体" w:cs="Wingdings"/>
      <w:color w:val="000000"/>
      <w:kern w:val="2"/>
      <w:sz w:val="24"/>
      <w:szCs w:val="24"/>
      <w:lang w:val="en-US" w:eastAsia="zh-CN" w:bidi="ar-SA"/>
    </w:rPr>
  </w:style>
  <w:style w:type="paragraph" w:customStyle="1" w:styleId="162">
    <w:name w:val="Char Char13"/>
    <w:basedOn w:val="1"/>
    <w:qFormat/>
    <w:uiPriority w:val="0"/>
    <w:pPr>
      <w:spacing w:after="160" w:line="240" w:lineRule="exact"/>
      <w:jc w:val="left"/>
    </w:pPr>
    <w:rPr>
      <w:rFonts w:eastAsia="SimSun-Identity-H"/>
      <w:kern w:val="0"/>
      <w:sz w:val="24"/>
      <w:szCs w:val="20"/>
      <w:lang w:eastAsia="en-US"/>
    </w:rPr>
  </w:style>
  <w:style w:type="paragraph" w:customStyle="1" w:styleId="163">
    <w:name w:val="xl19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color w:val="000000"/>
      <w:kern w:val="0"/>
      <w:sz w:val="23"/>
      <w:szCs w:val="23"/>
    </w:rPr>
  </w:style>
  <w:style w:type="paragraph" w:customStyle="1" w:styleId="164">
    <w:name w:val="xl88"/>
    <w:basedOn w:val="1"/>
    <w:qFormat/>
    <w:uiPriority w:val="0"/>
    <w:pPr>
      <w:spacing w:before="100" w:beforeAutospacing="1" w:after="100" w:afterAutospacing="1"/>
      <w:jc w:val="left"/>
    </w:pPr>
    <w:rPr>
      <w:rFonts w:cs="Courier New"/>
      <w:kern w:val="0"/>
      <w:sz w:val="23"/>
      <w:szCs w:val="23"/>
    </w:rPr>
  </w:style>
  <w:style w:type="paragraph" w:customStyle="1" w:styleId="165">
    <w:name w:val="xl12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66">
    <w:name w:val="_Style 207"/>
    <w:basedOn w:val="1"/>
    <w:next w:val="127"/>
    <w:qFormat/>
    <w:uiPriority w:val="34"/>
    <w:pPr>
      <w:suppressAutoHyphens/>
      <w:ind w:firstLine="420"/>
    </w:pPr>
    <w:rPr>
      <w:rFonts w:ascii="华文中宋" w:hAnsi="华文中宋"/>
      <w:kern w:val="1"/>
      <w:szCs w:val="22"/>
      <w:lang w:eastAsia="ar-SA"/>
    </w:rPr>
  </w:style>
  <w:style w:type="paragraph" w:customStyle="1" w:styleId="167">
    <w:name w:val="Char Char Char"/>
    <w:basedOn w:val="1"/>
    <w:qFormat/>
    <w:uiPriority w:val="0"/>
    <w:rPr>
      <w:rFonts w:ascii="仿宋" w:hAnsi="仿宋"/>
      <w:sz w:val="24"/>
      <w:szCs w:val="20"/>
    </w:rPr>
  </w:style>
  <w:style w:type="paragraph" w:customStyle="1" w:styleId="168">
    <w:name w:val="xl19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color w:val="000000"/>
      <w:kern w:val="0"/>
      <w:sz w:val="23"/>
      <w:szCs w:val="23"/>
    </w:rPr>
  </w:style>
  <w:style w:type="paragraph" w:customStyle="1" w:styleId="169">
    <w:name w:val="xl102"/>
    <w:basedOn w:val="1"/>
    <w:qFormat/>
    <w:uiPriority w:val="0"/>
    <w:pPr>
      <w:spacing w:before="100" w:beforeAutospacing="1" w:after="100" w:afterAutospacing="1"/>
      <w:jc w:val="center"/>
    </w:pPr>
    <w:rPr>
      <w:rFonts w:cs="Courier New"/>
      <w:b/>
      <w:bCs/>
      <w:color w:val="FF0000"/>
      <w:kern w:val="0"/>
      <w:sz w:val="22"/>
      <w:szCs w:val="22"/>
    </w:rPr>
  </w:style>
  <w:style w:type="paragraph" w:customStyle="1" w:styleId="170">
    <w:name w:val="xl12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71">
    <w:name w:val="Char Char Char11"/>
    <w:basedOn w:val="1"/>
    <w:qFormat/>
    <w:uiPriority w:val="0"/>
    <w:pPr>
      <w:spacing w:after="160" w:line="240" w:lineRule="exact"/>
      <w:jc w:val="left"/>
    </w:pPr>
    <w:rPr>
      <w:szCs w:val="20"/>
    </w:rPr>
  </w:style>
  <w:style w:type="paragraph" w:customStyle="1" w:styleId="172">
    <w:name w:val="xl132"/>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Courier New"/>
      <w:kern w:val="0"/>
      <w:sz w:val="23"/>
      <w:szCs w:val="23"/>
    </w:rPr>
  </w:style>
  <w:style w:type="paragraph" w:customStyle="1" w:styleId="173">
    <w:name w:val="表格内容"/>
    <w:basedOn w:val="1"/>
    <w:qFormat/>
    <w:uiPriority w:val="0"/>
    <w:pPr>
      <w:adjustRightInd w:val="0"/>
      <w:jc w:val="left"/>
    </w:pPr>
  </w:style>
  <w:style w:type="paragraph" w:customStyle="1" w:styleId="174">
    <w:name w:val="修订1"/>
    <w:unhideWhenUsed/>
    <w:qFormat/>
    <w:uiPriority w:val="99"/>
    <w:pPr>
      <w:spacing w:line="360" w:lineRule="auto"/>
      <w:jc w:val="both"/>
    </w:pPr>
    <w:rPr>
      <w:rFonts w:ascii="Courier New" w:hAnsi="Courier New" w:eastAsia="宋体" w:cs="Times New Roman"/>
      <w:kern w:val="2"/>
      <w:sz w:val="21"/>
      <w:szCs w:val="24"/>
      <w:lang w:val="en-US" w:eastAsia="zh-CN" w:bidi="ar-SA"/>
    </w:rPr>
  </w:style>
  <w:style w:type="paragraph" w:customStyle="1" w:styleId="175">
    <w:name w:val="xl15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76">
    <w:name w:val="Char Char Char Char Char Char Char Char Char Char Char Char1 Char"/>
    <w:basedOn w:val="15"/>
    <w:qFormat/>
    <w:uiPriority w:val="0"/>
  </w:style>
  <w:style w:type="paragraph" w:customStyle="1" w:styleId="177">
    <w:name w:val="xl176"/>
    <w:basedOn w:val="1"/>
    <w:qFormat/>
    <w:uiPriority w:val="0"/>
    <w:pPr>
      <w:pBdr>
        <w:top w:val="single" w:color="000000" w:sz="4" w:space="0"/>
        <w:left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178">
    <w:name w:val="正文标号1"/>
    <w:basedOn w:val="1"/>
    <w:qFormat/>
    <w:uiPriority w:val="0"/>
    <w:rPr>
      <w:sz w:val="24"/>
      <w:lang w:val="en-GB"/>
    </w:rPr>
  </w:style>
  <w:style w:type="paragraph" w:customStyle="1" w:styleId="179">
    <w:name w:val="正文 A"/>
    <w:qFormat/>
    <w:uiPriority w:val="0"/>
    <w:pPr>
      <w:widowControl w:val="0"/>
      <w:spacing w:line="360" w:lineRule="auto"/>
      <w:jc w:val="both"/>
    </w:pPr>
    <w:rPr>
      <w:rFonts w:ascii="Courier New" w:hAnsi="Arial Unicode MS" w:eastAsia="宋体" w:cs="Arial Unicode MS"/>
      <w:color w:val="000000"/>
      <w:kern w:val="2"/>
      <w:sz w:val="21"/>
      <w:szCs w:val="21"/>
      <w:u w:color="000000"/>
      <w:lang w:val="en-US" w:eastAsia="zh-CN" w:bidi="ar-SA"/>
    </w:rPr>
  </w:style>
  <w:style w:type="paragraph" w:customStyle="1" w:styleId="180">
    <w:name w:val="xl154"/>
    <w:basedOn w:val="1"/>
    <w:qFormat/>
    <w:uiPriority w:val="0"/>
    <w:pPr>
      <w:pBdr>
        <w:top w:val="single" w:color="auto" w:sz="4" w:space="0"/>
        <w:left w:val="single" w:color="auto" w:sz="4" w:space="0"/>
      </w:pBdr>
      <w:spacing w:before="100" w:beforeAutospacing="1" w:after="100" w:afterAutospacing="1"/>
      <w:jc w:val="left"/>
    </w:pPr>
    <w:rPr>
      <w:rFonts w:cs="Courier New"/>
      <w:b/>
      <w:bCs/>
      <w:kern w:val="0"/>
      <w:sz w:val="23"/>
      <w:szCs w:val="23"/>
    </w:rPr>
  </w:style>
  <w:style w:type="paragraph" w:customStyle="1" w:styleId="181">
    <w:name w:val="xl97"/>
    <w:basedOn w:val="1"/>
    <w:qFormat/>
    <w:uiPriority w:val="0"/>
    <w:pPr>
      <w:spacing w:before="100" w:beforeAutospacing="1" w:after="100" w:afterAutospacing="1"/>
      <w:jc w:val="left"/>
    </w:pPr>
    <w:rPr>
      <w:rFonts w:cs="Courier New"/>
      <w:kern w:val="0"/>
      <w:sz w:val="23"/>
      <w:szCs w:val="23"/>
    </w:rPr>
  </w:style>
  <w:style w:type="paragraph" w:customStyle="1" w:styleId="182">
    <w:name w:val="xl15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83">
    <w:name w:val="xl14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84">
    <w:name w:val="xl18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85">
    <w:name w:val="原点"/>
    <w:basedOn w:val="1"/>
    <w:qFormat/>
    <w:uiPriority w:val="0"/>
    <w:pPr>
      <w:numPr>
        <w:ilvl w:val="0"/>
        <w:numId w:val="1"/>
      </w:numPr>
      <w:tabs>
        <w:tab w:val="left" w:pos="927"/>
      </w:tabs>
      <w:adjustRightInd w:val="0"/>
      <w:ind w:firstLine="200" w:firstLineChars="200"/>
    </w:pPr>
    <w:rPr>
      <w:sz w:val="32"/>
    </w:rPr>
  </w:style>
  <w:style w:type="paragraph" w:customStyle="1" w:styleId="186">
    <w:name w:val="xl142"/>
    <w:basedOn w:val="1"/>
    <w:qFormat/>
    <w:uiPriority w:val="0"/>
    <w:pPr>
      <w:pBdr>
        <w:top w:val="single" w:color="auto" w:sz="4" w:space="0"/>
        <w:bottom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187">
    <w:name w:val="03表文"/>
    <w:basedOn w:val="1"/>
    <w:qFormat/>
    <w:uiPriority w:val="0"/>
    <w:pPr>
      <w:jc w:val="center"/>
    </w:pPr>
  </w:style>
  <w:style w:type="paragraph" w:customStyle="1" w:styleId="188">
    <w:name w:val="msonormal"/>
    <w:basedOn w:val="1"/>
    <w:qFormat/>
    <w:uiPriority w:val="0"/>
    <w:pPr>
      <w:spacing w:before="100" w:beforeAutospacing="1" w:after="100" w:afterAutospacing="1"/>
      <w:jc w:val="left"/>
    </w:pPr>
    <w:rPr>
      <w:rFonts w:cs="宋体"/>
      <w:kern w:val="0"/>
      <w:sz w:val="24"/>
    </w:rPr>
  </w:style>
  <w:style w:type="paragraph" w:customStyle="1" w:styleId="189">
    <w:name w:val="xl153"/>
    <w:basedOn w:val="1"/>
    <w:qFormat/>
    <w:uiPriority w:val="0"/>
    <w:pPr>
      <w:pBdr>
        <w:top w:val="single" w:color="auto" w:sz="4" w:space="0"/>
        <w:left w:val="single" w:color="auto" w:sz="4" w:space="0"/>
      </w:pBdr>
      <w:spacing w:before="100" w:beforeAutospacing="1" w:after="100" w:afterAutospacing="1"/>
      <w:jc w:val="center"/>
    </w:pPr>
    <w:rPr>
      <w:rFonts w:cs="Courier New"/>
      <w:b/>
      <w:bCs/>
      <w:kern w:val="0"/>
      <w:sz w:val="23"/>
      <w:szCs w:val="23"/>
    </w:rPr>
  </w:style>
  <w:style w:type="paragraph" w:customStyle="1" w:styleId="190">
    <w:name w:val="xl157"/>
    <w:basedOn w:val="1"/>
    <w:qFormat/>
    <w:uiPriority w:val="0"/>
    <w:pPr>
      <w:pBdr>
        <w:top w:val="single" w:color="auto" w:sz="4" w:space="0"/>
      </w:pBdr>
      <w:spacing w:before="100" w:beforeAutospacing="1" w:after="100" w:afterAutospacing="1"/>
      <w:jc w:val="left"/>
    </w:pPr>
    <w:rPr>
      <w:rFonts w:cs="Courier New"/>
      <w:b/>
      <w:bCs/>
      <w:kern w:val="0"/>
      <w:sz w:val="23"/>
      <w:szCs w:val="23"/>
    </w:rPr>
  </w:style>
  <w:style w:type="paragraph" w:customStyle="1" w:styleId="191">
    <w:name w:val="xl13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192">
    <w:name w:val="Char Char"/>
    <w:basedOn w:val="1"/>
    <w:qFormat/>
    <w:uiPriority w:val="0"/>
    <w:pPr>
      <w:spacing w:after="160" w:line="240" w:lineRule="exact"/>
      <w:jc w:val="left"/>
    </w:pPr>
    <w:rPr>
      <w:rFonts w:eastAsia="SimSun-Identity-H"/>
      <w:kern w:val="0"/>
      <w:sz w:val="24"/>
      <w:szCs w:val="20"/>
      <w:lang w:eastAsia="en-US"/>
    </w:rPr>
  </w:style>
  <w:style w:type="paragraph" w:customStyle="1" w:styleId="193">
    <w:name w:val="xl163"/>
    <w:basedOn w:val="1"/>
    <w:qFormat/>
    <w:uiPriority w:val="0"/>
    <w:pPr>
      <w:pBdr>
        <w:top w:val="single" w:color="000000" w:sz="4" w:space="0"/>
        <w:left w:val="single" w:color="000000" w:sz="4" w:space="0"/>
        <w:bottom w:val="single" w:color="000000" w:sz="4" w:space="0"/>
        <w:right w:val="single" w:color="auto" w:sz="4" w:space="0"/>
      </w:pBdr>
      <w:spacing w:before="100" w:beforeAutospacing="1" w:after="100" w:afterAutospacing="1"/>
      <w:jc w:val="center"/>
    </w:pPr>
    <w:rPr>
      <w:rFonts w:cs="Courier New"/>
      <w:kern w:val="0"/>
      <w:sz w:val="22"/>
      <w:szCs w:val="22"/>
    </w:rPr>
  </w:style>
  <w:style w:type="paragraph" w:customStyle="1" w:styleId="194">
    <w:name w:val="xl108"/>
    <w:basedOn w:val="1"/>
    <w:qFormat/>
    <w:uiPriority w:val="0"/>
    <w:pPr>
      <w:pBdr>
        <w:left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195">
    <w:name w:val="xl87"/>
    <w:basedOn w:val="1"/>
    <w:qFormat/>
    <w:uiPriority w:val="0"/>
    <w:pPr>
      <w:spacing w:before="100" w:beforeAutospacing="1" w:after="100" w:afterAutospacing="1"/>
      <w:jc w:val="left"/>
    </w:pPr>
    <w:rPr>
      <w:rFonts w:cs="Courier New"/>
      <w:kern w:val="0"/>
      <w:sz w:val="24"/>
    </w:rPr>
  </w:style>
  <w:style w:type="paragraph" w:customStyle="1" w:styleId="196">
    <w:name w:val="xl171"/>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b/>
      <w:bCs/>
      <w:color w:val="FF0000"/>
      <w:kern w:val="0"/>
      <w:sz w:val="23"/>
      <w:szCs w:val="23"/>
    </w:rPr>
  </w:style>
  <w:style w:type="paragraph" w:customStyle="1" w:styleId="197">
    <w:name w:val="WPSOffice手动目录 2"/>
    <w:qFormat/>
    <w:uiPriority w:val="0"/>
    <w:pPr>
      <w:spacing w:line="360" w:lineRule="auto"/>
      <w:ind w:left="200" w:leftChars="200"/>
      <w:jc w:val="both"/>
    </w:pPr>
    <w:rPr>
      <w:rFonts w:ascii="Courier New" w:hAnsi="Courier New" w:eastAsia="宋体" w:cs="Times New Roman"/>
      <w:kern w:val="2"/>
      <w:sz w:val="21"/>
      <w:szCs w:val="24"/>
      <w:lang w:val="en-US" w:eastAsia="zh-CN" w:bidi="ar-SA"/>
    </w:rPr>
  </w:style>
  <w:style w:type="paragraph" w:customStyle="1" w:styleId="198">
    <w:name w:val="xl96"/>
    <w:basedOn w:val="1"/>
    <w:qFormat/>
    <w:uiPriority w:val="0"/>
    <w:pPr>
      <w:spacing w:before="100" w:beforeAutospacing="1" w:after="100" w:afterAutospacing="1"/>
      <w:jc w:val="left"/>
    </w:pPr>
    <w:rPr>
      <w:rFonts w:cs="Courier New"/>
      <w:color w:val="000000"/>
      <w:kern w:val="0"/>
      <w:sz w:val="23"/>
      <w:szCs w:val="23"/>
    </w:rPr>
  </w:style>
  <w:style w:type="paragraph" w:customStyle="1" w:styleId="199">
    <w:name w:val="Normal1"/>
    <w:basedOn w:val="1"/>
    <w:qFormat/>
    <w:uiPriority w:val="0"/>
    <w:pPr>
      <w:tabs>
        <w:tab w:val="left" w:pos="840"/>
      </w:tabs>
      <w:ind w:left="840" w:hanging="420"/>
    </w:pPr>
    <w:rPr>
      <w:rFonts w:eastAsia="@文鼎CS中黑"/>
      <w:kern w:val="0"/>
      <w:szCs w:val="21"/>
    </w:rPr>
  </w:style>
  <w:style w:type="paragraph" w:customStyle="1" w:styleId="200">
    <w:name w:val="xl25"/>
    <w:basedOn w:val="1"/>
    <w:qFormat/>
    <w:uiPriority w:val="0"/>
    <w:pPr>
      <w:pBdr>
        <w:bottom w:val="single" w:color="auto" w:sz="4" w:space="0"/>
        <w:right w:val="single" w:color="auto" w:sz="4" w:space="0"/>
      </w:pBdr>
      <w:spacing w:before="100" w:beforeAutospacing="1" w:after="100" w:afterAutospacing="1"/>
      <w:jc w:val="center"/>
    </w:pPr>
    <w:rPr>
      <w:kern w:val="0"/>
      <w:szCs w:val="21"/>
    </w:rPr>
  </w:style>
  <w:style w:type="paragraph" w:customStyle="1" w:styleId="201">
    <w:name w:val="xl13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202">
    <w:name w:val="xl155"/>
    <w:basedOn w:val="1"/>
    <w:qFormat/>
    <w:uiPriority w:val="0"/>
    <w:pPr>
      <w:pBdr>
        <w:top w:val="single" w:color="auto" w:sz="4" w:space="0"/>
      </w:pBdr>
      <w:spacing w:before="100" w:beforeAutospacing="1" w:after="100" w:afterAutospacing="1"/>
      <w:jc w:val="center"/>
    </w:pPr>
    <w:rPr>
      <w:rFonts w:cs="Courier New"/>
      <w:b/>
      <w:bCs/>
      <w:kern w:val="0"/>
      <w:sz w:val="23"/>
      <w:szCs w:val="23"/>
    </w:rPr>
  </w:style>
  <w:style w:type="paragraph" w:customStyle="1" w:styleId="203">
    <w:name w:val="xl11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204">
    <w:name w:val="xl19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05">
    <w:name w:val="xl107"/>
    <w:basedOn w:val="1"/>
    <w:qFormat/>
    <w:uiPriority w:val="0"/>
    <w:pPr>
      <w:pBdr>
        <w:left w:val="single" w:color="auto" w:sz="4" w:space="0"/>
        <w:bottom w:val="single" w:color="auto" w:sz="4" w:space="0"/>
      </w:pBdr>
      <w:spacing w:before="100" w:beforeAutospacing="1" w:after="100" w:afterAutospacing="1"/>
      <w:jc w:val="center"/>
    </w:pPr>
    <w:rPr>
      <w:rFonts w:cs="Courier New"/>
      <w:b/>
      <w:bCs/>
      <w:kern w:val="0"/>
      <w:sz w:val="23"/>
      <w:szCs w:val="23"/>
    </w:rPr>
  </w:style>
  <w:style w:type="paragraph" w:customStyle="1" w:styleId="206">
    <w:name w:val="xl200"/>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07">
    <w:name w:val="xl170"/>
    <w:basedOn w:val="1"/>
    <w:qFormat/>
    <w:uiPriority w:val="0"/>
    <w:pPr>
      <w:pBdr>
        <w:top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208">
    <w:name w:val="xl196"/>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09">
    <w:name w:val="xl174"/>
    <w:basedOn w:val="1"/>
    <w:qFormat/>
    <w:uiPriority w:val="0"/>
    <w:pPr>
      <w:pBdr>
        <w:top w:val="single" w:color="000000" w:sz="4" w:space="0"/>
        <w:left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210">
    <w:name w:val="xl94"/>
    <w:basedOn w:val="1"/>
    <w:qFormat/>
    <w:uiPriority w:val="0"/>
    <w:pPr>
      <w:spacing w:before="100" w:beforeAutospacing="1" w:after="100" w:afterAutospacing="1"/>
      <w:jc w:val="left"/>
    </w:pPr>
    <w:rPr>
      <w:rFonts w:cs="Courier New"/>
      <w:kern w:val="0"/>
      <w:sz w:val="23"/>
      <w:szCs w:val="23"/>
    </w:rPr>
  </w:style>
  <w:style w:type="paragraph" w:customStyle="1" w:styleId="211">
    <w:name w:val="xl141"/>
    <w:basedOn w:val="1"/>
    <w:qFormat/>
    <w:uiPriority w:val="0"/>
    <w:pPr>
      <w:pBdr>
        <w:bottom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212">
    <w:name w:val="xl76"/>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213">
    <w:name w:val="xl109"/>
    <w:basedOn w:val="1"/>
    <w:qFormat/>
    <w:uiPriority w:val="0"/>
    <w:pPr>
      <w:pBdr>
        <w:bottom w:val="single" w:color="auto" w:sz="4" w:space="0"/>
      </w:pBdr>
      <w:spacing w:before="100" w:beforeAutospacing="1" w:after="100" w:afterAutospacing="1"/>
      <w:jc w:val="center"/>
    </w:pPr>
    <w:rPr>
      <w:rFonts w:cs="Courier New"/>
      <w:b/>
      <w:bCs/>
      <w:kern w:val="0"/>
      <w:sz w:val="23"/>
      <w:szCs w:val="23"/>
    </w:rPr>
  </w:style>
  <w:style w:type="paragraph" w:customStyle="1" w:styleId="214">
    <w:name w:val="xl13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cs="Courier New"/>
      <w:color w:val="000000"/>
      <w:kern w:val="0"/>
      <w:sz w:val="22"/>
      <w:szCs w:val="22"/>
    </w:rPr>
  </w:style>
  <w:style w:type="paragraph" w:customStyle="1" w:styleId="215">
    <w:name w:val="xl15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16">
    <w:name w:val="xl18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color w:val="000000"/>
      <w:kern w:val="0"/>
      <w:sz w:val="22"/>
      <w:szCs w:val="22"/>
    </w:rPr>
  </w:style>
  <w:style w:type="paragraph" w:customStyle="1" w:styleId="217">
    <w:name w:val="xl101"/>
    <w:basedOn w:val="1"/>
    <w:qFormat/>
    <w:uiPriority w:val="0"/>
    <w:pPr>
      <w:spacing w:before="100" w:beforeAutospacing="1" w:after="100" w:afterAutospacing="1"/>
      <w:jc w:val="center"/>
    </w:pPr>
    <w:rPr>
      <w:rFonts w:cs="Courier New"/>
      <w:color w:val="FF0000"/>
      <w:kern w:val="0"/>
      <w:sz w:val="22"/>
      <w:szCs w:val="22"/>
    </w:rPr>
  </w:style>
  <w:style w:type="paragraph" w:customStyle="1" w:styleId="218">
    <w:name w:val="font7"/>
    <w:basedOn w:val="1"/>
    <w:qFormat/>
    <w:uiPriority w:val="0"/>
    <w:pPr>
      <w:spacing w:before="100" w:beforeAutospacing="1" w:after="100" w:afterAutospacing="1"/>
      <w:jc w:val="left"/>
    </w:pPr>
    <w:rPr>
      <w:rFonts w:cs="Courier New"/>
      <w:kern w:val="0"/>
      <w:sz w:val="22"/>
      <w:szCs w:val="22"/>
    </w:rPr>
  </w:style>
  <w:style w:type="paragraph" w:customStyle="1" w:styleId="219">
    <w:name w:val="xl173"/>
    <w:basedOn w:val="1"/>
    <w:qFormat/>
    <w:uiPriority w:val="0"/>
    <w:pPr>
      <w:pBdr>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20">
    <w:name w:val="xl165"/>
    <w:basedOn w:val="1"/>
    <w:qFormat/>
    <w:uiPriority w:val="0"/>
    <w:pPr>
      <w:pBdr>
        <w:top w:val="single" w:color="auto" w:sz="4" w:space="0"/>
        <w:left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21">
    <w:name w:val="xl99"/>
    <w:basedOn w:val="1"/>
    <w:qFormat/>
    <w:uiPriority w:val="0"/>
    <w:pPr>
      <w:spacing w:before="100" w:beforeAutospacing="1" w:after="100" w:afterAutospacing="1"/>
      <w:jc w:val="center"/>
    </w:pPr>
    <w:rPr>
      <w:rFonts w:cs="Courier New"/>
      <w:color w:val="FF0000"/>
      <w:kern w:val="0"/>
      <w:sz w:val="23"/>
      <w:szCs w:val="23"/>
    </w:rPr>
  </w:style>
  <w:style w:type="paragraph" w:customStyle="1" w:styleId="222">
    <w:name w:val="xl83"/>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宋体"/>
      <w:b/>
      <w:bCs/>
      <w:kern w:val="0"/>
      <w:sz w:val="22"/>
      <w:szCs w:val="22"/>
    </w:rPr>
  </w:style>
  <w:style w:type="paragraph" w:customStyle="1" w:styleId="223">
    <w:name w:val="xl111"/>
    <w:basedOn w:val="1"/>
    <w:qFormat/>
    <w:uiPriority w:val="0"/>
    <w:pPr>
      <w:pBdr>
        <w:bottom w:val="single" w:color="auto" w:sz="4" w:space="0"/>
      </w:pBdr>
      <w:spacing w:before="100" w:beforeAutospacing="1" w:after="100" w:afterAutospacing="1"/>
      <w:jc w:val="left"/>
    </w:pPr>
    <w:rPr>
      <w:rFonts w:cs="Courier New"/>
      <w:b/>
      <w:bCs/>
      <w:kern w:val="0"/>
      <w:sz w:val="23"/>
      <w:szCs w:val="23"/>
    </w:rPr>
  </w:style>
  <w:style w:type="paragraph" w:customStyle="1" w:styleId="224">
    <w:name w:val="xl13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25">
    <w:name w:val="xl95"/>
    <w:basedOn w:val="1"/>
    <w:qFormat/>
    <w:uiPriority w:val="0"/>
    <w:pPr>
      <w:shd w:val="clear" w:color="000000" w:fill="FFFFFF"/>
      <w:spacing w:before="100" w:beforeAutospacing="1" w:after="100" w:afterAutospacing="1"/>
      <w:jc w:val="left"/>
    </w:pPr>
    <w:rPr>
      <w:rFonts w:cs="Courier New"/>
      <w:color w:val="000000"/>
      <w:kern w:val="0"/>
      <w:sz w:val="23"/>
      <w:szCs w:val="23"/>
    </w:rPr>
  </w:style>
  <w:style w:type="paragraph" w:customStyle="1" w:styleId="226">
    <w:name w:val="xl181"/>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27">
    <w:name w:val="正文内容"/>
    <w:basedOn w:val="1"/>
    <w:qFormat/>
    <w:uiPriority w:val="0"/>
    <w:rPr>
      <w:rFonts w:ascii="Wingdings" w:hAnsi="Wingdings"/>
      <w:spacing w:val="-12"/>
      <w:szCs w:val="20"/>
    </w:rPr>
  </w:style>
  <w:style w:type="paragraph" w:customStyle="1" w:styleId="228">
    <w:name w:val="xl11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2"/>
      <w:szCs w:val="22"/>
    </w:rPr>
  </w:style>
  <w:style w:type="paragraph" w:customStyle="1" w:styleId="229">
    <w:name w:val="xl189"/>
    <w:basedOn w:val="1"/>
    <w:qFormat/>
    <w:uiPriority w:val="0"/>
    <w:pPr>
      <w:pBdr>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30">
    <w:name w:val="xl92"/>
    <w:basedOn w:val="1"/>
    <w:qFormat/>
    <w:uiPriority w:val="0"/>
    <w:pPr>
      <w:shd w:val="clear" w:color="000000" w:fill="FFFFFF"/>
      <w:spacing w:before="100" w:beforeAutospacing="1" w:after="100" w:afterAutospacing="1"/>
      <w:jc w:val="left"/>
    </w:pPr>
    <w:rPr>
      <w:rFonts w:cs="Courier New"/>
      <w:kern w:val="0"/>
      <w:sz w:val="23"/>
      <w:szCs w:val="23"/>
    </w:rPr>
  </w:style>
  <w:style w:type="paragraph" w:customStyle="1" w:styleId="231">
    <w:name w:val="xl10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32">
    <w:name w:val="xl19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cs="Courier New"/>
      <w:color w:val="000000"/>
      <w:kern w:val="0"/>
      <w:sz w:val="22"/>
      <w:szCs w:val="22"/>
    </w:rPr>
  </w:style>
  <w:style w:type="paragraph" w:customStyle="1" w:styleId="233">
    <w:name w:val="xl14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34">
    <w:name w:val="xl14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35">
    <w:name w:val="xl156"/>
    <w:basedOn w:val="1"/>
    <w:qFormat/>
    <w:uiPriority w:val="0"/>
    <w:pPr>
      <w:pBdr>
        <w:top w:val="single" w:color="auto" w:sz="4" w:space="0"/>
      </w:pBdr>
      <w:spacing w:before="100" w:beforeAutospacing="1" w:after="100" w:afterAutospacing="1"/>
      <w:jc w:val="left"/>
    </w:pPr>
    <w:rPr>
      <w:rFonts w:cs="Courier New"/>
      <w:b/>
      <w:bCs/>
      <w:kern w:val="0"/>
      <w:sz w:val="23"/>
      <w:szCs w:val="23"/>
    </w:rPr>
  </w:style>
  <w:style w:type="paragraph" w:customStyle="1" w:styleId="236">
    <w:name w:val="xl201"/>
    <w:basedOn w:val="1"/>
    <w:qFormat/>
    <w:uiPriority w:val="0"/>
    <w:pPr>
      <w:pBdr>
        <w:bottom w:val="single" w:color="auto" w:sz="4" w:space="0"/>
      </w:pBdr>
      <w:spacing w:before="100" w:beforeAutospacing="1" w:after="100" w:afterAutospacing="1"/>
      <w:jc w:val="center"/>
    </w:pPr>
    <w:rPr>
      <w:rFonts w:cs="Courier New"/>
      <w:b/>
      <w:bCs/>
      <w:kern w:val="0"/>
      <w:sz w:val="36"/>
      <w:szCs w:val="36"/>
    </w:rPr>
  </w:style>
  <w:style w:type="paragraph" w:customStyle="1" w:styleId="237">
    <w:name w:val="Char Char Char Char Char Char Char"/>
    <w:basedOn w:val="1"/>
    <w:qFormat/>
    <w:uiPriority w:val="0"/>
    <w:pPr>
      <w:tabs>
        <w:tab w:val="left" w:pos="425"/>
      </w:tabs>
      <w:ind w:left="425" w:hanging="425"/>
    </w:pPr>
    <w:rPr>
      <w:rFonts w:eastAsia="SimSun-Identity-H"/>
      <w:kern w:val="24"/>
      <w:sz w:val="24"/>
    </w:rPr>
  </w:style>
  <w:style w:type="paragraph" w:customStyle="1" w:styleId="238">
    <w:name w:val="WPSOffice手动目录 1"/>
    <w:qFormat/>
    <w:uiPriority w:val="0"/>
    <w:pPr>
      <w:spacing w:line="360" w:lineRule="auto"/>
      <w:jc w:val="both"/>
    </w:pPr>
    <w:rPr>
      <w:rFonts w:ascii="Courier New" w:hAnsi="Courier New" w:eastAsia="宋体" w:cs="Times New Roman"/>
      <w:kern w:val="2"/>
      <w:sz w:val="21"/>
      <w:szCs w:val="24"/>
      <w:lang w:val="en-US" w:eastAsia="zh-CN" w:bidi="ar-SA"/>
    </w:rPr>
  </w:style>
  <w:style w:type="paragraph" w:customStyle="1" w:styleId="239">
    <w:name w:val="xl183"/>
    <w:basedOn w:val="1"/>
    <w:qFormat/>
    <w:uiPriority w:val="0"/>
    <w:pPr>
      <w:pBdr>
        <w:top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40">
    <w:name w:val="xl19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color w:val="000000"/>
      <w:kern w:val="0"/>
      <w:sz w:val="23"/>
      <w:szCs w:val="23"/>
    </w:rPr>
  </w:style>
  <w:style w:type="paragraph" w:customStyle="1" w:styleId="241">
    <w:name w:val="xl140"/>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kern w:val="0"/>
      <w:sz w:val="24"/>
    </w:rPr>
  </w:style>
  <w:style w:type="paragraph" w:customStyle="1" w:styleId="242">
    <w:name w:val="xl180"/>
    <w:basedOn w:val="1"/>
    <w:qFormat/>
    <w:uiPriority w:val="0"/>
    <w:pPr>
      <w:pBdr>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243">
    <w:name w:val="Char Char11"/>
    <w:basedOn w:val="1"/>
    <w:qFormat/>
    <w:uiPriority w:val="0"/>
    <w:rPr>
      <w:b/>
      <w:sz w:val="28"/>
      <w:szCs w:val="28"/>
    </w:rPr>
  </w:style>
  <w:style w:type="paragraph" w:customStyle="1" w:styleId="244">
    <w:name w:val="xl167"/>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45">
    <w:name w:val="font8"/>
    <w:basedOn w:val="1"/>
    <w:qFormat/>
    <w:uiPriority w:val="0"/>
    <w:pPr>
      <w:spacing w:before="100" w:beforeAutospacing="1" w:after="100" w:afterAutospacing="1"/>
      <w:jc w:val="left"/>
    </w:pPr>
    <w:rPr>
      <w:rFonts w:cs="Courier New"/>
      <w:b/>
      <w:bCs/>
      <w:kern w:val="0"/>
      <w:sz w:val="22"/>
      <w:szCs w:val="22"/>
    </w:rPr>
  </w:style>
  <w:style w:type="paragraph" w:customStyle="1" w:styleId="246">
    <w:name w:val="xl110"/>
    <w:basedOn w:val="1"/>
    <w:qFormat/>
    <w:uiPriority w:val="0"/>
    <w:pPr>
      <w:pBdr>
        <w:bottom w:val="single" w:color="auto" w:sz="4" w:space="0"/>
      </w:pBdr>
      <w:spacing w:before="100" w:beforeAutospacing="1" w:after="100" w:afterAutospacing="1"/>
      <w:jc w:val="left"/>
    </w:pPr>
    <w:rPr>
      <w:rFonts w:cs="Courier New"/>
      <w:b/>
      <w:bCs/>
      <w:kern w:val="0"/>
      <w:sz w:val="23"/>
      <w:szCs w:val="23"/>
    </w:rPr>
  </w:style>
  <w:style w:type="paragraph" w:customStyle="1" w:styleId="247">
    <w:name w:val="xl103"/>
    <w:basedOn w:val="1"/>
    <w:qFormat/>
    <w:uiPriority w:val="0"/>
    <w:pPr>
      <w:spacing w:before="100" w:beforeAutospacing="1" w:after="100" w:afterAutospacing="1"/>
      <w:jc w:val="left"/>
    </w:pPr>
    <w:rPr>
      <w:rFonts w:cs="Courier New"/>
      <w:color w:val="FF0000"/>
      <w:kern w:val="0"/>
      <w:sz w:val="24"/>
    </w:rPr>
  </w:style>
  <w:style w:type="paragraph" w:customStyle="1" w:styleId="248">
    <w:name w:val="样式4"/>
    <w:basedOn w:val="1"/>
    <w:qFormat/>
    <w:uiPriority w:val="0"/>
    <w:pPr>
      <w:tabs>
        <w:tab w:val="left" w:pos="874"/>
      </w:tabs>
      <w:ind w:left="874" w:hanging="420"/>
    </w:pPr>
    <w:rPr>
      <w:sz w:val="24"/>
    </w:rPr>
  </w:style>
  <w:style w:type="paragraph" w:customStyle="1" w:styleId="249">
    <w:name w:val="xl86"/>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宋体"/>
      <w:color w:val="000000"/>
      <w:kern w:val="0"/>
      <w:sz w:val="18"/>
      <w:szCs w:val="18"/>
    </w:rPr>
  </w:style>
  <w:style w:type="paragraph" w:customStyle="1" w:styleId="250">
    <w:name w:val="xl160"/>
    <w:basedOn w:val="1"/>
    <w:qFormat/>
    <w:uiPriority w:val="0"/>
    <w:pPr>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251">
    <w:name w:val="msolistparagraph"/>
    <w:basedOn w:val="1"/>
    <w:qFormat/>
    <w:uiPriority w:val="0"/>
    <w:pPr>
      <w:ind w:firstLine="420" w:firstLineChars="200"/>
    </w:pPr>
  </w:style>
  <w:style w:type="paragraph" w:styleId="252">
    <w:name w:val="No Spacing"/>
    <w:qFormat/>
    <w:uiPriority w:val="1"/>
    <w:pPr>
      <w:widowControl w:val="0"/>
      <w:spacing w:line="360" w:lineRule="auto"/>
      <w:jc w:val="both"/>
    </w:pPr>
    <w:rPr>
      <w:rFonts w:ascii="Courier New" w:hAnsi="Courier New" w:eastAsia="宋体" w:cs="Times New Roman"/>
      <w:kern w:val="2"/>
      <w:sz w:val="24"/>
      <w:szCs w:val="22"/>
      <w:lang w:val="en-US" w:eastAsia="zh-CN" w:bidi="ar-SA"/>
    </w:rPr>
  </w:style>
  <w:style w:type="paragraph" w:customStyle="1" w:styleId="253">
    <w:name w:val="xl85"/>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宋体"/>
      <w:kern w:val="0"/>
      <w:sz w:val="18"/>
      <w:szCs w:val="18"/>
    </w:rPr>
  </w:style>
  <w:style w:type="paragraph" w:customStyle="1" w:styleId="254">
    <w:name w:val="xl93"/>
    <w:basedOn w:val="1"/>
    <w:qFormat/>
    <w:uiPriority w:val="0"/>
    <w:pPr>
      <w:spacing w:before="100" w:beforeAutospacing="1" w:after="100" w:afterAutospacing="1"/>
      <w:jc w:val="left"/>
    </w:pPr>
    <w:rPr>
      <w:rFonts w:cs="Courier New"/>
      <w:kern w:val="0"/>
      <w:sz w:val="23"/>
      <w:szCs w:val="23"/>
    </w:rPr>
  </w:style>
  <w:style w:type="paragraph" w:customStyle="1" w:styleId="255">
    <w:name w:val="xl169"/>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pPr>
    <w:rPr>
      <w:rFonts w:cs="Courier New"/>
      <w:kern w:val="0"/>
      <w:sz w:val="23"/>
      <w:szCs w:val="23"/>
    </w:rPr>
  </w:style>
  <w:style w:type="paragraph" w:customStyle="1" w:styleId="256">
    <w:name w:val="xl115"/>
    <w:basedOn w:val="1"/>
    <w:qFormat/>
    <w:uiPriority w:val="0"/>
    <w:pPr>
      <w:pBdr>
        <w:top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257">
    <w:name w:val="xl13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b/>
      <w:bCs/>
      <w:kern w:val="0"/>
      <w:sz w:val="22"/>
      <w:szCs w:val="22"/>
    </w:rPr>
  </w:style>
  <w:style w:type="paragraph" w:customStyle="1" w:styleId="258">
    <w:name w:val="xl18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color w:val="000000"/>
      <w:kern w:val="0"/>
      <w:sz w:val="23"/>
      <w:szCs w:val="23"/>
    </w:rPr>
  </w:style>
  <w:style w:type="paragraph" w:customStyle="1" w:styleId="259">
    <w:name w:val="xl11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2"/>
      <w:szCs w:val="22"/>
    </w:rPr>
  </w:style>
  <w:style w:type="paragraph" w:customStyle="1" w:styleId="260">
    <w:name w:val="p0"/>
    <w:basedOn w:val="1"/>
    <w:qFormat/>
    <w:uiPriority w:val="0"/>
    <w:rPr>
      <w:rFonts w:ascii="华文中宋" w:hAnsi="华文中宋" w:cs="Courier New"/>
      <w:kern w:val="0"/>
      <w:szCs w:val="21"/>
    </w:rPr>
  </w:style>
  <w:style w:type="paragraph" w:customStyle="1" w:styleId="261">
    <w:name w:val="Char"/>
    <w:basedOn w:val="1"/>
    <w:qFormat/>
    <w:uiPriority w:val="0"/>
    <w:pPr>
      <w:spacing w:after="160" w:line="240" w:lineRule="exact"/>
      <w:jc w:val="left"/>
    </w:pPr>
    <w:rPr>
      <w:kern w:val="0"/>
      <w:szCs w:val="20"/>
      <w:lang w:eastAsia="en-US"/>
    </w:rPr>
  </w:style>
  <w:style w:type="paragraph" w:customStyle="1" w:styleId="262">
    <w:name w:val="xl98"/>
    <w:basedOn w:val="1"/>
    <w:qFormat/>
    <w:uiPriority w:val="0"/>
    <w:pPr>
      <w:spacing w:before="100" w:beforeAutospacing="1" w:after="100" w:afterAutospacing="1"/>
      <w:jc w:val="left"/>
    </w:pPr>
    <w:rPr>
      <w:rFonts w:cs="Courier New"/>
      <w:kern w:val="0"/>
      <w:sz w:val="23"/>
      <w:szCs w:val="23"/>
    </w:rPr>
  </w:style>
  <w:style w:type="paragraph" w:customStyle="1" w:styleId="263">
    <w:name w:val="4"/>
    <w:qFormat/>
    <w:uiPriority w:val="0"/>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 w:val="left" w:pos="9660"/>
        <w:tab w:val="left" w:pos="10080"/>
        <w:tab w:val="left" w:pos="10500"/>
        <w:tab w:val="left" w:pos="10920"/>
        <w:tab w:val="left" w:pos="11340"/>
        <w:tab w:val="left" w:pos="11760"/>
        <w:tab w:val="left" w:pos="12180"/>
        <w:tab w:val="left" w:pos="12600"/>
        <w:tab w:val="left" w:pos="13020"/>
        <w:tab w:val="left" w:pos="13440"/>
        <w:tab w:val="left" w:pos="13860"/>
        <w:tab w:val="left" w:pos="14280"/>
        <w:tab w:val="left" w:pos="14700"/>
        <w:tab w:val="left" w:pos="15120"/>
        <w:tab w:val="left" w:pos="15540"/>
        <w:tab w:val="left" w:pos="15960"/>
        <w:tab w:val="left" w:pos="16380"/>
        <w:tab w:val="left" w:pos="16800"/>
      </w:tabs>
      <w:autoSpaceDE w:val="0"/>
      <w:autoSpaceDN w:val="0"/>
      <w:adjustRightInd w:val="0"/>
      <w:spacing w:before="113" w:after="57" w:line="300" w:lineRule="atLeast"/>
      <w:jc w:val="both"/>
    </w:pPr>
    <w:rPr>
      <w:rFonts w:ascii="仿宋_GB2312" w:hAnsi="Courier New" w:eastAsia="仿宋_GB2312" w:cs="Times New Roman"/>
      <w:color w:val="000000"/>
      <w:kern w:val="2"/>
      <w:sz w:val="21"/>
      <w:szCs w:val="24"/>
      <w:lang w:val="en-US" w:eastAsia="zh-CN" w:bidi="ar-SA"/>
    </w:rPr>
  </w:style>
  <w:style w:type="paragraph" w:customStyle="1" w:styleId="264">
    <w:name w:val="xl15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2"/>
      <w:szCs w:val="22"/>
    </w:rPr>
  </w:style>
  <w:style w:type="paragraph" w:customStyle="1" w:styleId="265">
    <w:name w:val="font9"/>
    <w:basedOn w:val="1"/>
    <w:qFormat/>
    <w:uiPriority w:val="0"/>
    <w:pPr>
      <w:spacing w:before="100" w:beforeAutospacing="1" w:after="100" w:afterAutospacing="1"/>
      <w:jc w:val="left"/>
    </w:pPr>
    <w:rPr>
      <w:rFonts w:cs="Courier New"/>
      <w:kern w:val="0"/>
      <w:sz w:val="23"/>
      <w:szCs w:val="23"/>
    </w:rPr>
  </w:style>
  <w:style w:type="paragraph" w:customStyle="1" w:styleId="266">
    <w:name w:val="xl197"/>
    <w:basedOn w:val="1"/>
    <w:qFormat/>
    <w:uiPriority w:val="0"/>
    <w:pPr>
      <w:pBdr>
        <w:top w:val="single" w:color="auto" w:sz="4" w:space="0"/>
        <w:left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67">
    <w:name w:val="xl168"/>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2"/>
      <w:szCs w:val="22"/>
    </w:rPr>
  </w:style>
  <w:style w:type="paragraph" w:customStyle="1" w:styleId="268">
    <w:name w:val="列表段落1"/>
    <w:basedOn w:val="1"/>
    <w:qFormat/>
    <w:uiPriority w:val="34"/>
    <w:pPr>
      <w:ind w:firstLine="420" w:firstLineChars="200"/>
    </w:pPr>
    <w:rPr>
      <w:szCs w:val="20"/>
    </w:rPr>
  </w:style>
  <w:style w:type="paragraph" w:customStyle="1" w:styleId="269">
    <w:name w:val="xl166"/>
    <w:basedOn w:val="1"/>
    <w:qFormat/>
    <w:uiPriority w:val="0"/>
    <w:pPr>
      <w:pBdr>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70">
    <w:name w:val="Char1 Char Char Char"/>
    <w:basedOn w:val="1"/>
    <w:qFormat/>
    <w:uiPriority w:val="0"/>
    <w:pPr>
      <w:tabs>
        <w:tab w:val="left" w:pos="360"/>
      </w:tabs>
    </w:pPr>
    <w:rPr>
      <w:sz w:val="24"/>
    </w:rPr>
  </w:style>
  <w:style w:type="paragraph" w:customStyle="1" w:styleId="271">
    <w:name w:val="xl113"/>
    <w:basedOn w:val="1"/>
    <w:qFormat/>
    <w:uiPriority w:val="0"/>
    <w:pPr>
      <w:pBdr>
        <w:top w:val="single" w:color="auto" w:sz="4" w:space="0"/>
        <w:left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272">
    <w:name w:val="xl12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73">
    <w:name w:val="xl112"/>
    <w:basedOn w:val="1"/>
    <w:qFormat/>
    <w:uiPriority w:val="0"/>
    <w:pPr>
      <w:pBdr>
        <w:top w:val="single" w:color="auto" w:sz="4" w:space="0"/>
        <w:left w:val="single" w:color="auto" w:sz="4" w:space="0"/>
        <w:bottom w:val="single" w:color="auto" w:sz="4" w:space="0"/>
      </w:pBdr>
      <w:spacing w:before="100" w:beforeAutospacing="1" w:after="100" w:afterAutospacing="1"/>
      <w:jc w:val="center"/>
    </w:pPr>
    <w:rPr>
      <w:rFonts w:cs="Courier New"/>
      <w:b/>
      <w:bCs/>
      <w:kern w:val="0"/>
      <w:sz w:val="23"/>
      <w:szCs w:val="23"/>
    </w:rPr>
  </w:style>
  <w:style w:type="paragraph" w:customStyle="1" w:styleId="274">
    <w:name w:val="5"/>
    <w:qFormat/>
    <w:uiPriority w:val="0"/>
    <w:pPr>
      <w:widowControl w:val="0"/>
      <w:tabs>
        <w:tab w:val="left" w:pos="1984"/>
      </w:tabs>
      <w:autoSpaceDE w:val="0"/>
      <w:autoSpaceDN w:val="0"/>
      <w:adjustRightInd w:val="0"/>
      <w:spacing w:line="290" w:lineRule="atLeast"/>
      <w:jc w:val="both"/>
    </w:pPr>
    <w:rPr>
      <w:rFonts w:ascii="Cambria Math" w:hAnsi="Courier New" w:eastAsia="宋体" w:cs="Times New Roman"/>
      <w:kern w:val="2"/>
      <w:sz w:val="21"/>
      <w:szCs w:val="24"/>
      <w:lang w:val="en-US" w:eastAsia="zh-CN" w:bidi="ar-SA"/>
    </w:rPr>
  </w:style>
  <w:style w:type="paragraph" w:customStyle="1" w:styleId="275">
    <w:name w:val="xl116"/>
    <w:basedOn w:val="1"/>
    <w:qFormat/>
    <w:uiPriority w:val="0"/>
    <w:pPr>
      <w:pBdr>
        <w:top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276">
    <w:name w:val="xl182"/>
    <w:basedOn w:val="1"/>
    <w:qFormat/>
    <w:uiPriority w:val="0"/>
    <w:pPr>
      <w:pBdr>
        <w:left w:val="single" w:color="000000" w:sz="4" w:space="0"/>
        <w:bottom w:val="single" w:color="000000" w:sz="4" w:space="0"/>
        <w:right w:val="single" w:color="auto" w:sz="4" w:space="0"/>
      </w:pBdr>
      <w:spacing w:before="100" w:beforeAutospacing="1" w:after="100" w:afterAutospacing="1"/>
      <w:jc w:val="center"/>
    </w:pPr>
    <w:rPr>
      <w:rFonts w:cs="Courier New"/>
      <w:kern w:val="0"/>
      <w:sz w:val="22"/>
      <w:szCs w:val="22"/>
    </w:rPr>
  </w:style>
  <w:style w:type="paragraph" w:customStyle="1" w:styleId="277">
    <w:name w:val="节"/>
    <w:basedOn w:val="3"/>
    <w:qFormat/>
    <w:uiPriority w:val="0"/>
    <w:pPr>
      <w:numPr>
        <w:ilvl w:val="1"/>
        <w:numId w:val="2"/>
      </w:numPr>
      <w:tabs>
        <w:tab w:val="left" w:pos="432"/>
        <w:tab w:val="left" w:pos="576"/>
      </w:tabs>
      <w:spacing w:before="0" w:after="0" w:line="240" w:lineRule="auto"/>
    </w:pPr>
    <w:rPr>
      <w:rFonts w:ascii="黑体" w:hAnsi="Times New Roman" w:eastAsia="微软雅黑"/>
      <w:b w:val="0"/>
      <w:bCs w:val="0"/>
      <w:szCs w:val="28"/>
    </w:rPr>
  </w:style>
  <w:style w:type="paragraph" w:customStyle="1" w:styleId="278">
    <w:name w:val="xl13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79">
    <w:name w:val="题注5"/>
    <w:basedOn w:val="1"/>
    <w:next w:val="14"/>
    <w:qFormat/>
    <w:uiPriority w:val="0"/>
    <w:pPr>
      <w:jc w:val="center"/>
    </w:pPr>
    <w:rPr>
      <w:b/>
      <w:color w:val="000000"/>
      <w:sz w:val="24"/>
      <w:szCs w:val="21"/>
    </w:rPr>
  </w:style>
  <w:style w:type="paragraph" w:customStyle="1" w:styleId="280">
    <w:name w:val="xl193"/>
    <w:basedOn w:val="1"/>
    <w:qFormat/>
    <w:uiPriority w:val="0"/>
    <w:pPr>
      <w:pBdr>
        <w:top w:val="single" w:color="auto" w:sz="4" w:space="0"/>
        <w:left w:val="single" w:color="auto" w:sz="4" w:space="0"/>
        <w:bottom w:val="single" w:color="auto" w:sz="4" w:space="0"/>
      </w:pBdr>
      <w:spacing w:before="100" w:beforeAutospacing="1" w:after="100" w:afterAutospacing="1"/>
      <w:jc w:val="center"/>
    </w:pPr>
    <w:rPr>
      <w:rFonts w:cs="Courier New"/>
      <w:color w:val="000000"/>
      <w:kern w:val="0"/>
      <w:sz w:val="23"/>
      <w:szCs w:val="23"/>
    </w:rPr>
  </w:style>
  <w:style w:type="paragraph" w:customStyle="1" w:styleId="281">
    <w:name w:val="Char Char2 Char"/>
    <w:basedOn w:val="1"/>
    <w:qFormat/>
    <w:uiPriority w:val="0"/>
    <w:pPr>
      <w:keepNext/>
      <w:keepLines/>
      <w:pageBreakBefore/>
      <w:tabs>
        <w:tab w:val="left" w:pos="845"/>
      </w:tabs>
      <w:ind w:left="845" w:hanging="420"/>
    </w:pPr>
    <w:rPr>
      <w:rFonts w:ascii="仿宋" w:hAnsi="仿宋"/>
      <w:sz w:val="24"/>
      <w:szCs w:val="20"/>
    </w:rPr>
  </w:style>
  <w:style w:type="paragraph" w:customStyle="1" w:styleId="282">
    <w:name w:val="Char Char Char Char Char Char1 Char"/>
    <w:basedOn w:val="1"/>
    <w:qFormat/>
    <w:uiPriority w:val="0"/>
    <w:pPr>
      <w:spacing w:after="160" w:line="240" w:lineRule="exact"/>
      <w:jc w:val="left"/>
    </w:pPr>
    <w:rPr>
      <w:kern w:val="0"/>
      <w:szCs w:val="20"/>
      <w:lang w:eastAsia="en-US"/>
    </w:rPr>
  </w:style>
  <w:style w:type="paragraph" w:customStyle="1" w:styleId="283">
    <w:name w:val="xl100"/>
    <w:basedOn w:val="1"/>
    <w:qFormat/>
    <w:uiPriority w:val="0"/>
    <w:pPr>
      <w:spacing w:before="100" w:beforeAutospacing="1" w:after="100" w:afterAutospacing="1"/>
      <w:jc w:val="left"/>
    </w:pPr>
    <w:rPr>
      <w:rFonts w:cs="Courier New"/>
      <w:color w:val="FF0000"/>
      <w:kern w:val="0"/>
      <w:sz w:val="22"/>
      <w:szCs w:val="22"/>
    </w:rPr>
  </w:style>
  <w:style w:type="paragraph" w:customStyle="1" w:styleId="284">
    <w:name w:val="首行缩进"/>
    <w:basedOn w:val="1"/>
    <w:qFormat/>
    <w:uiPriority w:val="0"/>
    <w:pPr>
      <w:ind w:firstLine="480" w:firstLineChars="200"/>
    </w:pPr>
    <w:rPr>
      <w:rFonts w:ascii="微软雅黑" w:hAnsi="微软雅黑"/>
      <w:lang w:val="zh-CN"/>
    </w:rPr>
  </w:style>
  <w:style w:type="paragraph" w:customStyle="1" w:styleId="285">
    <w:name w:val="xl12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cs="Courier New"/>
      <w:kern w:val="0"/>
      <w:sz w:val="23"/>
      <w:szCs w:val="23"/>
    </w:rPr>
  </w:style>
  <w:style w:type="paragraph" w:customStyle="1" w:styleId="286">
    <w:name w:val="原点第二行"/>
    <w:basedOn w:val="185"/>
    <w:qFormat/>
    <w:uiPriority w:val="0"/>
    <w:pPr>
      <w:numPr>
        <w:numId w:val="0"/>
      </w:numPr>
      <w:ind w:left="567" w:firstLine="420"/>
    </w:pPr>
  </w:style>
  <w:style w:type="paragraph" w:customStyle="1" w:styleId="287">
    <w:name w:val="È±Ê¡ÎÄ±¾"/>
    <w:basedOn w:val="1"/>
    <w:qFormat/>
    <w:uiPriority w:val="0"/>
    <w:pPr>
      <w:overflowPunct w:val="0"/>
      <w:autoSpaceDE w:val="0"/>
      <w:autoSpaceDN w:val="0"/>
      <w:adjustRightInd w:val="0"/>
      <w:textAlignment w:val="baseline"/>
    </w:pPr>
    <w:rPr>
      <w:kern w:val="0"/>
      <w:szCs w:val="20"/>
    </w:rPr>
  </w:style>
  <w:style w:type="paragraph" w:customStyle="1" w:styleId="288">
    <w:name w:val="Char Char Char Char Char Char Char Char Char Char"/>
    <w:basedOn w:val="1"/>
    <w:qFormat/>
    <w:uiPriority w:val="0"/>
    <w:pPr>
      <w:adjustRightInd w:val="0"/>
    </w:pPr>
    <w:rPr>
      <w:kern w:val="0"/>
      <w:sz w:val="24"/>
      <w:szCs w:val="20"/>
    </w:rPr>
  </w:style>
  <w:style w:type="paragraph" w:customStyle="1" w:styleId="289">
    <w:name w:val="xl77"/>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290">
    <w:name w:val="xl164"/>
    <w:basedOn w:val="1"/>
    <w:qFormat/>
    <w:uiPriority w:val="0"/>
    <w:pPr>
      <w:pBdr>
        <w:left w:val="single" w:color="auto" w:sz="4" w:space="0"/>
        <w:bottom w:val="single" w:color="auto" w:sz="4" w:space="0"/>
      </w:pBdr>
      <w:spacing w:before="100" w:beforeAutospacing="1" w:after="100" w:afterAutospacing="1"/>
      <w:jc w:val="left"/>
    </w:pPr>
    <w:rPr>
      <w:rFonts w:cs="Courier New"/>
      <w:kern w:val="0"/>
      <w:sz w:val="23"/>
      <w:szCs w:val="23"/>
    </w:rPr>
  </w:style>
  <w:style w:type="paragraph" w:customStyle="1" w:styleId="291">
    <w:name w:val="xl14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92">
    <w:name w:val="图"/>
    <w:basedOn w:val="1"/>
    <w:qFormat/>
    <w:uiPriority w:val="0"/>
    <w:pPr>
      <w:keepNext/>
      <w:adjustRightInd w:val="0"/>
      <w:spacing w:before="60" w:after="60" w:line="300" w:lineRule="auto"/>
      <w:jc w:val="center"/>
      <w:textAlignment w:val="center"/>
    </w:pPr>
    <w:rPr>
      <w:snapToGrid w:val="0"/>
      <w:spacing w:val="20"/>
      <w:kern w:val="0"/>
      <w:sz w:val="24"/>
      <w:szCs w:val="20"/>
    </w:rPr>
  </w:style>
  <w:style w:type="paragraph" w:customStyle="1" w:styleId="293">
    <w:name w:val="xl184"/>
    <w:basedOn w:val="1"/>
    <w:qFormat/>
    <w:uiPriority w:val="0"/>
    <w:pPr>
      <w:pBdr>
        <w:top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94">
    <w:name w:val="tabletext"/>
    <w:basedOn w:val="1"/>
    <w:qFormat/>
    <w:uiPriority w:val="0"/>
    <w:pPr>
      <w:spacing w:before="100" w:beforeAutospacing="1" w:after="100" w:afterAutospacing="1" w:line="217" w:lineRule="atLeast"/>
      <w:jc w:val="left"/>
    </w:pPr>
    <w:rPr>
      <w:rFonts w:cs="Courier New"/>
      <w:kern w:val="0"/>
      <w:sz w:val="16"/>
      <w:szCs w:val="16"/>
      <w:lang w:bidi="th-TH"/>
    </w:rPr>
  </w:style>
  <w:style w:type="paragraph" w:customStyle="1" w:styleId="295">
    <w:name w:val="Char Char Char Char Char Char Char Char Char Char Char Char Char"/>
    <w:basedOn w:val="1"/>
    <w:qFormat/>
    <w:uiPriority w:val="0"/>
    <w:pPr>
      <w:spacing w:after="160" w:line="240" w:lineRule="exact"/>
      <w:jc w:val="left"/>
    </w:pPr>
    <w:rPr>
      <w:rFonts w:cs="Courier New"/>
      <w:kern w:val="0"/>
      <w:sz w:val="24"/>
    </w:rPr>
  </w:style>
  <w:style w:type="paragraph" w:customStyle="1" w:styleId="296">
    <w:name w:val="xl144"/>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b/>
      <w:bCs/>
      <w:kern w:val="0"/>
      <w:sz w:val="23"/>
      <w:szCs w:val="23"/>
    </w:rPr>
  </w:style>
  <w:style w:type="paragraph" w:customStyle="1" w:styleId="297">
    <w:name w:val="font6"/>
    <w:basedOn w:val="1"/>
    <w:qFormat/>
    <w:uiPriority w:val="0"/>
    <w:pPr>
      <w:spacing w:before="100" w:beforeAutospacing="1" w:after="100" w:afterAutospacing="1"/>
      <w:jc w:val="left"/>
    </w:pPr>
    <w:rPr>
      <w:rFonts w:cs="Courier New"/>
      <w:b/>
      <w:bCs/>
      <w:kern w:val="0"/>
      <w:sz w:val="23"/>
      <w:szCs w:val="23"/>
    </w:rPr>
  </w:style>
  <w:style w:type="paragraph" w:customStyle="1" w:styleId="298">
    <w:name w:val="xl10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99">
    <w:name w:val="xl24"/>
    <w:basedOn w:val="1"/>
    <w:qFormat/>
    <w:uiPriority w:val="0"/>
    <w:pPr>
      <w:pBdr>
        <w:bottom w:val="single" w:color="auto" w:sz="4" w:space="0"/>
        <w:right w:val="single" w:color="auto" w:sz="4" w:space="0"/>
      </w:pBdr>
      <w:spacing w:before="100" w:beforeAutospacing="1" w:after="100" w:afterAutospacing="1"/>
      <w:jc w:val="center"/>
      <w:textAlignment w:val="center"/>
    </w:pPr>
    <w:rPr>
      <w:rFonts w:ascii="Wingdings" w:hAnsi="Cambria Math" w:eastAsia="Wingdings"/>
      <w:kern w:val="0"/>
      <w:sz w:val="24"/>
    </w:rPr>
  </w:style>
  <w:style w:type="paragraph" w:customStyle="1" w:styleId="300">
    <w:name w:val="xl15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301">
    <w:name w:val="xl84"/>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宋体"/>
      <w:kern w:val="0"/>
      <w:sz w:val="18"/>
      <w:szCs w:val="18"/>
    </w:rPr>
  </w:style>
  <w:style w:type="paragraph" w:customStyle="1" w:styleId="302">
    <w:name w:val="xl177"/>
    <w:basedOn w:val="1"/>
    <w:qFormat/>
    <w:uiPriority w:val="0"/>
    <w:pPr>
      <w:pBdr>
        <w:top w:val="single" w:color="000000" w:sz="4" w:space="0"/>
        <w:left w:val="single" w:color="000000" w:sz="4" w:space="0"/>
        <w:right w:val="single" w:color="auto" w:sz="4" w:space="0"/>
      </w:pBdr>
      <w:spacing w:before="100" w:beforeAutospacing="1" w:after="100" w:afterAutospacing="1"/>
      <w:jc w:val="center"/>
    </w:pPr>
    <w:rPr>
      <w:rFonts w:cs="Courier New"/>
      <w:kern w:val="0"/>
      <w:sz w:val="22"/>
      <w:szCs w:val="22"/>
    </w:rPr>
  </w:style>
  <w:style w:type="paragraph" w:customStyle="1" w:styleId="303">
    <w:name w:val="xl178"/>
    <w:basedOn w:val="1"/>
    <w:qFormat/>
    <w:uiPriority w:val="0"/>
    <w:pPr>
      <w:pBdr>
        <w:top w:val="single" w:color="auto" w:sz="4" w:space="0"/>
        <w:left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304">
    <w:name w:val="xl13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305">
    <w:name w:val="xl12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306">
    <w:name w:val="Char Char2 Char11"/>
    <w:basedOn w:val="1"/>
    <w:qFormat/>
    <w:uiPriority w:val="0"/>
    <w:rPr>
      <w:b/>
      <w:sz w:val="28"/>
      <w:szCs w:val="28"/>
    </w:rPr>
  </w:style>
  <w:style w:type="paragraph" w:customStyle="1" w:styleId="307">
    <w:name w:val="xl12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308">
    <w:name w:val="xl162"/>
    <w:basedOn w:val="1"/>
    <w:qFormat/>
    <w:uiPriority w:val="0"/>
    <w:pPr>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309">
    <w:name w:val="xl18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color w:val="000000"/>
      <w:kern w:val="0"/>
      <w:sz w:val="23"/>
      <w:szCs w:val="23"/>
    </w:rPr>
  </w:style>
  <w:style w:type="paragraph" w:customStyle="1" w:styleId="310">
    <w:name w:val="xl79"/>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311">
    <w:name w:val="题注4"/>
    <w:basedOn w:val="1"/>
    <w:next w:val="14"/>
    <w:qFormat/>
    <w:uiPriority w:val="0"/>
    <w:pPr>
      <w:ind w:left="-132" w:leftChars="-64" w:right="-105" w:rightChars="-50" w:hanging="2"/>
      <w:jc w:val="center"/>
    </w:pPr>
    <w:rPr>
      <w:b/>
      <w:color w:val="FF0000"/>
      <w:szCs w:val="21"/>
      <w:lang w:val="en-GB"/>
    </w:rPr>
  </w:style>
  <w:style w:type="paragraph" w:customStyle="1" w:styleId="312">
    <w:name w:val="办公自动化专用标题"/>
    <w:basedOn w:val="42"/>
    <w:qFormat/>
    <w:uiPriority w:val="0"/>
    <w:pPr>
      <w:spacing w:line="560" w:lineRule="atLeast"/>
    </w:pPr>
    <w:rPr>
      <w:rFonts w:ascii="Courier New" w:cs="宋体"/>
      <w:bCs w:val="0"/>
      <w:sz w:val="44"/>
      <w:szCs w:val="20"/>
    </w:rPr>
  </w:style>
  <w:style w:type="paragraph" w:customStyle="1" w:styleId="313">
    <w:name w:val="xl27"/>
    <w:basedOn w:val="1"/>
    <w:qFormat/>
    <w:uiPriority w:val="0"/>
    <w:pPr>
      <w:pBdr>
        <w:left w:val="single" w:color="auto" w:sz="8" w:space="0"/>
        <w:bottom w:val="single" w:color="auto" w:sz="4" w:space="0"/>
        <w:right w:val="single" w:color="auto" w:sz="4" w:space="0"/>
      </w:pBdr>
      <w:spacing w:before="100" w:beforeAutospacing="1" w:after="100" w:afterAutospacing="1"/>
      <w:jc w:val="center"/>
      <w:textAlignment w:val="center"/>
    </w:pPr>
    <w:rPr>
      <w:kern w:val="0"/>
      <w:szCs w:val="21"/>
    </w:rPr>
  </w:style>
  <w:style w:type="paragraph" w:customStyle="1" w:styleId="314">
    <w:name w:val="缺省文本"/>
    <w:basedOn w:val="1"/>
    <w:qFormat/>
    <w:uiPriority w:val="0"/>
    <w:pPr>
      <w:autoSpaceDE w:val="0"/>
      <w:autoSpaceDN w:val="0"/>
      <w:adjustRightInd w:val="0"/>
      <w:jc w:val="left"/>
    </w:pPr>
    <w:rPr>
      <w:kern w:val="0"/>
      <w:sz w:val="24"/>
      <w:szCs w:val="20"/>
    </w:rPr>
  </w:style>
  <w:style w:type="paragraph" w:customStyle="1" w:styleId="315">
    <w:name w:val="表格文字"/>
    <w:basedOn w:val="1"/>
    <w:qFormat/>
    <w:uiPriority w:val="0"/>
    <w:pPr>
      <w:spacing w:before="25" w:after="25"/>
      <w:jc w:val="left"/>
    </w:pPr>
    <w:rPr>
      <w:bCs/>
      <w:spacing w:val="10"/>
      <w:kern w:val="0"/>
      <w:sz w:val="24"/>
      <w:szCs w:val="20"/>
    </w:rPr>
  </w:style>
  <w:style w:type="paragraph" w:customStyle="1" w:styleId="316">
    <w:name w:val="xl12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317">
    <w:name w:val="Char11"/>
    <w:basedOn w:val="1"/>
    <w:qFormat/>
    <w:uiPriority w:val="0"/>
    <w:pPr>
      <w:spacing w:after="160" w:line="240" w:lineRule="exact"/>
      <w:jc w:val="left"/>
    </w:pPr>
    <w:rPr>
      <w:rFonts w:eastAsia="SimSun-Identity-H"/>
      <w:kern w:val="0"/>
      <w:sz w:val="24"/>
      <w:szCs w:val="20"/>
      <w:lang w:eastAsia="en-US"/>
    </w:rPr>
  </w:style>
  <w:style w:type="paragraph" w:customStyle="1" w:styleId="318">
    <w:name w:val="xl91"/>
    <w:basedOn w:val="1"/>
    <w:qFormat/>
    <w:uiPriority w:val="0"/>
    <w:pPr>
      <w:shd w:val="clear" w:color="000000" w:fill="FFFFFF"/>
      <w:spacing w:before="100" w:beforeAutospacing="1" w:after="100" w:afterAutospacing="1"/>
      <w:jc w:val="left"/>
    </w:pPr>
    <w:rPr>
      <w:rFonts w:cs="Courier New"/>
      <w:kern w:val="0"/>
      <w:sz w:val="23"/>
      <w:szCs w:val="23"/>
    </w:rPr>
  </w:style>
  <w:style w:type="paragraph" w:customStyle="1" w:styleId="319">
    <w:name w:val="列表段落2"/>
    <w:basedOn w:val="1"/>
    <w:qFormat/>
    <w:uiPriority w:val="34"/>
    <w:pPr>
      <w:ind w:firstLine="420" w:firstLineChars="200"/>
    </w:pPr>
    <w:rPr>
      <w:rFonts w:ascii="华文中宋" w:hAnsi="华文中宋" w:eastAsia="Courier New"/>
      <w:szCs w:val="20"/>
    </w:rPr>
  </w:style>
  <w:style w:type="paragraph" w:customStyle="1" w:styleId="320">
    <w:name w:val="xl13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table" w:customStyle="1" w:styleId="321">
    <w:name w:val="网格型3"/>
    <w:basedOn w:val="46"/>
    <w:qFormat/>
    <w:uiPriority w:val="39"/>
    <w:rPr>
      <w:rFonts w:ascii="等线" w:hAnsi="等线" w:eastAsia="等线"/>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2">
    <w:name w:val="网格型21"/>
    <w:basedOn w:val="46"/>
    <w:qFormat/>
    <w:uiPriority w:val="39"/>
    <w:rPr>
      <w:rFonts w:eastAsia="Calibri"/>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3">
    <w:name w:val="网格型4"/>
    <w:basedOn w:val="46"/>
    <w:qFormat/>
    <w:uiPriority w:val="39"/>
    <w:rPr>
      <w:rFonts w:ascii="等线" w:hAnsi="等线" w:eastAsia="等线"/>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4">
    <w:name w:val="网格型2"/>
    <w:basedOn w:val="46"/>
    <w:qFormat/>
    <w:uiPriority w:val="39"/>
    <w:rPr>
      <w:rFonts w:eastAsia="Calibri" w:cs="微软雅黑"/>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5">
    <w:name w:val="网格型1"/>
    <w:basedOn w:val="46"/>
    <w:qFormat/>
    <w:uiPriority w:val="0"/>
    <w:pPr>
      <w:widowControl w:val="0"/>
    </w:pPr>
    <w:rPr>
      <w:rFonts w:ascii="微软雅黑" w:hAnsi="微软雅黑"/>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6">
    <w:name w:val="网格型11"/>
    <w:basedOn w:val="46"/>
    <w:qFormat/>
    <w:uiPriority w:val="39"/>
    <w:pPr>
      <w:widowControl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27">
    <w:name w:val="_Style 3"/>
    <w:basedOn w:val="1"/>
    <w:next w:val="127"/>
    <w:qFormat/>
    <w:uiPriority w:val="34"/>
    <w:pPr>
      <w:spacing w:line="240" w:lineRule="atLeast"/>
      <w:ind w:firstLine="420" w:firstLineChars="200"/>
      <w:jc w:val="left"/>
    </w:pPr>
    <w:rPr>
      <w:rFonts w:ascii="仿宋体" w:hAnsi="仿宋体" w:eastAsia="Arial" w:cs="Arial"/>
      <w:kern w:val="0"/>
      <w:sz w:val="24"/>
    </w:rPr>
  </w:style>
  <w:style w:type="paragraph" w:customStyle="1" w:styleId="328">
    <w:name w:val="Table Paragraph"/>
    <w:basedOn w:val="1"/>
    <w:qFormat/>
    <w:uiPriority w:val="0"/>
    <w:pPr>
      <w:autoSpaceDE w:val="0"/>
      <w:autoSpaceDN w:val="0"/>
      <w:adjustRightInd w:val="0"/>
      <w:jc w:val="left"/>
    </w:pPr>
    <w:rPr>
      <w:kern w:val="0"/>
      <w:sz w:val="24"/>
    </w:rPr>
  </w:style>
  <w:style w:type="character" w:customStyle="1" w:styleId="329">
    <w:name w:val="彩色列表 - 着色 1 字符"/>
    <w:link w:val="330"/>
    <w:qFormat/>
    <w:uiPriority w:val="34"/>
    <w:rPr>
      <w:rFonts w:ascii="华文中宋" w:hAnsi="华文中宋"/>
      <w:kern w:val="1"/>
      <w:lang w:eastAsia="ar-SA"/>
    </w:rPr>
  </w:style>
  <w:style w:type="paragraph" w:customStyle="1" w:styleId="330">
    <w:name w:val="彩色列表 - 强调文字颜色 11"/>
    <w:basedOn w:val="1"/>
    <w:link w:val="329"/>
    <w:qFormat/>
    <w:uiPriority w:val="34"/>
    <w:pPr>
      <w:suppressAutoHyphens/>
      <w:ind w:firstLine="420"/>
    </w:pPr>
    <w:rPr>
      <w:rFonts w:ascii="华文中宋" w:hAnsi="华文中宋"/>
      <w:kern w:val="1"/>
      <w:sz w:val="20"/>
      <w:szCs w:val="20"/>
      <w:lang w:eastAsia="ar-SA"/>
    </w:rPr>
  </w:style>
  <w:style w:type="paragraph" w:customStyle="1" w:styleId="331">
    <w:name w:val="_Style 329"/>
    <w:basedOn w:val="20"/>
    <w:next w:val="45"/>
    <w:link w:val="332"/>
    <w:qFormat/>
    <w:uiPriority w:val="0"/>
    <w:pPr>
      <w:adjustRightInd/>
      <w:snapToGrid/>
      <w:spacing w:after="120" w:line="240" w:lineRule="auto"/>
      <w:ind w:left="420" w:leftChars="200"/>
    </w:pPr>
    <w:rPr>
      <w:rFonts w:ascii="Times New Roman" w:hAnsi="Times New Roman"/>
      <w:kern w:val="0"/>
      <w:sz w:val="20"/>
      <w:szCs w:val="20"/>
    </w:rPr>
  </w:style>
  <w:style w:type="character" w:customStyle="1" w:styleId="332">
    <w:name w:val="正文首行缩进 2 Char"/>
    <w:link w:val="331"/>
    <w:qFormat/>
    <w:uiPriority w:val="0"/>
  </w:style>
  <w:style w:type="character" w:customStyle="1" w:styleId="333">
    <w:name w:val="文档结构图 字符"/>
    <w:link w:val="15"/>
    <w:qFormat/>
    <w:uiPriority w:val="99"/>
    <w:rPr>
      <w:kern w:val="2"/>
      <w:sz w:val="21"/>
      <w:szCs w:val="24"/>
      <w:shd w:val="clear" w:color="auto" w:fill="000080"/>
    </w:rPr>
  </w:style>
  <w:style w:type="character" w:customStyle="1" w:styleId="334">
    <w:name w:val="称呼 字符"/>
    <w:link w:val="17"/>
    <w:qFormat/>
    <w:uiPriority w:val="0"/>
    <w:rPr>
      <w:kern w:val="2"/>
      <w:sz w:val="21"/>
      <w:szCs w:val="24"/>
    </w:rPr>
  </w:style>
  <w:style w:type="character" w:customStyle="1" w:styleId="335">
    <w:name w:val="正文文本 3 字符"/>
    <w:link w:val="18"/>
    <w:qFormat/>
    <w:uiPriority w:val="0"/>
    <w:rPr>
      <w:kern w:val="2"/>
      <w:sz w:val="16"/>
      <w:szCs w:val="16"/>
    </w:rPr>
  </w:style>
  <w:style w:type="character" w:customStyle="1" w:styleId="336">
    <w:name w:val="正文文本首行缩进 字符"/>
    <w:link w:val="44"/>
    <w:qFormat/>
    <w:uiPriority w:val="99"/>
    <w:rPr>
      <w:rFonts w:ascii="宋体" w:hAnsi="宋体"/>
      <w:kern w:val="2"/>
      <w:sz w:val="21"/>
      <w:szCs w:val="24"/>
    </w:rPr>
  </w:style>
  <w:style w:type="character" w:customStyle="1" w:styleId="337">
    <w:name w:val="z-窗体顶端 字符1"/>
    <w:qFormat/>
    <w:uiPriority w:val="99"/>
    <w:rPr>
      <w:rFonts w:ascii="Arial" w:hAnsi="Arial" w:eastAsia="宋体" w:cs="Arial"/>
      <w:vanish/>
      <w:sz w:val="16"/>
      <w:szCs w:val="16"/>
    </w:rPr>
  </w:style>
  <w:style w:type="character" w:customStyle="1" w:styleId="338">
    <w:name w:val="未处理的提及11"/>
    <w:qFormat/>
    <w:uiPriority w:val="99"/>
    <w:rPr>
      <w:color w:val="605E5C"/>
      <w:shd w:val="clear" w:color="auto" w:fill="E1DFDD"/>
    </w:rPr>
  </w:style>
  <w:style w:type="paragraph" w:customStyle="1" w:styleId="339">
    <w:name w:val="z-窗体顶端11"/>
    <w:basedOn w:val="1"/>
    <w:qFormat/>
    <w:uiPriority w:val="34"/>
    <w:pPr>
      <w:tabs>
        <w:tab w:val="left" w:pos="1276"/>
      </w:tabs>
      <w:ind w:firstLine="420" w:firstLineChars="200"/>
    </w:pPr>
    <w:rPr>
      <w:rFonts w:ascii="Times New Roman" w:hAnsi="Times New Roman"/>
    </w:rPr>
  </w:style>
  <w:style w:type="paragraph" w:customStyle="1" w:styleId="340">
    <w:name w:val="Char Char Char Char1"/>
    <w:basedOn w:val="1"/>
    <w:qFormat/>
    <w:uiPriority w:val="0"/>
    <w:pPr>
      <w:spacing w:after="160" w:line="240" w:lineRule="exact"/>
      <w:jc w:val="left"/>
    </w:pPr>
    <w:rPr>
      <w:kern w:val="0"/>
      <w:sz w:val="20"/>
      <w:szCs w:val="20"/>
      <w:lang w:eastAsia="en-US"/>
    </w:rPr>
  </w:style>
  <w:style w:type="paragraph" w:customStyle="1" w:styleId="341">
    <w:name w:val="Char Char131"/>
    <w:basedOn w:val="1"/>
    <w:qFormat/>
    <w:uiPriority w:val="0"/>
    <w:pPr>
      <w:spacing w:after="160" w:line="240" w:lineRule="exact"/>
      <w:jc w:val="left"/>
    </w:pPr>
    <w:rPr>
      <w:rFonts w:eastAsia="SimSun-Identity-H"/>
      <w:kern w:val="0"/>
      <w:sz w:val="24"/>
      <w:szCs w:val="20"/>
      <w:lang w:eastAsia="en-US"/>
    </w:rPr>
  </w:style>
  <w:style w:type="paragraph" w:customStyle="1" w:styleId="342">
    <w:name w:val="Char Char Char1"/>
    <w:basedOn w:val="1"/>
    <w:qFormat/>
    <w:uiPriority w:val="0"/>
    <w:pPr>
      <w:spacing w:after="160" w:line="240" w:lineRule="exact"/>
      <w:jc w:val="left"/>
    </w:pPr>
    <w:rPr>
      <w:rFonts w:ascii="Times New Roman" w:hAnsi="Times New Roman"/>
      <w:szCs w:val="20"/>
    </w:rPr>
  </w:style>
  <w:style w:type="paragraph" w:customStyle="1" w:styleId="343">
    <w:name w:val="彩色底纹 - 强调文字颜色 11"/>
    <w:qFormat/>
    <w:uiPriority w:val="99"/>
    <w:pPr>
      <w:spacing w:line="360" w:lineRule="auto"/>
      <w:jc w:val="both"/>
    </w:pPr>
    <w:rPr>
      <w:rFonts w:ascii="Times New Roman" w:hAnsi="Times New Roman" w:eastAsia="宋体" w:cs="Times New Roman"/>
      <w:kern w:val="2"/>
      <w:sz w:val="21"/>
      <w:szCs w:val="24"/>
      <w:lang w:val="en-US" w:eastAsia="zh-CN" w:bidi="ar-SA"/>
    </w:rPr>
  </w:style>
  <w:style w:type="paragraph" w:customStyle="1" w:styleId="344">
    <w:name w:val="Char Char Char Char Char Char Char Char Char Char Char Char1 Char1"/>
    <w:basedOn w:val="15"/>
    <w:qFormat/>
    <w:uiPriority w:val="0"/>
    <w:rPr>
      <w:rFonts w:ascii="Times New Roman" w:hAnsi="Times New Roman"/>
    </w:rPr>
  </w:style>
  <w:style w:type="paragraph" w:customStyle="1" w:styleId="345">
    <w:name w:val="Char Char Char Char Char Char Char1"/>
    <w:basedOn w:val="1"/>
    <w:qFormat/>
    <w:uiPriority w:val="0"/>
    <w:pPr>
      <w:tabs>
        <w:tab w:val="left" w:pos="425"/>
      </w:tabs>
      <w:ind w:left="425" w:hanging="425"/>
    </w:pPr>
    <w:rPr>
      <w:rFonts w:ascii="Times New Roman" w:hAnsi="Times New Roman" w:eastAsia="SimSun-Identity-H"/>
      <w:kern w:val="24"/>
      <w:sz w:val="24"/>
    </w:rPr>
  </w:style>
  <w:style w:type="paragraph" w:customStyle="1" w:styleId="346">
    <w:name w:val="Char Char1"/>
    <w:basedOn w:val="1"/>
    <w:qFormat/>
    <w:uiPriority w:val="0"/>
    <w:rPr>
      <w:b/>
      <w:sz w:val="28"/>
      <w:szCs w:val="28"/>
    </w:rPr>
  </w:style>
  <w:style w:type="paragraph" w:customStyle="1" w:styleId="347">
    <w:name w:val="中等深浅网格 21"/>
    <w:qFormat/>
    <w:uiPriority w:val="1"/>
    <w:pPr>
      <w:widowControl w:val="0"/>
      <w:spacing w:line="360" w:lineRule="auto"/>
      <w:jc w:val="both"/>
    </w:pPr>
    <w:rPr>
      <w:rFonts w:ascii="Times New Roman" w:hAnsi="Times New Roman" w:eastAsia="宋体" w:cs="Times New Roman"/>
      <w:kern w:val="2"/>
      <w:sz w:val="24"/>
      <w:szCs w:val="22"/>
      <w:lang w:val="en-US" w:eastAsia="zh-CN" w:bidi="ar-SA"/>
    </w:rPr>
  </w:style>
  <w:style w:type="paragraph" w:customStyle="1" w:styleId="348">
    <w:name w:val="Char1 Char Char Char1"/>
    <w:basedOn w:val="1"/>
    <w:qFormat/>
    <w:uiPriority w:val="0"/>
    <w:pPr>
      <w:numPr>
        <w:ilvl w:val="0"/>
        <w:numId w:val="3"/>
      </w:numPr>
    </w:pPr>
    <w:rPr>
      <w:rFonts w:ascii="Times New Roman" w:hAnsi="Times New Roman"/>
      <w:sz w:val="24"/>
    </w:rPr>
  </w:style>
  <w:style w:type="paragraph" w:customStyle="1" w:styleId="349">
    <w:name w:val="Char Char Char Char Char Char1 Char1"/>
    <w:basedOn w:val="1"/>
    <w:qFormat/>
    <w:uiPriority w:val="0"/>
    <w:pPr>
      <w:spacing w:after="160" w:line="240" w:lineRule="exact"/>
      <w:jc w:val="left"/>
    </w:pPr>
    <w:rPr>
      <w:kern w:val="0"/>
      <w:szCs w:val="20"/>
      <w:lang w:eastAsia="en-US"/>
    </w:rPr>
  </w:style>
  <w:style w:type="paragraph" w:customStyle="1" w:styleId="350">
    <w:name w:val="Char Char Char Char Char Char Char Char Char Char1"/>
    <w:basedOn w:val="1"/>
    <w:qFormat/>
    <w:uiPriority w:val="0"/>
    <w:pPr>
      <w:adjustRightInd w:val="0"/>
    </w:pPr>
    <w:rPr>
      <w:rFonts w:ascii="Times New Roman" w:hAnsi="Times New Roman"/>
      <w:kern w:val="0"/>
      <w:sz w:val="24"/>
      <w:szCs w:val="20"/>
    </w:rPr>
  </w:style>
  <w:style w:type="paragraph" w:customStyle="1" w:styleId="351">
    <w:name w:val="Char Char Char Char Char Char Char Char Char Char Char Char Char1"/>
    <w:basedOn w:val="1"/>
    <w:qFormat/>
    <w:uiPriority w:val="0"/>
    <w:pPr>
      <w:spacing w:after="160" w:line="240" w:lineRule="exact"/>
      <w:jc w:val="left"/>
    </w:pPr>
    <w:rPr>
      <w:rFonts w:cs="Courier New"/>
      <w:kern w:val="0"/>
      <w:sz w:val="24"/>
    </w:rPr>
  </w:style>
  <w:style w:type="paragraph" w:customStyle="1" w:styleId="352">
    <w:name w:val="Char Char2 Char1"/>
    <w:basedOn w:val="1"/>
    <w:qFormat/>
    <w:uiPriority w:val="0"/>
    <w:rPr>
      <w:b/>
      <w:sz w:val="28"/>
      <w:szCs w:val="28"/>
    </w:rPr>
  </w:style>
  <w:style w:type="paragraph" w:customStyle="1" w:styleId="353">
    <w:name w:val="Char1"/>
    <w:basedOn w:val="1"/>
    <w:qFormat/>
    <w:uiPriority w:val="0"/>
    <w:pPr>
      <w:spacing w:after="160" w:line="240" w:lineRule="exact"/>
      <w:jc w:val="left"/>
    </w:pPr>
    <w:rPr>
      <w:rFonts w:eastAsia="SimSun-Identity-H"/>
      <w:kern w:val="0"/>
      <w:sz w:val="24"/>
      <w:szCs w:val="20"/>
      <w:lang w:eastAsia="en-US"/>
    </w:rPr>
  </w:style>
  <w:style w:type="paragraph" w:customStyle="1" w:styleId="354">
    <w:name w:val="列表段落21"/>
    <w:basedOn w:val="1"/>
    <w:qFormat/>
    <w:uiPriority w:val="34"/>
    <w:pPr>
      <w:ind w:firstLine="420" w:firstLineChars="200"/>
    </w:pPr>
    <w:rPr>
      <w:rFonts w:ascii="华文中宋" w:hAnsi="华文中宋" w:eastAsia="Courier New"/>
      <w:szCs w:val="20"/>
    </w:rPr>
  </w:style>
  <w:style w:type="character" w:customStyle="1" w:styleId="355">
    <w:name w:val="font101"/>
    <w:qFormat/>
    <w:uiPriority w:val="0"/>
    <w:rPr>
      <w:rFonts w:hint="eastAsia" w:ascii="宋体" w:hAnsi="宋体" w:eastAsia="宋体" w:cs="宋体"/>
      <w:color w:val="000000"/>
      <w:sz w:val="22"/>
      <w:szCs w:val="22"/>
      <w:u w:val="none"/>
    </w:rPr>
  </w:style>
  <w:style w:type="paragraph" w:customStyle="1" w:styleId="356">
    <w:name w:val="B"/>
    <w:basedOn w:val="19"/>
    <w:link w:val="357"/>
    <w:qFormat/>
    <w:uiPriority w:val="1"/>
    <w:pPr>
      <w:autoSpaceDE w:val="0"/>
      <w:autoSpaceDN w:val="0"/>
      <w:ind w:firstLine="480" w:firstLineChars="200"/>
      <w:jc w:val="left"/>
    </w:pPr>
    <w:rPr>
      <w:rFonts w:cs="宋体"/>
      <w:sz w:val="24"/>
      <w:lang w:eastAsia="en-US"/>
    </w:rPr>
  </w:style>
  <w:style w:type="character" w:customStyle="1" w:styleId="357">
    <w:name w:val="B 字符"/>
    <w:basedOn w:val="62"/>
    <w:link w:val="356"/>
    <w:qFormat/>
    <w:uiPriority w:val="1"/>
    <w:rPr>
      <w:rFonts w:ascii="宋体" w:hAnsi="宋体" w:cs="宋体"/>
      <w:kern w:val="2"/>
      <w:sz w:val="24"/>
      <w:szCs w:val="24"/>
      <w:lang w:eastAsia="en-US"/>
    </w:rPr>
  </w:style>
  <w:style w:type="paragraph" w:customStyle="1" w:styleId="358">
    <w:name w:val="D"/>
    <w:basedOn w:val="356"/>
    <w:link w:val="359"/>
    <w:qFormat/>
    <w:uiPriority w:val="1"/>
    <w:pPr>
      <w:ind w:firstLine="0" w:firstLineChars="0"/>
      <w:jc w:val="both"/>
      <w:outlineLvl w:val="2"/>
    </w:pPr>
    <w:rPr>
      <w:b/>
      <w:bCs/>
      <w:kern w:val="0"/>
    </w:rPr>
  </w:style>
  <w:style w:type="character" w:customStyle="1" w:styleId="359">
    <w:name w:val="D 字符"/>
    <w:link w:val="358"/>
    <w:qFormat/>
    <w:uiPriority w:val="1"/>
    <w:rPr>
      <w:rFonts w:ascii="宋体" w:hAnsi="宋体" w:cs="宋体"/>
      <w:b/>
      <w:bCs/>
      <w:sz w:val="24"/>
      <w:szCs w:val="24"/>
      <w:lang w:eastAsia="en-US"/>
    </w:rPr>
  </w:style>
  <w:style w:type="character" w:customStyle="1" w:styleId="360">
    <w:name w:val="正文缩进 Char"/>
    <w:qFormat/>
    <w:uiPriority w:val="0"/>
    <w:rPr>
      <w:rFonts w:ascii="文鼎CS中黑" w:eastAsia="文鼎CS中黑"/>
      <w:sz w:val="34"/>
    </w:rPr>
  </w:style>
  <w:style w:type="character" w:customStyle="1" w:styleId="361">
    <w:name w:val="批注文字 字符1"/>
    <w:qFormat/>
    <w:uiPriority w:val="0"/>
    <w:rPr>
      <w:rFonts w:ascii="宋体" w:hAnsi="宋体" w:cs="宋体"/>
      <w:sz w:val="24"/>
      <w:szCs w:val="24"/>
    </w:rPr>
  </w:style>
  <w:style w:type="paragraph" w:customStyle="1" w:styleId="362">
    <w:name w:val="列表段落3"/>
    <w:basedOn w:val="1"/>
    <w:qFormat/>
    <w:uiPriority w:val="0"/>
    <w:pPr>
      <w:autoSpaceDE w:val="0"/>
      <w:autoSpaceDN w:val="0"/>
      <w:ind w:left="124" w:firstLine="378"/>
      <w:jc w:val="left"/>
    </w:pPr>
    <w:rPr>
      <w:rFonts w:cs="宋体"/>
      <w:kern w:val="0"/>
      <w:sz w:val="22"/>
      <w:szCs w:val="22"/>
    </w:rPr>
  </w:style>
  <w:style w:type="paragraph" w:customStyle="1" w:styleId="363">
    <w:name w:val="正文1"/>
    <w:qFormat/>
    <w:uiPriority w:val="0"/>
    <w:pPr>
      <w:spacing w:line="240" w:lineRule="auto"/>
      <w:jc w:val="both"/>
    </w:pPr>
    <w:rPr>
      <w:rFonts w:ascii="Calibri" w:hAnsi="Calibri" w:eastAsia="宋体" w:cs="Calibri"/>
      <w:kern w:val="2"/>
      <w:sz w:val="21"/>
      <w:szCs w:val="21"/>
      <w:lang w:val="en-US" w:eastAsia="zh-CN" w:bidi="ar-SA"/>
    </w:rPr>
  </w:style>
  <w:style w:type="paragraph" w:customStyle="1" w:styleId="364">
    <w:name w:val="C"/>
    <w:basedOn w:val="1"/>
    <w:link w:val="365"/>
    <w:qFormat/>
    <w:uiPriority w:val="1"/>
    <w:pPr>
      <w:widowControl w:val="0"/>
      <w:autoSpaceDE w:val="0"/>
      <w:autoSpaceDN w:val="0"/>
      <w:jc w:val="left"/>
      <w:outlineLvl w:val="1"/>
    </w:pPr>
    <w:rPr>
      <w:rFonts w:cs="宋体"/>
      <w:b/>
      <w:bCs/>
      <w:kern w:val="0"/>
      <w:sz w:val="24"/>
      <w:lang w:eastAsia="en-US"/>
    </w:rPr>
  </w:style>
  <w:style w:type="character" w:customStyle="1" w:styleId="365">
    <w:name w:val="C 字符"/>
    <w:basedOn w:val="48"/>
    <w:link w:val="364"/>
    <w:qFormat/>
    <w:uiPriority w:val="1"/>
    <w:rPr>
      <w:rFonts w:ascii="宋体" w:hAnsi="宋体" w:cs="宋体"/>
      <w:b/>
      <w:bCs/>
      <w:kern w:val="0"/>
      <w:sz w:val="24"/>
      <w:lang w:eastAsia="en-US"/>
    </w:rPr>
  </w:style>
  <w:style w:type="paragraph" w:customStyle="1" w:styleId="366">
    <w:name w:val="列表段落4"/>
    <w:basedOn w:val="1"/>
    <w:qFormat/>
    <w:uiPriority w:val="0"/>
    <w:pPr>
      <w:widowControl w:val="0"/>
      <w:autoSpaceDE w:val="0"/>
      <w:autoSpaceDN w:val="0"/>
      <w:spacing w:line="240" w:lineRule="auto"/>
      <w:ind w:left="106" w:firstLine="384"/>
      <w:jc w:val="left"/>
    </w:pPr>
    <w:rPr>
      <w:rFonts w:cs="宋体"/>
      <w:kern w:val="0"/>
      <w:sz w:val="22"/>
      <w:szCs w:val="22"/>
    </w:rPr>
  </w:style>
  <w:style w:type="paragraph" w:customStyle="1" w:styleId="367">
    <w:name w:val="正文2"/>
    <w:qFormat/>
    <w:uiPriority w:val="0"/>
    <w:pPr>
      <w:spacing w:line="240" w:lineRule="auto"/>
      <w:jc w:val="both"/>
    </w:pPr>
    <w:rPr>
      <w:rFonts w:ascii="Calibri" w:hAnsi="Calibri" w:eastAsia="宋体" w:cs="Calibri"/>
      <w:kern w:val="2"/>
      <w:sz w:val="21"/>
      <w:szCs w:val="21"/>
      <w:lang w:val="en-US" w:eastAsia="zh-CN" w:bidi="ar-SA"/>
    </w:rPr>
  </w:style>
  <w:style w:type="character" w:customStyle="1" w:styleId="368">
    <w:name w:val="Unresolved Mention"/>
    <w:basedOn w:val="48"/>
    <w:semiHidden/>
    <w:unhideWhenUsed/>
    <w:qFormat/>
    <w:uiPriority w:val="99"/>
    <w:rPr>
      <w:color w:val="605E5C"/>
      <w:shd w:val="clear" w:color="auto" w:fill="E1DFDD"/>
    </w:rPr>
  </w:style>
  <w:style w:type="paragraph" w:customStyle="1" w:styleId="369">
    <w:name w:val="A"/>
    <w:basedOn w:val="1"/>
    <w:link w:val="370"/>
    <w:qFormat/>
    <w:uiPriority w:val="1"/>
    <w:pPr>
      <w:widowControl w:val="0"/>
      <w:autoSpaceDE w:val="0"/>
      <w:autoSpaceDN w:val="0"/>
      <w:jc w:val="left"/>
    </w:pPr>
    <w:rPr>
      <w:rFonts w:cs="宋体"/>
      <w:b/>
      <w:bCs/>
      <w:kern w:val="0"/>
      <w:sz w:val="24"/>
      <w:lang w:eastAsia="en-US"/>
    </w:rPr>
  </w:style>
  <w:style w:type="character" w:customStyle="1" w:styleId="370">
    <w:name w:val="A 字符"/>
    <w:basedOn w:val="48"/>
    <w:link w:val="369"/>
    <w:qFormat/>
    <w:uiPriority w:val="1"/>
    <w:rPr>
      <w:rFonts w:ascii="宋体" w:hAnsi="宋体" w:cs="宋体"/>
      <w:b/>
      <w:bCs/>
      <w:kern w:val="0"/>
      <w:sz w:val="24"/>
      <w:lang w:eastAsia="en-US"/>
    </w:rPr>
  </w:style>
  <w:style w:type="character" w:customStyle="1" w:styleId="371">
    <w:name w:val="正文文本首行缩进 2 字符1"/>
    <w:qFormat/>
    <w:uiPriority w:val="99"/>
    <w:rPr>
      <w:kern w:val="2"/>
      <w:sz w:val="21"/>
      <w:szCs w:val="24"/>
    </w:rPr>
  </w:style>
  <w:style w:type="table" w:customStyle="1" w:styleId="372">
    <w:name w:val="Table Normal"/>
    <w:unhideWhenUsed/>
    <w:qFormat/>
    <w:uiPriority w:val="0"/>
    <w:tblPr>
      <w:tblCellMar>
        <w:top w:w="0" w:type="dxa"/>
        <w:left w:w="0" w:type="dxa"/>
        <w:bottom w:w="0" w:type="dxa"/>
        <w:right w:w="0" w:type="dxa"/>
      </w:tblCellMar>
    </w:tblPr>
  </w:style>
  <w:style w:type="paragraph" w:customStyle="1" w:styleId="373">
    <w:name w:val="List Paragraph_65e27187-2745-4bfa-8841-21597b5794fb"/>
    <w:basedOn w:val="1"/>
    <w:qFormat/>
    <w:uiPriority w:val="0"/>
    <w:pPr>
      <w:ind w:firstLine="420" w:firstLineChars="200"/>
    </w:pPr>
    <w:rPr>
      <w:rFonts w:eastAsia="仿宋_GB2312"/>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png"/><Relationship Id="rId15" Type="http://schemas.openxmlformats.org/officeDocument/2006/relationships/theme" Target="theme/theme1.xml"/><Relationship Id="rId14" Type="http://schemas.openxmlformats.org/officeDocument/2006/relationships/header" Target="header5.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40FDCED-F625-4FAA-9C03-EA9EAE5A4709}">
  <ds:schemaRefs/>
</ds:datastoreItem>
</file>

<file path=docProps/app.xml><?xml version="1.0" encoding="utf-8"?>
<Properties xmlns="http://schemas.openxmlformats.org/officeDocument/2006/extended-properties" xmlns:vt="http://schemas.openxmlformats.org/officeDocument/2006/docPropsVTypes">
  <Template>Normal.dotm</Template>
  <Pages>82</Pages>
  <Words>7688</Words>
  <Characters>8133</Characters>
  <Lines>326</Lines>
  <Paragraphs>91</Paragraphs>
  <TotalTime>12</TotalTime>
  <ScaleCrop>false</ScaleCrop>
  <LinksUpToDate>false</LinksUpToDate>
  <CharactersWithSpaces>8317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2022-02-28T08:06:00Z</dcterms:created>
  <dc:creator>永际工作室</dc:creator>
  <cp:lastModifiedBy>星垂野</cp:lastModifiedBy>
  <cp:lastPrinted>2022-03-07T08:38:00Z</cp:lastPrinted>
  <dcterms:modified xsi:type="dcterms:W3CDTF">2026-03-23T02:44:52Z</dcterms:modified>
  <cp:revision>333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E6F7236C47514BEE8030BED3EDB02995_13</vt:lpwstr>
  </property>
  <property fmtid="{D5CDD505-2E9C-101B-9397-08002B2CF9AE}" pid="4" name="KSOTemplateDocerSaveRecord">
    <vt:lpwstr>eyJoZGlkIjoiMDk2OTA1NDkwMDRkYzM1ZjcyOTU0MGYwZjMwMjMzM2IiLCJ1c2VySWQiOiI2MDQyNjU5NzIifQ==</vt:lpwstr>
  </property>
</Properties>
</file>