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197C5A">
      <w:pPr>
        <w:pStyle w:val="21"/>
        <w:spacing w:after="156"/>
        <w:rPr>
          <w:rFonts w:hint="eastAsia" w:ascii="宋体" w:hAnsi="宋体" w:eastAsia="宋体" w:cs="宋体"/>
          <w:sz w:val="44"/>
          <w:szCs w:val="44"/>
        </w:rPr>
      </w:pPr>
      <w:bookmarkStart w:id="0" w:name="_Toc5830"/>
      <w:bookmarkStart w:id="1" w:name="_Toc22305827"/>
      <w:bookmarkStart w:id="2" w:name="_Toc22305828"/>
      <w:r>
        <w:rPr>
          <w:rFonts w:hint="eastAsia" w:ascii="宋体" w:hAnsi="宋体" w:eastAsia="宋体" w:cs="宋体"/>
          <w:sz w:val="44"/>
          <w:szCs w:val="44"/>
        </w:rPr>
        <w:t>2026年人民北办公网无线网络设备替换项目市场调研需求</w:t>
      </w:r>
    </w:p>
    <w:p w14:paraId="13948178">
      <w:pPr>
        <w:pStyle w:val="4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项目概述</w:t>
      </w:r>
    </w:p>
    <w:p w14:paraId="43378E3E">
      <w:pPr>
        <w:pStyle w:val="7"/>
        <w:spacing w:after="156" w:line="276" w:lineRule="auto"/>
        <w:ind w:firstLine="560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广东南方新媒体股份有限公司的办公网无线网络于2017年完成建设，至今为止，无线控制器、部分无线AP设备和POE交换机的使用年限已超过8年，厂商已终止服务支持，不再提供技术维护、安全补丁及备件，网络稳定性与可用性难以保障。无线网络系统建设的时候是基于WiFi5的技术标准设计的，目前该技术已落后于主流标准，无线AP的网络带宽、并发接入能力有限，容易出现卡顿、延迟等问题，制约办公效率。</w:t>
      </w:r>
    </w:p>
    <w:p w14:paraId="4558BC76">
      <w:pPr>
        <w:pStyle w:val="7"/>
        <w:spacing w:after="156" w:line="276" w:lineRule="auto"/>
        <w:ind w:firstLine="560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综上所述，为解决以上问题，计划启动本次无线控制器和AP等设备的替换项目，建设基于WiFi7标准及国产芯片的新一代办公无线网络，支撑单位业务高效开展的同时又能满足国产化政策的要求。</w:t>
      </w:r>
    </w:p>
    <w:p w14:paraId="7842CFD5">
      <w:pPr>
        <w:pStyle w:val="4"/>
        <w:rPr>
          <w:rFonts w:hint="eastAsia" w:ascii="宋体" w:hAnsi="宋体" w:eastAsia="宋体" w:cs="宋体"/>
        </w:rPr>
      </w:pPr>
      <w:bookmarkStart w:id="3" w:name="_Toc18289"/>
      <w:r>
        <w:rPr>
          <w:rFonts w:hint="eastAsia" w:ascii="宋体" w:hAnsi="宋体" w:eastAsia="宋体" w:cs="宋体"/>
        </w:rPr>
        <w:t>技术需求</w:t>
      </w:r>
      <w:bookmarkEnd w:id="0"/>
      <w:bookmarkEnd w:id="1"/>
      <w:bookmarkEnd w:id="3"/>
    </w:p>
    <w:p w14:paraId="362C1DD5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hint="eastAsia" w:ascii="宋体" w:hAnsi="宋体" w:eastAsia="宋体" w:cs="宋体"/>
          <w:kern w:val="0"/>
          <w:sz w:val="28"/>
          <w:szCs w:val="28"/>
        </w:rPr>
      </w:pPr>
      <w:bookmarkStart w:id="4" w:name="_Toc9580"/>
      <w:bookmarkStart w:id="5" w:name="_Toc15017"/>
      <w:r>
        <w:rPr>
          <w:rFonts w:hint="eastAsia" w:ascii="宋体" w:hAnsi="宋体" w:eastAsia="宋体" w:cs="宋体"/>
          <w:kern w:val="0"/>
          <w:sz w:val="28"/>
          <w:szCs w:val="28"/>
        </w:rPr>
        <w:t>本次项目要求为对现有企业无线设施替换，开放办公区、会议室采用AP吸顶部署，采用室内型AP内置全向天线，WI-FI7标准。</w:t>
      </w:r>
    </w:p>
    <w:p w14:paraId="55814D2B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安装方式：所有无线访问点（AP）均采用内置智能天线设计，安装方式为吸顶式安装，确保安装牢固、美观，且不影响现场环境布局。</w:t>
      </w:r>
    </w:p>
    <w:p w14:paraId="5C7A4DD3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点位部署原则：AP点位需严格参照项目设计图纸规划位置执行，整体采用等边三角形部署方案，保障信号覆盖的均匀性与稳定性。</w:t>
      </w:r>
    </w:p>
    <w:p w14:paraId="5B08845F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频段与带宽配置：推荐采用混合频段组网方案，具体参数为2.4G频段配置20MHz带宽，5G频段配置40MHz带宽，保障网络速率与兼容性。</w:t>
      </w:r>
    </w:p>
    <w:p w14:paraId="70CB1FDA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信道规划：AP信道规划需严格参照项目设计图纸执行，合理分配2.4G及5G频段信道，避免同频、邻频干扰，提升网络整体稳定性。</w:t>
      </w:r>
    </w:p>
    <w:p w14:paraId="3B91EB40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2.4G频段管控：鉴于2.4G频段可用信道资源稀缺，且易受外部系统干扰，需采取干扰抑制措施，可选择关闭部分2.4G射频以减少同频干扰，具体方案需结合现场干扰检测结果优化。</w:t>
      </w:r>
    </w:p>
    <w:p w14:paraId="67FAD63B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邻频干扰防控：严格执行AP间距约束要求（全向天线AP间距≥6米），同时通过科学的信道规划、频段管控，从部署及配置层面双重规避邻频干扰，保障无线链路吞吐性能及传输质量。</w:t>
      </w:r>
    </w:p>
    <w:p w14:paraId="1CF9896D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信号覆盖标准：覆盖区域信号距AP接入点10米距离内终端95% 区域RSSI值≥-65dBm，95%的区域SINR＞20dB、同频干扰信道数量≤2个，漫游丢包率&lt;1%。</w:t>
      </w:r>
    </w:p>
    <w:p w14:paraId="2C19D4F8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支持MAC、Portal、802.1X认证，Portal页面支持内置或自定义或重定向，支持LDAP和域控认证源对接，可配置用户账号域与 SSID 绑定。</w:t>
      </w:r>
    </w:p>
    <w:p w14:paraId="760BF4AC">
      <w:pPr>
        <w:pStyle w:val="4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采购需求</w:t>
      </w:r>
      <w:bookmarkEnd w:id="2"/>
      <w:bookmarkEnd w:id="4"/>
      <w:bookmarkEnd w:id="5"/>
    </w:p>
    <w:p w14:paraId="48C2ECB3">
      <w:pPr>
        <w:pStyle w:val="7"/>
        <w:numPr>
          <w:ilvl w:val="0"/>
          <w:numId w:val="2"/>
        </w:numPr>
        <w:spacing w:line="240" w:lineRule="auto"/>
        <w:ind w:firstLine="0"/>
        <w:rPr>
          <w:rFonts w:hint="eastAsia" w:ascii="宋体" w:hAnsi="宋体" w:eastAsia="宋体" w:cs="宋体"/>
          <w:sz w:val="30"/>
          <w:szCs w:val="30"/>
        </w:rPr>
      </w:pPr>
      <w:bookmarkStart w:id="6" w:name="_Toc22292"/>
      <w:r>
        <w:rPr>
          <w:rFonts w:hint="eastAsia" w:ascii="宋体" w:hAnsi="宋体" w:eastAsia="宋体" w:cs="宋体"/>
          <w:sz w:val="30"/>
          <w:szCs w:val="30"/>
        </w:rPr>
        <w:t>需求清单</w:t>
      </w:r>
      <w:bookmarkEnd w:id="6"/>
    </w:p>
    <w:p w14:paraId="4A0A3D7B">
      <w:pPr>
        <w:pStyle w:val="7"/>
        <w:spacing w:after="156"/>
        <w:ind w:firstLine="560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本次项目将采购建设2台无线控制器、5台POE交换机、53台无线AP、24个10G多模光模块，所有软硬件设备要求提供5年7x24小时原厂维保服务，备件4小时内到达。详细采购需求清单如下：</w:t>
      </w:r>
    </w:p>
    <w:tbl>
      <w:tblPr>
        <w:tblStyle w:val="23"/>
        <w:tblpPr w:leftFromText="180" w:rightFromText="180" w:vertAnchor="text" w:horzAnchor="page" w:tblpX="1793" w:tblpY="384"/>
        <w:tblOverlap w:val="never"/>
        <w:tblW w:w="4977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3"/>
        <w:gridCol w:w="2657"/>
        <w:gridCol w:w="4335"/>
        <w:gridCol w:w="426"/>
        <w:gridCol w:w="426"/>
      </w:tblGrid>
      <w:tr w14:paraId="1C5A1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37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153AE">
            <w:pPr>
              <w:jc w:val="center"/>
              <w:rPr>
                <w:rFonts w:hint="eastAsia" w:ascii="宋体" w:hAnsi="宋体" w:eastAsia="宋体" w:cs="宋体"/>
                <w:b/>
                <w:bCs/>
                <w:szCs w:val="21"/>
              </w:rPr>
            </w:pPr>
            <w:bookmarkStart w:id="7" w:name="_Toc22305834"/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序号</w:t>
            </w:r>
          </w:p>
        </w:tc>
        <w:tc>
          <w:tcPr>
            <w:tcW w:w="15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D9F4C0">
            <w:pPr>
              <w:jc w:val="center"/>
              <w:rPr>
                <w:rFonts w:hint="eastAsia"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货物名称</w:t>
            </w:r>
          </w:p>
        </w:tc>
        <w:tc>
          <w:tcPr>
            <w:tcW w:w="2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9AC117">
            <w:pPr>
              <w:jc w:val="center"/>
              <w:rPr>
                <w:rFonts w:hint="eastAsia"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规格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AA72A1C">
            <w:pPr>
              <w:jc w:val="center"/>
              <w:rPr>
                <w:rFonts w:hint="eastAsia"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单位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9DCAD2">
            <w:pPr>
              <w:jc w:val="center"/>
              <w:rPr>
                <w:rFonts w:hint="eastAsia"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数量</w:t>
            </w:r>
          </w:p>
        </w:tc>
      </w:tr>
      <w:tr w14:paraId="22B7B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2" w:hRule="atLeast"/>
        </w:trPr>
        <w:tc>
          <w:tcPr>
            <w:tcW w:w="373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382079B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15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EE656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无线控制器（含许可）</w:t>
            </w:r>
          </w:p>
        </w:tc>
        <w:tc>
          <w:tcPr>
            <w:tcW w:w="2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7A19B1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9FC000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69921A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</w:p>
        </w:tc>
      </w:tr>
      <w:tr w14:paraId="554AC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373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02A74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5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FA76E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无线控制器5年原厂维保</w:t>
            </w:r>
          </w:p>
        </w:tc>
        <w:tc>
          <w:tcPr>
            <w:tcW w:w="2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ABFF0A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83D504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66BAF7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  <w:tr w14:paraId="6B55A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9" w:hRule="atLeast"/>
        </w:trPr>
        <w:tc>
          <w:tcPr>
            <w:tcW w:w="373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9AAAA73">
            <w:pPr>
              <w:jc w:val="center"/>
              <w:rPr>
                <w:rFonts w:hint="eastAsia" w:ascii="宋体" w:hAnsi="宋体" w:eastAsia="宋体" w:cs="宋体"/>
                <w:szCs w:val="21"/>
                <w:highlight w:val="yellow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</w:p>
        </w:tc>
        <w:tc>
          <w:tcPr>
            <w:tcW w:w="15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A798B">
            <w:pPr>
              <w:jc w:val="center"/>
              <w:rPr>
                <w:rFonts w:hint="eastAsia" w:ascii="宋体" w:hAnsi="宋体" w:eastAsia="宋体" w:cs="宋体"/>
                <w:szCs w:val="21"/>
                <w:highlight w:val="yellow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无线AP</w:t>
            </w:r>
          </w:p>
        </w:tc>
        <w:tc>
          <w:tcPr>
            <w:tcW w:w="2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57BC2E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3F6F66DE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6940B441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支持三射频，2（2.4G）+2（5G）+2（5G）</w:t>
            </w:r>
          </w:p>
          <w:p w14:paraId="0C62E126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总空间流数≥6（2+2+2），整机速率≥5Gbps</w:t>
            </w:r>
          </w:p>
          <w:p w14:paraId="29B5FB73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整机最大用户接入数≥1800</w:t>
            </w:r>
          </w:p>
          <w:p w14:paraId="7BFBC626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5C080F48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单用户最大测速≥2.3Gbps</w:t>
            </w:r>
          </w:p>
          <w:p w14:paraId="10EE3E68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支持多用户大流量（30路4K高清）并发不卡顿。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42E218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08528B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53</w:t>
            </w:r>
          </w:p>
        </w:tc>
      </w:tr>
      <w:tr w14:paraId="6ABFC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373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F27F1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5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61006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无线AP 5年原厂维保</w:t>
            </w:r>
          </w:p>
        </w:tc>
        <w:tc>
          <w:tcPr>
            <w:tcW w:w="2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B989C7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1FF3B7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461AA1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  <w:tr w14:paraId="55A2AE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373" w:type="pct"/>
            <w:vMerge w:val="restart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A5ECA51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3</w:t>
            </w:r>
          </w:p>
        </w:tc>
        <w:tc>
          <w:tcPr>
            <w:tcW w:w="15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337EC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POE交换机</w:t>
            </w:r>
          </w:p>
        </w:tc>
        <w:tc>
          <w:tcPr>
            <w:tcW w:w="2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CC72E0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交换容量≥672Gbps、包转发率≥171Mpps</w:t>
            </w:r>
          </w:p>
          <w:p w14:paraId="0FBC36F1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GE电口≥24个、10G光口≥4个</w:t>
            </w:r>
          </w:p>
          <w:p w14:paraId="7C0A9749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支持POE+供电能力</w:t>
            </w:r>
          </w:p>
          <w:p w14:paraId="69535A10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支持2个12GE专用堆叠口，不占用业务口资源</w:t>
            </w:r>
          </w:p>
          <w:p w14:paraId="21EA63AE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CPU和转发芯片为国产芯片</w:t>
            </w:r>
          </w:p>
          <w:p w14:paraId="524473E0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支持IGMP v1/v2/v3、PIM-SM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0709BF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A19CF9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</w:t>
            </w:r>
          </w:p>
        </w:tc>
      </w:tr>
      <w:tr w14:paraId="3CF5B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373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5AAF9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5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86B641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POE交换机5年原厂维保</w:t>
            </w:r>
          </w:p>
        </w:tc>
        <w:tc>
          <w:tcPr>
            <w:tcW w:w="2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98DA90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64E27E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529191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  <w:tr w14:paraId="567B8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73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DA32E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4</w:t>
            </w:r>
          </w:p>
        </w:tc>
        <w:tc>
          <w:tcPr>
            <w:tcW w:w="15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47725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</w:t>
            </w:r>
          </w:p>
        </w:tc>
        <w:tc>
          <w:tcPr>
            <w:tcW w:w="2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D7B1F0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SFP+ 10G-多模光模块(850nm,0.3km,LC)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78CD03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个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3D7A0D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24</w:t>
            </w:r>
          </w:p>
        </w:tc>
      </w:tr>
    </w:tbl>
    <w:p w14:paraId="0B7C8448">
      <w:pPr>
        <w:pStyle w:val="7"/>
        <w:spacing w:after="156"/>
        <w:ind w:firstLine="560" w:firstLineChars="200"/>
        <w:rPr>
          <w:rFonts w:hint="eastAsia" w:ascii="宋体" w:hAnsi="宋体" w:eastAsia="宋体" w:cs="宋体"/>
          <w:b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报价格式见</w:t>
      </w:r>
      <w:r>
        <w:rPr>
          <w:rFonts w:hint="eastAsia" w:ascii="宋体" w:hAnsi="宋体" w:eastAsia="宋体" w:cs="宋体"/>
          <w:b/>
          <w:color w:val="000000"/>
          <w:kern w:val="0"/>
          <w:sz w:val="28"/>
          <w:szCs w:val="28"/>
        </w:rPr>
        <w:t>附件2</w:t>
      </w:r>
    </w:p>
    <w:p w14:paraId="42EB67BE">
      <w:pPr>
        <w:pStyle w:val="7"/>
        <w:ind w:firstLine="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（2）弱电施工需求</w:t>
      </w:r>
    </w:p>
    <w:p w14:paraId="4228A055">
      <w:pPr>
        <w:pStyle w:val="7"/>
        <w:spacing w:after="156"/>
        <w:ind w:firstLine="560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本项目包含新媒体2-6层楼办公无线网设施替换施工，施工范围覆盖指定五层办公区域，核心工作包括2台旧无线控制器和50个旧无线AP设备拆除、2台新无线控制器和53个新无线AP设备安装调试、弱电线路替换改造等。施工所用新AP设备、网线、水晶头、跳线、线槽、固定件、电源适配器等材料及配件，须符合国家质量标准。</w:t>
      </w:r>
    </w:p>
    <w:p w14:paraId="1DD5D900">
      <w:pPr>
        <w:spacing w:after="156"/>
        <w:rPr>
          <w:rFonts w:hint="eastAsia" w:ascii="宋体" w:hAnsi="宋体" w:eastAsia="宋体" w:cs="宋体"/>
        </w:rPr>
      </w:pPr>
    </w:p>
    <w:p w14:paraId="1338CB85">
      <w:pPr>
        <w:pStyle w:val="3"/>
        <w:tabs>
          <w:tab w:val="left" w:pos="432"/>
        </w:tabs>
        <w:spacing w:before="156" w:beforeLines="50" w:after="156" w:afterLines="50" w:line="240" w:lineRule="auto"/>
        <w:ind w:left="431" w:hanging="431"/>
        <w:rPr>
          <w:rFonts w:hint="eastAsia" w:ascii="宋体" w:hAnsi="宋体" w:eastAsia="宋体" w:cs="宋体"/>
          <w:kern w:val="2"/>
          <w:sz w:val="32"/>
          <w:szCs w:val="32"/>
        </w:rPr>
      </w:pPr>
      <w:bookmarkStart w:id="8" w:name="_Toc29389"/>
      <w:bookmarkStart w:id="9" w:name="_Toc22305832"/>
      <w:bookmarkStart w:id="10" w:name="_Toc3317"/>
      <w:r>
        <w:rPr>
          <w:rFonts w:hint="eastAsia" w:ascii="宋体" w:hAnsi="宋体" w:eastAsia="宋体" w:cs="宋体"/>
          <w:kern w:val="2"/>
          <w:sz w:val="32"/>
          <w:szCs w:val="32"/>
        </w:rPr>
        <w:t>服务方案</w:t>
      </w:r>
      <w:bookmarkEnd w:id="8"/>
      <w:bookmarkEnd w:id="9"/>
      <w:bookmarkEnd w:id="10"/>
    </w:p>
    <w:p w14:paraId="04E46ECF">
      <w:pPr>
        <w:spacing w:after="156"/>
        <w:ind w:firstLine="480"/>
        <w:rPr>
          <w:rFonts w:hint="eastAsia" w:ascii="宋体" w:hAnsi="宋体" w:eastAsia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kern w:val="0"/>
          <w:sz w:val="30"/>
          <w:szCs w:val="30"/>
        </w:rPr>
        <w:t>1、维保服务时间</w:t>
      </w:r>
    </w:p>
    <w:p w14:paraId="4F7E5CAA">
      <w:pPr>
        <w:spacing w:after="156"/>
        <w:ind w:firstLine="480"/>
        <w:rPr>
          <w:rFonts w:hint="eastAsia" w:ascii="宋体" w:hAnsi="宋体" w:eastAsia="宋体" w:cs="宋体"/>
          <w:kern w:val="0"/>
          <w:sz w:val="30"/>
          <w:szCs w:val="30"/>
        </w:rPr>
      </w:pPr>
      <w:r>
        <w:rPr>
          <w:rFonts w:hint="eastAsia" w:ascii="宋体" w:hAnsi="宋体" w:eastAsia="宋体" w:cs="宋体"/>
          <w:kern w:val="0"/>
          <w:sz w:val="30"/>
          <w:szCs w:val="30"/>
        </w:rPr>
        <w:t>网络设备软硬件原厂维保服务期限为5年，具体生效时间以合同签订至设备到货后3个月起</w:t>
      </w:r>
      <w:bookmarkStart w:id="14" w:name="_GoBack"/>
      <w:bookmarkEnd w:id="14"/>
      <w:r>
        <w:rPr>
          <w:rFonts w:hint="eastAsia" w:ascii="宋体" w:hAnsi="宋体" w:eastAsia="宋体" w:cs="宋体"/>
          <w:kern w:val="0"/>
          <w:sz w:val="30"/>
          <w:szCs w:val="30"/>
        </w:rPr>
        <w:t>算5年。</w:t>
      </w:r>
    </w:p>
    <w:p w14:paraId="535B8EE8">
      <w:pPr>
        <w:spacing w:after="156"/>
        <w:ind w:firstLine="480"/>
        <w:rPr>
          <w:rFonts w:hint="eastAsia" w:ascii="宋体" w:hAnsi="宋体" w:eastAsia="宋体" w:cs="宋体"/>
          <w:kern w:val="0"/>
          <w:sz w:val="30"/>
          <w:szCs w:val="30"/>
        </w:rPr>
      </w:pPr>
    </w:p>
    <w:p w14:paraId="047EC4D2">
      <w:pPr>
        <w:spacing w:after="156"/>
        <w:ind w:firstLine="480"/>
        <w:rPr>
          <w:rFonts w:hint="eastAsia" w:ascii="宋体" w:hAnsi="宋体" w:eastAsia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kern w:val="0"/>
          <w:sz w:val="30"/>
          <w:szCs w:val="30"/>
        </w:rPr>
        <w:t>2、服务内容</w:t>
      </w:r>
    </w:p>
    <w:tbl>
      <w:tblPr>
        <w:tblStyle w:val="23"/>
        <w:tblW w:w="9214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8363"/>
      </w:tblGrid>
      <w:tr w14:paraId="538B8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0E514D7C">
            <w:pPr>
              <w:spacing w:after="156" w:line="276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lang w:bidi="ar"/>
              </w:rPr>
              <w:t>项目</w:t>
            </w:r>
          </w:p>
        </w:tc>
        <w:tc>
          <w:tcPr>
            <w:tcW w:w="8363" w:type="dxa"/>
            <w:vAlign w:val="center"/>
          </w:tcPr>
          <w:p w14:paraId="6016536E">
            <w:pPr>
              <w:spacing w:after="156" w:line="276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lang w:bidi="ar"/>
              </w:rPr>
              <w:t>服务内容</w:t>
            </w:r>
          </w:p>
        </w:tc>
      </w:tr>
      <w:tr w14:paraId="432B2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2A64C8F4">
            <w:pPr>
              <w:spacing w:after="156" w:line="276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  <w:t>技术服务</w:t>
            </w:r>
          </w:p>
        </w:tc>
        <w:tc>
          <w:tcPr>
            <w:tcW w:w="8363" w:type="dxa"/>
            <w:vAlign w:val="center"/>
          </w:tcPr>
          <w:p w14:paraId="777E13AD">
            <w:pPr>
              <w:numPr>
                <w:ilvl w:val="0"/>
                <w:numId w:val="3"/>
              </w:numPr>
              <w:spacing w:after="156" w:afterLines="50" w:line="276" w:lineRule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需要服务商提供全套弱电施工及无线系统调试交钥匙工程，新旧无线系统制定平滑过渡割接方案，降低替换作业对日常办公生产影响。</w:t>
            </w:r>
          </w:p>
          <w:p w14:paraId="3AC5C849">
            <w:pPr>
              <w:pStyle w:val="29"/>
              <w:widowControl/>
              <w:numPr>
                <w:ilvl w:val="0"/>
                <w:numId w:val="3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  <w:t>提供设备保修服务，提供7*24小时（含节假日）电话、邮件支持和相关技术咨询服务。</w:t>
            </w:r>
          </w:p>
          <w:p w14:paraId="50A17CD9">
            <w:pPr>
              <w:pStyle w:val="29"/>
              <w:widowControl/>
              <w:numPr>
                <w:ilvl w:val="0"/>
                <w:numId w:val="3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  <w:t>根据需要为相关的技术人员提供技能培训或集中的高级技能培训、技术交流会。</w:t>
            </w:r>
          </w:p>
          <w:p w14:paraId="5E3F72FD">
            <w:pPr>
              <w:pStyle w:val="29"/>
              <w:widowControl/>
              <w:numPr>
                <w:ilvl w:val="0"/>
                <w:numId w:val="3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  <w:t>包括但不限于提供相关系统技术文档、技术服务网站等。</w:t>
            </w:r>
          </w:p>
        </w:tc>
      </w:tr>
      <w:tr w14:paraId="4142FB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6A3C33C8">
            <w:pPr>
              <w:spacing w:after="156" w:line="276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  <w:t>紧急事件响应处理</w:t>
            </w:r>
          </w:p>
        </w:tc>
        <w:tc>
          <w:tcPr>
            <w:tcW w:w="8363" w:type="dxa"/>
            <w:vAlign w:val="center"/>
          </w:tcPr>
          <w:p w14:paraId="229B7778">
            <w:pPr>
              <w:pStyle w:val="29"/>
              <w:widowControl/>
              <w:numPr>
                <w:ilvl w:val="0"/>
                <w:numId w:val="3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bidi="ar"/>
              </w:rPr>
              <w:t>服务商提供7*24小时专人应急服务热线，接到应急报障后5分钟内通过电话进行应急响应支持，在工作时间内，工程师必须2小时内到达现场，非工作时间4小时内到达现场进行技术支持。</w:t>
            </w:r>
          </w:p>
        </w:tc>
      </w:tr>
      <w:bookmarkEnd w:id="7"/>
    </w:tbl>
    <w:p w14:paraId="7D492E0D">
      <w:pPr>
        <w:pStyle w:val="7"/>
        <w:rPr>
          <w:rFonts w:hint="eastAsia" w:ascii="宋体" w:hAnsi="宋体" w:eastAsia="宋体" w:cs="宋体"/>
        </w:rPr>
      </w:pPr>
      <w:bookmarkStart w:id="11" w:name="_Toc18275"/>
      <w:bookmarkStart w:id="12" w:name="_Toc22305836"/>
      <w:bookmarkStart w:id="13" w:name="_Toc19813"/>
    </w:p>
    <w:p w14:paraId="41A708DB">
      <w:pPr>
        <w:pStyle w:val="4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网络安全性评估</w:t>
      </w:r>
      <w:bookmarkEnd w:id="11"/>
    </w:p>
    <w:p w14:paraId="400B8430">
      <w:pPr>
        <w:pStyle w:val="7"/>
        <w:numPr>
          <w:ilvl w:val="0"/>
          <w:numId w:val="4"/>
        </w:numPr>
        <w:spacing w:before="0" w:beforeAutospacing="0" w:after="156" w:afterLines="50" w:afterAutospacing="0"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数据安全：本项目为基础网络设施建设项目，经评估本项目涉及数据安全范畴。</w:t>
      </w:r>
    </w:p>
    <w:p w14:paraId="14DAFBFC">
      <w:pPr>
        <w:pStyle w:val="7"/>
        <w:numPr>
          <w:ilvl w:val="0"/>
          <w:numId w:val="4"/>
        </w:numPr>
        <w:spacing w:before="0" w:beforeAutospacing="0" w:after="156" w:afterLines="50" w:afterAutospacing="0"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应用安全：为保证设备安全，需要根据公布的漏洞情况进行升级修复。</w:t>
      </w:r>
    </w:p>
    <w:p w14:paraId="652A506A">
      <w:pPr>
        <w:pStyle w:val="7"/>
        <w:numPr>
          <w:ilvl w:val="0"/>
          <w:numId w:val="4"/>
        </w:numPr>
        <w:spacing w:before="0" w:beforeAutospacing="0" w:after="156" w:afterLines="50" w:afterAutospacing="0"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供应链安全：需要同服务商签订《技术工程项目保密协议》，不得将相关内容透露给第三方。</w:t>
      </w:r>
      <w:bookmarkEnd w:id="12"/>
      <w:bookmarkEnd w:id="13"/>
    </w:p>
    <w:p w14:paraId="5D2EBE02">
      <w:pPr>
        <w:rPr>
          <w:rFonts w:hint="eastAsia" w:asciiTheme="minorEastAsia" w:hAnsiTheme="minorEastAsia" w:cstheme="minorEastAsia"/>
          <w:color w:val="000000"/>
          <w:szCs w:val="21"/>
        </w:rPr>
      </w:pPr>
    </w:p>
    <w:sectPr>
      <w:headerReference r:id="rId3" w:type="default"/>
      <w:footerReference r:id="rId4" w:type="default"/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23"/>
      <w:tblW w:w="9923" w:type="dxa"/>
      <w:tblInd w:w="-743" w:type="dxa"/>
      <w:tblBorders>
        <w:top w:val="single" w:color="000000" w:sz="12" w:space="0"/>
        <w:left w:val="none" w:color="auto" w:sz="0" w:space="0"/>
        <w:bottom w:val="none" w:color="auto" w:sz="0" w:space="0"/>
        <w:right w:val="none" w:color="auto" w:sz="0" w:space="0"/>
        <w:insideH w:val="single" w:color="000000" w:sz="12" w:space="0"/>
        <w:insideV w:val="none" w:color="auto" w:sz="0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1887"/>
      <w:gridCol w:w="5336"/>
      <w:gridCol w:w="809"/>
      <w:gridCol w:w="190"/>
      <w:gridCol w:w="1701"/>
    </w:tblGrid>
    <w:tr w14:paraId="5F322F45">
      <w:tblPrEx>
        <w:tblBorders>
          <w:top w:val="single" w:color="000000" w:sz="12" w:space="0"/>
          <w:left w:val="none" w:color="auto" w:sz="0" w:space="0"/>
          <w:bottom w:val="none" w:color="auto" w:sz="0" w:space="0"/>
          <w:right w:val="none" w:color="auto" w:sz="0" w:space="0"/>
          <w:insideH w:val="single" w:color="000000" w:sz="12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887" w:type="dxa"/>
          <w:tcBorders>
            <w:bottom w:val="nil"/>
          </w:tcBorders>
        </w:tcPr>
        <w:p w14:paraId="3A304D61">
          <w:pPr>
            <w:pStyle w:val="13"/>
          </w:pPr>
          <w:r>
            <w:rPr>
              <w:rFonts w:hint="eastAsia"/>
            </w:rPr>
            <w:t>编写人员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5336" w:type="dxa"/>
          <w:tcBorders>
            <w:bottom w:val="nil"/>
          </w:tcBorders>
        </w:tcPr>
        <w:p w14:paraId="6A1558DA">
          <w:pPr>
            <w:pStyle w:val="13"/>
            <w:rPr>
              <w:b/>
            </w:rPr>
          </w:pPr>
        </w:p>
      </w:tc>
      <w:tc>
        <w:tcPr>
          <w:tcW w:w="999" w:type="dxa"/>
          <w:gridSpan w:val="2"/>
          <w:tcBorders>
            <w:bottom w:val="nil"/>
          </w:tcBorders>
        </w:tcPr>
        <w:p w14:paraId="4FFEA27F">
          <w:pPr>
            <w:pStyle w:val="13"/>
          </w:pPr>
          <w:r>
            <w:rPr>
              <w:rFonts w:hint="eastAsia"/>
            </w:rPr>
            <w:t>负责人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1701" w:type="dxa"/>
          <w:tcBorders>
            <w:bottom w:val="nil"/>
          </w:tcBorders>
        </w:tcPr>
        <w:p w14:paraId="76ACD347">
          <w:pPr>
            <w:pStyle w:val="13"/>
            <w:rPr>
              <w:b/>
            </w:rPr>
          </w:pPr>
        </w:p>
      </w:tc>
    </w:tr>
    <w:tr w14:paraId="0924CB38">
      <w:tblPrEx>
        <w:tblBorders>
          <w:top w:val="single" w:color="000000" w:sz="12" w:space="0"/>
          <w:left w:val="none" w:color="auto" w:sz="0" w:space="0"/>
          <w:bottom w:val="none" w:color="auto" w:sz="0" w:space="0"/>
          <w:right w:val="none" w:color="auto" w:sz="0" w:space="0"/>
          <w:insideH w:val="single" w:color="000000" w:sz="12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887" w:type="dxa"/>
          <w:tcBorders>
            <w:top w:val="nil"/>
            <w:bottom w:val="single" w:color="000000" w:sz="12" w:space="0"/>
          </w:tcBorders>
        </w:tcPr>
        <w:p w14:paraId="234C5A3C">
          <w:pPr>
            <w:pStyle w:val="13"/>
          </w:pPr>
          <w:r>
            <w:rPr>
              <w:rFonts w:hint="eastAsia"/>
            </w:rPr>
            <w:t>编写日期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5336" w:type="dxa"/>
          <w:tcBorders>
            <w:top w:val="nil"/>
            <w:bottom w:val="single" w:color="000000" w:sz="12" w:space="0"/>
          </w:tcBorders>
        </w:tcPr>
        <w:p w14:paraId="432E866A">
          <w:pPr>
            <w:pStyle w:val="13"/>
            <w:tabs>
              <w:tab w:val="left" w:pos="3780"/>
              <w:tab w:val="clear" w:pos="4153"/>
              <w:tab w:val="clear" w:pos="8306"/>
            </w:tabs>
            <w:rPr>
              <w:b/>
            </w:rPr>
          </w:pPr>
          <w:r>
            <w:rPr>
              <w:rFonts w:hint="eastAsia"/>
            </w:rPr>
            <w:t>20</w:t>
          </w:r>
          <w:r>
            <w:t>2</w:t>
          </w:r>
          <w:r>
            <w:rPr>
              <w:rFonts w:hint="eastAsia"/>
            </w:rPr>
            <w:t>6-1-28</w:t>
          </w:r>
          <w:r>
            <w:tab/>
          </w:r>
        </w:p>
      </w:tc>
      <w:tc>
        <w:tcPr>
          <w:tcW w:w="809" w:type="dxa"/>
          <w:tcBorders>
            <w:top w:val="nil"/>
            <w:bottom w:val="single" w:color="000000" w:sz="12" w:space="0"/>
          </w:tcBorders>
        </w:tcPr>
        <w:p w14:paraId="6AE76972">
          <w:pPr>
            <w:pStyle w:val="13"/>
          </w:pPr>
          <w:r>
            <w:rPr>
              <w:rFonts w:hint="eastAsia"/>
            </w:rPr>
            <w:t>页码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1891" w:type="dxa"/>
          <w:gridSpan w:val="2"/>
          <w:tcBorders>
            <w:top w:val="nil"/>
            <w:bottom w:val="single" w:color="000000" w:sz="12" w:space="0"/>
          </w:tcBorders>
        </w:tcPr>
        <w:p w14:paraId="4AC52B8E">
          <w:pPr>
            <w:pStyle w:val="13"/>
          </w:pPr>
          <w:r>
            <w:fldChar w:fldCharType="begin"/>
          </w:r>
          <w:r>
            <w:instrText xml:space="preserve">PAGE \* ARABIC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t xml:space="preserve"> of </w:t>
          </w:r>
          <w:r>
            <w:fldChar w:fldCharType="begin"/>
          </w:r>
          <w:r>
            <w:instrText xml:space="preserve">NUMPAGES </w:instrText>
          </w:r>
          <w:r>
            <w:fldChar w:fldCharType="separate"/>
          </w:r>
          <w:r>
            <w:t>5</w:t>
          </w:r>
          <w:r>
            <w:fldChar w:fldCharType="end"/>
          </w:r>
        </w:p>
      </w:tc>
    </w:tr>
  </w:tbl>
  <w:p w14:paraId="6925CED5">
    <w:pPr>
      <w:pStyle w:val="1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23"/>
      <w:tblW w:w="9674" w:type="dxa"/>
      <w:tblInd w:w="-885" w:type="dxa"/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1419"/>
      <w:gridCol w:w="6129"/>
      <w:gridCol w:w="2126"/>
    </w:tblGrid>
    <w:tr w14:paraId="39F7E2CE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7AEEFB20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文档标题：</w:t>
          </w:r>
        </w:p>
      </w:tc>
      <w:tc>
        <w:tcPr>
          <w:tcW w:w="6129" w:type="dxa"/>
        </w:tcPr>
        <w:p w14:paraId="3D24FDC0">
          <w:pPr>
            <w:pStyle w:val="13"/>
            <w:rPr>
              <w:rFonts w:ascii="Times New Roman" w:hAnsi="Times New Roman"/>
              <w:b/>
              <w:bCs/>
              <w:kern w:val="0"/>
            </w:rPr>
          </w:pPr>
          <w:r>
            <w:rPr>
              <w:rFonts w:hint="eastAsia" w:ascii="Times New Roman" w:hAnsi="Times New Roman"/>
              <w:b/>
              <w:bCs/>
              <w:kern w:val="0"/>
            </w:rPr>
            <w:t>2</w:t>
          </w:r>
          <w:r>
            <w:rPr>
              <w:rFonts w:ascii="Times New Roman" w:hAnsi="Times New Roman"/>
              <w:b/>
              <w:bCs/>
              <w:kern w:val="0"/>
            </w:rPr>
            <w:t>02</w:t>
          </w:r>
          <w:r>
            <w:rPr>
              <w:rFonts w:hint="eastAsia" w:ascii="Times New Roman" w:hAnsi="Times New Roman"/>
              <w:b/>
              <w:bCs/>
              <w:kern w:val="0"/>
            </w:rPr>
            <w:t>6</w:t>
          </w:r>
          <w:r>
            <w:rPr>
              <w:rFonts w:ascii="Times New Roman" w:hAnsi="Times New Roman"/>
              <w:b/>
              <w:bCs/>
              <w:kern w:val="0"/>
            </w:rPr>
            <w:t>年</w:t>
          </w:r>
          <w:r>
            <w:rPr>
              <w:rFonts w:hint="eastAsia" w:ascii="Times New Roman" w:hAnsi="Times New Roman"/>
              <w:b/>
              <w:bCs/>
              <w:kern w:val="0"/>
            </w:rPr>
            <w:t>人民北办公网无线网络设备替换项目市场调研需求</w:t>
          </w:r>
        </w:p>
      </w:tc>
      <w:tc>
        <w:tcPr>
          <w:tcW w:w="2126" w:type="dxa"/>
          <w:vMerge w:val="restart"/>
        </w:tcPr>
        <w:p w14:paraId="4F2783CB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ascii="Times New Roman" w:hAnsi="Times New Roman"/>
              <w:kern w:val="0"/>
            </w:rPr>
            <w:drawing>
              <wp:inline distT="0" distB="0" distL="0" distR="0">
                <wp:extent cx="863600" cy="537845"/>
                <wp:effectExtent l="0" t="0" r="0" b="0"/>
                <wp:docPr id="7" name="图片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图片 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77818" cy="54713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14:paraId="415592C9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75C4CD6D">
          <w:pPr>
            <w:pStyle w:val="13"/>
            <w:rPr>
              <w:rFonts w:ascii="Times New Roman" w:hAnsi="Times New Roman"/>
              <w:kern w:val="0"/>
              <w:lang w:val="en-AU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文档编号：</w:t>
          </w:r>
        </w:p>
      </w:tc>
      <w:tc>
        <w:tcPr>
          <w:tcW w:w="6129" w:type="dxa"/>
        </w:tcPr>
        <w:p w14:paraId="1A09D193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</w:p>
      </w:tc>
      <w:tc>
        <w:tcPr>
          <w:tcW w:w="2126" w:type="dxa"/>
          <w:vMerge w:val="continue"/>
        </w:tcPr>
        <w:p w14:paraId="05B9BB5D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</w:p>
      </w:tc>
    </w:tr>
    <w:tr w14:paraId="454F8FFB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0AED051C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文档版本：</w:t>
          </w:r>
        </w:p>
      </w:tc>
      <w:tc>
        <w:tcPr>
          <w:tcW w:w="6129" w:type="dxa"/>
        </w:tcPr>
        <w:p w14:paraId="41E9BFB7">
          <w:pPr>
            <w:pStyle w:val="13"/>
            <w:rPr>
              <w:rFonts w:ascii="Times New Roman" w:hAnsi="Times New Roman"/>
              <w:kern w:val="0"/>
              <w:lang w:val="en-AU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V20</w:t>
          </w:r>
          <w:r>
            <w:rPr>
              <w:rFonts w:ascii="Times New Roman" w:hAnsi="Times New Roman"/>
              <w:kern w:val="0"/>
              <w:lang w:val="en-AU"/>
            </w:rPr>
            <w:t>2</w:t>
          </w:r>
          <w:r>
            <w:rPr>
              <w:rFonts w:hint="eastAsia" w:ascii="Times New Roman" w:hAnsi="Times New Roman"/>
              <w:kern w:val="0"/>
              <w:lang w:val="en-AU"/>
            </w:rPr>
            <w:t>60128</w:t>
          </w:r>
        </w:p>
      </w:tc>
      <w:tc>
        <w:tcPr>
          <w:tcW w:w="2126" w:type="dxa"/>
          <w:vMerge w:val="continue"/>
        </w:tcPr>
        <w:p w14:paraId="3F6CA054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</w:p>
      </w:tc>
    </w:tr>
    <w:tr w14:paraId="59199125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18536561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文档状态：</w:t>
          </w:r>
        </w:p>
      </w:tc>
      <w:tc>
        <w:tcPr>
          <w:tcW w:w="6129" w:type="dxa"/>
        </w:tcPr>
        <w:p w14:paraId="526501DE">
          <w:pPr>
            <w:pStyle w:val="13"/>
            <w:rPr>
              <w:rFonts w:ascii="Times New Roman" w:hAnsi="Times New Roman"/>
              <w:kern w:val="0"/>
              <w:lang w:val="en-AU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初稿</w:t>
          </w:r>
        </w:p>
      </w:tc>
      <w:tc>
        <w:tcPr>
          <w:tcW w:w="2126" w:type="dxa"/>
          <w:vMerge w:val="continue"/>
        </w:tcPr>
        <w:p w14:paraId="0805945E">
          <w:pPr>
            <w:pStyle w:val="13"/>
            <w:rPr>
              <w:rFonts w:ascii="Times New Roman" w:hAnsi="Times New Roman"/>
              <w:kern w:val="0"/>
              <w:lang w:val="en-AU"/>
            </w:rPr>
          </w:pPr>
        </w:p>
      </w:tc>
    </w:tr>
  </w:tbl>
  <w:p w14:paraId="12142B59">
    <w:pPr>
      <w:pStyle w:val="1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68DE051"/>
    <w:multiLevelType w:val="singleLevel"/>
    <w:tmpl w:val="C68DE051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0FB11C18"/>
    <w:multiLevelType w:val="multilevel"/>
    <w:tmpl w:val="0FB11C18"/>
    <w:lvl w:ilvl="0" w:tentative="0">
      <w:start w:val="1"/>
      <w:numFmt w:val="decimal"/>
      <w:lvlText w:val="%1)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30B66D9D"/>
    <w:multiLevelType w:val="multilevel"/>
    <w:tmpl w:val="30B66D9D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3">
    <w:nsid w:val="573C14E0"/>
    <w:multiLevelType w:val="singleLevel"/>
    <w:tmpl w:val="573C14E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E2B"/>
    <w:rsid w:val="00004F37"/>
    <w:rsid w:val="00007FAB"/>
    <w:rsid w:val="000155C4"/>
    <w:rsid w:val="0001562B"/>
    <w:rsid w:val="00015933"/>
    <w:rsid w:val="000163E1"/>
    <w:rsid w:val="000235AF"/>
    <w:rsid w:val="000258EA"/>
    <w:rsid w:val="00026918"/>
    <w:rsid w:val="00027BDC"/>
    <w:rsid w:val="00035826"/>
    <w:rsid w:val="000469D5"/>
    <w:rsid w:val="000470E1"/>
    <w:rsid w:val="000546BE"/>
    <w:rsid w:val="00054F7A"/>
    <w:rsid w:val="00054F8A"/>
    <w:rsid w:val="0005785F"/>
    <w:rsid w:val="00057AF8"/>
    <w:rsid w:val="000645FE"/>
    <w:rsid w:val="00064FFD"/>
    <w:rsid w:val="00065707"/>
    <w:rsid w:val="00067FA4"/>
    <w:rsid w:val="00073F7D"/>
    <w:rsid w:val="00073FD1"/>
    <w:rsid w:val="00075BB2"/>
    <w:rsid w:val="00076BA6"/>
    <w:rsid w:val="0007799E"/>
    <w:rsid w:val="00083650"/>
    <w:rsid w:val="00084B65"/>
    <w:rsid w:val="0008544B"/>
    <w:rsid w:val="00087E22"/>
    <w:rsid w:val="0009602A"/>
    <w:rsid w:val="00096543"/>
    <w:rsid w:val="000A2EFF"/>
    <w:rsid w:val="000A5577"/>
    <w:rsid w:val="000B25FC"/>
    <w:rsid w:val="000B4BE2"/>
    <w:rsid w:val="000B5129"/>
    <w:rsid w:val="000C29F5"/>
    <w:rsid w:val="000D1F90"/>
    <w:rsid w:val="000F4212"/>
    <w:rsid w:val="000F56D3"/>
    <w:rsid w:val="00101DAF"/>
    <w:rsid w:val="00102086"/>
    <w:rsid w:val="001065DE"/>
    <w:rsid w:val="00106E34"/>
    <w:rsid w:val="001070BC"/>
    <w:rsid w:val="001202A3"/>
    <w:rsid w:val="00121A06"/>
    <w:rsid w:val="0012242A"/>
    <w:rsid w:val="0012778D"/>
    <w:rsid w:val="00133EB6"/>
    <w:rsid w:val="001346A6"/>
    <w:rsid w:val="001355A1"/>
    <w:rsid w:val="001444AD"/>
    <w:rsid w:val="001447B7"/>
    <w:rsid w:val="00145AEC"/>
    <w:rsid w:val="00147E30"/>
    <w:rsid w:val="00150013"/>
    <w:rsid w:val="00150840"/>
    <w:rsid w:val="00152749"/>
    <w:rsid w:val="00154B5B"/>
    <w:rsid w:val="0015602F"/>
    <w:rsid w:val="00160C2B"/>
    <w:rsid w:val="001612F9"/>
    <w:rsid w:val="00161877"/>
    <w:rsid w:val="00163B21"/>
    <w:rsid w:val="00164BD2"/>
    <w:rsid w:val="00165787"/>
    <w:rsid w:val="001845EF"/>
    <w:rsid w:val="00185E0F"/>
    <w:rsid w:val="00196AC1"/>
    <w:rsid w:val="001A2318"/>
    <w:rsid w:val="001A5B5A"/>
    <w:rsid w:val="001A616C"/>
    <w:rsid w:val="001A7623"/>
    <w:rsid w:val="001B0BF9"/>
    <w:rsid w:val="001B4977"/>
    <w:rsid w:val="001B76BE"/>
    <w:rsid w:val="001C5BCC"/>
    <w:rsid w:val="001D2612"/>
    <w:rsid w:val="001D2F3E"/>
    <w:rsid w:val="001D74DC"/>
    <w:rsid w:val="001D77D6"/>
    <w:rsid w:val="001E0AEA"/>
    <w:rsid w:val="001E421F"/>
    <w:rsid w:val="001F4D7C"/>
    <w:rsid w:val="00200D2E"/>
    <w:rsid w:val="00203F24"/>
    <w:rsid w:val="00213949"/>
    <w:rsid w:val="00213DAE"/>
    <w:rsid w:val="00216E25"/>
    <w:rsid w:val="00221417"/>
    <w:rsid w:val="0022244B"/>
    <w:rsid w:val="002277B6"/>
    <w:rsid w:val="00234F13"/>
    <w:rsid w:val="00236650"/>
    <w:rsid w:val="00240BB9"/>
    <w:rsid w:val="00242767"/>
    <w:rsid w:val="002438ED"/>
    <w:rsid w:val="00244CDE"/>
    <w:rsid w:val="00245488"/>
    <w:rsid w:val="00246E01"/>
    <w:rsid w:val="00252571"/>
    <w:rsid w:val="00255429"/>
    <w:rsid w:val="00256A67"/>
    <w:rsid w:val="00260E0B"/>
    <w:rsid w:val="00267221"/>
    <w:rsid w:val="00282864"/>
    <w:rsid w:val="0028491B"/>
    <w:rsid w:val="00286D95"/>
    <w:rsid w:val="00290A75"/>
    <w:rsid w:val="00293F6B"/>
    <w:rsid w:val="002A138B"/>
    <w:rsid w:val="002A17CD"/>
    <w:rsid w:val="002A622F"/>
    <w:rsid w:val="002B47B9"/>
    <w:rsid w:val="002B6FF7"/>
    <w:rsid w:val="002B7364"/>
    <w:rsid w:val="002D2A84"/>
    <w:rsid w:val="002E062D"/>
    <w:rsid w:val="002E23AC"/>
    <w:rsid w:val="002E328C"/>
    <w:rsid w:val="002E6B7F"/>
    <w:rsid w:val="002F2329"/>
    <w:rsid w:val="002F26A4"/>
    <w:rsid w:val="002F27E3"/>
    <w:rsid w:val="002F55CC"/>
    <w:rsid w:val="002F762F"/>
    <w:rsid w:val="00302C8A"/>
    <w:rsid w:val="00302F74"/>
    <w:rsid w:val="00304BBD"/>
    <w:rsid w:val="003051C6"/>
    <w:rsid w:val="00320CF5"/>
    <w:rsid w:val="0032330B"/>
    <w:rsid w:val="0032627C"/>
    <w:rsid w:val="00326C92"/>
    <w:rsid w:val="0033027C"/>
    <w:rsid w:val="00340C13"/>
    <w:rsid w:val="003467C6"/>
    <w:rsid w:val="00346E7E"/>
    <w:rsid w:val="00346F25"/>
    <w:rsid w:val="0035132F"/>
    <w:rsid w:val="003540FC"/>
    <w:rsid w:val="003602F5"/>
    <w:rsid w:val="00364D97"/>
    <w:rsid w:val="00373A45"/>
    <w:rsid w:val="00374A5B"/>
    <w:rsid w:val="00375C9B"/>
    <w:rsid w:val="003764AA"/>
    <w:rsid w:val="00385199"/>
    <w:rsid w:val="00391DD6"/>
    <w:rsid w:val="00393DE6"/>
    <w:rsid w:val="00397CB7"/>
    <w:rsid w:val="003A1E08"/>
    <w:rsid w:val="003A35D8"/>
    <w:rsid w:val="003A6C59"/>
    <w:rsid w:val="003B02F6"/>
    <w:rsid w:val="003B31AB"/>
    <w:rsid w:val="003B577E"/>
    <w:rsid w:val="003B6FCD"/>
    <w:rsid w:val="003C0399"/>
    <w:rsid w:val="003C1C26"/>
    <w:rsid w:val="003C4B23"/>
    <w:rsid w:val="003C580A"/>
    <w:rsid w:val="003C673B"/>
    <w:rsid w:val="003C7575"/>
    <w:rsid w:val="003C7713"/>
    <w:rsid w:val="003C79D9"/>
    <w:rsid w:val="003D0968"/>
    <w:rsid w:val="003D41EC"/>
    <w:rsid w:val="003D4B46"/>
    <w:rsid w:val="003D6364"/>
    <w:rsid w:val="003E0F6B"/>
    <w:rsid w:val="003E3D8C"/>
    <w:rsid w:val="003E52E6"/>
    <w:rsid w:val="003E6EDC"/>
    <w:rsid w:val="003E6FC7"/>
    <w:rsid w:val="003F5338"/>
    <w:rsid w:val="003F633A"/>
    <w:rsid w:val="00400704"/>
    <w:rsid w:val="00401608"/>
    <w:rsid w:val="00403792"/>
    <w:rsid w:val="00405C41"/>
    <w:rsid w:val="0040627F"/>
    <w:rsid w:val="00406AB4"/>
    <w:rsid w:val="0040761F"/>
    <w:rsid w:val="00412201"/>
    <w:rsid w:val="004123A4"/>
    <w:rsid w:val="00417D56"/>
    <w:rsid w:val="00421599"/>
    <w:rsid w:val="00421916"/>
    <w:rsid w:val="00423CCF"/>
    <w:rsid w:val="004303D3"/>
    <w:rsid w:val="00435A88"/>
    <w:rsid w:val="004372FB"/>
    <w:rsid w:val="00441FD6"/>
    <w:rsid w:val="00442211"/>
    <w:rsid w:val="00442444"/>
    <w:rsid w:val="004446EF"/>
    <w:rsid w:val="004512CD"/>
    <w:rsid w:val="00452DA5"/>
    <w:rsid w:val="00455DA1"/>
    <w:rsid w:val="0045755E"/>
    <w:rsid w:val="0046454E"/>
    <w:rsid w:val="00467699"/>
    <w:rsid w:val="004727DC"/>
    <w:rsid w:val="00473C2E"/>
    <w:rsid w:val="00473C4C"/>
    <w:rsid w:val="004846F0"/>
    <w:rsid w:val="00490B10"/>
    <w:rsid w:val="00491680"/>
    <w:rsid w:val="00493814"/>
    <w:rsid w:val="00494020"/>
    <w:rsid w:val="004953AA"/>
    <w:rsid w:val="00495ADE"/>
    <w:rsid w:val="00497405"/>
    <w:rsid w:val="004A3F0A"/>
    <w:rsid w:val="004B05CB"/>
    <w:rsid w:val="004B086B"/>
    <w:rsid w:val="004B22A2"/>
    <w:rsid w:val="004B44D5"/>
    <w:rsid w:val="004B60B1"/>
    <w:rsid w:val="004B637E"/>
    <w:rsid w:val="004C316F"/>
    <w:rsid w:val="004C5392"/>
    <w:rsid w:val="004C6B6B"/>
    <w:rsid w:val="004D11BA"/>
    <w:rsid w:val="004D565C"/>
    <w:rsid w:val="004D7A78"/>
    <w:rsid w:val="004E15F3"/>
    <w:rsid w:val="004F0D99"/>
    <w:rsid w:val="004F185F"/>
    <w:rsid w:val="004F2ED9"/>
    <w:rsid w:val="004F528B"/>
    <w:rsid w:val="004F5D8C"/>
    <w:rsid w:val="00502088"/>
    <w:rsid w:val="00507AEA"/>
    <w:rsid w:val="00507F84"/>
    <w:rsid w:val="00513643"/>
    <w:rsid w:val="00514C54"/>
    <w:rsid w:val="00515029"/>
    <w:rsid w:val="00515DB1"/>
    <w:rsid w:val="00515EBA"/>
    <w:rsid w:val="00525E95"/>
    <w:rsid w:val="005268A2"/>
    <w:rsid w:val="00530E2B"/>
    <w:rsid w:val="0053254B"/>
    <w:rsid w:val="005348EF"/>
    <w:rsid w:val="0053587C"/>
    <w:rsid w:val="00543851"/>
    <w:rsid w:val="00551688"/>
    <w:rsid w:val="00552E4B"/>
    <w:rsid w:val="00557D94"/>
    <w:rsid w:val="00584A10"/>
    <w:rsid w:val="005864F3"/>
    <w:rsid w:val="005915D1"/>
    <w:rsid w:val="00591DE5"/>
    <w:rsid w:val="005968B5"/>
    <w:rsid w:val="005B1194"/>
    <w:rsid w:val="005B4425"/>
    <w:rsid w:val="005C3BEA"/>
    <w:rsid w:val="005C4FDD"/>
    <w:rsid w:val="005D2543"/>
    <w:rsid w:val="005E0201"/>
    <w:rsid w:val="005E1A08"/>
    <w:rsid w:val="005E291B"/>
    <w:rsid w:val="005E2EC1"/>
    <w:rsid w:val="005E347E"/>
    <w:rsid w:val="005E4114"/>
    <w:rsid w:val="005E5073"/>
    <w:rsid w:val="005E546C"/>
    <w:rsid w:val="005E7948"/>
    <w:rsid w:val="005F0E05"/>
    <w:rsid w:val="005F4B7E"/>
    <w:rsid w:val="005F5434"/>
    <w:rsid w:val="006051A4"/>
    <w:rsid w:val="0060588B"/>
    <w:rsid w:val="00605F04"/>
    <w:rsid w:val="006169B1"/>
    <w:rsid w:val="006206C0"/>
    <w:rsid w:val="0062218A"/>
    <w:rsid w:val="0062263E"/>
    <w:rsid w:val="00622B0D"/>
    <w:rsid w:val="006252F2"/>
    <w:rsid w:val="00625709"/>
    <w:rsid w:val="006257D0"/>
    <w:rsid w:val="006269D7"/>
    <w:rsid w:val="0062799D"/>
    <w:rsid w:val="0063217A"/>
    <w:rsid w:val="00632E1C"/>
    <w:rsid w:val="00633F5C"/>
    <w:rsid w:val="00644494"/>
    <w:rsid w:val="0064561C"/>
    <w:rsid w:val="00651E94"/>
    <w:rsid w:val="0065305D"/>
    <w:rsid w:val="006537D4"/>
    <w:rsid w:val="00657EB5"/>
    <w:rsid w:val="006614F2"/>
    <w:rsid w:val="0066602A"/>
    <w:rsid w:val="0066741D"/>
    <w:rsid w:val="006702C9"/>
    <w:rsid w:val="0067042F"/>
    <w:rsid w:val="00670A5E"/>
    <w:rsid w:val="00670C75"/>
    <w:rsid w:val="006724C2"/>
    <w:rsid w:val="00672F1E"/>
    <w:rsid w:val="00674000"/>
    <w:rsid w:val="00676599"/>
    <w:rsid w:val="00680E5C"/>
    <w:rsid w:val="00681C31"/>
    <w:rsid w:val="006835FC"/>
    <w:rsid w:val="006840FA"/>
    <w:rsid w:val="0068477A"/>
    <w:rsid w:val="00697E0B"/>
    <w:rsid w:val="006A0A65"/>
    <w:rsid w:val="006A3467"/>
    <w:rsid w:val="006A37C7"/>
    <w:rsid w:val="006A6647"/>
    <w:rsid w:val="006B33A1"/>
    <w:rsid w:val="006B3765"/>
    <w:rsid w:val="006B4297"/>
    <w:rsid w:val="006B74F3"/>
    <w:rsid w:val="006C0912"/>
    <w:rsid w:val="006D3EAD"/>
    <w:rsid w:val="006D7F20"/>
    <w:rsid w:val="006F0DA8"/>
    <w:rsid w:val="006F1B5F"/>
    <w:rsid w:val="006F4B79"/>
    <w:rsid w:val="006F5DBB"/>
    <w:rsid w:val="00715C9B"/>
    <w:rsid w:val="00716BCC"/>
    <w:rsid w:val="007178F2"/>
    <w:rsid w:val="00721FAB"/>
    <w:rsid w:val="00722FD9"/>
    <w:rsid w:val="00723498"/>
    <w:rsid w:val="00723C40"/>
    <w:rsid w:val="007261C7"/>
    <w:rsid w:val="00727B51"/>
    <w:rsid w:val="00733AC0"/>
    <w:rsid w:val="007352B6"/>
    <w:rsid w:val="00742EA6"/>
    <w:rsid w:val="00750946"/>
    <w:rsid w:val="007524B1"/>
    <w:rsid w:val="007629D8"/>
    <w:rsid w:val="00763853"/>
    <w:rsid w:val="00764D41"/>
    <w:rsid w:val="007651E1"/>
    <w:rsid w:val="00767BC4"/>
    <w:rsid w:val="00770DF3"/>
    <w:rsid w:val="00776421"/>
    <w:rsid w:val="0078419E"/>
    <w:rsid w:val="00784652"/>
    <w:rsid w:val="00784D28"/>
    <w:rsid w:val="0078634E"/>
    <w:rsid w:val="00790B8C"/>
    <w:rsid w:val="00792D1A"/>
    <w:rsid w:val="00793FBE"/>
    <w:rsid w:val="00795E9B"/>
    <w:rsid w:val="007964CC"/>
    <w:rsid w:val="007A379B"/>
    <w:rsid w:val="007B1083"/>
    <w:rsid w:val="007B2E4C"/>
    <w:rsid w:val="007B56A6"/>
    <w:rsid w:val="007B707E"/>
    <w:rsid w:val="007C0F65"/>
    <w:rsid w:val="007C4ECC"/>
    <w:rsid w:val="007C5B55"/>
    <w:rsid w:val="007C7A90"/>
    <w:rsid w:val="007D55B2"/>
    <w:rsid w:val="007D7E99"/>
    <w:rsid w:val="007F0386"/>
    <w:rsid w:val="007F225E"/>
    <w:rsid w:val="007F3DEC"/>
    <w:rsid w:val="008044A1"/>
    <w:rsid w:val="00807016"/>
    <w:rsid w:val="008070AD"/>
    <w:rsid w:val="00810CCD"/>
    <w:rsid w:val="0081522B"/>
    <w:rsid w:val="00815E48"/>
    <w:rsid w:val="00816079"/>
    <w:rsid w:val="008264E7"/>
    <w:rsid w:val="00836EF8"/>
    <w:rsid w:val="00837087"/>
    <w:rsid w:val="008444CC"/>
    <w:rsid w:val="008469A5"/>
    <w:rsid w:val="00850119"/>
    <w:rsid w:val="00850D1A"/>
    <w:rsid w:val="008520BE"/>
    <w:rsid w:val="00852515"/>
    <w:rsid w:val="00852D6B"/>
    <w:rsid w:val="008532C0"/>
    <w:rsid w:val="0085563C"/>
    <w:rsid w:val="00855BD7"/>
    <w:rsid w:val="0086556F"/>
    <w:rsid w:val="00871FB6"/>
    <w:rsid w:val="00873B59"/>
    <w:rsid w:val="00881209"/>
    <w:rsid w:val="008814D6"/>
    <w:rsid w:val="00883320"/>
    <w:rsid w:val="00883A3E"/>
    <w:rsid w:val="00884581"/>
    <w:rsid w:val="0088595C"/>
    <w:rsid w:val="00891233"/>
    <w:rsid w:val="008922D9"/>
    <w:rsid w:val="008929F0"/>
    <w:rsid w:val="00893D24"/>
    <w:rsid w:val="008A1F3B"/>
    <w:rsid w:val="008A366B"/>
    <w:rsid w:val="008A3D9D"/>
    <w:rsid w:val="008A7343"/>
    <w:rsid w:val="008B07AF"/>
    <w:rsid w:val="008B204F"/>
    <w:rsid w:val="008B2CAC"/>
    <w:rsid w:val="008B3BDD"/>
    <w:rsid w:val="008C078C"/>
    <w:rsid w:val="008C681A"/>
    <w:rsid w:val="008D497A"/>
    <w:rsid w:val="008D6838"/>
    <w:rsid w:val="008D6A93"/>
    <w:rsid w:val="008D6B51"/>
    <w:rsid w:val="008F049C"/>
    <w:rsid w:val="008F1586"/>
    <w:rsid w:val="008F311B"/>
    <w:rsid w:val="008F440F"/>
    <w:rsid w:val="008F7B38"/>
    <w:rsid w:val="00900C00"/>
    <w:rsid w:val="009024D1"/>
    <w:rsid w:val="00907C39"/>
    <w:rsid w:val="0092017E"/>
    <w:rsid w:val="00920507"/>
    <w:rsid w:val="00925DDC"/>
    <w:rsid w:val="00934E39"/>
    <w:rsid w:val="00946DAD"/>
    <w:rsid w:val="00951E36"/>
    <w:rsid w:val="00952A90"/>
    <w:rsid w:val="00952C57"/>
    <w:rsid w:val="00954EAB"/>
    <w:rsid w:val="0096181D"/>
    <w:rsid w:val="009631CA"/>
    <w:rsid w:val="00964695"/>
    <w:rsid w:val="00965335"/>
    <w:rsid w:val="009672B3"/>
    <w:rsid w:val="009754CC"/>
    <w:rsid w:val="00980DD9"/>
    <w:rsid w:val="0098556B"/>
    <w:rsid w:val="00992221"/>
    <w:rsid w:val="00992E3E"/>
    <w:rsid w:val="009A4E88"/>
    <w:rsid w:val="009A5C80"/>
    <w:rsid w:val="009B22BA"/>
    <w:rsid w:val="009B5E32"/>
    <w:rsid w:val="009C0B6C"/>
    <w:rsid w:val="009D1A10"/>
    <w:rsid w:val="009D2C36"/>
    <w:rsid w:val="009D2D33"/>
    <w:rsid w:val="009D45E4"/>
    <w:rsid w:val="009D4E60"/>
    <w:rsid w:val="009D5D69"/>
    <w:rsid w:val="009E0B0F"/>
    <w:rsid w:val="009E4847"/>
    <w:rsid w:val="009F4D4D"/>
    <w:rsid w:val="009F6B0A"/>
    <w:rsid w:val="009F6C99"/>
    <w:rsid w:val="00A00635"/>
    <w:rsid w:val="00A00A2F"/>
    <w:rsid w:val="00A016E7"/>
    <w:rsid w:val="00A07358"/>
    <w:rsid w:val="00A136A5"/>
    <w:rsid w:val="00A13FDB"/>
    <w:rsid w:val="00A20A1F"/>
    <w:rsid w:val="00A23CC8"/>
    <w:rsid w:val="00A2590A"/>
    <w:rsid w:val="00A25CFB"/>
    <w:rsid w:val="00A27735"/>
    <w:rsid w:val="00A5331B"/>
    <w:rsid w:val="00A57A0D"/>
    <w:rsid w:val="00A70596"/>
    <w:rsid w:val="00A71405"/>
    <w:rsid w:val="00A740BB"/>
    <w:rsid w:val="00A77C8E"/>
    <w:rsid w:val="00A80A84"/>
    <w:rsid w:val="00A81106"/>
    <w:rsid w:val="00A81E80"/>
    <w:rsid w:val="00A822D3"/>
    <w:rsid w:val="00A83BDB"/>
    <w:rsid w:val="00A8491C"/>
    <w:rsid w:val="00A86196"/>
    <w:rsid w:val="00A94024"/>
    <w:rsid w:val="00A96F77"/>
    <w:rsid w:val="00AA1422"/>
    <w:rsid w:val="00AA2F3E"/>
    <w:rsid w:val="00AA43DB"/>
    <w:rsid w:val="00AB3990"/>
    <w:rsid w:val="00AB6EAA"/>
    <w:rsid w:val="00AC4212"/>
    <w:rsid w:val="00AC429E"/>
    <w:rsid w:val="00AC512E"/>
    <w:rsid w:val="00AC68B5"/>
    <w:rsid w:val="00AC79CD"/>
    <w:rsid w:val="00AD2239"/>
    <w:rsid w:val="00AE23E3"/>
    <w:rsid w:val="00AE77CB"/>
    <w:rsid w:val="00AF702A"/>
    <w:rsid w:val="00B041DD"/>
    <w:rsid w:val="00B056FA"/>
    <w:rsid w:val="00B1174A"/>
    <w:rsid w:val="00B1233B"/>
    <w:rsid w:val="00B13BF1"/>
    <w:rsid w:val="00B13E51"/>
    <w:rsid w:val="00B146EE"/>
    <w:rsid w:val="00B1698B"/>
    <w:rsid w:val="00B17BB6"/>
    <w:rsid w:val="00B2378E"/>
    <w:rsid w:val="00B23F36"/>
    <w:rsid w:val="00B303DC"/>
    <w:rsid w:val="00B31217"/>
    <w:rsid w:val="00B373D8"/>
    <w:rsid w:val="00B45DA6"/>
    <w:rsid w:val="00B50017"/>
    <w:rsid w:val="00B51C37"/>
    <w:rsid w:val="00B52674"/>
    <w:rsid w:val="00B630DE"/>
    <w:rsid w:val="00B6415D"/>
    <w:rsid w:val="00B657EB"/>
    <w:rsid w:val="00B66B72"/>
    <w:rsid w:val="00B747D1"/>
    <w:rsid w:val="00B750CB"/>
    <w:rsid w:val="00B95099"/>
    <w:rsid w:val="00BA449F"/>
    <w:rsid w:val="00BB03CD"/>
    <w:rsid w:val="00BB4E92"/>
    <w:rsid w:val="00BB64C7"/>
    <w:rsid w:val="00BB6A2D"/>
    <w:rsid w:val="00BC018F"/>
    <w:rsid w:val="00BD4280"/>
    <w:rsid w:val="00BD5548"/>
    <w:rsid w:val="00BE22E7"/>
    <w:rsid w:val="00BE640A"/>
    <w:rsid w:val="00BF46FF"/>
    <w:rsid w:val="00BF6D43"/>
    <w:rsid w:val="00C0214B"/>
    <w:rsid w:val="00C0431D"/>
    <w:rsid w:val="00C050EE"/>
    <w:rsid w:val="00C10ED4"/>
    <w:rsid w:val="00C11181"/>
    <w:rsid w:val="00C11944"/>
    <w:rsid w:val="00C20D3E"/>
    <w:rsid w:val="00C20F67"/>
    <w:rsid w:val="00C23896"/>
    <w:rsid w:val="00C26239"/>
    <w:rsid w:val="00C27B28"/>
    <w:rsid w:val="00C322A3"/>
    <w:rsid w:val="00C4620A"/>
    <w:rsid w:val="00C53E49"/>
    <w:rsid w:val="00C542F7"/>
    <w:rsid w:val="00C557AC"/>
    <w:rsid w:val="00C5673F"/>
    <w:rsid w:val="00C619ED"/>
    <w:rsid w:val="00C64680"/>
    <w:rsid w:val="00C66013"/>
    <w:rsid w:val="00C723EF"/>
    <w:rsid w:val="00C7773E"/>
    <w:rsid w:val="00C82F24"/>
    <w:rsid w:val="00C83042"/>
    <w:rsid w:val="00C83630"/>
    <w:rsid w:val="00C879F9"/>
    <w:rsid w:val="00C96039"/>
    <w:rsid w:val="00C97CD6"/>
    <w:rsid w:val="00CA1BFB"/>
    <w:rsid w:val="00CA2E33"/>
    <w:rsid w:val="00CA3D18"/>
    <w:rsid w:val="00CA5FD8"/>
    <w:rsid w:val="00CB1829"/>
    <w:rsid w:val="00CB1F76"/>
    <w:rsid w:val="00CB3ADB"/>
    <w:rsid w:val="00CB7B49"/>
    <w:rsid w:val="00CC199E"/>
    <w:rsid w:val="00CC7001"/>
    <w:rsid w:val="00CC7D0E"/>
    <w:rsid w:val="00CD0EBB"/>
    <w:rsid w:val="00CD1EF7"/>
    <w:rsid w:val="00CD2412"/>
    <w:rsid w:val="00CD430D"/>
    <w:rsid w:val="00CE1CD0"/>
    <w:rsid w:val="00CE2249"/>
    <w:rsid w:val="00CF2FA8"/>
    <w:rsid w:val="00CF74E8"/>
    <w:rsid w:val="00D03278"/>
    <w:rsid w:val="00D04B40"/>
    <w:rsid w:val="00D05135"/>
    <w:rsid w:val="00D06DB1"/>
    <w:rsid w:val="00D073DE"/>
    <w:rsid w:val="00D10311"/>
    <w:rsid w:val="00D154CA"/>
    <w:rsid w:val="00D209D2"/>
    <w:rsid w:val="00D27419"/>
    <w:rsid w:val="00D33A66"/>
    <w:rsid w:val="00D35769"/>
    <w:rsid w:val="00D43EAF"/>
    <w:rsid w:val="00D445CD"/>
    <w:rsid w:val="00D458FB"/>
    <w:rsid w:val="00D5009F"/>
    <w:rsid w:val="00D5220D"/>
    <w:rsid w:val="00D54777"/>
    <w:rsid w:val="00D55FCB"/>
    <w:rsid w:val="00D60710"/>
    <w:rsid w:val="00D617FC"/>
    <w:rsid w:val="00D65901"/>
    <w:rsid w:val="00D67BEF"/>
    <w:rsid w:val="00D70C25"/>
    <w:rsid w:val="00D71582"/>
    <w:rsid w:val="00D74FF9"/>
    <w:rsid w:val="00D776E4"/>
    <w:rsid w:val="00D77709"/>
    <w:rsid w:val="00D82F40"/>
    <w:rsid w:val="00D857E0"/>
    <w:rsid w:val="00D914B1"/>
    <w:rsid w:val="00D94D16"/>
    <w:rsid w:val="00DA0270"/>
    <w:rsid w:val="00DA1B35"/>
    <w:rsid w:val="00DA3212"/>
    <w:rsid w:val="00DA4A5C"/>
    <w:rsid w:val="00DA6729"/>
    <w:rsid w:val="00DB03AC"/>
    <w:rsid w:val="00DB36A8"/>
    <w:rsid w:val="00DB42F5"/>
    <w:rsid w:val="00DB5E86"/>
    <w:rsid w:val="00DB61F4"/>
    <w:rsid w:val="00DB6FB6"/>
    <w:rsid w:val="00DC0077"/>
    <w:rsid w:val="00DD0E3C"/>
    <w:rsid w:val="00DD48FD"/>
    <w:rsid w:val="00DD7060"/>
    <w:rsid w:val="00DE0288"/>
    <w:rsid w:val="00DE0458"/>
    <w:rsid w:val="00DE0486"/>
    <w:rsid w:val="00DE44A4"/>
    <w:rsid w:val="00DE47E9"/>
    <w:rsid w:val="00DF0520"/>
    <w:rsid w:val="00DF205C"/>
    <w:rsid w:val="00DF7D73"/>
    <w:rsid w:val="00E03776"/>
    <w:rsid w:val="00E116C1"/>
    <w:rsid w:val="00E20CF7"/>
    <w:rsid w:val="00E30ED0"/>
    <w:rsid w:val="00E31D84"/>
    <w:rsid w:val="00E42C86"/>
    <w:rsid w:val="00E43392"/>
    <w:rsid w:val="00E44ACD"/>
    <w:rsid w:val="00E452DF"/>
    <w:rsid w:val="00E4738E"/>
    <w:rsid w:val="00E501A9"/>
    <w:rsid w:val="00E51708"/>
    <w:rsid w:val="00E62834"/>
    <w:rsid w:val="00E63D4E"/>
    <w:rsid w:val="00E652ED"/>
    <w:rsid w:val="00E65816"/>
    <w:rsid w:val="00E65C35"/>
    <w:rsid w:val="00E66536"/>
    <w:rsid w:val="00E7018C"/>
    <w:rsid w:val="00E7162D"/>
    <w:rsid w:val="00E7197C"/>
    <w:rsid w:val="00E74EA7"/>
    <w:rsid w:val="00E9041D"/>
    <w:rsid w:val="00E90FF0"/>
    <w:rsid w:val="00E912BF"/>
    <w:rsid w:val="00E927BF"/>
    <w:rsid w:val="00E967AE"/>
    <w:rsid w:val="00EA1ED1"/>
    <w:rsid w:val="00EB469C"/>
    <w:rsid w:val="00EB54FA"/>
    <w:rsid w:val="00EC12E0"/>
    <w:rsid w:val="00EC3581"/>
    <w:rsid w:val="00EC5918"/>
    <w:rsid w:val="00EC6F40"/>
    <w:rsid w:val="00ED1382"/>
    <w:rsid w:val="00ED2D50"/>
    <w:rsid w:val="00EE4CAF"/>
    <w:rsid w:val="00EE73CB"/>
    <w:rsid w:val="00EF0814"/>
    <w:rsid w:val="00EF29B3"/>
    <w:rsid w:val="00EF2B74"/>
    <w:rsid w:val="00EF7178"/>
    <w:rsid w:val="00EF7AAC"/>
    <w:rsid w:val="00F00D99"/>
    <w:rsid w:val="00F01B22"/>
    <w:rsid w:val="00F05755"/>
    <w:rsid w:val="00F10301"/>
    <w:rsid w:val="00F14F7E"/>
    <w:rsid w:val="00F1515E"/>
    <w:rsid w:val="00F23D3F"/>
    <w:rsid w:val="00F2602B"/>
    <w:rsid w:val="00F31C41"/>
    <w:rsid w:val="00F336B8"/>
    <w:rsid w:val="00F360E7"/>
    <w:rsid w:val="00F40C2F"/>
    <w:rsid w:val="00F577FD"/>
    <w:rsid w:val="00F57E04"/>
    <w:rsid w:val="00F60A90"/>
    <w:rsid w:val="00F62A93"/>
    <w:rsid w:val="00F66919"/>
    <w:rsid w:val="00F67992"/>
    <w:rsid w:val="00F708BC"/>
    <w:rsid w:val="00F71E89"/>
    <w:rsid w:val="00F80375"/>
    <w:rsid w:val="00F81CC6"/>
    <w:rsid w:val="00F83C2C"/>
    <w:rsid w:val="00F920EE"/>
    <w:rsid w:val="00F97190"/>
    <w:rsid w:val="00F979F4"/>
    <w:rsid w:val="00FA4255"/>
    <w:rsid w:val="00FB1D81"/>
    <w:rsid w:val="00FB6C5C"/>
    <w:rsid w:val="00FB73EE"/>
    <w:rsid w:val="00FC42CB"/>
    <w:rsid w:val="00FC4723"/>
    <w:rsid w:val="00FC5481"/>
    <w:rsid w:val="00FC6F9A"/>
    <w:rsid w:val="00FD6DED"/>
    <w:rsid w:val="00FD7201"/>
    <w:rsid w:val="00FE0631"/>
    <w:rsid w:val="00FE06D4"/>
    <w:rsid w:val="00FE2D0B"/>
    <w:rsid w:val="00FE42DE"/>
    <w:rsid w:val="00FE6D44"/>
    <w:rsid w:val="00FE6E06"/>
    <w:rsid w:val="00FF1758"/>
    <w:rsid w:val="00FF2616"/>
    <w:rsid w:val="00FF3453"/>
    <w:rsid w:val="354D4C27"/>
    <w:rsid w:val="536469D9"/>
    <w:rsid w:val="6A717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name="toc 3"/>
    <w:lsdException w:qFormat="1" w:uiPriority="39" w:name="toc 4"/>
    <w:lsdException w:qFormat="1" w:uiPriority="39" w:name="toc 5"/>
    <w:lsdException w:qFormat="1" w:uiPriority="39" w:name="toc 6"/>
    <w:lsdException w:qFormat="1" w:uiPriority="39" w:name="toc 7"/>
    <w:lsdException w:qFormat="1" w:uiPriority="39" w:name="toc 8"/>
    <w:lsdException w:qFormat="1" w:uiPriority="39" w:name="toc 9"/>
    <w:lsdException w:qFormat="1" w:unhideWhenUsed="0" w:uiPriority="0" w:semiHidden="0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2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3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1"/>
    <w:link w:val="31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25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80" w:after="180"/>
    </w:pPr>
  </w:style>
  <w:style w:type="paragraph" w:styleId="6">
    <w:name w:val="toc 7"/>
    <w:basedOn w:val="1"/>
    <w:next w:val="1"/>
    <w:autoRedefine/>
    <w:semiHidden/>
    <w:unhideWhenUsed/>
    <w:qFormat/>
    <w:uiPriority w:val="39"/>
    <w:pPr>
      <w:ind w:left="1260"/>
      <w:jc w:val="left"/>
    </w:pPr>
    <w:rPr>
      <w:rFonts w:eastAsiaTheme="minorHAnsi"/>
      <w:sz w:val="18"/>
      <w:szCs w:val="18"/>
    </w:rPr>
  </w:style>
  <w:style w:type="paragraph" w:styleId="7">
    <w:name w:val="Normal Indent"/>
    <w:basedOn w:val="1"/>
    <w:link w:val="32"/>
    <w:qFormat/>
    <w:uiPriority w:val="0"/>
    <w:pPr>
      <w:spacing w:before="100" w:beforeAutospacing="1" w:after="100" w:afterAutospacing="1" w:line="320" w:lineRule="atLeast"/>
      <w:ind w:firstLine="420"/>
    </w:pPr>
    <w:rPr>
      <w:rFonts w:ascii="Calibri" w:hAnsi="Calibri" w:eastAsia="宋体" w:cs="Times New Roman"/>
      <w:szCs w:val="20"/>
    </w:rPr>
  </w:style>
  <w:style w:type="paragraph" w:styleId="8">
    <w:name w:val="annotation text"/>
    <w:basedOn w:val="1"/>
    <w:link w:val="37"/>
    <w:semiHidden/>
    <w:unhideWhenUsed/>
    <w:qFormat/>
    <w:uiPriority w:val="99"/>
    <w:pPr>
      <w:jc w:val="left"/>
    </w:pPr>
  </w:style>
  <w:style w:type="paragraph" w:styleId="9">
    <w:name w:val="toc 5"/>
    <w:basedOn w:val="1"/>
    <w:next w:val="1"/>
    <w:autoRedefine/>
    <w:semiHidden/>
    <w:unhideWhenUsed/>
    <w:qFormat/>
    <w:uiPriority w:val="39"/>
    <w:pPr>
      <w:ind w:left="840"/>
      <w:jc w:val="left"/>
    </w:pPr>
    <w:rPr>
      <w:rFonts w:eastAsiaTheme="minorHAnsi"/>
      <w:sz w:val="18"/>
      <w:szCs w:val="18"/>
    </w:rPr>
  </w:style>
  <w:style w:type="paragraph" w:styleId="10">
    <w:name w:val="toc 3"/>
    <w:basedOn w:val="1"/>
    <w:next w:val="1"/>
    <w:autoRedefine/>
    <w:semiHidden/>
    <w:unhideWhenUsed/>
    <w:qFormat/>
    <w:uiPriority w:val="39"/>
    <w:pPr>
      <w:ind w:left="420"/>
      <w:jc w:val="left"/>
    </w:pPr>
    <w:rPr>
      <w:rFonts w:eastAsiaTheme="minorHAnsi"/>
      <w:i/>
      <w:iCs/>
      <w:sz w:val="20"/>
      <w:szCs w:val="20"/>
    </w:rPr>
  </w:style>
  <w:style w:type="paragraph" w:styleId="11">
    <w:name w:val="toc 8"/>
    <w:basedOn w:val="1"/>
    <w:next w:val="1"/>
    <w:autoRedefine/>
    <w:semiHidden/>
    <w:unhideWhenUsed/>
    <w:qFormat/>
    <w:uiPriority w:val="39"/>
    <w:pPr>
      <w:ind w:left="1470"/>
      <w:jc w:val="left"/>
    </w:pPr>
    <w:rPr>
      <w:rFonts w:eastAsiaTheme="minorHAnsi"/>
      <w:sz w:val="18"/>
      <w:szCs w:val="18"/>
    </w:rPr>
  </w:style>
  <w:style w:type="paragraph" w:styleId="12">
    <w:name w:val="Balloon Text"/>
    <w:basedOn w:val="1"/>
    <w:link w:val="30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13">
    <w:name w:val="foot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3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autoRedefine/>
    <w:unhideWhenUsed/>
    <w:qFormat/>
    <w:uiPriority w:val="39"/>
    <w:pPr>
      <w:spacing w:before="120" w:after="120"/>
      <w:jc w:val="left"/>
    </w:pPr>
    <w:rPr>
      <w:rFonts w:eastAsiaTheme="minorHAnsi"/>
      <w:b/>
      <w:bCs/>
      <w:caps/>
      <w:sz w:val="20"/>
      <w:szCs w:val="20"/>
    </w:rPr>
  </w:style>
  <w:style w:type="paragraph" w:styleId="16">
    <w:name w:val="toc 4"/>
    <w:basedOn w:val="1"/>
    <w:next w:val="1"/>
    <w:autoRedefine/>
    <w:semiHidden/>
    <w:unhideWhenUsed/>
    <w:qFormat/>
    <w:uiPriority w:val="39"/>
    <w:pPr>
      <w:ind w:left="630"/>
      <w:jc w:val="left"/>
    </w:pPr>
    <w:rPr>
      <w:rFonts w:eastAsiaTheme="minorHAnsi"/>
      <w:sz w:val="18"/>
      <w:szCs w:val="18"/>
    </w:rPr>
  </w:style>
  <w:style w:type="paragraph" w:styleId="17">
    <w:name w:val="toc 6"/>
    <w:basedOn w:val="1"/>
    <w:next w:val="1"/>
    <w:autoRedefine/>
    <w:semiHidden/>
    <w:unhideWhenUsed/>
    <w:qFormat/>
    <w:uiPriority w:val="39"/>
    <w:pPr>
      <w:ind w:left="1050"/>
      <w:jc w:val="left"/>
    </w:pPr>
    <w:rPr>
      <w:rFonts w:eastAsiaTheme="minorHAnsi"/>
      <w:sz w:val="18"/>
      <w:szCs w:val="18"/>
    </w:rPr>
  </w:style>
  <w:style w:type="paragraph" w:styleId="18">
    <w:name w:val="toc 2"/>
    <w:basedOn w:val="1"/>
    <w:next w:val="1"/>
    <w:autoRedefine/>
    <w:unhideWhenUsed/>
    <w:qFormat/>
    <w:uiPriority w:val="39"/>
    <w:pPr>
      <w:ind w:left="210"/>
      <w:jc w:val="left"/>
    </w:pPr>
    <w:rPr>
      <w:rFonts w:eastAsiaTheme="minorHAnsi"/>
      <w:smallCaps/>
      <w:sz w:val="20"/>
      <w:szCs w:val="20"/>
    </w:rPr>
  </w:style>
  <w:style w:type="paragraph" w:styleId="19">
    <w:name w:val="toc 9"/>
    <w:basedOn w:val="1"/>
    <w:next w:val="1"/>
    <w:autoRedefine/>
    <w:semiHidden/>
    <w:unhideWhenUsed/>
    <w:qFormat/>
    <w:uiPriority w:val="39"/>
    <w:pPr>
      <w:ind w:left="1680"/>
      <w:jc w:val="left"/>
    </w:pPr>
    <w:rPr>
      <w:rFonts w:eastAsiaTheme="minorHAnsi"/>
      <w:sz w:val="18"/>
      <w:szCs w:val="18"/>
    </w:rPr>
  </w:style>
  <w:style w:type="paragraph" w:styleId="20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21">
    <w:name w:val="Title"/>
    <w:basedOn w:val="1"/>
    <w:next w:val="1"/>
    <w:link w:val="43"/>
    <w:qFormat/>
    <w:uiPriority w:val="10"/>
    <w:pPr>
      <w:spacing w:before="240" w:after="60" w:afterLines="50" w:line="360" w:lineRule="auto"/>
      <w:jc w:val="center"/>
      <w:outlineLvl w:val="0"/>
    </w:pPr>
    <w:rPr>
      <w:rFonts w:ascii="等线 Light" w:hAnsi="等线 Light" w:eastAsia="宋体" w:cs="Times New Roman"/>
      <w:b/>
      <w:bCs/>
      <w:sz w:val="32"/>
      <w:szCs w:val="32"/>
    </w:rPr>
  </w:style>
  <w:style w:type="paragraph" w:styleId="22">
    <w:name w:val="annotation subject"/>
    <w:basedOn w:val="8"/>
    <w:next w:val="8"/>
    <w:link w:val="38"/>
    <w:semiHidden/>
    <w:unhideWhenUsed/>
    <w:qFormat/>
    <w:uiPriority w:val="99"/>
    <w:rPr>
      <w:b/>
      <w:bCs/>
    </w:rPr>
  </w:style>
  <w:style w:type="table" w:styleId="24">
    <w:name w:val="Table Grid"/>
    <w:basedOn w:val="2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6">
    <w:name w:val="Hyperlink"/>
    <w:basedOn w:val="2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7">
    <w:name w:val="annotation reference"/>
    <w:basedOn w:val="25"/>
    <w:semiHidden/>
    <w:unhideWhenUsed/>
    <w:qFormat/>
    <w:uiPriority w:val="99"/>
    <w:rPr>
      <w:sz w:val="21"/>
      <w:szCs w:val="21"/>
    </w:rPr>
  </w:style>
  <w:style w:type="character" w:customStyle="1" w:styleId="28">
    <w:name w:val="标题 1 Char"/>
    <w:basedOn w:val="25"/>
    <w:link w:val="3"/>
    <w:qFormat/>
    <w:uiPriority w:val="9"/>
    <w:rPr>
      <w:b/>
      <w:bCs/>
      <w:kern w:val="44"/>
      <w:sz w:val="44"/>
      <w:szCs w:val="44"/>
    </w:rPr>
  </w:style>
  <w:style w:type="paragraph" w:styleId="29">
    <w:name w:val="List Paragraph"/>
    <w:basedOn w:val="1"/>
    <w:link w:val="41"/>
    <w:qFormat/>
    <w:uiPriority w:val="34"/>
    <w:pPr>
      <w:ind w:firstLine="420" w:firstLineChars="200"/>
    </w:pPr>
  </w:style>
  <w:style w:type="character" w:customStyle="1" w:styleId="30">
    <w:name w:val="批注框文本 Char"/>
    <w:basedOn w:val="25"/>
    <w:link w:val="12"/>
    <w:semiHidden/>
    <w:qFormat/>
    <w:uiPriority w:val="99"/>
    <w:rPr>
      <w:rFonts w:ascii="宋体" w:eastAsia="宋体"/>
      <w:sz w:val="18"/>
      <w:szCs w:val="18"/>
    </w:rPr>
  </w:style>
  <w:style w:type="character" w:customStyle="1" w:styleId="31">
    <w:name w:val="标题 3 Char"/>
    <w:basedOn w:val="25"/>
    <w:link w:val="5"/>
    <w:qFormat/>
    <w:uiPriority w:val="9"/>
    <w:rPr>
      <w:b/>
      <w:bCs/>
      <w:sz w:val="32"/>
      <w:szCs w:val="32"/>
    </w:rPr>
  </w:style>
  <w:style w:type="character" w:customStyle="1" w:styleId="32">
    <w:name w:val="正文缩进 Char1"/>
    <w:link w:val="7"/>
    <w:qFormat/>
    <w:locked/>
    <w:uiPriority w:val="0"/>
    <w:rPr>
      <w:rFonts w:ascii="Calibri" w:hAnsi="Calibri" w:eastAsia="宋体" w:cs="Times New Roman"/>
      <w:szCs w:val="20"/>
    </w:rPr>
  </w:style>
  <w:style w:type="character" w:customStyle="1" w:styleId="33">
    <w:name w:val="标题 2 Char"/>
    <w:basedOn w:val="25"/>
    <w:link w:val="4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34">
    <w:name w:val="TOC Heading"/>
    <w:basedOn w:val="3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F5597" w:themeColor="accent1" w:themeShade="BF"/>
      <w:kern w:val="0"/>
      <w:sz w:val="28"/>
      <w:szCs w:val="28"/>
    </w:rPr>
  </w:style>
  <w:style w:type="character" w:customStyle="1" w:styleId="35">
    <w:name w:val="页眉 Char"/>
    <w:basedOn w:val="25"/>
    <w:link w:val="14"/>
    <w:qFormat/>
    <w:uiPriority w:val="99"/>
    <w:rPr>
      <w:sz w:val="18"/>
      <w:szCs w:val="18"/>
    </w:rPr>
  </w:style>
  <w:style w:type="character" w:customStyle="1" w:styleId="36">
    <w:name w:val="页脚 Char"/>
    <w:basedOn w:val="25"/>
    <w:link w:val="13"/>
    <w:qFormat/>
    <w:uiPriority w:val="99"/>
    <w:rPr>
      <w:sz w:val="18"/>
      <w:szCs w:val="18"/>
    </w:rPr>
  </w:style>
  <w:style w:type="character" w:customStyle="1" w:styleId="37">
    <w:name w:val="批注文字 Char"/>
    <w:basedOn w:val="25"/>
    <w:link w:val="8"/>
    <w:semiHidden/>
    <w:qFormat/>
    <w:uiPriority w:val="99"/>
  </w:style>
  <w:style w:type="character" w:customStyle="1" w:styleId="38">
    <w:name w:val="批注主题 Char"/>
    <w:basedOn w:val="37"/>
    <w:link w:val="22"/>
    <w:semiHidden/>
    <w:qFormat/>
    <w:uiPriority w:val="99"/>
    <w:rPr>
      <w:b/>
      <w:bCs/>
    </w:rPr>
  </w:style>
  <w:style w:type="paragraph" w:customStyle="1" w:styleId="39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  <w:szCs w:val="22"/>
    </w:rPr>
  </w:style>
  <w:style w:type="paragraph" w:styleId="40">
    <w:name w:val="No Spacing"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41">
    <w:name w:val="列出段落 Char"/>
    <w:link w:val="29"/>
    <w:qFormat/>
    <w:uiPriority w:val="34"/>
  </w:style>
  <w:style w:type="character" w:customStyle="1" w:styleId="42">
    <w:name w:val="标题 Char"/>
    <w:basedOn w:val="25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43">
    <w:name w:val="标题 Char1"/>
    <w:link w:val="21"/>
    <w:qFormat/>
    <w:uiPriority w:val="10"/>
    <w:rPr>
      <w:rFonts w:ascii="等线 Light" w:hAnsi="等线 Light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07F44F8-1450-491D-9687-BD4688BEA8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1922</Words>
  <Characters>2226</Characters>
  <Lines>11</Lines>
  <Paragraphs>3</Paragraphs>
  <TotalTime>1</TotalTime>
  <ScaleCrop>false</ScaleCrop>
  <LinksUpToDate>false</LinksUpToDate>
  <CharactersWithSpaces>2234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2024-04-10T08:51:00Z</dcterms:created>
  <dc:creator>方文仲</dc:creator>
  <cp:lastModifiedBy>gc</cp:lastModifiedBy>
  <cp:lastPrinted>2024-08-23T03:16:00Z</cp:lastPrinted>
  <dcterms:modified xsi:type="dcterms:W3CDTF">2026-02-09T12:01:21Z</dcterms:modified>
  <cp:revision>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eyJoZGlkIjoiNzg5M2RhNDE3ZjYzZmU1MTk2Yzc0ZjQ5NWVkMGNjNmUiLCJ1c2VySWQiOiI2MjU5ODg1NTIifQ==</vt:lpwstr>
  </property>
  <property fmtid="{D5CDD505-2E9C-101B-9397-08002B2CF9AE}" pid="3" name="KSOProductBuildVer">
    <vt:lpwstr>2052-12.1.0.22525</vt:lpwstr>
  </property>
  <property fmtid="{D5CDD505-2E9C-101B-9397-08002B2CF9AE}" pid="4" name="ICV">
    <vt:lpwstr>DC4B6E077D1243AB99C477B7BEC313CD_12</vt:lpwstr>
  </property>
</Properties>
</file>