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977B4">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5109DEC6">
      <w:pPr>
        <w:spacing w:after="209" w:afterLines="67" w:line="240" w:lineRule="auto"/>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广东南广影视互动技术有限公司</w:t>
      </w:r>
    </w:p>
    <w:p w14:paraId="7AC0BC00">
      <w:pPr>
        <w:spacing w:after="209" w:afterLines="67" w:line="240" w:lineRule="auto"/>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IPTV内容自动巡检拨测系统建设项目</w:t>
      </w:r>
    </w:p>
    <w:p w14:paraId="73243D2A">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44C5061D">
      <w:pPr>
        <w:pStyle w:val="25"/>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5"/>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5"/>
        <w:gridCol w:w="915"/>
        <w:gridCol w:w="2215"/>
        <w:gridCol w:w="1239"/>
        <w:gridCol w:w="2322"/>
      </w:tblGrid>
      <w:tr w14:paraId="147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0017FF4A">
            <w:pPr>
              <w:pStyle w:val="26"/>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40D37690">
            <w:pPr>
              <w:tabs>
                <w:tab w:val="left" w:pos="202"/>
              </w:tabs>
              <w:spacing w:line="400" w:lineRule="exact"/>
              <w:jc w:val="center"/>
              <w:rPr>
                <w:rFonts w:ascii="宋体" w:hAnsi="宋体" w:eastAsia="宋体" w:cs="仿宋"/>
                <w:sz w:val="24"/>
                <w:szCs w:val="24"/>
              </w:rPr>
            </w:pPr>
          </w:p>
        </w:tc>
      </w:tr>
      <w:tr w14:paraId="7F90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4FA551AB">
            <w:pPr>
              <w:pStyle w:val="26"/>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6BF589B6">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9D36110">
            <w:pPr>
              <w:pStyle w:val="26"/>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2233A0C0">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26F6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71DA2A5C">
            <w:pPr>
              <w:pStyle w:val="26"/>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1B743F9F">
            <w:pPr>
              <w:spacing w:line="400" w:lineRule="exact"/>
              <w:rPr>
                <w:rFonts w:ascii="宋体" w:hAnsi="宋体" w:eastAsia="宋体" w:cs="仿宋"/>
                <w:sz w:val="24"/>
                <w:szCs w:val="24"/>
              </w:rPr>
            </w:pPr>
          </w:p>
        </w:tc>
      </w:tr>
      <w:tr w14:paraId="3781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3CB7E2A7">
            <w:pPr>
              <w:pStyle w:val="26"/>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5C193EDD">
            <w:pPr>
              <w:spacing w:line="400" w:lineRule="exact"/>
              <w:jc w:val="center"/>
              <w:rPr>
                <w:rFonts w:ascii="宋体" w:hAnsi="宋体" w:eastAsia="宋体" w:cs="仿宋"/>
                <w:sz w:val="24"/>
                <w:szCs w:val="24"/>
              </w:rPr>
            </w:pPr>
          </w:p>
        </w:tc>
        <w:tc>
          <w:tcPr>
            <w:tcW w:w="686" w:type="pct"/>
            <w:vAlign w:val="center"/>
          </w:tcPr>
          <w:p w14:paraId="20001355">
            <w:pPr>
              <w:pStyle w:val="26"/>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2142DA8C">
            <w:pPr>
              <w:spacing w:line="400" w:lineRule="exact"/>
              <w:jc w:val="center"/>
              <w:rPr>
                <w:rFonts w:ascii="宋体" w:hAnsi="宋体" w:eastAsia="宋体" w:cs="仿宋"/>
                <w:sz w:val="24"/>
                <w:szCs w:val="24"/>
              </w:rPr>
            </w:pPr>
          </w:p>
        </w:tc>
      </w:tr>
      <w:tr w14:paraId="30B4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3092C514">
            <w:pPr>
              <w:pStyle w:val="26"/>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361AA16B">
            <w:pPr>
              <w:pStyle w:val="26"/>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44E828A3">
            <w:pPr>
              <w:spacing w:line="400" w:lineRule="exact"/>
              <w:jc w:val="center"/>
              <w:rPr>
                <w:rFonts w:ascii="宋体" w:hAnsi="宋体" w:eastAsia="宋体" w:cs="仿宋"/>
                <w:sz w:val="24"/>
                <w:szCs w:val="24"/>
              </w:rPr>
            </w:pPr>
          </w:p>
        </w:tc>
        <w:tc>
          <w:tcPr>
            <w:tcW w:w="686" w:type="pct"/>
            <w:vAlign w:val="center"/>
          </w:tcPr>
          <w:p w14:paraId="3C8911C2">
            <w:pPr>
              <w:pStyle w:val="26"/>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0D1512C8">
            <w:pPr>
              <w:spacing w:line="400" w:lineRule="exact"/>
              <w:jc w:val="center"/>
              <w:rPr>
                <w:rFonts w:ascii="宋体" w:hAnsi="宋体" w:eastAsia="宋体" w:cs="仿宋"/>
                <w:sz w:val="24"/>
                <w:szCs w:val="24"/>
              </w:rPr>
            </w:pPr>
          </w:p>
        </w:tc>
      </w:tr>
      <w:tr w14:paraId="4700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683EF8FF">
            <w:pPr>
              <w:spacing w:line="400" w:lineRule="exact"/>
              <w:jc w:val="center"/>
              <w:rPr>
                <w:rFonts w:ascii="宋体" w:hAnsi="宋体" w:eastAsia="宋体" w:cs="仿宋"/>
                <w:sz w:val="24"/>
                <w:szCs w:val="24"/>
              </w:rPr>
            </w:pPr>
          </w:p>
        </w:tc>
        <w:tc>
          <w:tcPr>
            <w:tcW w:w="507" w:type="pct"/>
            <w:vAlign w:val="center"/>
          </w:tcPr>
          <w:p w14:paraId="1A755BB5">
            <w:pPr>
              <w:pStyle w:val="26"/>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77EAE994">
            <w:pPr>
              <w:spacing w:line="400" w:lineRule="exact"/>
              <w:jc w:val="center"/>
              <w:rPr>
                <w:rFonts w:ascii="宋体" w:hAnsi="宋体" w:eastAsia="宋体" w:cs="仿宋"/>
                <w:sz w:val="24"/>
                <w:szCs w:val="24"/>
              </w:rPr>
            </w:pPr>
          </w:p>
        </w:tc>
        <w:tc>
          <w:tcPr>
            <w:tcW w:w="686" w:type="pct"/>
            <w:vAlign w:val="center"/>
          </w:tcPr>
          <w:p w14:paraId="0E3B68FD">
            <w:pPr>
              <w:pStyle w:val="26"/>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7905C33C">
            <w:pPr>
              <w:spacing w:line="400" w:lineRule="exact"/>
              <w:jc w:val="center"/>
              <w:rPr>
                <w:rFonts w:ascii="宋体" w:hAnsi="宋体" w:eastAsia="宋体" w:cs="仿宋"/>
                <w:sz w:val="24"/>
                <w:szCs w:val="24"/>
              </w:rPr>
            </w:pPr>
          </w:p>
        </w:tc>
      </w:tr>
      <w:tr w14:paraId="2A4E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6C08FD93">
            <w:pPr>
              <w:pStyle w:val="26"/>
              <w:kinsoku w:val="0"/>
              <w:overflowPunct w:val="0"/>
              <w:spacing w:line="400" w:lineRule="exact"/>
              <w:ind w:firstLine="0" w:firstLineChars="0"/>
              <w:jc w:val="center"/>
              <w:rPr>
                <w:rFonts w:hAnsi="宋体" w:cs="仿宋"/>
              </w:rPr>
            </w:pPr>
            <w:r>
              <w:rPr>
                <w:rFonts w:hint="eastAsia" w:hAnsi="宋体" w:cs="仿宋"/>
              </w:rPr>
              <w:t>法定代表人</w:t>
            </w:r>
          </w:p>
          <w:p w14:paraId="284273E6">
            <w:pPr>
              <w:pStyle w:val="26"/>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3B605977">
            <w:pPr>
              <w:pStyle w:val="26"/>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72F35AC4">
            <w:pPr>
              <w:spacing w:line="400" w:lineRule="exact"/>
              <w:jc w:val="center"/>
              <w:rPr>
                <w:rFonts w:ascii="宋体" w:hAnsi="宋体" w:eastAsia="宋体" w:cs="仿宋"/>
                <w:sz w:val="24"/>
                <w:szCs w:val="24"/>
              </w:rPr>
            </w:pPr>
          </w:p>
        </w:tc>
        <w:tc>
          <w:tcPr>
            <w:tcW w:w="686" w:type="pct"/>
            <w:vAlign w:val="center"/>
          </w:tcPr>
          <w:p w14:paraId="026C68D7">
            <w:pPr>
              <w:pStyle w:val="26"/>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1EEFE668">
            <w:pPr>
              <w:tabs>
                <w:tab w:val="left" w:pos="1426"/>
              </w:tabs>
              <w:spacing w:line="400" w:lineRule="exact"/>
              <w:jc w:val="center"/>
              <w:rPr>
                <w:rFonts w:ascii="宋体" w:hAnsi="宋体" w:eastAsia="宋体" w:cs="仿宋"/>
                <w:sz w:val="24"/>
                <w:szCs w:val="24"/>
              </w:rPr>
            </w:pPr>
          </w:p>
        </w:tc>
      </w:tr>
      <w:tr w14:paraId="5C07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546D0FE">
            <w:pPr>
              <w:pStyle w:val="26"/>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08FC7921">
            <w:pPr>
              <w:pStyle w:val="26"/>
              <w:kinsoku w:val="0"/>
              <w:overflowPunct w:val="0"/>
              <w:spacing w:line="400" w:lineRule="exact"/>
              <w:ind w:firstLine="0" w:firstLineChars="0"/>
              <w:rPr>
                <w:rFonts w:hAnsi="宋体" w:cs="仿宋"/>
              </w:rPr>
            </w:pPr>
            <w:r>
              <w:rPr>
                <w:rFonts w:hint="eastAsia" w:hAnsi="宋体" w:cs="仿宋"/>
              </w:rPr>
              <w:t>如有请罗列证书名称：</w:t>
            </w:r>
          </w:p>
        </w:tc>
      </w:tr>
      <w:tr w14:paraId="14FF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46F419B5">
            <w:pPr>
              <w:pStyle w:val="26"/>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1545A375">
            <w:pPr>
              <w:pStyle w:val="26"/>
              <w:kinsoku w:val="0"/>
              <w:overflowPunct w:val="0"/>
              <w:spacing w:line="400" w:lineRule="exact"/>
              <w:ind w:firstLine="0" w:firstLineChars="0"/>
              <w:rPr>
                <w:rFonts w:hAnsi="宋体" w:cs="仿宋"/>
              </w:rPr>
            </w:pPr>
            <w:r>
              <w:rPr>
                <w:rFonts w:hint="eastAsia" w:hAnsi="宋体" w:cs="仿宋"/>
              </w:rPr>
              <w:t>公司实有人员情况：</w:t>
            </w:r>
          </w:p>
          <w:p w14:paraId="00285C2D">
            <w:pPr>
              <w:pStyle w:val="26"/>
              <w:kinsoku w:val="0"/>
              <w:overflowPunct w:val="0"/>
              <w:spacing w:line="400" w:lineRule="exact"/>
              <w:ind w:firstLine="0" w:firstLineChars="0"/>
              <w:rPr>
                <w:rFonts w:hAnsi="宋体" w:cs="仿宋"/>
              </w:rPr>
            </w:pPr>
            <w:r>
              <w:rPr>
                <w:rFonts w:hint="eastAsia" w:hAnsi="宋体" w:cs="仿宋"/>
              </w:rPr>
              <w:t>广州地区人员情况：</w:t>
            </w:r>
          </w:p>
        </w:tc>
      </w:tr>
      <w:tr w14:paraId="6B2C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4D9B66BF">
            <w:pPr>
              <w:pStyle w:val="26"/>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76F22685">
            <w:pPr>
              <w:spacing w:line="440" w:lineRule="exact"/>
              <w:jc w:val="center"/>
              <w:rPr>
                <w:rFonts w:ascii="宋体" w:hAnsi="宋体" w:eastAsia="宋体" w:cs="仿宋"/>
                <w:sz w:val="24"/>
                <w:szCs w:val="24"/>
              </w:rPr>
            </w:pPr>
          </w:p>
        </w:tc>
      </w:tr>
      <w:bookmarkEnd w:id="0"/>
    </w:tbl>
    <w:p w14:paraId="70A426AB">
      <w:pPr>
        <w:pStyle w:val="14"/>
        <w:ind w:firstLine="0" w:firstLineChars="0"/>
      </w:pPr>
    </w:p>
    <w:p w14:paraId="3F0A306A">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二、企业证明材料列表</w:t>
      </w:r>
    </w:p>
    <w:p w14:paraId="71555126">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1、营业执照（加盖公章）</w:t>
      </w:r>
    </w:p>
    <w:p w14:paraId="5375A40A">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2、法定代表人证明书和法定代表人授权委托书（加盖公章）</w:t>
      </w:r>
    </w:p>
    <w:p w14:paraId="2C844324">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3、其他（公司简介、近5年类似项目业绩、企业荣誉、团队人员等）</w:t>
      </w:r>
    </w:p>
    <w:p w14:paraId="04AE1713">
      <w:pPr>
        <w:spacing w:after="209" w:afterLines="67" w:line="360" w:lineRule="auto"/>
        <w:rPr>
          <w:rFonts w:hint="eastAsia" w:asciiTheme="minorEastAsia" w:hAnsiTheme="minorEastAsia" w:cstheme="minorEastAsia"/>
          <w:sz w:val="24"/>
          <w:szCs w:val="24"/>
        </w:rPr>
        <w:sectPr>
          <w:footerReference r:id="rId3" w:type="default"/>
          <w:pgSz w:w="11906" w:h="16838"/>
          <w:pgMar w:top="1440" w:right="1800" w:bottom="1440" w:left="1800" w:header="851" w:footer="992" w:gutter="0"/>
          <w:cols w:space="425" w:num="1"/>
          <w:docGrid w:type="lines" w:linePitch="312" w:charSpace="0"/>
        </w:sectPr>
      </w:pPr>
      <w:r>
        <w:rPr>
          <w:rFonts w:hint="eastAsia" w:asciiTheme="minorEastAsia" w:hAnsiTheme="minorEastAsia" w:cstheme="minorEastAsia"/>
          <w:sz w:val="24"/>
          <w:szCs w:val="24"/>
        </w:rPr>
        <w:t>4、对项目采购需求的建议。</w:t>
      </w:r>
    </w:p>
    <w:p w14:paraId="103F7D21">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三、需求响应情况（加盖公章）</w:t>
      </w:r>
    </w:p>
    <w:tbl>
      <w:tblPr>
        <w:tblStyle w:val="15"/>
        <w:tblW w:w="47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819"/>
        <w:gridCol w:w="10051"/>
        <w:gridCol w:w="1109"/>
        <w:gridCol w:w="740"/>
      </w:tblGrid>
      <w:tr w14:paraId="1F3B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263BF77F">
            <w:pPr>
              <w:pageBreakBefore w:val="0"/>
              <w:widowControl w:val="0"/>
              <w:kinsoku/>
              <w:wordWrap/>
              <w:overflowPunct/>
              <w:topLinePunct w:val="0"/>
              <w:autoSpaceDE/>
              <w:autoSpaceDN/>
              <w:bidi w:val="0"/>
              <w:adjustRightInd/>
              <w:spacing w:line="288"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4127" w:type="pct"/>
            <w:gridSpan w:val="2"/>
            <w:vAlign w:val="center"/>
          </w:tcPr>
          <w:p w14:paraId="7BB90614">
            <w:pPr>
              <w:pageBreakBefore w:val="0"/>
              <w:widowControl w:val="0"/>
              <w:kinsoku/>
              <w:wordWrap/>
              <w:overflowPunct/>
              <w:topLinePunct w:val="0"/>
              <w:autoSpaceDE/>
              <w:autoSpaceDN/>
              <w:bidi w:val="0"/>
              <w:adjustRightInd/>
              <w:spacing w:line="288"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需求条款</w:t>
            </w:r>
          </w:p>
        </w:tc>
        <w:tc>
          <w:tcPr>
            <w:tcW w:w="421" w:type="pct"/>
            <w:vAlign w:val="center"/>
          </w:tcPr>
          <w:p w14:paraId="3CC531D7">
            <w:pPr>
              <w:pageBreakBefore w:val="0"/>
              <w:widowControl w:val="0"/>
              <w:kinsoku/>
              <w:wordWrap/>
              <w:overflowPunct/>
              <w:topLinePunct w:val="0"/>
              <w:autoSpaceDE/>
              <w:autoSpaceDN/>
              <w:bidi w:val="0"/>
              <w:adjustRightInd/>
              <w:spacing w:line="288"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响应情况（完全满足/部分满足/不满足）</w:t>
            </w:r>
          </w:p>
        </w:tc>
        <w:tc>
          <w:tcPr>
            <w:tcW w:w="281" w:type="pct"/>
            <w:vAlign w:val="center"/>
          </w:tcPr>
          <w:p w14:paraId="21C2B775">
            <w:pPr>
              <w:pageBreakBefore w:val="0"/>
              <w:widowControl w:val="0"/>
              <w:kinsoku/>
              <w:wordWrap/>
              <w:overflowPunct/>
              <w:topLinePunct w:val="0"/>
              <w:autoSpaceDE/>
              <w:autoSpaceDN/>
              <w:bidi w:val="0"/>
              <w:adjustRightInd/>
              <w:spacing w:line="288"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备注（描述偏离情况）</w:t>
            </w:r>
          </w:p>
        </w:tc>
      </w:tr>
      <w:tr w14:paraId="4F5E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2962CE53">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vAlign w:val="center"/>
          </w:tcPr>
          <w:p w14:paraId="2A25102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eastAsia="zh-CN"/>
              </w:rPr>
            </w:pPr>
            <w:r>
              <w:rPr>
                <w:rStyle w:val="30"/>
                <w:rFonts w:hint="eastAsia" w:ascii="宋体" w:hAnsi="宋体" w:eastAsia="宋体" w:cs="宋体"/>
                <w:b w:val="0"/>
                <w:bCs w:val="0"/>
                <w:color w:val="auto"/>
                <w:sz w:val="21"/>
                <w:szCs w:val="21"/>
                <w:lang w:eastAsia="zh-CN"/>
              </w:rPr>
              <w:t>一、项目概述</w:t>
            </w:r>
          </w:p>
        </w:tc>
        <w:tc>
          <w:tcPr>
            <w:tcW w:w="3815" w:type="pct"/>
            <w:vAlign w:val="center"/>
          </w:tcPr>
          <w:p w14:paraId="27595353">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 w:name="_Toc20976"/>
            <w:r>
              <w:rPr>
                <w:rFonts w:hint="eastAsia" w:ascii="宋体" w:hAnsi="宋体" w:eastAsia="宋体" w:cs="宋体"/>
                <w:color w:val="auto"/>
                <w:sz w:val="21"/>
                <w:szCs w:val="21"/>
              </w:rPr>
              <w:t>1.1 项目背景</w:t>
            </w:r>
            <w:bookmarkEnd w:id="1"/>
          </w:p>
          <w:p w14:paraId="28DE5951">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IPTV平台上线的专区、栏目、内容日益增多，内容来源涉及多个CP（内容提供商）。当前运营人员主要依赖人工使用遥控器逐项操作机顶盒验证内容是否可正常访问、播放是否正常、页面是否完整，存在效率低、覆盖不全、难以追溯、无法量化等问题。</w:t>
            </w:r>
          </w:p>
          <w:p w14:paraId="0AD9EF99">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b w:val="0"/>
                <w:bCs w:val="0"/>
                <w:sz w:val="21"/>
                <w:szCs w:val="21"/>
              </w:rPr>
            </w:pPr>
            <w:r>
              <w:rPr>
                <w:rFonts w:hint="eastAsia" w:ascii="宋体" w:hAnsi="宋体" w:eastAsia="宋体" w:cs="宋体"/>
                <w:sz w:val="21"/>
                <w:szCs w:val="21"/>
              </w:rPr>
              <w:t>本项目拟建设一套IPTV内容自动巡检拨测系统。新建系统需与招标人现有内容管理/EPG平台对接：一方面从现有平台获取拨测所需的专区、栏目、内容、CP等信息作为拨测范围数据源，另一方面将拨测结果回传现有平台，供现有平台展示和逻辑处理。</w:t>
            </w:r>
          </w:p>
        </w:tc>
        <w:tc>
          <w:tcPr>
            <w:tcW w:w="421" w:type="pct"/>
            <w:vAlign w:val="center"/>
          </w:tcPr>
          <w:p w14:paraId="1C3E919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10B96DF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7D58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CD29FF4">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vAlign w:val="center"/>
          </w:tcPr>
          <w:p w14:paraId="43F4FFA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eastAsia="zh-CN"/>
              </w:rPr>
            </w:pPr>
          </w:p>
        </w:tc>
        <w:tc>
          <w:tcPr>
            <w:tcW w:w="3815" w:type="pct"/>
            <w:vAlign w:val="center"/>
          </w:tcPr>
          <w:p w14:paraId="4A7E14DB">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 w:name="_Toc32542"/>
            <w:r>
              <w:rPr>
                <w:rFonts w:hint="eastAsia" w:ascii="宋体" w:hAnsi="宋体" w:eastAsia="宋体" w:cs="宋体"/>
                <w:color w:val="auto"/>
                <w:sz w:val="21"/>
                <w:szCs w:val="21"/>
              </w:rPr>
              <w:t>1.2 项目建设目标</w:t>
            </w:r>
            <w:bookmarkEnd w:id="2"/>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706"/>
              <w:gridCol w:w="9119"/>
            </w:tblGrid>
            <w:tr w14:paraId="68F4EB9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1F2E08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序号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D9DC7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建设目标</w:t>
                  </w:r>
                </w:p>
              </w:tc>
            </w:tr>
            <w:tr w14:paraId="114EBEF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FF907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5537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以真实机顶盒还原用户实际观看环境，实现内容自动化拨测，替代人工遥控器巡检</w:t>
                  </w:r>
                </w:p>
              </w:tc>
            </w:tr>
            <w:tr w14:paraId="3E6DA79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00AA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9E8BF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支持按专区、栏目、指定内容、指定CP多维配置拨测范围，覆盖全面、配置灵活</w:t>
                  </w:r>
                </w:p>
              </w:tc>
            </w:tr>
            <w:tr w14:paraId="45F33A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C3A35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5E76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支持指定机顶盒终端下发任务，实现问题复现、型号验证、地市差异化验证</w:t>
                  </w:r>
                </w:p>
              </w:tc>
            </w:tr>
            <w:tr w14:paraId="5B94DCE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0F6C1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B388D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支持按指定时间段执行任务，实现业务避峰与内容变更窗口规避</w:t>
                  </w:r>
                </w:p>
              </w:tc>
            </w:tr>
            <w:tr w14:paraId="410304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EB19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E43FB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自动生成清晰易懂的拨测报告，异常可归因、可闭环、可度量</w:t>
                  </w:r>
                </w:p>
              </w:tc>
            </w:tr>
            <w:tr w14:paraId="7AE807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CCC5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CD0FE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与现有平台对接，拨测范围数据从现有平台获取，拨测结果回传现有平台，形成集成闭环</w:t>
                  </w:r>
                </w:p>
              </w:tc>
            </w:tr>
            <w:tr w14:paraId="674F2E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6A35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8047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建立内容质量运营能力，输出CP质量、专区健康度等量化指标</w:t>
                  </w:r>
                </w:p>
              </w:tc>
            </w:tr>
          </w:tbl>
          <w:p w14:paraId="4AFCB176">
            <w:pPr>
              <w:pStyle w:val="29"/>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421" w:type="pct"/>
            <w:vAlign w:val="center"/>
          </w:tcPr>
          <w:p w14:paraId="731000A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1CBB1FC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66B5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2B76BB2">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vAlign w:val="center"/>
          </w:tcPr>
          <w:p w14:paraId="1C58B9A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B67C152">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 招标范围</w:t>
            </w:r>
          </w:p>
          <w:p w14:paraId="32DFCF0E">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本次招标范围包括：IPTV内容自动巡检拨测系统的软件平台、拨测终端配套（机顶盒控制与画面采集装置）、与现有内容管理/EPG平台的接口对接、部署实施、培训及质保期服务。投标人须对本文档第4章全部功能需求逐条响应。</w:t>
            </w:r>
          </w:p>
        </w:tc>
        <w:tc>
          <w:tcPr>
            <w:tcW w:w="421" w:type="pct"/>
            <w:vAlign w:val="center"/>
          </w:tcPr>
          <w:p w14:paraId="2999EBB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F11F57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B70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34E145C">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vAlign w:val="center"/>
          </w:tcPr>
          <w:p w14:paraId="49B2B44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vAlign w:val="center"/>
          </w:tcPr>
          <w:p w14:paraId="6A0F7E9F">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 w:name="_Toc10533"/>
            <w:r>
              <w:rPr>
                <w:rFonts w:hint="eastAsia" w:ascii="宋体" w:hAnsi="宋体" w:eastAsia="宋体" w:cs="宋体"/>
                <w:color w:val="auto"/>
                <w:sz w:val="21"/>
                <w:szCs w:val="21"/>
              </w:rPr>
              <w:t>1.4 术语与缩略语</w:t>
            </w:r>
            <w:bookmarkEnd w:id="3"/>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371"/>
              <w:gridCol w:w="7454"/>
            </w:tblGrid>
            <w:tr w14:paraId="0EF803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F7981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术语</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379B3E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75F54D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BD843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EPG</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85BE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电子节目指南，IPTV用户界面与内容导航系统</w:t>
                  </w:r>
                </w:p>
              </w:tc>
            </w:tr>
            <w:tr w14:paraId="01E77B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BAA7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AB76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内容提供商（Content Provider）</w:t>
                  </w:r>
                </w:p>
              </w:tc>
            </w:tr>
            <w:tr w14:paraId="39437D0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80DC7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97812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通过模拟用户操作对内容进行访问与播放验证</w:t>
                  </w:r>
                </w:p>
              </w:tc>
            </w:tr>
            <w:tr w14:paraId="58E8EA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2156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拨测终端</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3016E1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用于拨测的真实机顶盒及其控制、采集配套装置</w:t>
                  </w:r>
                </w:p>
              </w:tc>
            </w:tr>
            <w:tr w14:paraId="36ABEAA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8B605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FCF7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按位置/型号/用途等维度对终端编组形成的集合</w:t>
                  </w:r>
                </w:p>
              </w:tc>
            </w:tr>
            <w:tr w14:paraId="7D4FBB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5515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时间段（时间窗）</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3528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任务允许执行的起止时间区间</w:t>
                  </w:r>
                </w:p>
              </w:tc>
            </w:tr>
            <w:tr w14:paraId="29F86DE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DD7E4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超窗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41662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任务在时间段结束时仍未完成的状态</w:t>
                  </w:r>
                </w:p>
              </w:tc>
            </w:tr>
            <w:tr w14:paraId="38F92D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9C6C2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基线</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ED704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用于比对的页面/内容正常状态快照</w:t>
                  </w:r>
                </w:p>
              </w:tc>
            </w:tr>
            <w:tr w14:paraId="4952BF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4FD1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归因</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34BD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将异常关联到内容、CP、类型、时间、终端的处理过程</w:t>
                  </w:r>
                </w:p>
              </w:tc>
            </w:tr>
            <w:tr w14:paraId="7B6E467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7C37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现有平台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7A43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招标人已有的内容管理/EPG/运营支撑平台，本系统的对接对象</w:t>
                  </w:r>
                </w:p>
              </w:tc>
            </w:tr>
            <w:tr w14:paraId="11306A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9333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接口集成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1D4D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新建系统与现有平台之间的数据交互，含数据获取与结果回传</w:t>
                  </w:r>
                </w:p>
              </w:tc>
            </w:tr>
          </w:tbl>
          <w:p w14:paraId="3698C5C7">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sz w:val="21"/>
                <w:szCs w:val="21"/>
              </w:rPr>
            </w:pPr>
          </w:p>
        </w:tc>
        <w:tc>
          <w:tcPr>
            <w:tcW w:w="421" w:type="pct"/>
            <w:vAlign w:val="center"/>
          </w:tcPr>
          <w:p w14:paraId="3CD6302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EE1689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310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7CD428A7">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vAlign w:val="center"/>
          </w:tcPr>
          <w:p w14:paraId="038966B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vAlign w:val="center"/>
          </w:tcPr>
          <w:p w14:paraId="76AA8201">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 w:name="_Toc14788"/>
            <w:r>
              <w:rPr>
                <w:rFonts w:hint="eastAsia" w:ascii="宋体" w:hAnsi="宋体" w:eastAsia="宋体" w:cs="宋体"/>
                <w:color w:val="auto"/>
                <w:sz w:val="21"/>
                <w:szCs w:val="21"/>
              </w:rPr>
              <w:t>1.5 需求优先级与响应要求定义</w:t>
            </w:r>
            <w:bookmarkEnd w:id="4"/>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694"/>
              <w:gridCol w:w="3242"/>
              <w:gridCol w:w="4889"/>
            </w:tblGrid>
            <w:tr w14:paraId="322E8D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64A53D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优先级</w:t>
                  </w:r>
                </w:p>
              </w:tc>
              <w:tc>
                <w:tcPr>
                  <w:tcW w:w="165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C7EC2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定义</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5F4FA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投标响应要求</w:t>
                  </w:r>
                </w:p>
              </w:tc>
            </w:tr>
            <w:tr w14:paraId="7602C38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04C7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★★★（P0）</w:t>
                  </w:r>
                </w:p>
              </w:tc>
              <w:tc>
                <w:tcPr>
                  <w:tcW w:w="16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68408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核心需求，必须满足，缺失则视为不响应</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7FEF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必须逐条应答"满足/部分满足/不满足"，部分满足须说明差异</w:t>
                  </w:r>
                </w:p>
              </w:tc>
            </w:tr>
            <w:tr w14:paraId="1FD20E7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13EA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★★（P1）</w:t>
                  </w:r>
                </w:p>
              </w:tc>
              <w:tc>
                <w:tcPr>
                  <w:tcW w:w="16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2A90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重要需求，应满足</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F2848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须应答，不满足须说明替代方案</w:t>
                  </w:r>
                </w:p>
              </w:tc>
            </w:tr>
            <w:tr w14:paraId="39B5EA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8207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★（P2）</w:t>
                  </w:r>
                </w:p>
              </w:tc>
              <w:tc>
                <w:tcPr>
                  <w:tcW w:w="16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7901B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增强需求，宜满足</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43F2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可应答，作为加分项</w:t>
                  </w:r>
                </w:p>
              </w:tc>
            </w:tr>
          </w:tbl>
          <w:p w14:paraId="3563F3EB">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sz w:val="21"/>
                <w:szCs w:val="21"/>
              </w:rPr>
            </w:pPr>
          </w:p>
        </w:tc>
        <w:tc>
          <w:tcPr>
            <w:tcW w:w="421" w:type="pct"/>
            <w:vAlign w:val="center"/>
          </w:tcPr>
          <w:p w14:paraId="56F5E60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27B4DE9">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EE1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E4C70E9">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vAlign w:val="center"/>
          </w:tcPr>
          <w:p w14:paraId="22226AA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2 用户角色与权限需求</w:t>
            </w:r>
          </w:p>
        </w:tc>
        <w:tc>
          <w:tcPr>
            <w:tcW w:w="3815" w:type="pct"/>
            <w:vAlign w:val="center"/>
          </w:tcPr>
          <w:p w14:paraId="525A30EF">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 w:name="_Toc22370"/>
            <w:r>
              <w:rPr>
                <w:rFonts w:hint="eastAsia" w:ascii="宋体" w:hAnsi="宋体" w:eastAsia="宋体" w:cs="宋体"/>
                <w:color w:val="auto"/>
                <w:sz w:val="21"/>
                <w:szCs w:val="21"/>
              </w:rPr>
              <w:t>2.1 角色定义</w:t>
            </w:r>
            <w:bookmarkEnd w:id="5"/>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3079"/>
              <w:gridCol w:w="6746"/>
            </w:tblGrid>
            <w:tr w14:paraId="4F7C83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9141A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角色</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33E7E3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核心诉求</w:t>
                  </w:r>
                </w:p>
              </w:tc>
            </w:tr>
            <w:tr w14:paraId="7FB3EB0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BAAF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内容运营专员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F36D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上线前批量验证、日常巡检</w:t>
                  </w:r>
                </w:p>
              </w:tc>
            </w:tr>
            <w:tr w14:paraId="34B1308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4C21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值班运维</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BC0F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定时巡检、异常告警响应</w:t>
                  </w:r>
                </w:p>
              </w:tc>
            </w:tr>
            <w:tr w14:paraId="4ED11E7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9F10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CP对接负责人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40ED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按CP维度验收与追责</w:t>
                  </w:r>
                </w:p>
              </w:tc>
            </w:tr>
            <w:tr w14:paraId="58AD47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789E8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质量管理员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A9AF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制定判定规则、评估CP质量</w:t>
                  </w:r>
                </w:p>
              </w:tc>
            </w:tr>
            <w:tr w14:paraId="726949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A8B1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系统管理员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C0C59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终端与资源管理、接口配置与监控</w:t>
                  </w:r>
                </w:p>
              </w:tc>
            </w:tr>
          </w:tbl>
          <w:p w14:paraId="32D1B050">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b w:val="0"/>
                <w:bCs w:val="0"/>
                <w:sz w:val="21"/>
                <w:szCs w:val="21"/>
              </w:rPr>
            </w:pPr>
          </w:p>
        </w:tc>
        <w:tc>
          <w:tcPr>
            <w:tcW w:w="421" w:type="pct"/>
            <w:vAlign w:val="center"/>
          </w:tcPr>
          <w:p w14:paraId="1950011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7B8A54D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3E83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Align w:val="center"/>
          </w:tcPr>
          <w:p w14:paraId="6C6631FB">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vAlign w:val="center"/>
          </w:tcPr>
          <w:p w14:paraId="5CEADF9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pacing w:val="0"/>
                <w:sz w:val="21"/>
                <w:szCs w:val="21"/>
                <w:lang w:val="en-US" w:eastAsia="zh-CN"/>
              </w:rPr>
            </w:pPr>
          </w:p>
        </w:tc>
        <w:tc>
          <w:tcPr>
            <w:tcW w:w="3815" w:type="pct"/>
            <w:vAlign w:val="center"/>
          </w:tcPr>
          <w:p w14:paraId="4C27934A">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 w:name="_Toc6997"/>
            <w:r>
              <w:rPr>
                <w:rFonts w:hint="eastAsia" w:ascii="宋体" w:hAnsi="宋体" w:eastAsia="宋体" w:cs="宋体"/>
                <w:color w:val="auto"/>
                <w:sz w:val="21"/>
                <w:szCs w:val="21"/>
              </w:rPr>
              <w:t>2.2 权限需求（FR-PERM）</w:t>
            </w:r>
            <w:bookmarkEnd w:id="6"/>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694"/>
              <w:gridCol w:w="7093"/>
              <w:gridCol w:w="1038"/>
            </w:tblGrid>
            <w:tr w14:paraId="0055707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54A54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功能编号</w:t>
                  </w:r>
                </w:p>
              </w:tc>
              <w:tc>
                <w:tcPr>
                  <w:tcW w:w="361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F8A2C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2CA27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优先级</w:t>
                  </w:r>
                </w:p>
              </w:tc>
            </w:tr>
            <w:tr w14:paraId="46D2F17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C8FA0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FR-PERM-01</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2C7B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系统应支持创建/编辑拨测任务，按角色控制权限</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94F04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B6EE6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8567F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FR-PERM-02</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9F30E4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系统应支持指定终端下发任务的权限控制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78A56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563B55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9F7D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FR-PERM-03</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9A072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系统应支持配置执行时间段的权限控制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5C126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BB4B1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599B3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FR-PERM-04</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A51D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系统应支持终端组管理权限控制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65AFD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1BBBEA8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138B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FR-PERM-05</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C996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系统应支持判定规则配置权限控制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AF3C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05BB4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21DC8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FR-PERM-06</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1698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系统应支持报告查看权限控制，CP负责人仅可查看本CP报告与异常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E989E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2669E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383A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FR-PERM-07</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2D8F6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系统应支持异常复核/误报标记权限控制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E40A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5B8D69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D2423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FR-PERM-08</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43E61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系统应支持终端状态查看权限控制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DEE89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996DB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02332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FR-PERM-09</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70B58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系统应支持操作审计查看权限控制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F0165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789CC1B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6BF4A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FR-PERM-10</w:t>
                  </w:r>
                </w:p>
              </w:tc>
              <w:tc>
                <w:tcPr>
                  <w:tcW w:w="361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959CA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系统应支持接口配置、接口监控查看的权限控制（仅系统管理员）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A6D74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2B15FD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C143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FR-PERM-11</w:t>
                  </w:r>
                </w:p>
              </w:tc>
              <w:tc>
                <w:tcPr>
                  <w:tcW w:w="361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44BB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系统应支持结果回传记录查询权限控制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CDED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bl>
          <w:p w14:paraId="05B7F6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权限矩阵要求</w:t>
            </w:r>
            <w:r>
              <w:rPr>
                <w:rFonts w:hint="eastAsia" w:ascii="宋体" w:hAnsi="宋体" w:eastAsia="宋体" w:cs="宋体"/>
                <w:sz w:val="21"/>
                <w:szCs w:val="21"/>
              </w:rPr>
              <w:t>：</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106"/>
              <w:gridCol w:w="1418"/>
              <w:gridCol w:w="1418"/>
              <w:gridCol w:w="1488"/>
              <w:gridCol w:w="1697"/>
              <w:gridCol w:w="1698"/>
            </w:tblGrid>
            <w:tr w14:paraId="03812C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D65301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DF3F2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内容运营</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29B850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值班运维</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34AE5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CP负责人</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B5E291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质量管理员</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65C06E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系统管理员</w:t>
                  </w:r>
                </w:p>
              </w:tc>
            </w:tr>
            <w:tr w14:paraId="7EC5D00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D81C74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创建/编辑任务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C7C3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B1EEE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2699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DA2EC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41DC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68240A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CBA6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指定终端下发</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0BA32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33F8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C7224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7B3A7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7EA8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131255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C13D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配置时间段</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562F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6F47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19C2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52D14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3310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FFE8A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79D9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终端组管理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8B710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7BC93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E2711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191E6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AF2A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1AD65C7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1BEE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判定规则配置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8D76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FEC5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EAAA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A32C2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E2BF6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50A467F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A701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查看报告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F065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A7405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0F327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仅本CP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0F9A0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95E5F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w:t>
                  </w:r>
                </w:p>
              </w:tc>
            </w:tr>
            <w:tr w14:paraId="0EF146A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350E6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异常复核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773F1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BB565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EC991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BA75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3C8C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5C3E77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3003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终端状态查看</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F205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BBA30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6AD7F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EB884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D6EC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206951B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7786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bookmarkStart w:id="7" w:name="OLE_LINK8"/>
                  <w:r>
                    <w:rPr>
                      <w:rFonts w:hint="eastAsia" w:ascii="宋体" w:hAnsi="宋体" w:eastAsia="宋体" w:cs="宋体"/>
                      <w:sz w:val="21"/>
                      <w:szCs w:val="21"/>
                    </w:rPr>
                    <w:t>接口配置</w:t>
                  </w:r>
                  <w:bookmarkEnd w:id="7"/>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75A5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5B5B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C667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7BA2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0F84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2A771F8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7129E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接口监控查看</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6275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4BAB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F2BD2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5073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只读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75E8F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55899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004E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回传记录查询</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C4555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0BA7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1394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21C9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4586F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bl>
          <w:p w14:paraId="0CDF1E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：CP对接负责人仅可查看本CP相关报告与异常，且仅可使用自动调度方式创建任务，不得指定终端；接口密钥等敏感配置仅系统管理员可见可改。</w:t>
            </w:r>
          </w:p>
        </w:tc>
        <w:tc>
          <w:tcPr>
            <w:tcW w:w="421" w:type="pct"/>
            <w:vAlign w:val="center"/>
          </w:tcPr>
          <w:p w14:paraId="78317D1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36088569">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669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4D2D7C3D">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vAlign w:val="center"/>
          </w:tcPr>
          <w:p w14:paraId="5DF50E1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pacing w:val="0"/>
                <w:sz w:val="21"/>
                <w:szCs w:val="21"/>
                <w:lang w:val="en-US" w:eastAsia="zh-CN"/>
              </w:rPr>
            </w:pPr>
          </w:p>
        </w:tc>
        <w:tc>
          <w:tcPr>
            <w:tcW w:w="3815" w:type="pct"/>
            <w:vAlign w:val="center"/>
          </w:tcPr>
          <w:p w14:paraId="1CD4AA76">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 w:name="_Toc22566"/>
            <w:r>
              <w:rPr>
                <w:rFonts w:hint="eastAsia" w:ascii="宋体" w:hAnsi="宋体" w:eastAsia="宋体" w:cs="宋体"/>
                <w:color w:val="auto"/>
                <w:sz w:val="21"/>
                <w:szCs w:val="21"/>
              </w:rPr>
              <w:t>2.3 系统对接关系</w:t>
            </w:r>
            <w:bookmarkEnd w:id="8"/>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005"/>
              <w:gridCol w:w="4388"/>
              <w:gridCol w:w="3432"/>
            </w:tblGrid>
            <w:tr w14:paraId="6DC1765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59C20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对接方向</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8CFCC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数据内容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8C94D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用途</w:t>
                  </w:r>
                </w:p>
              </w:tc>
            </w:tr>
            <w:tr w14:paraId="2C66AC6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E4DCF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现有平台 → 新建系统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FEAE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专区、栏目、内容、CP等资源数据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7B2C7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作为拨测范围配置与EPG资源树的数据源</w:t>
                  </w:r>
                </w:p>
              </w:tc>
            </w:tr>
            <w:tr w14:paraId="4BF50F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EFA71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现有平台 → 新建系统</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EA948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内容上线/下线/变更事件（可选）</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517B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触发增量巡检或更新拨测范围</w:t>
                  </w:r>
                </w:p>
              </w:tc>
            </w:tr>
            <w:tr w14:paraId="66BE2A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5F53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新建系统 → 现有平台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05A98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拨测任务信息、拨测结果、异常明细、截图/报告链接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44856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供现有平台展示、派单、统计分析</w:t>
                  </w:r>
                </w:p>
              </w:tc>
            </w:tr>
            <w:tr w14:paraId="445CF78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7B68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新建系统 → 现有平台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54E76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异常状态变更（确认/误报/已处理/已关闭）</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3DA12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现有平台掌握问题闭环状态</w:t>
                  </w:r>
                </w:p>
              </w:tc>
            </w:tr>
          </w:tbl>
          <w:p w14:paraId="1D08A48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421" w:type="pct"/>
            <w:vAlign w:val="center"/>
          </w:tcPr>
          <w:p w14:paraId="618CC71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7AA01AD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341B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62E37F0B">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Align w:val="center"/>
          </w:tcPr>
          <w:p w14:paraId="6572D2D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bookmarkStart w:id="9" w:name="_Toc29606"/>
            <w:r>
              <w:rPr>
                <w:rStyle w:val="30"/>
                <w:rFonts w:hint="eastAsia" w:ascii="宋体" w:hAnsi="宋体" w:eastAsia="宋体" w:cs="宋体"/>
                <w:b w:val="0"/>
                <w:bCs w:val="0"/>
                <w:color w:val="auto"/>
                <w:sz w:val="21"/>
                <w:szCs w:val="21"/>
                <w:lang w:val="en-US" w:eastAsia="zh-CN"/>
              </w:rPr>
              <w:t>3 系统功能架构要求</w:t>
            </w:r>
            <w:bookmarkEnd w:id="9"/>
          </w:p>
          <w:p w14:paraId="7C20243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vAlign w:val="center"/>
          </w:tcPr>
          <w:p w14:paraId="011015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投标人提供的系统应至少覆盖以下九个功能域：</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694"/>
              <w:gridCol w:w="8131"/>
            </w:tblGrid>
            <w:tr w14:paraId="5C95090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10BC4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功能域</w:t>
                  </w:r>
                </w:p>
              </w:tc>
              <w:tc>
                <w:tcPr>
                  <w:tcW w:w="413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B88537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功能范围</w:t>
                  </w:r>
                </w:p>
              </w:tc>
            </w:tr>
            <w:tr w14:paraId="71EFA65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C8768F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任务管理域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D1CF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任务创建、五要素配置、任务模板、历史任务</w:t>
                  </w:r>
                </w:p>
              </w:tc>
            </w:tr>
            <w:tr w14:paraId="6B2BD5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CD05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终端管理域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4EC0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终端列表与状态、指定终端下发、终端组、终端健康自检</w:t>
                  </w:r>
                </w:p>
              </w:tc>
            </w:tr>
            <w:tr w14:paraId="00DDFA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9A8AB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范围配置域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C8E4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专区/栏目/内容/CP维度配置、范围预览、差异提醒、EPG同步</w:t>
                  </w:r>
                </w:p>
              </w:tc>
            </w:tr>
            <w:tr w14:paraId="40B4A43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D424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调度执行域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9BA2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时间段执行、超窗策略、冲突检测、排队优先级、断点续跑、日历视图</w:t>
                  </w:r>
                </w:p>
              </w:tc>
            </w:tr>
            <w:tr w14:paraId="6A7009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0DEC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判定归因域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2BBFF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拨测执行与画面采集、异常检测、判定规则、重试确认、人工复核、归因引擎</w:t>
                  </w:r>
                </w:p>
              </w:tc>
            </w:tr>
            <w:tr w14:paraId="12A0F4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283C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AF6A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任务报告、终端与时间维度、日报周报、CP质量报告、易读性规范、导出触达</w:t>
                  </w:r>
                </w:p>
              </w:tc>
            </w:tr>
            <w:tr w14:paraId="78EDF8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D5DB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运营闭环域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4BA4E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告警规则与渠道、告警降噪、工单复测、闭环统计、质量看板</w:t>
                  </w:r>
                </w:p>
              </w:tc>
            </w:tr>
            <w:tr w14:paraId="035798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5E0B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系统支撑域</w:t>
                  </w:r>
                </w:p>
              </w:tc>
              <w:tc>
                <w:tcPr>
                  <w:tcW w:w="41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EC60A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角色权限与数据隔离、操作审计、数据保留、终端状态监控</w:t>
                  </w:r>
                </w:p>
              </w:tc>
            </w:tr>
            <w:tr w14:paraId="36F478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86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8FCA1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接口集成域</w:t>
                  </w:r>
                </w:p>
              </w:tc>
              <w:tc>
                <w:tcPr>
                  <w:tcW w:w="41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47FD7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资源数据获取、结果回传、事件订阅、接口监控与异常处理</w:t>
                  </w:r>
                </w:p>
              </w:tc>
            </w:tr>
          </w:tbl>
          <w:p w14:paraId="29E06AD9">
            <w:pPr>
              <w:pageBreakBefore w:val="0"/>
              <w:widowControl w:val="0"/>
              <w:kinsoku/>
              <w:wordWrap/>
              <w:overflowPunct/>
              <w:topLinePunct w:val="0"/>
              <w:autoSpaceDE/>
              <w:autoSpaceDN/>
              <w:bidi w:val="0"/>
              <w:adjustRightInd/>
              <w:spacing w:line="288" w:lineRule="auto"/>
              <w:ind w:firstLine="420" w:firstLineChars="200"/>
              <w:textAlignment w:val="auto"/>
              <w:rPr>
                <w:rFonts w:hint="eastAsia" w:ascii="宋体" w:hAnsi="宋体" w:eastAsia="宋体" w:cs="宋体"/>
                <w:b w:val="0"/>
                <w:bCs w:val="0"/>
                <w:sz w:val="21"/>
                <w:szCs w:val="21"/>
              </w:rPr>
            </w:pPr>
          </w:p>
        </w:tc>
        <w:tc>
          <w:tcPr>
            <w:tcW w:w="421" w:type="pct"/>
            <w:vAlign w:val="center"/>
          </w:tcPr>
          <w:p w14:paraId="06DA9D4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AC523C3">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7D8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B7D4832">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0847978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4 功能需求（逐条编号，供逐项响应）</w:t>
            </w:r>
          </w:p>
        </w:tc>
        <w:tc>
          <w:tcPr>
            <w:tcW w:w="3815" w:type="pct"/>
            <w:shd w:val="clear" w:color="auto" w:fill="auto"/>
            <w:vAlign w:val="center"/>
          </w:tcPr>
          <w:p w14:paraId="00CE2319">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0" w:name="_Toc17483"/>
            <w:r>
              <w:rPr>
                <w:rFonts w:hint="eastAsia" w:ascii="宋体" w:hAnsi="宋体" w:eastAsia="宋体" w:cs="宋体"/>
                <w:color w:val="auto"/>
                <w:sz w:val="21"/>
                <w:szCs w:val="21"/>
              </w:rPr>
              <w:t>4.1 任务管理域</w:t>
            </w:r>
            <w:bookmarkEnd w:id="10"/>
          </w:p>
          <w:p w14:paraId="7F252655">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1" w:name="_Toc8842"/>
            <w:r>
              <w:rPr>
                <w:rFonts w:hint="eastAsia" w:ascii="宋体" w:hAnsi="宋体" w:eastAsia="宋体" w:cs="宋体"/>
                <w:color w:val="auto"/>
                <w:sz w:val="21"/>
                <w:szCs w:val="21"/>
              </w:rPr>
              <w:t>FR-TASK-01 任务创建与五要素配置（★★★）</w:t>
            </w:r>
            <w:bookmarkEnd w:id="11"/>
          </w:p>
          <w:p w14:paraId="4F3C8A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：系统应支持运营人员创建拨测任务，任务以五要素结构化配置，避免漏配。</w:t>
            </w:r>
          </w:p>
          <w:p w14:paraId="608E037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4327D6A1">
            <w:pPr>
              <w:pStyle w:val="25"/>
              <w:pageBreakBefore w:val="0"/>
              <w:widowControl w:val="0"/>
              <w:numPr>
                <w:ilvl w:val="0"/>
                <w:numId w:val="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系统应提供引导式配置流程：选择范围→设置深度→选择执行对象（终端）→配置执行时间（时间段）→选择判定规则与确认。</w:t>
            </w:r>
          </w:p>
          <w:p w14:paraId="6A61B5A1">
            <w:pPr>
              <w:pStyle w:val="25"/>
              <w:pageBreakBefore w:val="0"/>
              <w:widowControl w:val="0"/>
              <w:numPr>
                <w:ilvl w:val="0"/>
                <w:numId w:val="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任务五要素应包含：</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749"/>
              <w:gridCol w:w="6187"/>
              <w:gridCol w:w="889"/>
            </w:tblGrid>
            <w:tr w14:paraId="71274D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181C4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要素</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A6966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可选值</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8982DF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必填</w:t>
                  </w:r>
                </w:p>
              </w:tc>
            </w:tr>
            <w:tr w14:paraId="79B7144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E7E22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范围（What）</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DB43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专区/栏目/指定内容/指定CP，支持组合交集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A7A6C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是</w:t>
                  </w:r>
                </w:p>
              </w:tc>
            </w:tr>
            <w:tr w14:paraId="3CEC59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9314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深度（How deep）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898CBC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仅首页/二级页/详情页/全量遍历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CF89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是</w:t>
                  </w:r>
                </w:p>
              </w:tc>
            </w:tr>
            <w:tr w14:paraId="475E915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442A0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执行对象（Where）</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0D2B7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指定单台终端/指定多台终端/终端组/</w:t>
                  </w:r>
                  <w:bookmarkStart w:id="12" w:name="OLE_LINK9"/>
                  <w:r>
                    <w:rPr>
                      <w:rFonts w:hint="eastAsia" w:ascii="宋体" w:hAnsi="宋体" w:eastAsia="宋体" w:cs="宋体"/>
                      <w:sz w:val="21"/>
                      <w:szCs w:val="21"/>
                    </w:rPr>
                    <w:t>自动调度</w:t>
                  </w:r>
                  <w:bookmarkEnd w:id="12"/>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48E3F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是</w:t>
                  </w:r>
                </w:p>
              </w:tc>
            </w:tr>
            <w:tr w14:paraId="632860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FA6DD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执行时间（When）</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5432D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立即/定时/周期/时间段</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2F06E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是</w:t>
                  </w:r>
                </w:p>
              </w:tc>
            </w:tr>
            <w:tr w14:paraId="315FC2C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FD6D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判定（Judge）</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5C67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默认规则集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FBCF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是</w:t>
                  </w:r>
                </w:p>
              </w:tc>
            </w:tr>
          </w:tbl>
          <w:p w14:paraId="41BFA422">
            <w:pPr>
              <w:pStyle w:val="25"/>
              <w:pageBreakBefore w:val="0"/>
              <w:widowControl w:val="0"/>
              <w:numPr>
                <w:ilvl w:val="0"/>
                <w:numId w:val="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提交前系统应展示"预览页"，汇总五要素及预计拨测数量、执行终端、下次执行时间。</w:t>
            </w:r>
          </w:p>
          <w:p w14:paraId="700878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w:t>
            </w:r>
          </w:p>
          <w:p w14:paraId="0FFFEF46">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任务名称必填且同一运营人员下不重复。</w:t>
            </w:r>
          </w:p>
          <w:p w14:paraId="688AFA9D">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五要素任一缺失不允许提交。</w:t>
            </w:r>
          </w:p>
          <w:p w14:paraId="36BD3CFE">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预览页信息应与实际执行计划一致。</w:t>
            </w:r>
          </w:p>
          <w:p w14:paraId="14D99B9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3" w:name="_Toc4327"/>
            <w:r>
              <w:rPr>
                <w:rFonts w:hint="eastAsia" w:ascii="宋体" w:hAnsi="宋体" w:eastAsia="宋体" w:cs="宋体"/>
                <w:color w:val="auto"/>
                <w:sz w:val="21"/>
                <w:szCs w:val="21"/>
              </w:rPr>
              <w:t>FR-TASK-02 任务模板（★）</w:t>
            </w:r>
            <w:bookmarkEnd w:id="13"/>
          </w:p>
          <w:p w14:paraId="18D2E5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：系统应支持将常用配置保存为模板，支持一键复用创建任务。 </w:t>
            </w:r>
          </w:p>
          <w:p w14:paraId="60E58C4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 xml:space="preserve">：保存模板时可选择保存五要素中的全部或部分；从模板创建任务时预填模板内容并允许修改。 </w:t>
            </w:r>
          </w:p>
          <w:p w14:paraId="7B32B5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：模板不绑定具体执行时间，从模板创建时需重新确认执行时间。</w:t>
            </w:r>
          </w:p>
          <w:p w14:paraId="637C8559">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4" w:name="_Toc30131"/>
            <w:r>
              <w:rPr>
                <w:rFonts w:hint="eastAsia" w:ascii="宋体" w:hAnsi="宋体" w:eastAsia="宋体" w:cs="宋体"/>
                <w:color w:val="auto"/>
                <w:sz w:val="21"/>
                <w:szCs w:val="21"/>
              </w:rPr>
              <w:t>FR-TASK-03 历史任务管理（★★）</w:t>
            </w:r>
            <w:bookmarkEnd w:id="14"/>
          </w:p>
          <w:p w14:paraId="76E55C0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：系统应支持查看历史任务列表、状态、报告，支持重新执行与复制为新任务。 </w:t>
            </w:r>
          </w:p>
          <w:p w14:paraId="3B148A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1E10B69F">
            <w:pPr>
              <w:pStyle w:val="25"/>
              <w:pageBreakBefore w:val="0"/>
              <w:widowControl w:val="0"/>
              <w:numPr>
                <w:ilvl w:val="0"/>
                <w:numId w:val="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列表应展示任务名称、状态、创建人、执行终端、计划时间段、实际执行时间、通过率、结果回传状态。</w:t>
            </w:r>
          </w:p>
          <w:p w14:paraId="023ABEDE">
            <w:pPr>
              <w:pStyle w:val="25"/>
              <w:pageBreakBefore w:val="0"/>
              <w:widowControl w:val="0"/>
              <w:numPr>
                <w:ilvl w:val="0"/>
                <w:numId w:val="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应支持按状态、时间、创建人、终端、回传状态筛选。</w:t>
            </w:r>
          </w:p>
          <w:p w14:paraId="7E3146CE">
            <w:pPr>
              <w:pStyle w:val="25"/>
              <w:pageBreakBefore w:val="0"/>
              <w:widowControl w:val="0"/>
              <w:numPr>
                <w:ilvl w:val="0"/>
                <w:numId w:val="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应支持"重新执行"与"复制为新任务"。</w:t>
            </w:r>
          </w:p>
        </w:tc>
        <w:tc>
          <w:tcPr>
            <w:tcW w:w="421" w:type="pct"/>
            <w:vAlign w:val="center"/>
          </w:tcPr>
          <w:p w14:paraId="7968863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0F0117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CB2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63C51D16">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451D26D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2D72C961">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5" w:name="_Toc5649"/>
            <w:r>
              <w:rPr>
                <w:rFonts w:hint="eastAsia" w:ascii="宋体" w:hAnsi="宋体" w:eastAsia="宋体" w:cs="宋体"/>
                <w:color w:val="auto"/>
                <w:sz w:val="21"/>
                <w:szCs w:val="21"/>
              </w:rPr>
              <w:t>4.2 终端管理域</w:t>
            </w:r>
            <w:bookmarkEnd w:id="15"/>
          </w:p>
          <w:p w14:paraId="27A45A24">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6" w:name="_Toc28005"/>
            <w:r>
              <w:rPr>
                <w:rFonts w:hint="eastAsia" w:ascii="宋体" w:hAnsi="宋体" w:eastAsia="宋体" w:cs="宋体"/>
                <w:color w:val="auto"/>
                <w:sz w:val="21"/>
                <w:szCs w:val="21"/>
              </w:rPr>
              <w:t>FR-TERM-01 终端列表与状态展示（★★★）</w:t>
            </w:r>
            <w:bookmarkEnd w:id="16"/>
          </w:p>
          <w:p w14:paraId="70D7EB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：系统应提供拨测终端列表，展示终端基础信息与实时状态。 </w:t>
            </w:r>
          </w:p>
          <w:p w14:paraId="6722F0F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428418EA">
            <w:pPr>
              <w:pStyle w:val="25"/>
              <w:pageBreakBefore w:val="0"/>
              <w:widowControl w:val="0"/>
              <w:numPr>
                <w:ilvl w:val="0"/>
                <w:numId w:val="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终端列表应展示：终端编号、名称、型号、所属位置、在线状态、占用状态、最近拨测时间、</w:t>
            </w:r>
            <w:bookmarkStart w:id="17" w:name="OLE_LINK10"/>
            <w:r>
              <w:rPr>
                <w:rFonts w:hint="eastAsia" w:ascii="宋体" w:hAnsi="宋体" w:eastAsia="宋体" w:cs="宋体"/>
                <w:sz w:val="21"/>
                <w:szCs w:val="21"/>
              </w:rPr>
              <w:t>近30天成功率</w:t>
            </w:r>
            <w:bookmarkEnd w:id="17"/>
            <w:r>
              <w:rPr>
                <w:rFonts w:hint="eastAsia" w:ascii="宋体" w:hAnsi="宋体" w:eastAsia="宋体" w:cs="宋体"/>
                <w:sz w:val="21"/>
                <w:szCs w:val="21"/>
              </w:rPr>
              <w:t>。</w:t>
            </w:r>
          </w:p>
          <w:p w14:paraId="60BC9E46">
            <w:pPr>
              <w:pStyle w:val="25"/>
              <w:pageBreakBefore w:val="0"/>
              <w:widowControl w:val="0"/>
              <w:numPr>
                <w:ilvl w:val="0"/>
                <w:numId w:val="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应支持按型号、位置、在线状态筛选，支持终端编号搜索。</w:t>
            </w:r>
          </w:p>
          <w:p w14:paraId="75C75A51">
            <w:pPr>
              <w:pStyle w:val="25"/>
              <w:pageBreakBefore w:val="0"/>
              <w:widowControl w:val="0"/>
              <w:numPr>
                <w:ilvl w:val="0"/>
                <w:numId w:val="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 xml:space="preserve">状态刷新延迟应≤10秒。 </w:t>
            </w:r>
          </w:p>
          <w:p w14:paraId="3F10D865">
            <w:pPr>
              <w:pageBreakBefore w:val="0"/>
              <w:widowControl w:val="0"/>
              <w:kinsoku/>
              <w:wordWrap/>
              <w:overflowPunct/>
              <w:topLinePunct w:val="0"/>
              <w:autoSpaceDE/>
              <w:autoSpaceDN/>
              <w:bidi w:val="0"/>
              <w:adjustRightInd/>
              <w:spacing w:before="60" w:after="60" w:line="288" w:lineRule="auto"/>
              <w:ind w:left="101"/>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：离线或忙碌终端在选择终端时应置灰并提示原因，不可被选为立即执行任务。</w:t>
            </w:r>
          </w:p>
          <w:p w14:paraId="044A62ED">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8" w:name="_Toc4118"/>
            <w:r>
              <w:rPr>
                <w:rFonts w:hint="eastAsia" w:ascii="宋体" w:hAnsi="宋体" w:eastAsia="宋体" w:cs="宋体"/>
                <w:color w:val="auto"/>
                <w:sz w:val="21"/>
                <w:szCs w:val="21"/>
              </w:rPr>
              <w:t>FR-TERM-02 指定终端下发任务（★★★）</w:t>
            </w:r>
            <w:bookmarkEnd w:id="18"/>
          </w:p>
          <w:p w14:paraId="75D2CC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：系统应支持将拨测任务精确下发到指定的一台或多台机顶盒终端执行，满足问题复现、型号验证验证等场景。 </w:t>
            </w:r>
          </w:p>
          <w:p w14:paraId="34C1D5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0B273F5A">
            <w:pPr>
              <w:pStyle w:val="25"/>
              <w:pageBreakBefore w:val="0"/>
              <w:widowControl w:val="0"/>
              <w:numPr>
                <w:ilvl w:val="0"/>
                <w:numId w:val="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应支持指定单台终端执行任务。</w:t>
            </w:r>
          </w:p>
          <w:p w14:paraId="7BB6229A">
            <w:pPr>
              <w:pStyle w:val="25"/>
              <w:pageBreakBefore w:val="0"/>
              <w:widowControl w:val="0"/>
              <w:numPr>
                <w:ilvl w:val="0"/>
                <w:numId w:val="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应支持指定多台终端执行任务。</w:t>
            </w:r>
          </w:p>
          <w:p w14:paraId="155A7605">
            <w:pPr>
              <w:pStyle w:val="25"/>
              <w:pageBreakBefore w:val="0"/>
              <w:widowControl w:val="0"/>
              <w:numPr>
                <w:ilvl w:val="0"/>
                <w:numId w:val="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应支持选择终端组执行任务。</w:t>
            </w:r>
          </w:p>
          <w:p w14:paraId="4A6E4BE6">
            <w:pPr>
              <w:pStyle w:val="25"/>
              <w:pageBreakBefore w:val="0"/>
              <w:widowControl w:val="0"/>
              <w:numPr>
                <w:ilvl w:val="0"/>
                <w:numId w:val="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应支持自动调度。</w:t>
            </w:r>
          </w:p>
          <w:p w14:paraId="0462853C">
            <w:pPr>
              <w:pStyle w:val="25"/>
              <w:pageBreakBefore w:val="0"/>
              <w:widowControl w:val="0"/>
              <w:numPr>
                <w:ilvl w:val="0"/>
                <w:numId w:val="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多终端分发模式应可选：均分模式／全量复制模式。</w:t>
            </w:r>
          </w:p>
          <w:p w14:paraId="1656CB90">
            <w:pPr>
              <w:pStyle w:val="25"/>
              <w:pageBreakBefore w:val="0"/>
              <w:widowControl w:val="0"/>
              <w:numPr>
                <w:ilvl w:val="0"/>
                <w:numId w:val="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 xml:space="preserve">报告应记录每条拨测结果由哪台终端执行。 </w:t>
            </w:r>
          </w:p>
          <w:p w14:paraId="529DF7A2">
            <w:pPr>
              <w:pageBreakBefore w:val="0"/>
              <w:widowControl w:val="0"/>
              <w:kinsoku/>
              <w:wordWrap/>
              <w:overflowPunct/>
              <w:topLinePunct w:val="0"/>
              <w:autoSpaceDE/>
              <w:autoSpaceDN/>
              <w:bidi w:val="0"/>
              <w:adjustRightInd/>
              <w:spacing w:before="60" w:after="60" w:line="288" w:lineRule="auto"/>
              <w:ind w:left="101"/>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w:t>
            </w:r>
          </w:p>
          <w:p w14:paraId="1131DB78">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同一终端同一时间只能执行一个任务。</w:t>
            </w:r>
          </w:p>
          <w:p w14:paraId="40BD475C">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执行前终端离线，该终端任务应标记"终端不可用"并剔除，其余终端继续执行。</w:t>
            </w:r>
          </w:p>
          <w:p w14:paraId="38677A2D">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全量复制模式下，多终端结果不一致项应在报告中单独列出。</w:t>
            </w:r>
          </w:p>
          <w:p w14:paraId="74C6DD72">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9" w:name="_Toc30763"/>
            <w:r>
              <w:rPr>
                <w:rFonts w:hint="eastAsia" w:ascii="宋体" w:hAnsi="宋体" w:eastAsia="宋体" w:cs="宋体"/>
                <w:color w:val="auto"/>
                <w:sz w:val="21"/>
                <w:szCs w:val="21"/>
              </w:rPr>
              <w:t>FR-TERM-03 终端组管理（★★）</w:t>
            </w:r>
            <w:bookmarkEnd w:id="19"/>
          </w:p>
          <w:p w14:paraId="59781B0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：系统应支持按位置、型号、用途等维度将终端编组，任务可下发到终端组。 </w:t>
            </w:r>
          </w:p>
          <w:p w14:paraId="0C2A5B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4FF58B26">
            <w:pPr>
              <w:pStyle w:val="25"/>
              <w:pageBreakBefore w:val="0"/>
              <w:widowControl w:val="0"/>
              <w:numPr>
                <w:ilvl w:val="0"/>
                <w:numId w:val="10"/>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应支持终端组创建、编辑、删除。</w:t>
            </w:r>
          </w:p>
          <w:p w14:paraId="19E80C12">
            <w:pPr>
              <w:pStyle w:val="25"/>
              <w:pageBreakBefore w:val="0"/>
              <w:widowControl w:val="0"/>
              <w:numPr>
                <w:ilvl w:val="0"/>
                <w:numId w:val="10"/>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应展示组内终端在线数、空闲数、故障数。</w:t>
            </w:r>
          </w:p>
          <w:p w14:paraId="78F0C679">
            <w:pPr>
              <w:pStyle w:val="25"/>
              <w:pageBreakBefore w:val="0"/>
              <w:widowControl w:val="0"/>
              <w:numPr>
                <w:ilvl w:val="0"/>
                <w:numId w:val="10"/>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 xml:space="preserve">任务选择终端组时，应校验组内可用终端数，不足时提示。 </w:t>
            </w:r>
          </w:p>
          <w:p w14:paraId="7623CB27">
            <w:pPr>
              <w:pageBreakBefore w:val="0"/>
              <w:widowControl w:val="0"/>
              <w:kinsoku/>
              <w:wordWrap/>
              <w:overflowPunct/>
              <w:topLinePunct w:val="0"/>
              <w:autoSpaceDE/>
              <w:autoSpaceDN/>
              <w:bidi w:val="0"/>
              <w:adjustRightInd/>
              <w:spacing w:before="60" w:after="60" w:line="288" w:lineRule="auto"/>
              <w:ind w:left="101"/>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：终端组被任务引用时不允许删除。</w:t>
            </w:r>
          </w:p>
          <w:p w14:paraId="56359559">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0" w:name="_Toc12510"/>
            <w:r>
              <w:rPr>
                <w:rFonts w:hint="eastAsia" w:ascii="宋体" w:hAnsi="宋体" w:eastAsia="宋体" w:cs="宋体"/>
                <w:color w:val="auto"/>
                <w:sz w:val="21"/>
                <w:szCs w:val="21"/>
              </w:rPr>
              <w:t>FR-TERM-04 终端健康自检（★★★）</w:t>
            </w:r>
            <w:bookmarkEnd w:id="20"/>
          </w:p>
          <w:p w14:paraId="7754F0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：任务执行前，系统应对目标终端进行健康自检，避免终端故障被误判为内容异常。 </w:t>
            </w:r>
          </w:p>
          <w:p w14:paraId="5EB065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功能要求</w:t>
            </w:r>
            <w:r>
              <w:rPr>
                <w:rFonts w:hint="eastAsia" w:ascii="宋体" w:hAnsi="宋体" w:eastAsia="宋体" w:cs="宋体"/>
                <w:sz w:val="21"/>
                <w:szCs w:val="21"/>
              </w:rPr>
              <w:t>：自检项应包括机顶盒在线、画面采集正常、网络连通。自检不通过的终端应自动剔除并在报告中说明。</w:t>
            </w:r>
          </w:p>
        </w:tc>
        <w:tc>
          <w:tcPr>
            <w:tcW w:w="421" w:type="pct"/>
            <w:vAlign w:val="center"/>
          </w:tcPr>
          <w:p w14:paraId="0CB964D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588C9E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DD3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215C25BF">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53A847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01D5E6B">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1" w:name="_Toc20380"/>
            <w:r>
              <w:rPr>
                <w:rFonts w:hint="eastAsia" w:ascii="宋体" w:hAnsi="宋体" w:eastAsia="宋体" w:cs="宋体"/>
                <w:color w:val="auto"/>
                <w:sz w:val="21"/>
                <w:szCs w:val="21"/>
              </w:rPr>
              <w:t>4.3 范围配置域</w:t>
            </w:r>
            <w:bookmarkEnd w:id="21"/>
          </w:p>
          <w:p w14:paraId="41BBF2FB">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2" w:name="_Toc1487"/>
            <w:r>
              <w:rPr>
                <w:rFonts w:hint="eastAsia" w:ascii="宋体" w:hAnsi="宋体" w:eastAsia="宋体" w:cs="宋体"/>
                <w:color w:val="auto"/>
                <w:sz w:val="21"/>
                <w:szCs w:val="21"/>
              </w:rPr>
              <w:t>FR-SCOPE-01 多维度拨测范围配置（★★★）</w:t>
            </w:r>
            <w:bookmarkEnd w:id="22"/>
          </w:p>
          <w:p w14:paraId="626565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：系统应支持按专区、栏目、指定内容、指定CP四种维度配置拨测范围，并支持组合取交集。范围可选数据应来源于现有平台接口获取的数据。</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158"/>
              <w:gridCol w:w="1281"/>
              <w:gridCol w:w="6386"/>
            </w:tblGrid>
            <w:tr w14:paraId="6CB1E2B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6EBCD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子编号</w:t>
                  </w:r>
                </w:p>
              </w:tc>
              <w:tc>
                <w:tcPr>
                  <w:tcW w:w="65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F36BC5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维度</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E4AC4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p>
              </w:tc>
            </w:tr>
            <w:tr w14:paraId="33A5750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52F52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FR-SCOPE-01-1</w:t>
                  </w:r>
                </w:p>
              </w:tc>
              <w:tc>
                <w:tcPr>
                  <w:tcW w:w="6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94747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按专区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4517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专区树多选、全选，对该专区内所有栏目及内容遍历</w:t>
                  </w:r>
                </w:p>
              </w:tc>
            </w:tr>
            <w:tr w14:paraId="4B7134E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86A01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FR-SCOPE-01-2</w:t>
                  </w:r>
                </w:p>
              </w:tc>
              <w:tc>
                <w:tcPr>
                  <w:tcW w:w="6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B7C44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按栏目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4F1CDC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选择专区下栏目，支持跨专区多栏目组合</w:t>
                  </w:r>
                </w:p>
              </w:tc>
            </w:tr>
            <w:tr w14:paraId="23DEA4C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0725F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FR-SCOPE-01-3</w:t>
                  </w:r>
                </w:p>
              </w:tc>
              <w:tc>
                <w:tcPr>
                  <w:tcW w:w="6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A48100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按指定内容</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9AD4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按名称/ID搜索勾选，支持Excel批量导入内容ID清单</w:t>
                  </w:r>
                </w:p>
              </w:tc>
            </w:tr>
            <w:tr w14:paraId="31E493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653B2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FR-SCOPE-01-4</w:t>
                  </w:r>
                </w:p>
              </w:tc>
              <w:tc>
                <w:tcPr>
                  <w:tcW w:w="6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9AB8C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按指定CP</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AFAF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选择CP筛选该CP全部内容，支持"CP+专区"交集</w:t>
                  </w:r>
                </w:p>
              </w:tc>
            </w:tr>
          </w:tbl>
          <w:p w14:paraId="28FCA698">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3" w:name="_Toc9504"/>
            <w:r>
              <w:rPr>
                <w:rFonts w:hint="eastAsia" w:ascii="宋体" w:hAnsi="宋体" w:eastAsia="宋体" w:cs="宋体"/>
                <w:color w:val="auto"/>
                <w:sz w:val="21"/>
                <w:szCs w:val="21"/>
              </w:rPr>
              <w:t>FR-SCOPE-02 范围预览（★★★）</w:t>
            </w:r>
            <w:bookmarkEnd w:id="23"/>
          </w:p>
          <w:p w14:paraId="10BEE7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：范围配置完成后，系统应实时展示本次预计拨测数量。 </w:t>
            </w:r>
          </w:p>
          <w:p w14:paraId="47F1F88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 xml:space="preserve">：展示"预计拨测 N 个专区 / M 个栏目 / K 条内容"。 </w:t>
            </w:r>
          </w:p>
          <w:p w14:paraId="7F8FD5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：预览数量应与实际执行清单一致（允许因EPG实时变化产生的合理差异，执行时以实际清单为准）。</w:t>
            </w:r>
          </w:p>
          <w:p w14:paraId="4BED70FF">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4" w:name="_Toc21984"/>
            <w:r>
              <w:rPr>
                <w:rFonts w:hint="eastAsia" w:ascii="宋体" w:hAnsi="宋体" w:eastAsia="宋体" w:cs="宋体"/>
                <w:color w:val="auto"/>
                <w:sz w:val="21"/>
                <w:szCs w:val="21"/>
              </w:rPr>
              <w:t>FR-SCOPE-03 范围差异提醒（★★）</w:t>
            </w:r>
            <w:bookmarkEnd w:id="24"/>
          </w:p>
          <w:p w14:paraId="7897A0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：系统应将本次范围与上次同类任务对比，范围变化超过阈值时提示运营确认。 </w:t>
            </w:r>
          </w:p>
          <w:p w14:paraId="6F14CA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：默认阈值为新增内容数占比&gt;20%，阈值可配置。</w:t>
            </w:r>
          </w:p>
          <w:p w14:paraId="0BAFC868">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5" w:name="_Toc23100"/>
            <w:r>
              <w:rPr>
                <w:rFonts w:hint="eastAsia" w:ascii="宋体" w:hAnsi="宋体" w:eastAsia="宋体" w:cs="宋体"/>
                <w:color w:val="auto"/>
                <w:sz w:val="21"/>
                <w:szCs w:val="21"/>
              </w:rPr>
              <w:t>FR-SCOPE-04 EPG资源树同步（★★）</w:t>
            </w:r>
            <w:bookmarkEnd w:id="25"/>
          </w:p>
          <w:p w14:paraId="262FF1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：系统应支持从EPG系统定时同步专区/栏目/内容结构，保证可选列表与线上一致。同步数据源优先采用现有平台接口（见FR-INT-01）。 </w:t>
            </w:r>
          </w:p>
          <w:p w14:paraId="1B84BEB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功能要求</w:t>
            </w:r>
            <w:r>
              <w:rPr>
                <w:rFonts w:hint="eastAsia" w:ascii="宋体" w:hAnsi="宋体" w:eastAsia="宋体" w:cs="宋体"/>
                <w:sz w:val="21"/>
                <w:szCs w:val="21"/>
              </w:rPr>
              <w:t>：应支持定时同步与手动触发；同步失败时应告警；同步记录可查。</w:t>
            </w:r>
          </w:p>
        </w:tc>
        <w:tc>
          <w:tcPr>
            <w:tcW w:w="421" w:type="pct"/>
            <w:vAlign w:val="center"/>
          </w:tcPr>
          <w:p w14:paraId="67F3811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0F8D063">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B1D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64A654A1">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30C6220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512A94D">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6" w:name="_Toc319"/>
            <w:r>
              <w:rPr>
                <w:rFonts w:hint="eastAsia" w:ascii="宋体" w:hAnsi="宋体" w:eastAsia="宋体" w:cs="宋体"/>
                <w:color w:val="auto"/>
                <w:sz w:val="21"/>
                <w:szCs w:val="21"/>
              </w:rPr>
              <w:t>4.4 调度执行域</w:t>
            </w:r>
            <w:bookmarkEnd w:id="26"/>
          </w:p>
          <w:p w14:paraId="47F5C66A">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7" w:name="_Toc18463"/>
            <w:r>
              <w:rPr>
                <w:rFonts w:hint="eastAsia" w:ascii="宋体" w:hAnsi="宋体" w:eastAsia="宋体" w:cs="宋体"/>
                <w:color w:val="auto"/>
                <w:sz w:val="21"/>
                <w:szCs w:val="21"/>
              </w:rPr>
              <w:t>FR-SCHED-01 按指定时间段执行（★★★）</w:t>
            </w:r>
            <w:bookmarkEnd w:id="27"/>
          </w:p>
          <w:p w14:paraId="3AC9A9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：系统应支持为任务配置执行时间段（时间窗），任务仅在时间段内执行，实现业务避峰与内容变更窗口规避。</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157"/>
              <w:gridCol w:w="1853"/>
              <w:gridCol w:w="4776"/>
              <w:gridCol w:w="1039"/>
            </w:tblGrid>
            <w:tr w14:paraId="17749F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738BA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子编号</w:t>
                  </w:r>
                </w:p>
              </w:tc>
              <w:tc>
                <w:tcPr>
                  <w:tcW w:w="943"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CC2A12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功能项</w:t>
                  </w:r>
                </w:p>
              </w:tc>
              <w:tc>
                <w:tcPr>
                  <w:tcW w:w="243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1AE04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BF740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优先级</w:t>
                  </w:r>
                </w:p>
              </w:tc>
            </w:tr>
            <w:tr w14:paraId="2B5C0E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21F8A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FR-SCHED-01-1</w:t>
                  </w:r>
                </w:p>
              </w:tc>
              <w:tc>
                <w:tcPr>
                  <w:tcW w:w="94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4DA97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单次时间段</w:t>
                  </w:r>
                </w:p>
              </w:tc>
              <w:tc>
                <w:tcPr>
                  <w:tcW w:w="2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6BF38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指定具体日期+起止时间</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6986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6982A99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B6EC9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FR-SCHED-01-2</w:t>
                  </w:r>
                </w:p>
              </w:tc>
              <w:tc>
                <w:tcPr>
                  <w:tcW w:w="94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9FA5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每日时间段</w:t>
                  </w:r>
                </w:p>
              </w:tc>
              <w:tc>
                <w:tcPr>
                  <w:tcW w:w="2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A61CA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每日固定时间窗执行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7A6EA9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38FEAA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B05C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FR-SCHED-01-3</w:t>
                  </w:r>
                </w:p>
              </w:tc>
              <w:tc>
                <w:tcPr>
                  <w:tcW w:w="94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E7A32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周期性时间段</w:t>
                  </w:r>
                </w:p>
              </w:tc>
              <w:tc>
                <w:tcPr>
                  <w:tcW w:w="2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6A64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按周/自定义周期+时间窗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9FA8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05AA88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E972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FR-SCHED-01-4</w:t>
                  </w:r>
                </w:p>
              </w:tc>
              <w:tc>
                <w:tcPr>
                  <w:tcW w:w="94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CCF2F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多时间段</w:t>
                  </w:r>
                </w:p>
              </w:tc>
              <w:tc>
                <w:tcPr>
                  <w:tcW w:w="2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9111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一个任务配置多个时间段，任一时间窗内可执行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50585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950937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109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FFF4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FR-SCHED-01-5</w:t>
                  </w:r>
                </w:p>
              </w:tc>
              <w:tc>
                <w:tcPr>
                  <w:tcW w:w="94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64522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排除日期</w:t>
                  </w:r>
                </w:p>
              </w:tc>
              <w:tc>
                <w:tcPr>
                  <w:tcW w:w="2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3B1E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配置排除日期不执行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01D4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bl>
          <w:p w14:paraId="7336A4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w:t>
            </w:r>
          </w:p>
          <w:p w14:paraId="1240AD24">
            <w:pPr>
              <w:pStyle w:val="25"/>
              <w:pageBreakBefore w:val="0"/>
              <w:widowControl w:val="0"/>
              <w:numPr>
                <w:ilvl w:val="0"/>
                <w:numId w:val="11"/>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周期决定"哪天执行"，时间段决定"当天何时执行"，二者应叠加生效。</w:t>
            </w:r>
          </w:p>
          <w:p w14:paraId="563F01E3">
            <w:pPr>
              <w:pStyle w:val="25"/>
              <w:pageBreakBefore w:val="0"/>
              <w:widowControl w:val="0"/>
              <w:numPr>
                <w:ilvl w:val="0"/>
                <w:numId w:val="11"/>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到达执行日但当前不在时间段内，任务应进入"等待窗口"状态，到点自动启动。</w:t>
            </w:r>
          </w:p>
          <w:p w14:paraId="4A384A10">
            <w:pPr>
              <w:pStyle w:val="25"/>
              <w:pageBreakBefore w:val="0"/>
              <w:widowControl w:val="0"/>
              <w:numPr>
                <w:ilvl w:val="0"/>
                <w:numId w:val="11"/>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所有时间段应以平台统一时区（默认北京时间）配置与展示。</w:t>
            </w:r>
          </w:p>
          <w:p w14:paraId="6C7E378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28" w:name="_Toc30520"/>
            <w:r>
              <w:rPr>
                <w:rFonts w:hint="eastAsia" w:ascii="宋体" w:hAnsi="宋体" w:eastAsia="宋体" w:cs="宋体"/>
                <w:color w:val="auto"/>
                <w:sz w:val="21"/>
                <w:szCs w:val="21"/>
              </w:rPr>
              <w:t>FR-SCHED-02 超窗策略（★★★）</w:t>
            </w:r>
            <w:bookmarkEnd w:id="28"/>
          </w:p>
          <w:p w14:paraId="41252F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：任务在时间段结束时未完成，系统应按配置的超窗策略处理。 </w:t>
            </w:r>
            <w:r>
              <w:rPr>
                <w:rFonts w:hint="eastAsia" w:ascii="宋体" w:hAnsi="宋体" w:eastAsia="宋体" w:cs="宋体"/>
                <w:b/>
                <w:bCs/>
                <w:sz w:val="21"/>
                <w:szCs w:val="21"/>
              </w:rPr>
              <w:t>功能要求</w:t>
            </w:r>
            <w:r>
              <w:rPr>
                <w:rFonts w:hint="eastAsia" w:ascii="宋体" w:hAnsi="宋体" w:eastAsia="宋体" w:cs="宋体"/>
                <w:sz w:val="21"/>
                <w:szCs w:val="21"/>
              </w:rPr>
              <w:t>：应支持三种策略，默认策略①：</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2669"/>
              <w:gridCol w:w="7156"/>
            </w:tblGrid>
            <w:tr w14:paraId="0F3A749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A9F0C3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策略</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2A496C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行为</w:t>
                  </w:r>
                </w:p>
              </w:tc>
            </w:tr>
            <w:tr w14:paraId="6DD93C7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96B1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① 暂停并顺延（默认）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2BDD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暂停任务，在页面结构未发生变化时，顺延至下一时间段从断点继续</w:t>
                  </w:r>
                </w:p>
              </w:tc>
            </w:tr>
            <w:tr w14:paraId="59C6CE9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F173B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② 强制终止</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F17FF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终止任务并标记"超窗未完成"</w:t>
                  </w:r>
                </w:p>
              </w:tc>
            </w:tr>
            <w:tr w14:paraId="480357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F068F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③ 允许跑完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F7E4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继续执行至完成，仅告警提示超窗</w:t>
                  </w:r>
                </w:p>
              </w:tc>
            </w:tr>
          </w:tbl>
          <w:p w14:paraId="433560C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输出要求</w:t>
            </w:r>
            <w:r>
              <w:rPr>
                <w:rFonts w:hint="eastAsia" w:ascii="宋体" w:hAnsi="宋体" w:eastAsia="宋体" w:cs="宋体"/>
                <w:sz w:val="21"/>
                <w:szCs w:val="21"/>
              </w:rPr>
              <w:t>：超窗记录、顺延次数、实际完成时间均应写入报告。</w:t>
            </w:r>
          </w:p>
          <w:p w14:paraId="78055E98">
            <w:pPr>
              <w:pStyle w:val="4"/>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eastAsia="宋体" w:cs="宋体"/>
                <w:color w:val="auto"/>
                <w:sz w:val="21"/>
                <w:szCs w:val="21"/>
              </w:rPr>
            </w:pPr>
            <w:bookmarkStart w:id="29" w:name="_Toc30829"/>
            <w:bookmarkStart w:id="30" w:name="_Toc243499251"/>
            <w:bookmarkStart w:id="31" w:name="OLE_LINK1"/>
            <w:r>
              <w:rPr>
                <w:rFonts w:hint="eastAsia" w:ascii="宋体" w:hAnsi="宋体" w:eastAsia="宋体" w:cs="宋体"/>
                <w:color w:val="auto"/>
                <w:sz w:val="21"/>
                <w:szCs w:val="21"/>
              </w:rPr>
              <w:t>FR-SCHED-03 新增任务自动执行</w:t>
            </w:r>
            <w:bookmarkEnd w:id="29"/>
            <w:bookmarkEnd w:id="30"/>
          </w:p>
          <w:bookmarkEnd w:id="31"/>
          <w:p w14:paraId="010AD526">
            <w:pPr>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：对接现有编排系统，运营发布变更自动触发增量拨测</w:t>
            </w:r>
          </w:p>
          <w:p w14:paraId="71CE6192">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2" w:name="_Toc15424"/>
            <w:r>
              <w:rPr>
                <w:rFonts w:hint="eastAsia" w:ascii="宋体" w:hAnsi="宋体" w:eastAsia="宋体" w:cs="宋体"/>
                <w:color w:val="auto"/>
                <w:sz w:val="21"/>
                <w:szCs w:val="21"/>
              </w:rPr>
              <w:t>FR-SCHED-04 终端占用冲突检测（★★★）</w:t>
            </w:r>
            <w:bookmarkEnd w:id="32"/>
          </w:p>
          <w:p w14:paraId="58869C4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：创建/提交任务时，系统应校验指定终端在目标时间段是否已被占用。 </w:t>
            </w:r>
          </w:p>
          <w:p w14:paraId="319A314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 xml:space="preserve">：冲突时应即时提示冲突终端与冲突任务，阻止提交或引导改为排队。 </w:t>
            </w:r>
          </w:p>
          <w:p w14:paraId="15820F7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：同一终端在重叠时间段内不允许被两个任务同时占用。</w:t>
            </w:r>
          </w:p>
          <w:p w14:paraId="3998BBD3">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3" w:name="_Toc421"/>
            <w:r>
              <w:rPr>
                <w:rFonts w:hint="eastAsia" w:ascii="宋体" w:hAnsi="宋体" w:eastAsia="宋体" w:cs="宋体"/>
                <w:color w:val="auto"/>
                <w:sz w:val="21"/>
                <w:szCs w:val="21"/>
              </w:rPr>
              <w:t>FR-SCHED-05 任务排队与优先级（★★）</w:t>
            </w:r>
            <w:bookmarkEnd w:id="33"/>
          </w:p>
          <w:p w14:paraId="23BB4A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：终端冲突或忙碌时任务可进入排队，支持任务优先级。 </w:t>
            </w:r>
          </w:p>
          <w:p w14:paraId="336A54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：高优先级任务可插队；排队任务在终端释放或进入可用时间段时自动启动。</w:t>
            </w:r>
          </w:p>
          <w:p w14:paraId="11455EA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4" w:name="_Toc2375"/>
            <w:r>
              <w:rPr>
                <w:rFonts w:hint="eastAsia" w:ascii="宋体" w:hAnsi="宋体" w:eastAsia="宋体" w:cs="宋体"/>
                <w:color w:val="auto"/>
                <w:sz w:val="21"/>
                <w:szCs w:val="21"/>
              </w:rPr>
              <w:t>FR-SCHED-06 断点续跑（★★）</w:t>
            </w:r>
            <w:bookmarkEnd w:id="34"/>
          </w:p>
          <w:p w14:paraId="42C411D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：超窗顺延或终端异常中断后，在页面结构未发生变化时，任务应从断点继续执行。 </w:t>
            </w:r>
          </w:p>
          <w:p w14:paraId="2D4CD6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：已测内容不重复执行，未测内容不遗漏；续跑记录应写入报告。</w:t>
            </w:r>
          </w:p>
          <w:p w14:paraId="77BBAE92">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5" w:name="_Toc2977"/>
            <w:r>
              <w:rPr>
                <w:rFonts w:hint="eastAsia" w:ascii="宋体" w:hAnsi="宋体" w:eastAsia="宋体" w:cs="宋体"/>
                <w:color w:val="auto"/>
                <w:sz w:val="21"/>
                <w:szCs w:val="21"/>
              </w:rPr>
              <w:t>FR-SCHED-07 调度日历视图（★）</w:t>
            </w:r>
            <w:bookmarkEnd w:id="35"/>
          </w:p>
          <w:p w14:paraId="235AC6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需求描述</w:t>
            </w:r>
            <w:r>
              <w:rPr>
                <w:rFonts w:hint="eastAsia" w:ascii="宋体" w:hAnsi="宋体" w:eastAsia="宋体" w:cs="宋体"/>
                <w:sz w:val="21"/>
                <w:szCs w:val="21"/>
              </w:rPr>
              <w:t>：系统应以日历/甘特图展示各终端在各时间段的占用与任务计划，辅助运营排期。</w:t>
            </w:r>
          </w:p>
        </w:tc>
        <w:tc>
          <w:tcPr>
            <w:tcW w:w="421" w:type="pct"/>
            <w:vAlign w:val="center"/>
          </w:tcPr>
          <w:p w14:paraId="5553B06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45B307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2C10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2E9F5704">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741BB32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050B391A">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6" w:name="_Toc5829"/>
            <w:r>
              <w:rPr>
                <w:rFonts w:hint="eastAsia" w:ascii="宋体" w:hAnsi="宋体" w:eastAsia="宋体" w:cs="宋体"/>
                <w:color w:val="auto"/>
                <w:sz w:val="21"/>
                <w:szCs w:val="21"/>
              </w:rPr>
              <w:t>4.5 判定归因域</w:t>
            </w:r>
            <w:bookmarkEnd w:id="36"/>
          </w:p>
          <w:p w14:paraId="1A9A5CE9">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7" w:name="_Toc25837"/>
            <w:r>
              <w:rPr>
                <w:rFonts w:hint="eastAsia" w:ascii="宋体" w:hAnsi="宋体" w:eastAsia="宋体" w:cs="宋体"/>
                <w:color w:val="auto"/>
                <w:sz w:val="21"/>
                <w:szCs w:val="21"/>
              </w:rPr>
              <w:t>FR-JUDGE-01 拨测执行与画面采集（★★★）</w:t>
            </w:r>
            <w:bookmarkEnd w:id="37"/>
          </w:p>
          <w:p w14:paraId="61A700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：系统应通过模拟遥控器操作控制机顶盒，采集画面用于判定。 </w:t>
            </w:r>
          </w:p>
          <w:p w14:paraId="2EEB0E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0A99B14F">
            <w:pPr>
              <w:pStyle w:val="25"/>
              <w:pageBreakBefore w:val="0"/>
              <w:widowControl w:val="0"/>
              <w:numPr>
                <w:ilvl w:val="0"/>
                <w:numId w:val="1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应支持指令：上/下/左/右/确认/返回/首页等。</w:t>
            </w:r>
          </w:p>
          <w:p w14:paraId="4533C9C3">
            <w:pPr>
              <w:pStyle w:val="25"/>
              <w:pageBreakBefore w:val="0"/>
              <w:widowControl w:val="0"/>
              <w:numPr>
                <w:ilvl w:val="0"/>
                <w:numId w:val="1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应支持画面采集用于判定与截图留证。</w:t>
            </w:r>
          </w:p>
          <w:p w14:paraId="6ED0222B">
            <w:pPr>
              <w:pStyle w:val="25"/>
              <w:pageBreakBefore w:val="0"/>
              <w:widowControl w:val="0"/>
              <w:numPr>
                <w:ilvl w:val="0"/>
                <w:numId w:val="1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应支持多机顶盒并行执行。</w:t>
            </w:r>
          </w:p>
          <w:p w14:paraId="41BBADC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8" w:name="_Toc31016"/>
            <w:r>
              <w:rPr>
                <w:rFonts w:hint="eastAsia" w:ascii="宋体" w:hAnsi="宋体" w:eastAsia="宋体" w:cs="宋体"/>
                <w:color w:val="auto"/>
                <w:sz w:val="21"/>
                <w:szCs w:val="21"/>
              </w:rPr>
              <w:t>FR-JUDGE-02 异常检测（★★★）</w:t>
            </w:r>
            <w:bookmarkEnd w:id="38"/>
          </w:p>
          <w:p w14:paraId="580683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：系统应基于采集画面识别异常并按类型归类。 </w:t>
            </w:r>
            <w:r>
              <w:rPr>
                <w:rFonts w:hint="eastAsia" w:ascii="宋体" w:hAnsi="宋体" w:eastAsia="宋体" w:cs="宋体"/>
                <w:b/>
                <w:bCs/>
                <w:sz w:val="21"/>
                <w:szCs w:val="21"/>
              </w:rPr>
              <w:t>功能要求</w:t>
            </w:r>
            <w:r>
              <w:rPr>
                <w:rFonts w:hint="eastAsia" w:ascii="宋体" w:hAnsi="宋体" w:eastAsia="宋体" w:cs="宋体"/>
                <w:sz w:val="21"/>
                <w:szCs w:val="21"/>
              </w:rPr>
              <w:t>：应至少识别以下异常类型：</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15"/>
              <w:gridCol w:w="1805"/>
              <w:gridCol w:w="4693"/>
              <w:gridCol w:w="1812"/>
            </w:tblGrid>
            <w:tr w14:paraId="7AAFE7B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CE93E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异常大类</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B0141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子类型</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A2EE0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判定依据</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3637C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默认严重级</w:t>
                  </w:r>
                </w:p>
              </w:tc>
            </w:tr>
            <w:tr w14:paraId="585B23D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59A4D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页面异常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16611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加载超时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9883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操作后超N秒无预期画面</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FAC4C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高</w:t>
                  </w:r>
                </w:p>
              </w:tc>
            </w:tr>
            <w:tr w14:paraId="684B847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7AAF0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页面异常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992A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错误弹窗</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F9DEB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OCR识别"加载失败/错误/无内容"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E1D2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高</w:t>
                  </w:r>
                </w:p>
              </w:tc>
            </w:tr>
            <w:tr w14:paraId="6B8C35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25B17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页面异常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15A2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内容不存在</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034B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详情页无有效内容信息</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61A1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高</w:t>
                  </w:r>
                </w:p>
              </w:tc>
            </w:tr>
            <w:tr w14:paraId="2BA491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E352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素材异常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EB929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海报缺失</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6416F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识别占位图/空白区</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D175E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中</w:t>
                  </w:r>
                </w:p>
              </w:tc>
            </w:tr>
            <w:tr w14:paraId="79DBFDA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46D43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素材异常</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EC260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缺集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EED6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剧集子集缺集</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B1CB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高</w:t>
                  </w:r>
                </w:p>
              </w:tc>
            </w:tr>
            <w:tr w14:paraId="29217F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0431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播放异常</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DAAC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播放失败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1EFA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点击播放未进入播放态</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69E9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高</w:t>
                  </w:r>
                </w:p>
              </w:tc>
            </w:tr>
          </w:tbl>
          <w:p w14:paraId="3724A46C">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39" w:name="_Toc6161"/>
            <w:r>
              <w:rPr>
                <w:rFonts w:hint="eastAsia" w:ascii="宋体" w:hAnsi="宋体" w:eastAsia="宋体" w:cs="宋体"/>
                <w:color w:val="auto"/>
                <w:sz w:val="21"/>
                <w:szCs w:val="21"/>
              </w:rPr>
              <w:t>FR-JUDGE-03 判定规则配置（★★）</w:t>
            </w:r>
            <w:bookmarkEnd w:id="39"/>
          </w:p>
          <w:p w14:paraId="423D35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：系统应支持判定规则可配置，不硬编码。 </w:t>
            </w:r>
          </w:p>
          <w:p w14:paraId="13C48A3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75F65429">
            <w:pPr>
              <w:pStyle w:val="25"/>
              <w:pageBreakBefore w:val="0"/>
              <w:widowControl w:val="0"/>
              <w:numPr>
                <w:ilvl w:val="0"/>
                <w:numId w:val="13"/>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可配置项应包括：超时阈值、黑屏判定时长、重试次数、异常类型开关。</w:t>
            </w:r>
          </w:p>
          <w:p w14:paraId="0607AB59">
            <w:pPr>
              <w:pStyle w:val="25"/>
              <w:pageBreakBefore w:val="0"/>
              <w:widowControl w:val="0"/>
              <w:numPr>
                <w:ilvl w:val="0"/>
                <w:numId w:val="13"/>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应支持规则集：默认规则集。</w:t>
            </w:r>
          </w:p>
          <w:p w14:paraId="4C9A0F18">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0" w:name="_Toc24953"/>
            <w:r>
              <w:rPr>
                <w:rFonts w:hint="eastAsia" w:ascii="宋体" w:hAnsi="宋体" w:eastAsia="宋体" w:cs="宋体"/>
                <w:color w:val="auto"/>
                <w:sz w:val="21"/>
                <w:szCs w:val="21"/>
              </w:rPr>
              <w:t>FR-JUDGE-04 失败重试与二次确认（★★★）</w:t>
            </w:r>
            <w:bookmarkEnd w:id="40"/>
          </w:p>
          <w:p w14:paraId="7760203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：首次判定异常后系统应自动重试N次，仍异常才计入报告。 </w:t>
            </w:r>
          </w:p>
          <w:p w14:paraId="4D41E11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：重试次数可配置（默认2次）；重试仍异常的标记"确认异常"，重试通过的标记"偶发已恢复"并单独展示。</w:t>
            </w:r>
          </w:p>
          <w:p w14:paraId="7363F861">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1" w:name="_Toc10247"/>
            <w:r>
              <w:rPr>
                <w:rFonts w:hint="eastAsia" w:ascii="宋体" w:hAnsi="宋体" w:eastAsia="宋体" w:cs="宋体"/>
                <w:color w:val="auto"/>
                <w:sz w:val="21"/>
                <w:szCs w:val="21"/>
              </w:rPr>
              <w:t>FR-JUDGE-05 人工复核与误报标记（★★）</w:t>
            </w:r>
            <w:bookmarkEnd w:id="41"/>
          </w:p>
          <w:p w14:paraId="2707F1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：系统应支持运营人员对异常项标记"确认异常/误报/待复核"。 </w:t>
            </w:r>
          </w:p>
          <w:p w14:paraId="3C3723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业务规则</w:t>
            </w:r>
            <w:r>
              <w:rPr>
                <w:rFonts w:hint="eastAsia" w:ascii="宋体" w:hAnsi="宋体" w:eastAsia="宋体" w:cs="宋体"/>
                <w:sz w:val="21"/>
                <w:szCs w:val="21"/>
              </w:rPr>
              <w:t>：误报标记应记录样本；报告应区分"系统判定异常"与"人工确认异常"；复核状态变更应可按FR-INT-04回传现有平台。</w:t>
            </w:r>
          </w:p>
        </w:tc>
        <w:tc>
          <w:tcPr>
            <w:tcW w:w="421" w:type="pct"/>
            <w:vAlign w:val="center"/>
          </w:tcPr>
          <w:p w14:paraId="0672B70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18EDA1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0B27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92D6725">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BFF4F9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147339E6">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2" w:name="_Toc27773"/>
            <w:r>
              <w:rPr>
                <w:rFonts w:hint="eastAsia" w:ascii="宋体" w:hAnsi="宋体" w:eastAsia="宋体" w:cs="宋体"/>
                <w:color w:val="auto"/>
                <w:sz w:val="21"/>
                <w:szCs w:val="21"/>
              </w:rPr>
              <w:t>4.6 报告域</w:t>
            </w:r>
            <w:bookmarkEnd w:id="42"/>
          </w:p>
          <w:p w14:paraId="2380EA26">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3" w:name="_Toc5482"/>
            <w:r>
              <w:rPr>
                <w:rFonts w:hint="eastAsia" w:ascii="宋体" w:hAnsi="宋体" w:eastAsia="宋体" w:cs="宋体"/>
                <w:color w:val="auto"/>
                <w:sz w:val="21"/>
                <w:szCs w:val="21"/>
              </w:rPr>
              <w:t>FR-RPT-01 任务报告（★★★）</w:t>
            </w:r>
            <w:bookmarkEnd w:id="43"/>
          </w:p>
          <w:p w14:paraId="23A373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：任务完成后系统应自动生成任务报告。 </w:t>
            </w:r>
            <w:r>
              <w:rPr>
                <w:rFonts w:hint="eastAsia" w:ascii="宋体" w:hAnsi="宋体" w:eastAsia="宋体" w:cs="宋体"/>
                <w:b/>
                <w:bCs/>
                <w:sz w:val="21"/>
                <w:szCs w:val="21"/>
              </w:rPr>
              <w:t>功能要求</w:t>
            </w:r>
            <w:r>
              <w:rPr>
                <w:rFonts w:hint="eastAsia" w:ascii="宋体" w:hAnsi="宋体" w:eastAsia="宋体" w:cs="宋体"/>
                <w:sz w:val="21"/>
                <w:szCs w:val="21"/>
              </w:rPr>
              <w:t>：报告应至少包含：</w:t>
            </w:r>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41"/>
              <w:gridCol w:w="8284"/>
            </w:tblGrid>
            <w:tr w14:paraId="3A80000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08432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模块</w:t>
                  </w:r>
                </w:p>
              </w:tc>
              <w:tc>
                <w:tcPr>
                  <w:tcW w:w="421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A8E27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内容要求</w:t>
                  </w:r>
                </w:p>
              </w:tc>
            </w:tr>
            <w:tr w14:paraId="46760A7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8E84E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结论先行</w:t>
                  </w:r>
                </w:p>
              </w:tc>
              <w:tc>
                <w:tcPr>
                  <w:tcW w:w="421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8E7D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一句话结论，如"本次巡检186条，异常7条，播放失败3条需优先处理"</w:t>
                  </w:r>
                </w:p>
              </w:tc>
            </w:tr>
            <w:tr w14:paraId="3AC73B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7C389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总览指标</w:t>
                  </w:r>
                </w:p>
              </w:tc>
              <w:tc>
                <w:tcPr>
                  <w:tcW w:w="421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92FB7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总数/通过/异常/通过率/持续异常数，含环比</w:t>
                  </w:r>
                </w:p>
              </w:tc>
            </w:tr>
            <w:tr w14:paraId="6F25980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4C6E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异常分布</w:t>
                  </w:r>
                </w:p>
              </w:tc>
              <w:tc>
                <w:tcPr>
                  <w:tcW w:w="421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4362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按类型、专区、CP、终端分布，图表可下钻</w:t>
                  </w:r>
                </w:p>
              </w:tc>
            </w:tr>
            <w:tr w14:paraId="374F386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46C0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异常清单</w:t>
                  </w:r>
                </w:p>
              </w:tc>
              <w:tc>
                <w:tcPr>
                  <w:tcW w:w="421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660EB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路径、内容、CP、异常类型、严重级、截图、执行终端、复核状态，按严重级排序</w:t>
                  </w:r>
                </w:p>
              </w:tc>
            </w:tr>
            <w:tr w14:paraId="2EA608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8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34A5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明细</w:t>
                  </w:r>
                </w:p>
              </w:tc>
              <w:tc>
                <w:tcPr>
                  <w:tcW w:w="421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BA71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全部条目逐项结果，默认折叠，支持导出</w:t>
                  </w:r>
                </w:p>
              </w:tc>
            </w:tr>
          </w:tbl>
          <w:p w14:paraId="329671B6">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4" w:name="_Toc15267"/>
            <w:r>
              <w:rPr>
                <w:rFonts w:hint="eastAsia" w:ascii="宋体" w:hAnsi="宋体" w:eastAsia="宋体" w:cs="宋体"/>
                <w:color w:val="auto"/>
                <w:sz w:val="21"/>
                <w:szCs w:val="21"/>
              </w:rPr>
              <w:t>FR-RPT-02 报告终端与时间维度（★★★）</w:t>
            </w:r>
            <w:bookmarkEnd w:id="44"/>
          </w:p>
          <w:p w14:paraId="0B54C0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：报告应展示执行终端与时间维度信息。 </w:t>
            </w:r>
          </w:p>
          <w:p w14:paraId="509528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053B2C92">
            <w:pPr>
              <w:pStyle w:val="25"/>
              <w:pageBreakBefore w:val="0"/>
              <w:widowControl w:val="0"/>
              <w:numPr>
                <w:ilvl w:val="0"/>
                <w:numId w:val="1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执行终端清单：各终端执行条数、成功/异常数。</w:t>
            </w:r>
          </w:p>
          <w:p w14:paraId="4A297EE8">
            <w:pPr>
              <w:pStyle w:val="25"/>
              <w:pageBreakBefore w:val="0"/>
              <w:widowControl w:val="0"/>
              <w:numPr>
                <w:ilvl w:val="0"/>
                <w:numId w:val="1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实际执行时间段：计划时间段 vs 实际起止时间、是否超窗。</w:t>
            </w:r>
          </w:p>
          <w:p w14:paraId="34F66804">
            <w:pPr>
              <w:pStyle w:val="25"/>
              <w:pageBreakBefore w:val="0"/>
              <w:widowControl w:val="0"/>
              <w:numPr>
                <w:ilvl w:val="0"/>
                <w:numId w:val="1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终端维度异常：异常项标注执行终端，支持按终端筛选/聚合。</w:t>
            </w:r>
          </w:p>
          <w:p w14:paraId="6C014435">
            <w:pPr>
              <w:pStyle w:val="25"/>
              <w:pageBreakBefore w:val="0"/>
              <w:widowControl w:val="0"/>
              <w:numPr>
                <w:ilvl w:val="0"/>
                <w:numId w:val="1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终端一致性清单（全量复制模式）。</w:t>
            </w:r>
          </w:p>
          <w:p w14:paraId="07A28E88">
            <w:pPr>
              <w:pStyle w:val="25"/>
              <w:pageBreakBefore w:val="0"/>
              <w:widowControl w:val="0"/>
              <w:numPr>
                <w:ilvl w:val="0"/>
                <w:numId w:val="1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超窗说明：顺延次数、实际完成时间。</w:t>
            </w:r>
          </w:p>
          <w:p w14:paraId="0242B2D4">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5" w:name="_Toc6698"/>
            <w:r>
              <w:rPr>
                <w:rFonts w:hint="eastAsia" w:ascii="宋体" w:hAnsi="宋体" w:eastAsia="宋体" w:cs="宋体"/>
                <w:color w:val="auto"/>
                <w:sz w:val="21"/>
                <w:szCs w:val="21"/>
              </w:rPr>
              <w:t>FR-RPT-03 日报/周报（★★）</w:t>
            </w:r>
            <w:bookmarkEnd w:id="45"/>
          </w:p>
          <w:p w14:paraId="53D3241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：系统应支持定时生成多任务汇总的日报/周报，包含异常趋势与Top问题。</w:t>
            </w:r>
          </w:p>
          <w:p w14:paraId="661B6ABB">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6" w:name="_Toc11887"/>
            <w:r>
              <w:rPr>
                <w:rFonts w:hint="eastAsia" w:ascii="宋体" w:hAnsi="宋体" w:eastAsia="宋体" w:cs="宋体"/>
                <w:color w:val="auto"/>
                <w:sz w:val="21"/>
                <w:szCs w:val="21"/>
              </w:rPr>
              <w:t>FR-RPT-04 CP质量报告（★★）</w:t>
            </w:r>
            <w:bookmarkEnd w:id="46"/>
          </w:p>
          <w:p w14:paraId="44DA6E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：系统应支持按CP维度生成通过率、异常分布、趋势报告，CP负责人仅可查看本CP报告。</w:t>
            </w:r>
          </w:p>
          <w:p w14:paraId="0ACE649F">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7" w:name="_Toc14275"/>
            <w:r>
              <w:rPr>
                <w:rFonts w:hint="eastAsia" w:ascii="宋体" w:hAnsi="宋体" w:eastAsia="宋体" w:cs="宋体"/>
                <w:color w:val="auto"/>
                <w:sz w:val="21"/>
                <w:szCs w:val="21"/>
              </w:rPr>
              <w:t>FR-RPT-05 报告易读性规范（★★★）</w:t>
            </w:r>
            <w:bookmarkEnd w:id="47"/>
          </w:p>
          <w:p w14:paraId="2AF6D0C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：报告应满足以下易读性要求，投标人须在响应中说明实现方式：</w:t>
            </w:r>
          </w:p>
          <w:p w14:paraId="59B316F0">
            <w:pPr>
              <w:pStyle w:val="25"/>
              <w:pageBreakBefore w:val="0"/>
              <w:widowControl w:val="0"/>
              <w:numPr>
                <w:ilvl w:val="0"/>
                <w:numId w:val="1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首屏回答三个问题：有没有问题、问题多不多、最该先看哪条。</w:t>
            </w:r>
          </w:p>
          <w:p w14:paraId="4683D013">
            <w:pPr>
              <w:pStyle w:val="25"/>
              <w:pageBreakBefore w:val="0"/>
              <w:widowControl w:val="0"/>
              <w:numPr>
                <w:ilvl w:val="0"/>
                <w:numId w:val="1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异常卡片化，含缩略截图、路径、CP、类型标签。</w:t>
            </w:r>
          </w:p>
          <w:p w14:paraId="49D24F67">
            <w:pPr>
              <w:pStyle w:val="25"/>
              <w:pageBreakBefore w:val="0"/>
              <w:widowControl w:val="0"/>
              <w:numPr>
                <w:ilvl w:val="0"/>
                <w:numId w:val="1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截图可放大。</w:t>
            </w:r>
          </w:p>
          <w:p w14:paraId="243D0ED7">
            <w:pPr>
              <w:pStyle w:val="25"/>
              <w:pageBreakBefore w:val="0"/>
              <w:widowControl w:val="0"/>
              <w:numPr>
                <w:ilvl w:val="0"/>
                <w:numId w:val="1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导航路径可生成"复现指引"。</w:t>
            </w:r>
          </w:p>
          <w:p w14:paraId="2367EB95">
            <w:pPr>
              <w:pStyle w:val="25"/>
              <w:pageBreakBefore w:val="0"/>
              <w:widowControl w:val="0"/>
              <w:numPr>
                <w:ilvl w:val="0"/>
                <w:numId w:val="1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导出保真：PDF保持布局与截图清晰度，Excel含结构化字段。</w:t>
            </w:r>
          </w:p>
          <w:p w14:paraId="64C56B2C">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8" w:name="_Toc2125"/>
            <w:r>
              <w:rPr>
                <w:rFonts w:hint="eastAsia" w:ascii="宋体" w:hAnsi="宋体" w:eastAsia="宋体" w:cs="宋体"/>
                <w:color w:val="auto"/>
                <w:sz w:val="21"/>
                <w:szCs w:val="21"/>
              </w:rPr>
              <w:t>FR-RPT-06 报告导出与触达（★★★）</w:t>
            </w:r>
            <w:bookmarkEnd w:id="48"/>
          </w:p>
          <w:p w14:paraId="6214D0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需求描述</w:t>
            </w:r>
            <w:r>
              <w:rPr>
                <w:rFonts w:hint="eastAsia" w:ascii="宋体" w:hAnsi="宋体" w:eastAsia="宋体" w:cs="宋体"/>
                <w:sz w:val="21"/>
                <w:szCs w:val="21"/>
              </w:rPr>
              <w:t>：报告应支持在线查看、导出PDF/Excel、生成带权限的分享链接、异常摘要推送/钉钉/邮件。</w:t>
            </w:r>
          </w:p>
        </w:tc>
        <w:tc>
          <w:tcPr>
            <w:tcW w:w="421" w:type="pct"/>
            <w:vAlign w:val="center"/>
          </w:tcPr>
          <w:p w14:paraId="18DA56B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324FDE3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01D4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49718C23">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5D33F02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0CFEC6E8">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49" w:name="_Toc21579"/>
            <w:r>
              <w:rPr>
                <w:rFonts w:hint="eastAsia" w:ascii="宋体" w:hAnsi="宋体" w:eastAsia="宋体" w:cs="宋体"/>
                <w:color w:val="auto"/>
                <w:sz w:val="21"/>
                <w:szCs w:val="21"/>
              </w:rPr>
              <w:t>4.7 运营闭环域</w:t>
            </w:r>
            <w:bookmarkEnd w:id="49"/>
          </w:p>
          <w:p w14:paraId="25217100">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0" w:name="_Toc28144"/>
            <w:r>
              <w:rPr>
                <w:rFonts w:hint="eastAsia" w:ascii="宋体" w:hAnsi="宋体" w:eastAsia="宋体" w:cs="宋体"/>
                <w:color w:val="auto"/>
                <w:sz w:val="21"/>
                <w:szCs w:val="21"/>
              </w:rPr>
              <w:t>FR-LOOP-01 告警规则与渠道（★★★）</w:t>
            </w:r>
            <w:bookmarkEnd w:id="50"/>
          </w:p>
          <w:p w14:paraId="0EF8C1C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：系统应支持按严重级、异常数阈值、CP、专区配置告警条件，通过钉钉/邮件订阅推送。</w:t>
            </w:r>
          </w:p>
          <w:p w14:paraId="782DB7CA">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1" w:name="_Toc17619"/>
            <w:r>
              <w:rPr>
                <w:rFonts w:hint="eastAsia" w:ascii="宋体" w:hAnsi="宋体" w:eastAsia="宋体" w:cs="宋体"/>
                <w:color w:val="auto"/>
                <w:sz w:val="21"/>
                <w:szCs w:val="21"/>
              </w:rPr>
              <w:t>FR-LOOP-02 告警降噪（★★）</w:t>
            </w:r>
            <w:bookmarkEnd w:id="51"/>
          </w:p>
          <w:p w14:paraId="0CF0C6C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：同一异常冷却期内不重复推送；批量异常聚合为"专区级告警"；支持静默期配置。</w:t>
            </w:r>
          </w:p>
          <w:p w14:paraId="0C07A195">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2" w:name="_Toc16037"/>
            <w:r>
              <w:rPr>
                <w:rFonts w:hint="eastAsia" w:ascii="宋体" w:hAnsi="宋体" w:eastAsia="宋体" w:cs="宋体"/>
                <w:color w:val="auto"/>
                <w:sz w:val="21"/>
                <w:szCs w:val="21"/>
              </w:rPr>
              <w:t>FR-LOOP-03 异常工单与复测（★★）</w:t>
            </w:r>
            <w:bookmarkEnd w:id="52"/>
          </w:p>
          <w:p w14:paraId="1BCE95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：异常可指派给责任人，记录处理过程与结论；处理完成后可一键复测，通过则自动关闭。</w:t>
            </w:r>
          </w:p>
          <w:p w14:paraId="5F430324">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3" w:name="_Toc22510"/>
            <w:r>
              <w:rPr>
                <w:rFonts w:hint="eastAsia" w:ascii="宋体" w:hAnsi="宋体" w:eastAsia="宋体" w:cs="宋体"/>
                <w:color w:val="auto"/>
                <w:sz w:val="21"/>
                <w:szCs w:val="21"/>
              </w:rPr>
              <w:t>FR-LOOP-04 闭环统计（★）</w:t>
            </w:r>
            <w:bookmarkEnd w:id="53"/>
          </w:p>
          <w:p w14:paraId="28DC57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：系统应统计异常平均处理时长、闭环率、遗留异常数。</w:t>
            </w:r>
          </w:p>
          <w:p w14:paraId="2809C7D9">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4" w:name="_Toc12611"/>
            <w:r>
              <w:rPr>
                <w:rFonts w:hint="eastAsia" w:ascii="宋体" w:hAnsi="宋体" w:eastAsia="宋体" w:cs="宋体"/>
                <w:color w:val="auto"/>
                <w:sz w:val="21"/>
                <w:szCs w:val="21"/>
              </w:rPr>
              <w:t>FR-LOOP-05 质量看板（★★）</w:t>
            </w:r>
            <w:bookmarkEnd w:id="54"/>
          </w:p>
          <w:p w14:paraId="242FAB1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需求描述</w:t>
            </w:r>
            <w:r>
              <w:rPr>
                <w:rFonts w:hint="eastAsia" w:ascii="宋体" w:hAnsi="宋体" w:eastAsia="宋体" w:cs="宋体"/>
                <w:sz w:val="21"/>
                <w:szCs w:val="21"/>
              </w:rPr>
              <w:t>：系统应提供质量看板，指标应至少包括：整体质量趋势、CP质量排名、专区/栏目健康度热力图、异常类型分布、闭环效率、终端健康。</w:t>
            </w:r>
          </w:p>
        </w:tc>
        <w:tc>
          <w:tcPr>
            <w:tcW w:w="421" w:type="pct"/>
            <w:vAlign w:val="center"/>
          </w:tcPr>
          <w:p w14:paraId="2822F35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B0B0C6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642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A9CDDB0">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2C738BDA">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FF484F9">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5" w:name="_Toc18785"/>
            <w:r>
              <w:rPr>
                <w:rFonts w:hint="eastAsia" w:ascii="宋体" w:hAnsi="宋体" w:eastAsia="宋体" w:cs="宋体"/>
                <w:color w:val="auto"/>
                <w:sz w:val="21"/>
                <w:szCs w:val="21"/>
              </w:rPr>
              <w:t>4.8 系统支撑域</w:t>
            </w:r>
            <w:bookmarkEnd w:id="55"/>
          </w:p>
          <w:p w14:paraId="429E1ED2">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6" w:name="_Toc6563"/>
            <w:r>
              <w:rPr>
                <w:rFonts w:hint="eastAsia" w:ascii="宋体" w:hAnsi="宋体" w:eastAsia="宋体" w:cs="宋体"/>
                <w:color w:val="auto"/>
                <w:sz w:val="21"/>
                <w:szCs w:val="21"/>
              </w:rPr>
              <w:t>FR-SYS-01 角色权限与数据隔离（★★★）</w:t>
            </w:r>
            <w:bookmarkEnd w:id="56"/>
          </w:p>
          <w:p w14:paraId="47113A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：系统应按第2章权限矩阵控制功能权限，CP负责人数据隔离。</w:t>
            </w:r>
          </w:p>
          <w:p w14:paraId="7AF957C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7" w:name="_Toc4157"/>
            <w:r>
              <w:rPr>
                <w:rFonts w:hint="eastAsia" w:ascii="宋体" w:hAnsi="宋体" w:eastAsia="宋体" w:cs="宋体"/>
                <w:color w:val="auto"/>
                <w:sz w:val="21"/>
                <w:szCs w:val="21"/>
              </w:rPr>
              <w:t>FR-SYS-02 操作审计（★★）</w:t>
            </w:r>
            <w:bookmarkEnd w:id="57"/>
          </w:p>
          <w:p w14:paraId="4AA9648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：任务创建、规则变更、误报标记、终端定向下发、接口配置变更等关键操作应留痕，支持查询。</w:t>
            </w:r>
          </w:p>
          <w:p w14:paraId="5F81826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8" w:name="_Toc8895"/>
            <w:r>
              <w:rPr>
                <w:rFonts w:hint="eastAsia" w:ascii="宋体" w:hAnsi="宋体" w:eastAsia="宋体" w:cs="宋体"/>
                <w:color w:val="auto"/>
                <w:sz w:val="21"/>
                <w:szCs w:val="21"/>
              </w:rPr>
              <w:t>FR-SYS-03 数据保留策略（★）</w:t>
            </w:r>
            <w:bookmarkEnd w:id="58"/>
          </w:p>
          <w:p w14:paraId="0674859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：报告/截图保留90天可配置；接口调用日志与回传记录保留不少于90天。</w:t>
            </w:r>
          </w:p>
          <w:p w14:paraId="3F3568A4">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59" w:name="_Toc17147"/>
            <w:r>
              <w:rPr>
                <w:rFonts w:hint="eastAsia" w:ascii="宋体" w:hAnsi="宋体" w:eastAsia="宋体" w:cs="宋体"/>
                <w:color w:val="auto"/>
                <w:sz w:val="21"/>
                <w:szCs w:val="21"/>
              </w:rPr>
              <w:t>FR-SYS-04 终端状态监控（★）</w:t>
            </w:r>
            <w:bookmarkEnd w:id="59"/>
          </w:p>
          <w:p w14:paraId="08D39A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需求描述</w:t>
            </w:r>
            <w:r>
              <w:rPr>
                <w:rFonts w:hint="eastAsia" w:ascii="宋体" w:hAnsi="宋体" w:eastAsia="宋体" w:cs="宋体"/>
                <w:sz w:val="21"/>
                <w:szCs w:val="21"/>
              </w:rPr>
              <w:t>：系统应支持终端在线/空闲/忙碌状态监控，支持远程重启指令下发。</w:t>
            </w:r>
          </w:p>
        </w:tc>
        <w:tc>
          <w:tcPr>
            <w:tcW w:w="421" w:type="pct"/>
            <w:vAlign w:val="center"/>
          </w:tcPr>
          <w:p w14:paraId="3B6E4993">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153130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B00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6E2DFABF">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573F7BA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2AA3122D">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0" w:name="_Toc27372"/>
            <w:r>
              <w:rPr>
                <w:rFonts w:hint="eastAsia" w:ascii="宋体" w:hAnsi="宋体" w:eastAsia="宋体" w:cs="宋体"/>
                <w:color w:val="auto"/>
                <w:sz w:val="21"/>
                <w:szCs w:val="21"/>
              </w:rPr>
              <w:t>4.9 接口集成域</w:t>
            </w:r>
            <w:bookmarkEnd w:id="60"/>
          </w:p>
          <w:p w14:paraId="24DEEB14">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1" w:name="_Toc26967"/>
            <w:r>
              <w:rPr>
                <w:rFonts w:hint="eastAsia" w:ascii="宋体" w:hAnsi="宋体" w:eastAsia="宋体" w:cs="宋体"/>
                <w:color w:val="auto"/>
                <w:sz w:val="21"/>
                <w:szCs w:val="21"/>
              </w:rPr>
              <w:t>4.9.1 数据获取类接口</w:t>
            </w:r>
            <w:bookmarkEnd w:id="61"/>
          </w:p>
          <w:p w14:paraId="16ED285F">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FR-INT-01 资源数据获取接口（★★★）</w:t>
            </w:r>
          </w:p>
          <w:p w14:paraId="5235719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：系统应支持通过接口从现有平台获取拨测所需的资源数据，作为拨测范围配置与EPG资源树的数据源。 </w:t>
            </w:r>
          </w:p>
          <w:p w14:paraId="233290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65E3AC08">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应支持获取专区数据（专区ID、名称、层级、状态）。</w:t>
            </w:r>
          </w:p>
          <w:p w14:paraId="6A4BA18B">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应支持获取栏目数据（栏目ID、名称、所属专区、状态）。</w:t>
            </w:r>
          </w:p>
          <w:p w14:paraId="72814E40">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应支持获取内容数据（内容ID、名称、所属栏目、CP、上线状态、上线时间）。</w:t>
            </w:r>
          </w:p>
          <w:p w14:paraId="65A3D7A5">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应支持获取CP数据（CP ID、名称）。</w:t>
            </w:r>
          </w:p>
          <w:p w14:paraId="5994D272">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应支持全量获取与增量获取，增量获取应支持定时拉取。</w:t>
            </w:r>
          </w:p>
          <w:p w14:paraId="3D5A42C5">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应支持分页获取，单页数据量与调用频率可配置。</w:t>
            </w:r>
          </w:p>
          <w:p w14:paraId="07E8902C">
            <w:pPr>
              <w:pStyle w:val="25"/>
              <w:pageBreakBefore w:val="0"/>
              <w:widowControl w:val="0"/>
              <w:numPr>
                <w:ilvl w:val="0"/>
                <w:numId w:val="1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 xml:space="preserve">获取的数据应落库存储，供范围配置、范围预览、归因使用。 </w:t>
            </w:r>
          </w:p>
          <w:p w14:paraId="4AC053DC">
            <w:pPr>
              <w:pageBreakBefore w:val="0"/>
              <w:widowControl w:val="0"/>
              <w:kinsoku/>
              <w:wordWrap/>
              <w:overflowPunct/>
              <w:topLinePunct w:val="0"/>
              <w:autoSpaceDE/>
              <w:autoSpaceDN/>
              <w:bidi w:val="0"/>
              <w:adjustRightInd/>
              <w:spacing w:before="60" w:after="60" w:line="288" w:lineRule="auto"/>
              <w:ind w:left="101"/>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w:t>
            </w:r>
          </w:p>
          <w:p w14:paraId="6519EB9E">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增量数据与本地数据应正确合并，避免重复与丢失。</w:t>
            </w:r>
          </w:p>
          <w:p w14:paraId="2E710BA1">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数据获取失败应记录日志并告警，不影响已获取数据的可用性。</w:t>
            </w:r>
          </w:p>
          <w:p w14:paraId="41D7E34C">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FR-INT-02 内容变更事件订阅接口（★★）</w:t>
            </w:r>
          </w:p>
          <w:p w14:paraId="1CED604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：系统应支持接收或拉取现有平台的内容上线/下线/变更事件，用于触发增量巡检或更新拨测范围。 </w:t>
            </w:r>
          </w:p>
          <w:p w14:paraId="1237C3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0048B7FA">
            <w:pPr>
              <w:pStyle w:val="25"/>
              <w:pageBreakBefore w:val="0"/>
              <w:widowControl w:val="0"/>
              <w:numPr>
                <w:ilvl w:val="0"/>
                <w:numId w:val="1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应支持事件推送方式或事件拉取方式中至少一种，并在技术方案中说明。</w:t>
            </w:r>
          </w:p>
          <w:p w14:paraId="00C69EA2">
            <w:pPr>
              <w:pStyle w:val="25"/>
              <w:pageBreakBefore w:val="0"/>
              <w:widowControl w:val="0"/>
              <w:numPr>
                <w:ilvl w:val="0"/>
                <w:numId w:val="1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事件应至少包含：内容ID、变更类型、变更时间。</w:t>
            </w:r>
          </w:p>
          <w:p w14:paraId="14B2D24A">
            <w:pPr>
              <w:pStyle w:val="25"/>
              <w:pageBreakBefore w:val="0"/>
              <w:widowControl w:val="0"/>
              <w:numPr>
                <w:ilvl w:val="0"/>
                <w:numId w:val="1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 xml:space="preserve">应支持配置是否依据事件自动触发巡检任务。 </w:t>
            </w:r>
          </w:p>
          <w:p w14:paraId="5EC051CB">
            <w:pPr>
              <w:pageBreakBefore w:val="0"/>
              <w:widowControl w:val="0"/>
              <w:kinsoku/>
              <w:wordWrap/>
              <w:overflowPunct/>
              <w:topLinePunct w:val="0"/>
              <w:autoSpaceDE/>
              <w:autoSpaceDN/>
              <w:bidi w:val="0"/>
              <w:adjustRightInd/>
              <w:spacing w:before="60" w:after="60" w:line="288" w:lineRule="auto"/>
              <w:ind w:left="101"/>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：事件处理应幂等，重复事件不产生重复任务或重复记录。</w:t>
            </w:r>
          </w:p>
          <w:p w14:paraId="130EAFA7">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2" w:name="_Toc6864"/>
            <w:r>
              <w:rPr>
                <w:rFonts w:hint="eastAsia" w:ascii="宋体" w:hAnsi="宋体" w:eastAsia="宋体" w:cs="宋体"/>
                <w:color w:val="auto"/>
                <w:sz w:val="21"/>
                <w:szCs w:val="21"/>
              </w:rPr>
              <w:t>4.9.2 结果回传类接口</w:t>
            </w:r>
            <w:bookmarkEnd w:id="62"/>
          </w:p>
          <w:p w14:paraId="35755CBB">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FR-INT-03 拨测结果回传接口（★★★）</w:t>
            </w:r>
          </w:p>
          <w:p w14:paraId="4443FC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：系统应在拨测任务完成后，将拨测结果通过接口回传至现有平台，供现有平台展示。 </w:t>
            </w:r>
          </w:p>
          <w:p w14:paraId="72733B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49B3792F">
            <w:pPr>
              <w:pStyle w:val="25"/>
              <w:pageBreakBefore w:val="0"/>
              <w:widowControl w:val="0"/>
              <w:numPr>
                <w:ilvl w:val="0"/>
                <w:numId w:val="1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回传内容应至少包括：任务信息（任务ID、任务名称、执行时间段、执行终端）、汇总结果（总数、通过数、异常数、通过率）、异常明细（内容ID、专区、栏目、CP、异常类型、严重级、异常截图链接、首次发现时间）。</w:t>
            </w:r>
          </w:p>
          <w:p w14:paraId="053CCF94">
            <w:pPr>
              <w:pStyle w:val="25"/>
              <w:pageBreakBefore w:val="0"/>
              <w:widowControl w:val="0"/>
              <w:numPr>
                <w:ilvl w:val="0"/>
                <w:numId w:val="1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应支持全量回传与增量回传两种模式。</w:t>
            </w:r>
          </w:p>
          <w:p w14:paraId="08F40988">
            <w:pPr>
              <w:pStyle w:val="25"/>
              <w:pageBreakBefore w:val="0"/>
              <w:widowControl w:val="0"/>
              <w:numPr>
                <w:ilvl w:val="0"/>
                <w:numId w:val="1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应支持回传截图/报告访问链接，现有平台可跳转查看详情。</w:t>
            </w:r>
          </w:p>
          <w:p w14:paraId="151E52B1">
            <w:pPr>
              <w:pStyle w:val="25"/>
              <w:pageBreakBefore w:val="0"/>
              <w:widowControl w:val="0"/>
              <w:numPr>
                <w:ilvl w:val="0"/>
                <w:numId w:val="1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回传应支持批量方式，单次回传数据量可配置。</w:t>
            </w:r>
          </w:p>
          <w:p w14:paraId="1901DD06">
            <w:pPr>
              <w:pStyle w:val="25"/>
              <w:pageBreakBefore w:val="0"/>
              <w:widowControl w:val="0"/>
              <w:numPr>
                <w:ilvl w:val="0"/>
                <w:numId w:val="18"/>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 xml:space="preserve">应提供回传结果查询能力，可查看每条结果的回传状态与失败原因。 </w:t>
            </w:r>
          </w:p>
          <w:p w14:paraId="47571130">
            <w:pPr>
              <w:pageBreakBefore w:val="0"/>
              <w:widowControl w:val="0"/>
              <w:kinsoku/>
              <w:wordWrap/>
              <w:overflowPunct/>
              <w:topLinePunct w:val="0"/>
              <w:autoSpaceDE/>
              <w:autoSpaceDN/>
              <w:bidi w:val="0"/>
              <w:adjustRightInd/>
              <w:spacing w:before="60" w:after="60" w:line="288" w:lineRule="auto"/>
              <w:ind w:left="101"/>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w:t>
            </w:r>
          </w:p>
          <w:p w14:paraId="723B43D0">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回传应保证幂等，同一任务同一结果重复回传不产生重复数据。</w:t>
            </w:r>
          </w:p>
          <w:p w14:paraId="66A5798C">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回传失败应自动重试，重试仍失败应告警并支持人工手动重传。</w:t>
            </w:r>
          </w:p>
          <w:p w14:paraId="7534DAC7">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回传内容中的内容ID应与现有平台一致，保证可正确关联。</w:t>
            </w:r>
          </w:p>
          <w:p w14:paraId="07BA0C37">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FR-INT-04 异常状态回传接口（★★）</w:t>
            </w:r>
          </w:p>
          <w:p w14:paraId="39BB0E3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：系统应在异常状态变更时（确认异常/误报/已处理/已关闭），将状态变更回传现有平台。 </w:t>
            </w:r>
          </w:p>
          <w:p w14:paraId="5B01B0F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 xml:space="preserve">：回传内容应至少包括：异常标识（任务ID+内容ID+异常类型）、变更后状态、变更时间、操作人。 </w:t>
            </w:r>
          </w:p>
          <w:p w14:paraId="077360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业务规则</w:t>
            </w:r>
            <w:r>
              <w:rPr>
                <w:rFonts w:hint="eastAsia" w:ascii="宋体" w:hAnsi="宋体" w:eastAsia="宋体" w:cs="宋体"/>
                <w:sz w:val="21"/>
                <w:szCs w:val="21"/>
              </w:rPr>
              <w:t>：状态回传应幂等；状态变更与回传应保持最终一致，回传失败不影响新建系统内状态。</w:t>
            </w:r>
          </w:p>
          <w:p w14:paraId="704F3211">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FR-INT-05 任务信息同步接口（★★）</w:t>
            </w:r>
          </w:p>
          <w:p w14:paraId="41CBD01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：系统应支持将拨测任务的基本信息同步至现有平台，便于现有平台掌握巡检计划。 </w:t>
            </w:r>
          </w:p>
          <w:p w14:paraId="2940A2C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：应支持任务创建/变更/状态变更时同步；同步内容与频率可配置。</w:t>
            </w:r>
          </w:p>
          <w:p w14:paraId="2FB05ADF">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3" w:name="_Toc4587"/>
            <w:r>
              <w:rPr>
                <w:rFonts w:hint="eastAsia" w:ascii="宋体" w:hAnsi="宋体" w:eastAsia="宋体" w:cs="宋体"/>
                <w:color w:val="auto"/>
                <w:sz w:val="21"/>
                <w:szCs w:val="21"/>
              </w:rPr>
              <w:t>4.9.3 接口管理与运维能力</w:t>
            </w:r>
            <w:bookmarkEnd w:id="63"/>
          </w:p>
          <w:p w14:paraId="1B9ADC8E">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FR-INT-06 接口配置管理（★★★）</w:t>
            </w:r>
          </w:p>
          <w:p w14:paraId="54E2EEE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：系统应提供接口配置管理界面，支持对接现有平台的接口地址、超时时间、重试策略等配置。 </w:t>
            </w:r>
          </w:p>
          <w:p w14:paraId="1F0BE8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26DA206B">
            <w:pPr>
              <w:pStyle w:val="25"/>
              <w:pageBreakBefore w:val="0"/>
              <w:widowControl w:val="0"/>
              <w:numPr>
                <w:ilvl w:val="0"/>
                <w:numId w:val="1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应支持接口地址配置与修改。</w:t>
            </w:r>
          </w:p>
          <w:p w14:paraId="191A66B1">
            <w:pPr>
              <w:pStyle w:val="25"/>
              <w:pageBreakBefore w:val="0"/>
              <w:widowControl w:val="0"/>
              <w:numPr>
                <w:ilvl w:val="0"/>
                <w:numId w:val="1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应支持超时时间、重试次数、重试间隔配置。</w:t>
            </w:r>
          </w:p>
          <w:p w14:paraId="1710D8AB">
            <w:pPr>
              <w:pStyle w:val="25"/>
              <w:pageBreakBefore w:val="0"/>
              <w:widowControl w:val="0"/>
              <w:numPr>
                <w:ilvl w:val="0"/>
                <w:numId w:val="19"/>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配置变更应记录审计日志。</w:t>
            </w:r>
          </w:p>
          <w:p w14:paraId="7D82551B">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FR-INT-07 接口异常处理与补偿（★★★）</w:t>
            </w:r>
          </w:p>
          <w:p w14:paraId="64F5FD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：系统应具备接口异常处理与数据补偿能力，保证数据不丢不重。 </w:t>
            </w:r>
          </w:p>
          <w:p w14:paraId="0C07E42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31D3EC01">
            <w:pPr>
              <w:pStyle w:val="25"/>
              <w:pageBreakBefore w:val="0"/>
              <w:widowControl w:val="0"/>
              <w:numPr>
                <w:ilvl w:val="0"/>
                <w:numId w:val="20"/>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结果回传失败时，应支持自动重试与人工手动重传。</w:t>
            </w:r>
          </w:p>
          <w:p w14:paraId="2A11A6A0">
            <w:pPr>
              <w:pStyle w:val="25"/>
              <w:pageBreakBefore w:val="0"/>
              <w:widowControl w:val="0"/>
              <w:numPr>
                <w:ilvl w:val="0"/>
                <w:numId w:val="20"/>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应提供失败记录清单，支持按失败原因筛选与批量重试。</w:t>
            </w:r>
          </w:p>
          <w:p w14:paraId="55489531">
            <w:pPr>
              <w:pStyle w:val="5"/>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FR-INT-08 接口安全要求（★★★）</w:t>
            </w:r>
          </w:p>
          <w:p w14:paraId="5BB315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r>
              <w:rPr>
                <w:rFonts w:hint="eastAsia" w:ascii="宋体" w:hAnsi="宋体" w:eastAsia="宋体" w:cs="宋体"/>
                <w:sz w:val="21"/>
                <w:szCs w:val="21"/>
              </w:rPr>
              <w:t xml:space="preserve">：接口交互应满足安全要求。 </w:t>
            </w:r>
          </w:p>
          <w:p w14:paraId="5C904E3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功能要求</w:t>
            </w:r>
            <w:r>
              <w:rPr>
                <w:rFonts w:hint="eastAsia" w:ascii="宋体" w:hAnsi="宋体" w:eastAsia="宋体" w:cs="宋体"/>
                <w:sz w:val="21"/>
                <w:szCs w:val="21"/>
              </w:rPr>
              <w:t>：</w:t>
            </w:r>
          </w:p>
          <w:p w14:paraId="2E957946">
            <w:pPr>
              <w:pStyle w:val="25"/>
              <w:pageBreakBefore w:val="0"/>
              <w:widowControl w:val="0"/>
              <w:numPr>
                <w:ilvl w:val="0"/>
                <w:numId w:val="21"/>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bookmarkStart w:id="64" w:name="OLE_LINK2"/>
            <w:r>
              <w:rPr>
                <w:rFonts w:hint="eastAsia" w:ascii="宋体" w:hAnsi="宋体" w:eastAsia="宋体" w:cs="宋体"/>
                <w:sz w:val="21"/>
                <w:szCs w:val="21"/>
              </w:rPr>
              <w:t>接口应具备限流与防重放能力。</w:t>
            </w:r>
          </w:p>
          <w:p w14:paraId="3233F492">
            <w:pPr>
              <w:pStyle w:val="25"/>
              <w:pageBreakBefore w:val="0"/>
              <w:widowControl w:val="0"/>
              <w:numPr>
                <w:ilvl w:val="0"/>
                <w:numId w:val="21"/>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接口调用日志应完整记录，保留不少于90天</w:t>
            </w:r>
            <w:bookmarkEnd w:id="64"/>
            <w:r>
              <w:rPr>
                <w:rFonts w:hint="eastAsia" w:ascii="宋体" w:hAnsi="宋体" w:eastAsia="宋体" w:cs="宋体"/>
                <w:sz w:val="21"/>
                <w:szCs w:val="21"/>
              </w:rPr>
              <w:t>。</w:t>
            </w:r>
          </w:p>
        </w:tc>
        <w:tc>
          <w:tcPr>
            <w:tcW w:w="421" w:type="pct"/>
            <w:vAlign w:val="center"/>
          </w:tcPr>
          <w:p w14:paraId="720557E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16FB1E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8F6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D22EBF9">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275BC99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5 关键业务规则汇总</w:t>
            </w:r>
          </w:p>
        </w:tc>
        <w:tc>
          <w:tcPr>
            <w:tcW w:w="3815" w:type="pct"/>
            <w:shd w:val="clear" w:color="auto" w:fill="auto"/>
            <w:vAlign w:val="center"/>
          </w:tcPr>
          <w:p w14:paraId="5E8D25D0">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5" w:name="_Toc29162"/>
            <w:r>
              <w:rPr>
                <w:rFonts w:hint="eastAsia" w:ascii="宋体" w:hAnsi="宋体" w:eastAsia="宋体" w:cs="宋体"/>
                <w:color w:val="auto"/>
                <w:sz w:val="21"/>
                <w:szCs w:val="21"/>
              </w:rPr>
              <w:t>5.1 终端与调度域（BR-01～BR-10）</w:t>
            </w:r>
            <w:bookmarkEnd w:id="65"/>
          </w:p>
          <w:tbl>
            <w:tblPr>
              <w:tblStyle w:val="15"/>
              <w:tblW w:w="5343"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386"/>
              <w:gridCol w:w="9113"/>
            </w:tblGrid>
            <w:tr w14:paraId="7AD9F03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7F086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规则编号</w:t>
                  </w:r>
                </w:p>
              </w:tc>
              <w:tc>
                <w:tcPr>
                  <w:tcW w:w="434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17382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规则描述</w:t>
                  </w:r>
                </w:p>
              </w:tc>
            </w:tr>
            <w:tr w14:paraId="3772B1D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E17EF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BR-01</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D0B5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同一终端同一时间只能执行一个任务，重叠时间段内不允许被两个任务同时占用</w:t>
                  </w:r>
                </w:p>
              </w:tc>
            </w:tr>
            <w:tr w14:paraId="7DBAC73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1CEE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BR-02</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F06DC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任务执行前终端离线或自检不通过，须剔除该终端并在报告中单独标注，其余终端继续执行</w:t>
                  </w:r>
                </w:p>
              </w:tc>
            </w:tr>
            <w:tr w14:paraId="0D1AD8B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7877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BR-03</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91D9E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任务仅在配置的时间段内执行；到达执行日但不在时间段内，任务进入"等待窗口"状态，到点自动启动</w:t>
                  </w:r>
                </w:p>
              </w:tc>
            </w:tr>
            <w:tr w14:paraId="6A3DAF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F8BD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BR-04</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67943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任务超窗按配置策略处理，默认"暂停并顺延"；顺延后续跑须保证已测内容不重复、未测内容不遗漏</w:t>
                  </w:r>
                </w:p>
              </w:tc>
            </w:tr>
            <w:tr w14:paraId="4D089C7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8C605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BR-05</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59ED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周期与时间段叠加生效：周期决定"哪天执行"，时间段决定"当天何时执行"</w:t>
                  </w:r>
                </w:p>
              </w:tc>
            </w:tr>
            <w:tr w14:paraId="40F6A4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66636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BR-06</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015EA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首次判定异常须自动重试确认，重试后仍异常方计入报告；重试通过的标记"偶发已恢复"并单独展示</w:t>
                  </w:r>
                </w:p>
              </w:tc>
            </w:tr>
            <w:tr w14:paraId="5B25BD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1D73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BR-07</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F2B6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报告须标注执行终端、实际执行时间段、是否超窗以及所用判定规则集版本</w:t>
                  </w:r>
                </w:p>
              </w:tc>
            </w:tr>
            <w:tr w14:paraId="708721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D180E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BR-08</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4BAD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CP对接负责人仅可查看本CP相关报告与异常，且仅可使用自动调度方式创建任务，不得指定终端</w:t>
                  </w:r>
                </w:p>
              </w:tc>
            </w:tr>
            <w:tr w14:paraId="641BA4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186D7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BR-09</w:t>
                  </w:r>
                </w:p>
              </w:tc>
              <w:tc>
                <w:tcPr>
                  <w:tcW w:w="43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2D39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全量复制模式下，同一内容在多终端结果不一致时，须在报告中单独列出"结果不一致清单"</w:t>
                  </w:r>
                </w:p>
              </w:tc>
            </w:tr>
            <w:tr w14:paraId="78B5A49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6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72027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BR-10</w:t>
                  </w:r>
                </w:p>
              </w:tc>
              <w:tc>
                <w:tcPr>
                  <w:tcW w:w="43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D60E8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时间窗判断以平台统一时区（默认北京时间）为准；调度服务器与终端时钟须NTP同步</w:t>
                  </w:r>
                </w:p>
              </w:tc>
            </w:tr>
          </w:tbl>
          <w:p w14:paraId="48980AE1">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27456C8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57E1D829">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794B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E7810A4">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1C8BD86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6B7818A8">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6" w:name="_Toc2878"/>
            <w:r>
              <w:rPr>
                <w:rFonts w:hint="eastAsia" w:ascii="宋体" w:hAnsi="宋体" w:eastAsia="宋体" w:cs="宋体"/>
                <w:color w:val="auto"/>
                <w:sz w:val="21"/>
                <w:szCs w:val="21"/>
              </w:rPr>
              <w:t>5.2 范围配置域（BR-11～BR-17）</w:t>
            </w:r>
            <w:bookmarkEnd w:id="66"/>
          </w:p>
          <w:tbl>
            <w:tblPr>
              <w:tblStyle w:val="15"/>
              <w:tblW w:w="5343"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18"/>
              <w:gridCol w:w="9581"/>
            </w:tblGrid>
            <w:tr w14:paraId="6A5B19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956E3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规则编号</w:t>
                  </w:r>
                </w:p>
              </w:tc>
              <w:tc>
                <w:tcPr>
                  <w:tcW w:w="4563"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554842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规则描述</w:t>
                  </w:r>
                </w:p>
              </w:tc>
            </w:tr>
            <w:tr w14:paraId="669298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FBC4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BR-11</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AC13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拨测范围的专区、栏目、内容、CP数据以现有平台接口获取的数据为唯一权威数据源，新建系统不得自行编造或维护业务数据</w:t>
                  </w:r>
                </w:p>
              </w:tc>
            </w:tr>
            <w:tr w14:paraId="7C44E9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F2D9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BR-12</w:t>
                  </w:r>
                </w:p>
              </w:tc>
              <w:tc>
                <w:tcPr>
                  <w:tcW w:w="456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9E18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多维度范围组合一律按交集计算；交集为空时不允许提交任务并提示原因</w:t>
                  </w:r>
                </w:p>
              </w:tc>
            </w:tr>
            <w:tr w14:paraId="3610C4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C34D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BR-13</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86F8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范围预览数量须与实际执行清单一致；因EPG实时变化产生的差异，以任务执行时的实际清单为准，并在报告中说明差异条数</w:t>
                  </w:r>
                </w:p>
              </w:tc>
            </w:tr>
            <w:tr w14:paraId="12E3E8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61E82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BR-14</w:t>
                  </w:r>
                </w:p>
              </w:tc>
              <w:tc>
                <w:tcPr>
                  <w:tcW w:w="456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146D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范围差异超过阈值（默认新增内容占比&gt;20%，可配置）时，须提示运营确认后方可提交</w:t>
                  </w:r>
                </w:p>
              </w:tc>
            </w:tr>
            <w:tr w14:paraId="2CB1402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4ED5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BR-15</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68F53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按指定内容拨测时，批量导入的内容ID须先经现有平台数据校验；不存在或已下线的内容ID须在导入结果中逐条列明</w:t>
                  </w:r>
                </w:p>
              </w:tc>
            </w:tr>
            <w:tr w14:paraId="2F04D01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6F6DE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BR-16</w:t>
                  </w:r>
                </w:p>
              </w:tc>
              <w:tc>
                <w:tcPr>
                  <w:tcW w:w="456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B82A8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EPG资源树同步失败时须告警，且不影响已同步数据的可用性；同步记录须可追溯</w:t>
                  </w:r>
                </w:p>
              </w:tc>
            </w:tr>
            <w:tr w14:paraId="2BB651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6B096E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BR-17</w:t>
                  </w:r>
                </w:p>
              </w:tc>
              <w:tc>
                <w:tcPr>
                  <w:tcW w:w="456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F9A798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拨测范围允许因EPG实时变化产生的合理差异，执行时以实际清单为准</w:t>
                  </w:r>
                </w:p>
              </w:tc>
            </w:tr>
          </w:tbl>
          <w:p w14:paraId="6B8303E3">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60180B7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427E17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3D69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6B626EF">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4E91A32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ECF4342">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7" w:name="_Toc18279"/>
            <w:r>
              <w:rPr>
                <w:rFonts w:hint="eastAsia" w:ascii="宋体" w:hAnsi="宋体" w:eastAsia="宋体" w:cs="宋体"/>
                <w:color w:val="auto"/>
                <w:sz w:val="21"/>
                <w:szCs w:val="21"/>
              </w:rPr>
              <w:t>5.3 判定与归因域（BR-18～BR-22）</w:t>
            </w:r>
            <w:bookmarkEnd w:id="67"/>
          </w:p>
          <w:tbl>
            <w:tblPr>
              <w:tblStyle w:val="15"/>
              <w:tblW w:w="5028"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39"/>
              <w:gridCol w:w="8941"/>
            </w:tblGrid>
            <w:tr w14:paraId="02E35C1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DDDE1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规则编号</w:t>
                  </w:r>
                </w:p>
              </w:tc>
              <w:tc>
                <w:tcPr>
                  <w:tcW w:w="452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CB7CF2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规则描述</w:t>
                  </w:r>
                </w:p>
              </w:tc>
            </w:tr>
            <w:tr w14:paraId="0EE6767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54D5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BR-18</w:t>
                  </w:r>
                </w:p>
              </w:tc>
              <w:tc>
                <w:tcPr>
                  <w:tcW w:w="45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BE94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异常须按"大类+子类型+严重级"归类，严重级分为高/中两级，报告默认按严重级排序</w:t>
                  </w:r>
                </w:p>
              </w:tc>
            </w:tr>
            <w:tr w14:paraId="6CAC3F0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2C83B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BR-19</w:t>
                  </w:r>
                </w:p>
              </w:tc>
              <w:tc>
                <w:tcPr>
                  <w:tcW w:w="45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14C0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判定规则须可配置、不硬编码；规则变更须记录版本，报告标注所用版本</w:t>
                  </w:r>
                </w:p>
              </w:tc>
            </w:tr>
            <w:tr w14:paraId="0CB658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99534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BR-20</w:t>
                  </w:r>
                </w:p>
              </w:tc>
              <w:tc>
                <w:tcPr>
                  <w:tcW w:w="45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2DDB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异常复核状态分为"确认异常/误报/待复核"；报告须区分"系统判定异常"与"人工确认异常"，质量看板以人工确认口径为准</w:t>
                  </w:r>
                </w:p>
              </w:tc>
            </w:tr>
            <w:tr w14:paraId="57B07F2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7948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BR-21</w:t>
                  </w:r>
                </w:p>
              </w:tc>
              <w:tc>
                <w:tcPr>
                  <w:tcW w:w="45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730F9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每个异常须完成多维归因，至少输出内容路径、CP、异常类型、严重级、执行终端五类信息</w:t>
                  </w:r>
                </w:p>
              </w:tc>
            </w:tr>
            <w:tr w14:paraId="3527945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6F2E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BR-22</w:t>
                  </w:r>
                </w:p>
              </w:tc>
              <w:tc>
                <w:tcPr>
                  <w:tcW w:w="45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3B4C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同一内容连续多次巡检异常须标记"持续异常"并优先展示；某CP异常率显著高于均值时须聚合提示"CP级问题"</w:t>
                  </w:r>
                </w:p>
              </w:tc>
            </w:tr>
          </w:tbl>
          <w:p w14:paraId="58B26DFA">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7BC2712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F33912A">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0944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7965BC97">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28E092C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653612F">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8" w:name="_Toc28782"/>
            <w:r>
              <w:rPr>
                <w:rFonts w:hint="eastAsia" w:ascii="宋体" w:hAnsi="宋体" w:eastAsia="宋体" w:cs="宋体"/>
                <w:color w:val="auto"/>
                <w:sz w:val="21"/>
                <w:szCs w:val="21"/>
              </w:rPr>
              <w:t>5.4 接口集成域（BR-23～BR-31）</w:t>
            </w:r>
            <w:bookmarkEnd w:id="68"/>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385"/>
              <w:gridCol w:w="8440"/>
            </w:tblGrid>
            <w:tr w14:paraId="7C3FF1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C432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规则编号</w:t>
                  </w:r>
                </w:p>
              </w:tc>
              <w:tc>
                <w:tcPr>
                  <w:tcW w:w="429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CD1231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规则描述</w:t>
                  </w:r>
                </w:p>
              </w:tc>
            </w:tr>
            <w:tr w14:paraId="3F06739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33114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BR-23</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E2AF4F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加密传输，界面不明文展示</w:t>
                  </w:r>
                </w:p>
              </w:tc>
            </w:tr>
            <w:tr w14:paraId="6736CB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8DE9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BR-24</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5358F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资源数据获取须支持全量与增量两种方式；增量数据与本地数据合并时须保证不重复、不丢失，冲突时以现有平台数据为准覆盖本地</w:t>
                  </w:r>
                </w:p>
              </w:tc>
            </w:tr>
            <w:tr w14:paraId="0042D6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1CA8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BR-25</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774B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结果回传、事件订阅、状态回传等接口须具备幂等性：同一业务请求因重试或重复推送被多次提交时，接收方不得产生重复数据或重复副作用。结果回传以"任务ID+内容ID+异常类型"为幂等键</w:t>
                  </w:r>
                </w:p>
              </w:tc>
            </w:tr>
            <w:tr w14:paraId="5D9CD2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32EC6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BR-26</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A3729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接口调用失败须自动重试（次数与间隔可配置）；重试仍失败须告警并支持人工手动重传；失败记录须可查、可批量重试</w:t>
                  </w:r>
                </w:p>
              </w:tc>
            </w:tr>
            <w:tr w14:paraId="281942D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5413F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BR-27</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8E534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结果回传中的内容ID、CP、专区/栏目标识须与现有平台一致，保证可正确关联；标识不一致的数据须进入异常清单待人工核对</w:t>
                  </w:r>
                </w:p>
              </w:tc>
            </w:tr>
            <w:tr w14:paraId="06C8D0E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256F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BR-28</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4181F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回传内容须支持全量与增量两种模式；截图/报告以可访问链接方式回传，链接须具备权限控制与有效期</w:t>
                  </w:r>
                </w:p>
              </w:tc>
            </w:tr>
            <w:tr w14:paraId="4039E9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03516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BR-29</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757100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异常状态变更须回传现有平台，并与新建系统内状态保持最终一致；回传失败不影响新建系统内状态生效</w:t>
                  </w:r>
                </w:p>
              </w:tc>
            </w:tr>
            <w:tr w14:paraId="6AC5AD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C7ADC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BR-30</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6384A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接口调用日志与回传记录保留不少于90天；接口配置变更须记录审计日志</w:t>
                  </w:r>
                </w:p>
              </w:tc>
            </w:tr>
            <w:tr w14:paraId="323C0B0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A6B8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BR-31</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0875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接口连续失败或成功率低于阈值时须触发告警；须提供接口连通性测试与对账能力，对账差异须输出差异清单</w:t>
                  </w:r>
                </w:p>
              </w:tc>
            </w:tr>
          </w:tbl>
          <w:p w14:paraId="07C4EA13">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4D9516B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5BD07F9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60B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7922D41B">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E1DA71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4809B62">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69" w:name="_Toc15108"/>
            <w:r>
              <w:rPr>
                <w:rFonts w:hint="eastAsia" w:ascii="宋体" w:hAnsi="宋体" w:eastAsia="宋体" w:cs="宋体"/>
                <w:color w:val="auto"/>
                <w:sz w:val="21"/>
                <w:szCs w:val="21"/>
              </w:rPr>
              <w:t>5.5 报告与闭环域（BR-32～BR-36）</w:t>
            </w:r>
            <w:bookmarkEnd w:id="69"/>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84"/>
              <w:gridCol w:w="8841"/>
            </w:tblGrid>
            <w:tr w14:paraId="73647D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4D5D82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规则编号</w:t>
                  </w:r>
                </w:p>
              </w:tc>
              <w:tc>
                <w:tcPr>
                  <w:tcW w:w="449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D1B9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规则描述</w:t>
                  </w:r>
                </w:p>
              </w:tc>
            </w:tr>
            <w:tr w14:paraId="392AD13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1EFC5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BR-32</w:t>
                  </w:r>
                </w:p>
              </w:tc>
              <w:tc>
                <w:tcPr>
                  <w:tcW w:w="449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C3AF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报告须遵循"结论先行、异常优先、正常折叠"原则，首屏回答"有没有问题、问题多不多、最该先看哪条"</w:t>
                  </w:r>
                </w:p>
              </w:tc>
            </w:tr>
            <w:tr w14:paraId="75CB521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A951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BR-33</w:t>
                  </w:r>
                </w:p>
              </w:tc>
              <w:tc>
                <w:tcPr>
                  <w:tcW w:w="449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98FA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每条异常须附异常发生时截图，截图可放大；导航路径须可生成复现指引</w:t>
                  </w:r>
                </w:p>
              </w:tc>
            </w:tr>
            <w:tr w14:paraId="3F2678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201A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BR-34</w:t>
                  </w:r>
                </w:p>
              </w:tc>
              <w:tc>
                <w:tcPr>
                  <w:tcW w:w="449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B452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报告导出PDF须保持页面布局与截图清晰度，导出Excel须含结构化字段</w:t>
                  </w:r>
                </w:p>
              </w:tc>
            </w:tr>
            <w:tr w14:paraId="1C1E50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F18D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BR-35</w:t>
                  </w:r>
                </w:p>
              </w:tc>
              <w:tc>
                <w:tcPr>
                  <w:tcW w:w="449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BED91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告警须降噪：同一异常冷却期内不重复推送，批量异常聚合为专区级告警，支持静默期配置</w:t>
                  </w:r>
                </w:p>
              </w:tc>
            </w:tr>
          </w:tbl>
          <w:p w14:paraId="559E8DEB">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639BC04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38BA070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6803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210C68A4">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330F0BA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209C8AD">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0" w:name="_Toc12210"/>
            <w:r>
              <w:rPr>
                <w:rFonts w:hint="eastAsia" w:ascii="宋体" w:hAnsi="宋体" w:eastAsia="宋体" w:cs="宋体"/>
                <w:color w:val="auto"/>
                <w:sz w:val="21"/>
                <w:szCs w:val="21"/>
              </w:rPr>
              <w:t>5.6 系统与安全域（BR-37～BR-40）</w:t>
            </w:r>
            <w:bookmarkEnd w:id="70"/>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79"/>
              <w:gridCol w:w="8846"/>
            </w:tblGrid>
            <w:tr w14:paraId="6640126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6467C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规则编号</w:t>
                  </w:r>
                </w:p>
              </w:tc>
              <w:tc>
                <w:tcPr>
                  <w:tcW w:w="450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2EEB3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规则描述</w:t>
                  </w:r>
                </w:p>
              </w:tc>
            </w:tr>
            <w:tr w14:paraId="7AB36CE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0E167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BR-36</w:t>
                  </w:r>
                </w:p>
              </w:tc>
              <w:tc>
                <w:tcPr>
                  <w:tcW w:w="450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E7FA2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系统须按权限矩阵控制功能权限，CP负责人数据隔离；接口配置与密钥管理仅系统管理员可操作</w:t>
                  </w:r>
                </w:p>
              </w:tc>
            </w:tr>
            <w:tr w14:paraId="2C5113A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0664BB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BR-37</w:t>
                  </w:r>
                </w:p>
              </w:tc>
              <w:tc>
                <w:tcPr>
                  <w:tcW w:w="450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7364F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任务创建、规则变更、误报标记、终端定向下发、接口配置变更等关键操作须留痕，支持查询</w:t>
                  </w:r>
                </w:p>
              </w:tc>
            </w:tr>
            <w:tr w14:paraId="704519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6B4E5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BR-38</w:t>
                  </w:r>
                </w:p>
              </w:tc>
              <w:tc>
                <w:tcPr>
                  <w:tcW w:w="450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A989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报告与截图保留不少于90天（可配置）；接口调用日志与回传记录保留不少于90天</w:t>
                  </w:r>
                </w:p>
              </w:tc>
            </w:tr>
            <w:tr w14:paraId="0CE8228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E722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BR-39</w:t>
                  </w:r>
                </w:p>
              </w:tc>
              <w:tc>
                <w:tcPr>
                  <w:tcW w:w="450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19649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终端在线/占用状态刷新延迟≤10秒，避免任务选中刚被占用的终端</w:t>
                  </w:r>
                </w:p>
              </w:tc>
            </w:tr>
          </w:tbl>
          <w:p w14:paraId="5E0923D3">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634D6A0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DEC629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309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6014242">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19F3FA5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6 规模参数</w:t>
            </w:r>
          </w:p>
        </w:tc>
        <w:tc>
          <w:tcPr>
            <w:tcW w:w="3815" w:type="pct"/>
            <w:shd w:val="clear" w:color="auto" w:fill="auto"/>
            <w:vAlign w:val="center"/>
          </w:tcPr>
          <w:p w14:paraId="0E54EF1B">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1" w:name="_Toc8407"/>
            <w:r>
              <w:rPr>
                <w:rFonts w:hint="eastAsia" w:ascii="宋体" w:hAnsi="宋体" w:eastAsia="宋体" w:cs="宋体"/>
                <w:color w:val="auto"/>
                <w:sz w:val="21"/>
                <w:szCs w:val="21"/>
              </w:rPr>
              <w:t>6.1 业务规模参数</w:t>
            </w:r>
            <w:bookmarkEnd w:id="71"/>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076"/>
              <w:gridCol w:w="1931"/>
              <w:gridCol w:w="1453"/>
              <w:gridCol w:w="1453"/>
              <w:gridCol w:w="3912"/>
            </w:tblGrid>
            <w:tr w14:paraId="27FA5C9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B65A8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983"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5EE468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115AB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本期基线</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5F29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三年扩展</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8D755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24A038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BDE5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SC-01</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2187E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纳管拨测终端数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6853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5E35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3D88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真实机顶盒终端，含控制与采集装置</w:t>
                  </w:r>
                </w:p>
              </w:tc>
            </w:tr>
            <w:tr w14:paraId="353E20A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A7EE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SC-02</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63F92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终端组数量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595EB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93C31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B001B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按位置/型号/用途编组</w:t>
                  </w:r>
                </w:p>
              </w:tc>
            </w:tr>
            <w:tr w14:paraId="6AC2D42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77340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SC-03</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71307F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专区数量</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2492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236B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E1C1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从现有平台同步</w:t>
                  </w:r>
                </w:p>
              </w:tc>
            </w:tr>
            <w:tr w14:paraId="778D18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52138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SC-04</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AC39B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栏目数量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1E25F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A456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9EA0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从现有平台同步</w:t>
                  </w:r>
                </w:p>
              </w:tc>
            </w:tr>
            <w:tr w14:paraId="06E1BB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E22F3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SC-05</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39B9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内容条目数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950F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797EB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≥50,000条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FF796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从现有平台同步</w:t>
                  </w:r>
                </w:p>
              </w:tc>
            </w:tr>
            <w:tr w14:paraId="064C01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D8E40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SC-06</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7AFFA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CP数量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51DFEF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ACC44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63D76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从现有平台同步</w:t>
                  </w:r>
                </w:p>
              </w:tc>
            </w:tr>
            <w:tr w14:paraId="76D5C5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D81A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SC-07</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8B4F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单任务拨测内容条数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70ED7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52D51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bookmarkStart w:id="72" w:name="OLE_LINK5"/>
                  <w:r>
                    <w:rPr>
                      <w:rFonts w:hint="eastAsia" w:ascii="宋体" w:hAnsi="宋体" w:eastAsia="宋体" w:cs="宋体"/>
                      <w:sz w:val="21"/>
                      <w:szCs w:val="21"/>
                    </w:rPr>
                    <w:t>5,000条</w:t>
                  </w:r>
                  <w:bookmarkEnd w:id="72"/>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C655C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单次任务遍历上限</w:t>
                  </w:r>
                </w:p>
              </w:tc>
            </w:tr>
            <w:tr w14:paraId="6D7179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1421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SC-08</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4795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单终端单任务遍历条数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A4D96A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≥200条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D9890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≥500条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F336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受时间窗约束的单终端处理能力</w:t>
                  </w:r>
                </w:p>
              </w:tc>
            </w:tr>
            <w:tr w14:paraId="647C503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49E70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SC-09</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F302C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并发拨测任务数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1E0B4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A4A5F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7F23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同时处于"执行中"状态的任务</w:t>
                  </w:r>
                </w:p>
              </w:tc>
            </w:tr>
            <w:tr w14:paraId="17ED610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1E5F6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SC-10</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3F54F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排队任务数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ACC5A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2689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6B6AC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等待终端或等待窗口的任务</w:t>
                  </w:r>
                </w:p>
              </w:tc>
            </w:tr>
            <w:tr w14:paraId="430BA23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B08E4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SC-11</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501FB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单日拨测总量</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DDF0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6B8D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≥5,000条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2E23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全系统单日累计拨测条目</w:t>
                  </w:r>
                </w:p>
              </w:tc>
            </w:tr>
            <w:tr w14:paraId="1E91FE2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5B39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SC-12</w:t>
                  </w:r>
                </w:p>
              </w:tc>
              <w:tc>
                <w:tcPr>
                  <w:tcW w:w="983"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6AF3BB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用户账号数</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92A6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0C95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≥150个</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E0F7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含各角色用户</w:t>
                  </w:r>
                </w:p>
              </w:tc>
            </w:tr>
            <w:tr w14:paraId="5D5AE0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CF02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SC-13</w:t>
                  </w:r>
                </w:p>
              </w:tc>
              <w:tc>
                <w:tcPr>
                  <w:tcW w:w="983"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ACDD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并发在线用户数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BC563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438C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65E6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同时使用管理后台</w:t>
                  </w:r>
                </w:p>
              </w:tc>
            </w:tr>
          </w:tbl>
          <w:p w14:paraId="12EE1320">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0B0B12F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98817A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638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E759BB4">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6E58FBAA">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0275E710">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3" w:name="_Toc27174"/>
            <w:r>
              <w:rPr>
                <w:rFonts w:hint="eastAsia" w:ascii="宋体" w:hAnsi="宋体" w:eastAsia="宋体" w:cs="宋体"/>
                <w:color w:val="auto"/>
                <w:sz w:val="21"/>
                <w:szCs w:val="21"/>
              </w:rPr>
              <w:t>6.2 性能规模参数</w:t>
            </w:r>
            <w:bookmarkEnd w:id="73"/>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30"/>
              <w:gridCol w:w="2969"/>
              <w:gridCol w:w="1666"/>
              <w:gridCol w:w="3960"/>
            </w:tblGrid>
            <w:tr w14:paraId="163395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02DF7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151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E7053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参数项</w:t>
                  </w:r>
                </w:p>
              </w:tc>
              <w:tc>
                <w:tcPr>
                  <w:tcW w:w="8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634411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指标要求</w:t>
                  </w:r>
                </w:p>
              </w:tc>
              <w:tc>
                <w:tcPr>
                  <w:tcW w:w="201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DB28F6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706E44B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0E009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SC-14</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3ABB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单条内容拨测平均耗时</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30C6F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≤60秒/条</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4D3EC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含页面遍历、播放验证、判定与重试</w:t>
                  </w:r>
                </w:p>
              </w:tc>
            </w:tr>
            <w:tr w14:paraId="3EF6C7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4EF3F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SC-15</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F1989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单终端单任务60条完成时长</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7838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≤70分钟</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1461C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在正常网络与判定规则下</w:t>
                  </w:r>
                </w:p>
              </w:tc>
            </w:tr>
            <w:tr w14:paraId="501425E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5762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SC-16</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6ED2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多终端并行报告汇总时长</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9F19F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≤10分钟</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B46F0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任务全部终端完成后至报告可查看</w:t>
                  </w:r>
                </w:p>
              </w:tc>
            </w:tr>
            <w:tr w14:paraId="34F9190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FED7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SC-17</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AD69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任务在时间段内启动偏差</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AB75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≤30秒</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D2D9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相对配置的时间段起点</w:t>
                  </w:r>
                </w:p>
              </w:tc>
            </w:tr>
            <w:tr w14:paraId="44B2232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431AC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SC-18</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6840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终端状态刷新延迟</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72FB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≤10秒</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237E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在线/占用状态</w:t>
                  </w:r>
                </w:p>
              </w:tc>
            </w:tr>
            <w:tr w14:paraId="7E91FF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FC33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SC-19</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5D85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管理后台页面响应时间</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D02F7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≤2秒</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B9F8F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常规查询页面，95分位</w:t>
                  </w:r>
                </w:p>
              </w:tc>
            </w:tr>
            <w:tr w14:paraId="69026DA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0068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SC-20</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C3BAB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报告首屏加载时间</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3DF66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≤5秒</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703D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含图表渲染</w:t>
                  </w:r>
                </w:p>
              </w:tc>
            </w:tr>
            <w:tr w14:paraId="1DAD7B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9BAA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SC-21</w:t>
                  </w:r>
                </w:p>
              </w:tc>
              <w:tc>
                <w:tcPr>
                  <w:tcW w:w="151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F3FB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结果回传单任务完成时长</w:t>
                  </w:r>
                </w:p>
              </w:tc>
              <w:tc>
                <w:tcPr>
                  <w:tcW w:w="8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0DAB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≤5分钟</w:t>
                  </w:r>
                </w:p>
              </w:tc>
              <w:tc>
                <w:tcPr>
                  <w:tcW w:w="201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7FC4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100条异常明细以内</w:t>
                  </w:r>
                </w:p>
              </w:tc>
            </w:tr>
            <w:tr w14:paraId="7A0C09C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633E1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SC-22</w:t>
                  </w:r>
                </w:p>
              </w:tc>
              <w:tc>
                <w:tcPr>
                  <w:tcW w:w="151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50BA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接口单次调用响应时间</w:t>
                  </w:r>
                </w:p>
              </w:tc>
              <w:tc>
                <w:tcPr>
                  <w:tcW w:w="8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108C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≤3秒</w:t>
                  </w:r>
                </w:p>
              </w:tc>
              <w:tc>
                <w:tcPr>
                  <w:tcW w:w="201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EC9B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95分位，不含批量回传</w:t>
                  </w:r>
                </w:p>
              </w:tc>
            </w:tr>
          </w:tbl>
          <w:p w14:paraId="3BEEEF06">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4EA3E0F3">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7B2AE36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3D4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6F973480">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2CA268D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3ADEFA52">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4" w:name="_Toc10102"/>
            <w:r>
              <w:rPr>
                <w:rFonts w:hint="eastAsia" w:ascii="宋体" w:hAnsi="宋体" w:eastAsia="宋体" w:cs="宋体"/>
                <w:color w:val="auto"/>
                <w:sz w:val="21"/>
                <w:szCs w:val="21"/>
              </w:rPr>
              <w:t>6.3 存储规模参数</w:t>
            </w:r>
            <w:bookmarkEnd w:id="74"/>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30"/>
              <w:gridCol w:w="3718"/>
              <w:gridCol w:w="2230"/>
              <w:gridCol w:w="2647"/>
            </w:tblGrid>
            <w:tr w14:paraId="4DAF1B0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735E11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189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90956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64BEF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指标要求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25F8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4BBEC1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ACFA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SC-23</w:t>
                  </w:r>
                </w:p>
              </w:tc>
              <w:tc>
                <w:tcPr>
                  <w:tcW w:w="189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1A2A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报告与截图在线保留期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E2EDA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≥90天（可配置）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C522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超期可归档</w:t>
                  </w:r>
                </w:p>
              </w:tc>
            </w:tr>
            <w:tr w14:paraId="0149449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77DB60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SC-24</w:t>
                  </w:r>
                </w:p>
              </w:tc>
              <w:tc>
                <w:tcPr>
                  <w:tcW w:w="189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BE4A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接口调用日志保留期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44620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≥90天</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72B9A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含请求/响应摘要</w:t>
                  </w:r>
                </w:p>
              </w:tc>
            </w:tr>
            <w:tr w14:paraId="39AA94A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D81CA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SC-25</w:t>
                  </w:r>
                </w:p>
              </w:tc>
              <w:tc>
                <w:tcPr>
                  <w:tcW w:w="189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D12D4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回传记录保留期</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C3021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≥90天</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340B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含回传状态与失败原因</w:t>
                  </w:r>
                </w:p>
              </w:tc>
            </w:tr>
            <w:tr w14:paraId="652568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62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DD55F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SC-26</w:t>
                  </w:r>
                </w:p>
              </w:tc>
              <w:tc>
                <w:tcPr>
                  <w:tcW w:w="189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3755A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业务数据（任务/结果/明细）保留期</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DE6D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≥1年</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25E0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支持按年归档</w:t>
                  </w:r>
                </w:p>
              </w:tc>
            </w:tr>
          </w:tbl>
          <w:p w14:paraId="36DCC56B">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7D7D043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096B92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7B4E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7232EB9">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43DB26F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AE8B527">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5" w:name="_Toc23166"/>
            <w:r>
              <w:rPr>
                <w:rFonts w:hint="eastAsia" w:ascii="宋体" w:hAnsi="宋体" w:eastAsia="宋体" w:cs="宋体"/>
                <w:color w:val="auto"/>
                <w:sz w:val="21"/>
                <w:szCs w:val="21"/>
              </w:rPr>
              <w:t>6.4 接口规模参数</w:t>
            </w:r>
            <w:bookmarkEnd w:id="75"/>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108"/>
              <w:gridCol w:w="3419"/>
              <w:gridCol w:w="3111"/>
              <w:gridCol w:w="2187"/>
            </w:tblGrid>
            <w:tr w14:paraId="21464A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7A6C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F9831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C9E194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指标要求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83CD8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244E4FA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9C200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SC-27</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8529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资源数据接口调用频率</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8F0F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增量≥每5分钟1次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61AD9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可配置</w:t>
                  </w:r>
                </w:p>
              </w:tc>
            </w:tr>
            <w:tr w14:paraId="6EC625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53926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SC-28</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24BB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结果回传批量大小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4A87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≥100条/批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4F7EF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可配置</w:t>
                  </w:r>
                </w:p>
              </w:tc>
            </w:tr>
            <w:tr w14:paraId="64A62A1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9B03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SC-29</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DAE8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接口并发调用数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10D22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≥20个</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5B46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含获取与回传</w:t>
                  </w:r>
                </w:p>
              </w:tc>
            </w:tr>
            <w:tr w14:paraId="02ECBD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AA37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E3280C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接口可用性</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8368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≥99.5%</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647FE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按日统计</w:t>
                  </w:r>
                </w:p>
              </w:tc>
            </w:tr>
            <w:tr w14:paraId="7B7B3FB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32D5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2423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接口失败自动重试次数</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6827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CD06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间隔可配置</w:t>
                  </w:r>
                </w:p>
              </w:tc>
            </w:tr>
          </w:tbl>
          <w:p w14:paraId="49F234E9">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5FEC5BD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3BF6F4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58B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43EEFD3E">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F952FF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248F07B">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6" w:name="_Toc7283"/>
            <w:r>
              <w:rPr>
                <w:rFonts w:hint="eastAsia" w:ascii="宋体" w:hAnsi="宋体" w:eastAsia="宋体" w:cs="宋体"/>
                <w:color w:val="auto"/>
                <w:sz w:val="21"/>
                <w:szCs w:val="21"/>
              </w:rPr>
              <w:t>6.5 部署与环境规模参数</w:t>
            </w:r>
            <w:bookmarkEnd w:id="76"/>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077"/>
              <w:gridCol w:w="1084"/>
              <w:gridCol w:w="4747"/>
              <w:gridCol w:w="2917"/>
            </w:tblGrid>
            <w:tr w14:paraId="60140E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33E68C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552"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C46D9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参数项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5133F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E6692A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67964DD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8D99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SC-32</w:t>
                  </w:r>
                </w:p>
              </w:tc>
              <w:tc>
                <w:tcPr>
                  <w:tcW w:w="5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557E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部署方式</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DBD62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支持招标人指定机房/专有云部署</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B338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满足IPTV专网接入要求</w:t>
                  </w:r>
                </w:p>
              </w:tc>
            </w:tr>
            <w:tr w14:paraId="2873EC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35DE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SC-33</w:t>
                  </w:r>
                </w:p>
              </w:tc>
              <w:tc>
                <w:tcPr>
                  <w:tcW w:w="5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9AFE9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拨测终端网络</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B027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终端须接入IPTV专网并完成认证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F32F8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与业务平台网络互通</w:t>
                  </w:r>
                </w:p>
              </w:tc>
            </w:tr>
            <w:tr w14:paraId="3217D92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41A7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SC-34</w:t>
                  </w:r>
                </w:p>
              </w:tc>
              <w:tc>
                <w:tcPr>
                  <w:tcW w:w="5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C5AE8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高可用要求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C556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管理平台支持双机/集群部署，单点故障不影响已执行任务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A2941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具体方案由投标人提出</w:t>
                  </w:r>
                </w:p>
              </w:tc>
            </w:tr>
            <w:tr w14:paraId="346DC14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7F15EE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SC-35</w:t>
                  </w:r>
                </w:p>
              </w:tc>
              <w:tc>
                <w:tcPr>
                  <w:tcW w:w="552"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1D23F7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数据备份</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DACF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业务数据与配置支持定期备份与恢复</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6449B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备份周期与保留策略由投标人提出</w:t>
                  </w:r>
                </w:p>
              </w:tc>
            </w:tr>
            <w:tr w14:paraId="468C6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9DD1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SC-36</w:t>
                  </w:r>
                </w:p>
              </w:tc>
              <w:tc>
                <w:tcPr>
                  <w:tcW w:w="552"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89B14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时钟同步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63CDE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服务器与终端支持NTP同步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DE3B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保障时间窗判断准确</w:t>
                  </w:r>
                </w:p>
              </w:tc>
            </w:tr>
          </w:tbl>
          <w:p w14:paraId="5C1343FD">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1E61513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74EE19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3A1B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E7BBD9A">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shd w:val="clear" w:color="auto" w:fill="auto"/>
            <w:vAlign w:val="center"/>
          </w:tcPr>
          <w:p w14:paraId="1EA4A38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bookmarkStart w:id="77" w:name="_Toc12699"/>
            <w:r>
              <w:rPr>
                <w:rStyle w:val="30"/>
                <w:rFonts w:hint="eastAsia" w:ascii="宋体" w:hAnsi="宋体" w:eastAsia="宋体" w:cs="宋体"/>
                <w:b w:val="0"/>
                <w:bCs w:val="0"/>
                <w:color w:val="auto"/>
                <w:sz w:val="21"/>
                <w:szCs w:val="21"/>
                <w:lang w:val="en-US" w:eastAsia="zh-CN"/>
              </w:rPr>
              <w:t>7 非功能需求</w:t>
            </w:r>
            <w:bookmarkEnd w:id="77"/>
          </w:p>
          <w:p w14:paraId="50937EC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076"/>
              <w:gridCol w:w="1081"/>
              <w:gridCol w:w="6632"/>
              <w:gridCol w:w="1036"/>
            </w:tblGrid>
            <w:tr w14:paraId="2FEDD2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D2337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55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B07D8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类别</w:t>
                  </w:r>
                </w:p>
              </w:tc>
              <w:tc>
                <w:tcPr>
                  <w:tcW w:w="337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710CC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需求描述</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A6F03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优先级</w:t>
                  </w:r>
                </w:p>
              </w:tc>
            </w:tr>
            <w:tr w14:paraId="671996E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BED3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NFR-01</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C2F6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性能</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70277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单终端单任务遍历≥200条内容；多终端并行报告汇总≤10分钟；支持排队任务数≥10；各项性能指标满足第6章规模参数要求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A7CA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1C6827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BE87B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NFR-02</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6843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可靠性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E41A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终端断开不影响其他终端；任务支持断点续跑；任务中断后可恢复；平台年可用性≥99.5%</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E55E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2AD92E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AE04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NFR-03</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DE05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准确性</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7DEC4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终端自检+重试确认机制；误报率目标&lt;5%（人工复核口径）；异常归因完整率100%</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DE5E6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6350D4E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C77F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NFR-04</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86EBF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调度准确性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AE9C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任务在时间段内启动的时间偏差≤30秒；等待窗口状态切换准确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4A89B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724B76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83E7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NFR-05</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5AE5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终端状态实时性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A31DE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终端在线/占用状态刷新延迟≤10秒</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2FC9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6BD816F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0A33E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NFR-06</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76AAC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时钟一致性</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83013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调度服务器与终端时钟NTP同步，防止时间窗判断偏差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D282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11EFC7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F4F0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NFR-07</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B357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兼容性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3ECB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支持主流IPTV机顶盒型号；投标人须提供适配型号清单及新增型号适配方案</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1942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6DBBF78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4F902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NFR-08</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59D3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安全</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0FE8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角色权限隔离、CP数据隔离、关键操作审计；限流、防重放；敏感数据加密传输；满足招标人信息安全管理制度要求</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64527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29FB1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1378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NFR-09</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0EB9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可维护性</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E0DA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判定规则与异常类型可配置，不硬编码；规则版本管理；系统提供运行日志与健康检查能力</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12139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5D1DCB6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6E87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NFR-10</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4A04B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可扩展性</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A4D0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终端数、内容数、任务数扩展时系统架构支持横向扩容，满足第6章"三年扩展"规模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DDCD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382926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10DF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NFR-11</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6943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部署要求</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49CFA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支持在招标人指定机房/网络环境部署，拨测终端需接入IPTV专网并完成认证；支持双机/集群高可用部署</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AF17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0E508A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BE33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NFR-12</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CBE37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数据保留</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E123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报告/截图保留≥90天可配置；接口日志与回传记录≥90天；业务数据≥1年，支持归档</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12D0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145FDB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89ED9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NFR-13</w:t>
                  </w:r>
                </w:p>
              </w:tc>
              <w:tc>
                <w:tcPr>
                  <w:tcW w:w="55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6CD4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审计合规</w:t>
                  </w:r>
                </w:p>
              </w:tc>
              <w:tc>
                <w:tcPr>
                  <w:tcW w:w="337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2FC0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关键操作留痕可查，日志不可篡改，满足审计要求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F656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3D3047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7BBB3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NFR-14</w:t>
                  </w:r>
                </w:p>
              </w:tc>
              <w:tc>
                <w:tcPr>
                  <w:tcW w:w="55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CA03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文档要求</w:t>
                  </w:r>
                </w:p>
              </w:tc>
              <w:tc>
                <w:tcPr>
                  <w:tcW w:w="337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F03D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提供完整的需求规格、设计文档、接口文档、部署文档、运维手册与用户操作手册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83EA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r>
          </w:tbl>
          <w:p w14:paraId="50363931">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4694AE0A">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0933CC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3671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412D0A2D">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shd w:val="clear" w:color="auto" w:fill="auto"/>
            <w:vAlign w:val="center"/>
          </w:tcPr>
          <w:p w14:paraId="67067F3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8 功能需求响应表</w:t>
            </w:r>
          </w:p>
        </w:tc>
        <w:tc>
          <w:tcPr>
            <w:tcW w:w="3815" w:type="pct"/>
            <w:shd w:val="clear" w:color="auto" w:fill="auto"/>
            <w:vAlign w:val="center"/>
          </w:tcPr>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843"/>
              <w:gridCol w:w="2812"/>
              <w:gridCol w:w="1108"/>
              <w:gridCol w:w="2270"/>
              <w:gridCol w:w="1792"/>
            </w:tblGrid>
            <w:tr w14:paraId="676FAEF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93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C6D4F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需求编号</w:t>
                  </w:r>
                </w:p>
              </w:tc>
              <w:tc>
                <w:tcPr>
                  <w:tcW w:w="143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89136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需求名称</w:t>
                  </w:r>
                </w:p>
              </w:tc>
              <w:tc>
                <w:tcPr>
                  <w:tcW w:w="564"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EC5B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优先级</w:t>
                  </w:r>
                </w:p>
              </w:tc>
              <w:tc>
                <w:tcPr>
                  <w:tcW w:w="115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77F1B9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响应（满足/部分满足/不满足）</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2530E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差异说明/实现方式</w:t>
                  </w:r>
                </w:p>
              </w:tc>
            </w:tr>
            <w:tr w14:paraId="239804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9783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AA51C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创建/编辑任务权限</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0F5A3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04C88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8E71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6B2D9E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F5E94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0243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指定终端下发权限</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F2930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FE9B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920D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74C756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36FC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737E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时间段配置权限</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D9AE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FBF14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631C9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43619F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40616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E6AC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终端组管理权限</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7767B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D3531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2771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98742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8DFBC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FR-PERM-05</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0006B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判定规则配置权限</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0E47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E00C9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50C44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2BED8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0AEBB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FR-PERM-06</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02A3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报告查看权限与CP隔离</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4EF5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292F2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0206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E8482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7BD58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FR-PERM-07</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FBCD0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异常复核权限</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A5FA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7540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043A7A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F8FC4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8861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FR-PERM-08</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72093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终端状态查看权限</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D281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ADB34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C47A2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832D5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7ADC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FR-PERM-09</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97483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操作审计查看权限</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5E6A59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6B59A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D5A9C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4C744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47E53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FR-PERM-10</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E3119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接口配置</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9C647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C8073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C9DA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1784B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9284D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FR-PERM-11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FF66C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回传记录查询权限</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15BF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604CC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6DEF0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A1D1D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0079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FR-TASK-01</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04793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任务创建与五要素配置</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4E100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E1450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20F3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267DB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FE94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FR-TASK-02</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95904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任务模板</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CDEB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C444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8AF8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370D9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5CF9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FR-TASK-03</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E20C9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历史任务管理</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0A4BB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F0832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7FA1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ABE385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632A4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FR-TERM-01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59158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终端列表与状态展示</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9C611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45A9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7B5D7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01C7422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84105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FR-TERM-02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7480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指定终端下发任务</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F708C4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C150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35B75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62255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407DF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FR-TERM-03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2D83B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终端组管理</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22CE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4CBE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7384E5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9C4953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2D0C1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FR-TERM-04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13646E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终端健康自检</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4A85E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009A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3622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6EF8A0A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9CAE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EDB0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多维度拨测范围配置</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787B3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ECA2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1F61D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F80769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33858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3A4153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范围预览</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CE1E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7C4B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7BDA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0EE2D1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532A3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868C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范围差异提醒</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D220E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45FE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3171A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05D1DAC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9DBB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FR-SCOPE-04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4322E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EPG资源树同步</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31A9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3B97F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420BF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6702E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C2A1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C698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按指定时间段执行</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C715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C93EF0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461A6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5295FD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C01D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2E21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超窗策略</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B88C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BF500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23CA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47EB0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1D8A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4B0F9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新增任务自动执行</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A281A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55B7E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7D85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359601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4F7F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FR-SCHED-04</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D165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终端占用冲突检测</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72958B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3DB22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E899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DB9965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C846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FR-SCHED-05</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481E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任务排队与优先级</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BFC3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C16FF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F0A3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B26221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CA2F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FR-SCHED-06</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92C0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断点续跑</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E38C7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9160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3CF2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3A4E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F5D5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FR-SCHED-07</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1005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调度日历视图</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BE64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23561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A9F83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691853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42351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FR-JUDGE-01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FCB3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拨测执行与画面采集</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826CB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917F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D9DA1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CF4994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AF8FE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FR-JUDGE-02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3068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异常检测</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206A4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9A5C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E2DA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D9A1A5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A8E5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FR-JUDGE-03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7D104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判定规则配置</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E52FC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66DE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8216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907722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BF21C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FR-JUDGE-04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4E8F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失败重试与二次确认</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F10F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FE16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AB4E6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05D9D8E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DB261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FR-JUDGE-05</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53AC4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人工复核与误报标记</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057A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3C8EF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4504E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5241C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2329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FR-RPT-01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0384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任务报告</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5FA5A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72860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8BE0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3FF0F6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5E9C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FR-RPT-02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B139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报告终端与时间维度</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F0596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462BDB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15F25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A9683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FDEE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FR-RPT-03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ADE5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日报/周报</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386B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738B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C2B4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84755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3462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FR-RPT-04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A9C4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CP质量报告</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D61D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36868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D49A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72BEB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97ACE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FR-RPT-05</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D186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报告易读性规范</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D1AAE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993C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AC5B0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33C7B9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034C9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FR-RPT-06</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9EA4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报告导出与触达</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1247E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5D8D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1CDC4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BF62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5D64B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FR-LOOP-01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ED57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告警规则与渠道</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3C411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9977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7739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29F45C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4664A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FR-LOOP-02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D8F90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告警降噪</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95ACC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411D3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D904F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83B076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44ADE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FR-LOOP-03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D10D4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异常工单与复测</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F72E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CCC3F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8707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31F3A0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986C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FR-LOOP-04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87B2D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闭环统计</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E570A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204C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2978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C3654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5D4B4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FR-LOOP-05</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1E0E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质量看板</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1A776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6488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E047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05DC29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E349E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FR-SYS-01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9712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角色权限与数据隔离</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A46B0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AAF1D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0BA5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B43A4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436EC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FR-SYS-02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FCC38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操作审计</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6E5A4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2DB0A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2B2C0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5E39C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1A5F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FR-SYS-03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C413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数据保留策略</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1FAC5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2352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00EE1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28D86A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0914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FR-SYS-04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658F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终端状态监控</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3969C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39AE6D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964B6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5DB72E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179373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FR-INT-01</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48069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资源数据获取接口</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32490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28F1A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CB788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36BA06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D34F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FR-INT-02</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ABFCF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内容变更事件订阅接口</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13AF1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30399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1EB0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9BC5D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F6280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FR-INT-03</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6A51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拨测结果回传接口</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C109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8F7E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E6B50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1684791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6B713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E3F07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异常状态回传接口</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8D3E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A1C29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B28AD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316A0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259F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FR-INT-05</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567B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任务信息同步接口</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CF6E1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DBEA72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1FF56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8D9FA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61542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FR-INT-06</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B542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接口配置管理</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D6881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D2EF6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DC3BA9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598456D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5FDA4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FR-INT-07</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45C3B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接口异常处理与补偿</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7208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CAE7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C2A301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67E048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50490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FR-INT-08</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37F8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接口安全要求</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439B1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A17B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FD56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7E769B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784A7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NFR-01～NFR-14</w:t>
                  </w:r>
                </w:p>
              </w:tc>
              <w:tc>
                <w:tcPr>
                  <w:tcW w:w="1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CD65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非功能需求（逐项响应）</w:t>
                  </w:r>
                </w:p>
              </w:tc>
              <w:tc>
                <w:tcPr>
                  <w:tcW w:w="56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EB4883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见第7章</w:t>
                  </w:r>
                </w:p>
              </w:tc>
              <w:tc>
                <w:tcPr>
                  <w:tcW w:w="115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D9FA1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5B73C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r w14:paraId="4632E1B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9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4890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SC-01～SC-36</w:t>
                  </w:r>
                </w:p>
              </w:tc>
              <w:tc>
                <w:tcPr>
                  <w:tcW w:w="1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E675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规模参数（逐项确认可满足）</w:t>
                  </w:r>
                </w:p>
              </w:tc>
              <w:tc>
                <w:tcPr>
                  <w:tcW w:w="56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38DE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见第6章</w:t>
                  </w:r>
                </w:p>
              </w:tc>
              <w:tc>
                <w:tcPr>
                  <w:tcW w:w="115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B4B9F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4E0C1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p>
              </w:tc>
            </w:tr>
          </w:tbl>
          <w:p w14:paraId="66B6CB8E">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026B7C1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CF05C3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7E59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388280BA">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280E9D7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9 交付物</w:t>
            </w:r>
          </w:p>
        </w:tc>
        <w:tc>
          <w:tcPr>
            <w:tcW w:w="3815" w:type="pct"/>
            <w:shd w:val="clear" w:color="auto" w:fill="auto"/>
            <w:vAlign w:val="center"/>
          </w:tcPr>
          <w:p w14:paraId="0321D8E9">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8" w:name="_Toc27494"/>
            <w:r>
              <w:rPr>
                <w:rFonts w:hint="eastAsia" w:ascii="宋体" w:hAnsi="宋体" w:eastAsia="宋体" w:cs="宋体"/>
                <w:color w:val="auto"/>
                <w:sz w:val="21"/>
                <w:szCs w:val="21"/>
              </w:rPr>
              <w:t>9.1 软件与配套交付物</w:t>
            </w:r>
            <w:bookmarkEnd w:id="78"/>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21"/>
              <w:gridCol w:w="1470"/>
              <w:gridCol w:w="5355"/>
              <w:gridCol w:w="1259"/>
              <w:gridCol w:w="820"/>
            </w:tblGrid>
            <w:tr w14:paraId="6750F06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48B1B7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7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7A88BC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交付物</w:t>
                  </w:r>
                </w:p>
              </w:tc>
              <w:tc>
                <w:tcPr>
                  <w:tcW w:w="272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806437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内容要求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35698E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交付形式</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348EA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交付节点</w:t>
                  </w:r>
                </w:p>
              </w:tc>
            </w:tr>
            <w:tr w14:paraId="5E107A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22D2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D-01</w:t>
                  </w:r>
                </w:p>
              </w:tc>
              <w:tc>
                <w:tcPr>
                  <w:tcW w:w="7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DEE2A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巡检拨测系统软件平台</w:t>
                  </w:r>
                </w:p>
              </w:tc>
              <w:tc>
                <w:tcPr>
                  <w:tcW w:w="27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E751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满足第4章全部功能需求与第7章非功能需求，含管理后台、调度引擎、判定引擎、报告中心、质量看板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22767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安装包+授权文件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28109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r w14:paraId="032DC5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2E88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D-02</w:t>
                  </w:r>
                </w:p>
              </w:tc>
              <w:tc>
                <w:tcPr>
                  <w:tcW w:w="7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28E0C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拨测终端配套</w:t>
                  </w:r>
                </w:p>
              </w:tc>
              <w:tc>
                <w:tcPr>
                  <w:tcW w:w="27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452C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机顶盒控制装置、画面采集装置、数量满足第6章SC-01规模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DB737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安装包+授权文件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E9BE1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r w14:paraId="695F75E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6AE2FB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D-03</w:t>
                  </w:r>
                </w:p>
              </w:tc>
              <w:tc>
                <w:tcPr>
                  <w:tcW w:w="7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36827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接口对接组件</w:t>
                  </w:r>
                </w:p>
              </w:tc>
              <w:tc>
                <w:tcPr>
                  <w:tcW w:w="27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CA3FD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与现有平台对接的数据获取、结果回传、事件订阅组件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3006A2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部署包+配置</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F46F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r w14:paraId="255DEC6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E3A117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D-04</w:t>
                  </w:r>
                </w:p>
              </w:tc>
              <w:tc>
                <w:tcPr>
                  <w:tcW w:w="7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BC6B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数据库与初始化脚本</w:t>
                  </w:r>
                </w:p>
              </w:tc>
              <w:tc>
                <w:tcPr>
                  <w:tcW w:w="272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7032B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建库脚本、初始化数据、升级脚本</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5685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脚本文件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4A66F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r w14:paraId="2E03BA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F43D6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D-05</w:t>
                  </w:r>
                </w:p>
              </w:tc>
              <w:tc>
                <w:tcPr>
                  <w:tcW w:w="7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843D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部署脚本与配置模板</w:t>
                  </w:r>
                </w:p>
              </w:tc>
              <w:tc>
                <w:tcPr>
                  <w:tcW w:w="272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43FDC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自动化部署脚本、环境配置模板</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FC4B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脚本+模板</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F52E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bl>
          <w:p w14:paraId="62D7814C">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2920DED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7CF43FC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A37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CCB5E74">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09A45C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60291AC7">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79" w:name="_Toc8967"/>
            <w:r>
              <w:rPr>
                <w:rFonts w:hint="eastAsia" w:ascii="宋体" w:hAnsi="宋体" w:eastAsia="宋体" w:cs="宋体"/>
                <w:color w:val="auto"/>
                <w:sz w:val="21"/>
                <w:szCs w:val="21"/>
              </w:rPr>
              <w:t>9.2 文档交付物</w:t>
            </w:r>
            <w:bookmarkEnd w:id="79"/>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21"/>
              <w:gridCol w:w="1428"/>
              <w:gridCol w:w="6102"/>
              <w:gridCol w:w="1374"/>
            </w:tblGrid>
            <w:tr w14:paraId="34B9A8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3F53E3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727"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26018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交付物</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B9F58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内容要求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B1D790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交付节点</w:t>
                  </w:r>
                </w:p>
              </w:tc>
            </w:tr>
            <w:tr w14:paraId="37C2EE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7DAE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D-06</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9CBB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需求规格说明书</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D3A92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最终确认的功能与非功能需求，与本文档对应</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0DE97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bookmarkStart w:id="80" w:name="OLE_LINK4"/>
                  <w:r>
                    <w:rPr>
                      <w:rFonts w:hint="eastAsia" w:ascii="宋体" w:hAnsi="宋体" w:eastAsia="宋体" w:cs="宋体"/>
                      <w:sz w:val="21"/>
                      <w:szCs w:val="21"/>
                    </w:rPr>
                    <w:t>合同签订后</w:t>
                  </w:r>
                  <w:bookmarkEnd w:id="80"/>
                </w:p>
              </w:tc>
            </w:tr>
            <w:tr w14:paraId="5D86594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35FE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D-07</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6A48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系统设计说明书</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6110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架构设计、模块设计、数据设计、部署设计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CFDE0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合同签订后</w:t>
                  </w:r>
                </w:p>
              </w:tc>
            </w:tr>
            <w:tr w14:paraId="4E37B0D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1D1B9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D-08</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B76A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接口文档</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8864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与现有平台全部接口的协议、字段、报文示例、错误码说明</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7442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联调前</w:t>
                  </w:r>
                </w:p>
              </w:tc>
            </w:tr>
            <w:tr w14:paraId="390FA4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8844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D-09</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B2400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数据库设计文档</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04E390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表结构、字段说明</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EDE8F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开发阶段</w:t>
                  </w:r>
                </w:p>
              </w:tc>
            </w:tr>
            <w:tr w14:paraId="5E4AA50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1B09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D-10</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3AE1B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部署实施手册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F27E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环境要求、部署步骤、配置说明、验证方法</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DD7E7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上线前</w:t>
                  </w:r>
                </w:p>
              </w:tc>
            </w:tr>
            <w:tr w14:paraId="76B9B1E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0AAD8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D-11</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41E06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运维手册</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4B9BB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日常运维、监控指标、故障处理、备份恢复、扩容操作</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EA1F8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上线前</w:t>
                  </w:r>
                </w:p>
              </w:tc>
            </w:tr>
            <w:tr w14:paraId="767148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E9EA0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D-12</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C471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用户操作手册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48DC5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分角色（运营/运维/CP/质量管理员/系统管理员）操作说明</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3A23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上线前</w:t>
                  </w:r>
                </w:p>
              </w:tc>
            </w:tr>
            <w:tr w14:paraId="6BC3D1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09B0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D-13</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CCDC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测试报告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3054B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功能测试、性能测试、接口测试、安全测试报告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2F40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验收前</w:t>
                  </w:r>
                </w:p>
              </w:tc>
            </w:tr>
            <w:tr w14:paraId="7BF8C5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536B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D-14</w:t>
                  </w:r>
                </w:p>
              </w:tc>
              <w:tc>
                <w:tcPr>
                  <w:tcW w:w="727"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418E8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培训材料</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F04C9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培训手册、常见问题FAQ</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B5D6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培训前</w:t>
                  </w:r>
                </w:p>
              </w:tc>
            </w:tr>
            <w:tr w14:paraId="1E4F14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AE10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D-15</w:t>
                  </w:r>
                </w:p>
              </w:tc>
              <w:tc>
                <w:tcPr>
                  <w:tcW w:w="727"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B400B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终端适配清单</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8C1C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支持适配的机顶盒型号清单及适配说明</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2BB1C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上线前</w:t>
                  </w:r>
                </w:p>
              </w:tc>
            </w:tr>
          </w:tbl>
          <w:p w14:paraId="286AE04C">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6021731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394BBD2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7FC4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610475DC">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1639385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ACD89DB">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1" w:name="_Toc23458"/>
            <w:r>
              <w:rPr>
                <w:rFonts w:hint="eastAsia" w:ascii="宋体" w:hAnsi="宋体" w:eastAsia="宋体" w:cs="宋体"/>
                <w:color w:val="auto"/>
                <w:sz w:val="21"/>
                <w:szCs w:val="21"/>
              </w:rPr>
              <w:t>9.3 服务类交付物</w:t>
            </w:r>
            <w:bookmarkEnd w:id="81"/>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816"/>
              <w:gridCol w:w="1864"/>
              <w:gridCol w:w="5543"/>
              <w:gridCol w:w="1602"/>
            </w:tblGrid>
            <w:tr w14:paraId="4C407C0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A2E6E6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24D2E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交付物</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F2EF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内容要求</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3EAA8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交付节点</w:t>
                  </w:r>
                </w:p>
              </w:tc>
            </w:tr>
            <w:tr w14:paraId="6ADD71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0E2554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D-16</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ED9A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部署实施服务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74BD1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在招标人指定环境完成部署、调试、试运行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A18E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r w14:paraId="0A653D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6842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D-17</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DC4FF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接口联调服务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F5B1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与现有平台完成全部接口联调并出具联调报告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8A9EFE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w:t>
                  </w:r>
                </w:p>
              </w:tc>
            </w:tr>
            <w:tr w14:paraId="04C96B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007C8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D-18</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B5EA1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培训服务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E30E5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运营人员与管理员培训，含实操演练</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A8DA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一期上线前</w:t>
                  </w:r>
                </w:p>
              </w:tc>
            </w:tr>
            <w:tr w14:paraId="59A1F46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E391A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D-19</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FB951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试运行支持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7D2D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试运行期驻场或远程支持，出具试运行报告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43D7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试运行期</w:t>
                  </w:r>
                </w:p>
              </w:tc>
            </w:tr>
            <w:tr w14:paraId="462DB0A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2A93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D-20</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648FE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质保期服务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F297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按第11章执行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A2FF6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w:t>
                  </w:r>
                </w:p>
              </w:tc>
            </w:tr>
          </w:tbl>
          <w:p w14:paraId="7CB88975">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55290C7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52FAEA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2DE8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BE2AF76">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308764D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61DE7EAF">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2" w:name="_Toc10250"/>
            <w:r>
              <w:rPr>
                <w:rFonts w:hint="eastAsia" w:ascii="宋体" w:hAnsi="宋体" w:eastAsia="宋体" w:cs="宋体"/>
                <w:color w:val="auto"/>
                <w:sz w:val="21"/>
                <w:szCs w:val="21"/>
              </w:rPr>
              <w:t>9.4 交付要求</w:t>
            </w:r>
            <w:bookmarkEnd w:id="82"/>
          </w:p>
          <w:p w14:paraId="2FAEEA20">
            <w:pPr>
              <w:pStyle w:val="25"/>
              <w:pageBreakBefore w:val="0"/>
              <w:widowControl w:val="0"/>
              <w:numPr>
                <w:ilvl w:val="0"/>
                <w:numId w:val="2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全部交付物须经招标人确认后方视为交付完成。</w:t>
            </w:r>
          </w:p>
          <w:p w14:paraId="64588C57">
            <w:pPr>
              <w:pStyle w:val="25"/>
              <w:pageBreakBefore w:val="0"/>
              <w:widowControl w:val="0"/>
              <w:numPr>
                <w:ilvl w:val="0"/>
                <w:numId w:val="2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文档类交付物须与系统实际功能一致，验收时以文档与实际系统比对。</w:t>
            </w:r>
          </w:p>
          <w:p w14:paraId="340CC0B8">
            <w:pPr>
              <w:pStyle w:val="25"/>
              <w:pageBreakBefore w:val="0"/>
              <w:widowControl w:val="0"/>
              <w:numPr>
                <w:ilvl w:val="0"/>
                <w:numId w:val="2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硬件类交付物须提供合格证明、保修凭证与备件清单。</w:t>
            </w:r>
          </w:p>
          <w:p w14:paraId="684A27E3">
            <w:pPr>
              <w:pStyle w:val="25"/>
              <w:pageBreakBefore w:val="0"/>
              <w:widowControl w:val="0"/>
              <w:numPr>
                <w:ilvl w:val="0"/>
                <w:numId w:val="22"/>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交付物知识产权归属按合同约定执行，投标人须保证交付物不侵犯第三方知识产权。</w:t>
            </w:r>
          </w:p>
          <w:p w14:paraId="2C37BFC1">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6089BC9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484205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2203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6DB2745">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2327E8B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10 验收标准和方式</w:t>
            </w:r>
          </w:p>
        </w:tc>
        <w:tc>
          <w:tcPr>
            <w:tcW w:w="3815" w:type="pct"/>
            <w:shd w:val="clear" w:color="auto" w:fill="auto"/>
            <w:vAlign w:val="center"/>
          </w:tcPr>
          <w:p w14:paraId="07B1C61F">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3" w:name="_Toc4163"/>
            <w:r>
              <w:rPr>
                <w:rFonts w:hint="eastAsia" w:ascii="宋体" w:hAnsi="宋体" w:eastAsia="宋体" w:cs="宋体"/>
                <w:color w:val="auto"/>
                <w:sz w:val="21"/>
                <w:szCs w:val="21"/>
              </w:rPr>
              <w:t>10.1 验收原则</w:t>
            </w:r>
            <w:bookmarkEnd w:id="83"/>
          </w:p>
          <w:p w14:paraId="4A0A3AD3">
            <w:pPr>
              <w:pStyle w:val="25"/>
              <w:pageBreakBefore w:val="0"/>
              <w:widowControl w:val="0"/>
              <w:numPr>
                <w:ilvl w:val="0"/>
                <w:numId w:val="23"/>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分阶段验收</w:t>
            </w:r>
            <w:r>
              <w:rPr>
                <w:rFonts w:hint="eastAsia" w:ascii="宋体" w:hAnsi="宋体" w:eastAsia="宋体" w:cs="宋体"/>
                <w:sz w:val="21"/>
                <w:szCs w:val="21"/>
              </w:rPr>
              <w:t>：按"到货验收→初验（一期功能验收）→试运行→终验（一期+二期功能验收）"分阶段进行。</w:t>
            </w:r>
          </w:p>
          <w:p w14:paraId="057F86E6">
            <w:pPr>
              <w:pStyle w:val="25"/>
              <w:pageBreakBefore w:val="0"/>
              <w:widowControl w:val="0"/>
              <w:numPr>
                <w:ilvl w:val="0"/>
                <w:numId w:val="23"/>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需求可追溯</w:t>
            </w:r>
            <w:r>
              <w:rPr>
                <w:rFonts w:hint="eastAsia" w:ascii="宋体" w:hAnsi="宋体" w:eastAsia="宋体" w:cs="宋体"/>
                <w:sz w:val="21"/>
                <w:szCs w:val="21"/>
              </w:rPr>
              <w:t>：以本文档第4章功能需求编号、第5章业务规则编号、第6章规模参数编号、第7章非功能需求编号为验收依据，逐项核对。</w:t>
            </w:r>
          </w:p>
          <w:p w14:paraId="0866DBA8">
            <w:pPr>
              <w:pStyle w:val="25"/>
              <w:pageBreakBefore w:val="0"/>
              <w:widowControl w:val="0"/>
              <w:numPr>
                <w:ilvl w:val="0"/>
                <w:numId w:val="23"/>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实测为准</w:t>
            </w:r>
            <w:r>
              <w:rPr>
                <w:rFonts w:hint="eastAsia" w:ascii="宋体" w:hAnsi="宋体" w:eastAsia="宋体" w:cs="宋体"/>
                <w:sz w:val="21"/>
                <w:szCs w:val="21"/>
              </w:rPr>
              <w:t>：功能与性能以招标人环境下的实测结果为准，不以演示环境结果替代。</w:t>
            </w:r>
          </w:p>
          <w:p w14:paraId="6D05750D">
            <w:pPr>
              <w:pStyle w:val="25"/>
              <w:pageBreakBefore w:val="0"/>
              <w:widowControl w:val="0"/>
              <w:numPr>
                <w:ilvl w:val="0"/>
                <w:numId w:val="23"/>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问题闭环</w:t>
            </w:r>
            <w:r>
              <w:rPr>
                <w:rFonts w:hint="eastAsia" w:ascii="宋体" w:hAnsi="宋体" w:eastAsia="宋体" w:cs="宋体"/>
                <w:sz w:val="21"/>
                <w:szCs w:val="21"/>
              </w:rPr>
              <w:t>：验收发现的问题须整改闭环后复验，重大问题未闭环不予通过。</w:t>
            </w:r>
          </w:p>
          <w:p w14:paraId="2BEA6C96">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7E925849">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A66DDF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8CE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387F04A6">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06D66AA">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05685655">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4" w:name="_Toc564"/>
            <w:r>
              <w:rPr>
                <w:rFonts w:hint="eastAsia" w:ascii="宋体" w:hAnsi="宋体" w:eastAsia="宋体" w:cs="宋体"/>
                <w:color w:val="auto"/>
                <w:sz w:val="21"/>
                <w:szCs w:val="21"/>
              </w:rPr>
              <w:t>10.2 验收阶段与方式</w:t>
            </w:r>
            <w:bookmarkEnd w:id="84"/>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385"/>
              <w:gridCol w:w="2830"/>
              <w:gridCol w:w="1745"/>
              <w:gridCol w:w="3865"/>
            </w:tblGrid>
            <w:tr w14:paraId="567E175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EC4AF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阶段</w:t>
                  </w:r>
                </w:p>
              </w:tc>
              <w:tc>
                <w:tcPr>
                  <w:tcW w:w="144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A9B282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验收内容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D5FE72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验收方式</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332FF7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通过标准</w:t>
                  </w:r>
                </w:p>
              </w:tc>
            </w:tr>
            <w:tr w14:paraId="7286A6D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536D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到货验收</w:t>
                  </w:r>
                </w:p>
              </w:tc>
              <w:tc>
                <w:tcPr>
                  <w:tcW w:w="14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9819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软件安装包、文档清单</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30C8AA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清点核对</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32F24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数量、型号与合同一致</w:t>
                  </w:r>
                </w:p>
              </w:tc>
            </w:tr>
            <w:tr w14:paraId="695B8F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BC69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初验（功能验收）</w:t>
                  </w:r>
                </w:p>
              </w:tc>
              <w:tc>
                <w:tcPr>
                  <w:tcW w:w="14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2D8E1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第4章全部★★★功能需求、第5章业务规则、接口联调</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B02C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逐项功能演示+实测+文档比对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9684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★★★需求100%满足；★★需求满足或经招标人认可的替代方案；接口联调通过</w:t>
                  </w:r>
                </w:p>
              </w:tc>
            </w:tr>
            <w:tr w14:paraId="29C9780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898E5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性能验收</w:t>
                  </w:r>
                </w:p>
              </w:tc>
              <w:tc>
                <w:tcPr>
                  <w:tcW w:w="14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B736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第6章规模参数、第7章性能类非功能需求</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BCAA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压力测试+场景实测</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F29EF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各项指标达到第6章基线要求</w:t>
                  </w:r>
                </w:p>
              </w:tc>
            </w:tr>
            <w:tr w14:paraId="5129ADC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0E2F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安全验收</w:t>
                  </w:r>
                </w:p>
              </w:tc>
              <w:tc>
                <w:tcPr>
                  <w:tcW w:w="14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34EFF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权限隔离、数据隔离、接口鉴权、审计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1E6EB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渗透测试+权限越权测试+日志核查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E11D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无高危漏洞；越权访问被拒绝；审计日志完整</w:t>
                  </w:r>
                </w:p>
              </w:tc>
            </w:tr>
            <w:tr w14:paraId="00D13A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FB8D7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w:t>
                  </w:r>
                </w:p>
              </w:tc>
              <w:tc>
                <w:tcPr>
                  <w:tcW w:w="144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B7006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系统在真实业务场景下连续稳定运行</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3B41D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试运行期不少于7天</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FECF7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试运行期内无重大故障；任务执行成功率≥99%；报告生成正常</w:t>
                  </w:r>
                </w:p>
              </w:tc>
            </w:tr>
            <w:tr w14:paraId="50266A3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CE67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终验</w:t>
                  </w:r>
                </w:p>
              </w:tc>
              <w:tc>
                <w:tcPr>
                  <w:tcW w:w="144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6CEA1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全部交付物、试运行报告、问题整改情况</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5D2B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综合评审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469211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交付物齐全；问题闭环；试运行达标</w:t>
                  </w:r>
                </w:p>
              </w:tc>
            </w:tr>
          </w:tbl>
          <w:p w14:paraId="54331A50">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24F7D10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5D03AA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AEC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302E5E1B">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5DA22B9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6B861DDF">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5" w:name="_Toc17092"/>
            <w:r>
              <w:rPr>
                <w:rFonts w:hint="eastAsia" w:ascii="宋体" w:hAnsi="宋体" w:eastAsia="宋体" w:cs="宋体"/>
                <w:color w:val="auto"/>
                <w:sz w:val="21"/>
                <w:szCs w:val="21"/>
              </w:rPr>
              <w:t>10.3 功能验收标准（逐项，按期数分类排序）</w:t>
            </w:r>
            <w:bookmarkEnd w:id="85"/>
          </w:p>
          <w:p w14:paraId="7541DB28">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6" w:name="_Toc23261"/>
            <w:r>
              <w:rPr>
                <w:rFonts w:hint="eastAsia" w:ascii="宋体" w:hAnsi="宋体" w:eastAsia="宋体" w:cs="宋体"/>
                <w:color w:val="auto"/>
                <w:sz w:val="21"/>
                <w:szCs w:val="21"/>
              </w:rPr>
              <w:t>10.3.1 一期功能验收项</w:t>
            </w:r>
            <w:bookmarkEnd w:id="86"/>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576"/>
              <w:gridCol w:w="2507"/>
              <w:gridCol w:w="6742"/>
            </w:tblGrid>
            <w:tr w14:paraId="1EFCD2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A818C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序号</w:t>
                  </w:r>
                </w:p>
              </w:tc>
              <w:tc>
                <w:tcPr>
                  <w:tcW w:w="127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707986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验收项</w:t>
                  </w:r>
                </w:p>
              </w:tc>
              <w:tc>
                <w:tcPr>
                  <w:tcW w:w="3431"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96E14C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通过标准</w:t>
                  </w:r>
                </w:p>
              </w:tc>
            </w:tr>
            <w:tr w14:paraId="72DAE4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11AC5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50E152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创建/编辑任务权限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84E10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各角色按权限矩阵创建编辑任务，越权被拒绝</w:t>
                  </w:r>
                </w:p>
              </w:tc>
            </w:tr>
            <w:tr w14:paraId="389AC6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7E369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00D1A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指定终端下发权限</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7830E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仅授权角色可指定终端下发</w:t>
                  </w:r>
                </w:p>
              </w:tc>
            </w:tr>
            <w:tr w14:paraId="3ED6C6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CE6C1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1530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时间段配置权限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EDCF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仅授权角色可配置执行时间段</w:t>
                  </w:r>
                </w:p>
              </w:tc>
            </w:tr>
            <w:tr w14:paraId="73D81C4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E167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5F02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判定规则配置权限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DD3AA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仅质量管理员/系统管理员可配置判定规则</w:t>
                  </w:r>
                </w:p>
              </w:tc>
            </w:tr>
            <w:tr w14:paraId="7813A60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rPr>
                <w:trHeight w:val="1425" w:hRule="atLeast"/>
              </w:trPr>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C27A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D535C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报告查看权限与CP隔离</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7C3C8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CP负责人仅见本CP报告与异常，其余角色按矩阵可见全部/只读</w:t>
                  </w:r>
                </w:p>
              </w:tc>
            </w:tr>
            <w:tr w14:paraId="4F7FD3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D4D3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B44D3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异常复核权限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0301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授权角色可标记确认异常/误报/待复核，CP负责人不可</w:t>
                  </w:r>
                </w:p>
              </w:tc>
            </w:tr>
            <w:tr w14:paraId="64F33D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F3068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4EC0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终端状态查看权限</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31B16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运营/运维只读，质量管理员/系统管理员可管理，CP负责人不可见</w:t>
                  </w:r>
                </w:p>
              </w:tc>
            </w:tr>
            <w:tr w14:paraId="7529CE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2870F4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61EA7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操作审计查看权限</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6D93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授权角色可查询审计日志</w:t>
                  </w:r>
                </w:p>
              </w:tc>
            </w:tr>
            <w:tr w14:paraId="5FE2D4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B805C2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5C83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任务创建与五要素配置</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3794C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引导式五要素配置完整；缺任一要素不可提交；预览页与执行计划一致；任务名同运营人员下不重复</w:t>
                  </w:r>
                </w:p>
              </w:tc>
            </w:tr>
            <w:tr w14:paraId="30CB35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12136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801F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历史任务管理</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50E8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列表字段完整；按状态/时间/创建人/终端筛选正确；重新执行与复制为新任务可用</w:t>
                  </w:r>
                </w:p>
              </w:tc>
            </w:tr>
            <w:tr w14:paraId="74B6D8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BD43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CBB5F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终端列表与状态展示</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0FB7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字段完整；按型号/位置/在线状态筛选与编号搜索正确；状态刷新延迟≤10秒；离线/忙碌终端置灰并提示</w:t>
                  </w:r>
                </w:p>
              </w:tc>
            </w:tr>
            <w:tr w14:paraId="39A3C2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9373E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4D359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指定终端下发任务</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1902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可指定单台/多台终端；报告记录每条结果执行终端；同终端同时只执行一任务；执行前离线终端标记"终端不可用"并剔除，其余继续</w:t>
                  </w:r>
                </w:p>
              </w:tc>
            </w:tr>
            <w:tr w14:paraId="4373D9D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5EECE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B459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终端健康自检</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E20F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自检项含在线/采集正常/网络连通；不通过终端自动剔除并在报告说明；终端故障不被误判为内容异常</w:t>
                  </w:r>
                </w:p>
              </w:tc>
            </w:tr>
            <w:tr w14:paraId="2C717A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78FA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34A1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多维度拨测范围配置</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2754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专区/栏目/指定内容/指定CP四维度正确执行；Excel批量导入内容ID经平台校验并逐条列明不存在/已下线项；数据来源于现有平台接口</w:t>
                  </w:r>
                </w:p>
              </w:tc>
            </w:tr>
            <w:tr w14:paraId="22FBDA0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6E377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7519E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范围预览</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3A74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实时展示"预计拨测N专区/M栏目/K内容"；预览数量与实际执行清单一致，EPG实时变化差异在报告说明</w:t>
                  </w:r>
                </w:p>
              </w:tc>
            </w:tr>
            <w:tr w14:paraId="1FBBEF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E7EA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1A28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按指定时间段执行</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927C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单次/每日/周期性时间段正确生效；周期与时间段叠加计算正确；非窗口期"等待窗口"到点自动启动；统一北京时区</w:t>
                  </w:r>
                </w:p>
              </w:tc>
            </w:tr>
            <w:tr w14:paraId="2F937B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E04A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8CAA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超窗策略</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842D5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三种策略（强制终止/允许跑完）按配置生效；顺延次数、实际完成时间写入报告</w:t>
                  </w:r>
                </w:p>
              </w:tc>
            </w:tr>
            <w:tr w14:paraId="0C5B35C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802B61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18</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10085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终端占用冲突检测</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11CBA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目标时间段终端被占用时即时提示冲突终端与冲突任务，阻止提交或引导排队</w:t>
                  </w:r>
                </w:p>
              </w:tc>
            </w:tr>
            <w:tr w14:paraId="0C6D69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2A67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19</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D5A97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拨测执行与画面采集</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D3BD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支持上/下/左/右/确认/返回/首页指令；完成页面遍历；画面采集正常；多机顶盒并行执行</w:t>
                  </w:r>
                </w:p>
              </w:tc>
            </w:tr>
            <w:tr w14:paraId="59DAB6D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84BA3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E83D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异常检测</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856A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可识别加载超时/错误弹窗/内容不存在/海报缺失/缺集/播放失败六类；按大类+子类型+严重级归类，严重级高/中两级，报告按严重级排序</w:t>
                  </w:r>
                </w:p>
              </w:tc>
            </w:tr>
            <w:tr w14:paraId="1A6156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A5169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21</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6194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判定规则配置</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8830CD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超时阈值/黑屏判定时长/重试次数/异常类型开关可配置不硬编码；规则变更记录版本，报告标注版本</w:t>
                  </w:r>
                </w:p>
              </w:tc>
            </w:tr>
            <w:tr w14:paraId="0849C3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3D23B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22</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8FB2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失败重试与二次确认</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C425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首次异常自动重试N次（默认2次）；重试仍异常标"确认异常"计入报告；重试通过标"偶发已恢复"单独展示</w:t>
                  </w:r>
                </w:p>
              </w:tc>
            </w:tr>
            <w:tr w14:paraId="3A2210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EDC3A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23</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7770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人工复核与误报标记</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1FE2A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可标记确认异常/误报/待复核；误报记录样本；报告区分系统判定异常与人工确认异常</w:t>
                  </w:r>
                </w:p>
              </w:tc>
            </w:tr>
            <w:tr w14:paraId="3966DD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D11F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C502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任务报告</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6F744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含结论先行一句话、总览指标（含环比）、异常分布（类型/专区/CP/终端）、异常清单（路径/内容/CP/类型/严重级/截图/终端/复核状态，按严重级排序）、明细可折叠</w:t>
                  </w:r>
                </w:p>
              </w:tc>
            </w:tr>
            <w:tr w14:paraId="14CC4C5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A589C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4890F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报告终端与时间维度</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26A4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执行终端清单（各终端条数/成功/异常）；计划vs实际起止时间与是否超窗；异常按终端标注与筛选聚合；超窗说明</w:t>
                  </w:r>
                </w:p>
              </w:tc>
            </w:tr>
            <w:tr w14:paraId="57E56B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9A7E3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26</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E8526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日报/周报</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4AD23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定时生成多任务汇总日报/周报，含异常趋势与Top问题</w:t>
                  </w:r>
                </w:p>
              </w:tc>
            </w:tr>
            <w:tr w14:paraId="6F7649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4BE3D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27</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570D6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报告易读性规范</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4D8F8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首屏回答三问；异常卡片化含缩略截图/路径/CP/类型标签；截图可放大；导航路径生成复现指引</w:t>
                  </w:r>
                </w:p>
              </w:tc>
            </w:tr>
            <w:tr w14:paraId="414F83E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7F1AF1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28</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DD62C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告警规则与渠道</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7887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按严重级/异常数阈值/CP/专区配置告警条件，钉钉/邮件订阅推送可用</w:t>
                  </w:r>
                </w:p>
              </w:tc>
            </w:tr>
            <w:tr w14:paraId="19EED52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284D89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29</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76DDB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角色权限与数据隔离</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25B2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按第2章权限矩阵控制功能权限；CP负责人数据隔离；</w:t>
                  </w:r>
                </w:p>
              </w:tc>
            </w:tr>
            <w:tr w14:paraId="2082EC0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A742C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30</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DE39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操作审计</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49003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任务创建、规则变更、误报标记、终端定向下发留痕可查</w:t>
                  </w:r>
                </w:p>
              </w:tc>
            </w:tr>
            <w:tr w14:paraId="7781D7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9A675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31</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1E94F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终端状态监控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9AF44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在线/空闲/忙碌状态监控；远程重启指令下发可用</w:t>
                  </w:r>
                </w:p>
              </w:tc>
            </w:tr>
            <w:tr w14:paraId="6BA0F42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3C718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32</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DCF6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资源数据获取接口</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FE4BE0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专区/栏目/内容/CP数据从现有平台正确获取；全量与增量均正常；分页与频率可配置；数据落库；增量合并不重复不丢失，冲突以平台为准；失败记录日志并告警</w:t>
                  </w:r>
                </w:p>
              </w:tc>
            </w:tr>
            <w:tr w14:paraId="703280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C2A8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33</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EC8E7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内容变更事件订阅接口</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70FD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推送或拉取至少一种可用；事件含内容ID/变更类型/变更时间；可配置是否自动触发巡检；事件处理幂等</w:t>
                  </w:r>
                </w:p>
              </w:tc>
            </w:tr>
            <w:tr w14:paraId="66ACD6B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C88B8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0B73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接口安全要求</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53DB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加密存储传输；调用日志完整保留≥90天</w:t>
                  </w:r>
                </w:p>
              </w:tc>
            </w:tr>
            <w:tr w14:paraId="022CA26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B55F2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C112C7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非功能-性能</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E4D4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满足</w:t>
                  </w:r>
                  <w:bookmarkStart w:id="87" w:name="OLE_LINK7"/>
                  <w:r>
                    <w:rPr>
                      <w:rFonts w:hint="eastAsia" w:ascii="宋体" w:hAnsi="宋体" w:eastAsia="宋体" w:cs="宋体"/>
                      <w:sz w:val="21"/>
                      <w:szCs w:val="21"/>
                    </w:rPr>
                    <w:t>SC-14</w:t>
                  </w:r>
                  <w:bookmarkEnd w:id="87"/>
                  <w:r>
                    <w:rPr>
                      <w:rFonts w:hint="eastAsia" w:ascii="宋体" w:hAnsi="宋体" w:eastAsia="宋体" w:cs="宋体"/>
                      <w:sz w:val="21"/>
                      <w:szCs w:val="21"/>
                    </w:rPr>
                    <w:t>～SC-23及NFR-01性能口径（见10.4）</w:t>
                  </w:r>
                </w:p>
              </w:tc>
            </w:tr>
            <w:tr w14:paraId="13E8E8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5E27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36</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0FBF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非功能-可靠性</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3F2A9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终端断开不影响其他终端；任务中断可恢复；平台年可用性≥99.5%</w:t>
                  </w:r>
                </w:p>
              </w:tc>
            </w:tr>
            <w:tr w14:paraId="4D28324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1D9D2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37</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224A8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非功能-准确性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926F8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终端自检+重试确认；误报率&lt;5%（人工复核口径）；异常归因完整率100%</w:t>
                  </w:r>
                </w:p>
              </w:tc>
            </w:tr>
            <w:tr w14:paraId="6AAEB22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A1E047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38</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9E434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非功能-调度准确性</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88439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时间段内启动偏差≤30秒；等待窗口状态切换准确</w:t>
                  </w:r>
                </w:p>
              </w:tc>
            </w:tr>
            <w:tr w14:paraId="1661FFD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F4EF1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39</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184067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非功能-终端状态实时性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F7D76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在线/占用状态刷新延迟≤10秒</w:t>
                  </w:r>
                </w:p>
              </w:tc>
            </w:tr>
            <w:tr w14:paraId="33C016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9F98E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40</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B943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非功能-时钟一致性</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6D316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调度服务器与终端NTP同步，时间窗判断无偏差</w:t>
                  </w:r>
                </w:p>
              </w:tc>
            </w:tr>
            <w:tr w14:paraId="4690345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2866B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41</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F9CA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非功能-兼容性</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4D3F3E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主流IPTV机顶盒型号适配；提供适配型号清单及新增型号适配方案</w:t>
                  </w:r>
                </w:p>
              </w:tc>
            </w:tr>
            <w:tr w14:paraId="092EE1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34CA3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42</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53E8D4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非功能-安全</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BF9D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角色权限隔离、CP数据隔离、关键操作审计；限流防重放；敏感数据加密传输；满足招标人信息安全制度</w:t>
                  </w:r>
                </w:p>
              </w:tc>
            </w:tr>
            <w:tr w14:paraId="176F043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683B0B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43</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1FFDE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非功能-部署要求</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75BF1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招标人指定机房/专有云部署；终端接入IPTV专网并认证；双机/集群高可用，单点故障不影响已执行任务</w:t>
                  </w:r>
                </w:p>
              </w:tc>
            </w:tr>
            <w:tr w14:paraId="0D16B6D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901911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44</w:t>
                  </w:r>
                </w:p>
              </w:tc>
              <w:tc>
                <w:tcPr>
                  <w:tcW w:w="12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26FF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非功能-数据保留</w:t>
                  </w:r>
                </w:p>
              </w:tc>
              <w:tc>
                <w:tcPr>
                  <w:tcW w:w="3431"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F34531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报告/截图≥90天可配置；接口日志≥90天；业务数据≥1年支持归档</w:t>
                  </w:r>
                </w:p>
              </w:tc>
            </w:tr>
            <w:tr w14:paraId="3998F3C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7153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45</w:t>
                  </w:r>
                </w:p>
              </w:tc>
              <w:tc>
                <w:tcPr>
                  <w:tcW w:w="12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A72AC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非功能-文档要求</w:t>
                  </w:r>
                </w:p>
              </w:tc>
              <w:tc>
                <w:tcPr>
                  <w:tcW w:w="3431"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20939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需求规格、设计、接口、部署、运维、用户操作手册齐全且与系统一致</w:t>
                  </w:r>
                </w:p>
              </w:tc>
            </w:tr>
          </w:tbl>
          <w:p w14:paraId="5EDDD45C">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8" w:name="_Toc28264"/>
            <w:r>
              <w:rPr>
                <w:rFonts w:hint="eastAsia" w:ascii="宋体" w:hAnsi="宋体" w:eastAsia="宋体" w:cs="宋体"/>
                <w:color w:val="auto"/>
                <w:sz w:val="21"/>
                <w:szCs w:val="21"/>
              </w:rPr>
              <w:t>10.3.2 二期功能验收项</w:t>
            </w:r>
            <w:bookmarkEnd w:id="88"/>
          </w:p>
          <w:tbl>
            <w:tblPr>
              <w:tblStyle w:val="15"/>
              <w:tblW w:w="495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766"/>
              <w:gridCol w:w="2471"/>
              <w:gridCol w:w="6490"/>
            </w:tblGrid>
            <w:tr w14:paraId="239406F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F28B5C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序号</w:t>
                  </w:r>
                </w:p>
              </w:tc>
              <w:tc>
                <w:tcPr>
                  <w:tcW w:w="1270"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7D32DE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验收项</w:t>
                  </w:r>
                </w:p>
              </w:tc>
              <w:tc>
                <w:tcPr>
                  <w:tcW w:w="333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B95964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通过标准</w:t>
                  </w:r>
                </w:p>
              </w:tc>
            </w:tr>
            <w:tr w14:paraId="23B2F8C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0DCB5E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E3A6BC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回传记录查询权限</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449DF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运营/运维/质量管理员可查询，CP负责人不可；权限按矩阵生效</w:t>
                  </w:r>
                </w:p>
              </w:tc>
            </w:tr>
            <w:tr w14:paraId="220BB2D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FE6F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126F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任务模板</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551E4A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可保存五要素全部或部分为模板；从模板创建预填可改；模板不绑定执行时间，创建时重新确认</w:t>
                  </w:r>
                </w:p>
              </w:tc>
            </w:tr>
            <w:tr w14:paraId="613DAA1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5D8A1B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C0F1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历史任务回传状态</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0B022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列表展示结果回传状态；支持按回传状态筛选</w:t>
                  </w:r>
                </w:p>
              </w:tc>
            </w:tr>
            <w:tr w14:paraId="138F12D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B432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102C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终端组管理</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08F451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终端组创建/编辑/删除；展示组内在线/空闲/故障数；选组校验可用终端数不足提示；被任务引用不可删</w:t>
                  </w:r>
                </w:p>
              </w:tc>
            </w:tr>
            <w:tr w14:paraId="088F15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D1A9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6DE6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多终端分发模式</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32E33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均分模式/全量复制模式可选；全量复制下多终端结果不一致项在报告单列"结果不一致清单"</w:t>
                  </w:r>
                </w:p>
              </w:tc>
            </w:tr>
            <w:tr w14:paraId="097FC2D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444576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CDAD76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范围差异提醒</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8645F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与上次同类任务对比，新增内容占比&gt;20%（可配置）提示运营确认后方可提交</w:t>
                  </w:r>
                </w:p>
              </w:tc>
            </w:tr>
            <w:tr w14:paraId="39A4E2F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6178B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7618F9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EPG资源树同步</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CECF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定时同步与手动触发可用；同步失败告警且不影响已同步数据；同步记录可查</w:t>
                  </w:r>
                </w:p>
              </w:tc>
            </w:tr>
            <w:tr w14:paraId="30A19B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5A348B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4285B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新增任务自动执行</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4D4B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对接现有编排系统，发布变更自动触发增量拨测</w:t>
                  </w:r>
                </w:p>
              </w:tc>
            </w:tr>
            <w:tr w14:paraId="3FCD2F2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E31F4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E33C0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任务排队与优先级</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77984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终端冲突/忙碌时排队；高优先级可插队；终端释放或进入可用时间段自动启动</w:t>
                  </w:r>
                </w:p>
              </w:tc>
            </w:tr>
            <w:tr w14:paraId="56C754E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976FB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A4D44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断点续跑</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6FC49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超窗顺延或终端中断后从断点续跑；已测不重复、未测不遗漏；续跑记录写入报告</w:t>
                  </w:r>
                </w:p>
              </w:tc>
            </w:tr>
            <w:tr w14:paraId="15AE90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11E4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6BC1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调度日历视图</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FD8B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日历/甘特图展示各终端各时间段占用与任务计划</w:t>
                  </w:r>
                </w:p>
              </w:tc>
            </w:tr>
            <w:tr w14:paraId="7A121D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4F237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439D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多时间段与排除日期</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BF709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一个任务多时间段任一时段可执行；排除日期不执行</w:t>
                  </w:r>
                </w:p>
              </w:tc>
            </w:tr>
            <w:tr w14:paraId="014FBC9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F434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8D52A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CP质量报告</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A7DA6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按CP生成通过率/异常分布/趋势报告</w:t>
                  </w:r>
                </w:p>
              </w:tc>
            </w:tr>
            <w:tr w14:paraId="32B52BC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021D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2191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报告导出与触达</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1C98BB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在线查看、导出PDF/Excel、带权限分享链接、异常摘要推送钉钉/邮件；PDF保布局与截图清晰，Excel含结构化字段</w:t>
                  </w:r>
                </w:p>
              </w:tc>
            </w:tr>
            <w:tr w14:paraId="3B7805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5D2AD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04140C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报告明细导出与图表下钻</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25E5D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明细导出；异常分布图表可下钻</w:t>
                  </w:r>
                </w:p>
              </w:tc>
            </w:tr>
            <w:tr w14:paraId="0C55607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6B90E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A2A3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告警降噪</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569CD9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同一异常冷却期不重复推送；批量异常聚合专区级告警；静默期可配</w:t>
                  </w:r>
                </w:p>
              </w:tc>
            </w:tr>
            <w:tr w14:paraId="6D22851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621A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8AD1F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异常工单与复测</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A99F9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异常可指派责任人、记录处理过程与结论；一键复测通过自动关闭</w:t>
                  </w:r>
                </w:p>
              </w:tc>
            </w:tr>
            <w:tr w14:paraId="55175B4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05844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18</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53718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闭环统计</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36AC0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统计异常平均处理时长、闭环率、遗留异常数</w:t>
                  </w:r>
                </w:p>
              </w:tc>
            </w:tr>
            <w:tr w14:paraId="4B25FE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16A60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19</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BED8E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质量看板</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38B2F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整体质量趋势、CP质量排名、专区/栏目健康度热力图、异常类型分布、闭环效率、终端健康；以人工确认口径为准</w:t>
                  </w:r>
                </w:p>
              </w:tc>
            </w:tr>
            <w:tr w14:paraId="396258F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2A5B0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97E798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拨测结果回传接口</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09242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任务信息/汇总结果/异常明细完整；全量增量两种模式；截图报告链接可跳转且权限有效期；批量大小可配；回传状态与失败原因可查；幂等（任务ID+内容ID+异常类型）；失败自动重试并告警支持人工重传；内容ID与平台一致，不一致进异常清单</w:t>
                  </w:r>
                </w:p>
              </w:tc>
            </w:tr>
            <w:tr w14:paraId="5638D2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FAF4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21</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7698B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异常状态回传接口</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ACDCF6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确认异常/误报/已处理/已关闭状态变更回传；含异常标识/变更后状态/变更时间/操作人；幂等；最终一致，回传失败不影响系统内状态</w:t>
                  </w:r>
                </w:p>
              </w:tc>
            </w:tr>
            <w:tr w14:paraId="18A88E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01BEA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22</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6FC92C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任务信息同步接口</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9751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任务创建/变更/状态变更时同步；同步内容与频率可配</w:t>
                  </w:r>
                </w:p>
              </w:tc>
            </w:tr>
            <w:tr w14:paraId="286A1D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67EA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23</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8EAD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接口配置管理</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99CE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接口地址、超时时间、重试次数与间隔可配；变更记录审计日志；仅系统管理员</w:t>
                  </w:r>
                </w:p>
              </w:tc>
            </w:tr>
            <w:tr w14:paraId="0CF68E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F65B4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24</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B184D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接口异常处理与补偿</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E4F82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回传失败自动重试与人工重传；失败记录清单按原因筛选与批量重试；接口连通性测试与对账，对账差异输出清单</w:t>
                  </w:r>
                </w:p>
              </w:tc>
            </w:tr>
            <w:tr w14:paraId="155FCC0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CA0C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25</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553B6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接口安全要求</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AE9118">
                  <w:pPr>
                    <w:pStyle w:val="25"/>
                    <w:pageBreakBefore w:val="0"/>
                    <w:widowControl w:val="0"/>
                    <w:kinsoku/>
                    <w:wordWrap/>
                    <w:overflowPunct/>
                    <w:topLinePunct w:val="0"/>
                    <w:autoSpaceDE/>
                    <w:autoSpaceDN/>
                    <w:bidi w:val="0"/>
                    <w:adjustRightInd/>
                    <w:spacing w:before="60" w:after="60"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接口应具备限流与防重放能力。</w:t>
                  </w:r>
                </w:p>
                <w:p w14:paraId="6BD520E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接口调用日志应完整记录，保留不少于90天</w:t>
                  </w:r>
                </w:p>
              </w:tc>
            </w:tr>
            <w:tr w14:paraId="6F3091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722F00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26</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5EFA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多终端一致性</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0CE6E9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全量复制模式下不一致项报告单列</w:t>
                  </w:r>
                </w:p>
              </w:tc>
            </w:tr>
            <w:tr w14:paraId="665F997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543252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27</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F53A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终端维度归因</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9C7ED4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可按终端筛选异常，识别终端异常率偏高</w:t>
                  </w:r>
                </w:p>
              </w:tc>
            </w:tr>
            <w:tr w14:paraId="12EFBE0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907DB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28</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33DAD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非功能-可维护性</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5FC3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判定规则与异常类型可配置不硬编码；规则版本管理；运行日志与健康检查能力</w:t>
                  </w:r>
                </w:p>
              </w:tc>
            </w:tr>
            <w:tr w14:paraId="64D0BF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5938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29</w:t>
                  </w:r>
                </w:p>
              </w:tc>
              <w:tc>
                <w:tcPr>
                  <w:tcW w:w="1270"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C754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非功能-可扩展性</w:t>
                  </w:r>
                </w:p>
              </w:tc>
              <w:tc>
                <w:tcPr>
                  <w:tcW w:w="333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03E0F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终端数/内容数/任务数扩展时架构支持横向扩容，满足第6章"三年扩展"规模</w:t>
                  </w:r>
                </w:p>
              </w:tc>
            </w:tr>
            <w:tr w14:paraId="247764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394"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750AFE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30</w:t>
                  </w:r>
                </w:p>
              </w:tc>
              <w:tc>
                <w:tcPr>
                  <w:tcW w:w="1270"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D7A0A0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非功能-审计合规</w:t>
                  </w:r>
                </w:p>
              </w:tc>
              <w:tc>
                <w:tcPr>
                  <w:tcW w:w="333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DFED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关键操作留痕可查，日志不可篡改，满足审计要求</w:t>
                  </w:r>
                </w:p>
              </w:tc>
            </w:tr>
          </w:tbl>
          <w:p w14:paraId="3C400C98">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7BC5CFB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51BA4A6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7657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286BC257">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3DA9680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2D56036D">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89" w:name="_Toc9394"/>
            <w:r>
              <w:rPr>
                <w:rFonts w:hint="eastAsia" w:ascii="宋体" w:hAnsi="宋体" w:eastAsia="宋体" w:cs="宋体"/>
                <w:color w:val="auto"/>
                <w:sz w:val="21"/>
                <w:szCs w:val="21"/>
              </w:rPr>
              <w:t>10.4 性能与规模验收标准（逐项，数值按第6章修订）</w:t>
            </w:r>
            <w:bookmarkEnd w:id="89"/>
          </w:p>
          <w:p w14:paraId="200681A3">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0" w:name="_Toc25021"/>
            <w:r>
              <w:rPr>
                <w:rFonts w:hint="eastAsia" w:ascii="宋体" w:hAnsi="宋体" w:eastAsia="宋体" w:cs="宋体"/>
                <w:color w:val="auto"/>
                <w:sz w:val="21"/>
                <w:szCs w:val="21"/>
              </w:rPr>
              <w:t>10.4.1 一期性能与规模验收项</w:t>
            </w:r>
            <w:bookmarkEnd w:id="90"/>
          </w:p>
          <w:tbl>
            <w:tblPr>
              <w:tblStyle w:val="15"/>
              <w:tblW w:w="495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556"/>
              <w:gridCol w:w="2992"/>
              <w:gridCol w:w="6179"/>
            </w:tblGrid>
            <w:tr w14:paraId="1CC7A49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4A80D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序号</w:t>
                  </w:r>
                </w:p>
              </w:tc>
              <w:tc>
                <w:tcPr>
                  <w:tcW w:w="153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E0C66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验收项</w:t>
                  </w:r>
                </w:p>
              </w:tc>
              <w:tc>
                <w:tcPr>
                  <w:tcW w:w="3176"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CBE9F5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通过标准（修订值）</w:t>
                  </w:r>
                </w:p>
              </w:tc>
            </w:tr>
            <w:tr w14:paraId="391880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023E5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B1EC2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单条内容拨测平均耗时</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60893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≤60秒/条（含遍历、播放验证、判定与重试）</w:t>
                  </w:r>
                </w:p>
              </w:tc>
            </w:tr>
            <w:tr w14:paraId="087278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BFE79D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C95EB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单终端单任务遍历能力</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E6919C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60条内容完成时长≤70分钟；单终端单任务遍历≥200条</w:t>
                  </w:r>
                </w:p>
              </w:tc>
            </w:tr>
            <w:tr w14:paraId="57296F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A8F3D5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31C3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多终端并行报告汇总</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28870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任务全部终端完成后至报告可查看≤10分钟</w:t>
                  </w:r>
                </w:p>
              </w:tc>
            </w:tr>
            <w:tr w14:paraId="16C3A6E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BAAF1E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0E58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任务时间段内启动偏差</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97440E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≤30秒（相对配置时间段起点）</w:t>
                  </w:r>
                </w:p>
              </w:tc>
            </w:tr>
            <w:tr w14:paraId="2550404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E600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4AFC9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终端状态刷新延迟</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D35C1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≤10秒（在线/占用）</w:t>
                  </w:r>
                </w:p>
              </w:tc>
            </w:tr>
            <w:tr w14:paraId="75C43C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BE10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087EC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管理后台页面响应</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989B7D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95分位≤2秒（常规查询页）</w:t>
                  </w:r>
                </w:p>
              </w:tc>
            </w:tr>
            <w:tr w14:paraId="2D81939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49C7F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D89038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报告首屏加载</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5A3A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≤5秒（含图表渲染）</w:t>
                  </w:r>
                </w:p>
              </w:tc>
            </w:tr>
            <w:tr w14:paraId="436806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F08A0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900B21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结果回传单任务完成时长</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BC494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≤5分钟（100条异常明细以内）</w:t>
                  </w:r>
                </w:p>
              </w:tc>
            </w:tr>
            <w:tr w14:paraId="2EDD2BB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8D1BBE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2165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接口单次调用响应</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9354E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≤3秒（95分位，不含批量回传）</w:t>
                  </w:r>
                </w:p>
              </w:tc>
            </w:tr>
            <w:tr w14:paraId="377365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E399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8295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接口可用性</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B085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≥99.5%（按日统计）</w:t>
                  </w:r>
                </w:p>
              </w:tc>
            </w:tr>
            <w:tr w14:paraId="295A25D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062F4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551AC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接口失败自动重试次数</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439F4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≥3次，间隔可配</w:t>
                  </w:r>
                </w:p>
              </w:tc>
            </w:tr>
            <w:tr w14:paraId="7861A5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26B86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0250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接口并发调用数</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DD260C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≥20个（含获取与回传）</w:t>
                  </w:r>
                </w:p>
              </w:tc>
            </w:tr>
            <w:tr w14:paraId="41AD3C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2836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B5AFC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资源数据增量调用频率</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F255B8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≥每5分钟1次，可配置</w:t>
                  </w:r>
                </w:p>
              </w:tc>
            </w:tr>
            <w:tr w14:paraId="05DCC7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A0689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7C7DA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并发任务与排队</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04485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并发"执行中"任务≥10个、排队任务≥10个时系统稳定；NFR-01要求排队≥10，验收按≥10执行</w:t>
                  </w:r>
                </w:p>
              </w:tc>
            </w:tr>
            <w:tr w14:paraId="6174B80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1D610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51C3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单任务拨测内容条数</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7D36CA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≥2,000条（单次任务遍历上限）</w:t>
                  </w:r>
                </w:p>
              </w:tc>
            </w:tr>
            <w:tr w14:paraId="2BEC04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5C511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43C57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单日拨测总量</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A031A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≥2,000条</w:t>
                  </w:r>
                </w:p>
              </w:tc>
            </w:tr>
            <w:tr w14:paraId="6B22E2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887AB1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7BC252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纳管终端数/终端组</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7EAAD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终端≥5台、终端组≥2个</w:t>
                  </w:r>
                </w:p>
              </w:tc>
            </w:tr>
            <w:tr w14:paraId="411C979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4E0D7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18</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67ABF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用户与并发在线</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13C970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账号≥50个、并发在线≥20个</w:t>
                  </w:r>
                </w:p>
              </w:tc>
            </w:tr>
            <w:tr w14:paraId="1685CA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EFB8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19</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7912E2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平台年可用性</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7A4189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≥99.5%</w:t>
                  </w:r>
                </w:p>
              </w:tc>
            </w:tr>
            <w:tr w14:paraId="0ECD993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C9256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20</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ABA91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误报率</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81DF2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&lt;5%（人工复核口径）</w:t>
                  </w:r>
                </w:p>
              </w:tc>
            </w:tr>
            <w:tr w14:paraId="5F649FA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7BF7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21</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C825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异常归因完整率</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F5505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100%</w:t>
                  </w:r>
                </w:p>
              </w:tc>
            </w:tr>
            <w:tr w14:paraId="131190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4E2E3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22</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4F348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报告/截图在线保留</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9E8B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≥90天可配置</w:t>
                  </w:r>
                </w:p>
              </w:tc>
            </w:tr>
            <w:tr w14:paraId="200BB1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3D4FD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23</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1B05B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接口调用日志保留</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0B7D4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≥90天（含请求/响应摘要）</w:t>
                  </w:r>
                </w:p>
              </w:tc>
            </w:tr>
            <w:tr w14:paraId="1A38C77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BA1A1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24</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2C0402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回传记录保留</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468B6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≥90天（含状态与失败原因）</w:t>
                  </w:r>
                </w:p>
              </w:tc>
            </w:tr>
            <w:tr w14:paraId="69B779F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497FD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25</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B966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业务数据保留</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98FE2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≥1年，支持按年归档</w:t>
                  </w:r>
                </w:p>
              </w:tc>
            </w:tr>
            <w:tr w14:paraId="23F72A2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ECE23F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26</w:t>
                  </w:r>
                </w:p>
              </w:tc>
              <w:tc>
                <w:tcPr>
                  <w:tcW w:w="153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5476A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接口并发与批量</w:t>
                  </w:r>
                </w:p>
              </w:tc>
              <w:tc>
                <w:tcPr>
                  <w:tcW w:w="3176"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FBBE64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结果回传批量≥100条/批，可配置</w:t>
                  </w:r>
                </w:p>
              </w:tc>
            </w:tr>
            <w:tr w14:paraId="5CBE5B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19509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28</w:t>
                  </w:r>
                </w:p>
              </w:tc>
              <w:tc>
                <w:tcPr>
                  <w:tcW w:w="153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36A2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部署与高可用</w:t>
                  </w:r>
                </w:p>
              </w:tc>
              <w:tc>
                <w:tcPr>
                  <w:tcW w:w="3176"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06DD4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指定机房/专有云部署；双机/集群，单点故障不影响已执行任务；NTP同步</w:t>
                  </w:r>
                </w:p>
              </w:tc>
            </w:tr>
          </w:tbl>
          <w:p w14:paraId="0DBE3B5A">
            <w:pPr>
              <w:pStyle w:val="4"/>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1" w:name="_Toc13009"/>
            <w:r>
              <w:rPr>
                <w:rFonts w:hint="eastAsia" w:ascii="宋体" w:hAnsi="宋体" w:eastAsia="宋体" w:cs="宋体"/>
                <w:color w:val="auto"/>
                <w:sz w:val="21"/>
                <w:szCs w:val="21"/>
              </w:rPr>
              <w:t>10.4.2 二期性能与规模验收项</w:t>
            </w:r>
            <w:bookmarkEnd w:id="91"/>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492"/>
              <w:gridCol w:w="1163"/>
              <w:gridCol w:w="5347"/>
              <w:gridCol w:w="1402"/>
              <w:gridCol w:w="1421"/>
            </w:tblGrid>
            <w:tr w14:paraId="423F1D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5F7B48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序号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AD567C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验收项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FBE5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通过标准（修订值）</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59701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关联编号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D17B9C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32CB630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A4B3F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3D532F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三年扩展规模</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113D5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终端≥10台、终端组≥5个、专区≥20、栏目≥1,000、内容≥50,000、CP≥20、单任务≥5,000条、单终端单任务≥500条、并发任务≥30、排队≥100、单日≥5,000条、账号≥150、并发在线≥100</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16C20D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SC-01～SC-13"三年扩展"列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C3546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二期终验按扩展规模抽测</w:t>
                  </w:r>
                </w:p>
              </w:tc>
            </w:tr>
            <w:tr w14:paraId="67719E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FA345D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5BAD5F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接口可用性与重试（扩展）</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BB0546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接口可用性≥99.5%；失败自动重试≥3次；并发≥20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A2D9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SC-31、SC-32、SC-30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07519F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与一期同口径，二期在扩展规模下复测</w:t>
                  </w:r>
                </w:p>
              </w:tc>
            </w:tr>
            <w:tr w14:paraId="382BFE5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CCEEE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9A0A9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结果回传批量与时长</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96442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批量≥100条/批；单任务回传≤5分钟（100条异常内）</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C0CC8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SC-29、SC-22</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74354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二期回传接口上线后复测</w:t>
                  </w:r>
                </w:p>
              </w:tc>
            </w:tr>
            <w:tr w14:paraId="734139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ACA2A6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8C870A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质量看板与报告首屏</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959C7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看板首屏≤5秒；报告首屏≤5秒</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2A0621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SC-20</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DE0C70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二期看板上线后复测</w:t>
                  </w:r>
                </w:p>
              </w:tc>
            </w:tr>
            <w:tr w14:paraId="185E2A5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50860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431FB3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接口监控告警阈值</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C7FCD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连续失败或成功率低于阈值告警；对账差异清单输出</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DFFEF4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BR-31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E8C53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二期接口监控上线后验收</w:t>
                  </w:r>
                </w:p>
              </w:tc>
            </w:tr>
          </w:tbl>
          <w:p w14:paraId="0E71C070">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4A7E6BF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D1EB27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C8C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38EBD0DF">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3BEB893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CF7A746">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2" w:name="_Toc28458"/>
            <w:r>
              <w:rPr>
                <w:rFonts w:hint="eastAsia" w:ascii="宋体" w:hAnsi="宋体" w:eastAsia="宋体" w:cs="宋体"/>
                <w:color w:val="auto"/>
                <w:sz w:val="21"/>
                <w:szCs w:val="21"/>
              </w:rPr>
              <w:t>10.5 验收组织与流程</w:t>
            </w:r>
            <w:bookmarkEnd w:id="92"/>
          </w:p>
          <w:p w14:paraId="23D920B1">
            <w:pPr>
              <w:pStyle w:val="25"/>
              <w:pageBreakBefore w:val="0"/>
              <w:widowControl w:val="0"/>
              <w:numPr>
                <w:ilvl w:val="0"/>
                <w:numId w:val="2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验收组织</w:t>
            </w:r>
            <w:r>
              <w:rPr>
                <w:rFonts w:hint="eastAsia" w:ascii="宋体" w:hAnsi="宋体" w:eastAsia="宋体" w:cs="宋体"/>
                <w:sz w:val="21"/>
                <w:szCs w:val="21"/>
              </w:rPr>
              <w:t>：由招标人组织验收小组，投标人派项目负责人与技术负责人参加。</w:t>
            </w:r>
          </w:p>
          <w:p w14:paraId="5BC7EE3B">
            <w:pPr>
              <w:pStyle w:val="25"/>
              <w:pageBreakBefore w:val="0"/>
              <w:widowControl w:val="0"/>
              <w:numPr>
                <w:ilvl w:val="0"/>
                <w:numId w:val="2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验收申请</w:t>
            </w:r>
            <w:r>
              <w:rPr>
                <w:rFonts w:hint="eastAsia" w:ascii="宋体" w:hAnsi="宋体" w:eastAsia="宋体" w:cs="宋体"/>
                <w:sz w:val="21"/>
                <w:szCs w:val="21"/>
              </w:rPr>
              <w:t>：投标人完成阶段交付后提交验收申请及自测报告，招标人在5个工作日内组织验收。</w:t>
            </w:r>
          </w:p>
          <w:p w14:paraId="200B35A9">
            <w:pPr>
              <w:pStyle w:val="25"/>
              <w:pageBreakBefore w:val="0"/>
              <w:widowControl w:val="0"/>
              <w:numPr>
                <w:ilvl w:val="0"/>
                <w:numId w:val="2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验收测试</w:t>
            </w:r>
            <w:r>
              <w:rPr>
                <w:rFonts w:hint="eastAsia" w:ascii="宋体" w:hAnsi="宋体" w:eastAsia="宋体" w:cs="宋体"/>
                <w:sz w:val="21"/>
                <w:szCs w:val="21"/>
              </w:rPr>
              <w:t>：招标人可按第10.3、10.4节标准进行实测，必要时委托第三方测试。</w:t>
            </w:r>
          </w:p>
          <w:p w14:paraId="69166145">
            <w:pPr>
              <w:pStyle w:val="25"/>
              <w:pageBreakBefore w:val="0"/>
              <w:widowControl w:val="0"/>
              <w:numPr>
                <w:ilvl w:val="0"/>
                <w:numId w:val="2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问题整改</w:t>
            </w:r>
            <w:r>
              <w:rPr>
                <w:rFonts w:hint="eastAsia" w:ascii="宋体" w:hAnsi="宋体" w:eastAsia="宋体" w:cs="宋体"/>
                <w:sz w:val="21"/>
                <w:szCs w:val="21"/>
              </w:rPr>
              <w:t>：验收发现问题由投标人限期整改，整改完成后复验；重大问题整改期不计入试运行期。</w:t>
            </w:r>
          </w:p>
          <w:p w14:paraId="1A9E7BD8">
            <w:pPr>
              <w:pStyle w:val="25"/>
              <w:pageBreakBefore w:val="0"/>
              <w:widowControl w:val="0"/>
              <w:numPr>
                <w:ilvl w:val="0"/>
                <w:numId w:val="2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验收结论</w:t>
            </w:r>
            <w:r>
              <w:rPr>
                <w:rFonts w:hint="eastAsia" w:ascii="宋体" w:hAnsi="宋体" w:eastAsia="宋体" w:cs="宋体"/>
                <w:sz w:val="21"/>
                <w:szCs w:val="21"/>
              </w:rPr>
              <w:t>：验收小组出具验收结论（通过/有条件通过/不通过），有条件通过须明确整改项与期限。</w:t>
            </w:r>
          </w:p>
          <w:p w14:paraId="4D01D6E6">
            <w:pPr>
              <w:pStyle w:val="25"/>
              <w:pageBreakBefore w:val="0"/>
              <w:widowControl w:val="0"/>
              <w:numPr>
                <w:ilvl w:val="0"/>
                <w:numId w:val="24"/>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b/>
                <w:bCs/>
                <w:sz w:val="21"/>
                <w:szCs w:val="21"/>
              </w:rPr>
              <w:t>终验条件</w:t>
            </w:r>
            <w:r>
              <w:rPr>
                <w:rFonts w:hint="eastAsia" w:ascii="宋体" w:hAnsi="宋体" w:eastAsia="宋体" w:cs="宋体"/>
                <w:sz w:val="21"/>
                <w:szCs w:val="21"/>
              </w:rPr>
              <w:t>：全部交付物齐全、试运行达标、问题全部闭环、培训完成。</w:t>
            </w:r>
          </w:p>
          <w:p w14:paraId="4887B480">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01DC44D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15BCDB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194D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3F34A7DA">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7CD475D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A9E0FB1">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3" w:name="_Toc4820"/>
            <w:r>
              <w:rPr>
                <w:rFonts w:hint="eastAsia" w:ascii="宋体" w:hAnsi="宋体" w:eastAsia="宋体" w:cs="宋体"/>
                <w:color w:val="auto"/>
                <w:sz w:val="21"/>
                <w:szCs w:val="21"/>
              </w:rPr>
              <w:t>10.6 验收不通过的处理</w:t>
            </w:r>
            <w:bookmarkEnd w:id="93"/>
          </w:p>
          <w:p w14:paraId="7CCCE6D8">
            <w:pPr>
              <w:pStyle w:val="25"/>
              <w:pageBreakBefore w:val="0"/>
              <w:widowControl w:val="0"/>
              <w:numPr>
                <w:ilvl w:val="0"/>
                <w:numId w:val="2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初验不通过，投标人须在15个工作日内完成整改并申请复验，复验仍不通过按合同违约条款处理。</w:t>
            </w:r>
          </w:p>
          <w:p w14:paraId="5BC0DBBC">
            <w:pPr>
              <w:pStyle w:val="25"/>
              <w:pageBreakBefore w:val="0"/>
              <w:widowControl w:val="0"/>
              <w:numPr>
                <w:ilvl w:val="0"/>
                <w:numId w:val="2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试运行期出现重大故障（导致巡检任务连续中断≥24小时或数据丢失），试运行期重新计算。</w:t>
            </w:r>
          </w:p>
          <w:p w14:paraId="10BAB176">
            <w:pPr>
              <w:pStyle w:val="25"/>
              <w:pageBreakBefore w:val="0"/>
              <w:widowControl w:val="0"/>
              <w:numPr>
                <w:ilvl w:val="0"/>
                <w:numId w:val="25"/>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终验不通过且属投标人责任的，招标人有权按合同约定扣减款项或终止合同。</w:t>
            </w:r>
          </w:p>
          <w:p w14:paraId="35F4288F">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3CCB8D2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691E2E6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F66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73DEBAD">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56E7CED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r>
              <w:rPr>
                <w:rStyle w:val="30"/>
                <w:rFonts w:hint="eastAsia" w:ascii="宋体" w:hAnsi="宋体" w:eastAsia="宋体" w:cs="宋体"/>
                <w:b w:val="0"/>
                <w:bCs w:val="0"/>
                <w:color w:val="auto"/>
                <w:sz w:val="21"/>
                <w:szCs w:val="21"/>
                <w:lang w:val="en-US" w:eastAsia="zh-CN"/>
              </w:rPr>
              <w:t>11 质保服务和技术支持</w:t>
            </w:r>
          </w:p>
        </w:tc>
        <w:tc>
          <w:tcPr>
            <w:tcW w:w="3815" w:type="pct"/>
            <w:shd w:val="clear" w:color="auto" w:fill="auto"/>
            <w:vAlign w:val="center"/>
          </w:tcPr>
          <w:p w14:paraId="5CDCE9EE">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4" w:name="_Toc3589"/>
            <w:r>
              <w:rPr>
                <w:rFonts w:hint="eastAsia" w:ascii="宋体" w:hAnsi="宋体" w:eastAsia="宋体" w:cs="宋体"/>
                <w:color w:val="auto"/>
                <w:sz w:val="21"/>
                <w:szCs w:val="21"/>
              </w:rPr>
              <w:t>11.1 质保期</w:t>
            </w:r>
            <w:bookmarkEnd w:id="94"/>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294"/>
              <w:gridCol w:w="8531"/>
            </w:tblGrid>
            <w:tr w14:paraId="04C28F4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20726C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项目</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76690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要求</w:t>
                  </w:r>
                </w:p>
              </w:tc>
            </w:tr>
            <w:tr w14:paraId="183391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6FED47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2A560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终验合格之日起不少于12个月（投标人可承诺更长质保期，作为加分项）</w:t>
                  </w:r>
                </w:p>
              </w:tc>
            </w:tr>
            <w:tr w14:paraId="2E3189F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72183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质保范围</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D1733F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软件平台缺陷修复、版本维护、接口适配维护、硬件终端保修、技术支持</w:t>
                  </w:r>
                </w:p>
              </w:tc>
            </w:tr>
            <w:tr w14:paraId="5A596B6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D86665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质保起算</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1074B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以终验合格报告日期为准</w:t>
                  </w:r>
                </w:p>
              </w:tc>
            </w:tr>
          </w:tbl>
          <w:p w14:paraId="5FB0CD8F">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478F7FA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1F34B0A">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0F7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DF3A03E">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1FD1579">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337A956E">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5" w:name="_Toc17512"/>
            <w:r>
              <w:rPr>
                <w:rFonts w:hint="eastAsia" w:ascii="宋体" w:hAnsi="宋体" w:eastAsia="宋体" w:cs="宋体"/>
                <w:color w:val="auto"/>
                <w:sz w:val="21"/>
                <w:szCs w:val="21"/>
              </w:rPr>
              <w:t>11.2 服务内容</w:t>
            </w:r>
            <w:bookmarkEnd w:id="95"/>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922"/>
              <w:gridCol w:w="1275"/>
              <w:gridCol w:w="7628"/>
            </w:tblGrid>
            <w:tr w14:paraId="5FEB86A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0C3613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编号</w:t>
                  </w:r>
                </w:p>
              </w:tc>
              <w:tc>
                <w:tcPr>
                  <w:tcW w:w="649"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2758D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服务项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2BE0C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内容要求</w:t>
                  </w:r>
                </w:p>
              </w:tc>
            </w:tr>
            <w:tr w14:paraId="7BA05C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99A490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S-01</w:t>
                  </w:r>
                </w:p>
              </w:tc>
              <w:tc>
                <w:tcPr>
                  <w:tcW w:w="64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EF81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缺陷修复</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534F4C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质保期内发现的软件缺陷免费修复；严重缺陷（导致系统不可用或数据错误）须在约定时限内修复</w:t>
                  </w:r>
                </w:p>
              </w:tc>
            </w:tr>
            <w:tr w14:paraId="44EB41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215EA4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S-02</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C8DD7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版本维护</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DE5D3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提供质保期内的补丁版本与小版本升级，保证系统与招标人环境兼容</w:t>
                  </w:r>
                </w:p>
              </w:tc>
            </w:tr>
            <w:tr w14:paraId="57F5D0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4352F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S-03</w:t>
                  </w:r>
                </w:p>
              </w:tc>
              <w:tc>
                <w:tcPr>
                  <w:tcW w:w="64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1D3257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接口适配维护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5084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现有平台接口变更时，提供接口适配支持（非需求变更范围内）</w:t>
                  </w:r>
                </w:p>
              </w:tc>
            </w:tr>
            <w:tr w14:paraId="151737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C58FD1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S-04</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CF2AF1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终端适配支持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5345E6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招标人新增机顶盒型号时，提供配置支持</w:t>
                  </w:r>
                </w:p>
              </w:tc>
            </w:tr>
            <w:tr w14:paraId="556D66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DBDA5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S-05</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0542B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技术支持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81D41A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提供电话、邮件、远程、现场多种支持方式</w:t>
                  </w:r>
                </w:p>
              </w:tc>
            </w:tr>
            <w:tr w14:paraId="45FED5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11D16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S-06</w:t>
                  </w:r>
                </w:p>
              </w:tc>
              <w:tc>
                <w:tcPr>
                  <w:tcW w:w="649"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39C728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巡检与健康检查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E291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每季度不少于1次系统健康检查，出具检查报告</w:t>
                  </w:r>
                </w:p>
              </w:tc>
            </w:tr>
            <w:tr w14:paraId="4F7F40A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46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C4542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S-07</w:t>
                  </w:r>
                </w:p>
              </w:tc>
              <w:tc>
                <w:tcPr>
                  <w:tcW w:w="649"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81F391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知识转移</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0DED43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质保期内持续提供运维知识转移，保证招标人具备自主运维能力</w:t>
                  </w:r>
                </w:p>
              </w:tc>
            </w:tr>
          </w:tbl>
          <w:p w14:paraId="35CD453F">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22E6F21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5DD41C5">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67D0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89B3DE2">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2CF1FD9B">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FE0333D">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6" w:name="_Toc7372"/>
            <w:r>
              <w:rPr>
                <w:rFonts w:hint="eastAsia" w:ascii="宋体" w:hAnsi="宋体" w:eastAsia="宋体" w:cs="宋体"/>
                <w:color w:val="auto"/>
                <w:sz w:val="21"/>
                <w:szCs w:val="21"/>
              </w:rPr>
              <w:t>11.3 服务响应时限（SLA）</w:t>
            </w:r>
            <w:bookmarkEnd w:id="96"/>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553"/>
              <w:gridCol w:w="5274"/>
              <w:gridCol w:w="1499"/>
              <w:gridCol w:w="1499"/>
            </w:tblGrid>
            <w:tr w14:paraId="05F2DBF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71A8C9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故障级别</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08F75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定义</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9FC0D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响应时限</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DB5791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解决时限</w:t>
                  </w:r>
                </w:p>
              </w:tc>
            </w:tr>
            <w:tr w14:paraId="71C0F1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ED7B8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一级（紧急）</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A9D4D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系统整体不可用、拨测任务全部中断、数据丢失</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B574F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≤30分钟</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F97130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≤4小时</w:t>
                  </w:r>
                </w:p>
              </w:tc>
            </w:tr>
            <w:tr w14:paraId="4E99677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204F57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二级（严重）</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49618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核心功能不可用（如调度、回传）、大面积任务失败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2FFB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≤1小时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D9979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≤8小时</w:t>
                  </w:r>
                </w:p>
              </w:tc>
            </w:tr>
            <w:tr w14:paraId="1073C76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E22A0A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三级（一般）</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17B47B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非核心功能异常、个别任务失败、界面问题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17B384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≤4小时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F2B053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≤3个工作日</w:t>
                  </w:r>
                </w:p>
              </w:tc>
            </w:tr>
            <w:tr w14:paraId="263827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4B58BA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四级（咨询）</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BAE88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使用咨询、优化建议、配置指导</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4771D4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≤1个工作日</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8AAA99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按约定</w:t>
                  </w:r>
                </w:p>
              </w:tc>
            </w:tr>
          </w:tbl>
          <w:p w14:paraId="53429F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r>
              <w:rPr>
                <w:rFonts w:hint="eastAsia" w:ascii="宋体" w:hAnsi="宋体" w:eastAsia="宋体" w:cs="宋体"/>
                <w:sz w:val="21"/>
                <w:szCs w:val="21"/>
              </w:rPr>
              <w:t>：</w:t>
            </w:r>
          </w:p>
          <w:p w14:paraId="3DFBD0EE">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响应时限自招标人通过约定渠道报障时起算。</w:t>
            </w:r>
          </w:p>
          <w:p w14:paraId="008B06AB">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解决时限含远程处理；需现场处理的，投标人须在响应后按约定时间到达现场（建议同城≤4小时、异地≤24小时）。</w:t>
            </w:r>
          </w:p>
          <w:p w14:paraId="6ED139C1">
            <w:pPr>
              <w:pStyle w:val="25"/>
              <w:pageBreakBefore w:val="0"/>
              <w:widowControl w:val="0"/>
              <w:numPr>
                <w:ilvl w:val="0"/>
                <w:numId w:val="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因招标人环境或第三方原因导致无法按时解决的，双方协商顺延并记录。</w:t>
            </w:r>
          </w:p>
        </w:tc>
        <w:tc>
          <w:tcPr>
            <w:tcW w:w="421" w:type="pct"/>
            <w:vAlign w:val="center"/>
          </w:tcPr>
          <w:p w14:paraId="28A85C6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7BFE4D3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40E5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5F41199C">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349E14E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31680E3C">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7" w:name="_Toc12714"/>
            <w:r>
              <w:rPr>
                <w:rFonts w:hint="eastAsia" w:ascii="宋体" w:hAnsi="宋体" w:eastAsia="宋体" w:cs="宋体"/>
                <w:color w:val="auto"/>
                <w:sz w:val="21"/>
                <w:szCs w:val="21"/>
              </w:rPr>
              <w:t>11.4 服务方式与渠道</w:t>
            </w:r>
            <w:bookmarkEnd w:id="97"/>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385"/>
              <w:gridCol w:w="8440"/>
            </w:tblGrid>
            <w:tr w14:paraId="264AD85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70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FF6CFD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方式</w:t>
                  </w:r>
                </w:p>
              </w:tc>
              <w:tc>
                <w:tcPr>
                  <w:tcW w:w="429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3A8F4B5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r>
            <w:tr w14:paraId="0447A4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5B87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电话支持</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25A10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提供7×24小时服务热线（一级故障）与5×8小时常规支持</w:t>
                  </w:r>
                </w:p>
              </w:tc>
            </w:tr>
            <w:tr w14:paraId="3B157C6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B70EFB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邮件/工单</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6A821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提供专用支持邮箱与工单系统，全程记录可追溯</w:t>
                  </w:r>
                </w:p>
              </w:tc>
            </w:tr>
            <w:tr w14:paraId="2FD228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252400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远程支持</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8701B3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经招标人授权后远程接入排查</w:t>
                  </w:r>
                </w:p>
              </w:tc>
            </w:tr>
            <w:tr w14:paraId="6601649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C6DCC8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现场支持</w:t>
                  </w:r>
                </w:p>
              </w:tc>
              <w:tc>
                <w:tcPr>
                  <w:tcW w:w="429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B4B622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远程无法解决时派工程师现场处理</w:t>
                  </w:r>
                </w:p>
              </w:tc>
            </w:tr>
            <w:tr w14:paraId="4F020A2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70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E7C8FF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驻场支持</w:t>
                  </w:r>
                </w:p>
              </w:tc>
              <w:tc>
                <w:tcPr>
                  <w:tcW w:w="429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BAC60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试运行期与重大保障期（如大促、版本上线）可提供驻场支持（投标人须说明是否收费）</w:t>
                  </w:r>
                </w:p>
              </w:tc>
            </w:tr>
          </w:tbl>
          <w:p w14:paraId="59E14C0F">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37DBA41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5A0BEEE8">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6D5D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4A06D9C3">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198B819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1C4C1B5D">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8" w:name="_Toc9951"/>
            <w:r>
              <w:rPr>
                <w:rFonts w:hint="eastAsia" w:ascii="宋体" w:hAnsi="宋体" w:eastAsia="宋体" w:cs="宋体"/>
                <w:color w:val="auto"/>
                <w:sz w:val="21"/>
                <w:szCs w:val="21"/>
              </w:rPr>
              <w:t>11.5 服务保障要求</w:t>
            </w:r>
            <w:bookmarkEnd w:id="98"/>
          </w:p>
          <w:p w14:paraId="2EC2842C">
            <w:pPr>
              <w:pStyle w:val="25"/>
              <w:pageBreakBefore w:val="0"/>
              <w:widowControl w:val="0"/>
              <w:numPr>
                <w:ilvl w:val="0"/>
                <w:numId w:val="2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投标人须指定专职项目经理与技术支持负责人，质保期内人员变更须提前书面通知并完成交接。</w:t>
            </w:r>
          </w:p>
          <w:p w14:paraId="7755471A">
            <w:pPr>
              <w:pStyle w:val="25"/>
              <w:pageBreakBefore w:val="0"/>
              <w:widowControl w:val="0"/>
              <w:numPr>
                <w:ilvl w:val="0"/>
                <w:numId w:val="2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投标人须提供服务级别承诺书，明确SLA指标与违约处理。</w:t>
            </w:r>
          </w:p>
          <w:p w14:paraId="1D95965A">
            <w:pPr>
              <w:pStyle w:val="25"/>
              <w:pageBreakBefore w:val="0"/>
              <w:widowControl w:val="0"/>
              <w:numPr>
                <w:ilvl w:val="0"/>
                <w:numId w:val="2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投标人须建立问题跟踪机制，所有故障与问题须记录、跟踪、闭环并定期回访。</w:t>
            </w:r>
          </w:p>
          <w:p w14:paraId="0EB5AF60">
            <w:pPr>
              <w:pStyle w:val="25"/>
              <w:pageBreakBefore w:val="0"/>
              <w:widowControl w:val="0"/>
              <w:numPr>
                <w:ilvl w:val="0"/>
                <w:numId w:val="2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质保期内因投标人原因导致的重大故障，投标人须提交故障分析报告与改进措施。</w:t>
            </w:r>
          </w:p>
          <w:p w14:paraId="0702FC90">
            <w:pPr>
              <w:pStyle w:val="25"/>
              <w:pageBreakBefore w:val="0"/>
              <w:widowControl w:val="0"/>
              <w:numPr>
                <w:ilvl w:val="0"/>
                <w:numId w:val="26"/>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质保期结束后，投标人须承诺提供有偿延续服务，延续服务价格须在投标文件中明确（作为评审参考）。</w:t>
            </w:r>
          </w:p>
        </w:tc>
        <w:tc>
          <w:tcPr>
            <w:tcW w:w="421" w:type="pct"/>
            <w:vAlign w:val="center"/>
          </w:tcPr>
          <w:p w14:paraId="3AA52E6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7D9A382">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6652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687E352">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06DF27D1">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374B67AC">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99" w:name="_Toc16896"/>
            <w:r>
              <w:rPr>
                <w:rFonts w:hint="eastAsia" w:ascii="宋体" w:hAnsi="宋体" w:eastAsia="宋体" w:cs="宋体"/>
                <w:color w:val="auto"/>
                <w:sz w:val="21"/>
                <w:szCs w:val="21"/>
              </w:rPr>
              <w:t>11.6 培训要求</w:t>
            </w:r>
            <w:bookmarkEnd w:id="99"/>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705"/>
              <w:gridCol w:w="6745"/>
              <w:gridCol w:w="1375"/>
            </w:tblGrid>
            <w:tr w14:paraId="7A891D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2D505C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培训对象</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214B8A6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培训内容</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A091C2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时长要求</w:t>
                  </w:r>
                </w:p>
              </w:tc>
            </w:tr>
            <w:tr w14:paraId="642A05A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32B12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运营人员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8C30D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任务配置、范围选择、报告查看、异常复核、告警处理</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DF6E7D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≥1天</w:t>
                  </w:r>
                </w:p>
              </w:tc>
            </w:tr>
            <w:tr w14:paraId="248C70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B2838A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运维人员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113309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系统运维、监控指标、故障处理、备份恢复、终端维护</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83C18B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≥1天</w:t>
                  </w:r>
                </w:p>
              </w:tc>
            </w:tr>
            <w:tr w14:paraId="796F6C5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AD535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管理员</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0723D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权限管理、接口配置、终端管理、审计查询</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9B1149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≥0.5天</w:t>
                  </w:r>
                </w:p>
              </w:tc>
            </w:tr>
            <w:tr w14:paraId="135273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9C727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CP对接人员</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E01A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报告查看、异常确认、状态回传</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E73961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≥0.5天</w:t>
                  </w:r>
                </w:p>
              </w:tc>
            </w:tr>
          </w:tbl>
          <w:p w14:paraId="293A7A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bCs/>
                <w:sz w:val="21"/>
                <w:szCs w:val="21"/>
              </w:rPr>
              <w:t>要求</w:t>
            </w:r>
            <w:r>
              <w:rPr>
                <w:rFonts w:hint="eastAsia" w:ascii="宋体" w:hAnsi="宋体" w:eastAsia="宋体" w:cs="宋体"/>
                <w:sz w:val="21"/>
                <w:szCs w:val="21"/>
              </w:rPr>
              <w:t>：培训须提供教材与实操环境；培训后须进行考核或答疑，确保受训人员可独立操作；培训记录须归档。</w:t>
            </w:r>
          </w:p>
        </w:tc>
        <w:tc>
          <w:tcPr>
            <w:tcW w:w="421" w:type="pct"/>
            <w:vAlign w:val="center"/>
          </w:tcPr>
          <w:p w14:paraId="0A7CD234">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232E96FE">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05E4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1DF617B3">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restart"/>
            <w:shd w:val="clear" w:color="auto" w:fill="auto"/>
            <w:vAlign w:val="center"/>
          </w:tcPr>
          <w:p w14:paraId="330EA86D">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bookmarkStart w:id="100" w:name="_Toc32203"/>
            <w:r>
              <w:rPr>
                <w:rStyle w:val="30"/>
                <w:rFonts w:hint="eastAsia" w:ascii="宋体" w:hAnsi="宋体" w:eastAsia="宋体" w:cs="宋体"/>
                <w:b w:val="0"/>
                <w:bCs w:val="0"/>
                <w:color w:val="auto"/>
                <w:sz w:val="21"/>
                <w:szCs w:val="21"/>
                <w:lang w:val="en-US" w:eastAsia="zh-CN"/>
              </w:rPr>
              <w:t>12 里程碑计划</w:t>
            </w:r>
            <w:bookmarkEnd w:id="100"/>
          </w:p>
          <w:p w14:paraId="61E26029">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54601EB6">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01" w:name="_Toc27281"/>
            <w:r>
              <w:rPr>
                <w:rFonts w:hint="eastAsia" w:ascii="宋体" w:hAnsi="宋体" w:eastAsia="宋体" w:cs="宋体"/>
                <w:color w:val="auto"/>
                <w:sz w:val="21"/>
                <w:szCs w:val="21"/>
              </w:rPr>
              <w:t>12.1 总体里程碑</w:t>
            </w:r>
            <w:bookmarkEnd w:id="101"/>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1076"/>
              <w:gridCol w:w="1542"/>
              <w:gridCol w:w="1627"/>
              <w:gridCol w:w="2687"/>
              <w:gridCol w:w="1517"/>
              <w:gridCol w:w="1376"/>
            </w:tblGrid>
            <w:tr w14:paraId="1B86C88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41943E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里程碑</w:t>
                  </w:r>
                </w:p>
              </w:tc>
              <w:tc>
                <w:tcPr>
                  <w:tcW w:w="785"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84E6D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阶段名称</w:t>
                  </w:r>
                </w:p>
              </w:tc>
              <w:tc>
                <w:tcPr>
                  <w:tcW w:w="828" w:type="pct"/>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3DA015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主要工作</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6D7348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交付物</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7AB3BF3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建议周期</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CBB610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完成标志</w:t>
                  </w:r>
                </w:p>
              </w:tc>
            </w:tr>
            <w:tr w14:paraId="1ED6D4B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CC79B3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M1</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09B55D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项目启动与需求确认</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38FB6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项目启动会、需求交底、需求确认、实施计划确认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F11D0F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D-07需求规格说明书、项目实施计划</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98AB48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合同签订后1周内</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93C71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需求确认签字</w:t>
                  </w:r>
                </w:p>
              </w:tc>
            </w:tr>
            <w:tr w14:paraId="098337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32AAF36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M2</w:t>
                  </w:r>
                </w:p>
              </w:tc>
              <w:tc>
                <w:tcPr>
                  <w:tcW w:w="78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6348937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设计与开发</w:t>
                  </w:r>
                </w:p>
              </w:tc>
              <w:tc>
                <w:tcPr>
                  <w:tcW w:w="82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24EA01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系统设计、功能开发、接口开发、终端适配</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D6053F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D-08设计说明书、D-09接口文档、D-10数据库设计</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383159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合同签订后1周内</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6E0CF7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开发完成、内部测试通过</w:t>
                  </w:r>
                </w:p>
              </w:tc>
            </w:tr>
            <w:tr w14:paraId="25C9D4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09E5055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M3</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20A6C8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部署与联调</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4F1C73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环境部署、终端部署、接口联调、数据同步验证</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A754D5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D-04接口组件、D-05/D-06部署脚本、D-18联调报告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250F2B">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合同签订后1周内</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C3DB8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接口联调通过</w:t>
                  </w:r>
                </w:p>
              </w:tc>
            </w:tr>
            <w:tr w14:paraId="04AE46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AE4B31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M4</w:t>
                  </w:r>
                </w:p>
              </w:tc>
              <w:tc>
                <w:tcPr>
                  <w:tcW w:w="78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2B7B29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初验（功能验收）</w:t>
                  </w:r>
                </w:p>
              </w:tc>
              <w:tc>
                <w:tcPr>
                  <w:tcW w:w="82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C4AB23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功能实测、文档比对、问题整改</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8A357F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D-14测试报告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71BDB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第1～2周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F874D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初验通过</w:t>
                  </w:r>
                </w:p>
              </w:tc>
            </w:tr>
            <w:tr w14:paraId="356AC0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CC2B6A5">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M5</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4E5A1D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培训与试运行</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7DD2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用户培训、试运行支持、问题优化</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E0FB0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D-15培训材料、D-20试运行报告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AE7395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第3～6周（试运行≥30天）</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8EB9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试运行达标</w:t>
                  </w:r>
                </w:p>
              </w:tc>
            </w:tr>
            <w:tr w14:paraId="714F87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B5803E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M6</w:t>
                  </w:r>
                </w:p>
              </w:tc>
              <w:tc>
                <w:tcPr>
                  <w:tcW w:w="785"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A999A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终验</w:t>
                  </w:r>
                </w:p>
              </w:tc>
              <w:tc>
                <w:tcPr>
                  <w:tcW w:w="828" w:type="pct"/>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1BD204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交付物清点、综合评审、验收结论</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5F8BC21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全部交付物、终验报告</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FA0FF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第7周</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E78F4AE">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终验通过</w:t>
                  </w:r>
                </w:p>
              </w:tc>
            </w:tr>
            <w:tr w14:paraId="1CB79DB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54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320A10C">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M7</w:t>
                  </w:r>
                </w:p>
              </w:tc>
              <w:tc>
                <w:tcPr>
                  <w:tcW w:w="785"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5CEFC6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质保期服务</w:t>
                  </w:r>
                </w:p>
              </w:tc>
              <w:tc>
                <w:tcPr>
                  <w:tcW w:w="828" w:type="pct"/>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0B5303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缺陷修复、版本维护、技术支持</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206938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季度健康检查报告</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1577A9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终验后12个月</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405C73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质保期结束</w:t>
                  </w:r>
                </w:p>
              </w:tc>
            </w:tr>
          </w:tbl>
          <w:p w14:paraId="54BD6BE8">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1B8CF9BF">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00FA17C7">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6ACF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5B7C81F">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64D4A7BC">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B291838">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02" w:name="_Toc11454"/>
            <w:r>
              <w:rPr>
                <w:rFonts w:hint="eastAsia" w:ascii="宋体" w:hAnsi="宋体" w:eastAsia="宋体" w:cs="宋体"/>
                <w:color w:val="auto"/>
                <w:sz w:val="21"/>
                <w:szCs w:val="21"/>
              </w:rPr>
              <w:t>12.2 关键路径与依赖</w:t>
            </w:r>
            <w:bookmarkEnd w:id="102"/>
          </w:p>
          <w:tbl>
            <w:tblPr>
              <w:tblStyle w:val="1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 w:type="dxa"/>
                <w:bottom w:w="0" w:type="dxa"/>
                <w:right w:w="10" w:type="dxa"/>
              </w:tblCellMar>
            </w:tblPr>
            <w:tblGrid>
              <w:gridCol w:w="643"/>
              <w:gridCol w:w="2856"/>
              <w:gridCol w:w="3058"/>
              <w:gridCol w:w="3268"/>
            </w:tblGrid>
            <w:tr w14:paraId="0A68F0A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0292E76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序号</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58C4F43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关键依赖</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16DA0E5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p>
              </w:tc>
              <w:tc>
                <w:tcPr>
                  <w:tcW w:w="0" w:type="auto"/>
                  <w:tcBorders>
                    <w:top w:val="single" w:color="BFBFBF" w:sz="4" w:space="0"/>
                    <w:left w:val="single" w:color="BFBFBF" w:sz="4" w:space="0"/>
                    <w:bottom w:val="single" w:color="BFBFBF" w:sz="4" w:space="0"/>
                    <w:right w:val="single" w:color="BFBFBF" w:sz="4" w:space="0"/>
                  </w:tcBorders>
                  <w:shd w:val="clear" w:color="auto" w:fill="F2F2F2"/>
                  <w:tcMar>
                    <w:top w:w="72" w:type="dxa"/>
                    <w:left w:w="115" w:type="dxa"/>
                    <w:bottom w:w="72" w:type="dxa"/>
                    <w:right w:w="115" w:type="dxa"/>
                  </w:tcMar>
                </w:tcPr>
                <w:p w14:paraId="4664219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责任方</w:t>
                  </w:r>
                </w:p>
              </w:tc>
            </w:tr>
            <w:tr w14:paraId="5058D1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76E5E26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C2A92A7">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现有平台接口文档与联调环境</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384914C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接口开发与联调的前置条件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66AE860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w:t>
                  </w:r>
                </w:p>
              </w:tc>
            </w:tr>
            <w:tr w14:paraId="64E741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A5C7C6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1CDD2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拨测终端网络接入与认证</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735CC5F4">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终端部署与拨测执行的前置条件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492328F6">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w:t>
                  </w:r>
                </w:p>
              </w:tc>
            </w:tr>
            <w:tr w14:paraId="4E78AAD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6B5A2D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1343BDD">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机顶盒型号确认</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E96480">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终端适配的前置条件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C16CD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招标人提供型号清单，投标人适配</w:t>
                  </w:r>
                </w:p>
              </w:tc>
            </w:tr>
            <w:tr w14:paraId="57C3DEB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63E4822">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1E61EDE9">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需求确认签字</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2DF0C7E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开发启动的前置条件</w:t>
                  </w:r>
                </w:p>
              </w:tc>
              <w:tc>
                <w:tcPr>
                  <w:tcW w:w="0" w:type="auto"/>
                  <w:tcBorders>
                    <w:top w:val="single" w:color="BFBFBF" w:sz="4" w:space="0"/>
                    <w:left w:val="single" w:color="BFBFBF" w:sz="4" w:space="0"/>
                    <w:bottom w:val="single" w:color="BFBFBF" w:sz="4" w:space="0"/>
                    <w:right w:val="single" w:color="BFBFBF" w:sz="4" w:space="0"/>
                  </w:tcBorders>
                  <w:shd w:val="clear" w:color="auto" w:fill="F9F9F9"/>
                  <w:tcMar>
                    <w:top w:w="72" w:type="dxa"/>
                    <w:left w:w="115" w:type="dxa"/>
                    <w:bottom w:w="72" w:type="dxa"/>
                    <w:right w:w="115" w:type="dxa"/>
                  </w:tcMar>
                </w:tcPr>
                <w:p w14:paraId="0931D4F8">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双方</w:t>
                  </w:r>
                </w:p>
              </w:tc>
            </w:tr>
            <w:tr w14:paraId="1B6912B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 w:type="dxa"/>
                  <w:bottom w:w="0" w:type="dxa"/>
                  <w:right w:w="10" w:type="dxa"/>
                </w:tblCellMar>
              </w:tblPrEx>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104434A1">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23A3BAAA">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试运行环境与真实业务数据</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5B3CCBB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试运行的前置条件</w:t>
                  </w:r>
                </w:p>
              </w:tc>
              <w:tc>
                <w:tcPr>
                  <w:tcW w:w="0" w:type="auto"/>
                  <w:tcBorders>
                    <w:top w:val="single" w:color="BFBFBF" w:sz="4" w:space="0"/>
                    <w:left w:val="single" w:color="BFBFBF" w:sz="4" w:space="0"/>
                    <w:bottom w:val="single" w:color="BFBFBF" w:sz="4" w:space="0"/>
                    <w:right w:val="single" w:color="BFBFBF" w:sz="4" w:space="0"/>
                  </w:tcBorders>
                  <w:tcMar>
                    <w:top w:w="72" w:type="dxa"/>
                    <w:left w:w="115" w:type="dxa"/>
                    <w:bottom w:w="72" w:type="dxa"/>
                    <w:right w:w="115" w:type="dxa"/>
                  </w:tcMar>
                </w:tcPr>
                <w:p w14:paraId="46613CDF">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招标人</w:t>
                  </w:r>
                </w:p>
              </w:tc>
            </w:tr>
          </w:tbl>
          <w:p w14:paraId="290029A3">
            <w:pPr>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rPr>
            </w:pPr>
            <w:r>
              <w:rPr>
                <w:rFonts w:hint="eastAsia" w:ascii="宋体" w:hAnsi="宋体" w:eastAsia="宋体" w:cs="宋体"/>
                <w:b/>
                <w:bCs/>
                <w:sz w:val="21"/>
                <w:szCs w:val="21"/>
              </w:rPr>
              <w:t>说明</w:t>
            </w:r>
            <w:r>
              <w:rPr>
                <w:rFonts w:hint="eastAsia" w:ascii="宋体" w:hAnsi="宋体" w:eastAsia="宋体" w:cs="宋体"/>
                <w:sz w:val="21"/>
                <w:szCs w:val="21"/>
              </w:rPr>
              <w:t>：因招标人原因导致关键依赖延迟的，工期相应顺延；因投标人原因导致里程碑延迟的，按合同违约条款处理。</w:t>
            </w:r>
          </w:p>
          <w:p w14:paraId="41778008">
            <w:pPr>
              <w:keepNext w:val="0"/>
              <w:keepLines w:val="0"/>
              <w:pageBreakBefore w:val="0"/>
              <w:widowControl w:val="0"/>
              <w:kinsoku/>
              <w:wordWrap/>
              <w:overflowPunct/>
              <w:topLinePunct w:val="0"/>
              <w:autoSpaceDE/>
              <w:autoSpaceDN/>
              <w:bidi w:val="0"/>
              <w:adjustRightInd/>
              <w:spacing w:line="288" w:lineRule="auto"/>
              <w:ind w:left="0" w:leftChars="0" w:firstLine="0" w:firstLineChars="0"/>
              <w:jc w:val="both"/>
              <w:textAlignment w:val="auto"/>
              <w:rPr>
                <w:rFonts w:hint="eastAsia" w:ascii="宋体" w:hAnsi="宋体" w:eastAsia="宋体" w:cs="宋体"/>
                <w:b w:val="0"/>
                <w:bCs w:val="0"/>
                <w:kern w:val="2"/>
                <w:sz w:val="21"/>
                <w:szCs w:val="21"/>
                <w:lang w:val="en-US" w:eastAsia="zh-CN" w:bidi="ar-SA"/>
              </w:rPr>
            </w:pPr>
          </w:p>
        </w:tc>
        <w:tc>
          <w:tcPr>
            <w:tcW w:w="421" w:type="pct"/>
            <w:vAlign w:val="center"/>
          </w:tcPr>
          <w:p w14:paraId="6DEE1573">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727A2586">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r w14:paraId="5116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0" w:type="pct"/>
            <w:vAlign w:val="center"/>
          </w:tcPr>
          <w:p w14:paraId="0E92B232">
            <w:pPr>
              <w:keepNext w:val="0"/>
              <w:keepLines w:val="0"/>
              <w:pageBreakBefore w:val="0"/>
              <w:widowControl w:val="0"/>
              <w:numPr>
                <w:ilvl w:val="0"/>
                <w:numId w:val="3"/>
              </w:numPr>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311" w:type="pct"/>
            <w:vMerge w:val="continue"/>
            <w:shd w:val="clear" w:color="auto" w:fill="auto"/>
            <w:vAlign w:val="center"/>
          </w:tcPr>
          <w:p w14:paraId="4B2D3363">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Style w:val="30"/>
                <w:rFonts w:hint="eastAsia" w:ascii="宋体" w:hAnsi="宋体" w:eastAsia="宋体" w:cs="宋体"/>
                <w:b w:val="0"/>
                <w:bCs w:val="0"/>
                <w:color w:val="auto"/>
                <w:sz w:val="21"/>
                <w:szCs w:val="21"/>
                <w:lang w:val="en-US" w:eastAsia="zh-CN"/>
              </w:rPr>
            </w:pPr>
          </w:p>
        </w:tc>
        <w:tc>
          <w:tcPr>
            <w:tcW w:w="3815" w:type="pct"/>
            <w:shd w:val="clear" w:color="auto" w:fill="auto"/>
            <w:vAlign w:val="center"/>
          </w:tcPr>
          <w:p w14:paraId="4D8CCEDB">
            <w:pPr>
              <w:pStyle w:val="3"/>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rPr>
            </w:pPr>
            <w:bookmarkStart w:id="103" w:name="_Toc20968"/>
            <w:r>
              <w:rPr>
                <w:rFonts w:hint="eastAsia" w:ascii="宋体" w:hAnsi="宋体" w:eastAsia="宋体" w:cs="宋体"/>
                <w:color w:val="auto"/>
                <w:sz w:val="21"/>
                <w:szCs w:val="21"/>
              </w:rPr>
              <w:t>12.3 进度保障要求</w:t>
            </w:r>
            <w:bookmarkEnd w:id="103"/>
          </w:p>
          <w:p w14:paraId="2DE8836C">
            <w:pPr>
              <w:pStyle w:val="25"/>
              <w:pageBreakBefore w:val="0"/>
              <w:widowControl w:val="0"/>
              <w:numPr>
                <w:ilvl w:val="0"/>
                <w:numId w:val="2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投标人定期提交项目周报，内容包括进度、风险、问题与下一步计划。</w:t>
            </w:r>
          </w:p>
          <w:p w14:paraId="4C06943C">
            <w:pPr>
              <w:pStyle w:val="25"/>
              <w:pageBreakBefore w:val="0"/>
              <w:widowControl w:val="0"/>
              <w:numPr>
                <w:ilvl w:val="0"/>
                <w:numId w:val="2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里程碑延迟超过5个工作日，投标人须提交书面说明与赶工方案。</w:t>
            </w:r>
          </w:p>
          <w:p w14:paraId="33719F02">
            <w:pPr>
              <w:pStyle w:val="25"/>
              <w:pageBreakBefore w:val="0"/>
              <w:widowControl w:val="0"/>
              <w:numPr>
                <w:ilvl w:val="0"/>
                <w:numId w:val="2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sz w:val="21"/>
                <w:szCs w:val="21"/>
              </w:rPr>
            </w:pPr>
            <w:r>
              <w:rPr>
                <w:rFonts w:hint="eastAsia" w:ascii="宋体" w:hAnsi="宋体" w:eastAsia="宋体" w:cs="宋体"/>
                <w:sz w:val="21"/>
                <w:szCs w:val="21"/>
              </w:rPr>
              <w:t>投标人须在M2阶段提供阶段性演示，招标人可提前发现偏差。</w:t>
            </w:r>
          </w:p>
          <w:p w14:paraId="4FE125F0">
            <w:pPr>
              <w:pStyle w:val="25"/>
              <w:pageBreakBefore w:val="0"/>
              <w:widowControl w:val="0"/>
              <w:numPr>
                <w:ilvl w:val="0"/>
                <w:numId w:val="27"/>
              </w:numPr>
              <w:kinsoku/>
              <w:wordWrap/>
              <w:overflowPunct/>
              <w:topLinePunct w:val="0"/>
              <w:autoSpaceDE/>
              <w:autoSpaceDN/>
              <w:bidi w:val="0"/>
              <w:adjustRightInd/>
              <w:spacing w:before="60" w:after="60" w:line="288" w:lineRule="auto"/>
              <w:ind w:left="360" w:hanging="259"/>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项目变更须走变更流程，评估对工期与费用的影响，双方书面确认。</w:t>
            </w:r>
          </w:p>
        </w:tc>
        <w:tc>
          <w:tcPr>
            <w:tcW w:w="421" w:type="pct"/>
            <w:vAlign w:val="center"/>
          </w:tcPr>
          <w:p w14:paraId="3506487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c>
          <w:tcPr>
            <w:tcW w:w="281" w:type="pct"/>
            <w:vAlign w:val="center"/>
          </w:tcPr>
          <w:p w14:paraId="454F7D40">
            <w:pPr>
              <w:keepNext w:val="0"/>
              <w:keepLines w:val="0"/>
              <w:pageBreakBefore w:val="0"/>
              <w:widowControl w:val="0"/>
              <w:kinsoku/>
              <w:wordWrap/>
              <w:overflowPunct/>
              <w:topLinePunct w:val="0"/>
              <w:autoSpaceDE/>
              <w:autoSpaceDN/>
              <w:bidi w:val="0"/>
              <w:adjustRightInd/>
              <w:spacing w:line="288" w:lineRule="auto"/>
              <w:ind w:left="0" w:firstLine="0" w:firstLineChars="0"/>
              <w:jc w:val="both"/>
              <w:textAlignment w:val="auto"/>
              <w:rPr>
                <w:rFonts w:hint="eastAsia" w:ascii="宋体" w:hAnsi="宋体" w:eastAsia="宋体" w:cs="宋体"/>
                <w:b w:val="0"/>
                <w:bCs w:val="0"/>
                <w:sz w:val="21"/>
                <w:szCs w:val="21"/>
              </w:rPr>
            </w:pPr>
          </w:p>
        </w:tc>
      </w:tr>
    </w:tbl>
    <w:p w14:paraId="247AF480">
      <w:pPr>
        <w:spacing w:after="209" w:afterLines="67"/>
        <w:rPr>
          <w:rFonts w:asciiTheme="minorEastAsia" w:hAnsiTheme="minorEastAsia" w:cstheme="minorEastAsia"/>
          <w:b/>
          <w:bCs/>
          <w:sz w:val="24"/>
          <w:szCs w:val="24"/>
        </w:rPr>
      </w:pPr>
    </w:p>
    <w:p w14:paraId="7B2213B6">
      <w:pPr>
        <w:spacing w:after="209" w:afterLines="67"/>
        <w:rPr>
          <w:rFonts w:hint="eastAsia" w:asciiTheme="minorEastAsia" w:hAnsiTheme="minorEastAsia" w:cstheme="minorEastAsia"/>
          <w:b/>
          <w:bCs/>
          <w:sz w:val="24"/>
          <w:szCs w:val="24"/>
        </w:rPr>
        <w:sectPr>
          <w:pgSz w:w="16838" w:h="11906" w:orient="landscape"/>
          <w:pgMar w:top="1800" w:right="1440" w:bottom="1800" w:left="1440" w:header="851" w:footer="992" w:gutter="0"/>
          <w:cols w:space="425" w:num="1"/>
          <w:docGrid w:type="lines" w:linePitch="312" w:charSpace="0"/>
        </w:sectPr>
      </w:pPr>
    </w:p>
    <w:p w14:paraId="1F6A1EBD">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四、报价内容（加盖公章）</w:t>
      </w:r>
      <w:bookmarkStart w:id="104" w:name="_GoBack"/>
      <w:bookmarkEnd w:id="104"/>
    </w:p>
    <w:tbl>
      <w:tblPr>
        <w:tblStyle w:val="15"/>
        <w:tblW w:w="5022" w:type="pct"/>
        <w:jc w:val="center"/>
        <w:tblLayout w:type="fixed"/>
        <w:tblCellMar>
          <w:top w:w="0" w:type="dxa"/>
          <w:left w:w="108" w:type="dxa"/>
          <w:bottom w:w="0" w:type="dxa"/>
          <w:right w:w="108" w:type="dxa"/>
        </w:tblCellMar>
      </w:tblPr>
      <w:tblGrid>
        <w:gridCol w:w="726"/>
        <w:gridCol w:w="3424"/>
        <w:gridCol w:w="1130"/>
        <w:gridCol w:w="1169"/>
        <w:gridCol w:w="1665"/>
        <w:gridCol w:w="1665"/>
        <w:gridCol w:w="1665"/>
        <w:gridCol w:w="1665"/>
        <w:gridCol w:w="911"/>
      </w:tblGrid>
      <w:tr w14:paraId="65D9BB33">
        <w:tblPrEx>
          <w:tblCellMar>
            <w:top w:w="0" w:type="dxa"/>
            <w:left w:w="108" w:type="dxa"/>
            <w:bottom w:w="0" w:type="dxa"/>
            <w:right w:w="108" w:type="dxa"/>
          </w:tblCellMar>
        </w:tblPrEx>
        <w:trPr>
          <w:trHeight w:val="570" w:hRule="atLeast"/>
          <w:jc w:val="center"/>
        </w:trPr>
        <w:tc>
          <w:tcPr>
            <w:tcW w:w="258" w:type="pct"/>
            <w:tcBorders>
              <w:top w:val="single" w:color="auto" w:sz="4" w:space="0"/>
              <w:left w:val="single" w:color="auto" w:sz="4" w:space="0"/>
              <w:bottom w:val="single" w:color="auto" w:sz="4" w:space="0"/>
              <w:right w:val="single" w:color="auto" w:sz="4" w:space="0"/>
            </w:tcBorders>
            <w:noWrap/>
            <w:vAlign w:val="center"/>
          </w:tcPr>
          <w:p w14:paraId="15BA4925">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1221" w:type="pct"/>
            <w:tcBorders>
              <w:top w:val="single" w:color="auto" w:sz="4" w:space="0"/>
              <w:left w:val="nil"/>
              <w:bottom w:val="single" w:color="auto" w:sz="4" w:space="0"/>
              <w:right w:val="single" w:color="auto" w:sz="4" w:space="0"/>
            </w:tcBorders>
            <w:noWrap/>
            <w:vAlign w:val="center"/>
          </w:tcPr>
          <w:p w14:paraId="355BBFA7">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采购内容</w:t>
            </w:r>
          </w:p>
        </w:tc>
        <w:tc>
          <w:tcPr>
            <w:tcW w:w="402" w:type="pct"/>
            <w:tcBorders>
              <w:top w:val="single" w:color="auto" w:sz="4" w:space="0"/>
              <w:left w:val="nil"/>
              <w:bottom w:val="single" w:color="auto" w:sz="4" w:space="0"/>
              <w:right w:val="single" w:color="auto" w:sz="4" w:space="0"/>
            </w:tcBorders>
            <w:noWrap/>
            <w:vAlign w:val="center"/>
          </w:tcPr>
          <w:p w14:paraId="108C972F">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数量</w:t>
            </w:r>
          </w:p>
        </w:tc>
        <w:tc>
          <w:tcPr>
            <w:tcW w:w="416" w:type="pct"/>
            <w:tcBorders>
              <w:top w:val="single" w:color="auto" w:sz="4" w:space="0"/>
              <w:left w:val="nil"/>
              <w:bottom w:val="single" w:color="auto" w:sz="4" w:space="0"/>
              <w:right w:val="single" w:color="auto" w:sz="4" w:space="0"/>
            </w:tcBorders>
            <w:noWrap/>
            <w:vAlign w:val="center"/>
          </w:tcPr>
          <w:p w14:paraId="5A5FBDBB">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单位</w:t>
            </w:r>
          </w:p>
        </w:tc>
        <w:tc>
          <w:tcPr>
            <w:tcW w:w="593" w:type="pct"/>
            <w:tcBorders>
              <w:top w:val="single" w:color="auto" w:sz="4" w:space="0"/>
              <w:left w:val="nil"/>
              <w:bottom w:val="single" w:color="auto" w:sz="4" w:space="0"/>
              <w:right w:val="single" w:color="auto" w:sz="4" w:space="0"/>
            </w:tcBorders>
            <w:noWrap w:val="0"/>
            <w:vAlign w:val="center"/>
          </w:tcPr>
          <w:p w14:paraId="7D85C81B">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不含税报价</w:t>
            </w:r>
          </w:p>
          <w:p w14:paraId="6501DEDF">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（元）</w:t>
            </w:r>
          </w:p>
        </w:tc>
        <w:tc>
          <w:tcPr>
            <w:tcW w:w="593" w:type="pct"/>
            <w:tcBorders>
              <w:top w:val="single" w:color="auto" w:sz="4" w:space="0"/>
              <w:left w:val="nil"/>
              <w:bottom w:val="single" w:color="auto" w:sz="4" w:space="0"/>
              <w:right w:val="single" w:color="auto" w:sz="4" w:space="0"/>
            </w:tcBorders>
            <w:noWrap w:val="0"/>
            <w:vAlign w:val="center"/>
          </w:tcPr>
          <w:p w14:paraId="4F036CF7">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税率</w:t>
            </w:r>
          </w:p>
          <w:p w14:paraId="422D12EB">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w:t>
            </w:r>
          </w:p>
        </w:tc>
        <w:tc>
          <w:tcPr>
            <w:tcW w:w="593" w:type="pct"/>
            <w:tcBorders>
              <w:top w:val="single" w:color="auto" w:sz="4" w:space="0"/>
              <w:left w:val="nil"/>
              <w:bottom w:val="single" w:color="auto" w:sz="4" w:space="0"/>
              <w:right w:val="single" w:color="auto" w:sz="4" w:space="0"/>
            </w:tcBorders>
            <w:noWrap w:val="0"/>
            <w:vAlign w:val="center"/>
          </w:tcPr>
          <w:p w14:paraId="7EEF5772">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增值税税额</w:t>
            </w:r>
          </w:p>
          <w:p w14:paraId="32B85E1A">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（元）</w:t>
            </w:r>
          </w:p>
        </w:tc>
        <w:tc>
          <w:tcPr>
            <w:tcW w:w="593" w:type="pct"/>
            <w:tcBorders>
              <w:top w:val="single" w:color="auto" w:sz="4" w:space="0"/>
              <w:left w:val="nil"/>
              <w:bottom w:val="single" w:color="auto" w:sz="4" w:space="0"/>
              <w:right w:val="single" w:color="auto" w:sz="4" w:space="0"/>
            </w:tcBorders>
            <w:noWrap w:val="0"/>
            <w:vAlign w:val="center"/>
          </w:tcPr>
          <w:p w14:paraId="564B9C93">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含税报价</w:t>
            </w:r>
          </w:p>
          <w:p w14:paraId="45F96520">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（元）</w:t>
            </w:r>
          </w:p>
        </w:tc>
        <w:tc>
          <w:tcPr>
            <w:tcW w:w="324" w:type="pct"/>
            <w:tcBorders>
              <w:top w:val="single" w:color="auto" w:sz="4" w:space="0"/>
              <w:left w:val="nil"/>
              <w:bottom w:val="single" w:color="auto" w:sz="4" w:space="0"/>
              <w:right w:val="single" w:color="auto" w:sz="4" w:space="0"/>
            </w:tcBorders>
            <w:noWrap w:val="0"/>
            <w:vAlign w:val="center"/>
          </w:tcPr>
          <w:p w14:paraId="2D138912">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14:paraId="5DAB0428">
        <w:tblPrEx>
          <w:tblCellMar>
            <w:top w:w="0" w:type="dxa"/>
            <w:left w:w="108" w:type="dxa"/>
            <w:bottom w:w="0" w:type="dxa"/>
            <w:right w:w="108" w:type="dxa"/>
          </w:tblCellMar>
        </w:tblPrEx>
        <w:trPr>
          <w:trHeight w:val="1223" w:hRule="atLeast"/>
          <w:jc w:val="center"/>
        </w:trPr>
        <w:tc>
          <w:tcPr>
            <w:tcW w:w="258" w:type="pct"/>
            <w:tcBorders>
              <w:top w:val="single" w:color="auto" w:sz="4" w:space="0"/>
              <w:left w:val="single" w:color="auto" w:sz="4" w:space="0"/>
              <w:bottom w:val="single" w:color="auto" w:sz="4" w:space="0"/>
              <w:right w:val="single" w:color="auto" w:sz="4" w:space="0"/>
            </w:tcBorders>
            <w:noWrap/>
            <w:vAlign w:val="center"/>
          </w:tcPr>
          <w:p w14:paraId="431ECA8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1221" w:type="pct"/>
            <w:tcBorders>
              <w:top w:val="single" w:color="auto" w:sz="4" w:space="0"/>
              <w:left w:val="nil"/>
              <w:bottom w:val="single" w:color="auto" w:sz="4" w:space="0"/>
              <w:right w:val="single" w:color="auto" w:sz="4" w:space="0"/>
            </w:tcBorders>
            <w:noWrap/>
            <w:vAlign w:val="center"/>
          </w:tcPr>
          <w:p w14:paraId="14BDB6E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IPTV内容自动巡检拨测系统</w:t>
            </w:r>
          </w:p>
        </w:tc>
        <w:tc>
          <w:tcPr>
            <w:tcW w:w="402" w:type="pct"/>
            <w:tcBorders>
              <w:top w:val="single" w:color="auto" w:sz="4" w:space="0"/>
              <w:left w:val="nil"/>
              <w:bottom w:val="single" w:color="auto" w:sz="4" w:space="0"/>
              <w:right w:val="single" w:color="auto" w:sz="4" w:space="0"/>
            </w:tcBorders>
            <w:noWrap/>
            <w:vAlign w:val="center"/>
          </w:tcPr>
          <w:p w14:paraId="543C74E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416" w:type="pct"/>
            <w:tcBorders>
              <w:top w:val="single" w:color="auto" w:sz="4" w:space="0"/>
              <w:left w:val="nil"/>
              <w:bottom w:val="single" w:color="auto" w:sz="4" w:space="0"/>
              <w:right w:val="single" w:color="auto" w:sz="4" w:space="0"/>
            </w:tcBorders>
            <w:noWrap/>
            <w:vAlign w:val="center"/>
          </w:tcPr>
          <w:p w14:paraId="1F87CBA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套</w:t>
            </w:r>
          </w:p>
        </w:tc>
        <w:tc>
          <w:tcPr>
            <w:tcW w:w="593" w:type="pct"/>
            <w:tcBorders>
              <w:top w:val="single" w:color="auto" w:sz="4" w:space="0"/>
              <w:left w:val="nil"/>
              <w:bottom w:val="single" w:color="auto" w:sz="4" w:space="0"/>
              <w:right w:val="single" w:color="auto" w:sz="4" w:space="0"/>
            </w:tcBorders>
            <w:shd w:val="clear" w:color="auto" w:fill="FFFF00"/>
            <w:noWrap/>
            <w:vAlign w:val="center"/>
          </w:tcPr>
          <w:p w14:paraId="0A957CC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highlight w:val="yellow"/>
                <w:u w:val="none"/>
                <w:lang w:val="en-US" w:eastAsia="zh-CN" w:bidi="ar"/>
              </w:rPr>
            </w:pPr>
          </w:p>
        </w:tc>
        <w:tc>
          <w:tcPr>
            <w:tcW w:w="593" w:type="pct"/>
            <w:tcBorders>
              <w:top w:val="single" w:color="auto" w:sz="4" w:space="0"/>
              <w:left w:val="nil"/>
              <w:bottom w:val="single" w:color="auto" w:sz="4" w:space="0"/>
              <w:right w:val="single" w:color="auto" w:sz="4" w:space="0"/>
            </w:tcBorders>
            <w:shd w:val="clear" w:color="auto" w:fill="FFFF00"/>
            <w:noWrap/>
            <w:vAlign w:val="center"/>
          </w:tcPr>
          <w:p w14:paraId="52AE33C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highlight w:val="yellow"/>
                <w:u w:val="none"/>
                <w:lang w:val="en-US" w:eastAsia="zh-CN" w:bidi="ar"/>
              </w:rPr>
            </w:pPr>
          </w:p>
        </w:tc>
        <w:tc>
          <w:tcPr>
            <w:tcW w:w="593" w:type="pct"/>
            <w:tcBorders>
              <w:top w:val="single" w:color="auto" w:sz="4" w:space="0"/>
              <w:left w:val="nil"/>
              <w:bottom w:val="single" w:color="auto" w:sz="4" w:space="0"/>
              <w:right w:val="single" w:color="auto" w:sz="4" w:space="0"/>
            </w:tcBorders>
            <w:shd w:val="clear" w:color="auto" w:fill="FFFF00"/>
            <w:noWrap/>
            <w:vAlign w:val="center"/>
          </w:tcPr>
          <w:p w14:paraId="53E8E98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highlight w:val="yellow"/>
                <w:u w:val="none"/>
                <w:lang w:val="en-US" w:eastAsia="zh-CN" w:bidi="ar"/>
              </w:rPr>
            </w:pPr>
          </w:p>
        </w:tc>
        <w:tc>
          <w:tcPr>
            <w:tcW w:w="593" w:type="pct"/>
            <w:tcBorders>
              <w:top w:val="single" w:color="auto" w:sz="4" w:space="0"/>
              <w:left w:val="nil"/>
              <w:bottom w:val="single" w:color="auto" w:sz="4" w:space="0"/>
              <w:right w:val="single" w:color="auto" w:sz="4" w:space="0"/>
            </w:tcBorders>
            <w:shd w:val="clear" w:color="auto" w:fill="FFFF00"/>
            <w:noWrap/>
            <w:vAlign w:val="center"/>
          </w:tcPr>
          <w:p w14:paraId="3CC3501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highlight w:val="yellow"/>
                <w:u w:val="none"/>
                <w:lang w:val="en-US" w:eastAsia="zh-CN" w:bidi="ar"/>
              </w:rPr>
            </w:pPr>
          </w:p>
        </w:tc>
        <w:tc>
          <w:tcPr>
            <w:tcW w:w="324" w:type="pct"/>
            <w:tcBorders>
              <w:top w:val="single" w:color="auto" w:sz="4" w:space="0"/>
              <w:left w:val="nil"/>
              <w:bottom w:val="single" w:color="auto" w:sz="4" w:space="0"/>
              <w:right w:val="single" w:color="auto" w:sz="4" w:space="0"/>
            </w:tcBorders>
            <w:shd w:val="clear" w:color="auto" w:fill="FFFF00"/>
            <w:noWrap/>
            <w:vAlign w:val="center"/>
          </w:tcPr>
          <w:p w14:paraId="4D3915F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i w:val="0"/>
                <w:iCs w:val="0"/>
                <w:color w:val="000000"/>
                <w:kern w:val="0"/>
                <w:sz w:val="24"/>
                <w:szCs w:val="24"/>
                <w:u w:val="none"/>
                <w:lang w:val="en-US" w:eastAsia="zh-CN" w:bidi="ar"/>
              </w:rPr>
            </w:pPr>
          </w:p>
        </w:tc>
      </w:tr>
      <w:tr w14:paraId="2BDA7154">
        <w:tblPrEx>
          <w:tblCellMar>
            <w:top w:w="0" w:type="dxa"/>
            <w:left w:w="108" w:type="dxa"/>
            <w:bottom w:w="0" w:type="dxa"/>
            <w:right w:w="108" w:type="dxa"/>
          </w:tblCellMar>
        </w:tblPrEx>
        <w:trPr>
          <w:trHeight w:val="465" w:hRule="atLeast"/>
          <w:jc w:val="center"/>
        </w:trPr>
        <w:tc>
          <w:tcPr>
            <w:tcW w:w="5000" w:type="pct"/>
            <w:gridSpan w:val="9"/>
            <w:tcBorders>
              <w:top w:val="single" w:color="auto" w:sz="4" w:space="0"/>
              <w:left w:val="single" w:color="auto" w:sz="4" w:space="0"/>
              <w:bottom w:val="single" w:color="auto" w:sz="4" w:space="0"/>
              <w:right w:val="single" w:color="auto" w:sz="4" w:space="0"/>
            </w:tcBorders>
            <w:noWrap/>
            <w:vAlign w:val="center"/>
          </w:tcPr>
          <w:p w14:paraId="04EB5D12">
            <w:pPr>
              <w:widowControl/>
              <w:spacing w:after="156"/>
              <w:jc w:val="left"/>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填写说明：</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产品配置要求请查看附件1：《用户需求书》；</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参与调研的供应商仅需填写标黄部分，且价格保留两位小数；</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如有其他说明，请填写至“备注”内；</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此表需打印扫描加盖公章并将填写后的word文件一同发送至调研邮箱。</w:t>
            </w:r>
          </w:p>
        </w:tc>
      </w:tr>
    </w:tbl>
    <w:p w14:paraId="3A1FA2D5">
      <w:pPr>
        <w:spacing w:after="209" w:afterLines="67"/>
        <w:jc w:val="right"/>
        <w:rPr>
          <w:rFonts w:asciiTheme="minorEastAsia" w:hAnsiTheme="minorEastAsia" w:cstheme="minorEastAsia"/>
          <w:b/>
          <w:bCs/>
          <w:sz w:val="24"/>
          <w:szCs w:val="24"/>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4F386978">
        <w:pPr>
          <w:pStyle w:val="10"/>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4</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054B2E85"/>
    <w:multiLevelType w:val="multilevel"/>
    <w:tmpl w:val="054B2E85"/>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
    <w:nsid w:val="0A5E7178"/>
    <w:multiLevelType w:val="multilevel"/>
    <w:tmpl w:val="0A5E7178"/>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3">
    <w:nsid w:val="0EE475E9"/>
    <w:multiLevelType w:val="multilevel"/>
    <w:tmpl w:val="0EE475E9"/>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4">
    <w:nsid w:val="0FD7627F"/>
    <w:multiLevelType w:val="multilevel"/>
    <w:tmpl w:val="0FD7627F"/>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5">
    <w:nsid w:val="20C55D32"/>
    <w:multiLevelType w:val="multilevel"/>
    <w:tmpl w:val="20C55D32"/>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6">
    <w:nsid w:val="22927BE7"/>
    <w:multiLevelType w:val="multilevel"/>
    <w:tmpl w:val="22927BE7"/>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7">
    <w:nsid w:val="232217D3"/>
    <w:multiLevelType w:val="multilevel"/>
    <w:tmpl w:val="232217D3"/>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8">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9">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EF077B1"/>
    <w:multiLevelType w:val="multilevel"/>
    <w:tmpl w:val="2EF077B1"/>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abstractNum w:abstractNumId="11">
    <w:nsid w:val="3AB902F0"/>
    <w:multiLevelType w:val="multilevel"/>
    <w:tmpl w:val="3AB902F0"/>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2">
    <w:nsid w:val="40BD66D0"/>
    <w:multiLevelType w:val="multilevel"/>
    <w:tmpl w:val="40BD66D0"/>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3">
    <w:nsid w:val="446F1FAB"/>
    <w:multiLevelType w:val="multilevel"/>
    <w:tmpl w:val="446F1FAB"/>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4">
    <w:nsid w:val="44F24D37"/>
    <w:multiLevelType w:val="multilevel"/>
    <w:tmpl w:val="44F24D37"/>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5">
    <w:nsid w:val="4FCD20FC"/>
    <w:multiLevelType w:val="multilevel"/>
    <w:tmpl w:val="4FCD20FC"/>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6">
    <w:nsid w:val="51BF5CD9"/>
    <w:multiLevelType w:val="multilevel"/>
    <w:tmpl w:val="51BF5CD9"/>
    <w:lvl w:ilvl="0" w:tentative="0">
      <w:start w:val="3"/>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7">
    <w:nsid w:val="55B412DA"/>
    <w:multiLevelType w:val="multilevel"/>
    <w:tmpl w:val="55B412DA"/>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8">
    <w:nsid w:val="5AE41D7C"/>
    <w:multiLevelType w:val="multilevel"/>
    <w:tmpl w:val="5AE41D7C"/>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19">
    <w:nsid w:val="5CE50032"/>
    <w:multiLevelType w:val="multilevel"/>
    <w:tmpl w:val="5CE50032"/>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0">
    <w:nsid w:val="5F0D50E0"/>
    <w:multiLevelType w:val="multilevel"/>
    <w:tmpl w:val="5F0D50E0"/>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1">
    <w:nsid w:val="62314963"/>
    <w:multiLevelType w:val="multilevel"/>
    <w:tmpl w:val="62314963"/>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2">
    <w:nsid w:val="6ACF4A55"/>
    <w:multiLevelType w:val="multilevel"/>
    <w:tmpl w:val="6ACF4A55"/>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3">
    <w:nsid w:val="6C751154"/>
    <w:multiLevelType w:val="multilevel"/>
    <w:tmpl w:val="6C751154"/>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4">
    <w:nsid w:val="71EB0DA1"/>
    <w:multiLevelType w:val="multilevel"/>
    <w:tmpl w:val="71EB0DA1"/>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5">
    <w:nsid w:val="763C384C"/>
    <w:multiLevelType w:val="multilevel"/>
    <w:tmpl w:val="763C384C"/>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abstractNum w:abstractNumId="26">
    <w:nsid w:val="76AD1312"/>
    <w:multiLevelType w:val="multilevel"/>
    <w:tmpl w:val="76AD1312"/>
    <w:lvl w:ilvl="0" w:tentative="0">
      <w:start w:val="1"/>
      <w:numFmt w:val="decimal"/>
      <w:lvlText w:val="%1."/>
      <w:lvlJc w:val="left"/>
    </w:lvl>
    <w:lvl w:ilvl="1" w:tentative="0">
      <w:start w:val="1"/>
      <w:numFmt w:val="decimal"/>
      <w:lvlText w:val="%2."/>
      <w:lvlJc w:val="left"/>
    </w:lvl>
    <w:lvl w:ilvl="2" w:tentative="0">
      <w:start w:val="1"/>
      <w:numFmt w:val="decimal"/>
      <w:lvlText w:val="%3."/>
      <w:lvlJc w:val="left"/>
    </w:lvl>
    <w:lvl w:ilvl="3" w:tentative="0">
      <w:start w:val="1"/>
      <w:numFmt w:val="decimal"/>
      <w:lvlText w:val="%4."/>
      <w:lvlJc w:val="left"/>
    </w:lvl>
    <w:lvl w:ilvl="4" w:tentative="0">
      <w:start w:val="1"/>
      <w:numFmt w:val="decimal"/>
      <w:lvlText w:val="%5."/>
      <w:lvlJc w:val="left"/>
    </w:lvl>
    <w:lvl w:ilvl="5" w:tentative="0">
      <w:start w:val="1"/>
      <w:numFmt w:val="decimal"/>
      <w:lvlText w:val="%6."/>
      <w:lvlJc w:val="left"/>
    </w:lvl>
    <w:lvl w:ilvl="6" w:tentative="0">
      <w:start w:val="1"/>
      <w:numFmt w:val="decimal"/>
      <w:lvlText w:val="%7."/>
      <w:lvlJc w:val="left"/>
    </w:lvl>
    <w:lvl w:ilvl="7" w:tentative="0">
      <w:start w:val="1"/>
      <w:numFmt w:val="decimal"/>
      <w:lvlText w:val="%8."/>
      <w:lvlJc w:val="left"/>
    </w:lvl>
    <w:lvl w:ilvl="8" w:tentative="0">
      <w:start w:val="1"/>
      <w:numFmt w:val="decimal"/>
      <w:lvlText w:val="%9."/>
      <w:lvlJc w:val="left"/>
    </w:lvl>
  </w:abstractNum>
  <w:num w:numId="1">
    <w:abstractNumId w:val="8"/>
  </w:num>
  <w:num w:numId="2">
    <w:abstractNumId w:val="9"/>
  </w:num>
  <w:num w:numId="3">
    <w:abstractNumId w:val="0"/>
  </w:num>
  <w:num w:numId="4">
    <w:abstractNumId w:val="12"/>
    <w:lvlOverride w:ilvl="0">
      <w:startOverride w:val="1"/>
    </w:lvlOverride>
  </w:num>
  <w:num w:numId="5">
    <w:abstractNumId w:val="16"/>
    <w:lvlOverride w:ilvl="0">
      <w:startOverride w:val="3"/>
    </w:lvlOverride>
  </w:num>
  <w:num w:numId="6">
    <w:abstractNumId w:val="10"/>
    <w:lvlOverride w:ilvl="0">
      <w:startOverride w:val="1"/>
    </w:lvlOverride>
  </w:num>
  <w:num w:numId="7">
    <w:abstractNumId w:val="22"/>
    <w:lvlOverride w:ilvl="0">
      <w:startOverride w:val="1"/>
    </w:lvlOverride>
  </w:num>
  <w:num w:numId="8">
    <w:abstractNumId w:val="14"/>
    <w:lvlOverride w:ilvl="0">
      <w:startOverride w:val="1"/>
    </w:lvlOverride>
  </w:num>
  <w:num w:numId="9">
    <w:abstractNumId w:val="19"/>
    <w:lvlOverride w:ilvl="0">
      <w:startOverride w:val="1"/>
    </w:lvlOverride>
  </w:num>
  <w:num w:numId="10">
    <w:abstractNumId w:val="20"/>
    <w:lvlOverride w:ilvl="0">
      <w:startOverride w:val="1"/>
    </w:lvlOverride>
  </w:num>
  <w:num w:numId="11">
    <w:abstractNumId w:val="21"/>
    <w:lvlOverride w:ilvl="0">
      <w:startOverride w:val="1"/>
    </w:lvlOverride>
  </w:num>
  <w:num w:numId="12">
    <w:abstractNumId w:val="7"/>
    <w:lvlOverride w:ilvl="0">
      <w:startOverride w:val="1"/>
    </w:lvlOverride>
  </w:num>
  <w:num w:numId="13">
    <w:abstractNumId w:val="24"/>
    <w:lvlOverride w:ilvl="0">
      <w:startOverride w:val="1"/>
    </w:lvlOverride>
  </w:num>
  <w:num w:numId="14">
    <w:abstractNumId w:val="1"/>
    <w:lvlOverride w:ilvl="0">
      <w:startOverride w:val="1"/>
    </w:lvlOverride>
  </w:num>
  <w:num w:numId="15">
    <w:abstractNumId w:val="17"/>
    <w:lvlOverride w:ilvl="0">
      <w:startOverride w:val="1"/>
    </w:lvlOverride>
  </w:num>
  <w:num w:numId="16">
    <w:abstractNumId w:val="15"/>
    <w:lvlOverride w:ilvl="0">
      <w:startOverride w:val="1"/>
    </w:lvlOverride>
  </w:num>
  <w:num w:numId="17">
    <w:abstractNumId w:val="18"/>
    <w:lvlOverride w:ilvl="0">
      <w:startOverride w:val="1"/>
    </w:lvlOverride>
  </w:num>
  <w:num w:numId="18">
    <w:abstractNumId w:val="26"/>
    <w:lvlOverride w:ilvl="0">
      <w:startOverride w:val="1"/>
    </w:lvlOverride>
  </w:num>
  <w:num w:numId="19">
    <w:abstractNumId w:val="2"/>
    <w:lvlOverride w:ilvl="0">
      <w:startOverride w:val="1"/>
    </w:lvlOverride>
  </w:num>
  <w:num w:numId="20">
    <w:abstractNumId w:val="11"/>
    <w:lvlOverride w:ilvl="0">
      <w:startOverride w:val="1"/>
    </w:lvlOverride>
  </w:num>
  <w:num w:numId="21">
    <w:abstractNumId w:val="3"/>
    <w:lvlOverride w:ilvl="0">
      <w:startOverride w:val="1"/>
    </w:lvlOverride>
  </w:num>
  <w:num w:numId="22">
    <w:abstractNumId w:val="6"/>
    <w:lvlOverride w:ilvl="0">
      <w:startOverride w:val="1"/>
    </w:lvlOverride>
  </w:num>
  <w:num w:numId="23">
    <w:abstractNumId w:val="13"/>
    <w:lvlOverride w:ilvl="0">
      <w:startOverride w:val="1"/>
    </w:lvlOverride>
  </w:num>
  <w:num w:numId="24">
    <w:abstractNumId w:val="23"/>
    <w:lvlOverride w:ilvl="0">
      <w:startOverride w:val="1"/>
    </w:lvlOverride>
  </w:num>
  <w:num w:numId="25">
    <w:abstractNumId w:val="5"/>
    <w:lvlOverride w:ilvl="0">
      <w:startOverride w:val="1"/>
    </w:lvlOverride>
  </w:num>
  <w:num w:numId="26">
    <w:abstractNumId w:val="4"/>
    <w:lvlOverride w:ilvl="0">
      <w:startOverride w:val="1"/>
    </w:lvlOverride>
  </w:num>
  <w:num w:numId="27">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231D84"/>
    <w:rsid w:val="005E15D2"/>
    <w:rsid w:val="00687B51"/>
    <w:rsid w:val="006E3F95"/>
    <w:rsid w:val="00706D87"/>
    <w:rsid w:val="007D69C4"/>
    <w:rsid w:val="00943FEC"/>
    <w:rsid w:val="009A44E3"/>
    <w:rsid w:val="00B419DF"/>
    <w:rsid w:val="00B73413"/>
    <w:rsid w:val="00DF1D82"/>
    <w:rsid w:val="00EC18DF"/>
    <w:rsid w:val="01544C76"/>
    <w:rsid w:val="02AE1145"/>
    <w:rsid w:val="036C34DA"/>
    <w:rsid w:val="03A4265D"/>
    <w:rsid w:val="04B35139"/>
    <w:rsid w:val="050A1AB6"/>
    <w:rsid w:val="069521F9"/>
    <w:rsid w:val="0730481F"/>
    <w:rsid w:val="078D3A1F"/>
    <w:rsid w:val="08601134"/>
    <w:rsid w:val="09675FB7"/>
    <w:rsid w:val="0AC97464"/>
    <w:rsid w:val="0BBA6DAD"/>
    <w:rsid w:val="101A3C7B"/>
    <w:rsid w:val="10CE4387"/>
    <w:rsid w:val="119E6F95"/>
    <w:rsid w:val="11A150AB"/>
    <w:rsid w:val="11EA0E33"/>
    <w:rsid w:val="11F16DED"/>
    <w:rsid w:val="13C857F6"/>
    <w:rsid w:val="18491716"/>
    <w:rsid w:val="186B5062"/>
    <w:rsid w:val="1AD47E27"/>
    <w:rsid w:val="1EF65EF6"/>
    <w:rsid w:val="21FD7606"/>
    <w:rsid w:val="220420C6"/>
    <w:rsid w:val="234C0E45"/>
    <w:rsid w:val="258B383C"/>
    <w:rsid w:val="25B33FCA"/>
    <w:rsid w:val="25EE55BB"/>
    <w:rsid w:val="27C63FD7"/>
    <w:rsid w:val="2A050591"/>
    <w:rsid w:val="2E2B5035"/>
    <w:rsid w:val="2E9322F5"/>
    <w:rsid w:val="30E12562"/>
    <w:rsid w:val="324A4137"/>
    <w:rsid w:val="33F705B7"/>
    <w:rsid w:val="35750372"/>
    <w:rsid w:val="35F745D6"/>
    <w:rsid w:val="360712B0"/>
    <w:rsid w:val="38B40117"/>
    <w:rsid w:val="3CAB670C"/>
    <w:rsid w:val="3CE32368"/>
    <w:rsid w:val="3FD057F7"/>
    <w:rsid w:val="402B55A8"/>
    <w:rsid w:val="426A1DB3"/>
    <w:rsid w:val="450F36EA"/>
    <w:rsid w:val="45F750AA"/>
    <w:rsid w:val="46384F0C"/>
    <w:rsid w:val="476C2E05"/>
    <w:rsid w:val="4B246E03"/>
    <w:rsid w:val="4B8D2230"/>
    <w:rsid w:val="4CAC5CC3"/>
    <w:rsid w:val="4EAB089F"/>
    <w:rsid w:val="4EE243ED"/>
    <w:rsid w:val="50792C6A"/>
    <w:rsid w:val="509C3417"/>
    <w:rsid w:val="51E87E4E"/>
    <w:rsid w:val="52C66E8B"/>
    <w:rsid w:val="52EE0219"/>
    <w:rsid w:val="5326524A"/>
    <w:rsid w:val="5A4B1C58"/>
    <w:rsid w:val="5C2A3ABB"/>
    <w:rsid w:val="5C975811"/>
    <w:rsid w:val="5EC75FCE"/>
    <w:rsid w:val="5F660EF9"/>
    <w:rsid w:val="61FEF1DB"/>
    <w:rsid w:val="62E745B8"/>
    <w:rsid w:val="62F010AB"/>
    <w:rsid w:val="630B0E65"/>
    <w:rsid w:val="63C27722"/>
    <w:rsid w:val="640B3432"/>
    <w:rsid w:val="671609C5"/>
    <w:rsid w:val="68E83A44"/>
    <w:rsid w:val="6AD46028"/>
    <w:rsid w:val="6B590552"/>
    <w:rsid w:val="6CA53D7D"/>
    <w:rsid w:val="6FB46293"/>
    <w:rsid w:val="715156A2"/>
    <w:rsid w:val="76343069"/>
    <w:rsid w:val="77515232"/>
    <w:rsid w:val="779605E4"/>
    <w:rsid w:val="77BB3365"/>
    <w:rsid w:val="7A671566"/>
    <w:rsid w:val="7AAF67FA"/>
    <w:rsid w:val="7B117AF2"/>
    <w:rsid w:val="7CB00608"/>
    <w:rsid w:val="7DE135EB"/>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3">
    <w:name w:val="heading 2"/>
    <w:basedOn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unhideWhenUsed/>
    <w:qFormat/>
    <w:uiPriority w:val="9"/>
    <w:pPr>
      <w:keepNext/>
      <w:keepLines/>
      <w:spacing w:before="260" w:after="260" w:line="416" w:lineRule="auto"/>
      <w:outlineLvl w:val="2"/>
    </w:pPr>
    <w:rPr>
      <w:b/>
      <w:bCs/>
      <w:sz w:val="32"/>
      <w:szCs w:val="32"/>
    </w:rPr>
  </w:style>
  <w:style w:type="paragraph" w:styleId="5">
    <w:name w:val="heading 4"/>
    <w:basedOn w:val="1"/>
    <w:qFormat/>
    <w:uiPriority w:val="9"/>
    <w:pPr>
      <w:keepNext/>
      <w:keepLines/>
      <w:tabs>
        <w:tab w:val="left" w:pos="1079"/>
        <w:tab w:val="left" w:pos="1440"/>
      </w:tabs>
      <w:spacing w:before="280" w:line="377" w:lineRule="auto"/>
      <w:outlineLvl w:val="3"/>
    </w:pPr>
    <w:rPr>
      <w:rFonts w:ascii="Arial" w:hAnsi="Arial" w:eastAsia="黑体"/>
      <w:b/>
      <w:bCs/>
      <w:spacing w:val="10"/>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7">
    <w:name w:val="annotation text"/>
    <w:basedOn w:val="1"/>
    <w:semiHidden/>
    <w:qFormat/>
    <w:uiPriority w:val="0"/>
    <w:pPr>
      <w:jc w:val="left"/>
    </w:pPr>
  </w:style>
  <w:style w:type="paragraph" w:styleId="8">
    <w:name w:val="Body Text"/>
    <w:basedOn w:val="1"/>
    <w:qFormat/>
    <w:uiPriority w:val="99"/>
    <w:pPr>
      <w:spacing w:after="120"/>
    </w:pPr>
  </w:style>
  <w:style w:type="paragraph" w:styleId="9">
    <w:name w:val="Balloon Text"/>
    <w:basedOn w:val="1"/>
    <w:link w:val="20"/>
    <w:qFormat/>
    <w:uiPriority w:val="0"/>
    <w:rPr>
      <w:sz w:val="18"/>
      <w:szCs w:val="18"/>
    </w:rPr>
  </w:style>
  <w:style w:type="paragraph" w:styleId="10">
    <w:name w:val="footer"/>
    <w:basedOn w:val="1"/>
    <w:link w:val="19"/>
    <w:qFormat/>
    <w:uiPriority w:val="99"/>
    <w:pPr>
      <w:tabs>
        <w:tab w:val="center" w:pos="4153"/>
        <w:tab w:val="right" w:pos="8306"/>
      </w:tabs>
      <w:snapToGrid w:val="0"/>
      <w:jc w:val="left"/>
    </w:pPr>
    <w:rPr>
      <w:sz w:val="18"/>
      <w:szCs w:val="18"/>
    </w:rPr>
  </w:style>
  <w:style w:type="paragraph" w:styleId="11">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Title"/>
    <w:basedOn w:val="1"/>
    <w:next w:val="1"/>
    <w:qFormat/>
    <w:uiPriority w:val="0"/>
    <w:pPr>
      <w:keepNext/>
      <w:keepLines/>
      <w:spacing w:before="240" w:after="60" w:afterLines="0" w:line="415" w:lineRule="auto"/>
      <w:jc w:val="left"/>
      <w:outlineLvl w:val="2"/>
    </w:pPr>
    <w:rPr>
      <w:rFonts w:ascii="等线 Light" w:hAnsi="等线 Light" w:eastAsia="黑体"/>
      <w:sz w:val="28"/>
      <w:szCs w:val="32"/>
    </w:rPr>
  </w:style>
  <w:style w:type="paragraph" w:styleId="14">
    <w:name w:val="Body Text First Indent"/>
    <w:basedOn w:val="8"/>
    <w:qFormat/>
    <w:uiPriority w:val="0"/>
    <w:pPr>
      <w:ind w:firstLine="420" w:firstLineChars="100"/>
    </w:pPr>
    <w:rPr>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页眉 Char"/>
    <w:basedOn w:val="17"/>
    <w:link w:val="11"/>
    <w:qFormat/>
    <w:uiPriority w:val="0"/>
    <w:rPr>
      <w:kern w:val="2"/>
      <w:sz w:val="18"/>
      <w:szCs w:val="18"/>
    </w:rPr>
  </w:style>
  <w:style w:type="character" w:customStyle="1" w:styleId="19">
    <w:name w:val="页脚 Char"/>
    <w:basedOn w:val="17"/>
    <w:link w:val="10"/>
    <w:qFormat/>
    <w:uiPriority w:val="99"/>
    <w:rPr>
      <w:kern w:val="2"/>
      <w:sz w:val="18"/>
      <w:szCs w:val="18"/>
    </w:rPr>
  </w:style>
  <w:style w:type="character" w:customStyle="1" w:styleId="20">
    <w:name w:val="批注框文本 Char"/>
    <w:basedOn w:val="17"/>
    <w:link w:val="9"/>
    <w:qFormat/>
    <w:uiPriority w:val="0"/>
    <w:rPr>
      <w:kern w:val="2"/>
      <w:sz w:val="18"/>
      <w:szCs w:val="18"/>
    </w:rPr>
  </w:style>
  <w:style w:type="character" w:customStyle="1" w:styleId="21">
    <w:name w:val="font31"/>
    <w:qFormat/>
    <w:uiPriority w:val="0"/>
    <w:rPr>
      <w:rFonts w:hint="eastAsia" w:ascii="宋体" w:hAnsi="宋体" w:eastAsia="宋体" w:cs="宋体"/>
      <w:color w:val="000000"/>
      <w:sz w:val="20"/>
      <w:szCs w:val="20"/>
      <w:u w:val="none"/>
    </w:rPr>
  </w:style>
  <w:style w:type="character" w:customStyle="1" w:styleId="22">
    <w:name w:val="font01"/>
    <w:qFormat/>
    <w:uiPriority w:val="0"/>
    <w:rPr>
      <w:rFonts w:hint="default" w:ascii="Arial" w:hAnsi="Arial" w:cs="Arial"/>
      <w:color w:val="000000"/>
      <w:sz w:val="20"/>
      <w:szCs w:val="20"/>
      <w:u w:val="none"/>
    </w:rPr>
  </w:style>
  <w:style w:type="paragraph" w:customStyle="1" w:styleId="23">
    <w:name w:val="Table Text"/>
    <w:basedOn w:val="1"/>
    <w:semiHidden/>
    <w:qFormat/>
    <w:uiPriority w:val="0"/>
    <w:rPr>
      <w:rFonts w:ascii="宋体" w:hAnsi="宋体" w:eastAsia="宋体" w:cs="宋体"/>
      <w:sz w:val="20"/>
      <w:szCs w:val="20"/>
      <w:lang w:eastAsia="en-US"/>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styleId="25">
    <w:name w:val="List Paragraph"/>
    <w:basedOn w:val="1"/>
    <w:qFormat/>
    <w:uiPriority w:val="99"/>
    <w:pPr>
      <w:ind w:firstLine="420" w:firstLineChars="200"/>
    </w:pPr>
  </w:style>
  <w:style w:type="paragraph" w:customStyle="1" w:styleId="26">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7">
    <w:name w:val="正文正文"/>
    <w:basedOn w:val="25"/>
    <w:qFormat/>
    <w:uiPriority w:val="0"/>
    <w:pPr>
      <w:spacing w:line="360" w:lineRule="auto"/>
      <w:ind w:right="42" w:rightChars="20" w:firstLine="480"/>
    </w:pPr>
    <w:rPr>
      <w:rFonts w:ascii="Calibri" w:hAnsi="Calibri" w:eastAsia="宋体" w:cs="Times New Roman"/>
      <w:sz w:val="24"/>
      <w:szCs w:val="24"/>
    </w:rPr>
  </w:style>
  <w:style w:type="paragraph" w:customStyle="1" w:styleId="28">
    <w:name w:val="列出段落1"/>
    <w:basedOn w:val="1"/>
    <w:qFormat/>
    <w:uiPriority w:val="0"/>
    <w:pPr>
      <w:spacing w:after="0" w:afterLines="0" w:line="240" w:lineRule="auto"/>
      <w:ind w:firstLine="420" w:firstLineChars="200"/>
    </w:pPr>
    <w:rPr>
      <w:rFonts w:ascii="Tahoma" w:hAnsi="Tahoma" w:eastAsia="PMingLiU"/>
      <w:kern w:val="0"/>
      <w:sz w:val="20"/>
      <w:szCs w:val="20"/>
    </w:rPr>
  </w:style>
  <w:style w:type="paragraph" w:customStyle="1" w:styleId="29">
    <w:name w:val="snm_正文"/>
    <w:basedOn w:val="1"/>
    <w:autoRedefine/>
    <w:qFormat/>
    <w:uiPriority w:val="0"/>
    <w:pPr>
      <w:spacing w:line="360" w:lineRule="auto"/>
      <w:ind w:firstLine="560" w:firstLineChars="200"/>
    </w:pPr>
    <w:rPr>
      <w:rFonts w:ascii="仿宋" w:hAnsi="仿宋" w:eastAsia="仿宋" w:cs="宋体"/>
      <w:sz w:val="28"/>
      <w:szCs w:val="28"/>
    </w:rPr>
  </w:style>
  <w:style w:type="character" w:customStyle="1" w:styleId="30">
    <w:name w:val="明显参考1"/>
    <w:basedOn w:val="17"/>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62</Pages>
  <Words>19934</Words>
  <Characters>22443</Characters>
  <Lines>8</Lines>
  <Paragraphs>2</Paragraphs>
  <TotalTime>10</TotalTime>
  <ScaleCrop>false</ScaleCrop>
  <LinksUpToDate>false</LinksUpToDate>
  <CharactersWithSpaces>22621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2026-10-26T09:01:26Z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06A602B205A548D5A6FC3390B4B08F0E_13</vt:lpwstr>
  </property>
  <property fmtid="{D5CDD505-2E9C-101B-9397-08002B2CF9AE}" pid="4" name="KSOTemplateDocerSaveRecord">
    <vt:lpwstr>eyJoZGlkIjoiOWI4OTFhYjYwMGQ4YzZhNjgxNmU0NDAzNjc3MzdhODkiLCJ1c2VySWQiOiI2MjU5ODg1NTIifQ==</vt:lpwstr>
  </property>
</Properties>
</file>