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6C8E95">
      <w:pPr>
        <w:pStyle w:val="15"/>
        <w:spacing w:after="100" w:line="360" w:lineRule="auto"/>
      </w:pPr>
      <w:bookmarkStart w:id="0" w:name="_Toc24125"/>
      <w:bookmarkStart w:id="1" w:name="_Toc456124616"/>
    </w:p>
    <w:p w14:paraId="44CB8876">
      <w:pPr>
        <w:pStyle w:val="15"/>
        <w:spacing w:after="100" w:line="360" w:lineRule="auto"/>
      </w:pPr>
    </w:p>
    <w:p w14:paraId="15FAFD6A">
      <w:pPr>
        <w:pStyle w:val="15"/>
        <w:spacing w:after="100" w:line="360" w:lineRule="auto"/>
      </w:pPr>
    </w:p>
    <w:p w14:paraId="7625BDC9">
      <w:pPr>
        <w:pStyle w:val="15"/>
        <w:spacing w:after="100" w:line="360" w:lineRule="auto"/>
      </w:pPr>
    </w:p>
    <w:p w14:paraId="37B4B6CF">
      <w:pPr>
        <w:pStyle w:val="15"/>
        <w:spacing w:after="100" w:line="360" w:lineRule="auto"/>
        <w:jc w:val="both"/>
      </w:pPr>
    </w:p>
    <w:p w14:paraId="0063B3BE">
      <w:pPr>
        <w:pStyle w:val="15"/>
        <w:spacing w:after="100" w:line="360" w:lineRule="auto"/>
      </w:pPr>
      <w:r>
        <w:t>2025年硬件维保项目需求</w:t>
      </w:r>
      <w:bookmarkEnd w:id="0"/>
      <w:bookmarkEnd w:id="1"/>
      <w:r>
        <w:t>书</w:t>
      </w:r>
    </w:p>
    <w:p w14:paraId="72598B17">
      <w:pPr>
        <w:pStyle w:val="15"/>
        <w:spacing w:after="100" w:line="360" w:lineRule="auto"/>
      </w:pPr>
    </w:p>
    <w:p w14:paraId="17C1586E">
      <w:pPr>
        <w:pStyle w:val="15"/>
        <w:spacing w:after="100" w:line="360" w:lineRule="auto"/>
      </w:pPr>
    </w:p>
    <w:p w14:paraId="47D9B163">
      <w:pPr>
        <w:pStyle w:val="15"/>
        <w:spacing w:after="100" w:line="360" w:lineRule="auto"/>
      </w:pPr>
    </w:p>
    <w:p w14:paraId="50ABE537">
      <w:pPr>
        <w:pStyle w:val="15"/>
        <w:spacing w:after="100" w:line="360" w:lineRule="auto"/>
      </w:pPr>
    </w:p>
    <w:p w14:paraId="489DE391">
      <w:pPr>
        <w:pStyle w:val="15"/>
        <w:spacing w:after="100" w:line="360" w:lineRule="auto"/>
      </w:pPr>
    </w:p>
    <w:p w14:paraId="257D0FAA">
      <w:pPr>
        <w:pStyle w:val="15"/>
        <w:spacing w:after="100" w:line="360" w:lineRule="auto"/>
      </w:pPr>
    </w:p>
    <w:p w14:paraId="382F55EA">
      <w:pPr>
        <w:pStyle w:val="15"/>
        <w:spacing w:after="100" w:line="360" w:lineRule="auto"/>
      </w:pPr>
    </w:p>
    <w:p w14:paraId="18049252">
      <w:pPr>
        <w:pStyle w:val="15"/>
        <w:spacing w:after="100" w:line="360" w:lineRule="auto"/>
      </w:pPr>
    </w:p>
    <w:p w14:paraId="4DB27753">
      <w:pPr>
        <w:pStyle w:val="15"/>
        <w:spacing w:after="100" w:line="360" w:lineRule="auto"/>
      </w:pPr>
    </w:p>
    <w:p w14:paraId="1CFDA6D9">
      <w:pPr>
        <w:pStyle w:val="15"/>
        <w:spacing w:after="100" w:line="360" w:lineRule="auto"/>
      </w:pPr>
    </w:p>
    <w:p w14:paraId="243D445F">
      <w:pPr>
        <w:pStyle w:val="15"/>
        <w:spacing w:after="100" w:line="360" w:lineRule="auto"/>
        <w:rPr>
          <w:rFonts w:hint="default" w:eastAsia="黑体"/>
          <w:lang w:val="en-US" w:eastAsia="zh-CN"/>
        </w:rPr>
      </w:pPr>
    </w:p>
    <w:p w14:paraId="1F16A8A0">
      <w:pPr>
        <w:pStyle w:val="15"/>
        <w:spacing w:after="100" w:line="360" w:lineRule="auto"/>
        <w:rPr>
          <w:rFonts w:hint="default" w:eastAsia="黑体"/>
          <w:lang w:val="en-US" w:eastAsia="zh-CN"/>
        </w:rPr>
      </w:pPr>
      <w:r>
        <w:rPr>
          <w:rFonts w:hint="eastAsia"/>
          <w:lang w:val="en-US" w:eastAsia="zh-CN"/>
        </w:rPr>
        <w:t>2025年10月</w:t>
      </w:r>
    </w:p>
    <w:p w14:paraId="09AC1E42">
      <w:pPr>
        <w:pStyle w:val="15"/>
        <w:spacing w:after="100" w:line="360" w:lineRule="auto"/>
        <w:jc w:val="both"/>
      </w:pPr>
    </w:p>
    <w:p w14:paraId="79EB257D"/>
    <w:sdt>
      <w:sdtPr>
        <w:id w:val="212945352"/>
        <w15:color w:val="DBDBDB"/>
        <w:docPartObj>
          <w:docPartGallery w:val="Table of Contents"/>
          <w:docPartUnique/>
        </w:docPartObj>
      </w:sdtPr>
      <w:sdtEndPr>
        <w:rPr>
          <w:rFonts w:hint="eastAsia" w:ascii="黑体" w:hAnsi="黑体" w:eastAsia="黑体" w:cs="黑体"/>
          <w:color w:val="000000"/>
          <w:kern w:val="44"/>
          <w:sz w:val="24"/>
          <w:szCs w:val="44"/>
          <w:lang w:val="en-US" w:eastAsia="zh-CN" w:bidi="ar-SA"/>
        </w:rPr>
      </w:sdtEndPr>
      <w:sdtContent>
        <w:p w14:paraId="29155C50">
          <w:pPr>
            <w:pStyle w:val="18"/>
            <w:outlineLvl w:val="9"/>
          </w:pPr>
          <w:r>
            <w:t>目录</w:t>
          </w:r>
        </w:p>
        <w:p w14:paraId="452BD398">
          <w:pPr>
            <w:pStyle w:val="12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b w:val="0"/>
              <w:color w:val="000000"/>
              <w:kern w:val="44"/>
              <w:sz w:val="32"/>
              <w:szCs w:val="44"/>
              <w:lang w:bidi="ar-SA"/>
            </w:rPr>
            <w:fldChar w:fldCharType="begin"/>
          </w:r>
          <w:r>
            <w:rPr>
              <w:rFonts w:hint="eastAsia" w:ascii="黑体" w:hAnsi="黑体" w:eastAsia="黑体" w:cs="黑体"/>
              <w:b w:val="0"/>
              <w:color w:val="000000"/>
              <w:kern w:val="44"/>
              <w:sz w:val="32"/>
              <w:szCs w:val="44"/>
              <w:lang w:bidi="ar-SA"/>
            </w:rPr>
            <w:instrText xml:space="preserve">TOC \o "1-3" \h \u </w:instrText>
          </w:r>
          <w:r>
            <w:rPr>
              <w:rFonts w:hint="eastAsia" w:ascii="黑体" w:hAnsi="黑体" w:eastAsia="黑体" w:cs="黑体"/>
              <w:b w:val="0"/>
              <w:color w:val="000000"/>
              <w:kern w:val="44"/>
              <w:sz w:val="32"/>
              <w:szCs w:val="44"/>
              <w:lang w:bidi="ar-SA"/>
            </w:rPr>
            <w:fldChar w:fldCharType="separate"/>
          </w:r>
          <w:r>
            <w:rPr>
              <w:rFonts w:hint="eastAsia" w:ascii="黑体" w:hAnsi="黑体" w:eastAsia="黑体" w:cs="黑体"/>
              <w:color w:val="000000"/>
              <w:kern w:val="44"/>
              <w:szCs w:val="44"/>
              <w:lang w:bidi="ar-SA"/>
            </w:rPr>
            <w:fldChar w:fldCharType="begin"/>
          </w:r>
          <w:r>
            <w:rPr>
              <w:rFonts w:hint="eastAsia" w:ascii="黑体" w:hAnsi="黑体" w:eastAsia="黑体" w:cs="黑体"/>
              <w:kern w:val="44"/>
              <w:szCs w:val="44"/>
              <w:lang w:bidi="ar-SA"/>
            </w:rPr>
            <w:instrText xml:space="preserve"> HYPERLINK \l _Toc1327221693 </w:instrText>
          </w:r>
          <w:r>
            <w:rPr>
              <w:rFonts w:hint="eastAsia" w:ascii="黑体" w:hAnsi="黑体" w:eastAsia="黑体" w:cs="黑体"/>
              <w:kern w:val="44"/>
              <w:szCs w:val="44"/>
              <w:lang w:bidi="ar-SA"/>
            </w:rPr>
            <w:fldChar w:fldCharType="separate"/>
          </w:r>
          <w:r>
            <w:rPr>
              <w:rFonts w:hint="eastAsia" w:ascii="黑体" w:hAnsi="黑体" w:eastAsia="黑体" w:cs="黑体"/>
            </w:rPr>
            <w:t xml:space="preserve">一、 </w:t>
          </w:r>
          <w:r>
            <w:t>项目</w:t>
          </w:r>
          <w:r>
            <w:rPr>
              <w:rFonts w:hint="eastAsia"/>
              <w:lang w:val="en-US" w:eastAsia="zh-CN"/>
            </w:rPr>
            <w:t>概述</w:t>
          </w:r>
          <w:r>
            <w:tab/>
          </w:r>
          <w:r>
            <w:fldChar w:fldCharType="begin"/>
          </w:r>
          <w:r>
            <w:instrText xml:space="preserve"> PAGEREF _Toc1327221693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rPr>
              <w:rFonts w:hint="eastAsia" w:ascii="黑体" w:hAnsi="黑体" w:eastAsia="黑体" w:cs="黑体"/>
              <w:color w:val="000000"/>
              <w:kern w:val="44"/>
              <w:szCs w:val="44"/>
              <w:lang w:bidi="ar-SA"/>
            </w:rPr>
            <w:fldChar w:fldCharType="end"/>
          </w:r>
        </w:p>
        <w:p w14:paraId="59CE4610">
          <w:pPr>
            <w:pStyle w:val="12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color w:val="000000"/>
              <w:kern w:val="44"/>
              <w:szCs w:val="44"/>
              <w:lang w:bidi="ar-SA"/>
            </w:rPr>
            <w:fldChar w:fldCharType="begin"/>
          </w:r>
          <w:r>
            <w:rPr>
              <w:rFonts w:hint="eastAsia" w:ascii="黑体" w:hAnsi="黑体" w:eastAsia="黑体" w:cs="黑体"/>
              <w:kern w:val="44"/>
              <w:szCs w:val="44"/>
              <w:lang w:bidi="ar-SA"/>
            </w:rPr>
            <w:instrText xml:space="preserve"> HYPERLINK \l _Toc702352862 </w:instrText>
          </w:r>
          <w:r>
            <w:rPr>
              <w:rFonts w:hint="eastAsia" w:ascii="黑体" w:hAnsi="黑体" w:eastAsia="黑体" w:cs="黑体"/>
              <w:kern w:val="44"/>
              <w:szCs w:val="44"/>
              <w:lang w:bidi="ar-SA"/>
            </w:rPr>
            <w:fldChar w:fldCharType="separate"/>
          </w:r>
          <w:r>
            <w:rPr>
              <w:rFonts w:hint="eastAsia"/>
              <w:lang w:val="en-US" w:eastAsia="zh-CN"/>
            </w:rPr>
            <w:t>二、 总体目标</w:t>
          </w:r>
          <w:r>
            <w:tab/>
          </w:r>
          <w:r>
            <w:fldChar w:fldCharType="begin"/>
          </w:r>
          <w:r>
            <w:instrText xml:space="preserve"> PAGEREF _Toc702352862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rPr>
              <w:rFonts w:hint="eastAsia" w:ascii="黑体" w:hAnsi="黑体" w:eastAsia="黑体" w:cs="黑体"/>
              <w:color w:val="000000"/>
              <w:kern w:val="44"/>
              <w:szCs w:val="44"/>
              <w:lang w:bidi="ar-SA"/>
            </w:rPr>
            <w:fldChar w:fldCharType="end"/>
          </w:r>
        </w:p>
        <w:p w14:paraId="6B06548A">
          <w:pPr>
            <w:pStyle w:val="12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color w:val="000000"/>
              <w:kern w:val="44"/>
              <w:szCs w:val="44"/>
              <w:lang w:bidi="ar-SA"/>
            </w:rPr>
            <w:fldChar w:fldCharType="begin"/>
          </w:r>
          <w:r>
            <w:rPr>
              <w:rFonts w:hint="eastAsia" w:ascii="黑体" w:hAnsi="黑体" w:eastAsia="黑体" w:cs="黑体"/>
              <w:kern w:val="44"/>
              <w:szCs w:val="44"/>
              <w:lang w:bidi="ar-SA"/>
            </w:rPr>
            <w:instrText xml:space="preserve"> HYPERLINK \l _Toc1874427722 </w:instrText>
          </w:r>
          <w:r>
            <w:rPr>
              <w:rFonts w:hint="eastAsia" w:ascii="黑体" w:hAnsi="黑体" w:eastAsia="黑体" w:cs="黑体"/>
              <w:kern w:val="44"/>
              <w:szCs w:val="44"/>
              <w:lang w:bidi="ar-SA"/>
            </w:rPr>
            <w:fldChar w:fldCharType="separate"/>
          </w:r>
          <w:r>
            <w:rPr>
              <w:rFonts w:hint="eastAsia" w:ascii="黑体" w:hAnsi="黑体" w:eastAsia="黑体" w:cs="黑体"/>
            </w:rPr>
            <w:t xml:space="preserve">三、 </w:t>
          </w:r>
          <w:r>
            <w:t>技术要求</w:t>
          </w:r>
          <w:r>
            <w:tab/>
          </w:r>
          <w:r>
            <w:fldChar w:fldCharType="begin"/>
          </w:r>
          <w:r>
            <w:instrText xml:space="preserve"> PAGEREF _Toc1874427722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rPr>
              <w:rFonts w:hint="eastAsia" w:ascii="黑体" w:hAnsi="黑体" w:eastAsia="黑体" w:cs="黑体"/>
              <w:color w:val="000000"/>
              <w:kern w:val="44"/>
              <w:szCs w:val="44"/>
              <w:lang w:bidi="ar-SA"/>
            </w:rPr>
            <w:fldChar w:fldCharType="end"/>
          </w:r>
        </w:p>
        <w:p w14:paraId="3FB71F98">
          <w:pPr>
            <w:pStyle w:val="14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color w:val="000000"/>
              <w:kern w:val="44"/>
              <w:szCs w:val="44"/>
              <w:lang w:bidi="ar-SA"/>
            </w:rPr>
            <w:fldChar w:fldCharType="begin"/>
          </w:r>
          <w:r>
            <w:rPr>
              <w:rFonts w:hint="eastAsia" w:ascii="黑体" w:hAnsi="黑体" w:eastAsia="黑体" w:cs="黑体"/>
              <w:kern w:val="44"/>
              <w:szCs w:val="44"/>
              <w:lang w:bidi="ar-SA"/>
            </w:rPr>
            <w:instrText xml:space="preserve"> HYPERLINK \l _Toc2069105811 </w:instrText>
          </w:r>
          <w:r>
            <w:rPr>
              <w:rFonts w:hint="eastAsia" w:ascii="黑体" w:hAnsi="黑体" w:eastAsia="黑体" w:cs="黑体"/>
              <w:kern w:val="44"/>
              <w:szCs w:val="44"/>
              <w:lang w:bidi="ar-SA"/>
            </w:rPr>
            <w:fldChar w:fldCharType="separate"/>
          </w:r>
          <w:r>
            <w:rPr>
              <w:rFonts w:hint="default" w:ascii="黑体" w:hAnsi="黑体" w:eastAsia="黑体" w:cs="黑体"/>
            </w:rPr>
            <w:t xml:space="preserve">3.1 </w:t>
          </w:r>
          <w:r>
            <w:t>总体要求</w:t>
          </w:r>
          <w:r>
            <w:tab/>
          </w:r>
          <w:r>
            <w:fldChar w:fldCharType="begin"/>
          </w:r>
          <w:r>
            <w:instrText xml:space="preserve"> PAGEREF _Toc2069105811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rPr>
              <w:rFonts w:hint="eastAsia" w:ascii="黑体" w:hAnsi="黑体" w:eastAsia="黑体" w:cs="黑体"/>
              <w:color w:val="000000"/>
              <w:kern w:val="44"/>
              <w:szCs w:val="44"/>
              <w:lang w:bidi="ar-SA"/>
            </w:rPr>
            <w:fldChar w:fldCharType="end"/>
          </w:r>
        </w:p>
        <w:p w14:paraId="5FE0DB3B">
          <w:pPr>
            <w:pStyle w:val="14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color w:val="000000"/>
              <w:kern w:val="44"/>
              <w:szCs w:val="44"/>
              <w:lang w:bidi="ar-SA"/>
            </w:rPr>
            <w:fldChar w:fldCharType="begin"/>
          </w:r>
          <w:r>
            <w:rPr>
              <w:rFonts w:hint="eastAsia" w:ascii="黑体" w:hAnsi="黑体" w:eastAsia="黑体" w:cs="黑体"/>
              <w:kern w:val="44"/>
              <w:szCs w:val="44"/>
              <w:lang w:bidi="ar-SA"/>
            </w:rPr>
            <w:instrText xml:space="preserve"> HYPERLINK \l _Toc1258669606 </w:instrText>
          </w:r>
          <w:r>
            <w:rPr>
              <w:rFonts w:hint="eastAsia" w:ascii="黑体" w:hAnsi="黑体" w:eastAsia="黑体" w:cs="黑体"/>
              <w:kern w:val="44"/>
              <w:szCs w:val="44"/>
              <w:lang w:bidi="ar-SA"/>
            </w:rPr>
            <w:fldChar w:fldCharType="separate"/>
          </w:r>
          <w:r>
            <w:rPr>
              <w:rFonts w:hint="default" w:ascii="黑体" w:hAnsi="黑体" w:eastAsia="黑体" w:cs="黑体"/>
            </w:rPr>
            <w:t xml:space="preserve">3.2 </w:t>
          </w:r>
          <w:r>
            <w:t>服务要求</w:t>
          </w:r>
          <w:r>
            <w:tab/>
          </w:r>
          <w:r>
            <w:fldChar w:fldCharType="begin"/>
          </w:r>
          <w:r>
            <w:instrText xml:space="preserve"> PAGEREF _Toc1258669606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rPr>
              <w:rFonts w:hint="eastAsia" w:ascii="黑体" w:hAnsi="黑体" w:eastAsia="黑体" w:cs="黑体"/>
              <w:color w:val="000000"/>
              <w:kern w:val="44"/>
              <w:szCs w:val="44"/>
              <w:lang w:bidi="ar-SA"/>
            </w:rPr>
            <w:fldChar w:fldCharType="end"/>
          </w:r>
        </w:p>
        <w:p w14:paraId="1CC45D6E">
          <w:pPr>
            <w:pStyle w:val="14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color w:val="000000"/>
              <w:kern w:val="44"/>
              <w:szCs w:val="44"/>
              <w:lang w:bidi="ar-SA"/>
            </w:rPr>
            <w:fldChar w:fldCharType="begin"/>
          </w:r>
          <w:r>
            <w:rPr>
              <w:rFonts w:hint="eastAsia" w:ascii="黑体" w:hAnsi="黑体" w:eastAsia="黑体" w:cs="黑体"/>
              <w:kern w:val="44"/>
              <w:szCs w:val="44"/>
              <w:lang w:bidi="ar-SA"/>
            </w:rPr>
            <w:instrText xml:space="preserve"> HYPERLINK \l _Toc1746145092 </w:instrText>
          </w:r>
          <w:r>
            <w:rPr>
              <w:rFonts w:hint="eastAsia" w:ascii="黑体" w:hAnsi="黑体" w:eastAsia="黑体" w:cs="黑体"/>
              <w:kern w:val="44"/>
              <w:szCs w:val="44"/>
              <w:lang w:bidi="ar-SA"/>
            </w:rPr>
            <w:fldChar w:fldCharType="separate"/>
          </w:r>
          <w:r>
            <w:rPr>
              <w:rFonts w:hint="default" w:ascii="黑体" w:hAnsi="黑体" w:eastAsia="黑体" w:cs="黑体"/>
            </w:rPr>
            <w:t xml:space="preserve">3.3 </w:t>
          </w:r>
          <w:r>
            <w:t>硬件维保范围</w:t>
          </w:r>
          <w:r>
            <w:tab/>
          </w:r>
          <w:r>
            <w:fldChar w:fldCharType="begin"/>
          </w:r>
          <w:r>
            <w:instrText xml:space="preserve"> PAGEREF _Toc1746145092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rPr>
              <w:rFonts w:hint="eastAsia" w:ascii="黑体" w:hAnsi="黑体" w:eastAsia="黑体" w:cs="黑体"/>
              <w:color w:val="000000"/>
              <w:kern w:val="44"/>
              <w:szCs w:val="44"/>
              <w:lang w:bidi="ar-SA"/>
            </w:rPr>
            <w:fldChar w:fldCharType="end"/>
          </w:r>
        </w:p>
        <w:p w14:paraId="2BB1A7D0">
          <w:pPr>
            <w:pStyle w:val="12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color w:val="000000"/>
              <w:kern w:val="44"/>
              <w:szCs w:val="44"/>
              <w:lang w:bidi="ar-SA"/>
            </w:rPr>
            <w:fldChar w:fldCharType="begin"/>
          </w:r>
          <w:r>
            <w:rPr>
              <w:rFonts w:hint="eastAsia" w:ascii="黑体" w:hAnsi="黑体" w:eastAsia="黑体" w:cs="黑体"/>
              <w:kern w:val="44"/>
              <w:szCs w:val="44"/>
              <w:lang w:bidi="ar-SA"/>
            </w:rPr>
            <w:instrText xml:space="preserve"> HYPERLINK \l _Toc2096524989 </w:instrText>
          </w:r>
          <w:r>
            <w:rPr>
              <w:rFonts w:hint="eastAsia" w:ascii="黑体" w:hAnsi="黑体" w:eastAsia="黑体" w:cs="黑体"/>
              <w:kern w:val="44"/>
              <w:szCs w:val="44"/>
              <w:lang w:bidi="ar-SA"/>
            </w:rPr>
            <w:fldChar w:fldCharType="separate"/>
          </w:r>
          <w:r>
            <w:rPr>
              <w:rFonts w:hint="eastAsia" w:ascii="黑体" w:hAnsi="黑体" w:eastAsia="黑体" w:cs="黑体"/>
            </w:rPr>
            <w:t xml:space="preserve">四、 </w:t>
          </w:r>
          <w:r>
            <w:t>服务方案</w:t>
          </w:r>
          <w:r>
            <w:tab/>
          </w:r>
          <w:r>
            <w:fldChar w:fldCharType="begin"/>
          </w:r>
          <w:r>
            <w:instrText xml:space="preserve"> PAGEREF _Toc2096524989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rPr>
              <w:rFonts w:hint="eastAsia" w:ascii="黑体" w:hAnsi="黑体" w:eastAsia="黑体" w:cs="黑体"/>
              <w:color w:val="000000"/>
              <w:kern w:val="44"/>
              <w:szCs w:val="44"/>
              <w:lang w:bidi="ar-SA"/>
            </w:rPr>
            <w:fldChar w:fldCharType="end"/>
          </w:r>
        </w:p>
        <w:p w14:paraId="387970FB">
          <w:pPr>
            <w:pStyle w:val="14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color w:val="000000"/>
              <w:kern w:val="44"/>
              <w:szCs w:val="44"/>
              <w:lang w:bidi="ar-SA"/>
            </w:rPr>
            <w:fldChar w:fldCharType="begin"/>
          </w:r>
          <w:r>
            <w:rPr>
              <w:rFonts w:hint="eastAsia" w:ascii="黑体" w:hAnsi="黑体" w:eastAsia="黑体" w:cs="黑体"/>
              <w:kern w:val="44"/>
              <w:szCs w:val="44"/>
              <w:lang w:bidi="ar-SA"/>
            </w:rPr>
            <w:instrText xml:space="preserve"> HYPERLINK \l _Toc383810147 </w:instrText>
          </w:r>
          <w:r>
            <w:rPr>
              <w:rFonts w:hint="eastAsia" w:ascii="黑体" w:hAnsi="黑体" w:eastAsia="黑体" w:cs="黑体"/>
              <w:kern w:val="44"/>
              <w:szCs w:val="44"/>
              <w:lang w:bidi="ar-SA"/>
            </w:rPr>
            <w:fldChar w:fldCharType="separate"/>
          </w:r>
          <w:r>
            <w:rPr>
              <w:rFonts w:hint="default" w:ascii="黑体" w:hAnsi="黑体" w:eastAsia="黑体" w:cs="黑体"/>
            </w:rPr>
            <w:t xml:space="preserve">1、 </w:t>
          </w:r>
          <w:r>
            <w:t>维保服务时间</w:t>
          </w:r>
          <w:r>
            <w:tab/>
          </w:r>
          <w:r>
            <w:fldChar w:fldCharType="begin"/>
          </w:r>
          <w:r>
            <w:instrText xml:space="preserve"> PAGEREF _Toc383810147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rPr>
              <w:rFonts w:hint="eastAsia" w:ascii="黑体" w:hAnsi="黑体" w:eastAsia="黑体" w:cs="黑体"/>
              <w:color w:val="000000"/>
              <w:kern w:val="44"/>
              <w:szCs w:val="44"/>
              <w:lang w:bidi="ar-SA"/>
            </w:rPr>
            <w:fldChar w:fldCharType="end"/>
          </w:r>
        </w:p>
        <w:p w14:paraId="30EF9BE0">
          <w:pPr>
            <w:pStyle w:val="14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color w:val="000000"/>
              <w:kern w:val="44"/>
              <w:szCs w:val="44"/>
              <w:lang w:bidi="ar-SA"/>
            </w:rPr>
            <w:fldChar w:fldCharType="begin"/>
          </w:r>
          <w:r>
            <w:rPr>
              <w:rFonts w:hint="eastAsia" w:ascii="黑体" w:hAnsi="黑体" w:eastAsia="黑体" w:cs="黑体"/>
              <w:kern w:val="44"/>
              <w:szCs w:val="44"/>
              <w:lang w:bidi="ar-SA"/>
            </w:rPr>
            <w:instrText xml:space="preserve"> HYPERLINK \l _Toc1803748688 </w:instrText>
          </w:r>
          <w:r>
            <w:rPr>
              <w:rFonts w:hint="eastAsia" w:ascii="黑体" w:hAnsi="黑体" w:eastAsia="黑体" w:cs="黑体"/>
              <w:kern w:val="44"/>
              <w:szCs w:val="44"/>
              <w:lang w:bidi="ar-SA"/>
            </w:rPr>
            <w:fldChar w:fldCharType="separate"/>
          </w:r>
          <w:r>
            <w:rPr>
              <w:rFonts w:hint="default" w:ascii="黑体" w:hAnsi="黑体" w:eastAsia="黑体" w:cs="黑体"/>
            </w:rPr>
            <w:t xml:space="preserve">2、 </w:t>
          </w:r>
          <w:r>
            <w:t>服务内容</w:t>
          </w:r>
          <w:r>
            <w:tab/>
          </w:r>
          <w:r>
            <w:fldChar w:fldCharType="begin"/>
          </w:r>
          <w:r>
            <w:instrText xml:space="preserve"> PAGEREF _Toc1803748688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rPr>
              <w:rFonts w:hint="eastAsia" w:ascii="黑体" w:hAnsi="黑体" w:eastAsia="黑体" w:cs="黑体"/>
              <w:color w:val="000000"/>
              <w:kern w:val="44"/>
              <w:szCs w:val="44"/>
              <w:lang w:bidi="ar-SA"/>
            </w:rPr>
            <w:fldChar w:fldCharType="end"/>
          </w:r>
        </w:p>
        <w:p w14:paraId="2B20B684">
          <w:pPr>
            <w:pStyle w:val="12"/>
            <w:tabs>
              <w:tab w:val="right" w:leader="dot" w:pos="8306"/>
            </w:tabs>
          </w:pPr>
          <w:r>
            <w:rPr>
              <w:rFonts w:hint="eastAsia" w:ascii="黑体" w:hAnsi="黑体" w:eastAsia="黑体" w:cs="黑体"/>
              <w:color w:val="000000"/>
              <w:kern w:val="44"/>
              <w:szCs w:val="44"/>
              <w:lang w:bidi="ar-SA"/>
            </w:rPr>
            <w:fldChar w:fldCharType="begin"/>
          </w:r>
          <w:r>
            <w:rPr>
              <w:rFonts w:hint="eastAsia" w:ascii="黑体" w:hAnsi="黑体" w:eastAsia="黑体" w:cs="黑体"/>
              <w:kern w:val="44"/>
              <w:szCs w:val="44"/>
              <w:lang w:bidi="ar-SA"/>
            </w:rPr>
            <w:instrText xml:space="preserve"> HYPERLINK \l _Toc1725038164 </w:instrText>
          </w:r>
          <w:r>
            <w:rPr>
              <w:rFonts w:hint="eastAsia" w:ascii="黑体" w:hAnsi="黑体" w:eastAsia="黑体" w:cs="黑体"/>
              <w:kern w:val="44"/>
              <w:szCs w:val="44"/>
              <w:lang w:bidi="ar-SA"/>
            </w:rPr>
            <w:fldChar w:fldCharType="separate"/>
          </w:r>
          <w:r>
            <w:rPr>
              <w:rFonts w:hint="eastAsia" w:ascii="宋体" w:hAnsi="宋体"/>
              <w:szCs w:val="21"/>
            </w:rPr>
            <w:t>附表1：维保清单</w:t>
          </w:r>
          <w:r>
            <w:tab/>
          </w:r>
          <w:r>
            <w:fldChar w:fldCharType="begin"/>
          </w:r>
          <w:r>
            <w:instrText xml:space="preserve"> PAGEREF _Toc1725038164 \h </w:instrText>
          </w:r>
          <w:r>
            <w:fldChar w:fldCharType="separate"/>
          </w:r>
          <w:r>
            <w:t>7</w:t>
          </w:r>
          <w:r>
            <w:fldChar w:fldCharType="end"/>
          </w:r>
          <w:r>
            <w:rPr>
              <w:rFonts w:hint="eastAsia" w:ascii="黑体" w:hAnsi="黑体" w:eastAsia="黑体" w:cs="黑体"/>
              <w:color w:val="000000"/>
              <w:kern w:val="44"/>
              <w:szCs w:val="44"/>
              <w:lang w:bidi="ar-SA"/>
            </w:rPr>
            <w:fldChar w:fldCharType="end"/>
          </w:r>
        </w:p>
        <w:p w14:paraId="65AA67F3">
          <w:pPr>
            <w:widowControl w:val="0"/>
            <w:numPr>
              <w:ilvl w:val="0"/>
              <w:numId w:val="0"/>
            </w:numPr>
            <w:topLinePunct w:val="0"/>
            <w:adjustRightInd w:val="0"/>
            <w:spacing w:before="320" w:line="360" w:lineRule="auto"/>
            <w:ind w:leftChars="0"/>
            <w:jc w:val="both"/>
            <w:outlineLvl w:val="9"/>
            <w:rPr>
              <w:rFonts w:hint="eastAsia" w:ascii="黑体" w:hAnsi="黑体" w:eastAsia="黑体" w:cs="黑体"/>
              <w:color w:val="000000"/>
              <w:kern w:val="44"/>
              <w:sz w:val="24"/>
              <w:szCs w:val="44"/>
              <w:lang w:val="en-US" w:eastAsia="zh-CN" w:bidi="ar-SA"/>
            </w:rPr>
          </w:pPr>
          <w:r>
            <w:rPr>
              <w:rFonts w:hint="eastAsia" w:ascii="黑体" w:hAnsi="黑体" w:eastAsia="黑体" w:cs="黑体"/>
              <w:color w:val="000000"/>
              <w:kern w:val="44"/>
              <w:szCs w:val="44"/>
              <w:lang w:bidi="ar-SA"/>
            </w:rPr>
            <w:fldChar w:fldCharType="end"/>
          </w:r>
        </w:p>
      </w:sdtContent>
    </w:sdt>
    <w:p w14:paraId="20C7478A">
      <w:pPr>
        <w:widowControl w:val="0"/>
        <w:numPr>
          <w:ilvl w:val="0"/>
          <w:numId w:val="0"/>
        </w:numPr>
        <w:topLinePunct w:val="0"/>
        <w:adjustRightInd w:val="0"/>
        <w:spacing w:before="320" w:line="360" w:lineRule="auto"/>
        <w:ind w:leftChars="0"/>
        <w:jc w:val="both"/>
        <w:outlineLvl w:val="9"/>
        <w:rPr>
          <w:rFonts w:hint="eastAsia" w:ascii="黑体" w:hAnsi="黑体" w:eastAsia="黑体" w:cs="黑体"/>
          <w:color w:val="000000"/>
          <w:kern w:val="44"/>
          <w:sz w:val="24"/>
          <w:szCs w:val="44"/>
          <w:lang w:val="en-US" w:eastAsia="zh-CN" w:bidi="ar-SA"/>
        </w:rPr>
      </w:pPr>
    </w:p>
    <w:p w14:paraId="03E8831E">
      <w:pPr>
        <w:widowControl w:val="0"/>
        <w:numPr>
          <w:ilvl w:val="0"/>
          <w:numId w:val="0"/>
        </w:numPr>
        <w:topLinePunct w:val="0"/>
        <w:adjustRightInd w:val="0"/>
        <w:spacing w:before="320" w:line="360" w:lineRule="auto"/>
        <w:ind w:leftChars="0"/>
        <w:jc w:val="both"/>
        <w:outlineLvl w:val="9"/>
        <w:rPr>
          <w:rFonts w:hint="eastAsia" w:ascii="黑体" w:hAnsi="黑体" w:eastAsia="黑体" w:cs="黑体"/>
          <w:color w:val="000000"/>
          <w:kern w:val="44"/>
          <w:sz w:val="24"/>
          <w:szCs w:val="44"/>
          <w:lang w:val="en-US" w:eastAsia="zh-CN" w:bidi="ar-SA"/>
        </w:rPr>
      </w:pPr>
    </w:p>
    <w:p w14:paraId="29930C74">
      <w:pPr>
        <w:widowControl w:val="0"/>
        <w:numPr>
          <w:ilvl w:val="0"/>
          <w:numId w:val="0"/>
        </w:numPr>
        <w:topLinePunct w:val="0"/>
        <w:adjustRightInd w:val="0"/>
        <w:spacing w:before="320" w:line="360" w:lineRule="auto"/>
        <w:ind w:leftChars="0"/>
        <w:jc w:val="both"/>
        <w:outlineLvl w:val="9"/>
        <w:rPr>
          <w:rFonts w:hint="eastAsia" w:ascii="黑体" w:hAnsi="黑体" w:eastAsia="黑体" w:cs="黑体"/>
          <w:color w:val="000000"/>
          <w:kern w:val="44"/>
          <w:sz w:val="24"/>
          <w:szCs w:val="44"/>
          <w:lang w:val="en-US" w:eastAsia="zh-CN" w:bidi="ar-SA"/>
        </w:rPr>
      </w:pPr>
    </w:p>
    <w:p w14:paraId="74F0C071">
      <w:pPr>
        <w:widowControl w:val="0"/>
        <w:numPr>
          <w:ilvl w:val="0"/>
          <w:numId w:val="0"/>
        </w:numPr>
        <w:topLinePunct w:val="0"/>
        <w:adjustRightInd w:val="0"/>
        <w:spacing w:before="320" w:line="360" w:lineRule="auto"/>
        <w:ind w:leftChars="0"/>
        <w:jc w:val="both"/>
        <w:outlineLvl w:val="9"/>
        <w:rPr>
          <w:rFonts w:hint="eastAsia" w:ascii="黑体" w:hAnsi="黑体" w:eastAsia="黑体" w:cs="黑体"/>
          <w:color w:val="000000"/>
          <w:kern w:val="44"/>
          <w:sz w:val="24"/>
          <w:szCs w:val="44"/>
          <w:lang w:val="en-US" w:eastAsia="zh-CN" w:bidi="ar-SA"/>
        </w:rPr>
      </w:pPr>
    </w:p>
    <w:p w14:paraId="1ECF3061">
      <w:pPr>
        <w:widowControl w:val="0"/>
        <w:numPr>
          <w:ilvl w:val="0"/>
          <w:numId w:val="0"/>
        </w:numPr>
        <w:topLinePunct w:val="0"/>
        <w:adjustRightInd w:val="0"/>
        <w:spacing w:before="320" w:line="360" w:lineRule="auto"/>
        <w:ind w:leftChars="0"/>
        <w:jc w:val="both"/>
        <w:outlineLvl w:val="9"/>
        <w:rPr>
          <w:rFonts w:hint="eastAsia" w:ascii="黑体" w:hAnsi="黑体" w:eastAsia="黑体" w:cs="黑体"/>
          <w:color w:val="000000"/>
          <w:kern w:val="44"/>
          <w:sz w:val="24"/>
          <w:szCs w:val="44"/>
          <w:lang w:val="en-US" w:eastAsia="zh-CN" w:bidi="ar-SA"/>
        </w:rPr>
      </w:pPr>
    </w:p>
    <w:p w14:paraId="55212A00">
      <w:pPr>
        <w:widowControl w:val="0"/>
        <w:numPr>
          <w:ilvl w:val="0"/>
          <w:numId w:val="0"/>
        </w:numPr>
        <w:topLinePunct w:val="0"/>
        <w:adjustRightInd w:val="0"/>
        <w:spacing w:before="320" w:line="360" w:lineRule="auto"/>
        <w:ind w:leftChars="0"/>
        <w:jc w:val="both"/>
        <w:outlineLvl w:val="9"/>
        <w:rPr>
          <w:rFonts w:hint="eastAsia" w:ascii="黑体" w:hAnsi="黑体" w:eastAsia="黑体" w:cs="黑体"/>
          <w:color w:val="000000"/>
          <w:kern w:val="44"/>
          <w:sz w:val="24"/>
          <w:szCs w:val="44"/>
          <w:lang w:val="en-US" w:eastAsia="zh-CN" w:bidi="ar-SA"/>
        </w:rPr>
      </w:pPr>
    </w:p>
    <w:p w14:paraId="546E8F41">
      <w:pPr>
        <w:widowControl w:val="0"/>
        <w:numPr>
          <w:ilvl w:val="0"/>
          <w:numId w:val="0"/>
        </w:numPr>
        <w:topLinePunct w:val="0"/>
        <w:adjustRightInd w:val="0"/>
        <w:spacing w:before="320" w:line="360" w:lineRule="auto"/>
        <w:ind w:leftChars="0"/>
        <w:jc w:val="both"/>
        <w:outlineLvl w:val="9"/>
        <w:rPr>
          <w:rFonts w:hint="eastAsia" w:ascii="黑体" w:hAnsi="黑体" w:eastAsia="黑体" w:cs="黑体"/>
          <w:color w:val="000000"/>
          <w:kern w:val="44"/>
          <w:sz w:val="24"/>
          <w:szCs w:val="44"/>
          <w:lang w:val="en-US" w:eastAsia="zh-CN" w:bidi="ar-SA"/>
        </w:rPr>
      </w:pPr>
    </w:p>
    <w:p w14:paraId="6170E302">
      <w:pPr>
        <w:widowControl w:val="0"/>
        <w:numPr>
          <w:ilvl w:val="0"/>
          <w:numId w:val="0"/>
        </w:numPr>
        <w:topLinePunct w:val="0"/>
        <w:adjustRightInd w:val="0"/>
        <w:spacing w:before="320" w:line="360" w:lineRule="auto"/>
        <w:ind w:leftChars="0"/>
        <w:jc w:val="both"/>
        <w:outlineLvl w:val="9"/>
        <w:rPr>
          <w:rFonts w:hint="eastAsia" w:ascii="黑体" w:hAnsi="黑体" w:eastAsia="黑体" w:cs="黑体"/>
          <w:color w:val="000000"/>
          <w:kern w:val="44"/>
          <w:sz w:val="24"/>
          <w:szCs w:val="44"/>
          <w:lang w:val="en-US" w:eastAsia="zh-CN" w:bidi="ar-SA"/>
        </w:rPr>
      </w:pPr>
    </w:p>
    <w:p w14:paraId="51A1C5AB">
      <w:pPr>
        <w:widowControl w:val="0"/>
        <w:numPr>
          <w:ilvl w:val="0"/>
          <w:numId w:val="0"/>
        </w:numPr>
        <w:topLinePunct w:val="0"/>
        <w:adjustRightInd w:val="0"/>
        <w:spacing w:before="320" w:line="360" w:lineRule="auto"/>
        <w:ind w:leftChars="0"/>
        <w:jc w:val="both"/>
        <w:outlineLvl w:val="9"/>
        <w:rPr>
          <w:rFonts w:hint="eastAsia" w:ascii="黑体" w:hAnsi="黑体" w:eastAsia="黑体" w:cs="黑体"/>
          <w:color w:val="000000"/>
          <w:kern w:val="44"/>
          <w:sz w:val="24"/>
          <w:szCs w:val="44"/>
          <w:lang w:val="en-US" w:eastAsia="zh-CN" w:bidi="ar-SA"/>
        </w:rPr>
      </w:pPr>
    </w:p>
    <w:p w14:paraId="244C61EC">
      <w:pPr>
        <w:widowControl w:val="0"/>
        <w:numPr>
          <w:ilvl w:val="0"/>
          <w:numId w:val="0"/>
        </w:numPr>
        <w:topLinePunct w:val="0"/>
        <w:adjustRightInd w:val="0"/>
        <w:spacing w:before="320" w:line="360" w:lineRule="auto"/>
        <w:ind w:leftChars="0"/>
        <w:jc w:val="both"/>
        <w:outlineLvl w:val="9"/>
        <w:rPr>
          <w:rFonts w:hint="eastAsia" w:ascii="黑体" w:hAnsi="黑体" w:eastAsia="黑体" w:cs="黑体"/>
          <w:color w:val="000000"/>
          <w:kern w:val="44"/>
          <w:sz w:val="24"/>
          <w:szCs w:val="44"/>
          <w:lang w:val="en-US" w:eastAsia="zh-CN" w:bidi="ar-SA"/>
        </w:rPr>
      </w:pPr>
    </w:p>
    <w:p w14:paraId="16A0BDA2">
      <w:pPr>
        <w:widowControl w:val="0"/>
        <w:numPr>
          <w:ilvl w:val="0"/>
          <w:numId w:val="0"/>
        </w:numPr>
        <w:topLinePunct w:val="0"/>
        <w:adjustRightInd w:val="0"/>
        <w:spacing w:before="320" w:line="360" w:lineRule="auto"/>
        <w:ind w:leftChars="0"/>
        <w:jc w:val="both"/>
        <w:outlineLvl w:val="9"/>
        <w:rPr>
          <w:rFonts w:hint="eastAsia" w:ascii="黑体" w:hAnsi="黑体" w:eastAsia="黑体" w:cs="黑体"/>
          <w:color w:val="000000"/>
          <w:kern w:val="44"/>
          <w:sz w:val="24"/>
          <w:szCs w:val="44"/>
          <w:lang w:val="en-US" w:eastAsia="zh-CN" w:bidi="ar-SA"/>
        </w:rPr>
      </w:pPr>
    </w:p>
    <w:p w14:paraId="3D9623CB">
      <w:pPr>
        <w:pStyle w:val="2"/>
        <w:numPr>
          <w:ilvl w:val="0"/>
          <w:numId w:val="1"/>
        </w:numPr>
        <w:topLinePunct w:val="0"/>
        <w:ind w:left="0" w:leftChars="0" w:firstLine="0" w:firstLineChars="0"/>
        <w:rPr>
          <w:rFonts w:hint="eastAsia" w:ascii="黑体" w:hAnsi="黑体" w:eastAsia="黑体" w:cs="黑体"/>
          <w:b w:val="0"/>
        </w:rPr>
      </w:pPr>
      <w:bookmarkStart w:id="2" w:name="_Toc1327221693"/>
      <w:r>
        <w:t>项目</w:t>
      </w:r>
      <w:r>
        <w:rPr>
          <w:rFonts w:hint="eastAsia"/>
          <w:lang w:val="en-US" w:eastAsia="zh-CN"/>
        </w:rPr>
        <w:t>概述</w:t>
      </w:r>
      <w:bookmarkEnd w:id="2"/>
    </w:p>
    <w:p w14:paraId="72DABE89">
      <w:pPr>
        <w:pStyle w:val="11"/>
        <w:widowControl w:val="0"/>
        <w:adjustRightInd w:val="0"/>
        <w:spacing w:before="100" w:after="100" w:afterLines="0" w:afterAutospacing="0" w:line="360" w:lineRule="auto"/>
        <w:ind w:firstLine="480" w:firstLineChars="200"/>
        <w:jc w:val="both"/>
        <w:rPr>
          <w:rFonts w:hint="eastAsia" w:cs="Times New Roman"/>
          <w:color w:val="000000"/>
          <w:kern w:val="2"/>
          <w:sz w:val="24"/>
          <w:szCs w:val="24"/>
          <w:lang w:eastAsia="zh-CN" w:bidi="ar-SA"/>
        </w:rPr>
      </w:pPr>
      <w:r>
        <w:rPr>
          <w:rFonts w:ascii="Times New Roman" w:hAnsi="Times New Roman" w:eastAsia="宋体" w:cs="Times New Roman"/>
          <w:color w:val="000000"/>
          <w:kern w:val="2"/>
          <w:sz w:val="24"/>
          <w:szCs w:val="24"/>
          <w:lang w:bidi="ar-SA"/>
        </w:rPr>
        <w:t>目前有161台硬件设备（服务器&amp;交换机）即将达到第三方续保年限，陆续面临续保问题。为提升硬件管理效率，计划引入一家专业的第三方维保服务商，对这161台硬件设备（服务器&amp;交换机）提供为期两年的统一维保服务，维保周期自2026年1月1日起正式开始。</w:t>
      </w:r>
    </w:p>
    <w:p w14:paraId="371B693B">
      <w:pPr>
        <w:pStyle w:val="2"/>
        <w:numPr>
          <w:ilvl w:val="0"/>
          <w:numId w:val="1"/>
        </w:numPr>
        <w:topLinePunct w:val="0"/>
        <w:ind w:left="0" w:leftChars="0" w:firstLine="0" w:firstLineChars="0"/>
        <w:rPr>
          <w:rFonts w:hint="default"/>
          <w:lang w:val="en-US" w:eastAsia="zh-CN"/>
        </w:rPr>
      </w:pPr>
      <w:bookmarkStart w:id="3" w:name="_Toc702352862"/>
      <w:bookmarkStart w:id="4" w:name="OLE_LINK76"/>
      <w:bookmarkStart w:id="5" w:name="OLE_LINK77"/>
      <w:r>
        <w:rPr>
          <w:rFonts w:hint="eastAsia"/>
          <w:lang w:val="en-US" w:eastAsia="zh-CN"/>
        </w:rPr>
        <w:t>总体目标</w:t>
      </w:r>
      <w:bookmarkEnd w:id="3"/>
    </w:p>
    <w:p w14:paraId="7FA487AE">
      <w:pPr>
        <w:pStyle w:val="11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before="100" w:after="100" w:afterLines="0" w:afterAutospacing="0" w:line="360" w:lineRule="auto"/>
        <w:ind w:leftChars="0" w:firstLine="480" w:firstLineChars="200"/>
        <w:jc w:val="both"/>
        <w:textAlignment w:val="auto"/>
        <w:rPr>
          <w:rFonts w:hint="default"/>
          <w:color w:val="000000"/>
          <w:lang w:val="en-US" w:eastAsia="zh-CN"/>
        </w:rPr>
      </w:pPr>
      <w:r>
        <w:rPr>
          <w:rFonts w:hint="eastAsia"/>
          <w:color w:val="000000"/>
          <w:lang w:val="en-US" w:eastAsia="zh-CN"/>
        </w:rPr>
        <w:t>硬件设备作为业务运行的基础保障，通过维保服务能够迅速发现并修复故障，有效降低故障对业务系统的负面影响，确保设备和系统能够维持或快速恢复至最佳工作状态，从而保障业务系统稳定、安全、合理且高效地运行。</w:t>
      </w:r>
    </w:p>
    <w:bookmarkEnd w:id="4"/>
    <w:bookmarkEnd w:id="5"/>
    <w:p w14:paraId="73654654">
      <w:pPr>
        <w:pStyle w:val="2"/>
        <w:numPr>
          <w:ilvl w:val="0"/>
          <w:numId w:val="1"/>
        </w:numPr>
        <w:topLinePunct w:val="0"/>
        <w:ind w:left="0" w:leftChars="0" w:firstLine="0" w:firstLineChars="0"/>
        <w:rPr>
          <w:rFonts w:hint="eastAsia" w:ascii="黑体" w:hAnsi="黑体" w:eastAsia="黑体" w:cs="黑体"/>
          <w:b w:val="0"/>
        </w:rPr>
      </w:pPr>
      <w:bookmarkStart w:id="6" w:name="_Toc1874427722"/>
      <w:r>
        <w:t>技术要求</w:t>
      </w:r>
      <w:bookmarkEnd w:id="6"/>
    </w:p>
    <w:p w14:paraId="726AC73F">
      <w:pPr>
        <w:pStyle w:val="3"/>
        <w:numPr>
          <w:ilvl w:val="0"/>
          <w:numId w:val="2"/>
        </w:numPr>
        <w:ind w:left="0" w:leftChars="0" w:firstLine="0" w:firstLineChars="0"/>
        <w:rPr>
          <w:rFonts w:hint="eastAsia" w:ascii="黑体" w:hAnsi="黑体" w:eastAsia="黑体" w:cs="黑体"/>
          <w:b w:val="0"/>
        </w:rPr>
      </w:pPr>
      <w:bookmarkStart w:id="7" w:name="_Toc2069105811"/>
      <w:r>
        <w:t>总体要求</w:t>
      </w:r>
      <w:bookmarkEnd w:id="7"/>
    </w:p>
    <w:p w14:paraId="2D56E60F">
      <w:pPr>
        <w:pStyle w:val="11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before="100" w:after="100" w:afterLines="0" w:afterAutospacing="0" w:line="360" w:lineRule="auto"/>
        <w:ind w:leftChars="0" w:firstLine="480" w:firstLineChars="200"/>
        <w:jc w:val="both"/>
        <w:textAlignment w:val="auto"/>
        <w:rPr>
          <w:rFonts w:hint="eastAsia"/>
          <w:color w:val="000000"/>
          <w:lang w:val="en-US" w:eastAsia="zh-CN"/>
        </w:rPr>
      </w:pPr>
      <w:r>
        <w:rPr>
          <w:rFonts w:hint="eastAsia"/>
          <w:color w:val="000000"/>
          <w:lang w:val="en-US" w:eastAsia="zh-CN"/>
        </w:rPr>
        <w:t>硬件设备维保服务涵盖内存、CPU、硬盘、电源及其他硬件设备的定期检查、维护与更换。旨在最大限度减少设备系统的非计划停机，对突发事件进行迅速响应和应急处理，确保数据安全并精准定位及解决问题。凭借专业的技术团队和先进的技术手段与工具，高效应对因硬件故障引发的紧急情况，严格执行相关服务实施及响应时间标准，保障系统的高可用性。</w:t>
      </w:r>
    </w:p>
    <w:p w14:paraId="70064A15">
      <w:pPr>
        <w:pStyle w:val="3"/>
        <w:numPr>
          <w:ilvl w:val="0"/>
          <w:numId w:val="2"/>
        </w:numPr>
        <w:ind w:left="0" w:leftChars="0" w:firstLine="0" w:firstLineChars="0"/>
        <w:rPr>
          <w:rFonts w:hint="eastAsia" w:ascii="黑体" w:hAnsi="黑体" w:eastAsia="黑体" w:cs="黑体"/>
          <w:b w:val="0"/>
        </w:rPr>
      </w:pPr>
      <w:bookmarkStart w:id="8" w:name="_Toc1258669606"/>
      <w:r>
        <w:t>服务要求</w:t>
      </w:r>
      <w:bookmarkEnd w:id="8"/>
    </w:p>
    <w:p w14:paraId="03F8ADC6">
      <w:pPr>
        <w:pStyle w:val="11"/>
        <w:rPr>
          <w:color w:val="000000"/>
        </w:rPr>
      </w:pPr>
      <w:r>
        <w:rPr>
          <w:color w:val="000000"/>
        </w:rPr>
        <w:t>服务内容包括基础服务、系统增值服务、定制服务三部分。</w:t>
      </w:r>
    </w:p>
    <w:tbl>
      <w:tblPr>
        <w:tblStyle w:val="16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37"/>
        <w:gridCol w:w="4685"/>
      </w:tblGrid>
      <w:tr w14:paraId="231A5A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8A2271">
            <w:pPr>
              <w:spacing w:line="360" w:lineRule="auto"/>
              <w:jc w:val="center"/>
              <w:rPr>
                <w:b/>
                <w:color w:val="000000"/>
                <w:sz w:val="21"/>
                <w:szCs w:val="21"/>
              </w:rPr>
            </w:pPr>
            <w:r>
              <w:rPr>
                <w:rFonts w:hint="eastAsia"/>
                <w:b/>
                <w:color w:val="000000"/>
                <w:sz w:val="21"/>
                <w:szCs w:val="21"/>
              </w:rPr>
              <w:t>服务类型</w:t>
            </w:r>
          </w:p>
        </w:tc>
        <w:tc>
          <w:tcPr>
            <w:tcW w:w="274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33625D">
            <w:pPr>
              <w:spacing w:line="360" w:lineRule="auto"/>
              <w:jc w:val="center"/>
              <w:rPr>
                <w:b/>
                <w:color w:val="000000"/>
                <w:sz w:val="21"/>
                <w:szCs w:val="21"/>
              </w:rPr>
            </w:pPr>
            <w:r>
              <w:rPr>
                <w:rFonts w:hint="eastAsia"/>
                <w:b/>
                <w:color w:val="000000"/>
                <w:sz w:val="21"/>
                <w:szCs w:val="21"/>
              </w:rPr>
              <w:t>服务内容</w:t>
            </w:r>
          </w:p>
        </w:tc>
      </w:tr>
      <w:tr w14:paraId="6C72C1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1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9303C1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基础服务</w:t>
            </w:r>
          </w:p>
        </w:tc>
        <w:tc>
          <w:tcPr>
            <w:tcW w:w="274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C86F2F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技术支持热线服务</w:t>
            </w:r>
          </w:p>
        </w:tc>
      </w:tr>
      <w:tr w14:paraId="51F72A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1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73EFC6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274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A91E28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定期巡检与预防性维护</w:t>
            </w:r>
          </w:p>
        </w:tc>
      </w:tr>
      <w:tr w14:paraId="151346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1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E552D7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274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532D4D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现场故障响应解决服务</w:t>
            </w:r>
          </w:p>
        </w:tc>
      </w:tr>
      <w:tr w14:paraId="27A14C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1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0098F5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274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200BBB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硬件微码升级及补丁服务</w:t>
            </w:r>
          </w:p>
        </w:tc>
      </w:tr>
      <w:tr w14:paraId="0CE9FE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1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4DCBA1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274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4CE0EE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重要时段电话支持服务</w:t>
            </w:r>
          </w:p>
        </w:tc>
      </w:tr>
      <w:tr w14:paraId="59AACA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1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E060E7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系统增值服务</w:t>
            </w:r>
          </w:p>
        </w:tc>
        <w:tc>
          <w:tcPr>
            <w:tcW w:w="274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D79BF3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技术交流</w:t>
            </w:r>
          </w:p>
        </w:tc>
      </w:tr>
      <w:tr w14:paraId="049230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1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138186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274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D32AF0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移机技术支持服务</w:t>
            </w:r>
          </w:p>
        </w:tc>
      </w:tr>
      <w:tr w14:paraId="36C934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1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06183E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274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4CD5D5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高可靠性技术支持服务</w:t>
            </w:r>
          </w:p>
        </w:tc>
      </w:tr>
      <w:tr w14:paraId="2B6361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1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1AE149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274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B8595C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应急处理服务</w:t>
            </w:r>
          </w:p>
        </w:tc>
      </w:tr>
      <w:tr w14:paraId="6E6ADE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1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4C5E86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274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F7741D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系统技术支持服务</w:t>
            </w:r>
          </w:p>
        </w:tc>
      </w:tr>
      <w:tr w14:paraId="65C104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1" w:type="pct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96E63A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定制服务</w:t>
            </w:r>
          </w:p>
        </w:tc>
        <w:tc>
          <w:tcPr>
            <w:tcW w:w="274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130003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现场备件保障服务</w:t>
            </w:r>
          </w:p>
        </w:tc>
      </w:tr>
      <w:tr w14:paraId="5959E0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1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6CFDEE">
            <w:pPr>
              <w:widowControl/>
              <w:spacing w:line="360" w:lineRule="auto"/>
              <w:jc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274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A62B42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重大生产变更支持服务</w:t>
            </w:r>
          </w:p>
        </w:tc>
      </w:tr>
      <w:tr w14:paraId="7C289A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1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4787A5">
            <w:pPr>
              <w:widowControl/>
              <w:spacing w:line="360" w:lineRule="auto"/>
              <w:jc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274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B0E742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重要时段现场保障服务</w:t>
            </w:r>
          </w:p>
        </w:tc>
      </w:tr>
      <w:tr w14:paraId="72BD5A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1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ED9379">
            <w:pPr>
              <w:widowControl/>
              <w:spacing w:line="360" w:lineRule="auto"/>
              <w:jc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274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C64B09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关键业务系统恢复服务</w:t>
            </w:r>
          </w:p>
        </w:tc>
      </w:tr>
      <w:tr w14:paraId="2583D6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1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7BF935">
            <w:pPr>
              <w:widowControl/>
              <w:spacing w:line="360" w:lineRule="auto"/>
              <w:jc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274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FF7D16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系统高级技术支持服务</w:t>
            </w:r>
          </w:p>
        </w:tc>
      </w:tr>
      <w:tr w14:paraId="1FB705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51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787333">
            <w:pPr>
              <w:widowControl/>
              <w:spacing w:line="360" w:lineRule="auto"/>
              <w:jc w:val="center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274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C46B0E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技术培训服务</w:t>
            </w:r>
          </w:p>
        </w:tc>
      </w:tr>
    </w:tbl>
    <w:p w14:paraId="24DBED36">
      <w:pPr>
        <w:pStyle w:val="3"/>
        <w:numPr>
          <w:ilvl w:val="0"/>
          <w:numId w:val="2"/>
        </w:numPr>
        <w:ind w:left="0" w:leftChars="0" w:firstLine="0" w:firstLineChars="0"/>
        <w:rPr>
          <w:rFonts w:hint="eastAsia" w:ascii="黑体" w:hAnsi="黑体" w:eastAsia="黑体" w:cs="黑体"/>
          <w:b w:val="0"/>
        </w:rPr>
      </w:pPr>
      <w:bookmarkStart w:id="9" w:name="_Toc1746145092"/>
      <w:r>
        <w:t>硬件维保范围</w:t>
      </w:r>
      <w:bookmarkEnd w:id="9"/>
    </w:p>
    <w:tbl>
      <w:tblPr>
        <w:tblStyle w:val="16"/>
        <w:tblW w:w="49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73"/>
        <w:gridCol w:w="2723"/>
        <w:gridCol w:w="2723"/>
      </w:tblGrid>
      <w:tr w14:paraId="02CA57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8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BCC5DDE">
            <w:pPr>
              <w:autoSpaceDE w:val="0"/>
              <w:spacing w:line="360" w:lineRule="auto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color w:val="000000"/>
                <w:kern w:val="0"/>
                <w:sz w:val="21"/>
                <w:szCs w:val="21"/>
              </w:rPr>
              <w:t>品牌</w:t>
            </w:r>
          </w:p>
        </w:tc>
        <w:tc>
          <w:tcPr>
            <w:tcW w:w="15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F80DCA8">
            <w:pPr>
              <w:autoSpaceDE w:val="0"/>
              <w:spacing w:line="360" w:lineRule="auto"/>
              <w:jc w:val="center"/>
              <w:rPr>
                <w:rFonts w:hint="default" w:ascii="宋体" w:hAnsi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硬件类型</w:t>
            </w:r>
          </w:p>
        </w:tc>
        <w:tc>
          <w:tcPr>
            <w:tcW w:w="15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BB2D589">
            <w:pPr>
              <w:autoSpaceDE w:val="0"/>
              <w:spacing w:line="360" w:lineRule="auto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color w:val="000000"/>
                <w:kern w:val="0"/>
                <w:sz w:val="21"/>
                <w:szCs w:val="21"/>
              </w:rPr>
              <w:t>数量</w:t>
            </w:r>
          </w:p>
        </w:tc>
      </w:tr>
      <w:tr w14:paraId="7F6473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38C071F">
            <w:pPr>
              <w:autoSpaceDE w:val="0"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kern w:val="0"/>
                <w:sz w:val="21"/>
                <w:szCs w:val="21"/>
              </w:rPr>
              <w:t>戴尔</w:t>
            </w:r>
          </w:p>
        </w:tc>
        <w:tc>
          <w:tcPr>
            <w:tcW w:w="15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3350CF1">
            <w:pPr>
              <w:autoSpaceDE w:val="0"/>
              <w:spacing w:line="360" w:lineRule="auto"/>
              <w:jc w:val="center"/>
              <w:rPr>
                <w:rFonts w:hint="default" w:ascii="宋体" w:hAnsi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kern w:val="0"/>
                <w:sz w:val="21"/>
                <w:szCs w:val="21"/>
                <w:lang w:val="en-US" w:eastAsia="zh-CN"/>
              </w:rPr>
              <w:t>服务器</w:t>
            </w:r>
          </w:p>
        </w:tc>
        <w:tc>
          <w:tcPr>
            <w:tcW w:w="15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EE6940B">
            <w:pPr>
              <w:autoSpaceDE w:val="0"/>
              <w:spacing w:line="360" w:lineRule="auto"/>
              <w:jc w:val="center"/>
              <w:rPr>
                <w:rFonts w:hint="default" w:ascii="宋体" w:hAnsi="宋体" w:eastAsia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kern w:val="0"/>
                <w:sz w:val="21"/>
                <w:szCs w:val="21"/>
                <w:lang w:val="en-US" w:eastAsia="zh-CN"/>
              </w:rPr>
              <w:t>40</w:t>
            </w:r>
          </w:p>
        </w:tc>
      </w:tr>
      <w:tr w14:paraId="01B60F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01597D2">
            <w:pPr>
              <w:autoSpaceDE w:val="0"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kern w:val="0"/>
                <w:sz w:val="21"/>
                <w:szCs w:val="21"/>
              </w:rPr>
              <w:t>华为</w:t>
            </w:r>
          </w:p>
        </w:tc>
        <w:tc>
          <w:tcPr>
            <w:tcW w:w="15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7E6064D">
            <w:pPr>
              <w:autoSpaceDE w:val="0"/>
              <w:spacing w:line="360" w:lineRule="auto"/>
              <w:jc w:val="center"/>
              <w:rPr>
                <w:rFonts w:hint="default" w:ascii="宋体" w:hAnsi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kern w:val="0"/>
                <w:sz w:val="21"/>
                <w:szCs w:val="21"/>
                <w:lang w:val="en-US" w:eastAsia="zh-CN"/>
              </w:rPr>
              <w:t>交换机</w:t>
            </w:r>
          </w:p>
        </w:tc>
        <w:tc>
          <w:tcPr>
            <w:tcW w:w="15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778136A">
            <w:pPr>
              <w:autoSpaceDE w:val="0"/>
              <w:spacing w:line="360" w:lineRule="auto"/>
              <w:jc w:val="center"/>
              <w:rPr>
                <w:rFonts w:hint="eastAsia" w:ascii="宋体" w:hAnsi="宋体" w:eastAsia="宋体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/>
                <w:color w:val="000000"/>
                <w:kern w:val="0"/>
                <w:sz w:val="21"/>
                <w:szCs w:val="21"/>
                <w:lang w:val="en-US" w:eastAsia="zh-CN"/>
              </w:rPr>
              <w:t>3</w:t>
            </w:r>
          </w:p>
        </w:tc>
      </w:tr>
      <w:tr w14:paraId="55C9DB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E74A129">
            <w:pPr>
              <w:autoSpaceDE w:val="0"/>
              <w:spacing w:line="360" w:lineRule="auto"/>
              <w:jc w:val="center"/>
              <w:rPr>
                <w:rFonts w:hint="eastAsia" w:ascii="宋体" w:hAnsi="宋体" w:eastAsia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kern w:val="0"/>
                <w:sz w:val="21"/>
                <w:szCs w:val="21"/>
                <w:lang w:val="en-US" w:eastAsia="zh-CN"/>
              </w:rPr>
              <w:t>山石</w:t>
            </w:r>
          </w:p>
        </w:tc>
        <w:tc>
          <w:tcPr>
            <w:tcW w:w="15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913F2AD">
            <w:pPr>
              <w:autoSpaceDE w:val="0"/>
              <w:spacing w:line="360" w:lineRule="auto"/>
              <w:jc w:val="center"/>
              <w:rPr>
                <w:rFonts w:hint="default" w:ascii="宋体" w:hAnsi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kern w:val="0"/>
                <w:sz w:val="21"/>
                <w:szCs w:val="21"/>
                <w:lang w:val="en-US" w:eastAsia="zh-CN"/>
              </w:rPr>
              <w:t>服务器</w:t>
            </w:r>
          </w:p>
        </w:tc>
        <w:tc>
          <w:tcPr>
            <w:tcW w:w="15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F78DC03">
            <w:pPr>
              <w:autoSpaceDE w:val="0"/>
              <w:spacing w:line="360" w:lineRule="auto"/>
              <w:jc w:val="center"/>
              <w:rPr>
                <w:rFonts w:hint="default" w:ascii="宋体" w:hAnsi="宋体" w:eastAsia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kern w:val="0"/>
                <w:sz w:val="21"/>
                <w:szCs w:val="21"/>
                <w:lang w:val="en-US" w:eastAsia="zh-CN"/>
              </w:rPr>
              <w:t>1</w:t>
            </w:r>
          </w:p>
        </w:tc>
      </w:tr>
      <w:tr w14:paraId="603616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CDB4AC6">
            <w:pPr>
              <w:autoSpaceDE w:val="0"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kern w:val="0"/>
                <w:sz w:val="21"/>
                <w:szCs w:val="21"/>
                <w:lang w:val="en-US" w:eastAsia="zh-CN"/>
              </w:rPr>
              <w:t>新</w:t>
            </w:r>
            <w:r>
              <w:rPr>
                <w:rFonts w:hint="eastAsia" w:ascii="宋体" w:hAnsi="宋体"/>
                <w:color w:val="000000"/>
                <w:kern w:val="0"/>
                <w:sz w:val="21"/>
                <w:szCs w:val="21"/>
              </w:rPr>
              <w:t>华三</w:t>
            </w:r>
          </w:p>
        </w:tc>
        <w:tc>
          <w:tcPr>
            <w:tcW w:w="15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8818033">
            <w:pPr>
              <w:autoSpaceDE w:val="0"/>
              <w:spacing w:line="360" w:lineRule="auto"/>
              <w:jc w:val="center"/>
              <w:rPr>
                <w:rFonts w:hint="default" w:ascii="宋体" w:hAnsi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kern w:val="0"/>
                <w:sz w:val="21"/>
                <w:szCs w:val="21"/>
                <w:lang w:val="en-US" w:eastAsia="zh-CN"/>
              </w:rPr>
              <w:t>服务器</w:t>
            </w:r>
          </w:p>
        </w:tc>
        <w:tc>
          <w:tcPr>
            <w:tcW w:w="15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068465B">
            <w:pPr>
              <w:autoSpaceDE w:val="0"/>
              <w:spacing w:line="360" w:lineRule="auto"/>
              <w:jc w:val="center"/>
              <w:rPr>
                <w:rFonts w:hint="eastAsia" w:ascii="宋体" w:hAnsi="宋体" w:eastAsia="宋体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/>
                <w:color w:val="000000"/>
                <w:kern w:val="0"/>
                <w:sz w:val="21"/>
                <w:szCs w:val="21"/>
                <w:lang w:val="en-US" w:eastAsia="zh-CN"/>
              </w:rPr>
              <w:t>117</w:t>
            </w:r>
          </w:p>
        </w:tc>
      </w:tr>
    </w:tbl>
    <w:p w14:paraId="7820B7D5">
      <w:pPr>
        <w:pStyle w:val="2"/>
        <w:numPr>
          <w:ilvl w:val="0"/>
          <w:numId w:val="1"/>
        </w:numPr>
        <w:topLinePunct w:val="0"/>
        <w:ind w:left="0" w:leftChars="0" w:firstLine="0" w:firstLineChars="0"/>
        <w:rPr>
          <w:rFonts w:hint="eastAsia" w:ascii="黑体" w:hAnsi="黑体" w:eastAsia="黑体" w:cs="黑体"/>
          <w:b w:val="0"/>
        </w:rPr>
      </w:pPr>
      <w:bookmarkStart w:id="10" w:name="_Toc2096524989"/>
      <w:r>
        <w:t>服务方案</w:t>
      </w:r>
      <w:bookmarkEnd w:id="10"/>
    </w:p>
    <w:p w14:paraId="6DCF219B">
      <w:pPr>
        <w:pStyle w:val="3"/>
        <w:numPr>
          <w:ilvl w:val="0"/>
          <w:numId w:val="3"/>
        </w:numPr>
        <w:topLinePunct w:val="0"/>
        <w:ind w:left="0" w:leftChars="0" w:firstLine="0" w:firstLineChars="0"/>
        <w:rPr>
          <w:rFonts w:hint="eastAsia" w:ascii="黑体" w:hAnsi="黑体" w:eastAsia="黑体" w:cs="黑体"/>
          <w:b w:val="0"/>
        </w:rPr>
      </w:pPr>
      <w:bookmarkStart w:id="11" w:name="_Toc383810147"/>
      <w:r>
        <w:t>维保服务时间</w:t>
      </w:r>
      <w:bookmarkEnd w:id="11"/>
    </w:p>
    <w:p w14:paraId="13EA7BDB">
      <w:pPr>
        <w:pStyle w:val="11"/>
        <w:rPr>
          <w:color w:val="000000"/>
        </w:rPr>
      </w:pPr>
      <w:bookmarkStart w:id="12" w:name="OLE_LINK7"/>
      <w:bookmarkStart w:id="13" w:name="OLE_LINK14"/>
      <w:r>
        <w:rPr>
          <w:color w:val="000000"/>
        </w:rPr>
        <w:t>项目维保周期从2026年1月1日起为期2年，具体生效时间以硬件原维保实际到期日次日开始生效，</w:t>
      </w:r>
      <w:bookmarkEnd w:id="12"/>
      <w:bookmarkEnd w:id="13"/>
      <w:r>
        <w:rPr>
          <w:color w:val="000000"/>
        </w:rPr>
        <w:t>如合同签订日期晚于硬件维保实际到期日期，则以合同签订日期的次日作为</w:t>
      </w:r>
      <w:bookmarkStart w:id="14" w:name="OLE_LINK16"/>
      <w:bookmarkStart w:id="15" w:name="OLE_LINK15"/>
      <w:r>
        <w:rPr>
          <w:color w:val="000000"/>
        </w:rPr>
        <w:t>硬件维保</w:t>
      </w:r>
      <w:bookmarkEnd w:id="14"/>
      <w:bookmarkEnd w:id="15"/>
      <w:r>
        <w:rPr>
          <w:color w:val="000000"/>
        </w:rPr>
        <w:t>服务的起始日期。</w:t>
      </w:r>
    </w:p>
    <w:p w14:paraId="3EF69411">
      <w:pPr>
        <w:pStyle w:val="3"/>
        <w:numPr>
          <w:ilvl w:val="0"/>
          <w:numId w:val="3"/>
        </w:numPr>
        <w:topLinePunct w:val="0"/>
        <w:ind w:left="0" w:leftChars="0" w:firstLine="0" w:firstLineChars="0"/>
        <w:rPr>
          <w:rFonts w:hint="eastAsia" w:ascii="黑体" w:hAnsi="黑体" w:eastAsia="黑体" w:cs="黑体"/>
          <w:b w:val="0"/>
        </w:rPr>
      </w:pPr>
      <w:bookmarkStart w:id="16" w:name="_Toc1803748688"/>
      <w:r>
        <w:t>服务内容</w:t>
      </w:r>
      <w:bookmarkEnd w:id="16"/>
    </w:p>
    <w:tbl>
      <w:tblPr>
        <w:tblStyle w:val="16"/>
        <w:tblW w:w="499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8"/>
        <w:gridCol w:w="7182"/>
      </w:tblGrid>
      <w:tr w14:paraId="455093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B433B2">
            <w:pPr>
              <w:spacing w:line="360" w:lineRule="auto"/>
              <w:jc w:val="center"/>
              <w:rPr>
                <w:b/>
                <w:color w:val="000000"/>
                <w:sz w:val="21"/>
                <w:szCs w:val="21"/>
              </w:rPr>
            </w:pPr>
            <w:r>
              <w:rPr>
                <w:rFonts w:hint="eastAsia"/>
                <w:b/>
                <w:color w:val="000000"/>
                <w:sz w:val="21"/>
                <w:szCs w:val="21"/>
              </w:rPr>
              <w:t>项目</w:t>
            </w:r>
          </w:p>
        </w:tc>
        <w:tc>
          <w:tcPr>
            <w:tcW w:w="42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34832C">
            <w:pPr>
              <w:spacing w:line="360" w:lineRule="auto"/>
              <w:jc w:val="center"/>
              <w:rPr>
                <w:b/>
                <w:color w:val="000000"/>
                <w:sz w:val="21"/>
                <w:szCs w:val="21"/>
              </w:rPr>
            </w:pPr>
            <w:r>
              <w:rPr>
                <w:rFonts w:hint="eastAsia"/>
                <w:b/>
                <w:color w:val="000000"/>
                <w:sz w:val="21"/>
                <w:szCs w:val="21"/>
              </w:rPr>
              <w:t>服务内容</w:t>
            </w:r>
          </w:p>
        </w:tc>
      </w:tr>
    </w:tbl>
    <w:p w14:paraId="223F0191">
      <w:pPr>
        <w:spacing w:line="360" w:lineRule="auto"/>
        <w:jc w:val="center"/>
        <w:textAlignment w:val="center"/>
        <w:rPr>
          <w:rFonts w:hint="eastAsia" w:ascii="宋体" w:hAnsi="宋体" w:cs="宋体"/>
          <w:color w:val="000000"/>
          <w:sz w:val="21"/>
          <w:szCs w:val="21"/>
        </w:rPr>
      </w:pPr>
      <w:r>
        <w:rPr>
          <w:rFonts w:hint="eastAsia" w:ascii="宋体" w:hAnsi="宋体" w:cs="宋体"/>
          <w:color w:val="000000"/>
          <w:sz w:val="21"/>
          <w:szCs w:val="21"/>
        </w:rPr>
        <w:br w:type="page"/>
      </w:r>
    </w:p>
    <w:tbl>
      <w:tblPr>
        <w:tblStyle w:val="16"/>
        <w:tblW w:w="499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8"/>
        <w:gridCol w:w="7182"/>
      </w:tblGrid>
      <w:tr w14:paraId="6185C2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31848E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技术服务</w:t>
            </w:r>
          </w:p>
        </w:tc>
        <w:tc>
          <w:tcPr>
            <w:tcW w:w="42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A6468E">
            <w:pPr>
              <w:spacing w:line="360" w:lineRule="auto"/>
              <w:ind w:left="-4" w:leftChars="-25" w:hanging="56" w:hangingChars="27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（1）提供设备保修服务，提供7*24小时（含节假日）电话、邮件支持和相关技术咨询服务。</w:t>
            </w:r>
          </w:p>
          <w:p w14:paraId="529823DC">
            <w:pPr>
              <w:spacing w:line="360" w:lineRule="auto"/>
              <w:ind w:left="-4" w:leftChars="-25" w:hanging="56" w:hangingChars="27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（2）提供生产系统的Linux、Windows等系统环境的运维服务，对系统的运行状态，对生产系统进行性能分析，给出针对性的优化意见和建议，提交性能分析报告。</w:t>
            </w:r>
          </w:p>
          <w:p w14:paraId="06339FF5">
            <w:pPr>
              <w:spacing w:line="360" w:lineRule="auto"/>
              <w:ind w:left="-4" w:leftChars="-25" w:hanging="56" w:hangingChars="27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（3）根据需要在重大安全保障期、应急演练、新系统上线等重要时段提供现场保障和技术支持服务。</w:t>
            </w:r>
          </w:p>
          <w:p w14:paraId="7C4CE844">
            <w:pPr>
              <w:spacing w:line="360" w:lineRule="auto"/>
              <w:ind w:left="-4" w:leftChars="-25" w:hanging="56" w:hangingChars="27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（4）根据需要为相关的技术人员提供技能培训或集中的高级技能培训、技术交流会。</w:t>
            </w:r>
          </w:p>
          <w:p w14:paraId="1143AC15">
            <w:pPr>
              <w:spacing w:line="360" w:lineRule="auto"/>
              <w:ind w:left="-4" w:leftChars="-25" w:hanging="56" w:hangingChars="27"/>
              <w:rPr>
                <w:color w:val="000000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（5）包括但不限于提供相关系统技术文档、技术服务网站等。</w:t>
            </w:r>
          </w:p>
        </w:tc>
      </w:tr>
      <w:tr w14:paraId="3A7812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F1D0DA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紧急事件响应处理</w:t>
            </w:r>
          </w:p>
        </w:tc>
        <w:tc>
          <w:tcPr>
            <w:tcW w:w="42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E18CF3">
            <w:pPr>
              <w:spacing w:line="360" w:lineRule="auto"/>
              <w:rPr>
                <w:rFonts w:ascii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服务商提供7*24小时专人应急服务热线，接到应急报障后5分钟内通过电话进行应急响应支持，在工作时间内，工程师必须1小时内到达现场，非工作时间4小时内到达现场进行技术支持。</w:t>
            </w:r>
          </w:p>
        </w:tc>
      </w:tr>
      <w:tr w14:paraId="3C5E86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6023C5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系统巡检和报告</w:t>
            </w:r>
          </w:p>
        </w:tc>
        <w:tc>
          <w:tcPr>
            <w:tcW w:w="42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BF1DD9">
            <w:pPr>
              <w:spacing w:line="360" w:lineRule="auto"/>
              <w:ind w:left="-4" w:leftChars="-25" w:hanging="56" w:hangingChars="27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（1）针对被维保设备和系统提供每月一次的现场巡检服务，巡检完成后5个工作日内提供书面的巡检报告。</w:t>
            </w:r>
          </w:p>
          <w:p w14:paraId="3385867A">
            <w:pPr>
              <w:spacing w:line="360" w:lineRule="auto"/>
              <w:ind w:left="-4" w:leftChars="-25" w:hanging="56" w:hangingChars="27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（2）根据巡检结果对系统进行优化和报警处理。</w:t>
            </w:r>
          </w:p>
          <w:p w14:paraId="0D4D1DEF">
            <w:pPr>
              <w:spacing w:line="360" w:lineRule="auto"/>
              <w:ind w:left="-4" w:leftChars="-25" w:hanging="56" w:hangingChars="27"/>
              <w:rPr>
                <w:rFonts w:ascii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（3）季度、年度服务完成后，提供详细的服务报告。</w:t>
            </w:r>
          </w:p>
        </w:tc>
      </w:tr>
      <w:tr w14:paraId="3B8ECF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206B46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备件要求</w:t>
            </w:r>
          </w:p>
        </w:tc>
        <w:tc>
          <w:tcPr>
            <w:tcW w:w="42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0C8266">
            <w:pPr>
              <w:spacing w:line="360" w:lineRule="auto"/>
              <w:ind w:left="-4" w:leftChars="-25" w:hanging="56" w:hangingChars="27"/>
              <w:rPr>
                <w:rFonts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（1）服务商需根据采购人提出的重要生产设备的关键部件清单预存备件。</w:t>
            </w:r>
          </w:p>
          <w:p w14:paraId="3B3832B3">
            <w:pPr>
              <w:spacing w:line="360" w:lineRule="auto"/>
              <w:ind w:left="-4" w:leftChars="-25" w:hanging="56" w:hangingChars="27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（2）服务商所供备件必须通过正当渠道采购，为原厂或原厂家认可正品。</w:t>
            </w:r>
          </w:p>
          <w:p w14:paraId="265872C1">
            <w:pPr>
              <w:spacing w:line="360" w:lineRule="auto"/>
              <w:ind w:left="-4" w:leftChars="-25" w:hanging="56" w:hangingChars="27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（3）如故障设备在8小时内不能修复，且严重影响业务运行，服务商在故障确认后12小时内向采购人免费提供应急设备。</w:t>
            </w:r>
          </w:p>
          <w:p w14:paraId="531ECA05">
            <w:pPr>
              <w:spacing w:line="360" w:lineRule="auto"/>
              <w:ind w:left="-4" w:leftChars="-25" w:hanging="56" w:hangingChars="27"/>
              <w:rPr>
                <w:rFonts w:ascii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（4）故障硬盘替换下后由采购人自行处理。</w:t>
            </w:r>
          </w:p>
        </w:tc>
      </w:tr>
    </w:tbl>
    <w:p w14:paraId="4D874A74">
      <w:pPr>
        <w:spacing w:line="360" w:lineRule="auto"/>
        <w:jc w:val="center"/>
        <w:textAlignment w:val="center"/>
        <w:rPr>
          <w:rFonts w:hint="eastAsia" w:ascii="宋体" w:hAnsi="宋体" w:cs="宋体"/>
          <w:color w:val="000000"/>
          <w:sz w:val="21"/>
          <w:szCs w:val="21"/>
        </w:rPr>
      </w:pPr>
      <w:r>
        <w:rPr>
          <w:rFonts w:hint="eastAsia" w:ascii="宋体" w:hAnsi="宋体" w:cs="宋体"/>
          <w:color w:val="000000"/>
          <w:sz w:val="21"/>
          <w:szCs w:val="21"/>
        </w:rPr>
        <w:br w:type="page"/>
      </w:r>
      <w:bookmarkStart w:id="18" w:name="_GoBack"/>
      <w:bookmarkEnd w:id="18"/>
    </w:p>
    <w:tbl>
      <w:tblPr>
        <w:tblStyle w:val="16"/>
        <w:tblW w:w="499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8"/>
        <w:gridCol w:w="7182"/>
      </w:tblGrid>
      <w:tr w14:paraId="413329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CF7D3F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 w:val="21"/>
                <w:szCs w:val="21"/>
              </w:rPr>
              <w:t>文档要求</w:t>
            </w:r>
          </w:p>
        </w:tc>
        <w:tc>
          <w:tcPr>
            <w:tcW w:w="42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4B8863">
            <w:pPr>
              <w:spacing w:line="360" w:lineRule="auto"/>
              <w:ind w:left="-4" w:leftChars="-25" w:hanging="56" w:hangingChars="27"/>
              <w:rPr>
                <w:rFonts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（1）《故障应急处理报告》，内容包括但不限于：故障报障和响应记录、故障现象、故障处理过程、故障处理结果。</w:t>
            </w:r>
          </w:p>
          <w:p w14:paraId="1F1101EB">
            <w:pPr>
              <w:spacing w:line="360" w:lineRule="auto"/>
              <w:ind w:left="-4" w:leftChars="-25" w:hanging="56" w:hangingChars="27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（2）《故障分析报告》，内容包括但不限于：故障发生时间、故障现象、故障原因分析、故障解决方案、故障预防措施。</w:t>
            </w:r>
          </w:p>
          <w:p w14:paraId="41E67077">
            <w:pPr>
              <w:spacing w:line="360" w:lineRule="auto"/>
              <w:ind w:left="-4" w:leftChars="-25" w:hanging="56" w:hangingChars="27"/>
              <w:rPr>
                <w:rFonts w:ascii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（3）《维护保修服务技术档案》，内容包括但不限于：被保修设备/软件序列号及许可证证信息、故障时间、报告人员、故障类型、故障原因、维护方法、维护质量、预防措施、维护时间和维护人员、提交件等信息。按设备/软件编写。</w:t>
            </w:r>
          </w:p>
        </w:tc>
      </w:tr>
    </w:tbl>
    <w:p w14:paraId="720BAB97">
      <w:pPr>
        <w:spacing w:line="360" w:lineRule="auto"/>
        <w:ind w:firstLine="420" w:firstLineChars="200"/>
        <w:rPr>
          <w:rFonts w:hint="eastAsia"/>
          <w:color w:val="000000"/>
          <w:sz w:val="21"/>
          <w:szCs w:val="21"/>
        </w:rPr>
      </w:pPr>
    </w:p>
    <w:p w14:paraId="3651BD01">
      <w:pPr>
        <w:spacing w:line="360" w:lineRule="auto"/>
        <w:ind w:firstLine="420" w:firstLineChars="200"/>
        <w:rPr>
          <w:rFonts w:hint="eastAsia"/>
          <w:color w:val="000000"/>
          <w:sz w:val="21"/>
          <w:szCs w:val="21"/>
        </w:rPr>
      </w:pPr>
    </w:p>
    <w:p w14:paraId="450E8903">
      <w:pPr>
        <w:spacing w:line="360" w:lineRule="auto"/>
        <w:ind w:firstLine="420" w:firstLineChars="200"/>
        <w:rPr>
          <w:rFonts w:hint="eastAsia"/>
          <w:color w:val="000000"/>
          <w:sz w:val="21"/>
          <w:szCs w:val="21"/>
        </w:rPr>
      </w:pPr>
    </w:p>
    <w:p w14:paraId="43C01289">
      <w:pPr>
        <w:spacing w:line="360" w:lineRule="auto"/>
        <w:ind w:firstLine="420" w:firstLineChars="200"/>
        <w:rPr>
          <w:rFonts w:hint="eastAsia"/>
          <w:color w:val="000000"/>
          <w:sz w:val="21"/>
          <w:szCs w:val="21"/>
        </w:rPr>
      </w:pPr>
    </w:p>
    <w:p w14:paraId="4CE10281">
      <w:pPr>
        <w:spacing w:line="360" w:lineRule="auto"/>
        <w:ind w:firstLine="420" w:firstLineChars="200"/>
        <w:rPr>
          <w:rFonts w:hint="eastAsia"/>
          <w:color w:val="000000"/>
          <w:sz w:val="21"/>
          <w:szCs w:val="21"/>
        </w:rPr>
      </w:pPr>
    </w:p>
    <w:p w14:paraId="333BDF7D">
      <w:pPr>
        <w:spacing w:line="360" w:lineRule="auto"/>
        <w:ind w:firstLine="420" w:firstLineChars="200"/>
        <w:rPr>
          <w:rFonts w:hint="eastAsia"/>
          <w:color w:val="000000"/>
          <w:sz w:val="21"/>
          <w:szCs w:val="21"/>
        </w:rPr>
      </w:pPr>
    </w:p>
    <w:p w14:paraId="596181E4">
      <w:pPr>
        <w:spacing w:line="360" w:lineRule="auto"/>
        <w:ind w:firstLine="420" w:firstLineChars="200"/>
        <w:rPr>
          <w:rFonts w:hint="eastAsia"/>
          <w:color w:val="000000"/>
          <w:sz w:val="21"/>
          <w:szCs w:val="21"/>
        </w:rPr>
      </w:pPr>
    </w:p>
    <w:p w14:paraId="2EE3D272">
      <w:pPr>
        <w:spacing w:line="360" w:lineRule="auto"/>
        <w:ind w:firstLine="420" w:firstLineChars="200"/>
        <w:rPr>
          <w:rFonts w:hint="eastAsia"/>
          <w:color w:val="000000"/>
          <w:sz w:val="21"/>
          <w:szCs w:val="21"/>
        </w:rPr>
      </w:pPr>
    </w:p>
    <w:p w14:paraId="3A07DDEF">
      <w:pPr>
        <w:spacing w:line="360" w:lineRule="auto"/>
        <w:ind w:firstLine="420" w:firstLineChars="200"/>
        <w:rPr>
          <w:rFonts w:hint="eastAsia"/>
          <w:color w:val="000000"/>
          <w:sz w:val="21"/>
          <w:szCs w:val="21"/>
        </w:rPr>
      </w:pPr>
    </w:p>
    <w:p w14:paraId="174A0C55">
      <w:pPr>
        <w:spacing w:line="360" w:lineRule="auto"/>
        <w:ind w:firstLine="420" w:firstLineChars="200"/>
        <w:rPr>
          <w:rFonts w:hint="eastAsia"/>
          <w:color w:val="000000"/>
          <w:sz w:val="21"/>
          <w:szCs w:val="21"/>
        </w:rPr>
      </w:pPr>
    </w:p>
    <w:p w14:paraId="71AE35E7">
      <w:pPr>
        <w:spacing w:line="360" w:lineRule="auto"/>
        <w:ind w:firstLine="420" w:firstLineChars="200"/>
        <w:rPr>
          <w:rFonts w:hint="eastAsia"/>
          <w:color w:val="000000"/>
          <w:sz w:val="21"/>
          <w:szCs w:val="21"/>
        </w:rPr>
      </w:pPr>
    </w:p>
    <w:p w14:paraId="2243B248">
      <w:pPr>
        <w:spacing w:line="360" w:lineRule="auto"/>
        <w:ind w:firstLine="420" w:firstLineChars="200"/>
        <w:rPr>
          <w:rFonts w:hint="eastAsia"/>
          <w:color w:val="000000"/>
          <w:sz w:val="21"/>
          <w:szCs w:val="21"/>
        </w:rPr>
      </w:pPr>
    </w:p>
    <w:p w14:paraId="074C4B0E">
      <w:pPr>
        <w:spacing w:line="360" w:lineRule="auto"/>
        <w:ind w:firstLine="420" w:firstLineChars="200"/>
        <w:rPr>
          <w:rFonts w:hint="eastAsia"/>
          <w:color w:val="000000"/>
          <w:sz w:val="21"/>
          <w:szCs w:val="21"/>
        </w:rPr>
      </w:pPr>
    </w:p>
    <w:p w14:paraId="3369C17E">
      <w:pPr>
        <w:spacing w:line="360" w:lineRule="auto"/>
        <w:ind w:firstLine="420" w:firstLineChars="200"/>
        <w:rPr>
          <w:rFonts w:hint="eastAsia"/>
          <w:color w:val="000000"/>
          <w:sz w:val="21"/>
          <w:szCs w:val="21"/>
        </w:rPr>
      </w:pPr>
    </w:p>
    <w:p w14:paraId="26D4C977">
      <w:pPr>
        <w:spacing w:line="360" w:lineRule="auto"/>
        <w:ind w:firstLine="420" w:firstLineChars="200"/>
        <w:rPr>
          <w:rFonts w:hint="eastAsia"/>
          <w:color w:val="000000"/>
          <w:sz w:val="21"/>
          <w:szCs w:val="21"/>
        </w:rPr>
      </w:pPr>
    </w:p>
    <w:p w14:paraId="07560BF2">
      <w:pPr>
        <w:spacing w:line="360" w:lineRule="auto"/>
        <w:ind w:firstLine="420" w:firstLineChars="200"/>
        <w:rPr>
          <w:rFonts w:hint="eastAsia"/>
          <w:color w:val="000000"/>
          <w:sz w:val="21"/>
          <w:szCs w:val="21"/>
        </w:rPr>
      </w:pPr>
    </w:p>
    <w:p w14:paraId="09EB84FB">
      <w:pPr>
        <w:spacing w:line="360" w:lineRule="auto"/>
        <w:ind w:firstLine="420" w:firstLineChars="200"/>
        <w:rPr>
          <w:rFonts w:hint="eastAsia"/>
          <w:color w:val="000000"/>
          <w:sz w:val="21"/>
          <w:szCs w:val="21"/>
        </w:rPr>
      </w:pPr>
    </w:p>
    <w:p w14:paraId="5EEA85E0">
      <w:pPr>
        <w:spacing w:line="360" w:lineRule="auto"/>
        <w:ind w:firstLine="420" w:firstLineChars="200"/>
        <w:rPr>
          <w:rFonts w:hint="eastAsia"/>
          <w:color w:val="000000"/>
          <w:sz w:val="21"/>
          <w:szCs w:val="21"/>
        </w:rPr>
      </w:pPr>
    </w:p>
    <w:p w14:paraId="0CAB4334">
      <w:pPr>
        <w:spacing w:line="360" w:lineRule="auto"/>
        <w:ind w:firstLine="420" w:firstLineChars="200"/>
        <w:rPr>
          <w:rFonts w:hint="eastAsia"/>
          <w:color w:val="000000"/>
          <w:sz w:val="21"/>
          <w:szCs w:val="21"/>
        </w:rPr>
      </w:pPr>
    </w:p>
    <w:p w14:paraId="5BAF955D">
      <w:pPr>
        <w:spacing w:line="360" w:lineRule="auto"/>
        <w:ind w:firstLine="420" w:firstLineChars="200"/>
        <w:rPr>
          <w:rFonts w:hint="eastAsia"/>
          <w:color w:val="000000"/>
          <w:sz w:val="21"/>
          <w:szCs w:val="21"/>
        </w:rPr>
      </w:pPr>
    </w:p>
    <w:p w14:paraId="5344DCAA">
      <w:pPr>
        <w:spacing w:line="360" w:lineRule="auto"/>
        <w:ind w:firstLine="420" w:firstLineChars="200"/>
        <w:rPr>
          <w:rFonts w:hint="eastAsia"/>
          <w:color w:val="000000"/>
          <w:sz w:val="21"/>
          <w:szCs w:val="21"/>
        </w:rPr>
      </w:pPr>
    </w:p>
    <w:p w14:paraId="720A1683">
      <w:pPr>
        <w:spacing w:line="360" w:lineRule="auto"/>
        <w:outlineLvl w:val="0"/>
        <w:rPr>
          <w:rFonts w:hint="eastAsia" w:ascii="宋体" w:hAnsi="宋体"/>
          <w:b/>
          <w:color w:val="000000"/>
          <w:sz w:val="21"/>
          <w:szCs w:val="21"/>
        </w:rPr>
      </w:pPr>
      <w:bookmarkStart w:id="17" w:name="_Toc1725038164"/>
      <w:r>
        <w:rPr>
          <w:rFonts w:hint="eastAsia" w:ascii="宋体" w:hAnsi="宋体"/>
          <w:b/>
          <w:color w:val="000000"/>
          <w:sz w:val="21"/>
          <w:szCs w:val="21"/>
        </w:rPr>
        <w:t>附表1：维保清单</w:t>
      </w:r>
      <w:bookmarkEnd w:id="17"/>
    </w:p>
    <w:tbl>
      <w:tblPr>
        <w:tblStyle w:val="16"/>
        <w:tblW w:w="8654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6"/>
        <w:gridCol w:w="1007"/>
        <w:gridCol w:w="2760"/>
        <w:gridCol w:w="2416"/>
        <w:gridCol w:w="1512"/>
      </w:tblGrid>
      <w:tr w14:paraId="069CA1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7AD2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4F1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品牌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02B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型号</w:t>
            </w:r>
          </w:p>
        </w:tc>
        <w:tc>
          <w:tcPr>
            <w:tcW w:w="2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79D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SN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88F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维保到期时间</w:t>
            </w:r>
          </w:p>
        </w:tc>
      </w:tr>
      <w:tr w14:paraId="6A3772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9BB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631B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18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337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HTK26V2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B26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26AECC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FE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DBA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6A8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F0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HVFY5V2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2F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175120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3AA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190F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A1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C1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HTK0ST2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A57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3CA3AB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3D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36F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03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D0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HTJZ5V2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80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5CCA83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3F7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EB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B1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99D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HVG1ST2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2F5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622D0B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5C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9ED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C5B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A9B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HTJXRT2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31A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066589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54C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5BC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3E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83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HVFZRT2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35A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79747E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810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A9B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0AF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7A0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210200A011H191000825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BE3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60A17E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9E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CAD0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557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BB5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210200A011H191000810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27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15E1D3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A18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E97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4082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99BF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210200A011H191000815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379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72C598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2F6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A2A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526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183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210200A011H191000821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A000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1B35C0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3B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D642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79C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993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210235A2CR6204F001M3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EF8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408DD6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C07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F1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A19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8A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3TD9263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17C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63302D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1A0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FBE7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297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ACB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210235A2CR6204F001M0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8A5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231F87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8F3D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B483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72F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5C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210235A2CR6204F001LS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9F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38844F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3674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72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925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5A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210235A2CR6204F001M5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885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1308F1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4A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61B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654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47C5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210235A2CR6204F001LR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9F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343D6C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052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EEE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C3E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930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210235A2CR6204F001M1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2C39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2D95DB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A6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4E6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0AF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E6E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210200A011H191000813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A39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20D0E2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D53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2CA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9ED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ED2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210200A011H191000828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311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406305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DC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4E1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51B0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456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210200A011H191000820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8E5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771B36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059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79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FF0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79D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210200A011H191000818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6EB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505484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80C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7C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5AE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14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210200A011H191000824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BAD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6E1CFA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0DF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286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3D4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CEA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210200A011H191000826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A5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5039D0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C77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76A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753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A8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210200A011H192000038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489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6F8145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A8C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AB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574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946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210200A011H191000795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BC8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5F1BA9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3B0D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800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9C3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E2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210200A011H191000797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9CB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6DE1F1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E6E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120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EB64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83D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210200A011H191000798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0C9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6C865F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9D78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2CC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BF8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6FE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210200A011H191000809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FAD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348CBA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DB9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0F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65F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97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210235A3M7H191000041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B9E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316827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49B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DF8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502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939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210200A011H191000801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A11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5404A6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68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E203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F7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E50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210200A011H191000796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92F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20C008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011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0D7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CB3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751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210235A3M6H192000009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444F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316654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672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E3D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3194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32A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210200A011H191000817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635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10918B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09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107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2D2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A8A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HVGJBT2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20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79ABB8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46A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CCD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12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749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HTJX5V2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D14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193F20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AD5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6C9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D189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90C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HVGVRT2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4B4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53AA4F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728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19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山石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9488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SG-6000-HSA-10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AD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200625736485594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B8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66F950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791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BAB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238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639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210200A011H195000661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E51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7440D5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17EC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42E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6461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80A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210200A011H195000669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B6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380268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BD0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D1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869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F1E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210200A011H195000660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BF8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508D3B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A8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1290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EB0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778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210200A011H195000668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403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017D0C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06A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1B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DE7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0AFC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210200A011H195000663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370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25F97D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A3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C13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C5F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97E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210200A011H195000659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24D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379E70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566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10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07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DF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210200A011H195000667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69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3258BB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FD6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2ED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27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D0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210200A011H195000665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846E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2BCE73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06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9B4C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6DDF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AD9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210200A011H195000666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35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63184D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E90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06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4A3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B6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210200A011H195000662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A5FC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3B64C5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378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7D45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E0B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83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210200A011H195000670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960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71D609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84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4D8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62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1A41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210200A011H195000664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73FC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22108C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53A7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B62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0DF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320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210200A011H191000816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83B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2BCA68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264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5F7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EB1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F81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210200A011H191000811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FD71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2888C5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FA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703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9AFD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4B7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210200A011H191000830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B5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4EF62E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51B9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9F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826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E809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210200A011H191000806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2C3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588F3D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9D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9A1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AFD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175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210200A011H191000807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9B2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4A85DF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15B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B71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9D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5B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210200A011H191000804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46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41E74B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86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EDF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7C3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E7A6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210200A011H191000805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D3C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3D467E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A87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2B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1B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5EA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210200A011H191000803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AE8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68547F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75D1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86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9F6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922F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210231A7J7H193000010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CF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0A6848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077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8EEE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DE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720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210200A011H191000800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094E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3542FD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184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E37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98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64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210200A011H191000799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5A8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0CAEB6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7D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4C70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95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739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210235A2CR6204F001KR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D00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42DF12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B93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6B8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F7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3F5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210235A2CR6204F001LN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CE7C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6DF249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797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64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9D7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D34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3A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210235A2CR6204F001LP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8F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6DE484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DF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744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C23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1AF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210235A2CR6204F001LW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A36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338464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829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66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BED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792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8B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210235A2CR6204F001LM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1D7C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30C0BF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524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67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FD4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0D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96B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210235A2CR6204F001L2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72B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589973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0A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9B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002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7D3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210235A2CR6204F001KX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687D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5BD4CC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063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0975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B0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1C0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210200A011H191000823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A3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6554BF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AC9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D2E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63D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917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210200A011H191000829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9A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4E4E47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09B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C73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EE5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620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210200A011H191000814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E8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411812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DB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DA6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02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F1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210200A011H191000827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6A3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5F2D99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57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005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D46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A77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210200A011H191000822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2F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250899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E64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E09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706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083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210235A2CR6204F001LJ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F0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47F466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A7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19E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452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E52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210235A2CR6204F001KV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FC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659D46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57C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84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33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D9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210235A2CR6204F001L9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C9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46FB40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99CA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77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13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19F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63D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210235A2CR6204F001L8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EEA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6456CE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D3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CA9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1B8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889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9B1TM03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900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5BB906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983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BF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426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AB37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210235A2CR6204F001L0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816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241D62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3A41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52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A2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8D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210235A2CR6204F001L3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EF8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171A69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6B2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A9D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99F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E9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210235A2CR6204F001KY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617D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49CDD5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CB1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301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37D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C1E1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210235A2CR6204F001L4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31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22854B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E0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0404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ABB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24E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210235A2CR6204F001LB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86F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093B65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F1E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495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F4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0D8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210235A2CR6204F001KT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174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1EFB56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37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99A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BA6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FD7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210235A2CR6204F001KF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080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6B0223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50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F0F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4B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AE2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210235A2CR6204F001KN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92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435FD2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8C23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5B0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67C1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3CA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210235A2CR6204F001KM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508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0D977B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DE4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67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8EE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FDD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210235A2CR6204F001KK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0C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5CDE59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966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89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F7B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023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6FC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210200A011H191000812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08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71A949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F8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260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411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B11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210235A2CR6204F001KL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C9F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3E9B31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0B0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91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3DA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EF2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09B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210235A2CR6204F001KJ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927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0FAB99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AED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E2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22F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53D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210235A2CR6204F001LG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44C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1FF339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9693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1DDA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903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C35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210235A2CR6204F001LK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8C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09B39C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358A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6C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2C01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6A32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210235A2CR6204F001LV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83A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0DC3A3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669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C2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4EF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E62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7GCF263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FD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5B1CC9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242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96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E7AA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AE67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F0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7GCD263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946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3B3DDD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66B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954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17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BAA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7GCG263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E81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60467C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F89D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E1E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4B3A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C6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7GCB263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76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76EFA7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83E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23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C4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D1D3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7GCC263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1FE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2EF432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61F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428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DF8D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101E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746G263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AFC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28A178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3BAC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0C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15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1C31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745H263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DF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7F3B83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CB8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C77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291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77C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7GCK263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5FD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7FDEB2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00BA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BE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93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4B5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747C263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EC1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1B6EFC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65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104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182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52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F03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3TCH263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24A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6FD7D3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BC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82F9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4D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5D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3R6YJ13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B3F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3952D2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6F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106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0F8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1F8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43A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3R4VJ13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987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52B9D8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136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107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A40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37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254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3R5YJ13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FB7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181916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08CC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108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500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83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4B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3R80K13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85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37E4C5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BD3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D13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22A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D4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3R90K13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6F86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17EC38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E5C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1C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7399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462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25QYJ13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FE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2FB208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2ED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111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39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977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AC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27J0K13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DF2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3C7663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9D0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112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68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10A5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26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27HWJ13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3D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1D4FEC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1D7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113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28D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91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B5C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2ZHYJ13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567F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45925B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40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9B7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19A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073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9B3QM03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C14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5375EE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373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115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5BF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E75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53E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9B5RM03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78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6407EF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26F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6C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C8C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9E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9B8SM03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8B4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03CFEF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B45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117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9FB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394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A51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9B6WM03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AC6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185A7D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A61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118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D2A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CC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11A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9B1SM03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816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07C2AA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A51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119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938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1A9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75E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7Z9SM03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13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7C7E02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15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957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D2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9A8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7Z9VM03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91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5CFC69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D4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121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A4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EA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F8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7ZBVM03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582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33D954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D5B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122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1C92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70DF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A82C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210235A2CR6204F001KW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025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725402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35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123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4C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2E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7EF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210235A2CR6204F001L7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81D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7A8423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8A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124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CED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1E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47B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210235A2CR6204F001L5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528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3B368F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457F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125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5FA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B5E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D28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210235A2CR6204F001L6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2E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0EE427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538C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126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E8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D5D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308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210235A2CR6204F001HC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5EB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737E4D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209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127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6B4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D1B0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846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210235A2CR6204F001HD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B44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05A5A3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A79C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128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AEC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C27D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899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210235A2CR6204F001HB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068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279C7E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F609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129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C74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E0F3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85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210235A2CR6204F001H8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6611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332AE9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944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A8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47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3C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210235A2CR6204F001H9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A7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594CF4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341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74E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B2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0E7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210235A2CR6204F001H5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26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2F2A21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89B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80B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02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5D6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210235A2CR6204F001H6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B1C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1A78D5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92B4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133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650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D3D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CF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210235A2CR6204F001HF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981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4510D1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5AA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38D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A63C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4EFB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210235A2CR6204F001HG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EF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4001DA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02E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F6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32E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3C65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210235A2CR6204F001H7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25A4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4459C9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CE3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197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2F7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R440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BFA5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7J1G263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779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5CE614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1B7F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11B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784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AAE8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210235A2CR6204F001LX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70A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7DC37C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F0E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886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A3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D52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210235A2CR6204F001LH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F476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7A5EA9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6D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D5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C5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39E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210235A2CR6204F001LT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928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14D717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AAD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140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C2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099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918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210235A2CR6204F001KS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7D4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494FC4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5E7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141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7F3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AAB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9599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210235A2CR6204F001KP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E361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4EF499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359C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142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D13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943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83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210235A2CR6204F001KQ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2C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09CCAB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CF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10C1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2392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50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210235A2CR6204F001LZ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F70B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15DFD3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E87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144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8FE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9BC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BC0C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210235A2CR6204F001LY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15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180A9A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F65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145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527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60D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8A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210235A2CR6204F001M2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1AE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49FD30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B0F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146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873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939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4F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210235A2CR6204F001M4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E8BB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087113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A32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147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6E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0A7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597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210200A011H195000658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FC3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0941A7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32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148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F7D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75C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9D3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210200A011H195000657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663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7D86FB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85D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149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9AB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65B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C8D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210200A011H195000676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73A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272185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3AB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786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226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0F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210200A011H195000677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14CD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229FB0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57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842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B6C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F1DC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210200A011H195000675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DC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1AB00A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781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152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43F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89B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50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210200A011H195000674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00F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144881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101E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153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983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51E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D93D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210200A011H195000673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1E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108E41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F1F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154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59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EF3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62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210200A011H195000672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F67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557589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F6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36E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AC2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UIS-Cell 3040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7B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210200A011H195000671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D5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07BB97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812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DF0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戴尔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A6D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Dell R420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8AE3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J64G002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3B02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1D3825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9461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157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5BA2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1DC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B7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210235A2CR6204F001KG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253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2F11A0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30A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B6DB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新华三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CC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H3C UniServer R4900 G3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A5D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210235A2CR6204F001KH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F59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2025-12-31</w:t>
            </w:r>
          </w:p>
        </w:tc>
      </w:tr>
      <w:tr w14:paraId="7F0AF4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AEA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159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B1F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华为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49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S5720S-28P-Li-AC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45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21980105782SKA605289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D68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493247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724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22E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华为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06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S5720S-28P-Li-AC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4DF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21980105782SM1500838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CCD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  <w:tr w14:paraId="59EB3F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5870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161</w:t>
            </w:r>
          </w:p>
        </w:tc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8B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华为</w:t>
            </w:r>
          </w:p>
        </w:tc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EAA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S5735S-S24T4S-A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CA1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21980109392SKC600207</w:t>
            </w:r>
          </w:p>
        </w:tc>
        <w:tc>
          <w:tcPr>
            <w:tcW w:w="1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502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2026-12-31</w:t>
            </w:r>
          </w:p>
        </w:tc>
      </w:tr>
    </w:tbl>
    <w:p w14:paraId="6208CFD2">
      <w:pPr>
        <w:spacing w:line="360" w:lineRule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ABEA178"/>
    <w:multiLevelType w:val="singleLevel"/>
    <w:tmpl w:val="8ABEA178"/>
    <w:lvl w:ilvl="0" w:tentative="0">
      <w:start w:val="1"/>
      <w:numFmt w:val="chineseCounting"/>
      <w:suff w:val="nothing"/>
      <w:lvlText w:val="%1、"/>
      <w:lvlJc w:val="left"/>
      <w:pPr>
        <w:ind w:left="0" w:firstLine="0"/>
      </w:pPr>
      <w:rPr>
        <w:rFonts w:hint="eastAsia"/>
      </w:rPr>
    </w:lvl>
  </w:abstractNum>
  <w:abstractNum w:abstractNumId="1">
    <w:nsid w:val="F0DA0973"/>
    <w:multiLevelType w:val="singleLevel"/>
    <w:tmpl w:val="F0DA0973"/>
    <w:lvl w:ilvl="0" w:tentative="0">
      <w:start w:val="1"/>
      <w:numFmt w:val="decimal"/>
      <w:suff w:val="nothing"/>
      <w:lvlText w:val="%1、"/>
      <w:lvlJc w:val="left"/>
      <w:pPr>
        <w:ind w:left="0" w:firstLine="0"/>
      </w:pPr>
      <w:rPr>
        <w:rFonts w:hint="default"/>
      </w:rPr>
    </w:lvl>
  </w:abstractNum>
  <w:abstractNum w:abstractNumId="2">
    <w:nsid w:val="F3B680A7"/>
    <w:multiLevelType w:val="singleLevel"/>
    <w:tmpl w:val="F3B680A7"/>
    <w:lvl w:ilvl="0" w:tentative="0">
      <w:start w:val="1"/>
      <w:numFmt w:val="decimal"/>
      <w:suff w:val="space"/>
      <w:lvlText w:val="3.%1"/>
      <w:lvlJc w:val="left"/>
      <w:pPr>
        <w:tabs>
          <w:tab w:val="left" w:pos="0"/>
        </w:tabs>
        <w:ind w:left="0" w:firstLine="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ADBECF5"/>
    <w:rsid w:val="04C14F15"/>
    <w:rsid w:val="07F710F0"/>
    <w:rsid w:val="1FCA6EC8"/>
    <w:rsid w:val="1FF6C4E3"/>
    <w:rsid w:val="313F23C4"/>
    <w:rsid w:val="3AFFE15B"/>
    <w:rsid w:val="3CFD55CD"/>
    <w:rsid w:val="3EDF6AAB"/>
    <w:rsid w:val="4B6F4964"/>
    <w:rsid w:val="5D7FEFB1"/>
    <w:rsid w:val="5E978D4E"/>
    <w:rsid w:val="5FBD6276"/>
    <w:rsid w:val="63F59170"/>
    <w:rsid w:val="67FA78C7"/>
    <w:rsid w:val="67FDD641"/>
    <w:rsid w:val="6BBDE7B2"/>
    <w:rsid w:val="6CAF48D0"/>
    <w:rsid w:val="6E7FF219"/>
    <w:rsid w:val="6EE37182"/>
    <w:rsid w:val="71DBCD24"/>
    <w:rsid w:val="72EB0CDC"/>
    <w:rsid w:val="73FB8C8B"/>
    <w:rsid w:val="76FB3AEB"/>
    <w:rsid w:val="76FEACB3"/>
    <w:rsid w:val="77FFEC2C"/>
    <w:rsid w:val="7AE5E814"/>
    <w:rsid w:val="7BF60614"/>
    <w:rsid w:val="7BFB705A"/>
    <w:rsid w:val="7DFE3FF6"/>
    <w:rsid w:val="7EFBF14B"/>
    <w:rsid w:val="7EFE6CFD"/>
    <w:rsid w:val="7F6E32DF"/>
    <w:rsid w:val="7FDA5203"/>
    <w:rsid w:val="7FEE02E5"/>
    <w:rsid w:val="7FF72B8D"/>
    <w:rsid w:val="7FFA6483"/>
    <w:rsid w:val="7FFF13FD"/>
    <w:rsid w:val="93CB6782"/>
    <w:rsid w:val="9EA665FC"/>
    <w:rsid w:val="9FBD466D"/>
    <w:rsid w:val="A5FFF18E"/>
    <w:rsid w:val="A7BB3204"/>
    <w:rsid w:val="B42DEEA9"/>
    <w:rsid w:val="BBCF6D60"/>
    <w:rsid w:val="BFEF62B6"/>
    <w:rsid w:val="BFFF0D1C"/>
    <w:rsid w:val="CDFB13AD"/>
    <w:rsid w:val="D5F8D3B8"/>
    <w:rsid w:val="DD5FC8DA"/>
    <w:rsid w:val="DFF1D17A"/>
    <w:rsid w:val="E2DB2289"/>
    <w:rsid w:val="E4965BCF"/>
    <w:rsid w:val="E6DE7F3D"/>
    <w:rsid w:val="E9FD1BA3"/>
    <w:rsid w:val="EADBECF5"/>
    <w:rsid w:val="EF7B9051"/>
    <w:rsid w:val="EFCF4C97"/>
    <w:rsid w:val="F55F7F1A"/>
    <w:rsid w:val="F5FF3A65"/>
    <w:rsid w:val="F6BFD5A3"/>
    <w:rsid w:val="F77753A9"/>
    <w:rsid w:val="F7FDAE9D"/>
    <w:rsid w:val="FD7B77C0"/>
    <w:rsid w:val="FEFF1ACD"/>
    <w:rsid w:val="FF5BFD9A"/>
    <w:rsid w:val="FF5F8F2C"/>
    <w:rsid w:val="FFBFAA90"/>
    <w:rsid w:val="FFDAD8F8"/>
    <w:rsid w:val="FFF52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ahoma" w:hAnsi="Tahoma" w:eastAsia="宋体" w:cs="Times New Roman"/>
      <w:kern w:val="2"/>
      <w:sz w:val="24"/>
      <w:szCs w:val="24"/>
      <w:lang w:val="en-US" w:eastAsia="zh-CN" w:bidi="ar-SA"/>
    </w:rPr>
  </w:style>
  <w:style w:type="paragraph" w:styleId="2">
    <w:name w:val="heading 1"/>
    <w:next w:val="1"/>
    <w:qFormat/>
    <w:uiPriority w:val="0"/>
    <w:pPr>
      <w:widowControl w:val="0"/>
      <w:adjustRightInd w:val="0"/>
      <w:spacing w:before="320" w:line="300" w:lineRule="auto"/>
      <w:jc w:val="both"/>
      <w:outlineLvl w:val="0"/>
    </w:pPr>
    <w:rPr>
      <w:rFonts w:ascii="Times New Roman" w:hAnsi="Times New Roman" w:eastAsia="黑体" w:cs="Times New Roman"/>
      <w:color w:val="000000"/>
      <w:kern w:val="44"/>
      <w:sz w:val="32"/>
      <w:szCs w:val="44"/>
      <w:lang w:bidi="ar-SA"/>
    </w:rPr>
  </w:style>
  <w:style w:type="paragraph" w:styleId="3">
    <w:name w:val="heading 2"/>
    <w:next w:val="1"/>
    <w:unhideWhenUsed/>
    <w:qFormat/>
    <w:uiPriority w:val="0"/>
    <w:pPr>
      <w:widowControl w:val="0"/>
      <w:adjustRightInd w:val="0"/>
      <w:spacing w:before="280" w:line="300" w:lineRule="auto"/>
      <w:jc w:val="both"/>
      <w:outlineLvl w:val="1"/>
    </w:pPr>
    <w:rPr>
      <w:rFonts w:ascii="Times New Roman" w:hAnsi="Times New Roman" w:eastAsia="黑体" w:cs="Times New Roman"/>
      <w:kern w:val="2"/>
      <w:sz w:val="30"/>
      <w:szCs w:val="32"/>
      <w:lang w:bidi="ar-SA"/>
    </w:rPr>
  </w:style>
  <w:style w:type="paragraph" w:styleId="4">
    <w:name w:val="heading 3"/>
    <w:next w:val="1"/>
    <w:semiHidden/>
    <w:unhideWhenUsed/>
    <w:qFormat/>
    <w:uiPriority w:val="0"/>
    <w:pPr>
      <w:keepNext/>
      <w:keepLines/>
      <w:widowControl w:val="0"/>
      <w:adjustRightInd w:val="0"/>
      <w:spacing w:before="240" w:line="300" w:lineRule="auto"/>
      <w:jc w:val="both"/>
      <w:outlineLvl w:val="2"/>
    </w:pPr>
    <w:rPr>
      <w:rFonts w:ascii="Times New Roman" w:hAnsi="Times New Roman" w:eastAsia="黑体" w:cs="Times New Roman"/>
      <w:kern w:val="2"/>
      <w:sz w:val="30"/>
      <w:szCs w:val="24"/>
      <w:lang w:bidi="ar-SA"/>
    </w:rPr>
  </w:style>
  <w:style w:type="paragraph" w:styleId="5">
    <w:name w:val="heading 4"/>
    <w:next w:val="1"/>
    <w:semiHidden/>
    <w:unhideWhenUsed/>
    <w:qFormat/>
    <w:uiPriority w:val="0"/>
    <w:pPr>
      <w:keepNext/>
      <w:keepLines/>
      <w:widowControl w:val="0"/>
      <w:adjustRightInd w:val="0"/>
      <w:spacing w:before="200" w:line="300" w:lineRule="auto"/>
      <w:jc w:val="both"/>
      <w:outlineLvl w:val="3"/>
    </w:pPr>
    <w:rPr>
      <w:rFonts w:ascii="Times New Roman" w:hAnsi="Times New Roman" w:eastAsia="黑体" w:cs="Times New Roman"/>
      <w:bCs/>
      <w:kern w:val="2"/>
      <w:sz w:val="28"/>
      <w:szCs w:val="28"/>
      <w:lang w:bidi="ar-SA"/>
    </w:rPr>
  </w:style>
  <w:style w:type="paragraph" w:styleId="6">
    <w:name w:val="heading 5"/>
    <w:next w:val="1"/>
    <w:semiHidden/>
    <w:unhideWhenUsed/>
    <w:qFormat/>
    <w:uiPriority w:val="0"/>
    <w:pPr>
      <w:keepNext/>
      <w:keepLines/>
      <w:widowControl w:val="0"/>
      <w:adjustRightInd w:val="0"/>
      <w:spacing w:before="160" w:line="300" w:lineRule="auto"/>
      <w:jc w:val="both"/>
      <w:outlineLvl w:val="4"/>
    </w:pPr>
    <w:rPr>
      <w:rFonts w:ascii="Times New Roman" w:hAnsi="Times New Roman" w:eastAsia="黑体" w:cs="Times New Roman"/>
      <w:bCs/>
      <w:kern w:val="2"/>
      <w:sz w:val="28"/>
      <w:szCs w:val="28"/>
      <w:lang w:bidi="ar-SA"/>
    </w:rPr>
  </w:style>
  <w:style w:type="paragraph" w:styleId="7">
    <w:name w:val="heading 6"/>
    <w:next w:val="1"/>
    <w:semiHidden/>
    <w:unhideWhenUsed/>
    <w:qFormat/>
    <w:uiPriority w:val="0"/>
    <w:pPr>
      <w:keepNext/>
      <w:keepLines/>
      <w:widowControl w:val="0"/>
      <w:adjustRightInd w:val="0"/>
      <w:spacing w:before="120" w:line="300" w:lineRule="auto"/>
      <w:jc w:val="both"/>
      <w:outlineLvl w:val="5"/>
    </w:pPr>
    <w:rPr>
      <w:rFonts w:ascii="Times New Roman" w:hAnsi="Times New Roman" w:eastAsia="黑体" w:cs="Times New Roman"/>
      <w:bCs/>
      <w:kern w:val="2"/>
      <w:sz w:val="28"/>
      <w:szCs w:val="24"/>
      <w:lang w:bidi="ar-SA"/>
    </w:rPr>
  </w:style>
  <w:style w:type="paragraph" w:styleId="8">
    <w:name w:val="heading 7"/>
    <w:next w:val="1"/>
    <w:semiHidden/>
    <w:unhideWhenUsed/>
    <w:qFormat/>
    <w:uiPriority w:val="0"/>
    <w:pPr>
      <w:keepNext/>
      <w:keepLines/>
      <w:widowControl w:val="0"/>
      <w:adjustRightInd w:val="0"/>
      <w:spacing w:before="120" w:line="300" w:lineRule="auto"/>
      <w:jc w:val="both"/>
      <w:outlineLvl w:val="6"/>
    </w:pPr>
    <w:rPr>
      <w:rFonts w:ascii="Times New Roman" w:hAnsi="Times New Roman" w:eastAsia="黑体" w:cs="Times New Roman"/>
      <w:bCs/>
      <w:kern w:val="2"/>
      <w:sz w:val="24"/>
      <w:szCs w:val="24"/>
      <w:lang w:bidi="ar-SA"/>
    </w:rPr>
  </w:style>
  <w:style w:type="paragraph" w:styleId="9">
    <w:name w:val="heading 8"/>
    <w:next w:val="1"/>
    <w:semiHidden/>
    <w:unhideWhenUsed/>
    <w:qFormat/>
    <w:uiPriority w:val="0"/>
    <w:pPr>
      <w:keepNext/>
      <w:keepLines/>
      <w:widowControl w:val="0"/>
      <w:adjustRightInd w:val="0"/>
      <w:spacing w:before="120" w:line="300" w:lineRule="auto"/>
      <w:jc w:val="both"/>
      <w:outlineLvl w:val="7"/>
    </w:pPr>
    <w:rPr>
      <w:rFonts w:ascii="Times New Roman" w:hAnsi="Times New Roman" w:eastAsia="黑体" w:cs="Times New Roman"/>
      <w:kern w:val="2"/>
      <w:sz w:val="24"/>
      <w:szCs w:val="24"/>
      <w:lang w:bidi="ar-SA"/>
    </w:rPr>
  </w:style>
  <w:style w:type="paragraph" w:styleId="10">
    <w:name w:val="heading 9"/>
    <w:next w:val="1"/>
    <w:semiHidden/>
    <w:unhideWhenUsed/>
    <w:qFormat/>
    <w:uiPriority w:val="0"/>
    <w:pPr>
      <w:keepNext/>
      <w:keepLines/>
      <w:widowControl w:val="0"/>
      <w:adjustRightInd w:val="0"/>
      <w:spacing w:before="120" w:line="300" w:lineRule="auto"/>
      <w:jc w:val="both"/>
      <w:outlineLvl w:val="8"/>
    </w:pPr>
    <w:rPr>
      <w:rFonts w:ascii="Times New Roman" w:hAnsi="Times New Roman" w:eastAsia="黑体" w:cs="Times New Roman"/>
      <w:kern w:val="2"/>
      <w:sz w:val="21"/>
      <w:szCs w:val="21"/>
      <w:lang w:bidi="ar-SA"/>
    </w:rPr>
  </w:style>
  <w:style w:type="character" w:default="1" w:styleId="17">
    <w:name w:val="Default Paragraph Font"/>
    <w:semiHidden/>
    <w:qFormat/>
    <w:uiPriority w:val="0"/>
  </w:style>
  <w:style w:type="table" w:default="1" w:styleId="1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ody Text"/>
    <w:qFormat/>
    <w:uiPriority w:val="0"/>
    <w:pPr>
      <w:widowControl w:val="0"/>
      <w:adjustRightInd w:val="0"/>
      <w:spacing w:before="100" w:after="100" w:afterLines="0" w:afterAutospacing="0" w:line="300" w:lineRule="auto"/>
      <w:ind w:firstLine="1044" w:firstLineChars="200"/>
      <w:jc w:val="both"/>
    </w:pPr>
    <w:rPr>
      <w:rFonts w:ascii="Times New Roman" w:hAnsi="Times New Roman" w:eastAsia="宋体" w:cs="Times New Roman"/>
      <w:kern w:val="2"/>
      <w:sz w:val="24"/>
      <w:szCs w:val="24"/>
      <w:lang w:bidi="ar-SA"/>
    </w:rPr>
  </w:style>
  <w:style w:type="paragraph" w:styleId="12">
    <w:name w:val="toc 1"/>
    <w:basedOn w:val="1"/>
    <w:next w:val="1"/>
    <w:qFormat/>
    <w:uiPriority w:val="0"/>
    <w:rPr>
      <w:rFonts w:hint="eastAsia" w:ascii="黑体" w:hAnsi="黑体" w:eastAsia="黑体" w:cs="黑体"/>
    </w:rPr>
  </w:style>
  <w:style w:type="paragraph" w:styleId="13">
    <w:name w:val="Subtitle"/>
    <w:qFormat/>
    <w:uiPriority w:val="0"/>
    <w:pPr>
      <w:widowControl w:val="0"/>
      <w:adjustRightInd w:val="0"/>
      <w:spacing w:before="100" w:after="100" w:line="240" w:lineRule="auto"/>
      <w:jc w:val="center"/>
      <w:outlineLvl w:val="9"/>
    </w:pPr>
    <w:rPr>
      <w:rFonts w:ascii="Times New Roman" w:hAnsi="Times New Roman" w:eastAsia="黑体" w:cs="Times New Roman"/>
      <w:kern w:val="28"/>
      <w:sz w:val="32"/>
      <w:szCs w:val="24"/>
      <w:lang w:bidi="ar-SA"/>
    </w:rPr>
  </w:style>
  <w:style w:type="paragraph" w:styleId="14">
    <w:name w:val="toc 2"/>
    <w:basedOn w:val="1"/>
    <w:next w:val="1"/>
    <w:qFormat/>
    <w:uiPriority w:val="0"/>
    <w:pPr>
      <w:ind w:left="480" w:leftChars="200"/>
    </w:pPr>
  </w:style>
  <w:style w:type="paragraph" w:styleId="15">
    <w:name w:val="Title"/>
    <w:qFormat/>
    <w:uiPriority w:val="0"/>
    <w:pPr>
      <w:widowControl w:val="0"/>
      <w:adjustRightInd w:val="0"/>
      <w:spacing w:before="100" w:beforeAutospacing="0" w:after="100" w:afterAutospacing="0" w:line="240" w:lineRule="auto"/>
      <w:jc w:val="center"/>
      <w:outlineLvl w:val="9"/>
    </w:pPr>
    <w:rPr>
      <w:rFonts w:ascii="Times New Roman" w:hAnsi="Times New Roman" w:eastAsia="黑体" w:cs="Times New Roman"/>
      <w:kern w:val="2"/>
      <w:sz w:val="36"/>
      <w:szCs w:val="24"/>
      <w:lang w:bidi="ar-SA"/>
    </w:rPr>
  </w:style>
  <w:style w:type="paragraph" w:customStyle="1" w:styleId="18">
    <w:name w:val="章标题"/>
    <w:next w:val="1"/>
    <w:qFormat/>
    <w:uiPriority w:val="0"/>
    <w:pPr>
      <w:widowControl w:val="0"/>
      <w:adjustRightInd w:val="0"/>
      <w:spacing w:before="100" w:after="100" w:line="360" w:lineRule="auto"/>
      <w:jc w:val="center"/>
      <w:outlineLvl w:val="0"/>
    </w:pPr>
    <w:rPr>
      <w:rFonts w:ascii="Times New Roman" w:hAnsi="Times New Roman" w:eastAsia="黑体" w:cs="Times New Roman"/>
      <w:kern w:val="44"/>
      <w:sz w:val="36"/>
      <w:szCs w:val="44"/>
      <w:lang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1164</Words>
  <Characters>1210</Characters>
  <Lines>0</Lines>
  <Paragraphs>0</Paragraphs>
  <TotalTime>37</TotalTime>
  <ScaleCrop>false</ScaleCrop>
  <LinksUpToDate>false</LinksUpToDate>
  <CharactersWithSpaces>1233</CharactersWithSpaces>
  <Application>WPS Office_12.1.0.22525_F1E327BC-269C-435d-A152-05C5408002CA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2025-10-16T19:12:00Z</dcterms:created>
  <dc:creator>belong_杰</dc:creator>
  <cp:lastModifiedBy>gc</cp:lastModifiedBy>
  <dcterms:modified xsi:type="dcterms:W3CDTF">2025-10-24T09:11:14Z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2052-12.1.0.22525</vt:lpwstr>
  </property>
  <property fmtid="{D5CDD505-2E9C-101B-9397-08002B2CF9AE}" pid="3" name="ICV">
    <vt:lpwstr>3098141FE31754631A11EF680C4937AC_41</vt:lpwstr>
  </property>
  <property fmtid="{D5CDD505-2E9C-101B-9397-08002B2CF9AE}" pid="4" name="KSOTemplateDocerSaveRecord">
    <vt:lpwstr>eyJoZGlkIjoiM2I5NTU2NTE3ZDEzYWM2OWYxYzAyYTc1YTMwYmU0M2MiLCJ1c2VySWQiOiI2MjU5ODg1NTIifQ==</vt:lpwstr>
  </property>
</Properties>
</file>