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CA10F">
      <w:pPr>
        <w:pStyle w:val="3"/>
        <w:jc w:val="center"/>
        <w:rPr>
          <w:rFonts w:ascii="宋体" w:hAnsi="宋体"/>
        </w:rPr>
      </w:pPr>
      <w:r>
        <w:rPr>
          <w:rFonts w:hint="eastAsia" w:ascii="宋体" w:hAnsi="宋体"/>
        </w:rPr>
        <w:t>用户需求书</w:t>
      </w:r>
    </w:p>
    <w:p w14:paraId="320081B2">
      <w:pPr>
        <w:pStyle w:val="4"/>
        <w:numPr>
          <w:ilvl w:val="0"/>
          <w:numId w:val="2"/>
        </w:numPr>
        <w:rPr>
          <w:rFonts w:ascii="宋体" w:hAnsi="宋体"/>
        </w:rPr>
      </w:pPr>
      <w:r>
        <w:rPr>
          <w:rFonts w:hint="eastAsia" w:ascii="宋体" w:hAnsi="宋体"/>
        </w:rPr>
        <w:t>项目背景</w:t>
      </w:r>
    </w:p>
    <w:p w14:paraId="4EF4DF24">
      <w:pPr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 w:eastAsia="宋体" w:cs="Arial"/>
          <w:sz w:val="24"/>
          <w:lang w:val="en-US" w:eastAsia="zh-CN"/>
        </w:rPr>
        <w:t>广东南方新媒体股份有限公司</w:t>
      </w:r>
      <w:r>
        <w:rPr>
          <w:rFonts w:hint="eastAsia" w:ascii="宋体" w:hAnsi="宋体"/>
          <w:sz w:val="24"/>
        </w:rPr>
        <w:t>在2021年采购了一套用户画像智能推荐系统，包含了用户标签画像和规则推荐的能力。系统基于深度学习的推荐算法，结合当前采集的丰富的用户行为数据和内容数据，建立准确的用户画像以及标签，自动化地帮助运营人员判别用户需求和喜好，及时主动地为不同用户推荐其喜欢的节目，配合EPG瀑布流呈现方式提供更强大更精</w:t>
      </w:r>
      <w:bookmarkStart w:id="0" w:name="_GoBack"/>
      <w:bookmarkEnd w:id="0"/>
      <w:r>
        <w:rPr>
          <w:rFonts w:hint="eastAsia" w:ascii="宋体" w:hAnsi="宋体"/>
          <w:sz w:val="24"/>
        </w:rPr>
        <w:t>准的个性化推荐，从而达到提升用户收视时长，避免用户流失，最终实现增加增值收入的目的。本期项目对该套系统采购</w:t>
      </w:r>
      <w:r>
        <w:rPr>
          <w:rFonts w:hint="eastAsia" w:ascii="宋体" w:hAnsi="宋体"/>
          <w:sz w:val="24"/>
          <w:lang w:eastAsia="zh-CN"/>
        </w:rPr>
        <w:t>维保服务</w:t>
      </w:r>
      <w:r>
        <w:rPr>
          <w:rFonts w:hint="eastAsia" w:ascii="宋体" w:hAnsi="宋体"/>
          <w:sz w:val="24"/>
        </w:rPr>
        <w:t>。</w:t>
      </w:r>
    </w:p>
    <w:p w14:paraId="10BBB90F">
      <w:pPr>
        <w:pStyle w:val="4"/>
        <w:numPr>
          <w:ilvl w:val="0"/>
          <w:numId w:val="2"/>
        </w:numPr>
        <w:rPr>
          <w:rFonts w:hint="eastAsia" w:ascii="宋体" w:hAnsi="宋体"/>
        </w:rPr>
      </w:pPr>
      <w:r>
        <w:rPr>
          <w:rFonts w:hint="eastAsia" w:ascii="宋体" w:hAnsi="宋体"/>
        </w:rPr>
        <w:t>维保系统清单</w:t>
      </w:r>
    </w:p>
    <w:tbl>
      <w:tblPr>
        <w:tblStyle w:val="12"/>
        <w:tblW w:w="5000" w:type="pct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4"/>
        <w:gridCol w:w="5363"/>
        <w:gridCol w:w="1089"/>
      </w:tblGrid>
      <w:tr w14:paraId="4E2EF21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2" w:type="pct"/>
            <w:vAlign w:val="center"/>
          </w:tcPr>
          <w:p w14:paraId="30B9DFCF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系统名称</w:t>
            </w:r>
          </w:p>
        </w:tc>
        <w:tc>
          <w:tcPr>
            <w:tcW w:w="3149" w:type="pct"/>
            <w:vAlign w:val="center"/>
          </w:tcPr>
          <w:p w14:paraId="65CBC869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服务描述</w:t>
            </w:r>
          </w:p>
        </w:tc>
        <w:tc>
          <w:tcPr>
            <w:tcW w:w="639" w:type="pct"/>
            <w:vAlign w:val="center"/>
          </w:tcPr>
          <w:p w14:paraId="55D45788">
            <w:pPr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ascii="宋体" w:hAnsi="宋体"/>
                <w:b/>
                <w:bCs/>
                <w:sz w:val="24"/>
              </w:rPr>
              <w:t>维保服务期</w:t>
            </w:r>
          </w:p>
        </w:tc>
      </w:tr>
      <w:tr w14:paraId="64C0346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12" w:type="pct"/>
            <w:vAlign w:val="center"/>
          </w:tcPr>
          <w:p w14:paraId="2C21482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用户画像智能推荐系统软件</w:t>
            </w:r>
          </w:p>
          <w:p w14:paraId="29730FF7"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sz w:val="24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包含</w:t>
            </w:r>
            <w:r>
              <w:rPr>
                <w:rFonts w:hint="eastAsia" w:ascii="宋体" w:hAnsi="宋体"/>
                <w:sz w:val="24"/>
              </w:rPr>
              <w:t>标签系统</w:t>
            </w:r>
            <w:r>
              <w:rPr>
                <w:rFonts w:hint="eastAsia" w:ascii="宋体" w:hAnsi="宋体"/>
                <w:sz w:val="24"/>
                <w:lang w:eastAsia="zh-CN"/>
              </w:rPr>
              <w:t>和</w:t>
            </w:r>
            <w:r>
              <w:rPr>
                <w:rFonts w:hint="eastAsia" w:ascii="宋体" w:hAnsi="宋体"/>
                <w:sz w:val="24"/>
              </w:rPr>
              <w:t>规则推荐系统）</w:t>
            </w:r>
          </w:p>
        </w:tc>
        <w:tc>
          <w:tcPr>
            <w:tcW w:w="3149" w:type="pct"/>
            <w:vAlign w:val="center"/>
          </w:tcPr>
          <w:p w14:paraId="494A2E56">
            <w:pPr>
              <w:rPr>
                <w:rFonts w:hint="eastAsia" w:ascii="宋体" w:hAnsi="宋体" w:cs="Arial"/>
                <w:sz w:val="24"/>
              </w:rPr>
            </w:pPr>
            <w:r>
              <w:rPr>
                <w:rFonts w:hint="eastAsia" w:ascii="宋体" w:hAnsi="宋体" w:cs="Arial"/>
                <w:sz w:val="24"/>
              </w:rPr>
              <w:t>提供系统软件的维保服务，保障系统的稳定、高效运行，包括但不限于应用系统、相关组件及保证应用系统正常可用的周边配置服务，例如除服务器硬件设备以外的操作系统、网络配置、中间件和应用软件的整体运维保障</w:t>
            </w:r>
          </w:p>
        </w:tc>
        <w:tc>
          <w:tcPr>
            <w:tcW w:w="639" w:type="pct"/>
            <w:vAlign w:val="center"/>
          </w:tcPr>
          <w:p w14:paraId="3DE06645">
            <w:pPr>
              <w:jc w:val="center"/>
              <w:rPr>
                <w:rFonts w:hint="eastAsia" w:ascii="宋体" w:hAnsi="宋体" w:cs="Arial"/>
                <w:sz w:val="24"/>
              </w:rPr>
            </w:pPr>
            <w:r>
              <w:rPr>
                <w:rFonts w:hint="eastAsia" w:ascii="宋体" w:hAnsi="宋体" w:cs="Arial"/>
                <w:sz w:val="24"/>
                <w:lang w:val="en-US" w:eastAsia="zh-CN"/>
              </w:rPr>
              <w:t>合同签订起</w:t>
            </w:r>
            <w:r>
              <w:rPr>
                <w:rFonts w:ascii="宋体" w:hAnsi="宋体" w:cs="Arial"/>
                <w:sz w:val="24"/>
              </w:rPr>
              <w:t>1</w:t>
            </w:r>
            <w:r>
              <w:rPr>
                <w:rFonts w:hint="eastAsia" w:ascii="宋体" w:hAnsi="宋体" w:cs="Arial"/>
                <w:sz w:val="24"/>
              </w:rPr>
              <w:t>年</w:t>
            </w:r>
          </w:p>
        </w:tc>
      </w:tr>
    </w:tbl>
    <w:p w14:paraId="09DB36B0">
      <w:pPr>
        <w:adjustRightInd w:val="0"/>
        <w:snapToGrid w:val="0"/>
        <w:spacing w:line="360" w:lineRule="auto"/>
        <w:rPr>
          <w:rFonts w:hint="eastAsia" w:ascii="宋体" w:hAnsi="宋体" w:cs="宋体"/>
          <w:color w:val="000000"/>
          <w:sz w:val="28"/>
          <w:szCs w:val="28"/>
        </w:rPr>
      </w:pPr>
    </w:p>
    <w:p w14:paraId="05945F9C">
      <w:pPr>
        <w:pStyle w:val="4"/>
        <w:numPr>
          <w:ilvl w:val="0"/>
          <w:numId w:val="2"/>
        </w:numPr>
        <w:rPr>
          <w:rFonts w:hint="eastAsia" w:ascii="宋体" w:hAnsi="宋体"/>
        </w:rPr>
      </w:pPr>
      <w:r>
        <w:rPr>
          <w:rFonts w:hint="eastAsia" w:ascii="宋体" w:hAnsi="宋体"/>
        </w:rPr>
        <w:t>服务要求</w:t>
      </w:r>
    </w:p>
    <w:p w14:paraId="1C43BCFC">
      <w:pPr>
        <w:pStyle w:val="5"/>
        <w:numPr>
          <w:ilvl w:val="0"/>
          <w:numId w:val="0"/>
        </w:numPr>
        <w:spacing w:before="0" w:after="0" w:line="360" w:lineRule="auto"/>
        <w:ind w:firstLine="482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1.1维保服务要求</w:t>
      </w:r>
    </w:p>
    <w:p w14:paraId="6DB5DBE5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提供7×24服务响应级别。</w:t>
      </w:r>
    </w:p>
    <w:p w14:paraId="74C1E3EA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(1)服务时间：7×24小时。</w:t>
      </w:r>
    </w:p>
    <w:p w14:paraId="4D516E6F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(2)响应时间：要求</w:t>
      </w:r>
      <w:r>
        <w:rPr>
          <w:rFonts w:hint="eastAsia" w:ascii="宋体" w:hAnsi="宋体"/>
          <w:sz w:val="24"/>
          <w:lang w:eastAsia="zh-CN"/>
        </w:rPr>
        <w:t>投标人</w:t>
      </w:r>
      <w:r>
        <w:rPr>
          <w:rFonts w:hint="eastAsia" w:ascii="宋体" w:hAnsi="宋体"/>
          <w:sz w:val="24"/>
        </w:rPr>
        <w:t>即时响应，并在接到报修后30分钟内向</w:t>
      </w:r>
      <w:r>
        <w:rPr>
          <w:rFonts w:hint="eastAsia" w:ascii="宋体" w:hAnsi="宋体"/>
          <w:sz w:val="24"/>
          <w:lang w:eastAsia="zh-CN"/>
        </w:rPr>
        <w:t>招标人</w:t>
      </w:r>
      <w:r>
        <w:rPr>
          <w:rFonts w:hint="eastAsia" w:ascii="宋体" w:hAnsi="宋体"/>
          <w:sz w:val="24"/>
        </w:rPr>
        <w:t>提出故障处理方案。</w:t>
      </w:r>
    </w:p>
    <w:p w14:paraId="48067DDA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(3)到场时间：要求</w:t>
      </w:r>
      <w:r>
        <w:rPr>
          <w:rFonts w:hint="eastAsia" w:ascii="宋体" w:hAnsi="宋体"/>
          <w:sz w:val="24"/>
          <w:lang w:eastAsia="zh-CN"/>
        </w:rPr>
        <w:t>投标人</w:t>
      </w:r>
      <w:r>
        <w:rPr>
          <w:rFonts w:hint="eastAsia" w:ascii="宋体" w:hAnsi="宋体"/>
          <w:sz w:val="24"/>
        </w:rPr>
        <w:t>在规定时间内远程接入提供维护服务，如需要到现场，</w:t>
      </w:r>
      <w:r>
        <w:rPr>
          <w:rFonts w:hint="eastAsia" w:ascii="宋体" w:hAnsi="宋体"/>
          <w:sz w:val="24"/>
          <w:lang w:eastAsia="zh-CN"/>
        </w:rPr>
        <w:t>投标人</w:t>
      </w:r>
      <w:r>
        <w:rPr>
          <w:rFonts w:hint="eastAsia" w:ascii="宋体" w:hAnsi="宋体"/>
          <w:sz w:val="24"/>
        </w:rPr>
        <w:t>需在规定时间内到达</w:t>
      </w:r>
      <w:r>
        <w:rPr>
          <w:rFonts w:hint="eastAsia" w:ascii="宋体" w:hAnsi="宋体"/>
          <w:sz w:val="24"/>
          <w:lang w:eastAsia="zh-CN"/>
        </w:rPr>
        <w:t>招标人</w:t>
      </w:r>
      <w:r>
        <w:rPr>
          <w:rFonts w:hint="eastAsia" w:ascii="宋体" w:hAnsi="宋体"/>
          <w:sz w:val="24"/>
        </w:rPr>
        <w:t>指定现场提供维护服务。</w:t>
      </w:r>
    </w:p>
    <w:p w14:paraId="3C16F2C1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(4)故障恢复时间：要求</w:t>
      </w:r>
      <w:r>
        <w:rPr>
          <w:rFonts w:hint="eastAsia" w:ascii="宋体" w:hAnsi="宋体"/>
          <w:sz w:val="24"/>
          <w:lang w:eastAsia="zh-CN"/>
        </w:rPr>
        <w:t>投标人</w:t>
      </w:r>
      <w:r>
        <w:rPr>
          <w:rFonts w:hint="eastAsia" w:ascii="宋体" w:hAnsi="宋体"/>
          <w:sz w:val="24"/>
        </w:rPr>
        <w:t>在规定时间内恢复故障，并在故障恢复后1个工作日内提供故障报告。</w:t>
      </w:r>
    </w:p>
    <w:p w14:paraId="576BB8CB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(5)响应时间及服务响应时间</w:t>
      </w: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2551"/>
        <w:gridCol w:w="1105"/>
        <w:gridCol w:w="1347"/>
        <w:gridCol w:w="1092"/>
        <w:gridCol w:w="1603"/>
      </w:tblGrid>
      <w:tr w14:paraId="66B74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706B24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故障级别</w:t>
            </w:r>
          </w:p>
        </w:tc>
        <w:tc>
          <w:tcPr>
            <w:tcW w:w="149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CB372C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故障级别说明</w:t>
            </w:r>
          </w:p>
        </w:tc>
        <w:tc>
          <w:tcPr>
            <w:tcW w:w="649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23104676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电话响应时间</w:t>
            </w:r>
          </w:p>
        </w:tc>
        <w:tc>
          <w:tcPr>
            <w:tcW w:w="7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6BEE8A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远程接入响应时间</w:t>
            </w:r>
          </w:p>
        </w:tc>
        <w:tc>
          <w:tcPr>
            <w:tcW w:w="6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AAFD86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现场响应时间</w:t>
            </w:r>
          </w:p>
        </w:tc>
        <w:tc>
          <w:tcPr>
            <w:tcW w:w="9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CCCBE7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恢复系统正常运行时间</w:t>
            </w:r>
          </w:p>
        </w:tc>
      </w:tr>
      <w:tr w14:paraId="43BA2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8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FD84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严重</w:t>
            </w:r>
          </w:p>
        </w:tc>
        <w:tc>
          <w:tcPr>
            <w:tcW w:w="149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F7C9C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影响业务系统全部或部分交易故障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1045F1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10分钟</w:t>
            </w:r>
          </w:p>
        </w:tc>
        <w:tc>
          <w:tcPr>
            <w:tcW w:w="7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C0A4A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15分钟</w:t>
            </w:r>
          </w:p>
        </w:tc>
        <w:tc>
          <w:tcPr>
            <w:tcW w:w="6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8CC4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3小时</w:t>
            </w:r>
          </w:p>
        </w:tc>
        <w:tc>
          <w:tcPr>
            <w:tcW w:w="9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4233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2小时恢复系统正常运行</w:t>
            </w:r>
          </w:p>
        </w:tc>
      </w:tr>
      <w:tr w14:paraId="41E3E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8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98EB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重要</w:t>
            </w:r>
          </w:p>
        </w:tc>
        <w:tc>
          <w:tcPr>
            <w:tcW w:w="149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B4ABD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业务系统全部或部分交易运行缓慢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42313B2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10分钟</w:t>
            </w:r>
          </w:p>
        </w:tc>
        <w:tc>
          <w:tcPr>
            <w:tcW w:w="7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B673F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20分钟</w:t>
            </w:r>
          </w:p>
        </w:tc>
        <w:tc>
          <w:tcPr>
            <w:tcW w:w="6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8CE60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6小时</w:t>
            </w:r>
          </w:p>
        </w:tc>
        <w:tc>
          <w:tcPr>
            <w:tcW w:w="9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60DBF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5小时恢复系统正常运行</w:t>
            </w:r>
          </w:p>
        </w:tc>
      </w:tr>
      <w:tr w14:paraId="4CA44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80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0D22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一般</w:t>
            </w:r>
          </w:p>
        </w:tc>
        <w:tc>
          <w:tcPr>
            <w:tcW w:w="1498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4BB1ED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一般报警信息，对交易系统正常运行没有影响；系统参数调整等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99B4E4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10分钟</w:t>
            </w:r>
          </w:p>
        </w:tc>
        <w:tc>
          <w:tcPr>
            <w:tcW w:w="7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163B9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30小时</w:t>
            </w:r>
          </w:p>
        </w:tc>
        <w:tc>
          <w:tcPr>
            <w:tcW w:w="6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F965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12小时</w:t>
            </w:r>
          </w:p>
        </w:tc>
        <w:tc>
          <w:tcPr>
            <w:tcW w:w="9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C80CE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24小时恢复系统正常运行</w:t>
            </w:r>
          </w:p>
        </w:tc>
      </w:tr>
    </w:tbl>
    <w:p w14:paraId="4C3FE0DB">
      <w:pPr>
        <w:pStyle w:val="5"/>
        <w:numPr>
          <w:ilvl w:val="0"/>
          <w:numId w:val="0"/>
        </w:numPr>
        <w:spacing w:before="0" w:after="0" w:line="360" w:lineRule="auto"/>
        <w:ind w:firstLine="482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1.2软件更新服务</w:t>
      </w:r>
    </w:p>
    <w:p w14:paraId="49A2094D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提供软件BUG的定位和修复服务，发现产品中疑似BUG，向</w:t>
      </w:r>
      <w:r>
        <w:rPr>
          <w:rFonts w:hint="eastAsia" w:ascii="宋体" w:hAnsi="宋体"/>
          <w:sz w:val="24"/>
          <w:lang w:eastAsia="zh-CN"/>
        </w:rPr>
        <w:t>投标人</w:t>
      </w:r>
      <w:r>
        <w:rPr>
          <w:rFonts w:hint="eastAsia" w:ascii="宋体" w:hAnsi="宋体"/>
          <w:sz w:val="24"/>
        </w:rPr>
        <w:t>进行反馈，</w:t>
      </w:r>
      <w:r>
        <w:rPr>
          <w:rFonts w:hint="eastAsia" w:ascii="宋体" w:hAnsi="宋体"/>
          <w:sz w:val="24"/>
          <w:lang w:eastAsia="zh-CN"/>
        </w:rPr>
        <w:t>投标人</w:t>
      </w:r>
      <w:r>
        <w:rPr>
          <w:rFonts w:hint="eastAsia" w:ascii="宋体" w:hAnsi="宋体"/>
          <w:sz w:val="24"/>
        </w:rPr>
        <w:t>根据</w:t>
      </w:r>
      <w:r>
        <w:rPr>
          <w:rFonts w:hint="eastAsia" w:ascii="宋体" w:hAnsi="宋体"/>
          <w:sz w:val="24"/>
          <w:lang w:eastAsia="zh-CN"/>
        </w:rPr>
        <w:t>招标人</w:t>
      </w:r>
      <w:r>
        <w:rPr>
          <w:rFonts w:hint="eastAsia" w:ascii="宋体" w:hAnsi="宋体"/>
          <w:sz w:val="24"/>
        </w:rPr>
        <w:t>的反馈现象进行测试验证，如果是产品BUG，</w:t>
      </w:r>
      <w:r>
        <w:rPr>
          <w:rFonts w:hint="eastAsia" w:ascii="宋体" w:hAnsi="宋体"/>
          <w:sz w:val="24"/>
          <w:lang w:eastAsia="zh-CN"/>
        </w:rPr>
        <w:t>投标人</w:t>
      </w:r>
      <w:r>
        <w:rPr>
          <w:rFonts w:hint="eastAsia" w:ascii="宋体" w:hAnsi="宋体"/>
          <w:sz w:val="24"/>
        </w:rPr>
        <w:t>排期进行软件BUG修复，发布版本之后，对</w:t>
      </w:r>
      <w:r>
        <w:rPr>
          <w:rFonts w:hint="eastAsia" w:ascii="宋体" w:hAnsi="宋体"/>
          <w:sz w:val="24"/>
          <w:lang w:eastAsia="zh-CN"/>
        </w:rPr>
        <w:t>招标人</w:t>
      </w:r>
      <w:r>
        <w:rPr>
          <w:rFonts w:hint="eastAsia" w:ascii="宋体" w:hAnsi="宋体"/>
          <w:sz w:val="24"/>
        </w:rPr>
        <w:t>的系统进行修复，包括但不限于产品自身软件BUG、产品所依赖的操作系统、中间件、数据库等各组件所发现的漏洞修复。</w:t>
      </w:r>
    </w:p>
    <w:p w14:paraId="684B9D58">
      <w:pPr>
        <w:pStyle w:val="5"/>
        <w:numPr>
          <w:ilvl w:val="0"/>
          <w:numId w:val="0"/>
        </w:numPr>
        <w:spacing w:before="0" w:after="0" w:line="360" w:lineRule="auto"/>
        <w:ind w:firstLine="482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1.3运维保障服务</w:t>
      </w:r>
    </w:p>
    <w:p w14:paraId="37E03906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提供7*24小时应急响应及保障服务，保证系统的稳定可靠运行，包括电话、远程、现场方式。</w:t>
      </w:r>
    </w:p>
    <w:p w14:paraId="2FF85EEB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1.3.1提供7*24小时应急响应及保障服务，确保系统稳定可靠运行；</w:t>
      </w:r>
    </w:p>
    <w:p w14:paraId="665E18A3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1.3.2提供现场升级、维护服务；</w:t>
      </w:r>
    </w:p>
    <w:p w14:paraId="42E4190E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1.3.3运维保障服务包括但不限于应用系统、相关组件及保证应用系统正常可用的周边配置服务，例如除服务器硬件设备以外的操作系统、网络配置、中间件和应用软件的整体运维保障；</w:t>
      </w:r>
    </w:p>
    <w:p w14:paraId="43A200E2">
      <w:pPr>
        <w:pStyle w:val="5"/>
        <w:numPr>
          <w:ilvl w:val="0"/>
          <w:numId w:val="0"/>
        </w:numPr>
        <w:spacing w:before="0" w:after="0" w:line="360" w:lineRule="auto"/>
        <w:ind w:firstLine="482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1.4系统巡检服务</w:t>
      </w:r>
    </w:p>
    <w:p w14:paraId="3908ACED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对</w:t>
      </w:r>
      <w:r>
        <w:rPr>
          <w:rFonts w:hint="eastAsia" w:ascii="宋体" w:hAnsi="宋体"/>
          <w:sz w:val="24"/>
          <w:lang w:eastAsia="zh-CN"/>
        </w:rPr>
        <w:t>招标人</w:t>
      </w:r>
      <w:r>
        <w:rPr>
          <w:rFonts w:hint="eastAsia" w:ascii="宋体" w:hAnsi="宋体"/>
          <w:sz w:val="24"/>
        </w:rPr>
        <w:t>环境进行全面诊断、巡检，发现存在的问题或风险点，并对存在的问题进行整改。</w:t>
      </w:r>
    </w:p>
    <w:p w14:paraId="1CDEDD3C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1.4.1包含系统资源使用分析、原系统产品组件检查、大数据组件检查、数据导入检查等服务内容，服务范围包含：系统整体健康状态检查、指出存在的风险和隐患，及建议的处理方式，包括问题处理、风险规避及相关优化服务。</w:t>
      </w:r>
    </w:p>
    <w:p w14:paraId="2CDA182C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1.4.2提供巡检和现场重点保障（春节两会、国庆两个重保期前的巡检）。</w:t>
      </w:r>
    </w:p>
    <w:p w14:paraId="45DE0D80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1.4.3每年不超过一次临时特殊保障期的巡检检查和重点保障。</w:t>
      </w:r>
    </w:p>
    <w:p w14:paraId="72B8C635">
      <w:pPr>
        <w:pStyle w:val="5"/>
        <w:numPr>
          <w:ilvl w:val="0"/>
          <w:numId w:val="0"/>
        </w:numPr>
        <w:spacing w:before="0" w:after="0" w:line="360" w:lineRule="auto"/>
        <w:ind w:firstLine="482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1.5产品技术支持服务</w:t>
      </w:r>
    </w:p>
    <w:p w14:paraId="3598CFDF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提供</w:t>
      </w:r>
      <w:r>
        <w:rPr>
          <w:rFonts w:hint="eastAsia" w:ascii="宋体" w:hAnsi="宋体"/>
          <w:sz w:val="24"/>
          <w:lang w:val="en-US" w:eastAsia="zh-CN"/>
        </w:rPr>
        <w:t>7</w:t>
      </w:r>
      <w:r>
        <w:rPr>
          <w:rFonts w:hint="eastAsia" w:ascii="宋体" w:hAnsi="宋体"/>
          <w:sz w:val="24"/>
        </w:rPr>
        <w:t>*</w:t>
      </w:r>
      <w:r>
        <w:rPr>
          <w:rFonts w:hint="eastAsia" w:ascii="宋体" w:hAnsi="宋体"/>
          <w:sz w:val="24"/>
          <w:lang w:val="en-US" w:eastAsia="zh-CN"/>
        </w:rPr>
        <w:t>24</w:t>
      </w:r>
      <w:r>
        <w:rPr>
          <w:rFonts w:hint="eastAsia" w:ascii="宋体" w:hAnsi="宋体"/>
          <w:sz w:val="24"/>
        </w:rPr>
        <w:t>小时产品技术支持服务，包括电话、远程、现场方式，提供产品使用、产品异常问题诊断等服务。</w:t>
      </w:r>
    </w:p>
    <w:p w14:paraId="426B7827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1.5.1产品使用答疑：提供产品使用方面的咨询答疑和基于产品功能的逻辑答疑；</w:t>
      </w:r>
    </w:p>
    <w:p w14:paraId="2FED375A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1.5.2异常诊断</w:t>
      </w:r>
    </w:p>
    <w:p w14:paraId="3A71409A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1）数据差异性诊断：包括原系统自身业务系统内数据差异，给出统计口径的分析和答复；</w:t>
      </w:r>
    </w:p>
    <w:p w14:paraId="25C823AC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2）产品提示异常或者访问异常诊断：根据产品提示的异常，诊断出异常的原因，并告知方法；</w:t>
      </w:r>
    </w:p>
    <w:p w14:paraId="0A0D3B27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3）系统性能的问题诊断：分析系统使用现状，诊断出现有系统使用的瓶颈，提供建议。</w:t>
      </w:r>
    </w:p>
    <w:p w14:paraId="38A30D74">
      <w:pPr>
        <w:pStyle w:val="5"/>
        <w:numPr>
          <w:ilvl w:val="0"/>
          <w:numId w:val="0"/>
        </w:numPr>
        <w:spacing w:before="0" w:after="0" w:line="360" w:lineRule="auto"/>
        <w:ind w:firstLine="482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1.6业务扩容、迁移及割接</w:t>
      </w:r>
    </w:p>
    <w:p w14:paraId="6247DD27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协助</w:t>
      </w:r>
      <w:r>
        <w:rPr>
          <w:rFonts w:hint="eastAsia" w:ascii="宋体" w:hAnsi="宋体"/>
          <w:sz w:val="24"/>
          <w:lang w:eastAsia="zh-CN"/>
        </w:rPr>
        <w:t>招标人</w:t>
      </w:r>
      <w:r>
        <w:rPr>
          <w:rFonts w:hint="eastAsia" w:ascii="宋体" w:hAnsi="宋体"/>
          <w:sz w:val="24"/>
        </w:rPr>
        <w:t>完成迁移前的评估、新环境资源评估、新环境部署、系统扩容、老环境版本升级、实施迁移、迁移后的验证、迁移后的注意事项通知、数据导入、数据导出等工作。</w:t>
      </w:r>
    </w:p>
    <w:p w14:paraId="79FBFBFA">
      <w:pPr>
        <w:pStyle w:val="5"/>
        <w:numPr>
          <w:ilvl w:val="0"/>
          <w:numId w:val="0"/>
        </w:numPr>
        <w:spacing w:before="0" w:after="0" w:line="360" w:lineRule="auto"/>
        <w:ind w:firstLine="482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1.7业务验证及应急演练服务</w:t>
      </w:r>
    </w:p>
    <w:p w14:paraId="52FEABB7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若</w:t>
      </w:r>
      <w:r>
        <w:rPr>
          <w:rFonts w:hint="eastAsia" w:ascii="宋体" w:hAnsi="宋体"/>
          <w:sz w:val="24"/>
          <w:lang w:eastAsia="zh-CN"/>
        </w:rPr>
        <w:t>招标人</w:t>
      </w:r>
      <w:r>
        <w:rPr>
          <w:rFonts w:hint="eastAsia" w:ascii="宋体" w:hAnsi="宋体"/>
          <w:sz w:val="24"/>
        </w:rPr>
        <w:t>的环境进行调整，如网络调整、机房调整、上下游等环境进行调整，需配合</w:t>
      </w:r>
      <w:r>
        <w:rPr>
          <w:rFonts w:hint="eastAsia" w:ascii="宋体" w:hAnsi="宋体"/>
          <w:sz w:val="24"/>
          <w:lang w:eastAsia="zh-CN"/>
        </w:rPr>
        <w:t>招标人</w:t>
      </w:r>
      <w:r>
        <w:rPr>
          <w:rFonts w:hint="eastAsia" w:ascii="宋体" w:hAnsi="宋体"/>
          <w:sz w:val="24"/>
        </w:rPr>
        <w:t>进行调整以及系统运行状态确认和业务验证；</w:t>
      </w:r>
    </w:p>
    <w:p w14:paraId="0F0E7C1A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为保证系统的可靠运行，检验应急响应中协同反应水平和实战能力、评估应急响应预案的实用性、可行性、可靠性，依据应急预案，需对系统进行可靠性、应急演练，需提供演练方案和安排安全人员进行演练，并做好总结和问题修复。</w:t>
      </w:r>
    </w:p>
    <w:p w14:paraId="39BBA526">
      <w:pPr>
        <w:pStyle w:val="5"/>
        <w:numPr>
          <w:ilvl w:val="0"/>
          <w:numId w:val="0"/>
        </w:numPr>
        <w:spacing w:before="0" w:after="0" w:line="360" w:lineRule="auto"/>
        <w:ind w:firstLine="482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1.8信息安全服务</w:t>
      </w:r>
    </w:p>
    <w:p w14:paraId="3E7E6753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系统平台需符合相关安全规范要求，包含与系统平台相关的组件的漏洞修复和安全策略加固。每年配合</w:t>
      </w:r>
      <w:r>
        <w:rPr>
          <w:rFonts w:hint="eastAsia" w:ascii="宋体" w:hAnsi="宋体"/>
          <w:sz w:val="24"/>
          <w:lang w:eastAsia="zh-CN"/>
        </w:rPr>
        <w:t>招标人</w:t>
      </w:r>
      <w:r>
        <w:rPr>
          <w:rFonts w:hint="eastAsia" w:ascii="宋体" w:hAnsi="宋体"/>
          <w:sz w:val="24"/>
        </w:rPr>
        <w:t>完成等保的测评，对等保测评、渗透、扫描及相关安全检查等发现的安全问题、公布的安全漏洞等进行整改及安全策略加固，包含不限于操作系统、中间件、应用软件等层面漏洞修复和安全策略加固。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体">
    <w:altName w:val="方正仿宋_GBK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LKHHE B+ Palatino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E07395"/>
    <w:multiLevelType w:val="multilevel"/>
    <w:tmpl w:val="02E07395"/>
    <w:lvl w:ilvl="0" w:tentative="0">
      <w:start w:val="1"/>
      <w:numFmt w:val="chineseCounting"/>
      <w:suff w:val="nothing"/>
      <w:lvlText w:val="第%1章 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5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6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abstractNum w:abstractNumId="1">
    <w:nsid w:val="419A7D25"/>
    <w:multiLevelType w:val="multilevel"/>
    <w:tmpl w:val="419A7D25"/>
    <w:lvl w:ilvl="0" w:tentative="0">
      <w:start w:val="1"/>
      <w:numFmt w:val="japaneseCounting"/>
      <w:lvlText w:val="%1、"/>
      <w:lvlJc w:val="left"/>
      <w:pPr>
        <w:ind w:left="620" w:hanging="6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documentProtection w:enforcement="0"/>
  <w:defaultTabStop w:val="420"/>
  <w:drawingGridVerticalSpacing w:val="2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RlZWZmODljNWNhM2ZiMzhjYTc3NzY5MzJkZGY4NDgifQ=="/>
  </w:docVars>
  <w:rsids>
    <w:rsidRoot w:val="009D711F"/>
    <w:rsid w:val="00004610"/>
    <w:rsid w:val="000108C4"/>
    <w:rsid w:val="00011891"/>
    <w:rsid w:val="00022FF5"/>
    <w:rsid w:val="0004540A"/>
    <w:rsid w:val="000C3C23"/>
    <w:rsid w:val="000D00B4"/>
    <w:rsid w:val="000E3CDE"/>
    <w:rsid w:val="000E5757"/>
    <w:rsid w:val="00120158"/>
    <w:rsid w:val="00124BD4"/>
    <w:rsid w:val="00125576"/>
    <w:rsid w:val="00125A6F"/>
    <w:rsid w:val="00132F66"/>
    <w:rsid w:val="00133EA3"/>
    <w:rsid w:val="00135D72"/>
    <w:rsid w:val="00153D94"/>
    <w:rsid w:val="00187358"/>
    <w:rsid w:val="00191300"/>
    <w:rsid w:val="001A518E"/>
    <w:rsid w:val="001E06BC"/>
    <w:rsid w:val="00210478"/>
    <w:rsid w:val="00211A26"/>
    <w:rsid w:val="00212BE2"/>
    <w:rsid w:val="0022168B"/>
    <w:rsid w:val="002374EA"/>
    <w:rsid w:val="002515C5"/>
    <w:rsid w:val="002615EA"/>
    <w:rsid w:val="0026238A"/>
    <w:rsid w:val="00262BEC"/>
    <w:rsid w:val="00273B73"/>
    <w:rsid w:val="002844E3"/>
    <w:rsid w:val="00287342"/>
    <w:rsid w:val="002A71A4"/>
    <w:rsid w:val="002D79F7"/>
    <w:rsid w:val="00315890"/>
    <w:rsid w:val="00321875"/>
    <w:rsid w:val="00346D20"/>
    <w:rsid w:val="003541A7"/>
    <w:rsid w:val="003767BA"/>
    <w:rsid w:val="00383C81"/>
    <w:rsid w:val="003845C3"/>
    <w:rsid w:val="003900AC"/>
    <w:rsid w:val="003A0EC8"/>
    <w:rsid w:val="003A2946"/>
    <w:rsid w:val="003E2A29"/>
    <w:rsid w:val="0040459A"/>
    <w:rsid w:val="0042517B"/>
    <w:rsid w:val="00464CB9"/>
    <w:rsid w:val="004807B6"/>
    <w:rsid w:val="00493611"/>
    <w:rsid w:val="004B33F8"/>
    <w:rsid w:val="004C231E"/>
    <w:rsid w:val="004E0B83"/>
    <w:rsid w:val="004E1ECE"/>
    <w:rsid w:val="004E5C68"/>
    <w:rsid w:val="00503372"/>
    <w:rsid w:val="00505D68"/>
    <w:rsid w:val="00510F70"/>
    <w:rsid w:val="00523C21"/>
    <w:rsid w:val="0052593B"/>
    <w:rsid w:val="00557F30"/>
    <w:rsid w:val="00557F7C"/>
    <w:rsid w:val="00571237"/>
    <w:rsid w:val="00580C2E"/>
    <w:rsid w:val="005827C6"/>
    <w:rsid w:val="00583349"/>
    <w:rsid w:val="00593220"/>
    <w:rsid w:val="005A0BF7"/>
    <w:rsid w:val="005A6AC6"/>
    <w:rsid w:val="005A6C45"/>
    <w:rsid w:val="005B26FB"/>
    <w:rsid w:val="005B5D5E"/>
    <w:rsid w:val="005C4CDB"/>
    <w:rsid w:val="005E08F1"/>
    <w:rsid w:val="005E18F1"/>
    <w:rsid w:val="005E34DE"/>
    <w:rsid w:val="005E5EE8"/>
    <w:rsid w:val="005F02D3"/>
    <w:rsid w:val="005F1F18"/>
    <w:rsid w:val="005F3946"/>
    <w:rsid w:val="00601A44"/>
    <w:rsid w:val="006122F6"/>
    <w:rsid w:val="006145CF"/>
    <w:rsid w:val="006321F9"/>
    <w:rsid w:val="00641C96"/>
    <w:rsid w:val="00662F9D"/>
    <w:rsid w:val="00671D1C"/>
    <w:rsid w:val="006739A5"/>
    <w:rsid w:val="00680B08"/>
    <w:rsid w:val="00680BBF"/>
    <w:rsid w:val="00680DA4"/>
    <w:rsid w:val="0068592C"/>
    <w:rsid w:val="00692C9A"/>
    <w:rsid w:val="006E4B9A"/>
    <w:rsid w:val="007014EB"/>
    <w:rsid w:val="007348A6"/>
    <w:rsid w:val="00735AB6"/>
    <w:rsid w:val="007457D5"/>
    <w:rsid w:val="007664B9"/>
    <w:rsid w:val="00773EE8"/>
    <w:rsid w:val="007809A0"/>
    <w:rsid w:val="00783E90"/>
    <w:rsid w:val="007953C6"/>
    <w:rsid w:val="007A1039"/>
    <w:rsid w:val="007A23EE"/>
    <w:rsid w:val="007B0A8C"/>
    <w:rsid w:val="007B3CA6"/>
    <w:rsid w:val="007B6F74"/>
    <w:rsid w:val="007D0487"/>
    <w:rsid w:val="007E2EAE"/>
    <w:rsid w:val="007E3B54"/>
    <w:rsid w:val="007E4ECF"/>
    <w:rsid w:val="007F7935"/>
    <w:rsid w:val="0081182F"/>
    <w:rsid w:val="0081482D"/>
    <w:rsid w:val="00826775"/>
    <w:rsid w:val="00830FF6"/>
    <w:rsid w:val="0083643B"/>
    <w:rsid w:val="0084144D"/>
    <w:rsid w:val="0084228E"/>
    <w:rsid w:val="00864577"/>
    <w:rsid w:val="0087009A"/>
    <w:rsid w:val="00897471"/>
    <w:rsid w:val="00897D2C"/>
    <w:rsid w:val="008A1DB4"/>
    <w:rsid w:val="008D3FEF"/>
    <w:rsid w:val="008F2CD0"/>
    <w:rsid w:val="008F5D59"/>
    <w:rsid w:val="00904537"/>
    <w:rsid w:val="00922786"/>
    <w:rsid w:val="009240C6"/>
    <w:rsid w:val="0095309E"/>
    <w:rsid w:val="009679D9"/>
    <w:rsid w:val="00982404"/>
    <w:rsid w:val="009D711F"/>
    <w:rsid w:val="009E156A"/>
    <w:rsid w:val="009E42B5"/>
    <w:rsid w:val="009E7330"/>
    <w:rsid w:val="009F7500"/>
    <w:rsid w:val="00A1139D"/>
    <w:rsid w:val="00A172BC"/>
    <w:rsid w:val="00A236F3"/>
    <w:rsid w:val="00A5223E"/>
    <w:rsid w:val="00A84636"/>
    <w:rsid w:val="00AD291C"/>
    <w:rsid w:val="00AD4A2C"/>
    <w:rsid w:val="00AE2DB1"/>
    <w:rsid w:val="00B32EE6"/>
    <w:rsid w:val="00B83E2E"/>
    <w:rsid w:val="00BA7921"/>
    <w:rsid w:val="00BB4EF0"/>
    <w:rsid w:val="00BB7BF0"/>
    <w:rsid w:val="00BE2AEF"/>
    <w:rsid w:val="00BF2D30"/>
    <w:rsid w:val="00C11355"/>
    <w:rsid w:val="00C1623B"/>
    <w:rsid w:val="00C17CD8"/>
    <w:rsid w:val="00C21773"/>
    <w:rsid w:val="00C410A4"/>
    <w:rsid w:val="00C42C23"/>
    <w:rsid w:val="00C545B8"/>
    <w:rsid w:val="00C73C5E"/>
    <w:rsid w:val="00C802D3"/>
    <w:rsid w:val="00C80F42"/>
    <w:rsid w:val="00C81132"/>
    <w:rsid w:val="00C938E0"/>
    <w:rsid w:val="00CA2DFA"/>
    <w:rsid w:val="00CF6DF1"/>
    <w:rsid w:val="00D34A0E"/>
    <w:rsid w:val="00D43BCC"/>
    <w:rsid w:val="00D7098F"/>
    <w:rsid w:val="00D71A5B"/>
    <w:rsid w:val="00D75773"/>
    <w:rsid w:val="00D93D4E"/>
    <w:rsid w:val="00DA3FF0"/>
    <w:rsid w:val="00DB5D8A"/>
    <w:rsid w:val="00DC1377"/>
    <w:rsid w:val="00DF1321"/>
    <w:rsid w:val="00E103DA"/>
    <w:rsid w:val="00E4215A"/>
    <w:rsid w:val="00E6609E"/>
    <w:rsid w:val="00E72778"/>
    <w:rsid w:val="00E8628D"/>
    <w:rsid w:val="00E86F01"/>
    <w:rsid w:val="00E96046"/>
    <w:rsid w:val="00EA1D9A"/>
    <w:rsid w:val="00EB3AD8"/>
    <w:rsid w:val="00EB3B60"/>
    <w:rsid w:val="00EC593F"/>
    <w:rsid w:val="00ED4F8E"/>
    <w:rsid w:val="00F132C0"/>
    <w:rsid w:val="00F72EBF"/>
    <w:rsid w:val="00F7461C"/>
    <w:rsid w:val="00F92EF8"/>
    <w:rsid w:val="00F9566E"/>
    <w:rsid w:val="00FB70C8"/>
    <w:rsid w:val="00FC031E"/>
    <w:rsid w:val="00FC7509"/>
    <w:rsid w:val="00FD3128"/>
    <w:rsid w:val="00FD5E13"/>
    <w:rsid w:val="00FE09E4"/>
    <w:rsid w:val="00FF0681"/>
    <w:rsid w:val="00FF6AD5"/>
    <w:rsid w:val="01F971B0"/>
    <w:rsid w:val="02A8199B"/>
    <w:rsid w:val="03B94246"/>
    <w:rsid w:val="04102916"/>
    <w:rsid w:val="042269B2"/>
    <w:rsid w:val="04792073"/>
    <w:rsid w:val="04823442"/>
    <w:rsid w:val="04BA1FD6"/>
    <w:rsid w:val="052878D5"/>
    <w:rsid w:val="05706325"/>
    <w:rsid w:val="05825C4A"/>
    <w:rsid w:val="05A62574"/>
    <w:rsid w:val="05A752A3"/>
    <w:rsid w:val="06123B2E"/>
    <w:rsid w:val="061618D8"/>
    <w:rsid w:val="068C2AA6"/>
    <w:rsid w:val="06A02AF4"/>
    <w:rsid w:val="07504FB6"/>
    <w:rsid w:val="077F00A3"/>
    <w:rsid w:val="07E060CA"/>
    <w:rsid w:val="08206A86"/>
    <w:rsid w:val="089A09F3"/>
    <w:rsid w:val="08FC3585"/>
    <w:rsid w:val="090E2322"/>
    <w:rsid w:val="0D9F1DC3"/>
    <w:rsid w:val="0DB94680"/>
    <w:rsid w:val="0DE1526B"/>
    <w:rsid w:val="0F8013C4"/>
    <w:rsid w:val="107142C8"/>
    <w:rsid w:val="11BC4694"/>
    <w:rsid w:val="123A5F3E"/>
    <w:rsid w:val="1319248D"/>
    <w:rsid w:val="151947FE"/>
    <w:rsid w:val="156F517A"/>
    <w:rsid w:val="15FD6632"/>
    <w:rsid w:val="160950AD"/>
    <w:rsid w:val="16302F25"/>
    <w:rsid w:val="165C62DB"/>
    <w:rsid w:val="16612C47"/>
    <w:rsid w:val="16C87C07"/>
    <w:rsid w:val="16D73D1B"/>
    <w:rsid w:val="175B3C78"/>
    <w:rsid w:val="176333D2"/>
    <w:rsid w:val="17955982"/>
    <w:rsid w:val="18212973"/>
    <w:rsid w:val="18D058ED"/>
    <w:rsid w:val="19322427"/>
    <w:rsid w:val="19AC6AF4"/>
    <w:rsid w:val="1A3477C4"/>
    <w:rsid w:val="1A6C1935"/>
    <w:rsid w:val="1A7B06FD"/>
    <w:rsid w:val="1AE45BF4"/>
    <w:rsid w:val="1C38318C"/>
    <w:rsid w:val="1C7678C4"/>
    <w:rsid w:val="1D403858"/>
    <w:rsid w:val="1D87384D"/>
    <w:rsid w:val="1D8A4903"/>
    <w:rsid w:val="1DAE6295"/>
    <w:rsid w:val="1DB4109C"/>
    <w:rsid w:val="1E380731"/>
    <w:rsid w:val="1E403142"/>
    <w:rsid w:val="1E833EC6"/>
    <w:rsid w:val="1EA700BC"/>
    <w:rsid w:val="1EE71E22"/>
    <w:rsid w:val="1EF32414"/>
    <w:rsid w:val="1F422FD0"/>
    <w:rsid w:val="205D5FB8"/>
    <w:rsid w:val="20BE20B5"/>
    <w:rsid w:val="20E56936"/>
    <w:rsid w:val="211467ED"/>
    <w:rsid w:val="217F396E"/>
    <w:rsid w:val="223E478E"/>
    <w:rsid w:val="22C9023D"/>
    <w:rsid w:val="23077084"/>
    <w:rsid w:val="2322550C"/>
    <w:rsid w:val="23A93917"/>
    <w:rsid w:val="23CD7C1F"/>
    <w:rsid w:val="24046961"/>
    <w:rsid w:val="240E4511"/>
    <w:rsid w:val="248D60CD"/>
    <w:rsid w:val="249B5D76"/>
    <w:rsid w:val="24BA29F5"/>
    <w:rsid w:val="255D4FD5"/>
    <w:rsid w:val="25634F78"/>
    <w:rsid w:val="26302BF1"/>
    <w:rsid w:val="275863FE"/>
    <w:rsid w:val="27656538"/>
    <w:rsid w:val="27A73754"/>
    <w:rsid w:val="29336385"/>
    <w:rsid w:val="2953157D"/>
    <w:rsid w:val="2A571319"/>
    <w:rsid w:val="2A5E5BEC"/>
    <w:rsid w:val="2A8624FC"/>
    <w:rsid w:val="2ADF2143"/>
    <w:rsid w:val="2B0924B3"/>
    <w:rsid w:val="2B970139"/>
    <w:rsid w:val="2BBB5519"/>
    <w:rsid w:val="2C125544"/>
    <w:rsid w:val="2C4270E3"/>
    <w:rsid w:val="2C8C3640"/>
    <w:rsid w:val="2CB27F13"/>
    <w:rsid w:val="2CCD0F33"/>
    <w:rsid w:val="2CE900F0"/>
    <w:rsid w:val="2E0F3FEE"/>
    <w:rsid w:val="300A0FD2"/>
    <w:rsid w:val="30EC6900"/>
    <w:rsid w:val="31011B73"/>
    <w:rsid w:val="31170AC4"/>
    <w:rsid w:val="31741BD1"/>
    <w:rsid w:val="318039DA"/>
    <w:rsid w:val="32A2359B"/>
    <w:rsid w:val="32D14857"/>
    <w:rsid w:val="33381C51"/>
    <w:rsid w:val="35D329E0"/>
    <w:rsid w:val="36976F12"/>
    <w:rsid w:val="38161A64"/>
    <w:rsid w:val="391E4F75"/>
    <w:rsid w:val="39BD6064"/>
    <w:rsid w:val="39DD1D6C"/>
    <w:rsid w:val="3A161E70"/>
    <w:rsid w:val="3B787BA9"/>
    <w:rsid w:val="3B7B6722"/>
    <w:rsid w:val="3C0723C0"/>
    <w:rsid w:val="3C0E61D6"/>
    <w:rsid w:val="3C3F596C"/>
    <w:rsid w:val="3C6C3FE5"/>
    <w:rsid w:val="3CCD3D1B"/>
    <w:rsid w:val="3DA71246"/>
    <w:rsid w:val="3DD112BA"/>
    <w:rsid w:val="3DE83D8D"/>
    <w:rsid w:val="3EC0100B"/>
    <w:rsid w:val="3ED119DE"/>
    <w:rsid w:val="3F215E8D"/>
    <w:rsid w:val="3FB314F3"/>
    <w:rsid w:val="3FC2384E"/>
    <w:rsid w:val="408A5CB3"/>
    <w:rsid w:val="4194717D"/>
    <w:rsid w:val="41A15010"/>
    <w:rsid w:val="4278473A"/>
    <w:rsid w:val="428E14DE"/>
    <w:rsid w:val="43C16D29"/>
    <w:rsid w:val="44A111E4"/>
    <w:rsid w:val="44CC6814"/>
    <w:rsid w:val="44DA4E02"/>
    <w:rsid w:val="44FA7C3F"/>
    <w:rsid w:val="453F40FA"/>
    <w:rsid w:val="45E648B0"/>
    <w:rsid w:val="466170FB"/>
    <w:rsid w:val="47553FAE"/>
    <w:rsid w:val="4760114D"/>
    <w:rsid w:val="47A37E3E"/>
    <w:rsid w:val="482939BF"/>
    <w:rsid w:val="484E5E9D"/>
    <w:rsid w:val="48C63B98"/>
    <w:rsid w:val="49406624"/>
    <w:rsid w:val="49ED197A"/>
    <w:rsid w:val="4A3C1ECE"/>
    <w:rsid w:val="4ADB3F74"/>
    <w:rsid w:val="4B70526A"/>
    <w:rsid w:val="4B9338C5"/>
    <w:rsid w:val="4C221024"/>
    <w:rsid w:val="4CF035CB"/>
    <w:rsid w:val="4D4752E8"/>
    <w:rsid w:val="4D9D560B"/>
    <w:rsid w:val="4E331D07"/>
    <w:rsid w:val="4ED33443"/>
    <w:rsid w:val="4F036BF8"/>
    <w:rsid w:val="504246C9"/>
    <w:rsid w:val="50892910"/>
    <w:rsid w:val="51835FBF"/>
    <w:rsid w:val="51CF3EB6"/>
    <w:rsid w:val="52155943"/>
    <w:rsid w:val="524724F9"/>
    <w:rsid w:val="529C6A94"/>
    <w:rsid w:val="53DF612B"/>
    <w:rsid w:val="54026103"/>
    <w:rsid w:val="546D3BC9"/>
    <w:rsid w:val="54883E37"/>
    <w:rsid w:val="54F712B4"/>
    <w:rsid w:val="54FD34C1"/>
    <w:rsid w:val="55BA49E9"/>
    <w:rsid w:val="55BC6024"/>
    <w:rsid w:val="55C20305"/>
    <w:rsid w:val="55E71B19"/>
    <w:rsid w:val="566F16C2"/>
    <w:rsid w:val="570F757A"/>
    <w:rsid w:val="57437197"/>
    <w:rsid w:val="5778243D"/>
    <w:rsid w:val="57F9527F"/>
    <w:rsid w:val="5854618C"/>
    <w:rsid w:val="59C642EE"/>
    <w:rsid w:val="5A9E3691"/>
    <w:rsid w:val="5AB81117"/>
    <w:rsid w:val="5B005D9F"/>
    <w:rsid w:val="5C0A6952"/>
    <w:rsid w:val="5D7A66B4"/>
    <w:rsid w:val="5D891FCB"/>
    <w:rsid w:val="5E2B6DFB"/>
    <w:rsid w:val="5E6741C7"/>
    <w:rsid w:val="5E6D556C"/>
    <w:rsid w:val="5EA11EA7"/>
    <w:rsid w:val="5F6D3613"/>
    <w:rsid w:val="609C3C0B"/>
    <w:rsid w:val="60CC43C0"/>
    <w:rsid w:val="60F1667C"/>
    <w:rsid w:val="618618CE"/>
    <w:rsid w:val="624842C0"/>
    <w:rsid w:val="62A96AD4"/>
    <w:rsid w:val="631019E4"/>
    <w:rsid w:val="63252BC2"/>
    <w:rsid w:val="634B7FD3"/>
    <w:rsid w:val="64226CCE"/>
    <w:rsid w:val="64641702"/>
    <w:rsid w:val="64B657A2"/>
    <w:rsid w:val="655B1A26"/>
    <w:rsid w:val="657310AD"/>
    <w:rsid w:val="65817EF5"/>
    <w:rsid w:val="658B4A36"/>
    <w:rsid w:val="65E128EB"/>
    <w:rsid w:val="670B2E58"/>
    <w:rsid w:val="67F31962"/>
    <w:rsid w:val="684574FB"/>
    <w:rsid w:val="68C41D74"/>
    <w:rsid w:val="690E6FC6"/>
    <w:rsid w:val="69204799"/>
    <w:rsid w:val="693206E8"/>
    <w:rsid w:val="6AB6136D"/>
    <w:rsid w:val="6C0C33EC"/>
    <w:rsid w:val="6C461851"/>
    <w:rsid w:val="6C700663"/>
    <w:rsid w:val="6C795EB9"/>
    <w:rsid w:val="6CA47EF5"/>
    <w:rsid w:val="6CAD4AD8"/>
    <w:rsid w:val="6D5907B2"/>
    <w:rsid w:val="6DD051C8"/>
    <w:rsid w:val="6EB92425"/>
    <w:rsid w:val="6F7F304C"/>
    <w:rsid w:val="6F9FFD90"/>
    <w:rsid w:val="6FC34322"/>
    <w:rsid w:val="702A41E4"/>
    <w:rsid w:val="702D2D33"/>
    <w:rsid w:val="70C01D60"/>
    <w:rsid w:val="711073F6"/>
    <w:rsid w:val="71AF7537"/>
    <w:rsid w:val="72175614"/>
    <w:rsid w:val="72937B28"/>
    <w:rsid w:val="72CE3833"/>
    <w:rsid w:val="72D66DD7"/>
    <w:rsid w:val="732E3921"/>
    <w:rsid w:val="73830C7C"/>
    <w:rsid w:val="74276179"/>
    <w:rsid w:val="74277A15"/>
    <w:rsid w:val="747C5AA5"/>
    <w:rsid w:val="74A919FB"/>
    <w:rsid w:val="74F85522"/>
    <w:rsid w:val="75B173BC"/>
    <w:rsid w:val="75CC10A0"/>
    <w:rsid w:val="76A90904"/>
    <w:rsid w:val="77A14380"/>
    <w:rsid w:val="78A015DF"/>
    <w:rsid w:val="78D70444"/>
    <w:rsid w:val="799C3096"/>
    <w:rsid w:val="799C622E"/>
    <w:rsid w:val="7A8225E3"/>
    <w:rsid w:val="7AEE7C3D"/>
    <w:rsid w:val="7B195369"/>
    <w:rsid w:val="7BA63CA4"/>
    <w:rsid w:val="7BE116CB"/>
    <w:rsid w:val="7BE755B7"/>
    <w:rsid w:val="7BFE6B76"/>
    <w:rsid w:val="7C484029"/>
    <w:rsid w:val="7CC73F74"/>
    <w:rsid w:val="7D17640F"/>
    <w:rsid w:val="7D7327D7"/>
    <w:rsid w:val="7DDC7C4B"/>
    <w:rsid w:val="7E3F6FA8"/>
    <w:rsid w:val="7ED31DC6"/>
    <w:rsid w:val="7F546BD4"/>
    <w:rsid w:val="906FB393"/>
    <w:rsid w:val="D15E40CB"/>
    <w:rsid w:val="F7F3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paragraph" w:styleId="4">
    <w:name w:val="heading 2"/>
    <w:basedOn w:val="1"/>
    <w:next w:val="1"/>
    <w:link w:val="2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paragraph" w:styleId="5">
    <w:name w:val="heading 3"/>
    <w:basedOn w:val="1"/>
    <w:next w:val="1"/>
    <w:unhideWhenUsed/>
    <w:qFormat/>
    <w:uiPriority w:val="9"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6">
    <w:name w:val="heading 4"/>
    <w:basedOn w:val="1"/>
    <w:next w:val="1"/>
    <w:unhideWhenUsed/>
    <w:qFormat/>
    <w:uiPriority w:val="9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420" w:leftChars="200"/>
    </w:pPr>
  </w:style>
  <w:style w:type="paragraph" w:styleId="7">
    <w:name w:val="Normal Indent"/>
    <w:basedOn w:val="1"/>
    <w:link w:val="24"/>
    <w:qFormat/>
    <w:uiPriority w:val="99"/>
    <w:pPr>
      <w:spacing w:after="50" w:afterLines="50" w:line="360" w:lineRule="auto"/>
      <w:ind w:firstLine="420" w:firstLineChars="200"/>
    </w:pPr>
    <w:rPr>
      <w:rFonts w:ascii="Calibri" w:hAnsi="Calibri"/>
    </w:rPr>
  </w:style>
  <w:style w:type="paragraph" w:styleId="8">
    <w:name w:val="Balloon Text"/>
    <w:basedOn w:val="1"/>
    <w:link w:val="26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0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99"/>
    <w:pPr>
      <w:autoSpaceDE w:val="0"/>
      <w:autoSpaceDN w:val="0"/>
      <w:spacing w:beforeAutospacing="1" w:afterAutospacing="1"/>
      <w:jc w:val="left"/>
    </w:pPr>
    <w:rPr>
      <w:rFonts w:ascii="宋体" w:hAnsi="宋体"/>
      <w:kern w:val="0"/>
      <w:sz w:val="24"/>
      <w:szCs w:val="22"/>
    </w:rPr>
  </w:style>
  <w:style w:type="table" w:styleId="13">
    <w:name w:val="Table Grid"/>
    <w:basedOn w:val="12"/>
    <w:qFormat/>
    <w:uiPriority w:val="39"/>
    <w:pPr>
      <w:spacing w:before="20" w:beforeLines="20" w:after="20" w:afterLines="20" w:line="360" w:lineRule="auto"/>
      <w:jc w:val="both"/>
    </w:pPr>
    <w:tblPr>
      <w:tblBorders>
        <w:top w:val="single" w:color="auto" w:sz="6" w:space="0"/>
        <w:left w:val="single" w:color="auto" w:sz="6" w:space="0"/>
        <w:bottom w:val="single" w:color="auto" w:sz="6" w:space="0"/>
        <w:right w:val="single" w:color="auto" w:sz="6" w:space="0"/>
        <w:insideH w:val="single" w:color="auto" w:sz="6" w:space="0"/>
        <w:insideV w:val="single" w:color="auto" w:sz="6" w:space="0"/>
      </w:tblBorders>
    </w:tblPr>
    <w:tcPr>
      <w:shd w:val="clear" w:color="auto" w:fill="FFFFFF" w:themeFill="background1"/>
      <w:vAlign w:val="center"/>
    </w:tcPr>
    <w:tblStylePr w:type="firstRow">
      <w:pPr>
        <w:wordWrap/>
        <w:spacing w:line="360" w:lineRule="auto"/>
        <w:jc w:val="center"/>
      </w:pPr>
      <w:rPr>
        <w:rFonts w:ascii="Times New Roman" w:hAnsi="Times New Roman" w:eastAsiaTheme="minorEastAsia"/>
        <w:b/>
        <w:sz w:val="24"/>
      </w:rPr>
      <w:tcPr>
        <w:shd w:val="clear" w:color="auto" w:fill="D8D8D8" w:themeFill="background1" w:themeFillShade="D9"/>
      </w:tcPr>
    </w:tblStylePr>
  </w:style>
  <w:style w:type="paragraph" w:customStyle="1" w:styleId="15">
    <w:name w:val="table"/>
    <w:basedOn w:val="1"/>
    <w:qFormat/>
    <w:uiPriority w:val="0"/>
    <w:pPr>
      <w:widowControl/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仿宋体" w:eastAsia="仿宋体"/>
      <w:kern w:val="0"/>
      <w:sz w:val="24"/>
      <w:szCs w:val="20"/>
    </w:rPr>
  </w:style>
  <w:style w:type="character" w:customStyle="1" w:styleId="16">
    <w:name w:val="标题 1 字符"/>
    <w:basedOn w:val="14"/>
    <w:link w:val="3"/>
    <w:qFormat/>
    <w:uiPriority w:val="9"/>
    <w:rPr>
      <w:rFonts w:ascii="Times New Roman" w:hAnsi="Times New Roman" w:eastAsia="宋体" w:cs="Times New Roman"/>
      <w:b/>
      <w:bCs/>
      <w:kern w:val="44"/>
      <w:sz w:val="32"/>
      <w:szCs w:val="44"/>
    </w:rPr>
  </w:style>
  <w:style w:type="paragraph" w:styleId="17">
    <w:name w:val="List Paragraph"/>
    <w:basedOn w:val="1"/>
    <w:link w:val="25"/>
    <w:qFormat/>
    <w:uiPriority w:val="34"/>
    <w:pPr>
      <w:ind w:firstLine="420" w:firstLineChars="200"/>
    </w:p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LKHHE B+ Palatino" w:hAnsi="Times New Roman" w:eastAsia="LKHHE B+ Palatino" w:cs="LKHHE B+ Palatino"/>
      <w:color w:val="000000"/>
      <w:sz w:val="24"/>
      <w:szCs w:val="24"/>
      <w:lang w:val="en-US" w:eastAsia="zh-CN" w:bidi="ar-SA"/>
    </w:rPr>
  </w:style>
  <w:style w:type="paragraph" w:customStyle="1" w:styleId="19">
    <w:name w:val="正文360首行缩进"/>
    <w:basedOn w:val="1"/>
    <w:link w:val="20"/>
    <w:qFormat/>
    <w:uiPriority w:val="0"/>
    <w:pPr>
      <w:widowControl/>
      <w:spacing w:after="50" w:line="300" w:lineRule="auto"/>
      <w:ind w:firstLine="200" w:firstLineChars="200"/>
      <w:jc w:val="left"/>
    </w:pPr>
    <w:rPr>
      <w:rFonts w:ascii="Arial" w:hAnsi="Arial" w:eastAsia="等线"/>
      <w:kern w:val="0"/>
      <w:szCs w:val="21"/>
    </w:rPr>
  </w:style>
  <w:style w:type="character" w:customStyle="1" w:styleId="20">
    <w:name w:val="正文360首行缩进 Char"/>
    <w:link w:val="19"/>
    <w:qFormat/>
    <w:uiPriority w:val="0"/>
    <w:rPr>
      <w:rFonts w:ascii="Arial" w:hAnsi="Arial" w:eastAsia="等线" w:cs="Times New Roman"/>
      <w:kern w:val="0"/>
      <w:sz w:val="21"/>
      <w:szCs w:val="21"/>
    </w:rPr>
  </w:style>
  <w:style w:type="character" w:customStyle="1" w:styleId="21">
    <w:name w:val="标题 2 字符"/>
    <w:basedOn w:val="14"/>
    <w:link w:val="4"/>
    <w:qFormat/>
    <w:uiPriority w:val="9"/>
    <w:rPr>
      <w:rFonts w:eastAsia="宋体" w:asciiTheme="majorHAnsi" w:hAnsiTheme="majorHAnsi" w:cstheme="majorBidi"/>
      <w:b/>
      <w:bCs/>
      <w:sz w:val="30"/>
      <w:szCs w:val="32"/>
    </w:rPr>
  </w:style>
  <w:style w:type="paragraph" w:customStyle="1" w:styleId="22">
    <w:name w:val="正文-奇安信"/>
    <w:basedOn w:val="1"/>
    <w:qFormat/>
    <w:uiPriority w:val="0"/>
    <w:pPr>
      <w:ind w:firstLine="420"/>
    </w:pPr>
    <w:rPr>
      <w:rFonts w:eastAsia="仿宋"/>
      <w:sz w:val="24"/>
      <w:szCs w:val="20"/>
    </w:rPr>
  </w:style>
  <w:style w:type="paragraph" w:customStyle="1" w:styleId="23">
    <w:name w:val="Table Paragraph"/>
    <w:basedOn w:val="1"/>
    <w:qFormat/>
    <w:uiPriority w:val="1"/>
    <w:rPr>
      <w:rFonts w:ascii="新宋体" w:hAnsi="新宋体" w:eastAsia="新宋体" w:cs="新宋体"/>
      <w:lang w:val="zh-CN" w:bidi="zh-CN"/>
    </w:rPr>
  </w:style>
  <w:style w:type="character" w:customStyle="1" w:styleId="24">
    <w:name w:val="正文缩进 字符"/>
    <w:link w:val="7"/>
    <w:qFormat/>
    <w:locked/>
    <w:uiPriority w:val="99"/>
    <w:rPr>
      <w:rFonts w:ascii="Calibri" w:hAnsi="Calibri"/>
      <w:kern w:val="2"/>
      <w:sz w:val="21"/>
      <w:szCs w:val="24"/>
    </w:rPr>
  </w:style>
  <w:style w:type="character" w:customStyle="1" w:styleId="25">
    <w:name w:val="列表段落 字符"/>
    <w:link w:val="17"/>
    <w:qFormat/>
    <w:uiPriority w:val="34"/>
    <w:rPr>
      <w:kern w:val="2"/>
      <w:sz w:val="21"/>
      <w:szCs w:val="24"/>
    </w:rPr>
  </w:style>
  <w:style w:type="character" w:customStyle="1" w:styleId="26">
    <w:name w:val="批注框文本 字符"/>
    <w:basedOn w:val="14"/>
    <w:link w:val="8"/>
    <w:semiHidden/>
    <w:qFormat/>
    <w:uiPriority w:val="99"/>
    <w:rPr>
      <w:kern w:val="2"/>
      <w:sz w:val="18"/>
      <w:szCs w:val="18"/>
    </w:rPr>
  </w:style>
  <w:style w:type="paragraph" w:customStyle="1" w:styleId="27">
    <w:name w:val="shortdesc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8">
    <w:name w:val="ph"/>
    <w:basedOn w:val="1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1849</Words>
  <Characters>1942</Characters>
  <Lines>14</Lines>
  <Paragraphs>4</Paragraphs>
  <TotalTime>208</TotalTime>
  <ScaleCrop>false</ScaleCrop>
  <LinksUpToDate>false</LinksUpToDate>
  <CharactersWithSpaces>1942</CharactersWithSpaces>
  <Application>WPS Office_12.1.0.22525_F1E327BC-269C-435d-A152-05C5408002CA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2021-09-03T20:16:00Z</dcterms:created>
  <dc:creator>Office365</dc:creator>
  <cp:lastModifiedBy>gc</cp:lastModifiedBy>
  <dcterms:modified xsi:type="dcterms:W3CDTF">2026-01-28T09:00:05Z</dcterms:modified>
  <cp:revision>154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otCYQxs9Dbw2bUEn/Soxv9pYAoWsCRIsU8+gIbxzzmNcJN13+qHIPyWmbF9hFzPHyi2m8DLwi54E5OVVM5pJ0yGmgAiYTaR6oYUdYZxdjep6I9xviFUFZ9aTScfBW9OGBuKtCMU8Y2lGnN4iQE0T5LzWjiQWbcL1x52B3J61DiWh4ig5i5ssc8rfPzzNsSSbtAu/vWqouhmc7Zwsa+BNOjwDSZgzJ/UxufYbs/2f/NxAmnq7hvtUSz04n3bVQHE</vt:lpwstr>
  </property>
  <property fmtid="{D5CDD505-2E9C-101B-9397-08002B2CF9AE}" pid="3" name="KSOProductBuildVer">
    <vt:lpwstr>2052-12.1.0.22525</vt:lpwstr>
  </property>
  <property fmtid="{D5CDD505-2E9C-101B-9397-08002B2CF9AE}" pid="4" name="ICV">
    <vt:lpwstr>2881F617F8AD4EB082421D9E5C984605_13</vt:lpwstr>
  </property>
  <property fmtid="{D5CDD505-2E9C-101B-9397-08002B2CF9AE}" pid="5" name="KSOTemplateDocerSaveRecord">
    <vt:lpwstr>eyJoZGlkIjoiNzg5M2RhNDE3ZjYzZmU1MTk2Yzc0ZjQ5NWVkMGNjNmUiLCJ1c2VySWQiOiI2MjU5ODg1NTIifQ==</vt:lpwstr>
  </property>
</Properties>
</file>