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197C5A">
      <w:pPr>
        <w:pStyle w:val="21"/>
        <w:spacing w:after="156"/>
        <w:rPr>
          <w:sz w:val="44"/>
          <w:szCs w:val="44"/>
        </w:rPr>
      </w:pPr>
      <w:bookmarkStart w:id="0" w:name="_Toc5830"/>
      <w:bookmarkStart w:id="1" w:name="_Toc22305827"/>
      <w:bookmarkStart w:id="2" w:name="_Toc22305828"/>
      <w:r>
        <w:rPr>
          <w:rFonts w:hint="eastAsia"/>
          <w:sz w:val="44"/>
          <w:szCs w:val="44"/>
        </w:rPr>
        <w:t>2026年人民北办公网无线网络设备替换项目市场调研需求</w:t>
      </w:r>
    </w:p>
    <w:p w14:paraId="13948178">
      <w:pPr>
        <w:pStyle w:val="4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项目概述</w:t>
      </w:r>
    </w:p>
    <w:p w14:paraId="43378E3E">
      <w:pPr>
        <w:pStyle w:val="7"/>
        <w:spacing w:after="156" w:line="276" w:lineRule="auto"/>
        <w:ind w:firstLine="560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广东南方新媒体股份有限公司的办公网无线网络于2017年完成建设，至今为止，无线控制器、部分无线AP设备和P</w:t>
      </w:r>
      <w:r>
        <w:rPr>
          <w:rFonts w:ascii="仿宋" w:hAnsi="仿宋" w:eastAsia="仿宋"/>
          <w:kern w:val="0"/>
          <w:sz w:val="28"/>
          <w:szCs w:val="28"/>
        </w:rPr>
        <w:t>OE</w:t>
      </w:r>
      <w:r>
        <w:rPr>
          <w:rFonts w:hint="eastAsia" w:ascii="仿宋" w:hAnsi="仿宋" w:eastAsia="仿宋"/>
          <w:kern w:val="0"/>
          <w:sz w:val="28"/>
          <w:szCs w:val="28"/>
        </w:rPr>
        <w:t>交换机的使用年限已超过8年，厂商已终止服务支持，不再提供技术维护、安全补丁及备件，网络稳定性与可用性难以保障。无线网络系统建设的时候是基于WiFi5的技术标准设计的，目前该技术已落后于主流标准，无线</w:t>
      </w:r>
      <w:r>
        <w:rPr>
          <w:rFonts w:ascii="仿宋" w:hAnsi="仿宋" w:eastAsia="仿宋"/>
          <w:kern w:val="0"/>
          <w:sz w:val="28"/>
          <w:szCs w:val="28"/>
        </w:rPr>
        <w:t>AP的网络带宽、并发接入能力有限，容易出现卡顿、延迟等问题，制约办公效率。</w:t>
      </w:r>
    </w:p>
    <w:p w14:paraId="4558BC76">
      <w:pPr>
        <w:pStyle w:val="7"/>
        <w:spacing w:after="156" w:line="276" w:lineRule="auto"/>
        <w:ind w:firstLine="560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综上所述，为解决以上问题，计划启动本次无线控制器和AP等设备的替换项目，建设基于WiFi7标准及国产芯片的新一代办公无线网络，支撑单位业务高效开展的同时又能满足国产化政策的要求。</w:t>
      </w:r>
    </w:p>
    <w:p w14:paraId="7842CFD5">
      <w:pPr>
        <w:pStyle w:val="4"/>
        <w:rPr>
          <w:rFonts w:ascii="宋体" w:hAnsi="宋体" w:eastAsia="宋体"/>
        </w:rPr>
      </w:pPr>
      <w:bookmarkStart w:id="3" w:name="_Toc18289"/>
      <w:r>
        <w:rPr>
          <w:rFonts w:hint="eastAsia" w:ascii="宋体" w:hAnsi="宋体" w:eastAsia="宋体"/>
        </w:rPr>
        <w:t>技术需求</w:t>
      </w:r>
      <w:bookmarkEnd w:id="0"/>
      <w:bookmarkEnd w:id="1"/>
      <w:bookmarkEnd w:id="3"/>
    </w:p>
    <w:p w14:paraId="362C1DD5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bookmarkStart w:id="4" w:name="_Toc15017"/>
      <w:bookmarkStart w:id="5" w:name="_Toc9580"/>
      <w:r>
        <w:rPr>
          <w:rFonts w:hint="eastAsia" w:ascii="仿宋" w:hAnsi="仿宋" w:eastAsia="仿宋"/>
          <w:kern w:val="0"/>
          <w:sz w:val="28"/>
          <w:szCs w:val="28"/>
        </w:rPr>
        <w:t>本次项目要求为对现有企业无线设施替换，开放办公区、会议室采用AP吸顶部署，采用室内型AP内置全向天线，WI-FI7标准。</w:t>
      </w:r>
    </w:p>
    <w:p w14:paraId="55814D2B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安装方式：所有无线访问点（AP）均采用内置智能天线设计，安装方式为吸顶式安装，确保安装牢固、美观，且不影响现场环境布局。</w:t>
      </w:r>
    </w:p>
    <w:p w14:paraId="5C7A4DD3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点位部署原则：AP点位需严格参照项目设计图纸规划位置执行，整体采用等边三角形部署方案，保障信号覆盖的均匀性与稳定性。</w:t>
      </w:r>
    </w:p>
    <w:p w14:paraId="5B08845F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频段与带宽配置：推荐采用混合频段组网方案，具体参数为2.4G频段配置20MHz带宽，5G频段配置40MHz带宽，保障网络速率与兼容性。</w:t>
      </w:r>
    </w:p>
    <w:p w14:paraId="70CB1FDA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信道规划：AP信道规划需严格参照项目设计图纸执行，合理分配2.4G及5G频段信道，避免同频、邻频干扰，提升网络整体稳定性。</w:t>
      </w:r>
    </w:p>
    <w:p w14:paraId="3B91EB40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2.4G频段管控：鉴于2.4G频段可用信道资源稀缺，且易受外部系统干扰，需采取干扰抑制措施，可选择关闭部分2.4G射频以减少同频干扰，具体方案需结合现场干扰检测结果优化。</w:t>
      </w:r>
    </w:p>
    <w:p w14:paraId="67FAD63B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邻频干扰防控：严格执行AP间距约束要求（全向天线AP间距≥6米），同时通过科学的信道规划、频段管控，从部署及配置层面双重规避邻频干扰，保障无线链路吞吐性能及传输质量。</w:t>
      </w:r>
    </w:p>
    <w:p w14:paraId="1CF9896D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信号覆盖标准：覆盖区域信号距AP接入点10米距离内终端</w:t>
      </w:r>
      <w:r>
        <w:rPr>
          <w:rFonts w:ascii="仿宋" w:hAnsi="仿宋" w:eastAsia="仿宋"/>
          <w:kern w:val="0"/>
          <w:sz w:val="28"/>
          <w:szCs w:val="28"/>
        </w:rPr>
        <w:t>95%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 区域RSSI值≥-65dBm，95%的区域SINR＞20dB、同频干扰信道数量≤2个，漫游丢包率&lt;1%。</w:t>
      </w:r>
    </w:p>
    <w:p w14:paraId="2C19D4F8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支持MAC、Portal、802.1X认证，Portal页面支持内置或自定义或重定向，支持LDAP和域控认证源对接，可配置用户账号域与 SSID 绑定。</w:t>
      </w:r>
    </w:p>
    <w:p w14:paraId="760BF4AC">
      <w:pPr>
        <w:pStyle w:val="4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采购需求</w:t>
      </w:r>
      <w:bookmarkEnd w:id="2"/>
      <w:bookmarkEnd w:id="4"/>
      <w:bookmarkEnd w:id="5"/>
    </w:p>
    <w:p w14:paraId="48C2ECB3">
      <w:pPr>
        <w:pStyle w:val="7"/>
        <w:ind w:firstLine="0"/>
        <w:rPr>
          <w:rFonts w:ascii="宋体" w:hAnsi="宋体"/>
          <w:sz w:val="30"/>
          <w:szCs w:val="30"/>
        </w:rPr>
      </w:pPr>
      <w:bookmarkStart w:id="6" w:name="_Toc22292"/>
      <w:r>
        <w:rPr>
          <w:rFonts w:hint="eastAsia" w:ascii="宋体" w:hAnsi="宋体"/>
          <w:sz w:val="30"/>
          <w:szCs w:val="30"/>
        </w:rPr>
        <w:t>（1）需求清单</w:t>
      </w:r>
      <w:bookmarkEnd w:id="6"/>
    </w:p>
    <w:p w14:paraId="1FC833C2">
      <w:pPr>
        <w:pStyle w:val="7"/>
        <w:spacing w:after="156"/>
        <w:ind w:firstLine="560" w:firstLineChars="200"/>
        <w:rPr>
          <w:rFonts w:hint="eastAsia" w:ascii="仿宋" w:hAnsi="仿宋" w:eastAsia="仿宋" w:cs="宋体"/>
          <w:b/>
          <w:color w:val="000000"/>
          <w:kern w:val="0"/>
          <w:sz w:val="28"/>
          <w:szCs w:val="28"/>
        </w:rPr>
      </w:pPr>
      <w:bookmarkStart w:id="7" w:name="_Toc22305834"/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本次项目将采购建设2台无线控制器、5台POE交换机、61台无线AP、24个10G多模光模块，所有软硬件设备要求提供5年7x24小时原厂维保服务，备件4小时内到达。详细采购需求清单如下：</w:t>
      </w:r>
    </w:p>
    <w:tbl>
      <w:tblPr>
        <w:tblStyle w:val="23"/>
        <w:tblpPr w:leftFromText="180" w:rightFromText="180" w:vertAnchor="text" w:horzAnchor="page" w:tblpX="1793" w:tblpY="384"/>
        <w:tblOverlap w:val="never"/>
        <w:tblW w:w="5492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952"/>
        <w:gridCol w:w="5376"/>
        <w:gridCol w:w="653"/>
        <w:gridCol w:w="683"/>
      </w:tblGrid>
      <w:tr w14:paraId="78CC2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3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076C0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序号</w:t>
            </w: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CF2BF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货物名称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692C18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规格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1BB928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单位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F56B20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数量</w:t>
            </w:r>
          </w:p>
        </w:tc>
      </w:tr>
      <w:tr w14:paraId="45D9A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6" w:hRule="atLeast"/>
        </w:trPr>
        <w:tc>
          <w:tcPr>
            <w:tcW w:w="368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5DE49870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7CB05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无线控制器（含许可）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2978FB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F6FE26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A890A5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</w:p>
        </w:tc>
      </w:tr>
      <w:tr w14:paraId="66D1E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368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DB52D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CED1E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无线控制器5年原厂维保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EFAED2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009D92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63387C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  <w:tr w14:paraId="4FE26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1" w:hRule="atLeast"/>
        </w:trPr>
        <w:tc>
          <w:tcPr>
            <w:tcW w:w="368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4266445">
            <w:pPr>
              <w:jc w:val="center"/>
              <w:rPr>
                <w:rFonts w:ascii="宋体" w:hAnsi="宋体" w:eastAsia="宋体" w:cs="宋体"/>
                <w:szCs w:val="21"/>
                <w:highlight w:val="yellow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E6FF1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高密度吸顶式无线AP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6B27EC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3D2AE56C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560C8A84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支持三射频，2（2.4G）+2（5G）+2（5G）</w:t>
            </w:r>
          </w:p>
          <w:p w14:paraId="6EA7691C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总空间流数≥6（2+2+2），整机速率≥5Gbps</w:t>
            </w:r>
          </w:p>
          <w:p w14:paraId="017568B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整机最大用户接入数≥1800</w:t>
            </w:r>
          </w:p>
          <w:p w14:paraId="1A5F1C69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58846CB5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单用户最大测速≥2.3Gbps</w:t>
            </w:r>
          </w:p>
          <w:p w14:paraId="7AA12370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支持多用户大流量（30路4K高清）并发不卡顿。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F70ACF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6A25E2">
            <w:pPr>
              <w:jc w:val="center"/>
              <w:rPr>
                <w:rFonts w:ascii="宋体" w:hAnsi="宋体" w:eastAsia="宋体" w:cs="宋体"/>
                <w:szCs w:val="21"/>
              </w:rPr>
            </w:pPr>
            <w:bookmarkStart w:id="14" w:name="_GoBack"/>
            <w:bookmarkEnd w:id="14"/>
            <w:r>
              <w:rPr>
                <w:rFonts w:hint="eastAsia" w:ascii="宋体" w:hAnsi="宋体" w:eastAsia="宋体" w:cs="宋体"/>
                <w:szCs w:val="21"/>
              </w:rPr>
              <w:t>50</w:t>
            </w:r>
          </w:p>
        </w:tc>
      </w:tr>
      <w:tr w14:paraId="7D79F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6" w:hRule="atLeast"/>
        </w:trPr>
        <w:tc>
          <w:tcPr>
            <w:tcW w:w="368" w:type="pct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D091DF3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DAA6F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低密度吸顶式无线AP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98424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0A5D5F9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27FD41D8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7E1C64A0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1D8EA1F8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4B74ECC0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AP支持MLO冗余传输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CD9DC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1ED865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</w:t>
            </w:r>
          </w:p>
        </w:tc>
      </w:tr>
      <w:tr w14:paraId="4FDA5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4" w:hRule="atLeast"/>
        </w:trPr>
        <w:tc>
          <w:tcPr>
            <w:tcW w:w="368" w:type="pct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075BA62C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EAC98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低密度面板式无线AP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15E590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3F27C632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0E67BC92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144A9F75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7DB75FE8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7EEB6410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单用户极限测速2.2Gbps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BFF0B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9F2A7C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6</w:t>
            </w:r>
          </w:p>
        </w:tc>
      </w:tr>
      <w:tr w14:paraId="7C2FD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368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9B73B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35B0F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无线AP 5年原厂维保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16F4EB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1D09B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50129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  <w:tr w14:paraId="4CB18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368" w:type="pct"/>
            <w:vMerge w:val="restart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4363F3F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3</w:t>
            </w: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4EA08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POE交换机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26B3A3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交换容量≥672Gbps、包转发率≥171Mpps</w:t>
            </w:r>
          </w:p>
          <w:p w14:paraId="4CBFFFD8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GE电口≥24个、10G光口≥4个</w:t>
            </w:r>
          </w:p>
          <w:p w14:paraId="1D2D371B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支持POE+供电能力</w:t>
            </w:r>
          </w:p>
          <w:p w14:paraId="5C21CA57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支持2个12GE专用堆叠口，不占用业务口资源</w:t>
            </w:r>
          </w:p>
          <w:p w14:paraId="63FBCE8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CPU和转发芯片为国产芯片</w:t>
            </w:r>
          </w:p>
          <w:p w14:paraId="052FC62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支持IGMP v1/v2/v3、PIM-SM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D97EC0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292034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5</w:t>
            </w:r>
          </w:p>
        </w:tc>
      </w:tr>
      <w:tr w14:paraId="36DFF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368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D60C7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A0043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POE交换机5年原厂维保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B62B35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6F9CF2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4C937F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  <w:tr w14:paraId="37143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68" w:type="pct"/>
            <w:vMerge w:val="restart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526091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4</w:t>
            </w: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E9148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5A9403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SFP+ 10G-多模光模块(850nm,0.3km,LC)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046A6B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个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C3313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24</w:t>
            </w:r>
          </w:p>
        </w:tc>
      </w:tr>
      <w:tr w14:paraId="0E3F6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68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0498D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0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CB5CA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10G多模光模块5年原厂维保</w:t>
            </w:r>
          </w:p>
        </w:tc>
        <w:tc>
          <w:tcPr>
            <w:tcW w:w="28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BA10BC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7x24x4h（备件4小时内到达）</w:t>
            </w:r>
          </w:p>
        </w:tc>
        <w:tc>
          <w:tcPr>
            <w:tcW w:w="34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FF4468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3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1136030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</w:tbl>
    <w:p w14:paraId="0B7C8448">
      <w:pPr>
        <w:pStyle w:val="7"/>
        <w:spacing w:after="156"/>
        <w:ind w:firstLine="560" w:firstLineChars="200"/>
        <w:rPr>
          <w:rFonts w:ascii="仿宋" w:hAnsi="仿宋" w:eastAsia="仿宋" w:cs="宋体"/>
          <w:b/>
          <w:color w:val="000000"/>
          <w:kern w:val="0"/>
          <w:sz w:val="28"/>
          <w:szCs w:val="28"/>
        </w:rPr>
      </w:pP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报价格式见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28"/>
        </w:rPr>
        <w:t>附件2</w:t>
      </w:r>
    </w:p>
    <w:p w14:paraId="42EB67BE">
      <w:pPr>
        <w:pStyle w:val="7"/>
        <w:ind w:firstLine="0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（2）弱电施工需求</w:t>
      </w:r>
    </w:p>
    <w:p w14:paraId="4228A055">
      <w:pPr>
        <w:pStyle w:val="7"/>
        <w:spacing w:after="156"/>
        <w:ind w:firstLine="560"/>
        <w:rPr>
          <w:rFonts w:ascii="仿宋" w:hAnsi="仿宋" w:eastAsia="仿宋" w:cs="宋体"/>
          <w:color w:val="000000"/>
          <w:kern w:val="0"/>
          <w:sz w:val="28"/>
          <w:szCs w:val="28"/>
        </w:rPr>
      </w:pPr>
      <w:r>
        <w:rPr>
          <w:rFonts w:ascii="仿宋" w:hAnsi="仿宋" w:eastAsia="仿宋" w:cs="宋体"/>
          <w:color w:val="000000"/>
          <w:kern w:val="0"/>
          <w:sz w:val="28"/>
          <w:szCs w:val="28"/>
        </w:rPr>
        <w:t>本项目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包含新媒体2-6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层楼办公无线网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设施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替换施工，施工范围覆盖指定五层办公区域，核心工作包括2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台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旧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无线控制器、5台旧P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OE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交换机和50个旧无线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AP设备拆除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工作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，2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台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新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无线控制器、5台新P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OE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交换机和61个新无线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AP设备安装调试、弱电线路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替换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改造等。施工所用新AP设备、网线、水晶头、跳线、线槽、固定件、电源适配器等材料及配件，须符合国家质量标准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。</w:t>
      </w:r>
    </w:p>
    <w:p w14:paraId="1338CB85">
      <w:pPr>
        <w:pStyle w:val="3"/>
        <w:tabs>
          <w:tab w:val="left" w:pos="432"/>
        </w:tabs>
        <w:spacing w:before="156" w:beforeLines="50" w:after="156" w:afterLines="50" w:line="240" w:lineRule="auto"/>
        <w:ind w:left="431" w:hanging="431"/>
        <w:rPr>
          <w:rFonts w:ascii="宋体" w:hAnsi="宋体" w:eastAsia="宋体" w:cstheme="majorBidi"/>
          <w:kern w:val="2"/>
          <w:sz w:val="32"/>
          <w:szCs w:val="32"/>
        </w:rPr>
      </w:pPr>
      <w:bookmarkStart w:id="8" w:name="_Toc29389"/>
      <w:bookmarkStart w:id="9" w:name="_Toc3317"/>
      <w:bookmarkStart w:id="10" w:name="_Toc22305832"/>
      <w:r>
        <w:rPr>
          <w:rFonts w:hint="eastAsia" w:ascii="宋体" w:hAnsi="宋体" w:eastAsia="宋体" w:cstheme="majorBidi"/>
          <w:kern w:val="2"/>
          <w:sz w:val="32"/>
          <w:szCs w:val="32"/>
        </w:rPr>
        <w:t>服务方案</w:t>
      </w:r>
      <w:bookmarkEnd w:id="8"/>
      <w:bookmarkEnd w:id="9"/>
      <w:bookmarkEnd w:id="10"/>
    </w:p>
    <w:p w14:paraId="04E46ECF">
      <w:pPr>
        <w:spacing w:after="156"/>
        <w:ind w:firstLine="480"/>
        <w:rPr>
          <w:rFonts w:ascii="仿宋" w:hAnsi="仿宋" w:eastAsia="仿宋"/>
          <w:b/>
          <w:bCs/>
          <w:kern w:val="0"/>
          <w:sz w:val="30"/>
          <w:szCs w:val="30"/>
        </w:rPr>
      </w:pPr>
      <w:r>
        <w:rPr>
          <w:rFonts w:hint="eastAsia" w:ascii="仿宋" w:hAnsi="仿宋" w:eastAsia="仿宋"/>
          <w:b/>
          <w:bCs/>
          <w:kern w:val="0"/>
          <w:sz w:val="30"/>
          <w:szCs w:val="30"/>
        </w:rPr>
        <w:t>1、维保服务时间</w:t>
      </w:r>
    </w:p>
    <w:p w14:paraId="4F7E5CAA">
      <w:pPr>
        <w:spacing w:after="156"/>
        <w:ind w:firstLine="480"/>
        <w:rPr>
          <w:rFonts w:ascii="仿宋" w:hAnsi="仿宋" w:eastAsia="仿宋"/>
          <w:kern w:val="0"/>
          <w:sz w:val="30"/>
          <w:szCs w:val="30"/>
        </w:rPr>
      </w:pPr>
      <w:r>
        <w:rPr>
          <w:rFonts w:hint="eastAsia" w:ascii="仿宋" w:hAnsi="仿宋" w:eastAsia="仿宋"/>
          <w:kern w:val="0"/>
          <w:sz w:val="30"/>
          <w:szCs w:val="30"/>
        </w:rPr>
        <w:t>网络设备软硬件原厂维保服务期限为5年，具体生效时间以合同签订至设备到货后</w:t>
      </w:r>
      <w:r>
        <w:rPr>
          <w:rFonts w:ascii="仿宋" w:hAnsi="仿宋" w:eastAsia="仿宋"/>
          <w:kern w:val="0"/>
          <w:sz w:val="30"/>
          <w:szCs w:val="30"/>
        </w:rPr>
        <w:t>3个月起算5年</w:t>
      </w:r>
      <w:r>
        <w:rPr>
          <w:rFonts w:hint="eastAsia" w:ascii="仿宋" w:hAnsi="仿宋" w:eastAsia="仿宋"/>
          <w:kern w:val="0"/>
          <w:sz w:val="30"/>
          <w:szCs w:val="30"/>
        </w:rPr>
        <w:t>。</w:t>
      </w:r>
    </w:p>
    <w:p w14:paraId="047EC4D2">
      <w:pPr>
        <w:spacing w:after="156"/>
        <w:ind w:firstLine="480"/>
        <w:rPr>
          <w:rFonts w:ascii="仿宋" w:hAnsi="仿宋" w:eastAsia="仿宋"/>
          <w:b/>
          <w:bCs/>
          <w:kern w:val="0"/>
          <w:sz w:val="30"/>
          <w:szCs w:val="30"/>
        </w:rPr>
      </w:pPr>
      <w:r>
        <w:rPr>
          <w:rFonts w:hint="eastAsia" w:ascii="仿宋" w:hAnsi="仿宋" w:eastAsia="仿宋"/>
          <w:b/>
          <w:bCs/>
          <w:kern w:val="0"/>
          <w:sz w:val="30"/>
          <w:szCs w:val="30"/>
        </w:rPr>
        <w:t>2、服务内容</w:t>
      </w:r>
    </w:p>
    <w:tbl>
      <w:tblPr>
        <w:tblStyle w:val="23"/>
        <w:tblW w:w="9214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8254"/>
      </w:tblGrid>
      <w:tr w14:paraId="538B8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0" w:type="dxa"/>
            <w:vAlign w:val="center"/>
          </w:tcPr>
          <w:p w14:paraId="0E514D7C">
            <w:pPr>
              <w:spacing w:after="156" w:line="276" w:lineRule="auto"/>
              <w:jc w:val="center"/>
              <w:textAlignment w:val="center"/>
              <w:rPr>
                <w:rFonts w:ascii="仿宋" w:hAnsi="仿宋" w:eastAsia="仿宋" w:cs="宋体"/>
                <w:b/>
                <w:bCs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b/>
                <w:bCs/>
                <w:color w:val="000000"/>
                <w:sz w:val="24"/>
                <w:lang w:bidi="ar"/>
              </w:rPr>
              <w:t>项目</w:t>
            </w:r>
          </w:p>
        </w:tc>
        <w:tc>
          <w:tcPr>
            <w:tcW w:w="8254" w:type="dxa"/>
            <w:vAlign w:val="center"/>
          </w:tcPr>
          <w:p w14:paraId="6016536E">
            <w:pPr>
              <w:spacing w:after="156" w:line="276" w:lineRule="auto"/>
              <w:jc w:val="center"/>
              <w:textAlignment w:val="center"/>
              <w:rPr>
                <w:rFonts w:ascii="仿宋" w:hAnsi="仿宋" w:eastAsia="仿宋" w:cs="宋体"/>
                <w:b/>
                <w:bCs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b/>
                <w:bCs/>
                <w:color w:val="000000"/>
                <w:sz w:val="24"/>
                <w:lang w:bidi="ar"/>
              </w:rPr>
              <w:t>服务内容</w:t>
            </w:r>
          </w:p>
        </w:tc>
      </w:tr>
      <w:tr w14:paraId="432B2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0" w:type="dxa"/>
            <w:vAlign w:val="center"/>
          </w:tcPr>
          <w:p w14:paraId="2A64C8F4">
            <w:pPr>
              <w:spacing w:after="156" w:line="276" w:lineRule="auto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技术服务</w:t>
            </w:r>
          </w:p>
        </w:tc>
        <w:tc>
          <w:tcPr>
            <w:tcW w:w="8254" w:type="dxa"/>
            <w:vAlign w:val="center"/>
          </w:tcPr>
          <w:p w14:paraId="777E13AD">
            <w:pPr>
              <w:numPr>
                <w:ilvl w:val="0"/>
                <w:numId w:val="2"/>
              </w:numPr>
              <w:spacing w:after="156" w:afterLines="50" w:line="276" w:lineRule="auto"/>
              <w:rPr>
                <w:rFonts w:ascii="仿宋" w:hAnsi="仿宋" w:eastAsia="仿宋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bidi="ar"/>
              </w:rPr>
              <w:t>需要服务商提供全套弱电施工及无线系统调试交钥匙工程，新旧无线系统制定平滑过渡割接方案，降低替换作业对日常办公生产影响。</w:t>
            </w:r>
          </w:p>
          <w:p w14:paraId="3AC5C849">
            <w:pPr>
              <w:pStyle w:val="29"/>
              <w:widowControl/>
              <w:numPr>
                <w:ilvl w:val="0"/>
                <w:numId w:val="2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提供设备保修服务，提供</w:t>
            </w:r>
            <w:r>
              <w:rPr>
                <w:rFonts w:hint="eastAsia" w:ascii="仿宋" w:hAnsi="仿宋" w:eastAsia="仿宋" w:cs="宋体"/>
                <w:color w:val="000000"/>
                <w:sz w:val="24"/>
                <w:lang w:bidi="ar"/>
              </w:rPr>
              <w:t>7*24</w:t>
            </w: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小时（含节假日）电话、邮件支持和相关技术咨询服务。</w:t>
            </w:r>
          </w:p>
          <w:p w14:paraId="50A17CD9">
            <w:pPr>
              <w:pStyle w:val="29"/>
              <w:widowControl/>
              <w:numPr>
                <w:ilvl w:val="0"/>
                <w:numId w:val="2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根据需要为相关的技术人员提供技能培训或集中的高级技能培训、技术交流会。</w:t>
            </w:r>
          </w:p>
          <w:p w14:paraId="5E3F72FD">
            <w:pPr>
              <w:pStyle w:val="29"/>
              <w:widowControl/>
              <w:numPr>
                <w:ilvl w:val="0"/>
                <w:numId w:val="2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包括但不限于提供相关系统技术文档、技术服务网站等。</w:t>
            </w:r>
          </w:p>
        </w:tc>
      </w:tr>
      <w:tr w14:paraId="4142F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0" w:type="dxa"/>
            <w:vAlign w:val="center"/>
          </w:tcPr>
          <w:p w14:paraId="6A3C33C8">
            <w:pPr>
              <w:spacing w:after="156" w:line="276" w:lineRule="auto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紧急事件响应处理</w:t>
            </w:r>
          </w:p>
        </w:tc>
        <w:tc>
          <w:tcPr>
            <w:tcW w:w="8254" w:type="dxa"/>
            <w:vAlign w:val="center"/>
          </w:tcPr>
          <w:p w14:paraId="229B7778">
            <w:pPr>
              <w:pStyle w:val="29"/>
              <w:widowControl/>
              <w:numPr>
                <w:ilvl w:val="0"/>
                <w:numId w:val="2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服务商提供</w:t>
            </w:r>
            <w:r>
              <w:rPr>
                <w:rFonts w:hint="eastAsia" w:ascii="仿宋" w:hAnsi="仿宋" w:eastAsia="仿宋" w:cs="宋体"/>
                <w:color w:val="000000"/>
                <w:sz w:val="24"/>
                <w:lang w:bidi="ar"/>
              </w:rPr>
              <w:t>7*24</w:t>
            </w: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小时专人应急服务热线，接到应急报障后5分钟内通过电话进行应急响应支持，在工作时间内，工程师必须</w:t>
            </w:r>
            <w:r>
              <w:rPr>
                <w:rFonts w:hint="eastAsia" w:ascii="仿宋" w:hAnsi="仿宋" w:eastAsia="仿宋" w:cs="宋体"/>
                <w:color w:val="000000"/>
                <w:sz w:val="24"/>
                <w:lang w:bidi="ar"/>
              </w:rPr>
              <w:t>2小时内</w:t>
            </w: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到达现场，非工作时间4小时内到达现场进行技术支持。</w:t>
            </w:r>
          </w:p>
        </w:tc>
      </w:tr>
      <w:bookmarkEnd w:id="7"/>
    </w:tbl>
    <w:p w14:paraId="41A708DB">
      <w:pPr>
        <w:pStyle w:val="4"/>
        <w:rPr>
          <w:rFonts w:ascii="宋体" w:hAnsi="宋体" w:eastAsia="宋体"/>
        </w:rPr>
      </w:pPr>
      <w:bookmarkStart w:id="11" w:name="_Toc18275"/>
      <w:bookmarkStart w:id="12" w:name="_Toc19813"/>
      <w:bookmarkStart w:id="13" w:name="_Toc22305836"/>
      <w:r>
        <w:rPr>
          <w:rFonts w:hint="eastAsia" w:ascii="宋体" w:hAnsi="宋体" w:eastAsia="宋体"/>
        </w:rPr>
        <w:t>网络安全性评估</w:t>
      </w:r>
      <w:bookmarkEnd w:id="11"/>
    </w:p>
    <w:p w14:paraId="400B8430">
      <w:pPr>
        <w:pStyle w:val="7"/>
        <w:numPr>
          <w:ilvl w:val="0"/>
          <w:numId w:val="3"/>
        </w:numPr>
        <w:spacing w:before="0" w:beforeAutospacing="0" w:after="156" w:afterLines="50" w:afterAutospacing="0" w:line="360" w:lineRule="auto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数据安全：本项目为基础网络设施建设项目，经评估本项目涉及数据安全范畴。</w:t>
      </w:r>
    </w:p>
    <w:p w14:paraId="14DAFBFC">
      <w:pPr>
        <w:pStyle w:val="7"/>
        <w:numPr>
          <w:ilvl w:val="0"/>
          <w:numId w:val="3"/>
        </w:numPr>
        <w:spacing w:before="0" w:beforeAutospacing="0" w:after="156" w:afterLines="50" w:afterAutospacing="0" w:line="360" w:lineRule="auto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应用安全：为保证设备安全，需要根据公布的漏洞情况进行升级修复。</w:t>
      </w:r>
    </w:p>
    <w:p w14:paraId="652A506A">
      <w:pPr>
        <w:pStyle w:val="7"/>
        <w:numPr>
          <w:ilvl w:val="0"/>
          <w:numId w:val="3"/>
        </w:numPr>
        <w:spacing w:before="0" w:beforeAutospacing="0" w:after="156" w:afterLines="50" w:afterAutospacing="0" w:line="360" w:lineRule="auto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供应链安全：需要同服务商签订《技术工程项目保密协议》，不得将相关内容透露给第三方。</w:t>
      </w:r>
      <w:bookmarkEnd w:id="12"/>
      <w:bookmarkEnd w:id="13"/>
    </w:p>
    <w:sectPr>
      <w:headerReference r:id="rId3" w:type="default"/>
      <w:footerReference r:id="rId4" w:type="default"/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23"/>
      <w:tblW w:w="9923" w:type="dxa"/>
      <w:tblInd w:w="-743" w:type="dxa"/>
      <w:tblBorders>
        <w:top w:val="single" w:color="000000" w:sz="12" w:space="0"/>
        <w:left w:val="none" w:color="auto" w:sz="0" w:space="0"/>
        <w:bottom w:val="none" w:color="auto" w:sz="0" w:space="0"/>
        <w:right w:val="none" w:color="auto" w:sz="0" w:space="0"/>
        <w:insideH w:val="single" w:color="000000" w:sz="12" w:space="0"/>
        <w:insideV w:val="none" w:color="auto" w:sz="0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1887"/>
      <w:gridCol w:w="5336"/>
      <w:gridCol w:w="809"/>
      <w:gridCol w:w="190"/>
      <w:gridCol w:w="1701"/>
    </w:tblGrid>
    <w:tr w14:paraId="5F322F45">
      <w:tblPrEx>
        <w:tblBorders>
          <w:top w:val="single" w:color="000000" w:sz="12" w:space="0"/>
          <w:left w:val="none" w:color="auto" w:sz="0" w:space="0"/>
          <w:bottom w:val="none" w:color="auto" w:sz="0" w:space="0"/>
          <w:right w:val="none" w:color="auto" w:sz="0" w:space="0"/>
          <w:insideH w:val="single" w:color="000000" w:sz="12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887" w:type="dxa"/>
          <w:tcBorders>
            <w:bottom w:val="nil"/>
          </w:tcBorders>
        </w:tcPr>
        <w:p w14:paraId="3A304D61">
          <w:pPr>
            <w:pStyle w:val="13"/>
          </w:pPr>
          <w:r>
            <w:rPr>
              <w:rFonts w:hint="eastAsia"/>
            </w:rPr>
            <w:t>编写人员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5336" w:type="dxa"/>
          <w:tcBorders>
            <w:bottom w:val="nil"/>
          </w:tcBorders>
        </w:tcPr>
        <w:p w14:paraId="6A1558DA">
          <w:pPr>
            <w:pStyle w:val="13"/>
            <w:rPr>
              <w:b/>
            </w:rPr>
          </w:pPr>
        </w:p>
      </w:tc>
      <w:tc>
        <w:tcPr>
          <w:tcW w:w="999" w:type="dxa"/>
          <w:gridSpan w:val="2"/>
          <w:tcBorders>
            <w:bottom w:val="nil"/>
          </w:tcBorders>
        </w:tcPr>
        <w:p w14:paraId="4FFEA27F">
          <w:pPr>
            <w:pStyle w:val="13"/>
          </w:pPr>
          <w:r>
            <w:rPr>
              <w:rFonts w:hint="eastAsia"/>
            </w:rPr>
            <w:t>负责人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1701" w:type="dxa"/>
          <w:tcBorders>
            <w:bottom w:val="nil"/>
          </w:tcBorders>
        </w:tcPr>
        <w:p w14:paraId="76ACD347">
          <w:pPr>
            <w:pStyle w:val="13"/>
            <w:rPr>
              <w:b/>
            </w:rPr>
          </w:pPr>
        </w:p>
      </w:tc>
    </w:tr>
    <w:tr w14:paraId="0924CB38">
      <w:tblPrEx>
        <w:tblBorders>
          <w:top w:val="single" w:color="000000" w:sz="12" w:space="0"/>
          <w:left w:val="none" w:color="auto" w:sz="0" w:space="0"/>
          <w:bottom w:val="none" w:color="auto" w:sz="0" w:space="0"/>
          <w:right w:val="none" w:color="auto" w:sz="0" w:space="0"/>
          <w:insideH w:val="single" w:color="000000" w:sz="12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887" w:type="dxa"/>
          <w:tcBorders>
            <w:top w:val="nil"/>
            <w:bottom w:val="single" w:color="000000" w:sz="12" w:space="0"/>
          </w:tcBorders>
        </w:tcPr>
        <w:p w14:paraId="234C5A3C">
          <w:pPr>
            <w:pStyle w:val="13"/>
          </w:pPr>
          <w:r>
            <w:rPr>
              <w:rFonts w:hint="eastAsia"/>
            </w:rPr>
            <w:t>编写日期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5336" w:type="dxa"/>
          <w:tcBorders>
            <w:top w:val="nil"/>
            <w:bottom w:val="single" w:color="000000" w:sz="12" w:space="0"/>
          </w:tcBorders>
        </w:tcPr>
        <w:p w14:paraId="432E866A">
          <w:pPr>
            <w:pStyle w:val="13"/>
            <w:tabs>
              <w:tab w:val="left" w:pos="3780"/>
              <w:tab w:val="clear" w:pos="4153"/>
              <w:tab w:val="clear" w:pos="8306"/>
            </w:tabs>
            <w:rPr>
              <w:b/>
            </w:rPr>
          </w:pPr>
          <w:r>
            <w:rPr>
              <w:rFonts w:hint="eastAsia"/>
            </w:rPr>
            <w:t>20</w:t>
          </w:r>
          <w:r>
            <w:t>2</w:t>
          </w:r>
          <w:r>
            <w:rPr>
              <w:rFonts w:hint="eastAsia"/>
            </w:rPr>
            <w:t>6-3-4</w:t>
          </w:r>
          <w:r>
            <w:tab/>
          </w:r>
        </w:p>
      </w:tc>
      <w:tc>
        <w:tcPr>
          <w:tcW w:w="809" w:type="dxa"/>
          <w:tcBorders>
            <w:top w:val="nil"/>
            <w:bottom w:val="single" w:color="000000" w:sz="12" w:space="0"/>
          </w:tcBorders>
        </w:tcPr>
        <w:p w14:paraId="6AE76972">
          <w:pPr>
            <w:pStyle w:val="13"/>
          </w:pPr>
          <w:r>
            <w:rPr>
              <w:rFonts w:hint="eastAsia"/>
            </w:rPr>
            <w:t>页码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1891" w:type="dxa"/>
          <w:gridSpan w:val="2"/>
          <w:tcBorders>
            <w:top w:val="nil"/>
            <w:bottom w:val="single" w:color="000000" w:sz="12" w:space="0"/>
          </w:tcBorders>
        </w:tcPr>
        <w:p w14:paraId="4AC52B8E">
          <w:pPr>
            <w:pStyle w:val="13"/>
          </w:pPr>
          <w:r>
            <w:fldChar w:fldCharType="begin"/>
          </w:r>
          <w:r>
            <w:instrText xml:space="preserve">PAGE \* ARABIC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t xml:space="preserve"> of </w:t>
          </w:r>
          <w:r>
            <w:fldChar w:fldCharType="begin"/>
          </w:r>
          <w:r>
            <w:instrText xml:space="preserve">NUMPAGES </w:instrText>
          </w:r>
          <w:r>
            <w:fldChar w:fldCharType="separate"/>
          </w:r>
          <w:r>
            <w:t>5</w:t>
          </w:r>
          <w:r>
            <w:fldChar w:fldCharType="end"/>
          </w:r>
        </w:p>
      </w:tc>
    </w:tr>
  </w:tbl>
  <w:p w14:paraId="6925CED5">
    <w:pPr>
      <w:pStyle w:val="1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23"/>
      <w:tblW w:w="9674" w:type="dxa"/>
      <w:tblInd w:w="-885" w:type="dxa"/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1419"/>
      <w:gridCol w:w="6129"/>
      <w:gridCol w:w="2126"/>
    </w:tblGrid>
    <w:tr w14:paraId="39F7E2CE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7AEEFB20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文档标题：</w:t>
          </w:r>
        </w:p>
      </w:tc>
      <w:tc>
        <w:tcPr>
          <w:tcW w:w="6129" w:type="dxa"/>
        </w:tcPr>
        <w:p w14:paraId="3D24FDC0">
          <w:pPr>
            <w:pStyle w:val="13"/>
            <w:rPr>
              <w:rFonts w:ascii="Times New Roman" w:hAnsi="Times New Roman"/>
              <w:b/>
              <w:bCs/>
              <w:kern w:val="0"/>
            </w:rPr>
          </w:pPr>
          <w:r>
            <w:rPr>
              <w:rFonts w:hint="eastAsia" w:ascii="Times New Roman" w:hAnsi="Times New Roman"/>
              <w:b/>
              <w:bCs/>
              <w:kern w:val="0"/>
            </w:rPr>
            <w:t>2</w:t>
          </w:r>
          <w:r>
            <w:rPr>
              <w:rFonts w:ascii="Times New Roman" w:hAnsi="Times New Roman"/>
              <w:b/>
              <w:bCs/>
              <w:kern w:val="0"/>
            </w:rPr>
            <w:t>02</w:t>
          </w:r>
          <w:r>
            <w:rPr>
              <w:rFonts w:hint="eastAsia" w:ascii="Times New Roman" w:hAnsi="Times New Roman"/>
              <w:b/>
              <w:bCs/>
              <w:kern w:val="0"/>
            </w:rPr>
            <w:t>6</w:t>
          </w:r>
          <w:r>
            <w:rPr>
              <w:rFonts w:ascii="Times New Roman" w:hAnsi="Times New Roman"/>
              <w:b/>
              <w:bCs/>
              <w:kern w:val="0"/>
            </w:rPr>
            <w:t>年</w:t>
          </w:r>
          <w:r>
            <w:rPr>
              <w:rFonts w:hint="eastAsia" w:ascii="Times New Roman" w:hAnsi="Times New Roman"/>
              <w:b/>
              <w:bCs/>
              <w:kern w:val="0"/>
            </w:rPr>
            <w:t>人民北办公网无线网络设备替换项目市场调研需求</w:t>
          </w:r>
        </w:p>
      </w:tc>
      <w:tc>
        <w:tcPr>
          <w:tcW w:w="2126" w:type="dxa"/>
          <w:vMerge w:val="restart"/>
        </w:tcPr>
        <w:p w14:paraId="4F2783CB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ascii="Times New Roman" w:hAnsi="Times New Roman"/>
              <w:kern w:val="0"/>
            </w:rPr>
            <w:drawing>
              <wp:inline distT="0" distB="0" distL="0" distR="0">
                <wp:extent cx="863600" cy="537845"/>
                <wp:effectExtent l="0" t="0" r="0" b="0"/>
                <wp:docPr id="7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图片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7818" cy="54713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14:paraId="415592C9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75C4CD6D">
          <w:pPr>
            <w:pStyle w:val="13"/>
            <w:rPr>
              <w:rFonts w:ascii="Times New Roman" w:hAnsi="Times New Roman"/>
              <w:kern w:val="0"/>
              <w:lang w:val="en-AU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文档编号：</w:t>
          </w:r>
        </w:p>
      </w:tc>
      <w:tc>
        <w:tcPr>
          <w:tcW w:w="6129" w:type="dxa"/>
        </w:tcPr>
        <w:p w14:paraId="1A09D193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</w:p>
      </w:tc>
      <w:tc>
        <w:tcPr>
          <w:tcW w:w="2126" w:type="dxa"/>
          <w:vMerge w:val="continue"/>
        </w:tcPr>
        <w:p w14:paraId="05B9BB5D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</w:p>
      </w:tc>
    </w:tr>
    <w:tr w14:paraId="454F8FFB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0AED051C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文档版本：</w:t>
          </w:r>
        </w:p>
      </w:tc>
      <w:tc>
        <w:tcPr>
          <w:tcW w:w="6129" w:type="dxa"/>
        </w:tcPr>
        <w:p w14:paraId="41E9BFB7">
          <w:pPr>
            <w:pStyle w:val="13"/>
            <w:rPr>
              <w:rFonts w:ascii="Times New Roman" w:hAnsi="Times New Roman"/>
              <w:kern w:val="0"/>
              <w:lang w:val="en-AU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V20</w:t>
          </w:r>
          <w:r>
            <w:rPr>
              <w:rFonts w:ascii="Times New Roman" w:hAnsi="Times New Roman"/>
              <w:kern w:val="0"/>
              <w:lang w:val="en-AU"/>
            </w:rPr>
            <w:t>2</w:t>
          </w:r>
          <w:r>
            <w:rPr>
              <w:rFonts w:hint="eastAsia" w:ascii="Times New Roman" w:hAnsi="Times New Roman"/>
              <w:kern w:val="0"/>
              <w:lang w:val="en-AU"/>
            </w:rPr>
            <w:t>60304</w:t>
          </w:r>
        </w:p>
      </w:tc>
      <w:tc>
        <w:tcPr>
          <w:tcW w:w="2126" w:type="dxa"/>
          <w:vMerge w:val="continue"/>
        </w:tcPr>
        <w:p w14:paraId="3F6CA054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</w:p>
      </w:tc>
    </w:tr>
    <w:tr w14:paraId="59199125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18536561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文档状态：</w:t>
          </w:r>
        </w:p>
      </w:tc>
      <w:tc>
        <w:tcPr>
          <w:tcW w:w="6129" w:type="dxa"/>
        </w:tcPr>
        <w:p w14:paraId="526501DE">
          <w:pPr>
            <w:pStyle w:val="13"/>
            <w:rPr>
              <w:rFonts w:ascii="Times New Roman" w:hAnsi="Times New Roman"/>
              <w:kern w:val="0"/>
              <w:lang w:val="en-AU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初稿</w:t>
          </w:r>
        </w:p>
      </w:tc>
      <w:tc>
        <w:tcPr>
          <w:tcW w:w="2126" w:type="dxa"/>
          <w:vMerge w:val="continue"/>
        </w:tcPr>
        <w:p w14:paraId="0805945E">
          <w:pPr>
            <w:pStyle w:val="13"/>
            <w:rPr>
              <w:rFonts w:ascii="Times New Roman" w:hAnsi="Times New Roman"/>
              <w:kern w:val="0"/>
              <w:lang w:val="en-AU"/>
            </w:rPr>
          </w:pPr>
        </w:p>
      </w:tc>
    </w:tr>
  </w:tbl>
  <w:p w14:paraId="12142B59">
    <w:pPr>
      <w:pStyle w:val="1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B11C18"/>
    <w:multiLevelType w:val="multilevel"/>
    <w:tmpl w:val="0FB11C18"/>
    <w:lvl w:ilvl="0" w:tentative="0">
      <w:start w:val="1"/>
      <w:numFmt w:val="decimal"/>
      <w:lvlText w:val="%1)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1">
    <w:nsid w:val="30B66D9D"/>
    <w:multiLevelType w:val="multilevel"/>
    <w:tmpl w:val="30B66D9D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2">
    <w:nsid w:val="573C14E0"/>
    <w:multiLevelType w:val="singleLevel"/>
    <w:tmpl w:val="573C14E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E2B"/>
    <w:rsid w:val="00004F37"/>
    <w:rsid w:val="00007FAB"/>
    <w:rsid w:val="000155C4"/>
    <w:rsid w:val="0001562B"/>
    <w:rsid w:val="00015933"/>
    <w:rsid w:val="000163E1"/>
    <w:rsid w:val="000235AF"/>
    <w:rsid w:val="000258EA"/>
    <w:rsid w:val="00026918"/>
    <w:rsid w:val="00027BDC"/>
    <w:rsid w:val="00035826"/>
    <w:rsid w:val="000469D5"/>
    <w:rsid w:val="000470E1"/>
    <w:rsid w:val="000546BE"/>
    <w:rsid w:val="00054F7A"/>
    <w:rsid w:val="00054F8A"/>
    <w:rsid w:val="0005785F"/>
    <w:rsid w:val="00057AF8"/>
    <w:rsid w:val="000645FE"/>
    <w:rsid w:val="00064FFD"/>
    <w:rsid w:val="00065707"/>
    <w:rsid w:val="00067FA4"/>
    <w:rsid w:val="00073F7D"/>
    <w:rsid w:val="00073FD1"/>
    <w:rsid w:val="00075BB2"/>
    <w:rsid w:val="00076BA6"/>
    <w:rsid w:val="0007799E"/>
    <w:rsid w:val="00083650"/>
    <w:rsid w:val="00084B65"/>
    <w:rsid w:val="0008544B"/>
    <w:rsid w:val="00087E22"/>
    <w:rsid w:val="0009602A"/>
    <w:rsid w:val="00096543"/>
    <w:rsid w:val="000A2EFF"/>
    <w:rsid w:val="000A5577"/>
    <w:rsid w:val="000B25FC"/>
    <w:rsid w:val="000B4BE2"/>
    <w:rsid w:val="000B5129"/>
    <w:rsid w:val="000C29F5"/>
    <w:rsid w:val="000D1F90"/>
    <w:rsid w:val="000F4212"/>
    <w:rsid w:val="000F56D3"/>
    <w:rsid w:val="00101DAF"/>
    <w:rsid w:val="00102086"/>
    <w:rsid w:val="001065DE"/>
    <w:rsid w:val="00106E34"/>
    <w:rsid w:val="001070BC"/>
    <w:rsid w:val="001202A3"/>
    <w:rsid w:val="00121A06"/>
    <w:rsid w:val="0012242A"/>
    <w:rsid w:val="0012778D"/>
    <w:rsid w:val="00133EB6"/>
    <w:rsid w:val="001346A6"/>
    <w:rsid w:val="001355A1"/>
    <w:rsid w:val="001444AD"/>
    <w:rsid w:val="001447B7"/>
    <w:rsid w:val="00145AEC"/>
    <w:rsid w:val="00147E30"/>
    <w:rsid w:val="00150013"/>
    <w:rsid w:val="00150840"/>
    <w:rsid w:val="00152749"/>
    <w:rsid w:val="00153969"/>
    <w:rsid w:val="00154B5B"/>
    <w:rsid w:val="0015602F"/>
    <w:rsid w:val="00160C2B"/>
    <w:rsid w:val="001612F9"/>
    <w:rsid w:val="00161877"/>
    <w:rsid w:val="00163B21"/>
    <w:rsid w:val="00164BD2"/>
    <w:rsid w:val="00165787"/>
    <w:rsid w:val="001845EF"/>
    <w:rsid w:val="00185E0F"/>
    <w:rsid w:val="00196AC1"/>
    <w:rsid w:val="001A2318"/>
    <w:rsid w:val="001A5B5A"/>
    <w:rsid w:val="001A616C"/>
    <w:rsid w:val="001A7623"/>
    <w:rsid w:val="001B0BF9"/>
    <w:rsid w:val="001B4977"/>
    <w:rsid w:val="001B76BE"/>
    <w:rsid w:val="001C5BCC"/>
    <w:rsid w:val="001D2612"/>
    <w:rsid w:val="001D2F3E"/>
    <w:rsid w:val="001D74DC"/>
    <w:rsid w:val="001D77D6"/>
    <w:rsid w:val="001E0AEA"/>
    <w:rsid w:val="001E421F"/>
    <w:rsid w:val="001F4D7C"/>
    <w:rsid w:val="00200D2E"/>
    <w:rsid w:val="00203F24"/>
    <w:rsid w:val="00213949"/>
    <w:rsid w:val="00213DAE"/>
    <w:rsid w:val="00216E25"/>
    <w:rsid w:val="00221417"/>
    <w:rsid w:val="0022244B"/>
    <w:rsid w:val="002277B6"/>
    <w:rsid w:val="00234F13"/>
    <w:rsid w:val="00236650"/>
    <w:rsid w:val="00240BB9"/>
    <w:rsid w:val="00242767"/>
    <w:rsid w:val="002438ED"/>
    <w:rsid w:val="00244CDE"/>
    <w:rsid w:val="00245488"/>
    <w:rsid w:val="00246E01"/>
    <w:rsid w:val="00252571"/>
    <w:rsid w:val="00255429"/>
    <w:rsid w:val="00256A67"/>
    <w:rsid w:val="00260E0B"/>
    <w:rsid w:val="00267221"/>
    <w:rsid w:val="00282864"/>
    <w:rsid w:val="0028491B"/>
    <w:rsid w:val="00286D95"/>
    <w:rsid w:val="00290A75"/>
    <w:rsid w:val="00293F6B"/>
    <w:rsid w:val="002A138B"/>
    <w:rsid w:val="002A17CD"/>
    <w:rsid w:val="002A622F"/>
    <w:rsid w:val="002B47B9"/>
    <w:rsid w:val="002B6FF7"/>
    <w:rsid w:val="002B7364"/>
    <w:rsid w:val="002D2A84"/>
    <w:rsid w:val="002E062D"/>
    <w:rsid w:val="002E23AC"/>
    <w:rsid w:val="002E328C"/>
    <w:rsid w:val="002E6B7F"/>
    <w:rsid w:val="002F2329"/>
    <w:rsid w:val="002F26A4"/>
    <w:rsid w:val="002F27E3"/>
    <w:rsid w:val="002F55CC"/>
    <w:rsid w:val="002F762F"/>
    <w:rsid w:val="00302C8A"/>
    <w:rsid w:val="00302F74"/>
    <w:rsid w:val="00304BBD"/>
    <w:rsid w:val="003051C6"/>
    <w:rsid w:val="003115C7"/>
    <w:rsid w:val="00320CF5"/>
    <w:rsid w:val="0032330B"/>
    <w:rsid w:val="0032627C"/>
    <w:rsid w:val="00326C92"/>
    <w:rsid w:val="0033027C"/>
    <w:rsid w:val="00340C13"/>
    <w:rsid w:val="003467C6"/>
    <w:rsid w:val="00346E7E"/>
    <w:rsid w:val="00346F25"/>
    <w:rsid w:val="0035132F"/>
    <w:rsid w:val="003540FC"/>
    <w:rsid w:val="003602F5"/>
    <w:rsid w:val="00364D97"/>
    <w:rsid w:val="00373A45"/>
    <w:rsid w:val="00374A5B"/>
    <w:rsid w:val="00375C9B"/>
    <w:rsid w:val="003764AA"/>
    <w:rsid w:val="00385199"/>
    <w:rsid w:val="00391DD6"/>
    <w:rsid w:val="00393DE6"/>
    <w:rsid w:val="00397CB7"/>
    <w:rsid w:val="003A1E08"/>
    <w:rsid w:val="003A35D8"/>
    <w:rsid w:val="003A6C59"/>
    <w:rsid w:val="003B02F6"/>
    <w:rsid w:val="003B31AB"/>
    <w:rsid w:val="003B577E"/>
    <w:rsid w:val="003B6FCD"/>
    <w:rsid w:val="003C0399"/>
    <w:rsid w:val="003C1C26"/>
    <w:rsid w:val="003C4B23"/>
    <w:rsid w:val="003C580A"/>
    <w:rsid w:val="003C673B"/>
    <w:rsid w:val="003C7575"/>
    <w:rsid w:val="003C7713"/>
    <w:rsid w:val="003C79D9"/>
    <w:rsid w:val="003D0968"/>
    <w:rsid w:val="003D41EC"/>
    <w:rsid w:val="003D4B46"/>
    <w:rsid w:val="003D6364"/>
    <w:rsid w:val="003E0F6B"/>
    <w:rsid w:val="003E3D8C"/>
    <w:rsid w:val="003E52E6"/>
    <w:rsid w:val="003E6EDC"/>
    <w:rsid w:val="003E6FC7"/>
    <w:rsid w:val="003F5338"/>
    <w:rsid w:val="003F633A"/>
    <w:rsid w:val="00400704"/>
    <w:rsid w:val="00401608"/>
    <w:rsid w:val="00403792"/>
    <w:rsid w:val="00405C41"/>
    <w:rsid w:val="0040627F"/>
    <w:rsid w:val="00406AB4"/>
    <w:rsid w:val="0040761F"/>
    <w:rsid w:val="00412201"/>
    <w:rsid w:val="004123A4"/>
    <w:rsid w:val="00417B55"/>
    <w:rsid w:val="00417D56"/>
    <w:rsid w:val="00421599"/>
    <w:rsid w:val="00421916"/>
    <w:rsid w:val="00423CCF"/>
    <w:rsid w:val="004303D3"/>
    <w:rsid w:val="00435A88"/>
    <w:rsid w:val="004372FB"/>
    <w:rsid w:val="00441FD6"/>
    <w:rsid w:val="00442211"/>
    <w:rsid w:val="00442444"/>
    <w:rsid w:val="004446EF"/>
    <w:rsid w:val="004512CD"/>
    <w:rsid w:val="00452DA5"/>
    <w:rsid w:val="00455DA1"/>
    <w:rsid w:val="0045755E"/>
    <w:rsid w:val="0046454E"/>
    <w:rsid w:val="00467699"/>
    <w:rsid w:val="004727DC"/>
    <w:rsid w:val="00473C2E"/>
    <w:rsid w:val="00473C4C"/>
    <w:rsid w:val="004846F0"/>
    <w:rsid w:val="00490B10"/>
    <w:rsid w:val="00491680"/>
    <w:rsid w:val="00493814"/>
    <w:rsid w:val="00494020"/>
    <w:rsid w:val="004953AA"/>
    <w:rsid w:val="00495ADE"/>
    <w:rsid w:val="00497405"/>
    <w:rsid w:val="004A3F0A"/>
    <w:rsid w:val="004B05CB"/>
    <w:rsid w:val="004B086B"/>
    <w:rsid w:val="004B22A2"/>
    <w:rsid w:val="004B44D5"/>
    <w:rsid w:val="004B60B1"/>
    <w:rsid w:val="004B637E"/>
    <w:rsid w:val="004C316F"/>
    <w:rsid w:val="004C5392"/>
    <w:rsid w:val="004C6B6B"/>
    <w:rsid w:val="004D11BA"/>
    <w:rsid w:val="004D565C"/>
    <w:rsid w:val="004D7606"/>
    <w:rsid w:val="004D7A78"/>
    <w:rsid w:val="004E15F3"/>
    <w:rsid w:val="004F0D99"/>
    <w:rsid w:val="004F185F"/>
    <w:rsid w:val="004F2ED9"/>
    <w:rsid w:val="004F528B"/>
    <w:rsid w:val="004F5D8C"/>
    <w:rsid w:val="00502088"/>
    <w:rsid w:val="00507AEA"/>
    <w:rsid w:val="00507F84"/>
    <w:rsid w:val="00513643"/>
    <w:rsid w:val="00514C54"/>
    <w:rsid w:val="00515029"/>
    <w:rsid w:val="00515DB1"/>
    <w:rsid w:val="00515EBA"/>
    <w:rsid w:val="00525E95"/>
    <w:rsid w:val="005268A2"/>
    <w:rsid w:val="00530E2B"/>
    <w:rsid w:val="0053254B"/>
    <w:rsid w:val="005348EF"/>
    <w:rsid w:val="0053587C"/>
    <w:rsid w:val="00543851"/>
    <w:rsid w:val="00551688"/>
    <w:rsid w:val="00552E4B"/>
    <w:rsid w:val="00557D94"/>
    <w:rsid w:val="00584A10"/>
    <w:rsid w:val="005864F3"/>
    <w:rsid w:val="005915D1"/>
    <w:rsid w:val="00591DE5"/>
    <w:rsid w:val="005968B5"/>
    <w:rsid w:val="005B1194"/>
    <w:rsid w:val="005B4425"/>
    <w:rsid w:val="005C3BEA"/>
    <w:rsid w:val="005C4FDD"/>
    <w:rsid w:val="005D2543"/>
    <w:rsid w:val="005E0201"/>
    <w:rsid w:val="005E1A08"/>
    <w:rsid w:val="005E291B"/>
    <w:rsid w:val="005E2EC1"/>
    <w:rsid w:val="005E347E"/>
    <w:rsid w:val="005E4114"/>
    <w:rsid w:val="005E5073"/>
    <w:rsid w:val="005E546C"/>
    <w:rsid w:val="005E7948"/>
    <w:rsid w:val="005F0E05"/>
    <w:rsid w:val="005F4B7E"/>
    <w:rsid w:val="005F5434"/>
    <w:rsid w:val="006051A4"/>
    <w:rsid w:val="0060588B"/>
    <w:rsid w:val="00605F04"/>
    <w:rsid w:val="006169B1"/>
    <w:rsid w:val="006206C0"/>
    <w:rsid w:val="0062218A"/>
    <w:rsid w:val="0062263E"/>
    <w:rsid w:val="00622B0D"/>
    <w:rsid w:val="006252F2"/>
    <w:rsid w:val="00625709"/>
    <w:rsid w:val="006257D0"/>
    <w:rsid w:val="006269D7"/>
    <w:rsid w:val="0062799D"/>
    <w:rsid w:val="0063217A"/>
    <w:rsid w:val="00632E1C"/>
    <w:rsid w:val="00633F5C"/>
    <w:rsid w:val="00644494"/>
    <w:rsid w:val="0064561C"/>
    <w:rsid w:val="00651E94"/>
    <w:rsid w:val="0065305D"/>
    <w:rsid w:val="006537D4"/>
    <w:rsid w:val="00657EB5"/>
    <w:rsid w:val="006614F2"/>
    <w:rsid w:val="0066602A"/>
    <w:rsid w:val="0066741D"/>
    <w:rsid w:val="006702C9"/>
    <w:rsid w:val="0067042F"/>
    <w:rsid w:val="00670A5E"/>
    <w:rsid w:val="00670C75"/>
    <w:rsid w:val="006724C2"/>
    <w:rsid w:val="00672F1E"/>
    <w:rsid w:val="00674000"/>
    <w:rsid w:val="00676599"/>
    <w:rsid w:val="00680E5C"/>
    <w:rsid w:val="00681C31"/>
    <w:rsid w:val="006835FC"/>
    <w:rsid w:val="006840FA"/>
    <w:rsid w:val="0068477A"/>
    <w:rsid w:val="00697E0B"/>
    <w:rsid w:val="006A0A65"/>
    <w:rsid w:val="006A3467"/>
    <w:rsid w:val="006A37C7"/>
    <w:rsid w:val="006A6647"/>
    <w:rsid w:val="006B33A1"/>
    <w:rsid w:val="006B3765"/>
    <w:rsid w:val="006B4297"/>
    <w:rsid w:val="006B74F3"/>
    <w:rsid w:val="006C0912"/>
    <w:rsid w:val="006D3EAD"/>
    <w:rsid w:val="006D7F20"/>
    <w:rsid w:val="006F0DA8"/>
    <w:rsid w:val="006F1B5F"/>
    <w:rsid w:val="006F4B79"/>
    <w:rsid w:val="006F5DBB"/>
    <w:rsid w:val="00715C9B"/>
    <w:rsid w:val="00716BCC"/>
    <w:rsid w:val="007178F2"/>
    <w:rsid w:val="00721FAB"/>
    <w:rsid w:val="00722FD9"/>
    <w:rsid w:val="00723498"/>
    <w:rsid w:val="00723C40"/>
    <w:rsid w:val="007261C7"/>
    <w:rsid w:val="00727B51"/>
    <w:rsid w:val="00733AC0"/>
    <w:rsid w:val="007352B6"/>
    <w:rsid w:val="00742EA6"/>
    <w:rsid w:val="00750946"/>
    <w:rsid w:val="007524B1"/>
    <w:rsid w:val="007629D8"/>
    <w:rsid w:val="00763853"/>
    <w:rsid w:val="00764D41"/>
    <w:rsid w:val="007651E1"/>
    <w:rsid w:val="00767BC4"/>
    <w:rsid w:val="00770DF3"/>
    <w:rsid w:val="00776421"/>
    <w:rsid w:val="0078419E"/>
    <w:rsid w:val="00784652"/>
    <w:rsid w:val="00784D28"/>
    <w:rsid w:val="0078634E"/>
    <w:rsid w:val="00790B8C"/>
    <w:rsid w:val="00791B88"/>
    <w:rsid w:val="00792D1A"/>
    <w:rsid w:val="00793FBE"/>
    <w:rsid w:val="00795E9B"/>
    <w:rsid w:val="007964CC"/>
    <w:rsid w:val="007A379B"/>
    <w:rsid w:val="007B1083"/>
    <w:rsid w:val="007B2E4C"/>
    <w:rsid w:val="007B56A6"/>
    <w:rsid w:val="007B707E"/>
    <w:rsid w:val="007C0F65"/>
    <w:rsid w:val="007C4ECC"/>
    <w:rsid w:val="007C5B55"/>
    <w:rsid w:val="007C7A90"/>
    <w:rsid w:val="007D55B2"/>
    <w:rsid w:val="007D7E99"/>
    <w:rsid w:val="007E709B"/>
    <w:rsid w:val="007F0386"/>
    <w:rsid w:val="007F225E"/>
    <w:rsid w:val="007F3DEC"/>
    <w:rsid w:val="008044A1"/>
    <w:rsid w:val="00807016"/>
    <w:rsid w:val="008070AD"/>
    <w:rsid w:val="00810CCD"/>
    <w:rsid w:val="0081522B"/>
    <w:rsid w:val="00815E48"/>
    <w:rsid w:val="00816079"/>
    <w:rsid w:val="008264E7"/>
    <w:rsid w:val="00836EF8"/>
    <w:rsid w:val="00837087"/>
    <w:rsid w:val="008444CC"/>
    <w:rsid w:val="008469A5"/>
    <w:rsid w:val="00850119"/>
    <w:rsid w:val="00850D1A"/>
    <w:rsid w:val="008520BE"/>
    <w:rsid w:val="00852515"/>
    <w:rsid w:val="00852D6B"/>
    <w:rsid w:val="008532C0"/>
    <w:rsid w:val="0085563C"/>
    <w:rsid w:val="00855BD7"/>
    <w:rsid w:val="0086556F"/>
    <w:rsid w:val="00871FB6"/>
    <w:rsid w:val="00873B59"/>
    <w:rsid w:val="00881209"/>
    <w:rsid w:val="008814D6"/>
    <w:rsid w:val="00883320"/>
    <w:rsid w:val="00883A3E"/>
    <w:rsid w:val="00884581"/>
    <w:rsid w:val="0088595C"/>
    <w:rsid w:val="00891233"/>
    <w:rsid w:val="008922D9"/>
    <w:rsid w:val="008929F0"/>
    <w:rsid w:val="00893D24"/>
    <w:rsid w:val="008A1F3B"/>
    <w:rsid w:val="008A366B"/>
    <w:rsid w:val="008A3D9D"/>
    <w:rsid w:val="008A7343"/>
    <w:rsid w:val="008B07AF"/>
    <w:rsid w:val="008B204F"/>
    <w:rsid w:val="008B2CAC"/>
    <w:rsid w:val="008B3BDD"/>
    <w:rsid w:val="008C078C"/>
    <w:rsid w:val="008C681A"/>
    <w:rsid w:val="008D497A"/>
    <w:rsid w:val="008D6838"/>
    <w:rsid w:val="008D6A93"/>
    <w:rsid w:val="008D6B51"/>
    <w:rsid w:val="008F049C"/>
    <w:rsid w:val="008F1586"/>
    <w:rsid w:val="008F311B"/>
    <w:rsid w:val="008F440F"/>
    <w:rsid w:val="008F7B38"/>
    <w:rsid w:val="00900C00"/>
    <w:rsid w:val="009024D1"/>
    <w:rsid w:val="00907C39"/>
    <w:rsid w:val="0092017E"/>
    <w:rsid w:val="00920507"/>
    <w:rsid w:val="00925DDC"/>
    <w:rsid w:val="00934E39"/>
    <w:rsid w:val="00946DAD"/>
    <w:rsid w:val="00951E36"/>
    <w:rsid w:val="00952A90"/>
    <w:rsid w:val="00952C57"/>
    <w:rsid w:val="00954EAB"/>
    <w:rsid w:val="009550C3"/>
    <w:rsid w:val="0096181D"/>
    <w:rsid w:val="009631CA"/>
    <w:rsid w:val="00964695"/>
    <w:rsid w:val="00965335"/>
    <w:rsid w:val="009672B3"/>
    <w:rsid w:val="009754CC"/>
    <w:rsid w:val="00980DD9"/>
    <w:rsid w:val="0098556B"/>
    <w:rsid w:val="00992221"/>
    <w:rsid w:val="00992E3E"/>
    <w:rsid w:val="009A4E88"/>
    <w:rsid w:val="009A5C80"/>
    <w:rsid w:val="009B22BA"/>
    <w:rsid w:val="009B5E32"/>
    <w:rsid w:val="009C0B6C"/>
    <w:rsid w:val="009D1A10"/>
    <w:rsid w:val="009D2C36"/>
    <w:rsid w:val="009D2D33"/>
    <w:rsid w:val="009D45E4"/>
    <w:rsid w:val="009D4E60"/>
    <w:rsid w:val="009D5D69"/>
    <w:rsid w:val="009E0B0F"/>
    <w:rsid w:val="009E4847"/>
    <w:rsid w:val="009F4D4D"/>
    <w:rsid w:val="009F6B0A"/>
    <w:rsid w:val="009F6C99"/>
    <w:rsid w:val="00A00635"/>
    <w:rsid w:val="00A00A2F"/>
    <w:rsid w:val="00A016E7"/>
    <w:rsid w:val="00A07358"/>
    <w:rsid w:val="00A136A5"/>
    <w:rsid w:val="00A13FDB"/>
    <w:rsid w:val="00A20A1F"/>
    <w:rsid w:val="00A23CC8"/>
    <w:rsid w:val="00A2590A"/>
    <w:rsid w:val="00A25CFB"/>
    <w:rsid w:val="00A27735"/>
    <w:rsid w:val="00A5331B"/>
    <w:rsid w:val="00A57A0D"/>
    <w:rsid w:val="00A70596"/>
    <w:rsid w:val="00A71405"/>
    <w:rsid w:val="00A740BB"/>
    <w:rsid w:val="00A77C8E"/>
    <w:rsid w:val="00A80A84"/>
    <w:rsid w:val="00A81106"/>
    <w:rsid w:val="00A81E80"/>
    <w:rsid w:val="00A822D3"/>
    <w:rsid w:val="00A83BDB"/>
    <w:rsid w:val="00A8491C"/>
    <w:rsid w:val="00A86196"/>
    <w:rsid w:val="00A94024"/>
    <w:rsid w:val="00A96F77"/>
    <w:rsid w:val="00AA1422"/>
    <w:rsid w:val="00AA2F3E"/>
    <w:rsid w:val="00AA43DB"/>
    <w:rsid w:val="00AB3990"/>
    <w:rsid w:val="00AB6EAA"/>
    <w:rsid w:val="00AC4212"/>
    <w:rsid w:val="00AC429E"/>
    <w:rsid w:val="00AC512E"/>
    <w:rsid w:val="00AC68B5"/>
    <w:rsid w:val="00AC79CD"/>
    <w:rsid w:val="00AD2239"/>
    <w:rsid w:val="00AE23E3"/>
    <w:rsid w:val="00AE77CB"/>
    <w:rsid w:val="00AF702A"/>
    <w:rsid w:val="00B041DD"/>
    <w:rsid w:val="00B056FA"/>
    <w:rsid w:val="00B1174A"/>
    <w:rsid w:val="00B1233B"/>
    <w:rsid w:val="00B13BF1"/>
    <w:rsid w:val="00B13E51"/>
    <w:rsid w:val="00B146EE"/>
    <w:rsid w:val="00B1698B"/>
    <w:rsid w:val="00B17BB6"/>
    <w:rsid w:val="00B22821"/>
    <w:rsid w:val="00B2378E"/>
    <w:rsid w:val="00B23F36"/>
    <w:rsid w:val="00B303DC"/>
    <w:rsid w:val="00B31217"/>
    <w:rsid w:val="00B373D8"/>
    <w:rsid w:val="00B45DA6"/>
    <w:rsid w:val="00B50017"/>
    <w:rsid w:val="00B51C37"/>
    <w:rsid w:val="00B52674"/>
    <w:rsid w:val="00B630DE"/>
    <w:rsid w:val="00B6415D"/>
    <w:rsid w:val="00B657EB"/>
    <w:rsid w:val="00B66B72"/>
    <w:rsid w:val="00B747D1"/>
    <w:rsid w:val="00B750CB"/>
    <w:rsid w:val="00B95099"/>
    <w:rsid w:val="00BA449F"/>
    <w:rsid w:val="00BB03CD"/>
    <w:rsid w:val="00BB4E92"/>
    <w:rsid w:val="00BB64C7"/>
    <w:rsid w:val="00BB6A2D"/>
    <w:rsid w:val="00BC018F"/>
    <w:rsid w:val="00BD4280"/>
    <w:rsid w:val="00BD5548"/>
    <w:rsid w:val="00BE22E7"/>
    <w:rsid w:val="00BE640A"/>
    <w:rsid w:val="00BF46FF"/>
    <w:rsid w:val="00BF6D43"/>
    <w:rsid w:val="00C0214B"/>
    <w:rsid w:val="00C0431D"/>
    <w:rsid w:val="00C050EE"/>
    <w:rsid w:val="00C10ED4"/>
    <w:rsid w:val="00C11181"/>
    <w:rsid w:val="00C11944"/>
    <w:rsid w:val="00C20D3E"/>
    <w:rsid w:val="00C20F67"/>
    <w:rsid w:val="00C23896"/>
    <w:rsid w:val="00C26239"/>
    <w:rsid w:val="00C27B28"/>
    <w:rsid w:val="00C322A3"/>
    <w:rsid w:val="00C4620A"/>
    <w:rsid w:val="00C53E49"/>
    <w:rsid w:val="00C542F7"/>
    <w:rsid w:val="00C557AC"/>
    <w:rsid w:val="00C5673F"/>
    <w:rsid w:val="00C619ED"/>
    <w:rsid w:val="00C64680"/>
    <w:rsid w:val="00C66013"/>
    <w:rsid w:val="00C723EF"/>
    <w:rsid w:val="00C7773E"/>
    <w:rsid w:val="00C82F24"/>
    <w:rsid w:val="00C83042"/>
    <w:rsid w:val="00C83630"/>
    <w:rsid w:val="00C879F9"/>
    <w:rsid w:val="00C96039"/>
    <w:rsid w:val="00C97CD6"/>
    <w:rsid w:val="00CA1BFB"/>
    <w:rsid w:val="00CA2E33"/>
    <w:rsid w:val="00CA3D18"/>
    <w:rsid w:val="00CA5FD8"/>
    <w:rsid w:val="00CB1829"/>
    <w:rsid w:val="00CB1F76"/>
    <w:rsid w:val="00CB3ADB"/>
    <w:rsid w:val="00CB7B49"/>
    <w:rsid w:val="00CC199E"/>
    <w:rsid w:val="00CC7001"/>
    <w:rsid w:val="00CC7D0E"/>
    <w:rsid w:val="00CD0EBB"/>
    <w:rsid w:val="00CD1EF7"/>
    <w:rsid w:val="00CD2412"/>
    <w:rsid w:val="00CD430D"/>
    <w:rsid w:val="00CE1CD0"/>
    <w:rsid w:val="00CE2249"/>
    <w:rsid w:val="00CF2FA8"/>
    <w:rsid w:val="00CF74E8"/>
    <w:rsid w:val="00D03278"/>
    <w:rsid w:val="00D04B40"/>
    <w:rsid w:val="00D05135"/>
    <w:rsid w:val="00D06DB1"/>
    <w:rsid w:val="00D073DE"/>
    <w:rsid w:val="00D10311"/>
    <w:rsid w:val="00D154CA"/>
    <w:rsid w:val="00D209D2"/>
    <w:rsid w:val="00D27419"/>
    <w:rsid w:val="00D33A66"/>
    <w:rsid w:val="00D35769"/>
    <w:rsid w:val="00D43EAF"/>
    <w:rsid w:val="00D445CD"/>
    <w:rsid w:val="00D458FB"/>
    <w:rsid w:val="00D5009F"/>
    <w:rsid w:val="00D5220D"/>
    <w:rsid w:val="00D54777"/>
    <w:rsid w:val="00D55FCB"/>
    <w:rsid w:val="00D60710"/>
    <w:rsid w:val="00D617FC"/>
    <w:rsid w:val="00D65901"/>
    <w:rsid w:val="00D67BEF"/>
    <w:rsid w:val="00D70C25"/>
    <w:rsid w:val="00D71582"/>
    <w:rsid w:val="00D74FF9"/>
    <w:rsid w:val="00D776E4"/>
    <w:rsid w:val="00D77709"/>
    <w:rsid w:val="00D82F40"/>
    <w:rsid w:val="00D857E0"/>
    <w:rsid w:val="00D914B1"/>
    <w:rsid w:val="00D94D16"/>
    <w:rsid w:val="00DA0270"/>
    <w:rsid w:val="00DA1B35"/>
    <w:rsid w:val="00DA3212"/>
    <w:rsid w:val="00DA4A5C"/>
    <w:rsid w:val="00DA6729"/>
    <w:rsid w:val="00DB03AC"/>
    <w:rsid w:val="00DB36A8"/>
    <w:rsid w:val="00DB42F5"/>
    <w:rsid w:val="00DB5E86"/>
    <w:rsid w:val="00DB61F4"/>
    <w:rsid w:val="00DB6FB6"/>
    <w:rsid w:val="00DC0077"/>
    <w:rsid w:val="00DD0E3C"/>
    <w:rsid w:val="00DD48FD"/>
    <w:rsid w:val="00DD7060"/>
    <w:rsid w:val="00DE0288"/>
    <w:rsid w:val="00DE0458"/>
    <w:rsid w:val="00DE0486"/>
    <w:rsid w:val="00DE44A4"/>
    <w:rsid w:val="00DE47E9"/>
    <w:rsid w:val="00DF0520"/>
    <w:rsid w:val="00DF205C"/>
    <w:rsid w:val="00DF7D73"/>
    <w:rsid w:val="00E03776"/>
    <w:rsid w:val="00E116C1"/>
    <w:rsid w:val="00E20CF7"/>
    <w:rsid w:val="00E30ED0"/>
    <w:rsid w:val="00E31D84"/>
    <w:rsid w:val="00E42C86"/>
    <w:rsid w:val="00E43392"/>
    <w:rsid w:val="00E44ACD"/>
    <w:rsid w:val="00E452DF"/>
    <w:rsid w:val="00E4738E"/>
    <w:rsid w:val="00E501A9"/>
    <w:rsid w:val="00E51708"/>
    <w:rsid w:val="00E62834"/>
    <w:rsid w:val="00E63D4E"/>
    <w:rsid w:val="00E652ED"/>
    <w:rsid w:val="00E65816"/>
    <w:rsid w:val="00E65C35"/>
    <w:rsid w:val="00E66536"/>
    <w:rsid w:val="00E7018C"/>
    <w:rsid w:val="00E7162D"/>
    <w:rsid w:val="00E7197C"/>
    <w:rsid w:val="00E74EA7"/>
    <w:rsid w:val="00E9041D"/>
    <w:rsid w:val="00E90FF0"/>
    <w:rsid w:val="00E912BF"/>
    <w:rsid w:val="00E927BF"/>
    <w:rsid w:val="00E967AE"/>
    <w:rsid w:val="00EA1ED1"/>
    <w:rsid w:val="00EB469C"/>
    <w:rsid w:val="00EB54FA"/>
    <w:rsid w:val="00EC12E0"/>
    <w:rsid w:val="00EC3581"/>
    <w:rsid w:val="00EC5918"/>
    <w:rsid w:val="00EC6F40"/>
    <w:rsid w:val="00ED1382"/>
    <w:rsid w:val="00ED2D50"/>
    <w:rsid w:val="00EE4CAF"/>
    <w:rsid w:val="00EE73CB"/>
    <w:rsid w:val="00EF0814"/>
    <w:rsid w:val="00EF29B3"/>
    <w:rsid w:val="00EF2B74"/>
    <w:rsid w:val="00EF7178"/>
    <w:rsid w:val="00EF7AAC"/>
    <w:rsid w:val="00F00D99"/>
    <w:rsid w:val="00F01B22"/>
    <w:rsid w:val="00F05755"/>
    <w:rsid w:val="00F10301"/>
    <w:rsid w:val="00F14F7E"/>
    <w:rsid w:val="00F1515E"/>
    <w:rsid w:val="00F23D3F"/>
    <w:rsid w:val="00F2602B"/>
    <w:rsid w:val="00F31C41"/>
    <w:rsid w:val="00F336B8"/>
    <w:rsid w:val="00F360E7"/>
    <w:rsid w:val="00F40C2F"/>
    <w:rsid w:val="00F577FD"/>
    <w:rsid w:val="00F57E04"/>
    <w:rsid w:val="00F60A90"/>
    <w:rsid w:val="00F62A93"/>
    <w:rsid w:val="00F66919"/>
    <w:rsid w:val="00F67992"/>
    <w:rsid w:val="00F708BC"/>
    <w:rsid w:val="00F71E89"/>
    <w:rsid w:val="00F80375"/>
    <w:rsid w:val="00F81CC6"/>
    <w:rsid w:val="00F83C2C"/>
    <w:rsid w:val="00F920EE"/>
    <w:rsid w:val="00F97190"/>
    <w:rsid w:val="00F979F4"/>
    <w:rsid w:val="00FA4255"/>
    <w:rsid w:val="00FB1D81"/>
    <w:rsid w:val="00FB6C5C"/>
    <w:rsid w:val="00FB73EE"/>
    <w:rsid w:val="00FC42CB"/>
    <w:rsid w:val="00FC4723"/>
    <w:rsid w:val="00FC5481"/>
    <w:rsid w:val="00FC6F9A"/>
    <w:rsid w:val="00FD6DED"/>
    <w:rsid w:val="00FD7201"/>
    <w:rsid w:val="00FE0631"/>
    <w:rsid w:val="00FE06D4"/>
    <w:rsid w:val="00FE2D0B"/>
    <w:rsid w:val="00FE42DE"/>
    <w:rsid w:val="00FE6D44"/>
    <w:rsid w:val="00FE6E06"/>
    <w:rsid w:val="00FF1758"/>
    <w:rsid w:val="00FF2616"/>
    <w:rsid w:val="00FF3453"/>
    <w:rsid w:val="07EF786D"/>
    <w:rsid w:val="113373E5"/>
    <w:rsid w:val="4BF6518F"/>
    <w:rsid w:val="6461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name="toc 3"/>
    <w:lsdException w:qFormat="1" w:uiPriority="39" w:name="toc 4"/>
    <w:lsdException w:qFormat="1" w:uiPriority="39" w:name="toc 5"/>
    <w:lsdException w:qFormat="1" w:uiPriority="39" w:name="toc 6"/>
    <w:lsdException w:uiPriority="39" w:name="toc 7"/>
    <w:lsdException w:qFormat="1" w:uiPriority="39" w:name="toc 8"/>
    <w:lsdException w:qFormat="1" w:uiPriority="39" w:name="toc 9"/>
    <w:lsdException w:qFormat="1" w:unhideWhenUsed="0" w:uiPriority="0" w:semiHidden="0" w:name="Normal Indent"/>
    <w:lsdException w:uiPriority="99" w:name="footnote text"/>
    <w:lsdException w:qFormat="1"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2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3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1"/>
    <w:link w:val="3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25">
    <w:name w:val="Default Paragraph Font"/>
    <w:semiHidden/>
    <w:unhideWhenUsed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80" w:after="180"/>
    </w:pPr>
  </w:style>
  <w:style w:type="paragraph" w:styleId="6">
    <w:name w:val="toc 7"/>
    <w:basedOn w:val="1"/>
    <w:next w:val="1"/>
    <w:autoRedefine/>
    <w:semiHidden/>
    <w:unhideWhenUsed/>
    <w:uiPriority w:val="39"/>
    <w:pPr>
      <w:ind w:left="1260"/>
      <w:jc w:val="left"/>
    </w:pPr>
    <w:rPr>
      <w:rFonts w:eastAsiaTheme="minorHAnsi"/>
      <w:sz w:val="18"/>
      <w:szCs w:val="18"/>
    </w:rPr>
  </w:style>
  <w:style w:type="paragraph" w:styleId="7">
    <w:name w:val="Normal Indent"/>
    <w:basedOn w:val="1"/>
    <w:link w:val="32"/>
    <w:qFormat/>
    <w:uiPriority w:val="0"/>
    <w:pPr>
      <w:spacing w:before="100" w:beforeAutospacing="1" w:after="100" w:afterAutospacing="1" w:line="320" w:lineRule="atLeast"/>
      <w:ind w:firstLine="420"/>
    </w:pPr>
    <w:rPr>
      <w:rFonts w:ascii="Calibri" w:hAnsi="Calibri" w:eastAsia="宋体" w:cs="Times New Roman"/>
      <w:szCs w:val="20"/>
    </w:rPr>
  </w:style>
  <w:style w:type="paragraph" w:styleId="8">
    <w:name w:val="annotation text"/>
    <w:basedOn w:val="1"/>
    <w:link w:val="37"/>
    <w:semiHidden/>
    <w:unhideWhenUsed/>
    <w:qFormat/>
    <w:uiPriority w:val="99"/>
    <w:pPr>
      <w:jc w:val="left"/>
    </w:pPr>
  </w:style>
  <w:style w:type="paragraph" w:styleId="9">
    <w:name w:val="toc 5"/>
    <w:basedOn w:val="1"/>
    <w:next w:val="1"/>
    <w:autoRedefine/>
    <w:semiHidden/>
    <w:unhideWhenUsed/>
    <w:qFormat/>
    <w:uiPriority w:val="39"/>
    <w:pPr>
      <w:ind w:left="840"/>
      <w:jc w:val="left"/>
    </w:pPr>
    <w:rPr>
      <w:rFonts w:eastAsiaTheme="minorHAnsi"/>
      <w:sz w:val="18"/>
      <w:szCs w:val="18"/>
    </w:rPr>
  </w:style>
  <w:style w:type="paragraph" w:styleId="10">
    <w:name w:val="toc 3"/>
    <w:basedOn w:val="1"/>
    <w:next w:val="1"/>
    <w:autoRedefine/>
    <w:semiHidden/>
    <w:unhideWhenUsed/>
    <w:qFormat/>
    <w:uiPriority w:val="39"/>
    <w:pPr>
      <w:ind w:left="420"/>
      <w:jc w:val="left"/>
    </w:pPr>
    <w:rPr>
      <w:rFonts w:eastAsiaTheme="minorHAnsi"/>
      <w:i/>
      <w:iCs/>
      <w:sz w:val="20"/>
      <w:szCs w:val="20"/>
    </w:rPr>
  </w:style>
  <w:style w:type="paragraph" w:styleId="11">
    <w:name w:val="toc 8"/>
    <w:basedOn w:val="1"/>
    <w:next w:val="1"/>
    <w:autoRedefine/>
    <w:semiHidden/>
    <w:unhideWhenUsed/>
    <w:qFormat/>
    <w:uiPriority w:val="39"/>
    <w:pPr>
      <w:ind w:left="1470"/>
      <w:jc w:val="left"/>
    </w:pPr>
    <w:rPr>
      <w:rFonts w:eastAsiaTheme="minorHAnsi"/>
      <w:sz w:val="18"/>
      <w:szCs w:val="18"/>
    </w:rPr>
  </w:style>
  <w:style w:type="paragraph" w:styleId="12">
    <w:name w:val="Balloon Text"/>
    <w:basedOn w:val="1"/>
    <w:link w:val="30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13">
    <w:name w:val="footer"/>
    <w:basedOn w:val="1"/>
    <w:link w:val="36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3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autoRedefine/>
    <w:unhideWhenUsed/>
    <w:qFormat/>
    <w:uiPriority w:val="39"/>
    <w:pPr>
      <w:spacing w:before="120" w:after="120"/>
      <w:jc w:val="left"/>
    </w:pPr>
    <w:rPr>
      <w:rFonts w:eastAsiaTheme="minorHAnsi"/>
      <w:b/>
      <w:bCs/>
      <w:caps/>
      <w:sz w:val="20"/>
      <w:szCs w:val="20"/>
    </w:rPr>
  </w:style>
  <w:style w:type="paragraph" w:styleId="16">
    <w:name w:val="toc 4"/>
    <w:basedOn w:val="1"/>
    <w:next w:val="1"/>
    <w:autoRedefine/>
    <w:semiHidden/>
    <w:unhideWhenUsed/>
    <w:qFormat/>
    <w:uiPriority w:val="39"/>
    <w:pPr>
      <w:ind w:left="630"/>
      <w:jc w:val="left"/>
    </w:pPr>
    <w:rPr>
      <w:rFonts w:eastAsiaTheme="minorHAnsi"/>
      <w:sz w:val="18"/>
      <w:szCs w:val="18"/>
    </w:rPr>
  </w:style>
  <w:style w:type="paragraph" w:styleId="17">
    <w:name w:val="toc 6"/>
    <w:basedOn w:val="1"/>
    <w:next w:val="1"/>
    <w:autoRedefine/>
    <w:semiHidden/>
    <w:unhideWhenUsed/>
    <w:qFormat/>
    <w:uiPriority w:val="39"/>
    <w:pPr>
      <w:ind w:left="1050"/>
      <w:jc w:val="left"/>
    </w:pPr>
    <w:rPr>
      <w:rFonts w:eastAsiaTheme="minorHAnsi"/>
      <w:sz w:val="18"/>
      <w:szCs w:val="18"/>
    </w:rPr>
  </w:style>
  <w:style w:type="paragraph" w:styleId="18">
    <w:name w:val="toc 2"/>
    <w:basedOn w:val="1"/>
    <w:next w:val="1"/>
    <w:autoRedefine/>
    <w:unhideWhenUsed/>
    <w:qFormat/>
    <w:uiPriority w:val="39"/>
    <w:pPr>
      <w:ind w:left="210"/>
      <w:jc w:val="left"/>
    </w:pPr>
    <w:rPr>
      <w:rFonts w:eastAsiaTheme="minorHAnsi"/>
      <w:smallCaps/>
      <w:sz w:val="20"/>
      <w:szCs w:val="20"/>
    </w:rPr>
  </w:style>
  <w:style w:type="paragraph" w:styleId="19">
    <w:name w:val="toc 9"/>
    <w:basedOn w:val="1"/>
    <w:next w:val="1"/>
    <w:autoRedefine/>
    <w:semiHidden/>
    <w:unhideWhenUsed/>
    <w:qFormat/>
    <w:uiPriority w:val="39"/>
    <w:pPr>
      <w:ind w:left="1680"/>
      <w:jc w:val="left"/>
    </w:pPr>
    <w:rPr>
      <w:rFonts w:eastAsiaTheme="minorHAnsi"/>
      <w:sz w:val="18"/>
      <w:szCs w:val="18"/>
    </w:rPr>
  </w:style>
  <w:style w:type="paragraph" w:styleId="20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21">
    <w:name w:val="Title"/>
    <w:basedOn w:val="1"/>
    <w:next w:val="1"/>
    <w:link w:val="43"/>
    <w:qFormat/>
    <w:uiPriority w:val="10"/>
    <w:pPr>
      <w:spacing w:before="240" w:after="60" w:afterLines="50" w:line="360" w:lineRule="auto"/>
      <w:jc w:val="center"/>
      <w:outlineLvl w:val="0"/>
    </w:pPr>
    <w:rPr>
      <w:rFonts w:ascii="等线 Light" w:hAnsi="等线 Light" w:eastAsia="宋体" w:cs="Times New Roman"/>
      <w:b/>
      <w:bCs/>
      <w:sz w:val="32"/>
      <w:szCs w:val="32"/>
    </w:rPr>
  </w:style>
  <w:style w:type="paragraph" w:styleId="22">
    <w:name w:val="annotation subject"/>
    <w:basedOn w:val="8"/>
    <w:next w:val="8"/>
    <w:link w:val="38"/>
    <w:semiHidden/>
    <w:unhideWhenUsed/>
    <w:qFormat/>
    <w:uiPriority w:val="99"/>
    <w:rPr>
      <w:b/>
      <w:bCs/>
    </w:rPr>
  </w:style>
  <w:style w:type="table" w:styleId="24">
    <w:name w:val="Table Grid"/>
    <w:basedOn w:val="2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6">
    <w:name w:val="Hyperlink"/>
    <w:basedOn w:val="2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7">
    <w:name w:val="annotation reference"/>
    <w:basedOn w:val="25"/>
    <w:semiHidden/>
    <w:unhideWhenUsed/>
    <w:qFormat/>
    <w:uiPriority w:val="99"/>
    <w:rPr>
      <w:sz w:val="21"/>
      <w:szCs w:val="21"/>
    </w:rPr>
  </w:style>
  <w:style w:type="character" w:customStyle="1" w:styleId="28">
    <w:name w:val="标题 1 Char"/>
    <w:basedOn w:val="25"/>
    <w:link w:val="3"/>
    <w:qFormat/>
    <w:uiPriority w:val="9"/>
    <w:rPr>
      <w:b/>
      <w:bCs/>
      <w:kern w:val="44"/>
      <w:sz w:val="44"/>
      <w:szCs w:val="44"/>
    </w:rPr>
  </w:style>
  <w:style w:type="paragraph" w:styleId="29">
    <w:name w:val="List Paragraph"/>
    <w:basedOn w:val="1"/>
    <w:link w:val="41"/>
    <w:qFormat/>
    <w:uiPriority w:val="34"/>
    <w:pPr>
      <w:ind w:firstLine="420" w:firstLineChars="200"/>
    </w:pPr>
  </w:style>
  <w:style w:type="character" w:customStyle="1" w:styleId="30">
    <w:name w:val="批注框文本 Char"/>
    <w:basedOn w:val="25"/>
    <w:link w:val="12"/>
    <w:semiHidden/>
    <w:qFormat/>
    <w:uiPriority w:val="99"/>
    <w:rPr>
      <w:rFonts w:ascii="宋体" w:eastAsia="宋体"/>
      <w:sz w:val="18"/>
      <w:szCs w:val="18"/>
    </w:rPr>
  </w:style>
  <w:style w:type="character" w:customStyle="1" w:styleId="31">
    <w:name w:val="标题 3 Char"/>
    <w:basedOn w:val="25"/>
    <w:link w:val="5"/>
    <w:qFormat/>
    <w:uiPriority w:val="9"/>
    <w:rPr>
      <w:b/>
      <w:bCs/>
      <w:sz w:val="32"/>
      <w:szCs w:val="32"/>
    </w:rPr>
  </w:style>
  <w:style w:type="character" w:customStyle="1" w:styleId="32">
    <w:name w:val="正文缩进 Char1"/>
    <w:link w:val="7"/>
    <w:qFormat/>
    <w:locked/>
    <w:uiPriority w:val="0"/>
    <w:rPr>
      <w:rFonts w:ascii="Calibri" w:hAnsi="Calibri" w:eastAsia="宋体" w:cs="Times New Roman"/>
      <w:szCs w:val="20"/>
    </w:rPr>
  </w:style>
  <w:style w:type="character" w:customStyle="1" w:styleId="33">
    <w:name w:val="标题 2 Char"/>
    <w:basedOn w:val="25"/>
    <w:link w:val="4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34">
    <w:name w:val="TOC Heading"/>
    <w:basedOn w:val="3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F5597" w:themeColor="accent1" w:themeShade="BF"/>
      <w:kern w:val="0"/>
      <w:sz w:val="28"/>
      <w:szCs w:val="28"/>
    </w:rPr>
  </w:style>
  <w:style w:type="character" w:customStyle="1" w:styleId="35">
    <w:name w:val="页眉 Char"/>
    <w:basedOn w:val="25"/>
    <w:link w:val="14"/>
    <w:qFormat/>
    <w:uiPriority w:val="99"/>
    <w:rPr>
      <w:sz w:val="18"/>
      <w:szCs w:val="18"/>
    </w:rPr>
  </w:style>
  <w:style w:type="character" w:customStyle="1" w:styleId="36">
    <w:name w:val="页脚 Char"/>
    <w:basedOn w:val="25"/>
    <w:link w:val="13"/>
    <w:qFormat/>
    <w:uiPriority w:val="99"/>
    <w:rPr>
      <w:sz w:val="18"/>
      <w:szCs w:val="18"/>
    </w:rPr>
  </w:style>
  <w:style w:type="character" w:customStyle="1" w:styleId="37">
    <w:name w:val="批注文字 Char"/>
    <w:basedOn w:val="25"/>
    <w:link w:val="8"/>
    <w:semiHidden/>
    <w:qFormat/>
    <w:uiPriority w:val="99"/>
  </w:style>
  <w:style w:type="character" w:customStyle="1" w:styleId="38">
    <w:name w:val="批注主题 Char"/>
    <w:basedOn w:val="37"/>
    <w:link w:val="22"/>
    <w:semiHidden/>
    <w:uiPriority w:val="99"/>
    <w:rPr>
      <w:b/>
      <w:bCs/>
    </w:rPr>
  </w:style>
  <w:style w:type="paragraph" w:customStyle="1" w:styleId="39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  <w:szCs w:val="22"/>
    </w:rPr>
  </w:style>
  <w:style w:type="paragraph" w:styleId="40">
    <w:name w:val="No Spacing"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41">
    <w:name w:val="列出段落 Char"/>
    <w:link w:val="29"/>
    <w:qFormat/>
    <w:uiPriority w:val="34"/>
  </w:style>
  <w:style w:type="character" w:customStyle="1" w:styleId="42">
    <w:name w:val="标题 Char"/>
    <w:basedOn w:val="25"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43">
    <w:name w:val="标题 Char1"/>
    <w:link w:val="21"/>
    <w:qFormat/>
    <w:uiPriority w:val="10"/>
    <w:rPr>
      <w:rFonts w:ascii="等线 Light" w:hAnsi="等线 Light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E492A62-3591-4EAA-B35A-60E2D78ED9C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1475</Words>
  <Characters>1593</Characters>
  <Lines>11</Lines>
  <Paragraphs>3</Paragraphs>
  <TotalTime>1</TotalTime>
  <ScaleCrop>false</ScaleCrop>
  <LinksUpToDate>false</LinksUpToDate>
  <CharactersWithSpaces>1596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2024-04-10T08:51:00Z</dcterms:created>
  <dc:creator>方文仲</dc:creator>
  <cp:lastModifiedBy>gc</cp:lastModifiedBy>
  <cp:lastPrinted>2024-08-23T03:16:00Z</cp:lastPrinted>
  <dcterms:modified xsi:type="dcterms:W3CDTF">2026-03-04T11:04:44Z</dcterms:modified>
  <cp:revision>76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eyJoZGlkIjoiNzg5M2RhNDE3ZjYzZmU1MTk2Yzc0ZjQ5NWVkMGNjNmUiLCJ1c2VySWQiOiI2MjU5ODg1NTIifQ==</vt:lpwstr>
  </property>
  <property fmtid="{D5CDD505-2E9C-101B-9397-08002B2CF9AE}" pid="3" name="KSOProductBuildVer">
    <vt:lpwstr>2052-12.1.0.22525</vt:lpwstr>
  </property>
  <property fmtid="{D5CDD505-2E9C-101B-9397-08002B2CF9AE}" pid="4" name="ICV">
    <vt:lpwstr>311125ADD17F46BEBD0151963C8B605B_12</vt:lpwstr>
  </property>
</Properties>
</file>