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numPr>
          <w:numId w:val="0"/>
        </w:numPr>
        <w:suppressLineNumbers w:val="0"/>
        <w:snapToGrid w:val="0"/>
        <w:jc w:val="center"/>
        <w:textAlignment w:val="center"/>
        <w:rPr>
          <w:rFonts w:hint="eastAsia"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报价表</w:t>
      </w:r>
    </w:p>
    <w:tbl>
      <w:tblPr>
        <w:tblStyle w:val="5"/>
        <w:tblW w:w="57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
        <w:gridCol w:w="1430"/>
        <w:gridCol w:w="662"/>
        <w:gridCol w:w="939"/>
        <w:gridCol w:w="839"/>
        <w:gridCol w:w="734"/>
        <w:gridCol w:w="726"/>
        <w:gridCol w:w="866"/>
        <w:gridCol w:w="776"/>
        <w:gridCol w:w="523"/>
        <w:gridCol w:w="845"/>
        <w:gridCol w:w="579"/>
        <w:gridCol w:w="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4" w:type="pct"/>
            <w:vAlign w:val="center"/>
          </w:tcPr>
          <w:p>
            <w:pPr>
              <w:jc w:val="center"/>
              <w:outlineLvl w:val="0"/>
              <w:rPr>
                <w:rFonts w:hint="eastAsia" w:ascii="宋体" w:hAnsi="宋体" w:cs="宋体"/>
                <w:b/>
                <w:bCs/>
                <w:szCs w:val="21"/>
              </w:rPr>
            </w:pPr>
            <w:r>
              <w:rPr>
                <w:rFonts w:hint="eastAsia" w:ascii="宋体" w:hAnsi="宋体" w:cs="宋体"/>
                <w:b/>
                <w:bCs/>
                <w:szCs w:val="21"/>
              </w:rPr>
              <w:t>序号</w:t>
            </w:r>
          </w:p>
        </w:tc>
        <w:tc>
          <w:tcPr>
            <w:tcW w:w="723" w:type="pct"/>
            <w:vAlign w:val="center"/>
          </w:tcPr>
          <w:p>
            <w:pPr>
              <w:widowControl/>
              <w:jc w:val="center"/>
              <w:textAlignment w:val="center"/>
              <w:rPr>
                <w:rFonts w:hint="eastAsia" w:ascii="宋体" w:hAnsi="宋体" w:eastAsia="宋体" w:cs="宋体"/>
                <w:b/>
                <w:bCs/>
                <w:kern w:val="0"/>
                <w:szCs w:val="21"/>
                <w:lang w:eastAsia="zh-CN" w:bidi="ar"/>
              </w:rPr>
            </w:pPr>
            <w:r>
              <w:rPr>
                <w:rFonts w:hint="eastAsia" w:ascii="宋体" w:hAnsi="宋体" w:cs="宋体"/>
                <w:b/>
                <w:bCs/>
                <w:kern w:val="0"/>
                <w:szCs w:val="21"/>
                <w:lang w:bidi="ar"/>
              </w:rPr>
              <w:t>产品名称</w:t>
            </w:r>
          </w:p>
        </w:tc>
        <w:tc>
          <w:tcPr>
            <w:tcW w:w="335" w:type="pct"/>
            <w:vAlign w:val="center"/>
          </w:tcPr>
          <w:p>
            <w:pPr>
              <w:widowControl/>
              <w:jc w:val="center"/>
              <w:textAlignment w:val="center"/>
              <w:rPr>
                <w:rFonts w:hint="eastAsia" w:ascii="宋体" w:hAnsi="宋体" w:cs="宋体"/>
                <w:b/>
                <w:bCs/>
                <w:kern w:val="0"/>
                <w:szCs w:val="21"/>
                <w:lang w:bidi="ar"/>
              </w:rPr>
            </w:pPr>
            <w:r>
              <w:rPr>
                <w:rFonts w:hint="eastAsia" w:ascii="宋体" w:hAnsi="宋体" w:cs="宋体"/>
                <w:b/>
                <w:bCs/>
                <w:szCs w:val="21"/>
              </w:rPr>
              <w:t>数量/单位</w:t>
            </w:r>
          </w:p>
        </w:tc>
        <w:tc>
          <w:tcPr>
            <w:tcW w:w="475" w:type="pct"/>
            <w:vAlign w:val="center"/>
          </w:tcPr>
          <w:p>
            <w:pPr>
              <w:widowControl/>
              <w:jc w:val="center"/>
              <w:textAlignment w:val="center"/>
              <w:rPr>
                <w:rFonts w:hint="eastAsia" w:ascii="宋体" w:hAnsi="宋体" w:cs="宋体"/>
                <w:b/>
                <w:bCs/>
                <w:szCs w:val="21"/>
              </w:rPr>
            </w:pPr>
            <w:r>
              <w:rPr>
                <w:rFonts w:hint="eastAsia" w:ascii="宋体" w:hAnsi="宋体" w:cs="宋体"/>
                <w:b/>
                <w:bCs/>
                <w:szCs w:val="21"/>
              </w:rPr>
              <w:t>制造商全称</w:t>
            </w:r>
          </w:p>
        </w:tc>
        <w:tc>
          <w:tcPr>
            <w:tcW w:w="424" w:type="pct"/>
            <w:vAlign w:val="center"/>
          </w:tcPr>
          <w:p>
            <w:pPr>
              <w:pStyle w:val="2"/>
              <w:rPr>
                <w:rFonts w:hint="eastAsia" w:ascii="宋体" w:hAnsi="宋体" w:cs="宋体"/>
                <w:b/>
                <w:bCs/>
                <w:kern w:val="0"/>
                <w:szCs w:val="21"/>
                <w:lang w:bidi="ar"/>
              </w:rPr>
            </w:pPr>
            <w:r>
              <w:rPr>
                <w:rFonts w:hint="eastAsia" w:ascii="宋体" w:hAnsi="宋体" w:cs="宋体"/>
                <w:b/>
                <w:bCs/>
                <w:kern w:val="0"/>
                <w:szCs w:val="21"/>
                <w:lang w:bidi="ar"/>
              </w:rPr>
              <w:t>制造商类型</w:t>
            </w:r>
          </w:p>
          <w:p>
            <w:pPr>
              <w:pStyle w:val="2"/>
              <w:rPr>
                <w:rFonts w:hint="eastAsia" w:ascii="宋体" w:hAnsi="宋体" w:cs="宋体"/>
                <w:b/>
                <w:bCs/>
                <w:szCs w:val="21"/>
              </w:rPr>
            </w:pPr>
            <w:r>
              <w:rPr>
                <w:rFonts w:hint="eastAsia" w:ascii="宋体" w:hAnsi="宋体" w:cs="宋体"/>
                <w:b/>
                <w:bCs/>
                <w:kern w:val="0"/>
                <w:sz w:val="18"/>
                <w:szCs w:val="18"/>
                <w:lang w:bidi="ar"/>
              </w:rPr>
              <w:t>（大型、中型、小型、微型）</w:t>
            </w:r>
          </w:p>
        </w:tc>
        <w:tc>
          <w:tcPr>
            <w:tcW w:w="371" w:type="pct"/>
            <w:vAlign w:val="center"/>
          </w:tcPr>
          <w:p>
            <w:pPr>
              <w:widowControl/>
              <w:jc w:val="center"/>
              <w:textAlignment w:val="center"/>
              <w:rPr>
                <w:rFonts w:hint="eastAsia" w:ascii="宋体" w:hAnsi="宋体" w:cs="宋体"/>
                <w:szCs w:val="21"/>
              </w:rPr>
            </w:pPr>
            <w:r>
              <w:rPr>
                <w:rFonts w:hint="eastAsia" w:ascii="宋体" w:hAnsi="宋体" w:cs="宋体"/>
                <w:b/>
                <w:bCs/>
                <w:szCs w:val="21"/>
              </w:rPr>
              <w:t>品牌</w:t>
            </w:r>
          </w:p>
        </w:tc>
        <w:tc>
          <w:tcPr>
            <w:tcW w:w="367" w:type="pct"/>
            <w:vAlign w:val="center"/>
          </w:tcPr>
          <w:p>
            <w:pPr>
              <w:widowControl/>
              <w:jc w:val="center"/>
              <w:textAlignment w:val="center"/>
              <w:rPr>
                <w:rFonts w:hint="eastAsia" w:ascii="宋体" w:hAnsi="宋体" w:cs="宋体"/>
                <w:b/>
                <w:bCs/>
                <w:szCs w:val="21"/>
              </w:rPr>
            </w:pPr>
            <w:r>
              <w:rPr>
                <w:rFonts w:hint="eastAsia" w:ascii="宋体" w:hAnsi="宋体" w:cs="宋体"/>
                <w:b/>
                <w:bCs/>
                <w:kern w:val="0"/>
                <w:szCs w:val="21"/>
                <w:lang w:bidi="ar"/>
              </w:rPr>
              <w:t>型号</w:t>
            </w:r>
          </w:p>
        </w:tc>
        <w:tc>
          <w:tcPr>
            <w:tcW w:w="438" w:type="pct"/>
            <w:vAlign w:val="center"/>
          </w:tcPr>
          <w:p>
            <w:pPr>
              <w:widowControl/>
              <w:jc w:val="center"/>
              <w:textAlignment w:val="center"/>
              <w:rPr>
                <w:rFonts w:hint="eastAsia" w:ascii="宋体" w:hAnsi="宋体" w:cs="宋体"/>
                <w:b/>
                <w:bCs/>
                <w:kern w:val="0"/>
                <w:szCs w:val="21"/>
                <w:lang w:val="en-US" w:eastAsia="zh-CN" w:bidi="ar"/>
              </w:rPr>
            </w:pPr>
            <w:r>
              <w:rPr>
                <w:rFonts w:hint="eastAsia" w:ascii="宋体" w:hAnsi="宋体" w:cs="宋体"/>
                <w:b/>
                <w:bCs/>
                <w:kern w:val="0"/>
                <w:szCs w:val="21"/>
                <w:lang w:val="en-US" w:eastAsia="zh-CN" w:bidi="ar"/>
              </w:rPr>
              <w:t>尺寸</w:t>
            </w:r>
          </w:p>
          <w:p>
            <w:pPr>
              <w:widowControl/>
              <w:jc w:val="center"/>
              <w:textAlignment w:val="center"/>
              <w:rPr>
                <w:rFonts w:hint="eastAsia" w:ascii="宋体" w:hAnsi="宋体" w:eastAsia="宋体" w:cs="宋体"/>
                <w:b/>
                <w:bCs/>
                <w:kern w:val="0"/>
                <w:szCs w:val="21"/>
                <w:lang w:val="en-US" w:eastAsia="zh-CN" w:bidi="ar"/>
              </w:rPr>
            </w:pPr>
            <w:r>
              <w:rPr>
                <w:rFonts w:hint="eastAsia" w:ascii="宋体" w:hAnsi="宋体" w:cs="宋体"/>
                <w:b/>
                <w:bCs/>
                <w:kern w:val="0"/>
                <w:szCs w:val="21"/>
                <w:lang w:val="en-US" w:eastAsia="zh-CN" w:bidi="ar"/>
              </w:rPr>
              <w:t>（长：宽：高）</w:t>
            </w:r>
          </w:p>
        </w:tc>
        <w:tc>
          <w:tcPr>
            <w:tcW w:w="392" w:type="pct"/>
            <w:vAlign w:val="center"/>
          </w:tcPr>
          <w:p>
            <w:pPr>
              <w:widowControl/>
              <w:jc w:val="center"/>
              <w:textAlignment w:val="center"/>
              <w:rPr>
                <w:rFonts w:hint="eastAsia" w:ascii="宋体" w:hAnsi="宋体" w:cs="宋体"/>
                <w:b/>
                <w:bCs/>
                <w:kern w:val="0"/>
                <w:szCs w:val="21"/>
                <w:lang w:bidi="ar"/>
              </w:rPr>
            </w:pPr>
            <w:r>
              <w:rPr>
                <w:rFonts w:hint="eastAsia" w:ascii="宋体" w:hAnsi="宋体" w:cs="宋体"/>
                <w:b/>
                <w:bCs/>
                <w:kern w:val="0"/>
                <w:szCs w:val="21"/>
                <w:lang w:bidi="ar"/>
              </w:rPr>
              <w:t>产品设计有效期（年）</w:t>
            </w:r>
          </w:p>
        </w:tc>
        <w:tc>
          <w:tcPr>
            <w:tcW w:w="264" w:type="pct"/>
            <w:vAlign w:val="center"/>
          </w:tcPr>
          <w:p>
            <w:pPr>
              <w:widowControl/>
              <w:jc w:val="center"/>
              <w:textAlignment w:val="center"/>
              <w:rPr>
                <w:rFonts w:hint="eastAsia" w:ascii="宋体" w:hAnsi="宋体" w:cs="宋体"/>
                <w:b/>
                <w:bCs/>
                <w:kern w:val="0"/>
                <w:szCs w:val="21"/>
                <w:lang w:bidi="ar"/>
              </w:rPr>
            </w:pPr>
            <w:r>
              <w:rPr>
                <w:rFonts w:hint="eastAsia" w:ascii="宋体" w:hAnsi="宋体" w:cs="宋体"/>
                <w:b/>
                <w:bCs/>
                <w:kern w:val="0"/>
                <w:szCs w:val="21"/>
                <w:lang w:bidi="ar"/>
              </w:rPr>
              <w:t>保修期（年）</w:t>
            </w:r>
          </w:p>
        </w:tc>
        <w:tc>
          <w:tcPr>
            <w:tcW w:w="427" w:type="pct"/>
            <w:vAlign w:val="center"/>
          </w:tcPr>
          <w:p>
            <w:pPr>
              <w:widowControl/>
              <w:jc w:val="center"/>
              <w:textAlignment w:val="center"/>
              <w:rPr>
                <w:rFonts w:hint="eastAsia" w:ascii="宋体" w:hAnsi="宋体" w:eastAsia="宋体" w:cs="宋体"/>
                <w:b/>
                <w:bCs/>
                <w:kern w:val="0"/>
                <w:szCs w:val="21"/>
                <w:lang w:eastAsia="zh-CN" w:bidi="ar"/>
              </w:rPr>
            </w:pPr>
            <w:r>
              <w:rPr>
                <w:rFonts w:hint="eastAsia" w:ascii="宋体" w:hAnsi="宋体" w:cs="宋体"/>
                <w:b/>
                <w:bCs/>
                <w:szCs w:val="21"/>
                <w:highlight w:val="yellow"/>
                <w:lang w:eastAsia="zh-CN"/>
              </w:rPr>
              <w:t>（</w:t>
            </w:r>
            <w:r>
              <w:rPr>
                <w:rFonts w:hint="eastAsia" w:ascii="宋体" w:hAnsi="宋体" w:cs="宋体"/>
                <w:b/>
                <w:bCs/>
                <w:szCs w:val="21"/>
                <w:highlight w:val="yellow"/>
                <w:lang w:val="en-US" w:eastAsia="zh-CN"/>
              </w:rPr>
              <w:t>保修期后每年</w:t>
            </w:r>
            <w:r>
              <w:rPr>
                <w:rFonts w:hint="eastAsia" w:ascii="宋体" w:hAnsi="宋体" w:cs="宋体"/>
                <w:b/>
                <w:bCs/>
                <w:szCs w:val="21"/>
                <w:highlight w:val="yellow"/>
                <w:lang w:eastAsia="zh-CN"/>
              </w:rPr>
              <w:t>）</w:t>
            </w:r>
            <w:r>
              <w:rPr>
                <w:rFonts w:hint="eastAsia" w:ascii="宋体" w:hAnsi="宋体" w:cs="宋体"/>
                <w:b/>
                <w:bCs/>
                <w:szCs w:val="21"/>
              </w:rPr>
              <w:t>维保报价</w:t>
            </w:r>
            <w:r>
              <w:rPr>
                <w:rFonts w:hint="eastAsia" w:ascii="宋体" w:hAnsi="宋体" w:cs="宋体"/>
                <w:b/>
                <w:bCs/>
                <w:szCs w:val="21"/>
                <w:lang w:eastAsia="zh-CN"/>
              </w:rPr>
              <w:t>（</w:t>
            </w:r>
            <w:r>
              <w:rPr>
                <w:rFonts w:hint="eastAsia" w:ascii="宋体" w:hAnsi="宋体" w:cs="宋体"/>
                <w:b/>
                <w:bCs/>
                <w:szCs w:val="21"/>
                <w:lang w:val="en-US" w:eastAsia="zh-CN"/>
              </w:rPr>
              <w:t>元</w:t>
            </w:r>
            <w:r>
              <w:rPr>
                <w:rFonts w:hint="eastAsia" w:ascii="宋体" w:hAnsi="宋体" w:cs="宋体"/>
                <w:b/>
                <w:bCs/>
                <w:szCs w:val="21"/>
                <w:lang w:eastAsia="zh-CN"/>
              </w:rPr>
              <w:t>）</w:t>
            </w:r>
          </w:p>
        </w:tc>
        <w:tc>
          <w:tcPr>
            <w:tcW w:w="293" w:type="pct"/>
            <w:vAlign w:val="center"/>
          </w:tcPr>
          <w:p>
            <w:pPr>
              <w:widowControl/>
              <w:jc w:val="center"/>
              <w:textAlignment w:val="center"/>
              <w:rPr>
                <w:rFonts w:hint="eastAsia" w:ascii="宋体" w:hAnsi="宋体" w:cs="宋体"/>
                <w:b/>
                <w:bCs/>
                <w:kern w:val="0"/>
                <w:szCs w:val="21"/>
                <w:lang w:bidi="ar"/>
              </w:rPr>
            </w:pPr>
            <w:r>
              <w:rPr>
                <w:rFonts w:hint="eastAsia" w:ascii="宋体" w:hAnsi="宋体" w:cs="宋体"/>
                <w:b/>
                <w:bCs/>
                <w:kern w:val="0"/>
                <w:szCs w:val="21"/>
                <w:lang w:bidi="ar"/>
              </w:rPr>
              <w:t>单价（元）</w:t>
            </w:r>
          </w:p>
        </w:tc>
        <w:tc>
          <w:tcPr>
            <w:tcW w:w="320" w:type="pct"/>
            <w:vAlign w:val="center"/>
          </w:tcPr>
          <w:p>
            <w:pPr>
              <w:widowControl/>
              <w:jc w:val="center"/>
              <w:textAlignment w:val="center"/>
              <w:rPr>
                <w:rFonts w:hint="eastAsia" w:ascii="宋体" w:hAnsi="宋体" w:cs="宋体"/>
                <w:b/>
                <w:bCs/>
                <w:kern w:val="0"/>
                <w:szCs w:val="21"/>
                <w:lang w:val="en-US" w:eastAsia="zh-CN" w:bidi="ar"/>
              </w:rPr>
            </w:pPr>
            <w:r>
              <w:rPr>
                <w:rFonts w:hint="eastAsia" w:ascii="宋体" w:hAnsi="宋体" w:cs="宋体"/>
                <w:b/>
                <w:bCs/>
                <w:kern w:val="0"/>
                <w:szCs w:val="21"/>
                <w:lang w:val="en-US" w:eastAsia="zh-CN" w:bidi="ar"/>
              </w:rPr>
              <w:t>总价</w:t>
            </w:r>
          </w:p>
          <w:p>
            <w:pPr>
              <w:widowControl/>
              <w:jc w:val="center"/>
              <w:textAlignment w:val="center"/>
              <w:rPr>
                <w:rFonts w:hint="eastAsia" w:ascii="宋体" w:hAnsi="宋体" w:cs="宋体"/>
                <w:b/>
                <w:bCs/>
                <w:kern w:val="0"/>
                <w:szCs w:val="21"/>
                <w:lang w:val="en-US" w:eastAsia="zh-CN" w:bidi="ar"/>
              </w:rPr>
            </w:pPr>
            <w:r>
              <w:rPr>
                <w:rFonts w:hint="eastAsia" w:ascii="宋体" w:hAnsi="宋体" w:cs="宋体"/>
                <w:b/>
                <w:bCs/>
                <w:kern w:val="0"/>
                <w:szCs w:val="21"/>
                <w:lang w:bidi="ar"/>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i w:val="0"/>
                <w:iCs w:val="0"/>
                <w:color w:val="000000"/>
                <w:kern w:val="0"/>
                <w:sz w:val="20"/>
                <w:szCs w:val="20"/>
                <w:u w:val="none"/>
                <w:lang w:val="en-US" w:eastAsia="zh-CN" w:bidi="ar"/>
              </w:rPr>
              <w:t>1</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全自动快速发药机A</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1台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2</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智能批量补药机</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1台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3</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全自动快速发药机B</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1台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4</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全自动快速发药机C</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1台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5</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全自动补药机器人</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2台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6</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提升机</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3套</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7</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实时发药通道</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6套</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8</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螺旋出药滑道</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6套</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9</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电子药篮</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600个</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10</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拆零分包机</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2台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11</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针剂药品管理柜</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2台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12</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追溯码系统</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3套</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13</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报道机</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5台</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14</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highlight w:val="none"/>
                <w:lang w:bidi="ar"/>
              </w:rPr>
              <w:t>自动化药房管理软件</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auto"/>
                <w:kern w:val="0"/>
                <w:sz w:val="21"/>
                <w:szCs w:val="21"/>
                <w:highlight w:val="none"/>
                <w:lang w:bidi="ar"/>
              </w:rPr>
              <w:t>3套</w:t>
            </w:r>
          </w:p>
        </w:tc>
        <w:tc>
          <w:tcPr>
            <w:tcW w:w="475" w:type="pct"/>
            <w:vAlign w:val="center"/>
          </w:tcPr>
          <w:p>
            <w:pPr>
              <w:rPr>
                <w:rFonts w:hint="eastAsia" w:ascii="宋体" w:hAnsi="宋体" w:cs="宋体"/>
                <w:b/>
                <w:bCs/>
                <w:szCs w:val="21"/>
              </w:rPr>
            </w:pPr>
          </w:p>
        </w:tc>
        <w:tc>
          <w:tcPr>
            <w:tcW w:w="424" w:type="pct"/>
            <w:vAlign w:val="center"/>
          </w:tcPr>
          <w:p>
            <w:pPr>
              <w:jc w:val="center"/>
              <w:outlineLvl w:val="0"/>
              <w:rPr>
                <w:rFonts w:hint="eastAsia" w:ascii="宋体" w:hAnsi="宋体" w:cs="宋体"/>
                <w:b/>
                <w:bCs/>
                <w:szCs w:val="21"/>
              </w:rPr>
            </w:pPr>
          </w:p>
        </w:tc>
        <w:tc>
          <w:tcPr>
            <w:tcW w:w="371" w:type="pct"/>
            <w:vAlign w:val="center"/>
          </w:tcPr>
          <w:p>
            <w:pPr>
              <w:jc w:val="center"/>
              <w:outlineLvl w:val="0"/>
              <w:rPr>
                <w:rFonts w:hint="eastAsia" w:ascii="宋体" w:hAnsi="宋体" w:cs="宋体"/>
                <w:b/>
                <w:bCs/>
                <w:szCs w:val="21"/>
              </w:rPr>
            </w:pPr>
          </w:p>
        </w:tc>
        <w:tc>
          <w:tcPr>
            <w:tcW w:w="367" w:type="pct"/>
            <w:vAlign w:val="center"/>
          </w:tcPr>
          <w:p>
            <w:pPr>
              <w:jc w:val="center"/>
              <w:rPr>
                <w:rFonts w:hint="eastAsia" w:ascii="宋体" w:hAnsi="宋体" w:cs="宋体"/>
                <w:b/>
                <w:bCs/>
                <w:szCs w:val="21"/>
              </w:rPr>
            </w:pPr>
          </w:p>
        </w:tc>
        <w:tc>
          <w:tcPr>
            <w:tcW w:w="438" w:type="pct"/>
            <w:vAlign w:val="center"/>
          </w:tcPr>
          <w:p>
            <w:pPr>
              <w:jc w:val="center"/>
              <w:rPr>
                <w:rFonts w:hint="eastAsia" w:ascii="宋体" w:hAnsi="宋体" w:cs="宋体"/>
                <w:b/>
                <w:bCs/>
                <w:szCs w:val="21"/>
              </w:rPr>
            </w:pPr>
          </w:p>
        </w:tc>
        <w:tc>
          <w:tcPr>
            <w:tcW w:w="392" w:type="pct"/>
            <w:vAlign w:val="center"/>
          </w:tcPr>
          <w:p>
            <w:pPr>
              <w:jc w:val="center"/>
              <w:rPr>
                <w:rFonts w:hint="eastAsia" w:ascii="宋体" w:hAnsi="宋体" w:cs="宋体"/>
                <w:b/>
                <w:bCs/>
                <w:szCs w:val="21"/>
              </w:rPr>
            </w:pPr>
          </w:p>
        </w:tc>
        <w:tc>
          <w:tcPr>
            <w:tcW w:w="264" w:type="pct"/>
            <w:vAlign w:val="center"/>
          </w:tcPr>
          <w:p>
            <w:pPr>
              <w:jc w:val="center"/>
              <w:rPr>
                <w:rFonts w:hint="eastAsia" w:ascii="宋体" w:hAnsi="宋体" w:cs="宋体"/>
                <w:b/>
                <w:bCs/>
                <w:szCs w:val="21"/>
              </w:rPr>
            </w:pPr>
          </w:p>
        </w:tc>
        <w:tc>
          <w:tcPr>
            <w:tcW w:w="427" w:type="pct"/>
            <w:vAlign w:val="center"/>
          </w:tcPr>
          <w:p>
            <w:pPr>
              <w:jc w:val="center"/>
              <w:rPr>
                <w:rFonts w:hint="eastAsia" w:ascii="宋体" w:hAnsi="宋体" w:cs="宋体"/>
                <w:szCs w:val="21"/>
              </w:rPr>
            </w:pP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4" w:type="pct"/>
            <w:vAlign w:val="center"/>
          </w:tcPr>
          <w:p>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iCs w:val="0"/>
                <w:color w:val="000000"/>
                <w:kern w:val="0"/>
                <w:sz w:val="20"/>
                <w:szCs w:val="20"/>
                <w:u w:val="none"/>
                <w:lang w:val="en-US" w:eastAsia="zh-CN" w:bidi="ar"/>
              </w:rPr>
              <w:t>15</w:t>
            </w:r>
          </w:p>
        </w:tc>
        <w:tc>
          <w:tcPr>
            <w:tcW w:w="723"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项目周期内不少于2人的驻场服务</w:t>
            </w:r>
          </w:p>
        </w:tc>
        <w:tc>
          <w:tcPr>
            <w:tcW w:w="335" w:type="pct"/>
            <w:vAlign w:val="center"/>
          </w:tcPr>
          <w:p>
            <w:pPr>
              <w:keepNext w:val="0"/>
              <w:keepLines w:val="0"/>
              <w:pageBreakBefore w:val="0"/>
              <w:widowControl/>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1</w:t>
            </w:r>
            <w:r>
              <w:rPr>
                <w:rFonts w:hint="eastAsia" w:ascii="宋体" w:hAnsi="宋体" w:cs="宋体"/>
                <w:color w:val="auto"/>
                <w:kern w:val="0"/>
                <w:sz w:val="21"/>
                <w:szCs w:val="21"/>
                <w:highlight w:val="none"/>
                <w:lang w:val="en-US" w:eastAsia="zh-CN" w:bidi="ar"/>
              </w:rPr>
              <w:t>项</w:t>
            </w:r>
          </w:p>
        </w:tc>
        <w:tc>
          <w:tcPr>
            <w:tcW w:w="475" w:type="pct"/>
            <w:vAlign w:val="center"/>
          </w:tcPr>
          <w:p>
            <w:pPr>
              <w:rPr>
                <w:rFonts w:hint="eastAsia" w:ascii="宋体" w:hAnsi="宋体" w:cs="宋体"/>
                <w:b/>
                <w:bCs/>
                <w:szCs w:val="21"/>
              </w:rPr>
            </w:pPr>
          </w:p>
        </w:tc>
        <w:tc>
          <w:tcPr>
            <w:tcW w:w="2687" w:type="pct"/>
            <w:gridSpan w:val="7"/>
            <w:vAlign w:val="center"/>
          </w:tcPr>
          <w:p>
            <w:pPr>
              <w:jc w:val="center"/>
              <w:rPr>
                <w:rFonts w:hint="default" w:ascii="宋体" w:hAnsi="宋体" w:eastAsia="宋体" w:cs="宋体"/>
                <w:szCs w:val="21"/>
                <w:lang w:val="en-US" w:eastAsia="zh-CN"/>
              </w:rPr>
            </w:pPr>
            <w:r>
              <w:rPr>
                <w:rFonts w:hint="eastAsia" w:ascii="宋体" w:hAnsi="宋体" w:cs="宋体"/>
                <w:szCs w:val="21"/>
                <w:lang w:val="en-US" w:eastAsia="zh-CN"/>
              </w:rPr>
              <w:t>\</w:t>
            </w:r>
          </w:p>
        </w:tc>
        <w:tc>
          <w:tcPr>
            <w:tcW w:w="293" w:type="pct"/>
            <w:vAlign w:val="center"/>
          </w:tcPr>
          <w:p>
            <w:pPr>
              <w:jc w:val="center"/>
              <w:rPr>
                <w:rFonts w:hint="eastAsia" w:ascii="宋体" w:hAnsi="宋体" w:cs="宋体"/>
                <w:szCs w:val="21"/>
              </w:rPr>
            </w:pPr>
          </w:p>
        </w:tc>
        <w:tc>
          <w:tcPr>
            <w:tcW w:w="320" w:type="pct"/>
            <w:vAlign w:val="center"/>
          </w:tcPr>
          <w:p>
            <w:pPr>
              <w:jc w:val="center"/>
              <w:outlineLvl w:val="0"/>
              <w:rPr>
                <w:rFonts w:hint="eastAsia" w:ascii="宋体" w:hAnsi="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888" w:type="pct"/>
            <w:gridSpan w:val="2"/>
            <w:vAlign w:val="center"/>
          </w:tcPr>
          <w:p>
            <w:pPr>
              <w:widowControl/>
              <w:jc w:val="center"/>
              <w:textAlignment w:val="center"/>
              <w:rPr>
                <w:rFonts w:hint="eastAsia" w:ascii="宋体" w:hAnsi="宋体" w:cs="宋体"/>
                <w:color w:val="000000"/>
                <w:kern w:val="0"/>
                <w:szCs w:val="21"/>
                <w:lang w:bidi="ar"/>
              </w:rPr>
            </w:pPr>
            <w:r>
              <w:rPr>
                <w:rFonts w:hint="eastAsia" w:ascii="宋体" w:hAnsi="宋体" w:cs="宋体"/>
                <w:b/>
                <w:bCs/>
                <w:szCs w:val="21"/>
              </w:rPr>
              <w:t>合计</w:t>
            </w:r>
          </w:p>
        </w:tc>
        <w:tc>
          <w:tcPr>
            <w:tcW w:w="4111" w:type="pct"/>
            <w:gridSpan w:val="11"/>
            <w:vAlign w:val="center"/>
          </w:tcPr>
          <w:p>
            <w:pPr>
              <w:jc w:val="center"/>
              <w:outlineLvl w:val="0"/>
              <w:rPr>
                <w:rFonts w:hint="eastAsia" w:ascii="宋体" w:hAnsi="宋体" w:cs="宋体"/>
                <w:b/>
                <w:bCs/>
                <w:szCs w:val="21"/>
              </w:rPr>
            </w:pPr>
            <w:r>
              <w:rPr>
                <w:rFonts w:hint="eastAsia" w:ascii="宋体" w:hAnsi="宋体" w:cs="宋体"/>
                <w:b/>
                <w:bCs/>
                <w:kern w:val="0"/>
                <w:szCs w:val="21"/>
                <w:lang w:bidi="ar"/>
              </w:rPr>
              <w:t>报名总价金额：￥</w:t>
            </w:r>
            <w:r>
              <w:rPr>
                <w:rFonts w:hint="eastAsia" w:ascii="宋体" w:hAnsi="宋体" w:cs="宋体"/>
                <w:b/>
                <w:bCs/>
                <w:kern w:val="0"/>
                <w:szCs w:val="21"/>
                <w:u w:val="single"/>
                <w:lang w:bidi="ar"/>
              </w:rPr>
              <w:t xml:space="preserve">               </w:t>
            </w:r>
            <w:r>
              <w:rPr>
                <w:rFonts w:hint="eastAsia" w:ascii="宋体" w:hAnsi="宋体" w:cs="宋体"/>
                <w:b/>
                <w:bCs/>
                <w:kern w:val="0"/>
                <w:szCs w:val="21"/>
                <w:lang w:bidi="ar"/>
              </w:rPr>
              <w:t>元； 大写：</w:t>
            </w:r>
            <w:r>
              <w:rPr>
                <w:rFonts w:hint="eastAsia" w:ascii="宋体" w:hAnsi="宋体" w:cs="宋体"/>
                <w:b/>
                <w:bCs/>
                <w:kern w:val="0"/>
                <w:szCs w:val="21"/>
                <w:u w:val="single"/>
                <w:lang w:bidi="ar"/>
              </w:rPr>
              <w:t xml:space="preserve">              </w:t>
            </w:r>
            <w:r>
              <w:rPr>
                <w:rFonts w:hint="eastAsia" w:ascii="宋体" w:hAnsi="宋体" w:cs="宋体"/>
                <w:b/>
                <w:bCs/>
                <w:kern w:val="0"/>
                <w:szCs w:val="21"/>
                <w:lang w:bidi="ar"/>
              </w:rPr>
              <w:t xml:space="preserve"> 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gridSpan w:val="13"/>
            <w:vAlign w:val="center"/>
          </w:tcPr>
          <w:p>
            <w:pPr>
              <w:jc w:val="both"/>
              <w:outlineLvl w:val="0"/>
              <w:rPr>
                <w:rFonts w:hint="eastAsia" w:ascii="宋体" w:hAnsi="宋体" w:cs="宋体"/>
                <w:b/>
                <w:bCs/>
                <w:kern w:val="0"/>
                <w:szCs w:val="21"/>
                <w:lang w:val="en-US" w:eastAsia="zh-CN" w:bidi="ar"/>
              </w:rPr>
            </w:pPr>
            <w:r>
              <w:rPr>
                <w:rFonts w:hint="eastAsia" w:ascii="宋体" w:hAnsi="宋体" w:cs="宋体"/>
                <w:b/>
                <w:bCs/>
                <w:kern w:val="0"/>
                <w:szCs w:val="21"/>
                <w:lang w:val="en-US" w:eastAsia="zh-CN" w:bidi="ar"/>
              </w:rPr>
              <w:t>技术和服务要求：</w:t>
            </w:r>
          </w:p>
          <w:p>
            <w:pPr>
              <w:jc w:val="left"/>
              <w:outlineLvl w:val="0"/>
              <w:rPr>
                <w:rFonts w:hint="eastAsia" w:ascii="宋体" w:hAnsi="宋体" w:cs="宋体"/>
                <w:b/>
                <w:bCs/>
                <w:kern w:val="0"/>
                <w:szCs w:val="21"/>
                <w:lang w:val="en-US" w:eastAsia="zh-CN" w:bidi="ar"/>
              </w:rPr>
            </w:pPr>
            <w:r>
              <w:rPr>
                <w:rFonts w:hint="eastAsia" w:ascii="宋体" w:hAnsi="宋体" w:cs="宋体"/>
                <w:b/>
                <w:bCs/>
                <w:kern w:val="0"/>
                <w:szCs w:val="21"/>
                <w:lang w:val="en-US" w:eastAsia="zh-CN" w:bidi="ar"/>
              </w:rPr>
              <w:t>用途：用于智能化管理。采用先进自动化设备与HIS系统、药品信息物流系统的完美结合，全面监控管理药品从供应商送货开始直至发放到每个病患手中的整个过程，从而实现门诊药房药品管理智能化，提高工作效率，减少患者取药等待时间，降低药师工作强度，促进合理用药，实现药学部门工作模式的转型。</w:t>
            </w:r>
          </w:p>
          <w:p>
            <w:pPr>
              <w:numPr>
                <w:ilvl w:val="0"/>
                <w:numId w:val="0"/>
              </w:numPr>
              <w:jc w:val="left"/>
              <w:outlineLvl w:val="0"/>
              <w:rPr>
                <w:rFonts w:hint="eastAsia" w:ascii="宋体" w:hAnsi="宋体" w:cs="宋体"/>
                <w:b/>
                <w:bCs/>
                <w:kern w:val="0"/>
                <w:szCs w:val="21"/>
                <w:lang w:val="en-US" w:eastAsia="zh-CN" w:bidi="ar"/>
              </w:rPr>
            </w:pPr>
            <w:r>
              <w:rPr>
                <w:rFonts w:hint="eastAsia" w:ascii="宋体" w:hAnsi="宋体" w:cs="宋体"/>
                <w:b/>
                <w:bCs/>
                <w:kern w:val="0"/>
                <w:szCs w:val="21"/>
                <w:lang w:val="en-US" w:eastAsia="zh-CN" w:bidi="ar"/>
              </w:rPr>
              <w:t>（一）全自动快速发药机A：全自动快速发药机药品储存要求：品种数≥1400种，储药量≥17000盒。</w:t>
            </w:r>
          </w:p>
          <w:p>
            <w:pPr>
              <w:numPr>
                <w:ilvl w:val="0"/>
                <w:numId w:val="0"/>
              </w:numPr>
              <w:jc w:val="left"/>
              <w:outlineLvl w:val="0"/>
              <w:rPr>
                <w:rFonts w:hint="default" w:ascii="宋体" w:hAnsi="宋体" w:cs="宋体"/>
                <w:b/>
                <w:bCs/>
                <w:kern w:val="0"/>
                <w:szCs w:val="21"/>
                <w:lang w:val="en-US" w:eastAsia="zh-CN" w:bidi="ar"/>
              </w:rPr>
            </w:pPr>
            <w:r>
              <w:rPr>
                <w:rFonts w:hint="default" w:ascii="宋体" w:hAnsi="宋体" w:cs="宋体"/>
                <w:b/>
                <w:bCs/>
                <w:kern w:val="0"/>
                <w:szCs w:val="21"/>
                <w:lang w:val="en-US" w:eastAsia="zh-CN" w:bidi="ar"/>
              </w:rPr>
              <w:t>（二）智能批量补药机</w:t>
            </w:r>
            <w:r>
              <w:rPr>
                <w:rFonts w:hint="eastAsia" w:ascii="宋体" w:hAnsi="宋体" w:cs="宋体"/>
                <w:b/>
                <w:bCs/>
                <w:kern w:val="0"/>
                <w:szCs w:val="21"/>
                <w:lang w:val="en-US" w:eastAsia="zh-CN" w:bidi="ar"/>
              </w:rPr>
              <w:t>：</w:t>
            </w:r>
            <w:r>
              <w:rPr>
                <w:rFonts w:hint="default" w:ascii="宋体" w:hAnsi="宋体" w:cs="宋体"/>
                <w:b/>
                <w:bCs/>
                <w:kern w:val="0"/>
                <w:szCs w:val="21"/>
                <w:lang w:val="en-US" w:eastAsia="zh-CN" w:bidi="ar"/>
              </w:rPr>
              <w:t>批量补药预缓存系统具备≥20个预存通道，可预存≥1000盒</w:t>
            </w:r>
            <w:r>
              <w:rPr>
                <w:rFonts w:hint="eastAsia" w:ascii="宋体" w:hAnsi="宋体" w:cs="宋体"/>
                <w:b/>
                <w:bCs/>
                <w:kern w:val="0"/>
                <w:szCs w:val="21"/>
                <w:lang w:val="en-US" w:eastAsia="zh-CN" w:bidi="ar"/>
              </w:rPr>
              <w:t>。</w:t>
            </w:r>
          </w:p>
          <w:p>
            <w:pPr>
              <w:numPr>
                <w:ilvl w:val="0"/>
                <w:numId w:val="0"/>
              </w:numPr>
              <w:jc w:val="left"/>
              <w:outlineLvl w:val="0"/>
              <w:rPr>
                <w:rFonts w:hint="eastAsia" w:ascii="宋体" w:hAnsi="宋体" w:cs="宋体"/>
                <w:b/>
                <w:bCs/>
                <w:kern w:val="0"/>
                <w:szCs w:val="21"/>
                <w:lang w:val="en-US" w:eastAsia="zh-CN" w:bidi="ar"/>
              </w:rPr>
            </w:pPr>
            <w:r>
              <w:rPr>
                <w:rFonts w:hint="default" w:ascii="宋体" w:hAnsi="宋体" w:cs="宋体"/>
                <w:b/>
                <w:bCs/>
                <w:kern w:val="0"/>
                <w:szCs w:val="21"/>
                <w:lang w:val="en-US" w:eastAsia="zh-CN" w:bidi="ar"/>
              </w:rPr>
              <w:t>（三）全自动快速发药机B</w:t>
            </w:r>
            <w:r>
              <w:rPr>
                <w:rFonts w:hint="eastAsia" w:ascii="宋体" w:hAnsi="宋体" w:cs="宋体"/>
                <w:b/>
                <w:bCs/>
                <w:kern w:val="0"/>
                <w:szCs w:val="21"/>
                <w:lang w:val="en-US" w:eastAsia="zh-CN" w:bidi="ar"/>
              </w:rPr>
              <w:t>：品种数≥1400种，储药量≥17000盒。</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（四）全自动快速发药机C：品种数≥960种，储药量≥11000盒。</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（五）全自动补药机器人：硬件配置：药品补充缓存装置1套，药品分离装置1套，分拣检测装置1套，六轴关节药品分拣机器人1台，待药控制装置1套。</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（六）提升机单台发药机：出药口对称分布于设备的两边，每一边≥3个出药口为一组，出药口为上下分布，两边共计≥6个出药口。</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（七）实时发药通道：实现药品实时传输到发药窗口，传输通道高度≥1.8米。</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（八）螺旋出药滑道：设备材质采用SPCC钢材，采用螺旋式缓冲结构。</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（九）电子药篮：智能药筐具备≥3色亮灯提示。</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（十）拆零分包机：具备≥ 6个出药口；设备储药品种数≥50种。设备分包速度≥2秒/包。</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（十一）针剂药品管理柜：设备材质为SPCC钢材。</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（十二）追溯码系统：单次操作支持≥20盒药追溯码的连续扫描与识别扫描识别速度≥ 500  盒/小时。</w:t>
            </w:r>
          </w:p>
          <w:p>
            <w:pPr>
              <w:numPr>
                <w:ilvl w:val="0"/>
                <w:numId w:val="0"/>
              </w:numPr>
              <w:jc w:val="left"/>
              <w:outlineLvl w:val="0"/>
              <w:rPr>
                <w:rFonts w:hint="eastAsia" w:ascii="宋体" w:hAnsi="宋体" w:eastAsia="宋体" w:cs="宋体"/>
                <w:b/>
                <w:bCs/>
                <w:kern w:val="0"/>
                <w:szCs w:val="21"/>
                <w:lang w:val="en-US" w:eastAsia="zh-CN" w:bidi="ar"/>
              </w:rPr>
            </w:pPr>
            <w:r>
              <w:rPr>
                <w:rFonts w:hint="eastAsia" w:ascii="宋体" w:hAnsi="宋体" w:eastAsia="宋体" w:cs="宋体"/>
                <w:b/>
                <w:bCs/>
                <w:kern w:val="0"/>
                <w:szCs w:val="21"/>
                <w:lang w:val="en-US" w:eastAsia="zh-CN" w:bidi="ar"/>
              </w:rPr>
              <w:t>（十三）报道机：报道机带不少于15寸触摸屏</w:t>
            </w:r>
          </w:p>
          <w:p>
            <w:pPr>
              <w:numPr>
                <w:ilvl w:val="0"/>
                <w:numId w:val="0"/>
              </w:numPr>
              <w:jc w:val="left"/>
              <w:outlineLvl w:val="0"/>
              <w:rPr>
                <w:rFonts w:hint="default" w:ascii="宋体" w:hAnsi="宋体" w:cs="宋体"/>
                <w:b/>
                <w:bCs/>
                <w:kern w:val="0"/>
                <w:szCs w:val="21"/>
                <w:lang w:val="en-US" w:eastAsia="zh-CN" w:bidi="ar"/>
              </w:rPr>
            </w:pPr>
            <w:r>
              <w:rPr>
                <w:rFonts w:hint="eastAsia" w:ascii="宋体" w:hAnsi="宋体" w:eastAsia="宋体" w:cs="宋体"/>
                <w:b/>
                <w:bCs/>
                <w:kern w:val="0"/>
                <w:szCs w:val="21"/>
                <w:lang w:val="en-US" w:eastAsia="zh-CN" w:bidi="ar"/>
              </w:rPr>
              <w:t>（十四）自动化药房管理软件</w:t>
            </w:r>
          </w:p>
        </w:tc>
      </w:tr>
    </w:tbl>
    <w:p>
      <w:pPr>
        <w:bidi w:val="0"/>
        <w:rPr>
          <w:rFonts w:hint="eastAsia" w:ascii="宋体" w:hAnsi="宋体" w:eastAsia="宋体" w:cs="宋体"/>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5232B9"/>
    <w:rsid w:val="198A452D"/>
    <w:rsid w:val="2249769D"/>
    <w:rsid w:val="3C0741DB"/>
    <w:rsid w:val="47E92F7C"/>
    <w:rsid w:val="649841E3"/>
    <w:rsid w:val="6A1F08DB"/>
    <w:rsid w:val="70AD5618"/>
    <w:rsid w:val="7BBB45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Body Text Indent"/>
    <w:basedOn w:val="1"/>
    <w:semiHidden/>
    <w:unhideWhenUsed/>
    <w:qFormat/>
    <w:uiPriority w:val="99"/>
    <w:pPr>
      <w:spacing w:after="120"/>
      <w:ind w:left="420" w:leftChars="200"/>
    </w:pPr>
  </w:style>
  <w:style w:type="paragraph" w:styleId="4">
    <w:name w:val="Body Text First Indent 2"/>
    <w:basedOn w:val="3"/>
    <w:semiHidden/>
    <w:unhideWhenUsed/>
    <w:qFormat/>
    <w:uiPriority w:val="0"/>
    <w:pPr>
      <w:widowControl/>
      <w:spacing w:after="0" w:line="360" w:lineRule="auto"/>
      <w:ind w:left="0" w:leftChars="0"/>
      <w:jc w:val="both"/>
    </w:pPr>
    <w:rPr>
      <w:rFonts w:ascii="仿宋_GB2312" w:hAnsi="仿宋_GB2312"/>
      <w:sz w:val="24"/>
    </w:rPr>
  </w:style>
  <w:style w:type="character" w:customStyle="1" w:styleId="7">
    <w:name w:val="font31"/>
    <w:basedOn w:val="6"/>
    <w:qFormat/>
    <w:uiPriority w:val="0"/>
    <w:rPr>
      <w:rFonts w:hint="eastAsia" w:ascii="宋体" w:hAnsi="宋体" w:eastAsia="宋体" w:cs="宋体"/>
      <w:color w:val="000000"/>
      <w:sz w:val="20"/>
      <w:szCs w:val="20"/>
      <w:u w:val="none"/>
    </w:rPr>
  </w:style>
  <w:style w:type="character" w:customStyle="1" w:styleId="8">
    <w:name w:val="font21"/>
    <w:basedOn w:val="6"/>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119</Words>
  <Characters>132</Characters>
  <Lines>0</Lines>
  <Paragraphs>0</Paragraphs>
  <TotalTime>0</TotalTime>
  <ScaleCrop>false</ScaleCrop>
  <LinksUpToDate>false</LinksUpToDate>
  <CharactersWithSpaces>132</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2026-04-20T06:29:00Z</dcterms:created>
  <dc:creator>GC</dc:creator>
  <cp:lastModifiedBy>Admin</cp:lastModifiedBy>
  <dcterms:modified xsi:type="dcterms:W3CDTF">2026-05-27T08:49:50Z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KSOTemplateDocerSaveRecord">
    <vt:lpwstr>eyJoZGlkIjoiOTczZjUzNjRmZWJlY2Q1OTViM2IyODU2MDgxNDkyMTQiLCJ1c2VySWQiOiIyMjk3NjA5In0=</vt:lpwstr>
  </property>
  <property fmtid="{D5CDD505-2E9C-101B-9397-08002B2CF9AE}" pid="4" name="ICV">
    <vt:lpwstr>B46AA0C4DA6246B28E1EC3422B8B4960_12</vt:lpwstr>
  </property>
</Properties>
</file>