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643"/>
        <w:jc w:val="center"/>
        <w:rPr>
          <w:color w:val="auto"/>
          <w:highlight w:val="none"/>
        </w:rPr>
      </w:pPr>
      <w:r>
        <w:rPr>
          <w:rFonts w:hint="eastAsia"/>
          <w:color w:val="auto"/>
          <w:highlight w:val="none"/>
          <w:lang w:val="en-US" w:eastAsia="zh-CN"/>
        </w:rPr>
        <w:t>用户</w:t>
      </w:r>
      <w:r>
        <w:rPr>
          <w:rFonts w:hint="eastAsia"/>
          <w:color w:val="auto"/>
          <w:highlight w:val="none"/>
        </w:rPr>
        <w:t>需求书</w:t>
      </w:r>
    </w:p>
    <w:p>
      <w:pPr>
        <w:widowControl/>
        <w:topLinePunct/>
        <w:autoSpaceDE w:val="0"/>
        <w:autoSpaceDN w:val="0"/>
        <w:adjustRightInd w:val="0"/>
        <w:snapToGrid w:val="0"/>
        <w:spacing w:line="360" w:lineRule="auto"/>
        <w:ind w:firstLine="482" w:firstLineChars="200"/>
        <w:textAlignment w:val="baseline"/>
        <w:rPr>
          <w:rFonts w:hint="eastAsia" w:ascii="宋体" w:hAnsi="宋体" w:cs="宋体"/>
          <w:b/>
          <w:bCs/>
          <w:color w:val="auto"/>
          <w:sz w:val="24"/>
          <w:highlight w:val="none"/>
        </w:rPr>
      </w:pPr>
      <w:r>
        <w:rPr>
          <w:rFonts w:hint="eastAsia" w:ascii="宋体" w:hAnsi="宋体" w:cs="宋体"/>
          <w:b/>
          <w:bCs/>
          <w:color w:val="auto"/>
          <w:sz w:val="24"/>
          <w:highlight w:val="none"/>
          <w:u w:val="double"/>
        </w:rPr>
        <w:t>说明：1.打“★”号条款为实质性条款，若有任何一条负偏离或不满足则导致投标无效。2.打“▲”号条款为重要技术参数，若有部分“▲”条款未响应或不满足，将导致其响应性评审扣分，但不作为无效投标条款。</w:t>
      </w:r>
    </w:p>
    <w:p>
      <w:pPr>
        <w:keepNext w:val="0"/>
        <w:keepLines w:val="0"/>
        <w:pageBreakBefore w:val="0"/>
        <w:widowControl w:val="0"/>
        <w:kinsoku/>
        <w:wordWrap/>
        <w:overflowPunct/>
        <w:topLinePunct w:val="0"/>
        <w:autoSpaceDE/>
        <w:autoSpaceDN/>
        <w:bidi w:val="0"/>
        <w:adjustRightInd/>
        <w:snapToGrid w:val="0"/>
        <w:spacing w:line="360" w:lineRule="auto"/>
        <w:ind w:firstLine="0"/>
        <w:textAlignment w:val="auto"/>
        <w:rPr>
          <w:rFonts w:hint="eastAsia" w:ascii="宋体" w:hAnsi="宋体" w:cs="宋体"/>
          <w:b/>
          <w:color w:val="auto"/>
          <w:kern w:val="0"/>
          <w:sz w:val="24"/>
          <w:highlight w:val="none"/>
        </w:rPr>
      </w:pPr>
    </w:p>
    <w:p>
      <w:pPr>
        <w:pStyle w:val="6"/>
        <w:snapToGrid w:val="0"/>
        <w:spacing w:line="360" w:lineRule="auto"/>
        <w:outlineLvl w:val="2"/>
        <w:rPr>
          <w:rFonts w:ascii="宋体" w:hAnsi="宋体" w:eastAsia="宋体" w:cs="宋体"/>
          <w:color w:val="auto"/>
          <w:sz w:val="24"/>
          <w:szCs w:val="24"/>
          <w:highlight w:val="none"/>
        </w:rPr>
      </w:pPr>
      <w:r>
        <w:rPr>
          <w:rFonts w:ascii="宋体" w:hAnsi="宋体" w:eastAsia="宋体" w:cs="宋体"/>
          <w:b/>
          <w:color w:val="auto"/>
          <w:sz w:val="24"/>
          <w:szCs w:val="24"/>
          <w:highlight w:val="none"/>
        </w:rPr>
        <w:t>一、项目概况</w:t>
      </w:r>
    </w:p>
    <w:p>
      <w:pPr>
        <w:pStyle w:val="6"/>
        <w:snapToGrid w:val="0"/>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1、项目名称：</w:t>
      </w:r>
      <w:r>
        <w:rPr>
          <w:rFonts w:ascii="宋体" w:hAnsi="宋体" w:eastAsia="宋体" w:cs="宋体"/>
          <w:color w:val="auto"/>
          <w:sz w:val="24"/>
          <w:szCs w:val="24"/>
          <w:highlight w:val="none"/>
          <w:lang w:eastAsia="zh-CN"/>
        </w:rPr>
        <w:t>药房智能设备采购项目</w:t>
      </w:r>
    </w:p>
    <w:p>
      <w:pPr>
        <w:pStyle w:val="6"/>
        <w:snapToGrid w:val="0"/>
        <w:spacing w:line="360" w:lineRule="auto"/>
        <w:jc w:val="both"/>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ascii="宋体" w:hAnsi="宋体" w:eastAsia="宋体" w:cs="宋体"/>
          <w:color w:val="auto"/>
          <w:sz w:val="24"/>
          <w:szCs w:val="24"/>
          <w:highlight w:val="none"/>
        </w:rPr>
        <w:t>、交货地点：</w:t>
      </w:r>
      <w:r>
        <w:rPr>
          <w:rFonts w:ascii="宋体" w:hAnsi="宋体" w:eastAsia="宋体" w:cs="宋体"/>
          <w:color w:val="auto"/>
          <w:sz w:val="24"/>
          <w:szCs w:val="24"/>
          <w:highlight w:val="none"/>
          <w:lang w:eastAsia="zh-CN"/>
        </w:rPr>
        <w:t>招标人</w:t>
      </w:r>
      <w:r>
        <w:rPr>
          <w:rFonts w:ascii="宋体" w:hAnsi="宋体" w:eastAsia="宋体" w:cs="宋体"/>
          <w:color w:val="auto"/>
          <w:sz w:val="24"/>
          <w:szCs w:val="24"/>
          <w:highlight w:val="none"/>
        </w:rPr>
        <w:t>指定地点及按</w:t>
      </w:r>
      <w:r>
        <w:rPr>
          <w:rFonts w:ascii="宋体" w:hAnsi="宋体" w:eastAsia="宋体" w:cs="宋体"/>
          <w:color w:val="auto"/>
          <w:sz w:val="24"/>
          <w:szCs w:val="24"/>
          <w:highlight w:val="none"/>
          <w:lang w:eastAsia="zh-CN"/>
        </w:rPr>
        <w:t>招标人</w:t>
      </w:r>
      <w:r>
        <w:rPr>
          <w:rFonts w:ascii="宋体" w:hAnsi="宋体" w:eastAsia="宋体" w:cs="宋体"/>
          <w:color w:val="auto"/>
          <w:sz w:val="24"/>
          <w:szCs w:val="24"/>
          <w:highlight w:val="none"/>
        </w:rPr>
        <w:t>要求实施</w:t>
      </w:r>
    </w:p>
    <w:p>
      <w:pPr>
        <w:pStyle w:val="6"/>
        <w:snapToGrid w:val="0"/>
        <w:spacing w:line="360" w:lineRule="auto"/>
        <w:jc w:val="both"/>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bookmarkStart w:id="0" w:name="_GoBack"/>
      <w:bookmarkEnd w:id="0"/>
      <w:r>
        <w:rPr>
          <w:rFonts w:ascii="宋体" w:hAnsi="宋体" w:eastAsia="宋体" w:cs="宋体"/>
          <w:color w:val="auto"/>
          <w:sz w:val="24"/>
          <w:szCs w:val="24"/>
          <w:highlight w:val="none"/>
        </w:rPr>
        <w:t>、采购清单</w:t>
      </w:r>
    </w:p>
    <w:tbl>
      <w:tblPr>
        <w:tblStyle w:val="4"/>
        <w:tblW w:w="8413" w:type="dxa"/>
        <w:tblInd w:w="93" w:type="dxa"/>
        <w:tblLayout w:type="fixed"/>
        <w:tblCellMar>
          <w:top w:w="0" w:type="dxa"/>
          <w:left w:w="108" w:type="dxa"/>
          <w:bottom w:w="0" w:type="dxa"/>
          <w:right w:w="108" w:type="dxa"/>
        </w:tblCellMar>
      </w:tblPr>
      <w:tblGrid>
        <w:gridCol w:w="1080"/>
        <w:gridCol w:w="4108"/>
        <w:gridCol w:w="3225"/>
      </w:tblGrid>
      <w:tr>
        <w:tblPrEx>
          <w:tblCellMar>
            <w:top w:w="0" w:type="dxa"/>
            <w:left w:w="108" w:type="dxa"/>
            <w:bottom w:w="0" w:type="dxa"/>
            <w:right w:w="108" w:type="dxa"/>
          </w:tblCellMar>
        </w:tblPrEx>
        <w:trPr>
          <w:trHeight w:val="4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EAEAEA"/>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b/>
                <w:bCs/>
                <w:color w:val="auto"/>
                <w:sz w:val="24"/>
                <w:highlight w:val="none"/>
              </w:rPr>
            </w:pPr>
            <w:r>
              <w:rPr>
                <w:rFonts w:hint="eastAsia" w:ascii="宋体" w:hAnsi="宋体" w:cs="宋体"/>
                <w:b/>
                <w:bCs/>
                <w:color w:val="auto"/>
                <w:kern w:val="0"/>
                <w:sz w:val="24"/>
                <w:highlight w:val="none"/>
                <w:lang w:bidi="ar"/>
              </w:rPr>
              <w:t>序号</w:t>
            </w:r>
          </w:p>
        </w:tc>
        <w:tc>
          <w:tcPr>
            <w:tcW w:w="4108" w:type="dxa"/>
            <w:tcBorders>
              <w:top w:val="single" w:color="000000" w:sz="8" w:space="0"/>
              <w:left w:val="single" w:color="000000" w:sz="8" w:space="0"/>
              <w:bottom w:val="single" w:color="000000" w:sz="8" w:space="0"/>
              <w:right w:val="single" w:color="000000" w:sz="8" w:space="0"/>
            </w:tcBorders>
            <w:shd w:val="clear" w:color="auto" w:fill="EAEAEA"/>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b/>
                <w:bCs/>
                <w:color w:val="auto"/>
                <w:sz w:val="24"/>
                <w:highlight w:val="none"/>
              </w:rPr>
            </w:pPr>
            <w:r>
              <w:rPr>
                <w:rFonts w:hint="eastAsia" w:ascii="宋体" w:hAnsi="宋体" w:cs="宋体"/>
                <w:b/>
                <w:bCs/>
                <w:color w:val="auto"/>
                <w:kern w:val="0"/>
                <w:sz w:val="24"/>
                <w:highlight w:val="none"/>
                <w:lang w:bidi="ar"/>
              </w:rPr>
              <w:t>标的名称</w:t>
            </w:r>
          </w:p>
        </w:tc>
        <w:tc>
          <w:tcPr>
            <w:tcW w:w="3225" w:type="dxa"/>
            <w:tcBorders>
              <w:top w:val="single" w:color="000000" w:sz="8" w:space="0"/>
              <w:left w:val="single" w:color="000000" w:sz="8" w:space="0"/>
              <w:bottom w:val="single" w:color="000000" w:sz="8" w:space="0"/>
              <w:right w:val="single" w:color="000000" w:sz="8" w:space="0"/>
            </w:tcBorders>
            <w:shd w:val="clear" w:color="auto" w:fill="EAEAEA"/>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b/>
                <w:bCs/>
                <w:color w:val="auto"/>
                <w:sz w:val="24"/>
                <w:highlight w:val="none"/>
              </w:rPr>
            </w:pPr>
            <w:r>
              <w:rPr>
                <w:rFonts w:hint="eastAsia" w:ascii="宋体" w:hAnsi="宋体" w:cs="宋体"/>
                <w:b/>
                <w:bCs/>
                <w:color w:val="auto"/>
                <w:kern w:val="0"/>
                <w:sz w:val="24"/>
                <w:highlight w:val="none"/>
                <w:lang w:bidi="ar"/>
              </w:rPr>
              <w:t>数量</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eastAsia="宋体" w:cs="宋体"/>
                <w:color w:val="auto"/>
                <w:sz w:val="24"/>
                <w:highlight w:val="none"/>
                <w:lang w:eastAsia="zh-CN"/>
              </w:rPr>
            </w:pPr>
            <w:r>
              <w:rPr>
                <w:rFonts w:hint="eastAsia" w:ascii="宋体" w:hAnsi="宋体" w:cs="宋体"/>
                <w:color w:val="auto"/>
                <w:kern w:val="0"/>
                <w:sz w:val="24"/>
                <w:highlight w:val="none"/>
                <w:lang w:bidi="ar"/>
              </w:rPr>
              <w:t>全自动快速发药机</w:t>
            </w:r>
            <w:r>
              <w:rPr>
                <w:rFonts w:hint="eastAsia" w:ascii="宋体" w:hAnsi="宋体" w:cs="宋体"/>
                <w:color w:val="auto"/>
                <w:kern w:val="0"/>
                <w:sz w:val="24"/>
                <w:highlight w:val="none"/>
                <w:lang w:val="en-US" w:eastAsia="zh-CN" w:bidi="ar"/>
              </w:rPr>
              <w:t>1</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1台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2.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ascii="宋体" w:hAnsi="宋体" w:cs="宋体"/>
                <w:color w:val="auto"/>
                <w:kern w:val="0"/>
                <w:sz w:val="24"/>
                <w:highlight w:val="none"/>
                <w:lang w:bidi="ar"/>
              </w:rPr>
              <w:t>智能批量补药机</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1台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3.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eastAsia="宋体" w:cs="宋体"/>
                <w:color w:val="auto"/>
                <w:sz w:val="24"/>
                <w:highlight w:val="none"/>
                <w:lang w:eastAsia="zh-CN"/>
              </w:rPr>
            </w:pPr>
            <w:r>
              <w:rPr>
                <w:rFonts w:hint="eastAsia" w:ascii="宋体" w:hAnsi="宋体" w:cs="宋体"/>
                <w:color w:val="auto"/>
                <w:kern w:val="0"/>
                <w:sz w:val="24"/>
                <w:highlight w:val="none"/>
                <w:lang w:bidi="ar"/>
              </w:rPr>
              <w:t>全自动快速发药机</w:t>
            </w:r>
            <w:r>
              <w:rPr>
                <w:rFonts w:hint="eastAsia" w:ascii="宋体" w:hAnsi="宋体" w:cs="宋体"/>
                <w:color w:val="auto"/>
                <w:kern w:val="0"/>
                <w:sz w:val="24"/>
                <w:highlight w:val="none"/>
                <w:lang w:val="en-US" w:eastAsia="zh-CN" w:bidi="ar"/>
              </w:rPr>
              <w:t>2</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1台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4.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eastAsia="宋体" w:cs="宋体"/>
                <w:color w:val="auto"/>
                <w:sz w:val="24"/>
                <w:highlight w:val="none"/>
                <w:lang w:eastAsia="zh-CN"/>
              </w:rPr>
            </w:pPr>
            <w:r>
              <w:rPr>
                <w:rFonts w:hint="eastAsia" w:ascii="宋体" w:hAnsi="宋体" w:cs="宋体"/>
                <w:color w:val="auto"/>
                <w:kern w:val="0"/>
                <w:sz w:val="24"/>
                <w:highlight w:val="none"/>
                <w:lang w:bidi="ar"/>
              </w:rPr>
              <w:t>全自动快速发药机</w:t>
            </w:r>
            <w:r>
              <w:rPr>
                <w:rFonts w:hint="eastAsia" w:ascii="宋体" w:hAnsi="宋体" w:cs="宋体"/>
                <w:color w:val="auto"/>
                <w:kern w:val="0"/>
                <w:sz w:val="24"/>
                <w:highlight w:val="none"/>
                <w:lang w:val="en-US" w:eastAsia="zh-CN" w:bidi="ar"/>
              </w:rPr>
              <w:t>3</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1台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5.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全自动补药机器人</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2台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6.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提升机</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3套</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7.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实时发药通道</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6套</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8.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螺旋出药滑道</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6套</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9.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电子药篮</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600个</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10.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拆零分包机</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2台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11.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针剂药品管理柜</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2台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12. </w:t>
            </w:r>
          </w:p>
        </w:tc>
        <w:tc>
          <w:tcPr>
            <w:tcW w:w="4108"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追溯码系统</w:t>
            </w:r>
          </w:p>
        </w:tc>
        <w:tc>
          <w:tcPr>
            <w:tcW w:w="3225"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3套</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13. </w:t>
            </w:r>
          </w:p>
        </w:tc>
        <w:tc>
          <w:tcPr>
            <w:tcW w:w="4108" w:type="dxa"/>
            <w:tcBorders>
              <w:top w:val="nil"/>
              <w:left w:val="single" w:color="000000" w:sz="8" w:space="0"/>
              <w:bottom w:val="nil"/>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报道机</w:t>
            </w:r>
          </w:p>
        </w:tc>
        <w:tc>
          <w:tcPr>
            <w:tcW w:w="3225" w:type="dxa"/>
            <w:tcBorders>
              <w:top w:val="nil"/>
              <w:left w:val="single" w:color="000000" w:sz="8" w:space="0"/>
              <w:bottom w:val="nil"/>
              <w:right w:val="single" w:color="000000" w:sz="8"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5台</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nil"/>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14. </w:t>
            </w:r>
          </w:p>
        </w:tc>
        <w:tc>
          <w:tcPr>
            <w:tcW w:w="41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自动化药房管理软件</w:t>
            </w:r>
          </w:p>
        </w:tc>
        <w:tc>
          <w:tcPr>
            <w:tcW w:w="322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3套</w:t>
            </w:r>
          </w:p>
        </w:tc>
      </w:tr>
      <w:tr>
        <w:tblPrEx>
          <w:tblCellMar>
            <w:top w:w="0" w:type="dxa"/>
            <w:left w:w="108" w:type="dxa"/>
            <w:bottom w:w="0" w:type="dxa"/>
            <w:right w:w="108" w:type="dxa"/>
          </w:tblCellMar>
        </w:tblPrEx>
        <w:trPr>
          <w:trHeight w:val="400" w:hRule="atLeast"/>
        </w:trPr>
        <w:tc>
          <w:tcPr>
            <w:tcW w:w="1080" w:type="dxa"/>
            <w:tcBorders>
              <w:top w:val="nil"/>
              <w:left w:val="single" w:color="000000" w:sz="8" w:space="0"/>
              <w:bottom w:val="single" w:color="000000" w:sz="8" w:space="0"/>
              <w:right w:val="nil"/>
            </w:tcBorders>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4"/>
                <w:highlight w:val="none"/>
              </w:rPr>
            </w:pPr>
            <w:r>
              <w:rPr>
                <w:rFonts w:hint="eastAsia" w:ascii="宋体" w:hAnsi="宋体" w:cs="宋体"/>
                <w:color w:val="auto"/>
                <w:kern w:val="0"/>
                <w:sz w:val="24"/>
                <w:highlight w:val="none"/>
                <w:lang w:bidi="ar"/>
              </w:rPr>
              <w:t xml:space="preserve">15. </w:t>
            </w:r>
          </w:p>
        </w:tc>
        <w:tc>
          <w:tcPr>
            <w:tcW w:w="410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ind w:firstLine="0"/>
              <w:jc w:val="left"/>
              <w:textAlignment w:val="center"/>
              <w:rPr>
                <w:rFonts w:hint="eastAsia" w:ascii="宋体" w:hAnsi="宋体" w:cs="宋体"/>
                <w:color w:val="auto"/>
                <w:sz w:val="22"/>
                <w:szCs w:val="22"/>
                <w:highlight w:val="none"/>
              </w:rPr>
            </w:pPr>
            <w:r>
              <w:rPr>
                <w:rFonts w:hint="eastAsia" w:ascii="宋体" w:hAnsi="宋体" w:cs="宋体"/>
                <w:color w:val="auto"/>
                <w:kern w:val="0"/>
                <w:sz w:val="22"/>
                <w:szCs w:val="22"/>
                <w:highlight w:val="none"/>
                <w:lang w:bidi="ar"/>
              </w:rPr>
              <w:t>项目周期内不少于2人的驻场服务</w:t>
            </w:r>
          </w:p>
        </w:tc>
        <w:tc>
          <w:tcPr>
            <w:tcW w:w="32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ind w:firstLine="0"/>
              <w:jc w:val="center"/>
              <w:textAlignment w:val="center"/>
              <w:rPr>
                <w:rFonts w:hint="eastAsia" w:ascii="宋体" w:hAnsi="宋体" w:cs="宋体"/>
                <w:color w:val="auto"/>
                <w:sz w:val="22"/>
                <w:szCs w:val="22"/>
                <w:highlight w:val="none"/>
              </w:rPr>
            </w:pPr>
            <w:r>
              <w:rPr>
                <w:rFonts w:hint="eastAsia" w:ascii="宋体" w:hAnsi="宋体" w:cs="宋体"/>
                <w:color w:val="auto"/>
                <w:kern w:val="0"/>
                <w:sz w:val="22"/>
                <w:szCs w:val="22"/>
                <w:highlight w:val="none"/>
                <w:lang w:bidi="ar"/>
              </w:rPr>
              <w:t>1套</w:t>
            </w:r>
          </w:p>
        </w:tc>
      </w:tr>
    </w:tbl>
    <w:p>
      <w:pPr>
        <w:pStyle w:val="6"/>
        <w:snapToGrid w:val="0"/>
        <w:spacing w:line="360" w:lineRule="auto"/>
        <w:outlineLvl w:val="2"/>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备注：中标人需</w:t>
      </w:r>
      <w:r>
        <w:rPr>
          <w:rFonts w:hint="eastAsia" w:ascii="宋体" w:hAnsi="宋体" w:eastAsia="宋体" w:cs="宋体"/>
          <w:b/>
          <w:color w:val="auto"/>
          <w:sz w:val="24"/>
          <w:szCs w:val="24"/>
          <w:highlight w:val="none"/>
        </w:rPr>
        <w:t>涵盖</w:t>
      </w:r>
      <w:r>
        <w:rPr>
          <w:rFonts w:hint="eastAsia" w:ascii="宋体" w:hAnsi="宋体" w:eastAsia="宋体" w:cs="宋体"/>
          <w:b/>
          <w:color w:val="auto"/>
          <w:sz w:val="24"/>
          <w:szCs w:val="24"/>
          <w:highlight w:val="none"/>
          <w:lang w:val="en-US" w:eastAsia="zh-CN"/>
        </w:rPr>
        <w:t>所有设备与</w:t>
      </w:r>
      <w:r>
        <w:rPr>
          <w:rFonts w:hint="eastAsia" w:ascii="宋体" w:hAnsi="宋体" w:eastAsia="宋体" w:cs="宋体"/>
          <w:b/>
          <w:color w:val="auto"/>
          <w:sz w:val="24"/>
          <w:szCs w:val="24"/>
          <w:highlight w:val="none"/>
        </w:rPr>
        <w:t>HIS</w:t>
      </w:r>
      <w:r>
        <w:rPr>
          <w:rFonts w:hint="eastAsia" w:ascii="宋体" w:hAnsi="宋体" w:eastAsia="宋体" w:cs="宋体"/>
          <w:b/>
          <w:color w:val="auto"/>
          <w:sz w:val="24"/>
          <w:szCs w:val="24"/>
          <w:highlight w:val="none"/>
          <w:lang w:val="en-US" w:eastAsia="zh-CN"/>
        </w:rPr>
        <w:t>系统</w:t>
      </w:r>
      <w:r>
        <w:rPr>
          <w:rFonts w:hint="eastAsia" w:ascii="宋体" w:hAnsi="宋体" w:eastAsia="宋体" w:cs="宋体"/>
          <w:b/>
          <w:color w:val="auto"/>
          <w:sz w:val="24"/>
          <w:szCs w:val="24"/>
          <w:highlight w:val="none"/>
        </w:rPr>
        <w:t xml:space="preserve"> </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rPr>
        <w:t>医保结算</w:t>
      </w:r>
      <w:r>
        <w:rPr>
          <w:rFonts w:hint="eastAsia" w:ascii="宋体" w:hAnsi="宋体" w:eastAsia="宋体" w:cs="宋体"/>
          <w:b/>
          <w:color w:val="auto"/>
          <w:sz w:val="24"/>
          <w:szCs w:val="24"/>
          <w:highlight w:val="none"/>
          <w:lang w:val="en-US" w:eastAsia="zh-CN"/>
        </w:rPr>
        <w:t>系统等相关系统对接产生的</w:t>
      </w:r>
      <w:r>
        <w:rPr>
          <w:rFonts w:hint="eastAsia" w:ascii="宋体" w:hAnsi="宋体" w:eastAsia="宋体" w:cs="宋体"/>
          <w:b/>
          <w:color w:val="auto"/>
          <w:sz w:val="24"/>
          <w:szCs w:val="24"/>
          <w:highlight w:val="none"/>
        </w:rPr>
        <w:t>接口费</w:t>
      </w:r>
      <w:r>
        <w:rPr>
          <w:rFonts w:hint="eastAsia" w:ascii="宋体" w:hAnsi="宋体" w:eastAsia="宋体" w:cs="宋体"/>
          <w:b/>
          <w:color w:val="auto"/>
          <w:sz w:val="24"/>
          <w:szCs w:val="24"/>
          <w:highlight w:val="none"/>
          <w:lang w:val="en-US" w:eastAsia="zh-CN"/>
        </w:rPr>
        <w:t>用</w:t>
      </w:r>
      <w:r>
        <w:rPr>
          <w:rFonts w:hint="eastAsia" w:ascii="宋体" w:hAnsi="宋体" w:eastAsia="宋体" w:cs="宋体"/>
          <w:b/>
          <w:color w:val="auto"/>
          <w:sz w:val="24"/>
          <w:szCs w:val="24"/>
          <w:highlight w:val="none"/>
        </w:rPr>
        <w:t>、</w:t>
      </w:r>
      <w:r>
        <w:rPr>
          <w:rFonts w:hint="eastAsia" w:ascii="宋体" w:hAnsi="宋体" w:eastAsia="宋体" w:cs="宋体"/>
          <w:b/>
          <w:color w:val="auto"/>
          <w:sz w:val="24"/>
          <w:szCs w:val="24"/>
          <w:highlight w:val="none"/>
          <w:lang w:val="en-US" w:eastAsia="zh-CN"/>
        </w:rPr>
        <w:t>设备</w:t>
      </w:r>
      <w:r>
        <w:rPr>
          <w:rFonts w:hint="eastAsia" w:ascii="宋体" w:hAnsi="宋体" w:eastAsia="宋体" w:cs="宋体"/>
          <w:b/>
          <w:color w:val="auto"/>
          <w:sz w:val="24"/>
          <w:szCs w:val="24"/>
          <w:highlight w:val="none"/>
        </w:rPr>
        <w:t>五年维保费用、</w:t>
      </w:r>
      <w:r>
        <w:rPr>
          <w:rFonts w:hint="eastAsia" w:ascii="宋体" w:hAnsi="宋体" w:eastAsia="宋体" w:cs="宋体"/>
          <w:b/>
          <w:color w:val="auto"/>
          <w:sz w:val="24"/>
          <w:szCs w:val="24"/>
          <w:highlight w:val="none"/>
          <w:lang w:val="en-US" w:eastAsia="zh-CN"/>
        </w:rPr>
        <w:t>人员驻场服务费用、</w:t>
      </w:r>
      <w:r>
        <w:rPr>
          <w:rFonts w:hint="eastAsia" w:ascii="宋体" w:hAnsi="宋体" w:eastAsia="宋体" w:cs="宋体"/>
          <w:b/>
          <w:color w:val="auto"/>
          <w:sz w:val="24"/>
          <w:szCs w:val="24"/>
          <w:highlight w:val="none"/>
        </w:rPr>
        <w:t>场地配套改造费用</w:t>
      </w:r>
      <w:r>
        <w:rPr>
          <w:rFonts w:hint="eastAsia" w:ascii="宋体" w:hAnsi="宋体" w:eastAsia="宋体" w:cs="宋体"/>
          <w:b/>
          <w:color w:val="auto"/>
          <w:sz w:val="24"/>
          <w:szCs w:val="24"/>
          <w:highlight w:val="none"/>
          <w:lang w:val="en-US" w:eastAsia="zh-CN"/>
        </w:rPr>
        <w:t>等</w:t>
      </w:r>
      <w:r>
        <w:rPr>
          <w:rFonts w:hint="eastAsia" w:ascii="宋体" w:hAnsi="宋体" w:eastAsia="宋体" w:cs="宋体"/>
          <w:b/>
          <w:color w:val="auto"/>
          <w:sz w:val="24"/>
          <w:szCs w:val="24"/>
          <w:highlight w:val="none"/>
        </w:rPr>
        <w:t>，同时包含</w:t>
      </w:r>
      <w:r>
        <w:rPr>
          <w:rFonts w:hint="eastAsia" w:ascii="宋体" w:hAnsi="宋体" w:eastAsia="宋体" w:cs="宋体"/>
          <w:b/>
          <w:color w:val="auto"/>
          <w:sz w:val="24"/>
          <w:szCs w:val="24"/>
          <w:highlight w:val="none"/>
          <w:lang w:val="en-US" w:eastAsia="zh-CN"/>
        </w:rPr>
        <w:t>拆零</w:t>
      </w:r>
      <w:r>
        <w:rPr>
          <w:rFonts w:hint="eastAsia" w:ascii="宋体" w:hAnsi="宋体" w:eastAsia="宋体" w:cs="宋体"/>
          <w:b/>
          <w:color w:val="auto"/>
          <w:sz w:val="24"/>
          <w:szCs w:val="24"/>
          <w:highlight w:val="none"/>
        </w:rPr>
        <w:t>分包机</w:t>
      </w:r>
      <w:r>
        <w:rPr>
          <w:rFonts w:hint="eastAsia" w:ascii="宋体" w:hAnsi="宋体" w:eastAsia="宋体" w:cs="宋体"/>
          <w:b/>
          <w:color w:val="auto"/>
          <w:sz w:val="24"/>
          <w:szCs w:val="24"/>
          <w:highlight w:val="none"/>
          <w:lang w:val="en-US" w:eastAsia="zh-CN"/>
        </w:rPr>
        <w:t>等</w:t>
      </w:r>
      <w:r>
        <w:rPr>
          <w:rFonts w:hint="eastAsia" w:ascii="宋体" w:hAnsi="宋体" w:eastAsia="宋体" w:cs="宋体"/>
          <w:b/>
          <w:color w:val="auto"/>
          <w:sz w:val="24"/>
          <w:szCs w:val="24"/>
          <w:highlight w:val="none"/>
        </w:rPr>
        <w:t>自验收合格之日起五年内全部耗材费用。（自验收确认日起计）</w:t>
      </w:r>
    </w:p>
    <w:p>
      <w:pPr>
        <w:pStyle w:val="6"/>
        <w:snapToGrid w:val="0"/>
        <w:spacing w:line="360" w:lineRule="auto"/>
        <w:outlineLvl w:val="2"/>
        <w:rPr>
          <w:rFonts w:ascii="宋体" w:hAnsi="宋体" w:eastAsia="宋体" w:cs="宋体"/>
          <w:color w:val="auto"/>
          <w:sz w:val="24"/>
          <w:szCs w:val="24"/>
          <w:highlight w:val="none"/>
        </w:rPr>
      </w:pPr>
      <w:r>
        <w:rPr>
          <w:rFonts w:ascii="宋体" w:hAnsi="宋体" w:eastAsia="宋体" w:cs="宋体"/>
          <w:b/>
          <w:color w:val="auto"/>
          <w:sz w:val="24"/>
          <w:szCs w:val="24"/>
          <w:highlight w:val="none"/>
        </w:rPr>
        <w:t>二、技术和服务要求</w:t>
      </w:r>
    </w:p>
    <w:p>
      <w:pPr>
        <w:snapToGrid w:val="0"/>
        <w:spacing w:line="360" w:lineRule="auto"/>
        <w:ind w:firstLine="482" w:firstLineChars="200"/>
        <w:rPr>
          <w:rFonts w:hint="eastAsia" w:ascii="宋体" w:hAnsi="宋体" w:cs="宋体"/>
          <w:color w:val="auto"/>
          <w:kern w:val="0"/>
          <w:sz w:val="24"/>
          <w:highlight w:val="none"/>
        </w:rPr>
      </w:pPr>
      <w:r>
        <w:rPr>
          <w:rFonts w:hint="eastAsia" w:ascii="宋体" w:hAnsi="宋体" w:cs="宋体"/>
          <w:b/>
          <w:color w:val="auto"/>
          <w:kern w:val="0"/>
          <w:sz w:val="24"/>
          <w:highlight w:val="none"/>
        </w:rPr>
        <w:t>用途：</w:t>
      </w:r>
      <w:r>
        <w:rPr>
          <w:rFonts w:hint="eastAsia" w:ascii="宋体" w:hAnsi="宋体" w:cs="宋体"/>
          <w:color w:val="auto"/>
          <w:kern w:val="0"/>
          <w:sz w:val="24"/>
          <w:highlight w:val="none"/>
        </w:rPr>
        <w:t>用于药房智能化管理。采用先进自动化设备与HIS系统、药品信息物流系统的完美结合，全面监控管理药品从供应商送货开始直至发放到每个病患手中的整个过程，从而实现药房药品管理智能化，提高工作效率，减少患者取药等待时间，降低药师工作强度，促进合理用药，实现药学部门工作模式的转型。</w:t>
      </w:r>
    </w:p>
    <w:p>
      <w:pPr>
        <w:numPr>
          <w:ilvl w:val="255"/>
          <w:numId w:val="0"/>
        </w:numPr>
        <w:snapToGrid w:val="0"/>
        <w:spacing w:line="360" w:lineRule="auto"/>
        <w:ind w:firstLine="482" w:firstLineChars="200"/>
        <w:rPr>
          <w:rFonts w:hint="eastAsia" w:ascii="宋体" w:hAnsi="宋体" w:cs="宋体"/>
          <w:color w:val="auto"/>
          <w:kern w:val="0"/>
          <w:sz w:val="24"/>
          <w:highlight w:val="none"/>
        </w:rPr>
      </w:pPr>
      <w:r>
        <w:rPr>
          <w:rFonts w:hint="eastAsia" w:ascii="宋体" w:hAnsi="宋体" w:cs="宋体"/>
          <w:b/>
          <w:color w:val="auto"/>
          <w:sz w:val="24"/>
          <w:highlight w:val="none"/>
        </w:rPr>
        <w:t>技术参数要求：</w:t>
      </w:r>
    </w:p>
    <w:p>
      <w:pPr>
        <w:numPr>
          <w:ilvl w:val="0"/>
          <w:numId w:val="1"/>
        </w:numPr>
        <w:snapToGrid w:val="0"/>
        <w:spacing w:line="360" w:lineRule="auto"/>
        <w:ind w:firstLine="480" w:firstLineChars="200"/>
        <w:rPr>
          <w:rFonts w:hint="default" w:ascii="宋体" w:hAnsi="宋体" w:cs="宋体"/>
          <w:color w:val="auto"/>
          <w:kern w:val="0"/>
          <w:sz w:val="24"/>
          <w:highlight w:val="none"/>
          <w:lang w:val="en-US"/>
        </w:rPr>
      </w:pPr>
      <w:r>
        <w:rPr>
          <w:rFonts w:hint="eastAsia" w:ascii="宋体" w:hAnsi="宋体" w:cs="宋体"/>
          <w:color w:val="auto"/>
          <w:kern w:val="0"/>
          <w:sz w:val="24"/>
          <w:highlight w:val="none"/>
        </w:rPr>
        <w:t>全自动快速发药机</w:t>
      </w:r>
      <w:r>
        <w:rPr>
          <w:rFonts w:hint="eastAsia" w:ascii="宋体" w:hAnsi="宋体" w:cs="宋体"/>
          <w:color w:val="auto"/>
          <w:kern w:val="0"/>
          <w:sz w:val="24"/>
          <w:highlight w:val="none"/>
          <w:lang w:val="en-US" w:eastAsia="zh-CN"/>
        </w:rPr>
        <w:t>1</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全自动快速发药机药品储存要求：品种数≥1400种，储药量≥17000盒。（提供技术说明书证明）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根据现场条件，发药机主机的正面宽度≤5米，厚度≤2.5米。发药机系统总占地面积≤15平米。（提供设备技术说明书证明）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全自动发药机的发药系统和补药系统为相对独立的模块，发药同时可以补药，二者互不影响。</w:t>
      </w:r>
    </w:p>
    <w:p>
      <w:pPr>
        <w:numPr>
          <w:ilvl w:val="0"/>
          <w:numId w:val="2"/>
        </w:numPr>
        <w:snapToGrid w:val="0"/>
        <w:spacing w:line="360" w:lineRule="auto"/>
        <w:ind w:left="0" w:firstLine="480" w:firstLineChars="200"/>
        <w:rPr>
          <w:rFonts w:ascii="宋体" w:hAnsi="宋体" w:cs="宋体"/>
          <w:color w:val="auto"/>
          <w:kern w:val="0"/>
          <w:sz w:val="24"/>
          <w:highlight w:val="none"/>
        </w:rPr>
      </w:pPr>
      <w:r>
        <w:rPr>
          <w:rFonts w:hint="eastAsia" w:ascii="宋体" w:hAnsi="宋体" w:cs="宋体"/>
          <w:color w:val="auto"/>
          <w:kern w:val="0"/>
          <w:sz w:val="24"/>
          <w:highlight w:val="none"/>
        </w:rPr>
        <w:t>全自动发药机必须具备在故障时，可让药师手工拿到所有机内储存药品进行应急发药的功能。（</w:t>
      </w:r>
      <w:r>
        <w:rPr>
          <w:rFonts w:hint="eastAsia" w:ascii="宋体" w:hAnsi="宋体" w:cs="宋体"/>
          <w:color w:val="auto"/>
          <w:kern w:val="0"/>
          <w:sz w:val="24"/>
          <w:highlight w:val="none"/>
          <w:lang w:eastAsia="zh-CN"/>
        </w:rPr>
        <w:t>提供具有CMA或CNAS认证的第三方检测报告及应急发药功能视频演示证明。</w:t>
      </w:r>
      <w:r>
        <w:rPr>
          <w:rFonts w:hint="eastAsia" w:ascii="宋体" w:hAnsi="宋体" w:cs="宋体"/>
          <w:color w:val="auto"/>
          <w:kern w:val="0"/>
          <w:sz w:val="24"/>
          <w:highlight w:val="none"/>
        </w:rPr>
        <w:t>投标人需提供应急发药功能的技术说明书、系统设计截图及功能视频演示作为证明材料，并承诺中标后可在验收前进行现场功能验证</w:t>
      </w:r>
      <w:r>
        <w:rPr>
          <w:rFonts w:hint="eastAsia" w:ascii="宋体" w:hAnsi="宋体" w:cs="宋体"/>
          <w:color w:val="auto"/>
          <w:kern w:val="0"/>
          <w:sz w:val="24"/>
          <w:highlight w:val="none"/>
          <w:lang w:eastAsia="zh-CN"/>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▲电源：AC220V±20%，50~60HZ，设备控制低压24V，提供接地、过流保护、漏电保护功能。</w:t>
      </w:r>
    </w:p>
    <w:p>
      <w:pPr>
        <w:pStyle w:val="7"/>
        <w:numPr>
          <w:ilvl w:val="0"/>
          <w:numId w:val="2"/>
        </w:numPr>
        <w:snapToGrid w:val="0"/>
        <w:spacing w:line="360" w:lineRule="auto"/>
        <w:ind w:left="0" w:firstLine="480"/>
        <w:rPr>
          <w:rFonts w:ascii="宋体" w:hAnsi="宋体" w:cs="宋体"/>
          <w:color w:val="auto"/>
          <w:kern w:val="0"/>
          <w:sz w:val="24"/>
          <w:highlight w:val="none"/>
        </w:rPr>
      </w:pPr>
      <w:r>
        <w:rPr>
          <w:rFonts w:hint="eastAsia" w:ascii="宋体" w:hAnsi="宋体" w:cs="宋体"/>
          <w:color w:val="auto"/>
          <w:kern w:val="0"/>
          <w:sz w:val="24"/>
          <w:highlight w:val="none"/>
        </w:rPr>
        <w:t>▲设备通过电气强度试验及漏电流试验，电压2500Vac,设备对地漏电流5mA,测试时间定时为 5s~10s。（</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全自动发药机可与HIS系统实现无缝对接。</w:t>
      </w:r>
    </w:p>
    <w:p>
      <w:pPr>
        <w:pStyle w:val="7"/>
        <w:numPr>
          <w:ilvl w:val="0"/>
          <w:numId w:val="2"/>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的储药主机单元所有药品的储存模式是：斜槽式无动力滑轨存储（非传动助力药槽或密集滚珠助力药槽）;采用一种药品对应一条指定储药斜槽的定位储药模式以确保发药准确。（提供设备部件的实物图片证明）</w:t>
      </w:r>
    </w:p>
    <w:p>
      <w:pPr>
        <w:pStyle w:val="7"/>
        <w:numPr>
          <w:ilvl w:val="0"/>
          <w:numId w:val="2"/>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内储存的药品应按照单品种储存在独立的药槽中，为了确保药品放置的稳定性和防止在药品添加时出现卡药故障，要求每种药品必须基于药槽水平放置，放置高度必须为药品的最短边。（提供实物照片证明）</w:t>
      </w:r>
    </w:p>
    <w:p>
      <w:pPr>
        <w:numPr>
          <w:ilvl w:val="0"/>
          <w:numId w:val="2"/>
        </w:numPr>
        <w:snapToGrid w:val="0"/>
        <w:spacing w:line="360" w:lineRule="auto"/>
        <w:ind w:left="0" w:firstLine="480" w:firstLineChars="200"/>
        <w:rPr>
          <w:rFonts w:ascii="宋体" w:hAnsi="宋体" w:cs="宋体"/>
          <w:color w:val="auto"/>
          <w:kern w:val="0"/>
          <w:sz w:val="24"/>
          <w:highlight w:val="none"/>
        </w:rPr>
      </w:pPr>
      <w:r>
        <w:rPr>
          <w:rFonts w:hint="eastAsia" w:ascii="宋体" w:hAnsi="宋体" w:cs="宋体"/>
          <w:color w:val="auto"/>
          <w:kern w:val="0"/>
          <w:sz w:val="24"/>
          <w:highlight w:val="none"/>
        </w:rPr>
        <w:t>▲每根独立储存药槽均能调节宽度适用各种规格不同大小的药品。（</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发药机发药速度达到每小时≥2500盒，处理处方能力≥每小时500张。（</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▲发药机发药方式采用全品种同时自由重力落药设备底部接药方式，以确保在设备故障时可应急发药。（</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发药机在发药的同时能补充药品，补药不影响发药。（提供设备技术说明书证明）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▲主机加药机械手与人员之间必须具备补药缓存系统（或自动加药预缓存机）进行间隔并进行待加药品的预缓存，以提高补药速度、防止人身伤害。（提供设备工作照片及技术说明书证明）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▲自动加药预缓存机具备瓶装药批量补药缓存系统，补药缓存通道≥4种，补药缓存量≥20瓶。（提供设备实物照片证明）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▲瓶装药批量补药缓存系统具备盒装药批量补药缓存功能，在必要时可以转换进行盒装药的批量补药缓存。（提供设备2张实物照片证明）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▲瓶装药批量补药缓存系统可单次、同时将≥10瓶药品输入主机加药机械手内，输入速度≤1秒，以确保补药速度。（</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主机加药机械手单次运行可同时携带2种药品进行自动补药作业。（</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具备错误药品自动回收功能。在加药作业时出现卡药故障，主机加药机械手具备自动将被卡药品回退到储药主机内部的药品回收站，并自动恢复补药工作，无需人工干预，实现卡药不停机工作。（提供具有</w:t>
      </w:r>
      <w:r>
        <w:rPr>
          <w:rFonts w:hint="eastAsia" w:ascii="宋体" w:hAnsi="宋体" w:cs="宋体"/>
          <w:color w:val="auto"/>
          <w:kern w:val="0"/>
          <w:sz w:val="24"/>
          <w:highlight w:val="none"/>
          <w:lang w:eastAsia="zh-CN"/>
        </w:rPr>
        <w:t>CMA或</w:t>
      </w:r>
      <w:r>
        <w:rPr>
          <w:rFonts w:hint="eastAsia" w:ascii="宋体" w:hAnsi="宋体" w:cs="宋体"/>
          <w:color w:val="auto"/>
          <w:kern w:val="0"/>
          <w:sz w:val="24"/>
          <w:highlight w:val="none"/>
        </w:rPr>
        <w:t>CNAS认证的第三方检测报告及自动回收功能视频演示证明）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主机加药机械手具备能根据药品尺寸自动调节功能。</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单台主机加药机械手单次运行可携带2种药品、≥10盒/瓶的携带量进行补充作业。（提供设备技术说明书证明）</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为了加强补药监管，补药全程实时监控，监控系统集成于设备内部。（</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▲发药机整体加药速度≥3000盒/小时。（</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具备自动盘点功能，盘点方式采用激光计数，可不停机盘点，整个盘点时间≤30 分钟。（</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对相同药品不同规格、形似药品、高危药品自动二次提醒功能，确保药品补充正确性。（提供设备技术说明书证明并说明二次提醒方式）</w:t>
      </w:r>
    </w:p>
    <w:p>
      <w:pPr>
        <w:numPr>
          <w:ilvl w:val="0"/>
          <w:numId w:val="2"/>
        </w:numPr>
        <w:snapToGrid w:val="0"/>
        <w:spacing w:line="360" w:lineRule="auto"/>
        <w:ind w:left="0"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通过扫描药品条形码、药品追溯码、二维码或者快速输入药品名称等方式确认补药品种。</w:t>
      </w:r>
    </w:p>
    <w:p>
      <w:pPr>
        <w:snapToGrid w:val="0"/>
        <w:spacing w:line="360" w:lineRule="auto"/>
        <w:ind w:firstLine="480" w:firstLineChars="200"/>
        <w:rPr>
          <w:rFonts w:ascii="宋体" w:hAnsi="宋体" w:cs="宋体"/>
          <w:color w:val="auto"/>
          <w:kern w:val="0"/>
          <w:sz w:val="24"/>
          <w:highlight w:val="none"/>
        </w:rPr>
      </w:pPr>
      <w:r>
        <w:rPr>
          <w:rFonts w:hint="eastAsia" w:ascii="宋体" w:hAnsi="宋体" w:cs="宋体"/>
          <w:color w:val="auto"/>
          <w:kern w:val="0"/>
          <w:sz w:val="24"/>
          <w:highlight w:val="none"/>
        </w:rPr>
        <w:t>（二）智能批量补药机</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w:t>
      </w:r>
      <w:r>
        <w:rPr>
          <w:rFonts w:hint="eastAsia" w:ascii="宋体" w:hAnsi="宋体" w:cs="宋体"/>
          <w:color w:val="auto"/>
          <w:kern w:val="0"/>
          <w:sz w:val="24"/>
          <w:highlight w:val="none"/>
        </w:rPr>
        <w:tab/>
      </w:r>
      <w:r>
        <w:rPr>
          <w:rFonts w:hint="eastAsia" w:ascii="宋体" w:hAnsi="宋体" w:cs="宋体"/>
          <w:color w:val="auto"/>
          <w:kern w:val="0"/>
          <w:sz w:val="24"/>
          <w:highlight w:val="none"/>
        </w:rPr>
        <w:t>▲发药机具备盒装药批量补药预缓存系统。批量补药预缓存系统具备≥20个预存通道，可预存≥1000盒，使发药机具备无人干预自动加药功能。（提供设备部件的实物图片及批量加药功能视频演示证明）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2.</w:t>
      </w:r>
      <w:r>
        <w:rPr>
          <w:rFonts w:hint="eastAsia" w:ascii="宋体" w:hAnsi="宋体" w:cs="宋体"/>
          <w:color w:val="auto"/>
          <w:kern w:val="0"/>
          <w:sz w:val="24"/>
          <w:highlight w:val="none"/>
        </w:rPr>
        <w:tab/>
      </w:r>
      <w:r>
        <w:rPr>
          <w:rFonts w:hint="eastAsia" w:ascii="宋体" w:hAnsi="宋体" w:cs="宋体"/>
          <w:color w:val="auto"/>
          <w:kern w:val="0"/>
          <w:sz w:val="24"/>
          <w:highlight w:val="none"/>
        </w:rPr>
        <w:t>▲盒装药自动批量补药通道的药品预缓存方式：纵向叠加方式。（提供设备部件的实物图片证明以证明）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3.设备长度≤220cm，加药平台高度≤92cm。（提供设备技术说明书证明）</w:t>
      </w:r>
    </w:p>
    <w:p>
      <w:pPr>
        <w:snapToGrid w:val="0"/>
        <w:spacing w:line="360" w:lineRule="auto"/>
        <w:ind w:firstLine="480" w:firstLineChars="200"/>
        <w:rPr>
          <w:rFonts w:hint="eastAsia" w:ascii="宋体" w:hAnsi="宋体" w:eastAsia="宋体" w:cs="宋体"/>
          <w:color w:val="auto"/>
          <w:kern w:val="0"/>
          <w:sz w:val="24"/>
          <w:highlight w:val="none"/>
          <w:lang w:eastAsia="zh-CN"/>
        </w:rPr>
      </w:pPr>
      <w:r>
        <w:rPr>
          <w:rFonts w:hint="eastAsia" w:ascii="宋体" w:hAnsi="宋体" w:cs="宋体"/>
          <w:color w:val="auto"/>
          <w:kern w:val="0"/>
          <w:sz w:val="24"/>
          <w:highlight w:val="none"/>
        </w:rPr>
        <w:t>（三）全自动快速发药机</w:t>
      </w:r>
      <w:r>
        <w:rPr>
          <w:rFonts w:hint="eastAsia" w:ascii="宋体" w:hAnsi="宋体" w:cs="宋体"/>
          <w:color w:val="auto"/>
          <w:kern w:val="0"/>
          <w:sz w:val="24"/>
          <w:highlight w:val="none"/>
          <w:lang w:val="en-US" w:eastAsia="zh-CN"/>
        </w:rPr>
        <w:t>2</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发药机组成部分：主体分为出药、储存、上药三个部分，结构为模块化设计，所有部件均能简易拆装，搬运时均可经过1.2米宽标准门，对场地无特殊要求，方便安装和维护。</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自动发药机药品储存要求：品种数≥1400种，储药量≥17000盒。</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自动发药机主机的正面宽度≤6米，厚度≤2.5米。发药机系统总占地面积≤15平米（提供设备技术说明书证明）。</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自动发药机的发药系统和补药系统为相对独立的模块，发药同时可以补药，二者互不影响。</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自动发药机储存的所有药品都可在无人值守、干预的情况下，由设备进行全自动自主补充。</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自动发药机必须具备在故障时，可让药师手工拿到所有机内储存药品进行应急发药的功能。 （</w:t>
      </w:r>
      <w:r>
        <w:rPr>
          <w:rFonts w:hint="eastAsia" w:ascii="宋体" w:hAnsi="宋体" w:cs="宋体"/>
          <w:color w:val="auto"/>
          <w:kern w:val="0"/>
          <w:sz w:val="24"/>
          <w:highlight w:val="none"/>
          <w:lang w:eastAsia="zh-CN"/>
        </w:rPr>
        <w:t>提供具有CMA或CNAS认证的第三方检测报告证明</w:t>
      </w:r>
      <w:r>
        <w:rPr>
          <w:rFonts w:hint="eastAsia" w:ascii="宋体" w:hAnsi="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自动发药机可与HIS系统实现无缝对接。</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电源：220v、50-60Hz民用电，无需额外配置电源。提供接地、过流保护、漏电保护功能。</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▲设备通过电气强度试验及漏电流试验，电压2500Vac,设备对地漏电流5mA,测试时间定时为 5s~10s。</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的储药主机单元所有药品的储存模式是：斜槽式无动力滑轨存储（非传动助力药槽或密集滚珠助力药槽）;采用一种药品对应一条指定储药斜槽的定位储药模式以确保发药准确。（提供设备部件的实物图片证明）</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内储存的药品应按照单品种储存在独立的药槽中，为了确保药品放置的稳定性和防止在药品添加时出现卡药故障，要求每种药品必须基于药槽水平放置，放置高度必须为药品的最短边。（提供设备内药品储存照片证明）</w:t>
      </w:r>
    </w:p>
    <w:p>
      <w:pPr>
        <w:pStyle w:val="7"/>
        <w:numPr>
          <w:ilvl w:val="0"/>
          <w:numId w:val="3"/>
        </w:numPr>
        <w:snapToGrid w:val="0"/>
        <w:spacing w:line="360" w:lineRule="auto"/>
        <w:ind w:left="0" w:firstLine="480"/>
        <w:rPr>
          <w:rFonts w:hint="eastAsia" w:ascii="宋体" w:hAnsi="宋体" w:eastAsia="宋体" w:cs="宋体"/>
          <w:color w:val="auto"/>
          <w:kern w:val="0"/>
          <w:sz w:val="24"/>
          <w:highlight w:val="none"/>
        </w:rPr>
      </w:pPr>
      <w:r>
        <w:rPr>
          <w:rFonts w:hint="eastAsia" w:ascii="宋体" w:hAnsi="宋体" w:cs="宋体"/>
          <w:color w:val="auto"/>
          <w:kern w:val="0"/>
          <w:sz w:val="24"/>
          <w:highlight w:val="none"/>
        </w:rPr>
        <w:t xml:space="preserve">▲每根独立储存药槽均能调节宽度适用各种规格不同大小的药品。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发药机发药速度达到每小时不少于2400盒，处理处方能力不低于每小时450张。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▲发药机发药方式采用全品种同时自由重力落药设备底部接药方式，以确保在设备故障时可应急发药。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发药机在发药的同时能补充药品，补药不影响发药。（提供技术说明书证明）</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▲主机加药机械手单次运行可同时携带≥3种盒装药品进行自动补药作业，或配置3套主机加药机械手各携带1种药品进行自动补药作业。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eastAsia="宋体" w:cs="宋体"/>
          <w:color w:val="auto"/>
          <w:kern w:val="0"/>
          <w:sz w:val="24"/>
          <w:highlight w:val="none"/>
        </w:rPr>
      </w:pPr>
      <w:r>
        <w:rPr>
          <w:rFonts w:hint="eastAsia" w:ascii="宋体" w:hAnsi="宋体" w:cs="宋体"/>
          <w:color w:val="auto"/>
          <w:kern w:val="0"/>
          <w:sz w:val="24"/>
          <w:highlight w:val="none"/>
        </w:rPr>
        <w:t xml:space="preserve">主机加药机械手补药速度：≥2400盒/小时。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待补药品的确认：通过扫描药品二维码或者快速输入药品名称等方式确认补药品种。</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对相同药品不同规格、形似药品、高危药品自动二次提醒功能，确保药品补充正确性。（提供技术说明书证明并说明二次提醒方式）</w:t>
      </w:r>
    </w:p>
    <w:p>
      <w:pPr>
        <w:pStyle w:val="7"/>
        <w:numPr>
          <w:ilvl w:val="0"/>
          <w:numId w:val="3"/>
        </w:numPr>
        <w:snapToGrid w:val="0"/>
        <w:spacing w:line="360" w:lineRule="auto"/>
        <w:ind w:left="0" w:firstLine="480"/>
        <w:rPr>
          <w:rFonts w:hint="eastAsia" w:ascii="宋体" w:hAnsi="宋体" w:eastAsia="宋体" w:cs="宋体"/>
          <w:color w:val="auto"/>
          <w:kern w:val="0"/>
          <w:sz w:val="24"/>
          <w:highlight w:val="none"/>
        </w:rPr>
      </w:pPr>
      <w:r>
        <w:rPr>
          <w:rFonts w:hint="eastAsia" w:ascii="宋体" w:hAnsi="宋体" w:cs="宋体"/>
          <w:color w:val="auto"/>
          <w:kern w:val="0"/>
          <w:sz w:val="24"/>
          <w:highlight w:val="none"/>
        </w:rPr>
        <w:t xml:space="preserve">▲主机加药机械手与人员之间通过批量补药缓存通道来实现人机间隔及待补药品的缓存，以提高补药速度、防止人身伤害。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▲批量补药缓存通道≥3个。（提供设备照片）</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▲盒装药批量补药缓存装置单次、同时可将≥3个品种的药品输入至主机加药机械手内。</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具备自动、无人干预盘点功能，盘点方式采用激光计数。</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▲发药机补药系统具备二套可各自独立运行的补药系统，补药机械手一次可携带≥3品种药品进行主机储药补充作业。（提供技术说明书证明材料）</w:t>
      </w:r>
    </w:p>
    <w:p>
      <w:pPr>
        <w:pStyle w:val="7"/>
        <w:numPr>
          <w:ilvl w:val="0"/>
          <w:numId w:val="3"/>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系统具有带激光自动盘点功能，能对机内药品进行实时（定时）库存实物盘点。</w:t>
      </w:r>
    </w:p>
    <w:p>
      <w:pPr>
        <w:snapToGrid w:val="0"/>
        <w:spacing w:line="360" w:lineRule="auto"/>
        <w:ind w:firstLine="480" w:firstLineChars="200"/>
        <w:rPr>
          <w:rFonts w:hint="eastAsia" w:ascii="宋体" w:hAnsi="宋体" w:cs="宋体"/>
          <w:color w:val="auto"/>
          <w:kern w:val="0"/>
          <w:sz w:val="24"/>
          <w:highlight w:val="none"/>
        </w:rPr>
      </w:pPr>
    </w:p>
    <w:p>
      <w:pPr>
        <w:snapToGrid w:val="0"/>
        <w:spacing w:line="360" w:lineRule="auto"/>
        <w:ind w:firstLine="480" w:firstLineChars="200"/>
        <w:rPr>
          <w:rFonts w:hint="eastAsia" w:ascii="宋体" w:hAnsi="宋体" w:eastAsia="宋体" w:cs="宋体"/>
          <w:color w:val="auto"/>
          <w:kern w:val="0"/>
          <w:sz w:val="24"/>
          <w:highlight w:val="none"/>
          <w:lang w:val="en-US" w:eastAsia="zh-CN"/>
        </w:rPr>
      </w:pPr>
      <w:r>
        <w:rPr>
          <w:rFonts w:hint="eastAsia" w:ascii="宋体" w:hAnsi="宋体" w:cs="宋体"/>
          <w:color w:val="auto"/>
          <w:kern w:val="0"/>
          <w:sz w:val="24"/>
          <w:highlight w:val="none"/>
        </w:rPr>
        <w:t>（四）全自动快速发药机</w:t>
      </w:r>
      <w:r>
        <w:rPr>
          <w:rFonts w:hint="eastAsia" w:ascii="宋体" w:hAnsi="宋体" w:cs="宋体"/>
          <w:color w:val="auto"/>
          <w:kern w:val="0"/>
          <w:sz w:val="24"/>
          <w:highlight w:val="none"/>
          <w:lang w:val="en-US" w:eastAsia="zh-CN"/>
        </w:rPr>
        <w:t>3</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发药机组成部分：主体分为出药、储存、上药三个部分，结构为模块化设计，所有部件均能简易拆装，搬运时均可经过1.2米宽标准门，对场地无特殊要求，方便安装和维护。</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自动发药机药品储存要求：品种数≥960种，储药量≥11000盒。</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根据现场条件，自动发药机主机的正面宽度≤4.2米，厚度≤2.5米。发药机系统总占地面积≤10平米（提供设备技术说明书证明）。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自动发药机的发药系统和补药系统为相对独立的模块，发药同时可以补药，二者互不影响。</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自动发药机储存的所有药品都可在无人值守、干预的情况下，由设备进行全自动自主补充。</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自动发药机必须具备在故障时，可让药师手工拿到所有机内储存药品进行应急发药的功能。 （提供具有CMA或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自动发药机可与HIS系统实现无缝对接。</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电源：220v、50-60Hz民用电，无需额外配置电源。提供接地、过流保护、漏电保护功能。</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▲设备通过电气强度试验及漏电流试验，电压2500Vac,设备对地漏电流5mA,测试时间定时为 5s~10s。</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的储药主机单元所有药品的储存模式是：斜槽式无动力滑轨存储（非传动助力药槽或密集滚珠助力药槽）;采用一种药品对应一条指定储药斜槽的定位储药模式以确保发药准确。（提供设备部件的实物图片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内储存的药品应按照单品种储存在独立的药槽中，为了确保药品放置的稳定性和防止在药品添加时出现卡药故障，要求每种药品必须基于药槽水平放置，放置高度必须为药品的最短边。（提供设备内药品储存照片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▲每根独立储存药槽均能调节宽度适用各种规格不同大小的药品。（提供具有CMA或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发药机发药速度达到每小时不少于2400盒，处理处方能力不低于每小时450张。（提供具有CMA或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▲发药机发药方式采用全品种同时自由重力落药设备底部接药方式，以确保在设备故障时可应急发药。（提供具有CMA或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发药机在发药的同时能补充药品，补药不影响发药。（提供设备工作照片或技术说明书证明）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▲主机加药机械手单次运行可同时携带≥3种盒装药品进行自动补药作业，或配置3套主机加药机械手各携带1种药品进行自动补药作业。（提供具有CMA或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主机加药机械手补药速度：≥2400盒/小时。（提供具有CMA或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待补药品的确认：通过扫描药品二维码或者快速输入药品名称等方式确认补药品种。</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对相同药品不同规格、形似药品、高危药品自动二次提醒功能，确保药品补充正确性。（提供设备技术说明书证明）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▲主机加药机械手与人员之间通过批量补药缓存通道来实现人机间隔及待补药品的缓存，以提高补药速度、防止人身伤害。（提供具有CMA或 CNAS 认证的第三方检测报告证明）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▲批量补药缓存通道≥3个。（提供设备照片）</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▲盒装药批量补药缓存装置单次、同时可将≥3个品种的药品输入至主机加药机械手内。</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具备自动、无人干预盘点功能，盘点方式采用激光计数。</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▲发药机补药系统具备二套可各自独立运行的补药系统，补药机械手一次可携带≥3品种药品进行主机储药补充作业。（提供设备工作照片或技术说明书证明）</w:t>
      </w:r>
    </w:p>
    <w:p>
      <w:pPr>
        <w:pStyle w:val="7"/>
        <w:numPr>
          <w:ilvl w:val="0"/>
          <w:numId w:val="4"/>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系统具有带激光自动盘点功能，能对机内药品进行实时（定时）库存实物盘点。</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（五）全自动补药机器人</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发药机具备全品种无人自动补药系统和批量快速补药系统。全自动无人补药系统指：在无人干预情况下设备主机内储存的所有药品都通过自动补药系统进行自动补充。批量快速补药系统指：药师将成批量的同种类药品添加在批量快速补药系统上。（提供技术说明书证明材料）</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全自动补药机硬件配置：药品补充缓存装置1套，药品分离装置1套，分拣检测装置1套，六轴关节药品分拣机器人1台，待药控制装置1套。</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全自动补药机操作流程：发药机内一旦缺药，系统会自动提示机内药品缺失的情况。系统会根据目前发药机内的缺药情况和药房库存情况生成补药单，补药人员依据补药单领取药品无序倒入药品补充缓存装置，发药机主机机器人自主进行抓取、识别、补充，全过程无需人员干预。 （提供具有CNAS认证的第三方检测报告及全自动补药功能视频演示证明）</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全自动补药机可与发药机具备无缝对接。</w:t>
      </w:r>
    </w:p>
    <w:p>
      <w:pPr>
        <w:pStyle w:val="7"/>
        <w:numPr>
          <w:ilvl w:val="0"/>
          <w:numId w:val="5"/>
        </w:numPr>
        <w:snapToGrid w:val="0"/>
        <w:spacing w:line="360" w:lineRule="auto"/>
        <w:ind w:left="0" w:firstLine="480"/>
        <w:rPr>
          <w:rFonts w:ascii="宋体" w:hAnsi="宋体" w:cs="宋体"/>
          <w:color w:val="auto"/>
          <w:kern w:val="0"/>
          <w:sz w:val="24"/>
          <w:highlight w:val="none"/>
        </w:rPr>
      </w:pPr>
      <w:r>
        <w:rPr>
          <w:rFonts w:hint="eastAsia" w:ascii="宋体" w:hAnsi="宋体" w:cs="宋体"/>
          <w:color w:val="auto"/>
          <w:kern w:val="0"/>
          <w:sz w:val="24"/>
          <w:highlight w:val="none"/>
        </w:rPr>
        <w:t>全自动补药机占地面积≤2.6m²。</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▲全自动补药机补药预缓存方式：具备双层缓存，药品可无序多品种堆放。（提供设备照片证明）</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发药机无人自动补药系统具备进药缓存系统，可一次性存放≥3000盒/瓶同种或不同种药品；且扫描进药与机械手自动上药可同步进行，无需等待。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补药方式：6轴机器人自动抓取。</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▲发药机无人自动补药系统，补药过程中药品可无序摆放，存放在缓存通道上，全程无需人工扫码，机器自动分拣无人值守补药混品种补药速度≧600盒/小时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全自动补药机具备在无人值守情况下自主分拣并向发药机输送药品。</w:t>
      </w:r>
    </w:p>
    <w:p>
      <w:pPr>
        <w:pStyle w:val="7"/>
        <w:numPr>
          <w:ilvl w:val="0"/>
          <w:numId w:val="5"/>
        </w:numPr>
        <w:snapToGrid w:val="0"/>
        <w:spacing w:line="360" w:lineRule="auto"/>
        <w:ind w:left="0" w:firstLine="480"/>
        <w:rPr>
          <w:rFonts w:hint="eastAsia" w:ascii="宋体" w:hAnsi="宋体" w:eastAsia="宋体" w:cs="宋体"/>
          <w:color w:val="auto"/>
          <w:kern w:val="0"/>
          <w:sz w:val="24"/>
          <w:highlight w:val="none"/>
        </w:rPr>
      </w:pPr>
      <w:r>
        <w:rPr>
          <w:rFonts w:hint="eastAsia" w:ascii="宋体" w:hAnsi="宋体" w:cs="宋体"/>
          <w:color w:val="auto"/>
          <w:kern w:val="0"/>
          <w:sz w:val="24"/>
          <w:highlight w:val="none"/>
        </w:rPr>
        <w:t xml:space="preserve">全自动补药机进行预补药工作不影响发药机的加药和发药，三者可同步进行。 </w:t>
      </w:r>
      <w:r>
        <w:rPr>
          <w:rFonts w:hint="eastAsia" w:ascii="宋体" w:hAnsi="宋体" w:eastAsia="宋体" w:cs="宋体"/>
          <w:color w:val="auto"/>
          <w:kern w:val="0"/>
          <w:sz w:val="24"/>
          <w:highlight w:val="none"/>
        </w:rPr>
        <w:t>（</w:t>
      </w:r>
      <w:r>
        <w:rPr>
          <w:rFonts w:hint="eastAsia" w:ascii="宋体" w:hAnsi="宋体" w:eastAsia="宋体" w:cs="宋体"/>
          <w:color w:val="auto"/>
          <w:kern w:val="0"/>
          <w:sz w:val="24"/>
          <w:highlight w:val="none"/>
          <w:lang w:eastAsia="zh-CN"/>
        </w:rPr>
        <w:t>提供具有CMA或CNAS认证的第三方检测报告证明</w:t>
      </w:r>
      <w:r>
        <w:rPr>
          <w:rFonts w:hint="eastAsia" w:ascii="宋体" w:hAnsi="宋体" w:eastAsia="宋体" w:cs="宋体"/>
          <w:color w:val="auto"/>
          <w:kern w:val="0"/>
          <w:sz w:val="24"/>
          <w:highlight w:val="none"/>
        </w:rPr>
        <w:t>）</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进药自动检测：设备可全自动进行单包装药品的条码扫描识别确认，全过程无需人工操作。（提供技术说明书证明）</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▲具备自动拒绝错误药品进入设备，无需人工干预情况下设备自动进行下一种药品或下一盒药品的添加。（提供自动拒绝错误药品功能视频演示证明）</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药品分拣机器人具备本体回转运动功能。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药品分拣机器人具备下臂前后摆动功能。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药品分拣机器人具备上臂上下摆动功能。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药品分拣机器人具备下臂回转功能。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药品分拣机器人具备上臂回转功能。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药品分拣机器人具备手腕上下摆动功能。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药品分拣机器人具备手腕回转功能。</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药品品种识别方式：视觉识别。</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具备破损包装及错误药品自动回收功能。（提供技术说明书证明）</w:t>
      </w:r>
    </w:p>
    <w:p>
      <w:pPr>
        <w:pStyle w:val="7"/>
        <w:numPr>
          <w:ilvl w:val="0"/>
          <w:numId w:val="5"/>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全自动补药机的自动补药可与发药机人工批量补药进行无缝衔接。</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（六）提升机</w:t>
      </w:r>
    </w:p>
    <w:p>
      <w:pPr>
        <w:pStyle w:val="7"/>
        <w:numPr>
          <w:ilvl w:val="0"/>
          <w:numId w:val="6"/>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单台发药机出药口对称分布于设备的两边，每一边≥3个出药口为一组，出药口为上下分布，两边共计≥6个出药口，其中最上面的出药口可对接轨道，实现药品实时传输到发药窗口，传输通道高度≥1.8米，以避免影响药师行走。余下窗口与发药窗口绑定。（提供设备工作照片或技术说明书）</w:t>
      </w:r>
    </w:p>
    <w:p>
      <w:pPr>
        <w:pStyle w:val="7"/>
        <w:numPr>
          <w:ilvl w:val="0"/>
          <w:numId w:val="6"/>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提升机出药口可按需求定制出口方向。（提供设备2张设备照片证明）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（七）实时发药通道</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实现药品实时传输到发药窗口，传输通道高度≥1.8米，以避免影响药师行走。</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（八）螺旋出药滑道</w:t>
      </w:r>
    </w:p>
    <w:p>
      <w:pPr>
        <w:pStyle w:val="7"/>
        <w:numPr>
          <w:ilvl w:val="0"/>
          <w:numId w:val="7"/>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设备材质采用SPCC钢材。</w:t>
      </w:r>
    </w:p>
    <w:p>
      <w:pPr>
        <w:pStyle w:val="7"/>
        <w:numPr>
          <w:ilvl w:val="0"/>
          <w:numId w:val="7"/>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设备采用螺旋式缓冲结构。</w:t>
      </w:r>
    </w:p>
    <w:p>
      <w:pPr>
        <w:pStyle w:val="7"/>
        <w:numPr>
          <w:ilvl w:val="0"/>
          <w:numId w:val="7"/>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配合实时发药通道无助力传输到窗口药师手边。</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（九）电子药篮</w:t>
      </w:r>
    </w:p>
    <w:p>
      <w:pPr>
        <w:pStyle w:val="7"/>
        <w:numPr>
          <w:ilvl w:val="0"/>
          <w:numId w:val="8"/>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基本要求：可与处方信息绑定，承载处方药品，可亮灯提示处方药品位置，无需固定位置摆放。</w:t>
      </w:r>
    </w:p>
    <w:p>
      <w:pPr>
        <w:pStyle w:val="7"/>
        <w:numPr>
          <w:ilvl w:val="0"/>
          <w:numId w:val="8"/>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智能药筐配置：智能识别系统软件、无线基站、服务器、自发光智能药筐。</w:t>
      </w:r>
    </w:p>
    <w:p>
      <w:pPr>
        <w:pStyle w:val="7"/>
        <w:numPr>
          <w:ilvl w:val="0"/>
          <w:numId w:val="8"/>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▲智能药筐具备≥3色亮灯提示。</w:t>
      </w:r>
    </w:p>
    <w:p>
      <w:pPr>
        <w:pStyle w:val="7"/>
        <w:numPr>
          <w:ilvl w:val="0"/>
          <w:numId w:val="8"/>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▲电池可充电，满电可工作≥20天。</w:t>
      </w:r>
    </w:p>
    <w:p>
      <w:pPr>
        <w:pStyle w:val="7"/>
        <w:numPr>
          <w:ilvl w:val="0"/>
          <w:numId w:val="8"/>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▲具备扫码绑定处方信息功能。</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（十）拆零分包机</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1、设备可与HIS系统无缝连接，可实时接收经HIS系统传送的处方信息。</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2、▲药盒为透明、避光设计，具有防潮、防尘、防紫外线功能，可清洗可拆卸。可在设备任意位置自由摆放，防止因药盒错放引起的包药错误。</w:t>
      </w:r>
      <w:r>
        <w:rPr>
          <w:rFonts w:hint="eastAsia" w:ascii="宋体" w:hAnsi="宋体" w:eastAsia="宋体" w:cs="宋体"/>
          <w:color w:val="auto"/>
          <w:kern w:val="0"/>
          <w:sz w:val="24"/>
          <w:szCs w:val="24"/>
          <w:highlight w:val="none"/>
          <w:lang w:val="en-US" w:eastAsia="zh-CN" w:bidi="ar-SA"/>
        </w:rPr>
        <w:t>（提供具有CMA或CNAS认证的第三方检测报告证明）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3、▲药盒可在任意底座自由插拔，插拔后自动识别药盒中装载的药品，智能药盒和底座由电子锁实现智能锁定和释放。药盒位置有亮灯提示。</w:t>
      </w:r>
      <w:r>
        <w:rPr>
          <w:rFonts w:hint="eastAsia" w:ascii="宋体" w:hAnsi="宋体" w:eastAsia="宋体" w:cs="宋体"/>
          <w:color w:val="auto"/>
          <w:kern w:val="0"/>
          <w:sz w:val="24"/>
          <w:szCs w:val="24"/>
          <w:highlight w:val="none"/>
          <w:lang w:val="en-US" w:eastAsia="zh-CN" w:bidi="ar-SA"/>
        </w:rPr>
        <w:t>（提供具有CMA或CNAS认证的第三方检测报告证明</w:t>
      </w:r>
      <w:r>
        <w:rPr>
          <w:rFonts w:hint="eastAsia" w:ascii="宋体" w:hAnsi="宋体" w:cs="宋体"/>
          <w:color w:val="auto"/>
          <w:kern w:val="0"/>
          <w:sz w:val="24"/>
          <w:highlight w:val="none"/>
        </w:rPr>
        <w:t>）</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4、具备自动收集不同种类的拆零药品并可汇总到出药口，避免药师寻找拆零药品的所存位置以提高工作效率。</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5、▲具备≥ 6个出药口，可实现同时处理 6 个处方的发放，每个出药口上方均具备显示屏，可显示药品名称及数量。（提供设备照片及具有</w:t>
      </w:r>
      <w:r>
        <w:rPr>
          <w:rFonts w:hint="eastAsia" w:ascii="宋体" w:hAnsi="宋体" w:eastAsia="宋体" w:cs="宋体"/>
          <w:color w:val="auto"/>
          <w:kern w:val="0"/>
          <w:sz w:val="24"/>
          <w:szCs w:val="24"/>
          <w:highlight w:val="none"/>
          <w:lang w:val="en-US" w:eastAsia="zh-CN" w:bidi="ar-SA"/>
        </w:rPr>
        <w:t>CMA或</w:t>
      </w:r>
      <w:r>
        <w:rPr>
          <w:rFonts w:hint="eastAsia" w:ascii="宋体" w:hAnsi="宋体" w:cs="宋体"/>
          <w:color w:val="auto"/>
          <w:kern w:val="0"/>
          <w:sz w:val="24"/>
          <w:highlight w:val="none"/>
        </w:rPr>
        <w:t>CNAS认证的第三方检测报告证明）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6、设备储药品种数≥50种。</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7、储药柜为全封闭全避光式并具有全部药品的锁定功能，保证内部药品的安全。</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8、▲设备分包速度≥2秒/包。</w:t>
      </w:r>
      <w:r>
        <w:rPr>
          <w:rFonts w:hint="eastAsia" w:ascii="宋体" w:hAnsi="宋体" w:eastAsia="宋体" w:cs="宋体"/>
          <w:color w:val="auto"/>
          <w:kern w:val="0"/>
          <w:sz w:val="24"/>
          <w:szCs w:val="24"/>
          <w:highlight w:val="none"/>
          <w:lang w:val="en-US" w:eastAsia="zh-CN" w:bidi="ar-SA"/>
        </w:rPr>
        <w:t>（提供具有CMA或CNAS认证的第三方检测报告证明）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9、储药盒可清洗、防潮、防紫外线。药盒上配有药品信息和照片及条码，方便药师加药核对。</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10、药品的落药通道易于清洁，防止长时间使用出现药粉附着造成药品污染的现象，保证药品安全。</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11、配置内置式标签打印机，识别处方信息后，落药并同时打印与处方对应的标签。保证落药的品种与处方信息同步，确保发药的正确。</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12、对接药容器不能有特殊要求。</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13、单台设备占地面积≤0.6平方米，标明相应尺寸。（提供设备技术说明书证明）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（十一）针剂药品管理柜</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1.设备材质为SPCC钢材。</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2.智能针剂管理柜可与HIS系统实现无缝对接。</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3.设备可实现拆零、针剂、盒装药品等药品的自动发放，提供≥24个存储单元。（提供设备照片及技术说明书证明）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4.设备长度≤1.3米，厚度≤0.5米。（提供设备实际尺寸图证明）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5.设备存储方式为抽屉式，发药时无需手工操作，设备会自动弹开对应药品的抽屉，方便药师取药。（提供技术说明书证明）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6.▲设备补药便捷，通过操作终端一键抽屉全开，方便快捷，操作流程全程记录。（提供设备补药功能视频演示证明）</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7.设备可实现库存预警提示功能。</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8.设备提供不少于4000盒/瓶/支等药品的储存药品数量。（以10ml安瓿瓶针剂药品计算）</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9.系统具备库存管理、医嘱取药功能，能实现药品的批号效期管理。</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（十二）追溯码系统</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▲追溯码系统嵌入设备内部，无需外接设备，不占有药房现有场地，设备下方和周围不影响工作人员走动，实现发药机出药同时扫描药品追溯码并上传。</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系统支持识别的码制包括：国家药品/疫苗电子监管码进口药品商品溯源码。</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系统具备全向识别能力，不受药品摆放方向限制。(提供设备技术说明书证明)</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▲支持发药机全品种同时落药功能，单次操作支持≥20盒药追溯码的连续扫描与识别，减少人工干预，提升工作效率。(提供设备技术说明书证明)</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扫描识别速度≥ 500  盒/小时。</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系统具备追溯码数据解析功能，能够自动提取药品信息，并与处方药品信息进行自动匹配和校验。</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系统具备能够自动识别并剔除重复扫码的数据。</w:t>
      </w:r>
    </w:p>
    <w:p>
      <w:pPr>
        <w:pStyle w:val="7"/>
        <w:numPr>
          <w:ilvl w:val="0"/>
          <w:numId w:val="9"/>
        </w:numPr>
        <w:snapToGrid w:val="0"/>
        <w:spacing w:line="360" w:lineRule="auto"/>
        <w:ind w:left="0" w:firstLine="480"/>
        <w:contextualSpacing/>
        <w:rPr>
          <w:rFonts w:hint="eastAsia" w:ascii="宋体" w:hAnsi="宋体" w:cs="宋体"/>
          <w:color w:val="auto"/>
          <w:kern w:val="0"/>
          <w:sz w:val="24"/>
          <w:highlight w:val="none"/>
        </w:rPr>
      </w:pPr>
      <w:r>
        <w:rPr>
          <w:rFonts w:hint="eastAsia" w:ascii="宋体" w:hAnsi="宋体" w:cs="宋体"/>
          <w:color w:val="auto"/>
          <w:kern w:val="0"/>
          <w:sz w:val="24"/>
          <w:highlight w:val="none"/>
        </w:rPr>
        <w:t>支持多组模块同时使用。</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（十三）报道机</w:t>
      </w:r>
    </w:p>
    <w:p>
      <w:pPr>
        <w:pStyle w:val="7"/>
        <w:numPr>
          <w:ilvl w:val="0"/>
          <w:numId w:val="10"/>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与HIS系统无缝链接</w:t>
      </w:r>
    </w:p>
    <w:p>
      <w:pPr>
        <w:pStyle w:val="7"/>
        <w:numPr>
          <w:ilvl w:val="0"/>
          <w:numId w:val="10"/>
        </w:numPr>
        <w:snapToGrid w:val="0"/>
        <w:spacing w:line="360" w:lineRule="auto"/>
        <w:ind w:left="0" w:firstLine="480"/>
        <w:rPr>
          <w:rFonts w:hint="eastAsia" w:ascii="宋体" w:hAnsi="宋体" w:cs="宋体"/>
          <w:color w:val="auto"/>
          <w:kern w:val="0"/>
          <w:sz w:val="24"/>
          <w:highlight w:val="none"/>
        </w:rPr>
      </w:pPr>
      <w:r>
        <w:rPr>
          <w:rFonts w:hint="eastAsia" w:ascii="宋体" w:hAnsi="宋体" w:cs="宋体"/>
          <w:color w:val="auto"/>
          <w:kern w:val="0"/>
          <w:sz w:val="24"/>
          <w:highlight w:val="none"/>
        </w:rPr>
        <w:t>报道机带不少于15寸触摸屏，实现患者支持刷卡，扫码报道取号功能</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（十四）自动化药房管理软件</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  所有软件控制系统使用TCP及DB双重方式与HIS系统进行数据交换具备数据库服务器RAID备份与防病毒系统让数据存储更安全。</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2. 设备具备网络管理功能，多台设备可以协同工作。</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3. 全中文触摸操作系统，支持一维、二维条码及自制条码的识别系统。</w:t>
      </w:r>
    </w:p>
    <w:p>
      <w:pPr>
        <w:snapToGrid w:val="0"/>
        <w:spacing w:line="360" w:lineRule="auto"/>
        <w:ind w:firstLine="480" w:firstLineChars="200"/>
        <w:rPr>
          <w:rFonts w:ascii="宋体" w:hAnsi="宋体" w:cs="宋体"/>
          <w:color w:val="auto"/>
          <w:kern w:val="0"/>
          <w:sz w:val="24"/>
          <w:highlight w:val="none"/>
        </w:rPr>
      </w:pPr>
      <w:r>
        <w:rPr>
          <w:rFonts w:hint="eastAsia" w:ascii="宋体" w:hAnsi="宋体" w:cs="宋体"/>
          <w:color w:val="auto"/>
          <w:kern w:val="0"/>
          <w:sz w:val="24"/>
          <w:highlight w:val="none"/>
        </w:rPr>
        <w:t>4. 无偿定制系统运行功能与HIS系统的无缝连接，实时接收HIS传过来的处方信息，提供随机免费的接口升级服务。</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5. 设备具备对发药，补药过程的监视功能，一旦出现故障，系统自动停止工作，同时报警和提示故障位置，屏蔽故障药槽，不影响其他药槽工作。</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6. 具备手动（自动）药品档案，药品尺寸，药品图片，药槽对应等基本信息的调整功能，保证药品信息的准确与药品存储的合理。</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7. 系统能根据发药量自动调整任一种药品占用药槽数量与位置，合理分配高物动量、低物动量库存。</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8. 具备完善的药品批号、效期管理功能，能实现机内药品查询统计功能，即当前库存查询、当前库存批号查询、一定日期内的发药量、已发药药品信息查询统计。</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9.系统具有专用出药口对近效期药品和近期无发药药品进行自动下架功能。</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10.具备补货智能分析与分配系统，合理分配各发药机补货品种数量功能。</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11.具备通过识别药品条形码、二维码或药品追溯码确认补药品种与数量功能。无条码药品可以通过自制条码或屏幕直接选择药品的方式确认补药品种与数量。</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12.具备药品库存上下限设置功能，当药品库存低于设定下限时，系统会自动提示需要补充的品种和数量。如药品库存大于上限时，系统会自动提示药品卸货品种和数量。具备手动（自动）药品档案，药品尺寸，药品图片，药槽对应等基本信息的调整功能，保证药品信息的准确与药品存储的合理。</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13.▲具备发药窗口智能分配排号系统，可根据窗口开放情况，药品库存，排队情况 分配取药窗口号。</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14. 如网络中断，无法从HIS得到处方信息，可以手动输入处方发药。</w:t>
      </w:r>
    </w:p>
    <w:p>
      <w:pPr>
        <w:snapToGrid w:val="0"/>
        <w:spacing w:line="360" w:lineRule="auto"/>
        <w:ind w:firstLine="480" w:firstLineChars="200"/>
        <w:rPr>
          <w:rFonts w:hint="eastAsia" w:ascii="宋体" w:hAnsi="宋体" w:cs="宋体"/>
          <w:color w:val="auto"/>
          <w:kern w:val="0"/>
          <w:sz w:val="24"/>
          <w:highlight w:val="none"/>
        </w:rPr>
      </w:pPr>
      <w:r>
        <w:rPr>
          <w:rFonts w:hint="eastAsia" w:ascii="宋体" w:hAnsi="宋体" w:cs="宋体"/>
          <w:color w:val="auto"/>
          <w:kern w:val="0"/>
          <w:sz w:val="24"/>
          <w:highlight w:val="none"/>
        </w:rPr>
        <w:t>15. 具有完善的操作日志、设备运行日志记录。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8265D9"/>
    <w:multiLevelType w:val="multilevel"/>
    <w:tmpl w:val="CB8265D9"/>
    <w:lvl w:ilvl="0" w:tentative="0">
      <w:start w:val="1"/>
      <w:numFmt w:val="decimal"/>
      <w:lvlText w:val="%1."/>
      <w:lvlJc w:val="left"/>
      <w:pPr>
        <w:ind w:left="3822" w:hanging="4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
    <w:nsid w:val="D5B14A54"/>
    <w:multiLevelType w:val="multilevel"/>
    <w:tmpl w:val="D5B14A54"/>
    <w:lvl w:ilvl="0" w:tentative="0">
      <w:start w:val="1"/>
      <w:numFmt w:val="decimal"/>
      <w:lvlText w:val="%1."/>
      <w:lvlJc w:val="left"/>
      <w:pPr>
        <w:ind w:left="1984" w:hanging="425"/>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
    <w:nsid w:val="003815F6"/>
    <w:multiLevelType w:val="multilevel"/>
    <w:tmpl w:val="003815F6"/>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0BF72539"/>
    <w:multiLevelType w:val="multilevel"/>
    <w:tmpl w:val="0BF72539"/>
    <w:lvl w:ilvl="0" w:tentative="0">
      <w:start w:val="1"/>
      <w:numFmt w:val="decimal"/>
      <w:lvlText w:val="%1."/>
      <w:lvlJc w:val="left"/>
      <w:pPr>
        <w:ind w:left="420" w:hanging="4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
    <w:nsid w:val="149866F7"/>
    <w:multiLevelType w:val="multilevel"/>
    <w:tmpl w:val="149866F7"/>
    <w:lvl w:ilvl="0" w:tentative="0">
      <w:start w:val="1"/>
      <w:numFmt w:val="decimal"/>
      <w:lvlText w:val="%1."/>
      <w:lvlJc w:val="left"/>
      <w:pPr>
        <w:ind w:left="420" w:hanging="4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
    <w:nsid w:val="35C7B519"/>
    <w:multiLevelType w:val="singleLevel"/>
    <w:tmpl w:val="35C7B519"/>
    <w:lvl w:ilvl="0" w:tentative="0">
      <w:start w:val="1"/>
      <w:numFmt w:val="chineseCounting"/>
      <w:suff w:val="nothing"/>
      <w:lvlText w:val="（%1）"/>
      <w:lvlJc w:val="left"/>
      <w:rPr>
        <w:rFonts w:hint="eastAsia"/>
      </w:rPr>
    </w:lvl>
  </w:abstractNum>
  <w:abstractNum w:abstractNumId="6">
    <w:nsid w:val="43816EF8"/>
    <w:multiLevelType w:val="multilevel"/>
    <w:tmpl w:val="43816EF8"/>
    <w:lvl w:ilvl="0" w:tentative="0">
      <w:start w:val="1"/>
      <w:numFmt w:val="decimal"/>
      <w:lvlText w:val="%1."/>
      <w:lvlJc w:val="left"/>
      <w:pPr>
        <w:ind w:left="420" w:hanging="4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55C07FF5"/>
    <w:multiLevelType w:val="multilevel"/>
    <w:tmpl w:val="55C07FF5"/>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6E3C5840"/>
    <w:multiLevelType w:val="multilevel"/>
    <w:tmpl w:val="6E3C5840"/>
    <w:lvl w:ilvl="0" w:tentative="0">
      <w:start w:val="1"/>
      <w:numFmt w:val="decimal"/>
      <w:lvlText w:val="%1."/>
      <w:lvlJc w:val="left"/>
      <w:pPr>
        <w:ind w:left="420" w:hanging="4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9">
    <w:nsid w:val="7BE43EE7"/>
    <w:multiLevelType w:val="multilevel"/>
    <w:tmpl w:val="7BE43EE7"/>
    <w:lvl w:ilvl="0" w:tentative="0">
      <w:start w:val="1"/>
      <w:numFmt w:val="decimal"/>
      <w:lvlText w:val="%1."/>
      <w:lvlJc w:val="left"/>
      <w:pPr>
        <w:ind w:left="420" w:hanging="4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5"/>
  </w:num>
  <w:num w:numId="2">
    <w:abstractNumId w:val="1"/>
  </w:num>
  <w:num w:numId="3">
    <w:abstractNumId w:val="6"/>
  </w:num>
  <w:num w:numId="4">
    <w:abstractNumId w:val="3"/>
  </w:num>
  <w:num w:numId="5">
    <w:abstractNumId w:val="0"/>
  </w:num>
  <w:num w:numId="6">
    <w:abstractNumId w:val="4"/>
  </w:num>
  <w:num w:numId="7">
    <w:abstractNumId w:val="8"/>
  </w:num>
  <w:num w:numId="8">
    <w:abstractNumId w:val="9"/>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9734A"/>
    <w:rsid w:val="11FD79F3"/>
    <w:rsid w:val="39632A19"/>
    <w:rsid w:val="4DEB281B"/>
    <w:rsid w:val="6E90613C"/>
    <w:rsid w:val="767D19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tabs>
        <w:tab w:val="left" w:pos="720"/>
      </w:tab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99"/>
    <w:pPr>
      <w:spacing w:after="120"/>
    </w:pPr>
  </w:style>
  <w:style w:type="paragraph" w:customStyle="1" w:styleId="6">
    <w:name w:val="null3"/>
    <w:hidden/>
    <w:qFormat/>
    <w:uiPriority w:val="0"/>
    <w:rPr>
      <w:rFonts w:hint="eastAsia" w:asciiTheme="minorHAnsi" w:hAnsiTheme="minorHAnsi" w:eastAsiaTheme="minorEastAsia" w:cstheme="minorBidi"/>
      <w:lang w:val="en-US" w:eastAsia="zh-Hans" w:bidi="ar-SA"/>
    </w:rPr>
  </w:style>
  <w:style w:type="paragraph" w:styleId="7">
    <w:name w:val="List Paragraph"/>
    <w:basedOn w:val="1"/>
    <w:unhideWhenUsed/>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4</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2026-05-27T06:22:00Z</dcterms:created>
  <dc:creator>18355</dc:creator>
  <cp:lastModifiedBy>Admin</cp:lastModifiedBy>
  <dcterms:modified xsi:type="dcterms:W3CDTF">2026-05-27T09:33:03Z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KSOTemplateDocerSaveRecord">
    <vt:lpwstr>eyJoZGlkIjoiODg0ZmNhZGIxOGFkN2M3NGNlM2JlNzBlNDM2NjUwOGMiLCJ1c2VySWQiOiIxNzE4NTM5NjU1In0=</vt:lpwstr>
  </property>
  <property fmtid="{D5CDD505-2E9C-101B-9397-08002B2CF9AE}" pid="4" name="ICV">
    <vt:lpwstr>E2B8140E4E8C45AF9AE2177EE77CE4F0</vt:lpwstr>
  </property>
</Properties>
</file>