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83960">
      <w:pPr>
        <w:jc w:val="center"/>
        <w:rPr>
          <w:rFonts w:hint="eastAsia" w:ascii="仿宋" w:hAnsi="仿宋" w:eastAsia="仿宋" w:cs="仿宋"/>
          <w:b/>
          <w:sz w:val="36"/>
        </w:rPr>
      </w:pPr>
      <w:r>
        <w:rPr>
          <w:rFonts w:hint="eastAsia" w:ascii="仿宋" w:hAnsi="仿宋" w:eastAsia="仿宋" w:cs="仿宋"/>
          <w:b/>
          <w:sz w:val="36"/>
        </w:rPr>
        <w:t>医用气体采购项目用户需求书</w:t>
      </w:r>
    </w:p>
    <w:p w14:paraId="7D235520">
      <w:pPr>
        <w:jc w:val="center"/>
        <w:rPr>
          <w:rFonts w:hint="default" w:ascii="仿宋" w:hAnsi="仿宋" w:eastAsia="仿宋" w:cs="仿宋"/>
          <w:b/>
          <w:color w:val="FF0000"/>
          <w:sz w:val="24"/>
          <w:szCs w:val="20"/>
          <w:highlight w:val="yellow"/>
          <w:lang w:val="en-US" w:eastAsia="zh-CN"/>
        </w:rPr>
      </w:pPr>
      <w:r>
        <w:rPr>
          <w:rFonts w:hint="eastAsia" w:ascii="仿宋" w:hAnsi="仿宋" w:eastAsia="仿宋" w:cs="仿宋"/>
          <w:b/>
          <w:color w:val="FF0000"/>
          <w:sz w:val="24"/>
          <w:szCs w:val="20"/>
          <w:highlight w:val="yellow"/>
          <w:lang w:val="en-US" w:eastAsia="zh-CN"/>
        </w:rPr>
        <w:t>（注：此需求为调研阶段需求，最终以招标文件为准）</w:t>
      </w:r>
    </w:p>
    <w:p w14:paraId="189DBF71">
      <w:pPr>
        <w:rPr>
          <w:rFonts w:hint="eastAsia" w:ascii="仿宋" w:hAnsi="仿宋" w:eastAsia="仿宋" w:cs="仿宋"/>
        </w:rPr>
      </w:pPr>
      <w:r>
        <w:rPr>
          <w:rFonts w:hint="eastAsia" w:ascii="仿宋" w:hAnsi="仿宋" w:eastAsia="仿宋" w:cs="仿宋"/>
          <w:b/>
          <w:sz w:val="28"/>
        </w:rPr>
        <w:t>一、项目概况：</w:t>
      </w:r>
      <w:bookmarkStart w:id="4" w:name="_GoBack"/>
      <w:bookmarkEnd w:id="4"/>
    </w:p>
    <w:p w14:paraId="76C601ED">
      <w:pPr>
        <w:ind w:firstLine="420"/>
        <w:rPr>
          <w:rFonts w:hint="eastAsia" w:ascii="仿宋" w:hAnsi="仿宋" w:eastAsia="仿宋" w:cs="仿宋"/>
        </w:rPr>
      </w:pPr>
      <w:r>
        <w:rPr>
          <w:rFonts w:hint="eastAsia" w:ascii="仿宋" w:hAnsi="仿宋" w:eastAsia="仿宋" w:cs="仿宋"/>
        </w:rPr>
        <w:t>1．项目标的及采购限价</w:t>
      </w:r>
    </w:p>
    <w:tbl>
      <w:tblPr>
        <w:tblStyle w:val="5"/>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6"/>
        <w:gridCol w:w="1769"/>
        <w:gridCol w:w="2683"/>
      </w:tblGrid>
      <w:tr w14:paraId="7EFC94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076" w:type="dxa"/>
            <w:tcBorders>
              <w:top w:val="single" w:color="000000" w:sz="4" w:space="0"/>
              <w:left w:val="single" w:color="000000" w:sz="4" w:space="0"/>
              <w:bottom w:val="single" w:color="000000" w:sz="4" w:space="0"/>
              <w:right w:val="single" w:color="000000" w:sz="4" w:space="0"/>
            </w:tcBorders>
          </w:tcPr>
          <w:p w14:paraId="2544E3ED">
            <w:pPr>
              <w:jc w:val="center"/>
              <w:rPr>
                <w:rFonts w:hint="eastAsia" w:ascii="仿宋" w:hAnsi="仿宋" w:eastAsia="仿宋" w:cs="仿宋"/>
              </w:rPr>
            </w:pPr>
            <w:r>
              <w:rPr>
                <w:rFonts w:hint="eastAsia" w:ascii="仿宋" w:hAnsi="仿宋" w:eastAsia="仿宋" w:cs="仿宋"/>
                <w:b/>
              </w:rPr>
              <w:t>标的名称</w:t>
            </w:r>
          </w:p>
        </w:tc>
        <w:tc>
          <w:tcPr>
            <w:tcW w:w="1769" w:type="dxa"/>
            <w:tcBorders>
              <w:top w:val="single" w:color="000000" w:sz="4" w:space="0"/>
              <w:left w:val="nil"/>
              <w:bottom w:val="single" w:color="000000" w:sz="4" w:space="0"/>
              <w:right w:val="single" w:color="000000" w:sz="4" w:space="0"/>
            </w:tcBorders>
          </w:tcPr>
          <w:p w14:paraId="5EE8B444">
            <w:pPr>
              <w:jc w:val="center"/>
              <w:rPr>
                <w:rFonts w:hint="eastAsia" w:ascii="仿宋" w:hAnsi="仿宋" w:eastAsia="仿宋" w:cs="仿宋"/>
              </w:rPr>
            </w:pPr>
            <w:r>
              <w:rPr>
                <w:rFonts w:hint="eastAsia" w:ascii="仿宋" w:hAnsi="仿宋" w:eastAsia="仿宋" w:cs="仿宋"/>
                <w:b/>
              </w:rPr>
              <w:t>期限</w:t>
            </w:r>
          </w:p>
        </w:tc>
        <w:tc>
          <w:tcPr>
            <w:tcW w:w="2683" w:type="dxa"/>
            <w:tcBorders>
              <w:top w:val="single" w:color="000000" w:sz="4" w:space="0"/>
              <w:left w:val="nil"/>
              <w:bottom w:val="single" w:color="000000" w:sz="4" w:space="0"/>
              <w:right w:val="single" w:color="000000" w:sz="4" w:space="0"/>
            </w:tcBorders>
          </w:tcPr>
          <w:p w14:paraId="2058853F">
            <w:pPr>
              <w:jc w:val="center"/>
              <w:rPr>
                <w:rFonts w:hint="eastAsia" w:ascii="仿宋" w:hAnsi="仿宋" w:eastAsia="仿宋" w:cs="仿宋"/>
              </w:rPr>
            </w:pPr>
            <w:r>
              <w:rPr>
                <w:rFonts w:hint="eastAsia" w:ascii="仿宋" w:hAnsi="仿宋" w:eastAsia="仿宋" w:cs="仿宋"/>
                <w:b/>
              </w:rPr>
              <w:t>最高限价(人民币)</w:t>
            </w:r>
          </w:p>
        </w:tc>
      </w:tr>
      <w:tr w14:paraId="5EEB90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2076" w:type="dxa"/>
            <w:tcBorders>
              <w:top w:val="nil"/>
              <w:left w:val="single" w:color="000000" w:sz="4" w:space="0"/>
              <w:bottom w:val="single" w:color="000000" w:sz="4" w:space="0"/>
              <w:right w:val="single" w:color="000000" w:sz="4" w:space="0"/>
            </w:tcBorders>
            <w:vAlign w:val="center"/>
          </w:tcPr>
          <w:p w14:paraId="3AEC4BE2">
            <w:pPr>
              <w:jc w:val="center"/>
              <w:rPr>
                <w:rFonts w:hint="eastAsia" w:ascii="仿宋" w:hAnsi="仿宋" w:eastAsia="仿宋" w:cs="仿宋"/>
              </w:rPr>
            </w:pPr>
            <w:r>
              <w:rPr>
                <w:rFonts w:hint="eastAsia" w:ascii="仿宋" w:hAnsi="仿宋" w:eastAsia="仿宋" w:cs="仿宋"/>
                <w:szCs w:val="21"/>
              </w:rPr>
              <w:t>医用气体</w:t>
            </w:r>
          </w:p>
        </w:tc>
        <w:tc>
          <w:tcPr>
            <w:tcW w:w="1769" w:type="dxa"/>
            <w:tcBorders>
              <w:top w:val="nil"/>
              <w:left w:val="nil"/>
              <w:bottom w:val="single" w:color="000000" w:sz="4" w:space="0"/>
              <w:right w:val="single" w:color="000000" w:sz="4" w:space="0"/>
            </w:tcBorders>
            <w:vAlign w:val="center"/>
          </w:tcPr>
          <w:p w14:paraId="1627E9C2">
            <w:pPr>
              <w:jc w:val="center"/>
              <w:rPr>
                <w:rFonts w:hint="eastAsia" w:ascii="仿宋" w:hAnsi="仿宋" w:eastAsia="仿宋" w:cs="仿宋"/>
              </w:rPr>
            </w:pPr>
            <w:r>
              <w:rPr>
                <w:rFonts w:hint="eastAsia" w:ascii="仿宋" w:hAnsi="仿宋" w:eastAsia="仿宋" w:cs="仿宋"/>
                <w:szCs w:val="21"/>
                <w:lang w:val="en-US" w:eastAsia="zh-CN"/>
              </w:rPr>
              <w:t>3</w:t>
            </w:r>
            <w:r>
              <w:rPr>
                <w:rFonts w:hint="eastAsia" w:ascii="仿宋" w:hAnsi="仿宋" w:eastAsia="仿宋" w:cs="仿宋"/>
                <w:szCs w:val="21"/>
              </w:rPr>
              <w:t>年</w:t>
            </w:r>
          </w:p>
        </w:tc>
        <w:tc>
          <w:tcPr>
            <w:tcW w:w="2683" w:type="dxa"/>
            <w:tcBorders>
              <w:top w:val="nil"/>
              <w:left w:val="nil"/>
              <w:bottom w:val="single" w:color="000000" w:sz="4" w:space="0"/>
              <w:right w:val="single" w:color="000000" w:sz="4" w:space="0"/>
            </w:tcBorders>
            <w:vAlign w:val="center"/>
          </w:tcPr>
          <w:p w14:paraId="143F63FD">
            <w:pPr>
              <w:jc w:val="center"/>
              <w:rPr>
                <w:rFonts w:hint="eastAsia" w:ascii="仿宋" w:hAnsi="仿宋" w:eastAsia="仿宋" w:cs="仿宋"/>
              </w:rPr>
            </w:pPr>
          </w:p>
        </w:tc>
      </w:tr>
    </w:tbl>
    <w:p w14:paraId="0E0D32A0">
      <w:pPr>
        <w:ind w:firstLine="420"/>
        <w:rPr>
          <w:rFonts w:hint="eastAsia" w:ascii="仿宋" w:hAnsi="仿宋" w:eastAsia="仿宋" w:cs="仿宋"/>
        </w:rPr>
      </w:pPr>
      <w:r>
        <w:rPr>
          <w:rFonts w:hint="eastAsia" w:ascii="仿宋" w:hAnsi="仿宋" w:eastAsia="仿宋" w:cs="仿宋"/>
        </w:rPr>
        <w:t>详细技术规范请参阅招标文件中的用户需求书。投标人必须对本项目全部招标内容进行投标报价，如有缺漏，将导致投标无效。如投标报价超出最高限价，将导致投标无效。</w:t>
      </w:r>
    </w:p>
    <w:p w14:paraId="2B5BCF83">
      <w:pPr>
        <w:rPr>
          <w:rFonts w:hint="eastAsia" w:ascii="仿宋" w:hAnsi="仿宋" w:eastAsia="仿宋" w:cs="仿宋"/>
        </w:rPr>
      </w:pPr>
      <w:r>
        <w:rPr>
          <w:rFonts w:hint="eastAsia" w:ascii="仿宋" w:hAnsi="仿宋" w:eastAsia="仿宋" w:cs="仿宋"/>
        </w:rPr>
        <w:t>本项目采购本国服务。</w:t>
      </w:r>
    </w:p>
    <w:p w14:paraId="7C348E95">
      <w:pPr>
        <w:ind w:firstLine="420"/>
        <w:rPr>
          <w:rFonts w:hint="eastAsia" w:ascii="仿宋" w:hAnsi="仿宋" w:eastAsia="仿宋" w:cs="仿宋"/>
        </w:rPr>
      </w:pPr>
      <w:r>
        <w:rPr>
          <w:rFonts w:hint="eastAsia" w:ascii="仿宋" w:hAnsi="仿宋" w:eastAsia="仿宋" w:cs="仿宋"/>
        </w:rPr>
        <w:t>2．服务地点：采购人指定地点。</w:t>
      </w:r>
    </w:p>
    <w:p w14:paraId="4BB3B262">
      <w:pPr>
        <w:ind w:firstLine="420" w:firstLineChars="200"/>
        <w:rPr>
          <w:rFonts w:hint="eastAsia" w:ascii="仿宋" w:hAnsi="仿宋" w:eastAsia="仿宋" w:cs="仿宋"/>
        </w:rPr>
      </w:pPr>
      <w:r>
        <w:rPr>
          <w:rFonts w:hint="eastAsia" w:ascii="仿宋" w:hAnsi="仿宋" w:eastAsia="仿宋" w:cs="仿宋"/>
        </w:rPr>
        <w:t>3. 需要落实的政府采购政策：《政府采购促进中小企业发展管理办法》（财库〔2020〕46号）、《关于政府采购支持监狱企业发展有关问题的通知》（财库【2014】68号）、《关于促进残疾人就业政府采购政策的通知》（财库〔2017〕141号）、《节能产品政府采购实施意见》的通知》（财库［2004］185号）、《关于调整优化节能产品、环境标志产品政府采购执行机制的通知》（财库〔2019〕9号）等。</w:t>
      </w:r>
    </w:p>
    <w:p w14:paraId="47CF4785">
      <w:pPr>
        <w:rPr>
          <w:rFonts w:hint="eastAsia" w:ascii="仿宋" w:hAnsi="仿宋" w:eastAsia="仿宋" w:cs="仿宋"/>
        </w:rPr>
      </w:pPr>
    </w:p>
    <w:p w14:paraId="75F7A50F">
      <w:pPr>
        <w:rPr>
          <w:rFonts w:hint="eastAsia" w:ascii="仿宋" w:hAnsi="仿宋" w:eastAsia="仿宋" w:cs="仿宋"/>
        </w:rPr>
      </w:pPr>
      <w:r>
        <w:rPr>
          <w:rFonts w:hint="eastAsia" w:ascii="仿宋" w:hAnsi="仿宋" w:eastAsia="仿宋" w:cs="仿宋"/>
        </w:rPr>
        <w:t>采购包1（医用气体）：</w:t>
      </w:r>
    </w:p>
    <w:p w14:paraId="3884384C">
      <w:pPr>
        <w:rPr>
          <w:rFonts w:hint="eastAsia" w:ascii="仿宋" w:hAnsi="仿宋" w:eastAsia="仿宋" w:cs="仿宋"/>
        </w:rPr>
      </w:pPr>
      <w:r>
        <w:rPr>
          <w:rFonts w:hint="eastAsia" w:ascii="仿宋" w:hAnsi="仿宋" w:eastAsia="仿宋" w:cs="仿宋"/>
          <w:b/>
          <w:sz w:val="24"/>
        </w:rPr>
        <w:t>1.主要商务要求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8"/>
        <w:gridCol w:w="6638"/>
      </w:tblGrid>
      <w:tr w14:paraId="63180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43707B39">
            <w:pPr>
              <w:rPr>
                <w:rFonts w:hint="eastAsia" w:ascii="仿宋" w:hAnsi="仿宋" w:eastAsia="仿宋" w:cs="仿宋"/>
              </w:rPr>
            </w:pPr>
            <w:r>
              <w:rPr>
                <w:rFonts w:hint="eastAsia" w:ascii="仿宋" w:hAnsi="仿宋" w:eastAsia="仿宋" w:cs="仿宋"/>
              </w:rPr>
              <w:t>标的提供的时间</w:t>
            </w:r>
          </w:p>
        </w:tc>
        <w:tc>
          <w:tcPr>
            <w:tcW w:w="6638" w:type="dxa"/>
            <w:vAlign w:val="center"/>
          </w:tcPr>
          <w:p w14:paraId="4D341BB6">
            <w:pPr>
              <w:rPr>
                <w:rFonts w:hint="eastAsia" w:ascii="仿宋" w:hAnsi="仿宋" w:eastAsia="仿宋" w:cs="仿宋"/>
              </w:rPr>
            </w:pPr>
            <w:r>
              <w:rPr>
                <w:rFonts w:hint="eastAsia" w:ascii="仿宋" w:hAnsi="仿宋" w:eastAsia="仿宋" w:cs="仿宋"/>
              </w:rPr>
              <w:t>自签订合同后</w:t>
            </w:r>
            <w:r>
              <w:rPr>
                <w:rFonts w:hint="eastAsia" w:ascii="仿宋" w:hAnsi="仿宋" w:eastAsia="仿宋" w:cs="仿宋"/>
                <w:lang w:val="en-US" w:eastAsia="zh-CN"/>
              </w:rPr>
              <w:t>三</w:t>
            </w:r>
            <w:r>
              <w:rPr>
                <w:rFonts w:hint="eastAsia" w:ascii="仿宋" w:hAnsi="仿宋" w:eastAsia="仿宋" w:cs="仿宋"/>
              </w:rPr>
              <w:t>年。</w:t>
            </w:r>
          </w:p>
        </w:tc>
      </w:tr>
      <w:tr w14:paraId="45B14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2B9557E1">
            <w:pPr>
              <w:rPr>
                <w:rFonts w:hint="eastAsia" w:ascii="仿宋" w:hAnsi="仿宋" w:eastAsia="仿宋" w:cs="仿宋"/>
              </w:rPr>
            </w:pPr>
            <w:r>
              <w:rPr>
                <w:rFonts w:hint="eastAsia" w:ascii="仿宋" w:hAnsi="仿宋" w:eastAsia="仿宋" w:cs="仿宋"/>
              </w:rPr>
              <w:t>标的提供的地点</w:t>
            </w:r>
          </w:p>
        </w:tc>
        <w:tc>
          <w:tcPr>
            <w:tcW w:w="6638" w:type="dxa"/>
            <w:vAlign w:val="center"/>
          </w:tcPr>
          <w:p w14:paraId="1B592370">
            <w:pPr>
              <w:rPr>
                <w:rFonts w:hint="eastAsia" w:ascii="仿宋" w:hAnsi="仿宋" w:eastAsia="仿宋" w:cs="仿宋"/>
              </w:rPr>
            </w:pPr>
            <w:r>
              <w:rPr>
                <w:rFonts w:hint="eastAsia" w:ascii="仿宋" w:hAnsi="仿宋" w:eastAsia="仿宋" w:cs="仿宋"/>
              </w:rPr>
              <w:t>采购人指定地点。</w:t>
            </w:r>
          </w:p>
        </w:tc>
      </w:tr>
      <w:tr w14:paraId="68EA9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3D9F5A6B">
            <w:pPr>
              <w:rPr>
                <w:rFonts w:hint="eastAsia" w:ascii="仿宋" w:hAnsi="仿宋" w:eastAsia="仿宋" w:cs="仿宋"/>
              </w:rPr>
            </w:pPr>
            <w:r>
              <w:rPr>
                <w:rFonts w:hint="eastAsia" w:ascii="仿宋" w:hAnsi="仿宋" w:eastAsia="仿宋" w:cs="仿宋"/>
              </w:rPr>
              <w:t>投标有效期</w:t>
            </w:r>
          </w:p>
        </w:tc>
        <w:tc>
          <w:tcPr>
            <w:tcW w:w="6638" w:type="dxa"/>
          </w:tcPr>
          <w:p w14:paraId="255C81C1">
            <w:pPr>
              <w:rPr>
                <w:rFonts w:hint="eastAsia" w:ascii="仿宋" w:hAnsi="仿宋" w:eastAsia="仿宋" w:cs="仿宋"/>
              </w:rPr>
            </w:pPr>
            <w:r>
              <w:rPr>
                <w:rFonts w:hint="eastAsia" w:ascii="仿宋" w:hAnsi="仿宋" w:eastAsia="仿宋" w:cs="仿宋"/>
              </w:rPr>
              <w:t>从提交投标（响应）文件的截止之日起90日历天</w:t>
            </w:r>
          </w:p>
        </w:tc>
      </w:tr>
      <w:tr w14:paraId="2DEB2A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0B830770">
            <w:pPr>
              <w:rPr>
                <w:rFonts w:hint="eastAsia" w:ascii="仿宋" w:hAnsi="仿宋" w:eastAsia="仿宋" w:cs="仿宋"/>
              </w:rPr>
            </w:pPr>
            <w:r>
              <w:rPr>
                <w:rFonts w:hint="eastAsia" w:ascii="仿宋" w:hAnsi="仿宋" w:eastAsia="仿宋" w:cs="仿宋"/>
              </w:rPr>
              <w:t>付款方式</w:t>
            </w:r>
          </w:p>
        </w:tc>
        <w:tc>
          <w:tcPr>
            <w:tcW w:w="6638" w:type="dxa"/>
          </w:tcPr>
          <w:p w14:paraId="3CC10FDB">
            <w:pPr>
              <w:rPr>
                <w:rFonts w:hint="eastAsia" w:ascii="仿宋" w:hAnsi="仿宋" w:eastAsia="仿宋" w:cs="仿宋"/>
              </w:rPr>
            </w:pPr>
            <w:r>
              <w:rPr>
                <w:rFonts w:hint="eastAsia" w:ascii="仿宋" w:hAnsi="仿宋" w:eastAsia="仿宋" w:cs="仿宋"/>
              </w:rPr>
              <w:t>1期：支付比例100%，1.每月的25日为双方财务结算日。乙方应就上一个月内向甲方交付的产品向甲方开具增值税发票。</w:t>
            </w:r>
          </w:p>
          <w:p w14:paraId="558A18ED">
            <w:pPr>
              <w:rPr>
                <w:rFonts w:hint="eastAsia" w:ascii="仿宋" w:hAnsi="仿宋" w:eastAsia="仿宋" w:cs="仿宋"/>
              </w:rPr>
            </w:pPr>
            <w:r>
              <w:rPr>
                <w:rFonts w:hint="eastAsia" w:ascii="仿宋" w:hAnsi="仿宋" w:eastAsia="仿宋" w:cs="仿宋"/>
              </w:rPr>
              <w:t>2.甲方应于结算日后的60天之内向乙方付清5.1之款项，并支付至乙方指定的以下银行账户。</w:t>
            </w:r>
          </w:p>
        </w:tc>
      </w:tr>
      <w:tr w14:paraId="3434C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31BD86F1">
            <w:pPr>
              <w:rPr>
                <w:rFonts w:hint="eastAsia" w:ascii="仿宋" w:hAnsi="仿宋" w:eastAsia="仿宋" w:cs="仿宋"/>
              </w:rPr>
            </w:pPr>
            <w:r>
              <w:rPr>
                <w:rFonts w:hint="eastAsia" w:ascii="仿宋" w:hAnsi="仿宋" w:eastAsia="仿宋" w:cs="仿宋"/>
              </w:rPr>
              <w:t>验收要求</w:t>
            </w:r>
          </w:p>
        </w:tc>
        <w:tc>
          <w:tcPr>
            <w:tcW w:w="6638" w:type="dxa"/>
          </w:tcPr>
          <w:p w14:paraId="4EEEA4CA">
            <w:pPr>
              <w:rPr>
                <w:rFonts w:hint="eastAsia" w:ascii="仿宋" w:hAnsi="仿宋" w:eastAsia="仿宋" w:cs="仿宋"/>
              </w:rPr>
            </w:pPr>
            <w:r>
              <w:rPr>
                <w:rFonts w:hint="eastAsia" w:ascii="仿宋" w:hAnsi="仿宋" w:eastAsia="仿宋" w:cs="仿宋"/>
              </w:rPr>
              <w:t>1期：按采购人要求。</w:t>
            </w:r>
          </w:p>
        </w:tc>
      </w:tr>
      <w:tr w14:paraId="1F2DD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66B7ED43">
            <w:pPr>
              <w:rPr>
                <w:rFonts w:hint="eastAsia" w:ascii="仿宋" w:hAnsi="仿宋" w:eastAsia="仿宋" w:cs="仿宋"/>
              </w:rPr>
            </w:pPr>
            <w:r>
              <w:rPr>
                <w:rFonts w:hint="eastAsia" w:ascii="仿宋" w:hAnsi="仿宋" w:eastAsia="仿宋" w:cs="仿宋"/>
              </w:rPr>
              <w:t>履约保证金</w:t>
            </w:r>
          </w:p>
        </w:tc>
        <w:tc>
          <w:tcPr>
            <w:tcW w:w="6638" w:type="dxa"/>
          </w:tcPr>
          <w:p w14:paraId="391614EF">
            <w:pPr>
              <w:rPr>
                <w:rFonts w:hint="eastAsia" w:ascii="仿宋" w:hAnsi="仿宋" w:eastAsia="仿宋" w:cs="仿宋"/>
              </w:rPr>
            </w:pPr>
            <w:r>
              <w:rPr>
                <w:rFonts w:hint="eastAsia" w:ascii="仿宋" w:hAnsi="仿宋" w:eastAsia="仿宋" w:cs="仿宋"/>
              </w:rPr>
              <w:t>人民</w:t>
            </w:r>
            <w:r>
              <w:rPr>
                <w:rFonts w:hint="eastAsia" w:ascii="仿宋" w:hAnsi="仿宋" w:eastAsia="仿宋" w:cs="仿宋"/>
                <w:highlight w:val="none"/>
                <w:shd w:val="clear"/>
              </w:rPr>
              <w:t>币</w:t>
            </w:r>
            <w:r>
              <w:rPr>
                <w:rFonts w:hint="eastAsia" w:ascii="仿宋" w:hAnsi="仿宋" w:eastAsia="仿宋" w:cs="仿宋"/>
                <w:highlight w:val="none"/>
                <w:shd w:val="clear"/>
                <w:lang w:val="en-US" w:eastAsia="zh-CN"/>
              </w:rPr>
              <w:t xml:space="preserve">         </w:t>
            </w:r>
            <w:r>
              <w:rPr>
                <w:rFonts w:hint="eastAsia" w:ascii="仿宋" w:hAnsi="仿宋" w:eastAsia="仿宋" w:cs="仿宋"/>
                <w:highlight w:val="none"/>
                <w:shd w:val="clear"/>
              </w:rPr>
              <w:t>元整，</w:t>
            </w:r>
            <w:r>
              <w:rPr>
                <w:rFonts w:hint="eastAsia" w:ascii="仿宋" w:hAnsi="仿宋" w:eastAsia="仿宋" w:cs="仿宋"/>
                <w:sz w:val="19"/>
                <w:szCs w:val="19"/>
                <w:highlight w:val="none"/>
                <w:shd w:val="clear"/>
              </w:rPr>
              <w:t>合同签订前，中标人向采购人提供人民币</w:t>
            </w:r>
            <w:r>
              <w:rPr>
                <w:rFonts w:hint="eastAsia" w:ascii="仿宋" w:hAnsi="仿宋" w:eastAsia="仿宋" w:cs="仿宋"/>
                <w:sz w:val="19"/>
                <w:szCs w:val="19"/>
                <w:highlight w:val="none"/>
                <w:shd w:val="clear"/>
                <w:lang w:val="en-US" w:eastAsia="zh-CN"/>
              </w:rPr>
              <w:t xml:space="preserve">     </w:t>
            </w:r>
            <w:r>
              <w:rPr>
                <w:rFonts w:hint="eastAsia" w:ascii="仿宋" w:hAnsi="仿宋" w:eastAsia="仿宋" w:cs="仿宋"/>
                <w:sz w:val="19"/>
                <w:szCs w:val="19"/>
              </w:rPr>
              <w:t>元整的履约保证金，采购人将在合同期满之后不计利息返还给中标人。</w:t>
            </w:r>
          </w:p>
        </w:tc>
      </w:tr>
      <w:tr w14:paraId="36461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8" w:type="dxa"/>
            <w:vAlign w:val="center"/>
          </w:tcPr>
          <w:p w14:paraId="3C866B55">
            <w:pPr>
              <w:rPr>
                <w:rFonts w:hint="eastAsia" w:ascii="仿宋" w:hAnsi="仿宋" w:eastAsia="仿宋" w:cs="仿宋"/>
              </w:rPr>
            </w:pPr>
            <w:r>
              <w:rPr>
                <w:rFonts w:hint="eastAsia" w:ascii="仿宋" w:hAnsi="仿宋" w:eastAsia="仿宋" w:cs="仿宋"/>
              </w:rPr>
              <w:t>其他</w:t>
            </w:r>
          </w:p>
        </w:tc>
        <w:tc>
          <w:tcPr>
            <w:tcW w:w="6638" w:type="dxa"/>
          </w:tcPr>
          <w:p w14:paraId="56103339">
            <w:pPr>
              <w:rPr>
                <w:rFonts w:hint="eastAsia" w:ascii="仿宋" w:hAnsi="仿宋" w:eastAsia="仿宋" w:cs="仿宋"/>
              </w:rPr>
            </w:pPr>
            <w:r>
              <w:rPr>
                <w:rFonts w:hint="eastAsia" w:ascii="仿宋" w:hAnsi="仿宋" w:eastAsia="仿宋" w:cs="仿宋"/>
              </w:rPr>
              <w:t>真实性和有效性:同意采购方以任何形式对我方投标文件内容及采购方认为有 必要的相关资料的真实性和有效性进行审查、验证。</w:t>
            </w:r>
          </w:p>
          <w:p w14:paraId="4689F9EF">
            <w:pPr>
              <w:rPr>
                <w:rFonts w:hint="eastAsia" w:ascii="仿宋" w:hAnsi="仿宋" w:eastAsia="仿宋" w:cs="仿宋"/>
              </w:rPr>
            </w:pPr>
            <w:r>
              <w:rPr>
                <w:rFonts w:hint="eastAsia" w:ascii="仿宋" w:hAnsi="仿宋" w:eastAsia="仿宋" w:cs="仿宋"/>
              </w:rPr>
              <w:t>招标文件附件:投标人应将招标公告的招标文件附件中“补充附件”内容填写好 相关信息后附在投标文件中。</w:t>
            </w:r>
          </w:p>
        </w:tc>
      </w:tr>
    </w:tbl>
    <w:p w14:paraId="7F91A417">
      <w:pPr>
        <w:rPr>
          <w:rFonts w:hint="eastAsia" w:ascii="仿宋" w:hAnsi="仿宋" w:eastAsia="仿宋" w:cs="仿宋"/>
          <w:b/>
          <w:sz w:val="24"/>
        </w:rPr>
      </w:pPr>
    </w:p>
    <w:p w14:paraId="394844CE">
      <w:pPr>
        <w:rPr>
          <w:rFonts w:hint="eastAsia" w:ascii="仿宋" w:hAnsi="仿宋" w:eastAsia="仿宋" w:cs="仿宋"/>
        </w:rPr>
      </w:pPr>
      <w:r>
        <w:rPr>
          <w:rFonts w:hint="eastAsia" w:ascii="仿宋" w:hAnsi="仿宋" w:eastAsia="仿宋" w:cs="仿宋"/>
          <w:b/>
          <w:sz w:val="24"/>
        </w:rPr>
        <w:t>2.技术标准与要求</w:t>
      </w:r>
    </w:p>
    <w:p w14:paraId="4E7E00DC">
      <w:pPr>
        <w:rPr>
          <w:rFonts w:hint="eastAsia" w:ascii="仿宋" w:hAnsi="仿宋" w:eastAsia="仿宋" w:cs="仿宋"/>
        </w:rPr>
      </w:pPr>
      <w:r>
        <w:rPr>
          <w:rFonts w:hint="eastAsia" w:ascii="仿宋" w:hAnsi="仿宋" w:eastAsia="仿宋" w:cs="仿宋"/>
          <w:b/>
          <w:sz w:val="24"/>
        </w:rPr>
        <w:t>附表一：医用气体供应服务</w:t>
      </w:r>
    </w:p>
    <w:tbl>
      <w:tblPr>
        <w:tblStyle w:val="5"/>
        <w:tblW w:w="959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4"/>
        <w:gridCol w:w="383"/>
        <w:gridCol w:w="8498"/>
      </w:tblGrid>
      <w:tr w14:paraId="75B25B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2F3E325">
            <w:pPr>
              <w:rPr>
                <w:rFonts w:hint="eastAsia" w:ascii="仿宋" w:hAnsi="仿宋" w:eastAsia="仿宋" w:cs="仿宋"/>
              </w:rPr>
            </w:pPr>
            <w:r>
              <w:rPr>
                <w:rFonts w:hint="eastAsia" w:ascii="仿宋" w:hAnsi="仿宋" w:eastAsia="仿宋" w:cs="仿宋"/>
              </w:rPr>
              <w:t>参数性质</w:t>
            </w:r>
          </w:p>
        </w:tc>
        <w:tc>
          <w:tcPr>
            <w:tcW w:w="383" w:type="dxa"/>
          </w:tcPr>
          <w:p w14:paraId="715DD981">
            <w:pPr>
              <w:rPr>
                <w:rFonts w:hint="eastAsia" w:ascii="仿宋" w:hAnsi="仿宋" w:eastAsia="仿宋" w:cs="仿宋"/>
              </w:rPr>
            </w:pPr>
            <w:r>
              <w:rPr>
                <w:rFonts w:hint="eastAsia" w:ascii="仿宋" w:hAnsi="仿宋" w:eastAsia="仿宋" w:cs="仿宋"/>
              </w:rPr>
              <w:t>序号</w:t>
            </w:r>
          </w:p>
        </w:tc>
        <w:tc>
          <w:tcPr>
            <w:tcW w:w="8498" w:type="dxa"/>
          </w:tcPr>
          <w:p w14:paraId="386E2C9D">
            <w:pPr>
              <w:rPr>
                <w:rFonts w:hint="eastAsia" w:ascii="仿宋" w:hAnsi="仿宋" w:eastAsia="仿宋" w:cs="仿宋"/>
              </w:rPr>
            </w:pPr>
            <w:r>
              <w:rPr>
                <w:rFonts w:hint="eastAsia" w:ascii="仿宋" w:hAnsi="仿宋" w:eastAsia="仿宋" w:cs="仿宋"/>
              </w:rPr>
              <w:t>具体技术(参数)要求</w:t>
            </w:r>
          </w:p>
        </w:tc>
      </w:tr>
      <w:tr w14:paraId="38BFBC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66E1160">
            <w:pPr>
              <w:rPr>
                <w:rFonts w:hint="eastAsia" w:ascii="仿宋" w:hAnsi="仿宋" w:eastAsia="仿宋" w:cs="仿宋"/>
              </w:rPr>
            </w:pPr>
          </w:p>
        </w:tc>
        <w:tc>
          <w:tcPr>
            <w:tcW w:w="383" w:type="dxa"/>
          </w:tcPr>
          <w:p w14:paraId="579D66B7">
            <w:pPr>
              <w:pStyle w:val="10"/>
              <w:numPr>
                <w:ilvl w:val="0"/>
                <w:numId w:val="1"/>
              </w:numPr>
              <w:ind w:firstLineChars="0"/>
              <w:rPr>
                <w:rFonts w:hint="eastAsia" w:ascii="仿宋" w:hAnsi="仿宋" w:eastAsia="仿宋" w:cs="仿宋"/>
              </w:rPr>
            </w:pPr>
          </w:p>
        </w:tc>
        <w:tc>
          <w:tcPr>
            <w:tcW w:w="8498" w:type="dxa"/>
          </w:tcPr>
          <w:p w14:paraId="4C7A6853">
            <w:pPr>
              <w:tabs>
                <w:tab w:val="left" w:pos="420"/>
              </w:tabs>
              <w:outlineLvl w:val="1"/>
              <w:rPr>
                <w:rFonts w:hint="eastAsia" w:ascii="仿宋" w:hAnsi="仿宋" w:eastAsia="仿宋" w:cs="仿宋"/>
                <w:b/>
                <w:bCs/>
                <w:sz w:val="19"/>
                <w:szCs w:val="19"/>
              </w:rPr>
            </w:pPr>
            <w:bookmarkStart w:id="0" w:name="_Toc163481896"/>
            <w:bookmarkStart w:id="1" w:name="_Toc325967941"/>
            <w:bookmarkStart w:id="2" w:name="_Toc395612791"/>
            <w:r>
              <w:rPr>
                <w:rFonts w:hint="eastAsia" w:ascii="仿宋" w:hAnsi="仿宋" w:eastAsia="仿宋" w:cs="仿宋"/>
                <w:b/>
                <w:bCs/>
                <w:sz w:val="19"/>
                <w:szCs w:val="19"/>
              </w:rPr>
              <w:t>（一）、</w:t>
            </w:r>
            <w:bookmarkEnd w:id="0"/>
            <w:r>
              <w:rPr>
                <w:rFonts w:hint="eastAsia" w:ascii="仿宋" w:hAnsi="仿宋" w:eastAsia="仿宋" w:cs="仿宋"/>
                <w:b/>
                <w:bCs/>
                <w:sz w:val="19"/>
                <w:szCs w:val="19"/>
              </w:rPr>
              <w:t>项目概述</w:t>
            </w:r>
            <w:bookmarkEnd w:id="1"/>
            <w:bookmarkEnd w:id="2"/>
          </w:p>
          <w:p w14:paraId="0F011CEF">
            <w:pPr>
              <w:tabs>
                <w:tab w:val="left" w:pos="0"/>
                <w:tab w:val="left" w:pos="7920"/>
              </w:tabs>
              <w:rPr>
                <w:rFonts w:hint="eastAsia" w:ascii="仿宋" w:hAnsi="仿宋" w:eastAsia="仿宋" w:cs="仿宋"/>
              </w:rPr>
            </w:pPr>
            <w:r>
              <w:rPr>
                <w:rFonts w:hint="eastAsia" w:ascii="仿宋" w:hAnsi="仿宋" w:eastAsia="仿宋" w:cs="仿宋"/>
                <w:sz w:val="19"/>
                <w:szCs w:val="19"/>
              </w:rPr>
              <w:t>本项目年约使用量如下表（以实际需用量供给），供应期限为</w:t>
            </w:r>
            <w:r>
              <w:rPr>
                <w:rFonts w:hint="eastAsia" w:ascii="仿宋" w:hAnsi="仿宋" w:eastAsia="仿宋" w:cs="仿宋"/>
                <w:sz w:val="19"/>
                <w:szCs w:val="19"/>
                <w:lang w:val="en-US" w:eastAsia="zh-CN"/>
              </w:rPr>
              <w:t>叁</w:t>
            </w:r>
            <w:r>
              <w:rPr>
                <w:rFonts w:hint="eastAsia" w:ascii="仿宋" w:hAnsi="仿宋" w:eastAsia="仿宋" w:cs="仿宋"/>
                <w:sz w:val="19"/>
                <w:szCs w:val="19"/>
              </w:rPr>
              <w:t>年。</w:t>
            </w:r>
          </w:p>
        </w:tc>
      </w:tr>
      <w:tr w14:paraId="40B7C8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2E9E9757">
            <w:pPr>
              <w:rPr>
                <w:rFonts w:hint="eastAsia" w:ascii="仿宋" w:hAnsi="仿宋" w:eastAsia="仿宋" w:cs="仿宋"/>
              </w:rPr>
            </w:pPr>
          </w:p>
        </w:tc>
        <w:tc>
          <w:tcPr>
            <w:tcW w:w="383" w:type="dxa"/>
          </w:tcPr>
          <w:p w14:paraId="1520C32B">
            <w:pPr>
              <w:pStyle w:val="10"/>
              <w:numPr>
                <w:ilvl w:val="0"/>
                <w:numId w:val="1"/>
              </w:numPr>
              <w:ind w:firstLineChars="0"/>
              <w:rPr>
                <w:rFonts w:hint="eastAsia" w:ascii="仿宋" w:hAnsi="仿宋" w:eastAsia="仿宋" w:cs="仿宋"/>
              </w:rPr>
            </w:pPr>
          </w:p>
        </w:tc>
        <w:tc>
          <w:tcPr>
            <w:tcW w:w="8498" w:type="dxa"/>
          </w:tcPr>
          <w:p w14:paraId="24EC04F1">
            <w:pPr>
              <w:rPr>
                <w:rFonts w:hint="eastAsia" w:ascii="仿宋" w:hAnsi="仿宋" w:eastAsia="仿宋" w:cs="仿宋"/>
                <w:b/>
                <w:sz w:val="19"/>
                <w:szCs w:val="19"/>
              </w:rPr>
            </w:pPr>
            <w:r>
              <w:rPr>
                <w:rFonts w:hint="eastAsia" w:ascii="仿宋" w:hAnsi="仿宋" w:eastAsia="仿宋" w:cs="仿宋"/>
                <w:b/>
                <w:sz w:val="19"/>
                <w:szCs w:val="19"/>
              </w:rPr>
              <w:t>（1）医用氧供应清单</w:t>
            </w:r>
          </w:p>
          <w:tbl>
            <w:tblPr>
              <w:tblStyle w:val="5"/>
              <w:tblW w:w="43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75"/>
              <w:gridCol w:w="755"/>
              <w:gridCol w:w="1313"/>
              <w:gridCol w:w="534"/>
              <w:gridCol w:w="1541"/>
              <w:gridCol w:w="1308"/>
            </w:tblGrid>
            <w:tr w14:paraId="36EE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67" w:type="pct"/>
                  <w:noWrap/>
                  <w:vAlign w:val="center"/>
                </w:tcPr>
                <w:p w14:paraId="0D864D7F">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序号</w:t>
                  </w:r>
                </w:p>
              </w:tc>
              <w:tc>
                <w:tcPr>
                  <w:tcW w:w="878" w:type="pct"/>
                  <w:noWrap/>
                  <w:vAlign w:val="center"/>
                </w:tcPr>
                <w:p w14:paraId="7457C099">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产品名称</w:t>
                  </w:r>
                </w:p>
              </w:tc>
              <w:tc>
                <w:tcPr>
                  <w:tcW w:w="519" w:type="pct"/>
                  <w:noWrap/>
                  <w:vAlign w:val="center"/>
                </w:tcPr>
                <w:p w14:paraId="6584A803">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纯度</w:t>
                  </w:r>
                </w:p>
              </w:tc>
              <w:tc>
                <w:tcPr>
                  <w:tcW w:w="904" w:type="pct"/>
                  <w:noWrap/>
                  <w:vAlign w:val="center"/>
                </w:tcPr>
                <w:p w14:paraId="2D2E73CD">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规格</w:t>
                  </w:r>
                </w:p>
              </w:tc>
              <w:tc>
                <w:tcPr>
                  <w:tcW w:w="367" w:type="pct"/>
                  <w:noWrap/>
                  <w:vAlign w:val="center"/>
                </w:tcPr>
                <w:p w14:paraId="6A1D4AD9">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单位</w:t>
                  </w:r>
                </w:p>
              </w:tc>
              <w:tc>
                <w:tcPr>
                  <w:tcW w:w="1061" w:type="pct"/>
                  <w:noWrap/>
                  <w:vAlign w:val="center"/>
                </w:tcPr>
                <w:p w14:paraId="00CD5CB3">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年约使用量（1年）</w:t>
                  </w:r>
                </w:p>
              </w:tc>
              <w:tc>
                <w:tcPr>
                  <w:tcW w:w="900" w:type="pct"/>
                  <w:noWrap/>
                  <w:vAlign w:val="center"/>
                </w:tcPr>
                <w:p w14:paraId="6169E7C9">
                  <w:pPr>
                    <w:widowControl/>
                    <w:jc w:val="center"/>
                    <w:rPr>
                      <w:rFonts w:hint="eastAsia" w:ascii="仿宋" w:hAnsi="仿宋" w:eastAsia="仿宋" w:cs="仿宋"/>
                      <w:b/>
                      <w:bCs/>
                      <w:kern w:val="0"/>
                      <w:sz w:val="19"/>
                      <w:szCs w:val="19"/>
                    </w:rPr>
                  </w:pPr>
                  <w:r>
                    <w:rPr>
                      <w:rFonts w:hint="eastAsia" w:ascii="仿宋" w:hAnsi="仿宋" w:eastAsia="仿宋" w:cs="仿宋"/>
                      <w:b/>
                      <w:sz w:val="19"/>
                      <w:szCs w:val="19"/>
                    </w:rPr>
                    <w:t>★</w:t>
                  </w:r>
                  <w:r>
                    <w:rPr>
                      <w:rFonts w:hint="eastAsia" w:ascii="仿宋" w:hAnsi="仿宋" w:eastAsia="仿宋" w:cs="仿宋"/>
                      <w:b/>
                      <w:bCs/>
                      <w:kern w:val="0"/>
                      <w:sz w:val="19"/>
                      <w:szCs w:val="19"/>
                    </w:rPr>
                    <w:t>单价限价（元/瓶、元/公斤）</w:t>
                  </w:r>
                </w:p>
              </w:tc>
            </w:tr>
            <w:tr w14:paraId="6EFE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367" w:type="pct"/>
                  <w:noWrap/>
                  <w:vAlign w:val="center"/>
                </w:tcPr>
                <w:p w14:paraId="63F7164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w:t>
                  </w:r>
                </w:p>
              </w:tc>
              <w:tc>
                <w:tcPr>
                  <w:tcW w:w="878" w:type="pct"/>
                  <w:noWrap/>
                  <w:vAlign w:val="center"/>
                </w:tcPr>
                <w:p w14:paraId="191DBF5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医用氧（气态）</w:t>
                  </w:r>
                </w:p>
              </w:tc>
              <w:tc>
                <w:tcPr>
                  <w:tcW w:w="519" w:type="pct"/>
                  <w:noWrap/>
                  <w:vAlign w:val="center"/>
                </w:tcPr>
                <w:p w14:paraId="25422C85">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≥99.5%</w:t>
                  </w:r>
                </w:p>
              </w:tc>
              <w:tc>
                <w:tcPr>
                  <w:tcW w:w="904" w:type="pct"/>
                  <w:noWrap/>
                  <w:vAlign w:val="center"/>
                </w:tcPr>
                <w:p w14:paraId="76B2C1D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2L—15L</w:t>
                  </w:r>
                </w:p>
              </w:tc>
              <w:tc>
                <w:tcPr>
                  <w:tcW w:w="367" w:type="pct"/>
                  <w:noWrap/>
                  <w:vAlign w:val="center"/>
                </w:tcPr>
                <w:p w14:paraId="42C2E83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061" w:type="pct"/>
                  <w:shd w:val="clear" w:color="auto" w:fill="auto"/>
                  <w:noWrap/>
                  <w:vAlign w:val="center"/>
                </w:tcPr>
                <w:p w14:paraId="4A5345BF">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252</w:t>
                  </w:r>
                </w:p>
              </w:tc>
              <w:tc>
                <w:tcPr>
                  <w:tcW w:w="900" w:type="pct"/>
                  <w:shd w:val="clear" w:color="auto" w:fill="auto"/>
                  <w:noWrap/>
                  <w:vAlign w:val="center"/>
                </w:tcPr>
                <w:p w14:paraId="77A779F7">
                  <w:pPr>
                    <w:widowControl/>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26元/瓶</w:t>
                  </w:r>
                </w:p>
              </w:tc>
            </w:tr>
            <w:tr w14:paraId="585E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67" w:type="pct"/>
                  <w:noWrap/>
                  <w:vAlign w:val="center"/>
                </w:tcPr>
                <w:p w14:paraId="4303243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w:t>
                  </w:r>
                </w:p>
              </w:tc>
              <w:tc>
                <w:tcPr>
                  <w:tcW w:w="878" w:type="pct"/>
                  <w:noWrap/>
                  <w:vAlign w:val="center"/>
                </w:tcPr>
                <w:p w14:paraId="6A9122A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医用氧（气态）</w:t>
                  </w:r>
                </w:p>
              </w:tc>
              <w:tc>
                <w:tcPr>
                  <w:tcW w:w="519" w:type="pct"/>
                  <w:noWrap/>
                  <w:vAlign w:val="center"/>
                </w:tcPr>
                <w:p w14:paraId="5CEC38B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≥99.5%</w:t>
                  </w:r>
                </w:p>
              </w:tc>
              <w:tc>
                <w:tcPr>
                  <w:tcW w:w="904" w:type="pct"/>
                  <w:noWrap/>
                  <w:vAlign w:val="center"/>
                </w:tcPr>
                <w:p w14:paraId="6D498818">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20L-40L</w:t>
                  </w:r>
                </w:p>
              </w:tc>
              <w:tc>
                <w:tcPr>
                  <w:tcW w:w="367" w:type="pct"/>
                  <w:noWrap/>
                  <w:vAlign w:val="center"/>
                </w:tcPr>
                <w:p w14:paraId="38F6EDF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061" w:type="pct"/>
                  <w:shd w:val="clear" w:color="auto" w:fill="auto"/>
                  <w:noWrap/>
                  <w:vAlign w:val="center"/>
                </w:tcPr>
                <w:p w14:paraId="7413F04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1223</w:t>
                  </w:r>
                </w:p>
              </w:tc>
              <w:tc>
                <w:tcPr>
                  <w:tcW w:w="900" w:type="pct"/>
                  <w:shd w:val="clear" w:color="auto" w:fill="auto"/>
                  <w:noWrap/>
                  <w:vAlign w:val="center"/>
                </w:tcPr>
                <w:p w14:paraId="3BF59B93">
                  <w:pPr>
                    <w:widowControl/>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30元/瓶</w:t>
                  </w:r>
                </w:p>
              </w:tc>
            </w:tr>
            <w:tr w14:paraId="07BC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67" w:type="pct"/>
                  <w:noWrap/>
                  <w:vAlign w:val="center"/>
                </w:tcPr>
                <w:p w14:paraId="30848B2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w:t>
                  </w:r>
                </w:p>
              </w:tc>
              <w:tc>
                <w:tcPr>
                  <w:tcW w:w="878" w:type="pct"/>
                  <w:noWrap/>
                  <w:vAlign w:val="center"/>
                </w:tcPr>
                <w:p w14:paraId="67DB82A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医用氧（液态）</w:t>
                  </w:r>
                </w:p>
              </w:tc>
              <w:tc>
                <w:tcPr>
                  <w:tcW w:w="519" w:type="pct"/>
                  <w:noWrap/>
                  <w:vAlign w:val="center"/>
                </w:tcPr>
                <w:p w14:paraId="6B311E6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≥99.5%</w:t>
                  </w:r>
                </w:p>
              </w:tc>
              <w:tc>
                <w:tcPr>
                  <w:tcW w:w="904" w:type="pct"/>
                  <w:noWrap/>
                  <w:vAlign w:val="center"/>
                </w:tcPr>
                <w:p w14:paraId="56695E44">
                  <w:pPr>
                    <w:widowControl/>
                    <w:rPr>
                      <w:rFonts w:hint="eastAsia" w:ascii="仿宋" w:hAnsi="仿宋" w:eastAsia="仿宋" w:cs="仿宋"/>
                      <w:kern w:val="0"/>
                      <w:sz w:val="19"/>
                      <w:szCs w:val="19"/>
                    </w:rPr>
                  </w:pPr>
                  <w:r>
                    <w:rPr>
                      <w:rFonts w:hint="eastAsia" w:ascii="仿宋" w:hAnsi="仿宋" w:eastAsia="仿宋" w:cs="仿宋"/>
                      <w:kern w:val="0"/>
                      <w:sz w:val="19"/>
                      <w:szCs w:val="19"/>
                    </w:rPr>
                    <w:t>185公斤/杜瓦罐</w:t>
                  </w:r>
                </w:p>
              </w:tc>
              <w:tc>
                <w:tcPr>
                  <w:tcW w:w="367" w:type="pct"/>
                  <w:noWrap/>
                  <w:vAlign w:val="center"/>
                </w:tcPr>
                <w:p w14:paraId="23523DBB">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公斤</w:t>
                  </w:r>
                </w:p>
              </w:tc>
              <w:tc>
                <w:tcPr>
                  <w:tcW w:w="1061" w:type="pct"/>
                  <w:shd w:val="clear" w:color="auto" w:fill="auto"/>
                  <w:noWrap/>
                  <w:vAlign w:val="center"/>
                </w:tcPr>
                <w:p w14:paraId="2516FF69">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6845</w:t>
                  </w:r>
                </w:p>
              </w:tc>
              <w:tc>
                <w:tcPr>
                  <w:tcW w:w="900" w:type="pct"/>
                  <w:shd w:val="clear" w:color="auto" w:fill="auto"/>
                  <w:noWrap/>
                  <w:vAlign w:val="center"/>
                </w:tcPr>
                <w:p w14:paraId="7E5115C4">
                  <w:pPr>
                    <w:widowControl/>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1.85元/公斤</w:t>
                  </w:r>
                </w:p>
              </w:tc>
            </w:tr>
            <w:tr w14:paraId="0B6A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7" w:type="pct"/>
                  <w:noWrap/>
                  <w:vAlign w:val="center"/>
                </w:tcPr>
                <w:p w14:paraId="7569EE1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5</w:t>
                  </w:r>
                </w:p>
              </w:tc>
              <w:tc>
                <w:tcPr>
                  <w:tcW w:w="878" w:type="pct"/>
                  <w:noWrap/>
                  <w:vAlign w:val="center"/>
                </w:tcPr>
                <w:p w14:paraId="7BE0F938">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医用氧（液态）</w:t>
                  </w:r>
                </w:p>
              </w:tc>
              <w:tc>
                <w:tcPr>
                  <w:tcW w:w="519" w:type="pct"/>
                  <w:noWrap/>
                  <w:vAlign w:val="center"/>
                </w:tcPr>
                <w:p w14:paraId="00C5D12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≥99.5%</w:t>
                  </w:r>
                </w:p>
              </w:tc>
              <w:tc>
                <w:tcPr>
                  <w:tcW w:w="904" w:type="pct"/>
                  <w:noWrap/>
                  <w:vAlign w:val="center"/>
                </w:tcPr>
                <w:p w14:paraId="3FF5B01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槽车灌氧</w:t>
                  </w:r>
                </w:p>
              </w:tc>
              <w:tc>
                <w:tcPr>
                  <w:tcW w:w="367" w:type="pct"/>
                  <w:noWrap/>
                  <w:vAlign w:val="center"/>
                </w:tcPr>
                <w:p w14:paraId="4F7143E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公斤</w:t>
                  </w:r>
                </w:p>
              </w:tc>
              <w:tc>
                <w:tcPr>
                  <w:tcW w:w="1061" w:type="pct"/>
                  <w:shd w:val="clear" w:color="auto" w:fill="auto"/>
                  <w:noWrap/>
                  <w:vAlign w:val="center"/>
                </w:tcPr>
                <w:p w14:paraId="474739FB">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1410000</w:t>
                  </w:r>
                </w:p>
              </w:tc>
              <w:tc>
                <w:tcPr>
                  <w:tcW w:w="900" w:type="pct"/>
                  <w:shd w:val="clear" w:color="auto" w:fill="auto"/>
                  <w:noWrap/>
                  <w:vAlign w:val="center"/>
                </w:tcPr>
                <w:p w14:paraId="12882116">
                  <w:pPr>
                    <w:widowControl/>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1.16元/公斤</w:t>
                  </w:r>
                </w:p>
              </w:tc>
            </w:tr>
            <w:tr w14:paraId="573B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037" w:type="pct"/>
                  <w:gridSpan w:val="5"/>
                  <w:noWrap/>
                  <w:vAlign w:val="center"/>
                </w:tcPr>
                <w:p w14:paraId="7D91278B">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★医用氧(液态与气态）最高限价=以上所有货物×</w:t>
                  </w:r>
                  <w:r>
                    <w:rPr>
                      <w:rFonts w:hint="eastAsia" w:ascii="仿宋" w:hAnsi="仿宋" w:eastAsia="仿宋" w:cs="仿宋"/>
                      <w:kern w:val="0"/>
                      <w:sz w:val="19"/>
                      <w:szCs w:val="19"/>
                      <w:lang w:val="en-US" w:eastAsia="zh-CN"/>
                    </w:rPr>
                    <w:t>叁</w:t>
                  </w:r>
                  <w:r>
                    <w:rPr>
                      <w:rFonts w:hint="eastAsia" w:ascii="仿宋" w:hAnsi="仿宋" w:eastAsia="仿宋" w:cs="仿宋"/>
                      <w:kern w:val="0"/>
                      <w:sz w:val="19"/>
                      <w:szCs w:val="19"/>
                    </w:rPr>
                    <w:t>年</w:t>
                  </w:r>
                </w:p>
              </w:tc>
              <w:tc>
                <w:tcPr>
                  <w:tcW w:w="1962" w:type="pct"/>
                  <w:gridSpan w:val="2"/>
                  <w:noWrap/>
                  <w:vAlign w:val="center"/>
                </w:tcPr>
                <w:p w14:paraId="44A70A1D">
                  <w:pPr>
                    <w:widowControl/>
                    <w:jc w:val="center"/>
                    <w:rPr>
                      <w:rFonts w:hint="eastAsia" w:ascii="仿宋" w:hAnsi="仿宋" w:eastAsia="仿宋" w:cs="仿宋"/>
                      <w:kern w:val="0"/>
                      <w:sz w:val="19"/>
                      <w:szCs w:val="19"/>
                    </w:rPr>
                  </w:pPr>
                </w:p>
              </w:tc>
            </w:tr>
          </w:tbl>
          <w:p w14:paraId="6522F055">
            <w:pPr>
              <w:rPr>
                <w:rFonts w:hint="eastAsia" w:ascii="仿宋" w:hAnsi="仿宋" w:eastAsia="仿宋" w:cs="仿宋"/>
              </w:rPr>
            </w:pPr>
          </w:p>
        </w:tc>
      </w:tr>
      <w:tr w14:paraId="4EE532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59BBBD1">
            <w:pPr>
              <w:rPr>
                <w:rFonts w:hint="eastAsia" w:ascii="仿宋" w:hAnsi="仿宋" w:eastAsia="仿宋" w:cs="仿宋"/>
              </w:rPr>
            </w:pPr>
          </w:p>
        </w:tc>
        <w:tc>
          <w:tcPr>
            <w:tcW w:w="383" w:type="dxa"/>
          </w:tcPr>
          <w:p w14:paraId="228128A1">
            <w:pPr>
              <w:pStyle w:val="10"/>
              <w:numPr>
                <w:ilvl w:val="0"/>
                <w:numId w:val="1"/>
              </w:numPr>
              <w:ind w:firstLineChars="0"/>
              <w:rPr>
                <w:rFonts w:hint="eastAsia" w:ascii="仿宋" w:hAnsi="仿宋" w:eastAsia="仿宋" w:cs="仿宋"/>
              </w:rPr>
            </w:pPr>
          </w:p>
        </w:tc>
        <w:tc>
          <w:tcPr>
            <w:tcW w:w="8498" w:type="dxa"/>
          </w:tcPr>
          <w:p w14:paraId="13FBB501">
            <w:pPr>
              <w:rPr>
                <w:rFonts w:hint="eastAsia" w:ascii="仿宋" w:hAnsi="仿宋" w:eastAsia="仿宋" w:cs="仿宋"/>
                <w:b/>
                <w:sz w:val="19"/>
                <w:szCs w:val="19"/>
              </w:rPr>
            </w:pPr>
            <w:r>
              <w:rPr>
                <w:rFonts w:hint="eastAsia" w:ascii="仿宋" w:hAnsi="仿宋" w:eastAsia="仿宋" w:cs="仿宋"/>
                <w:b/>
                <w:sz w:val="19"/>
                <w:szCs w:val="19"/>
              </w:rPr>
              <w:t>（2）特殊气体供应清单</w:t>
            </w:r>
          </w:p>
          <w:p w14:paraId="63AC1BD8">
            <w:pPr>
              <w:rPr>
                <w:rFonts w:hint="eastAsia" w:ascii="仿宋" w:hAnsi="仿宋" w:eastAsia="仿宋" w:cs="仿宋"/>
                <w:b/>
                <w:sz w:val="19"/>
                <w:szCs w:val="19"/>
              </w:rPr>
            </w:pPr>
          </w:p>
          <w:tbl>
            <w:tblPr>
              <w:tblStyle w:val="5"/>
              <w:tblW w:w="8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411"/>
              <w:gridCol w:w="1417"/>
              <w:gridCol w:w="1276"/>
              <w:gridCol w:w="778"/>
              <w:gridCol w:w="1112"/>
              <w:gridCol w:w="1709"/>
            </w:tblGrid>
            <w:tr w14:paraId="796E6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675" w:type="dxa"/>
                  <w:tcBorders>
                    <w:top w:val="single" w:color="auto" w:sz="4" w:space="0"/>
                    <w:bottom w:val="single" w:color="auto" w:sz="4" w:space="0"/>
                    <w:right w:val="single" w:color="auto" w:sz="4" w:space="0"/>
                  </w:tcBorders>
                  <w:noWrap/>
                  <w:vAlign w:val="center"/>
                </w:tcPr>
                <w:p w14:paraId="3B13CA8A">
                  <w:pPr>
                    <w:widowControl/>
                    <w:jc w:val="center"/>
                    <w:rPr>
                      <w:rFonts w:hint="eastAsia" w:ascii="仿宋" w:hAnsi="仿宋" w:eastAsia="仿宋" w:cs="仿宋"/>
                      <w:b/>
                      <w:bCs/>
                      <w:kern w:val="0"/>
                      <w:sz w:val="19"/>
                      <w:szCs w:val="19"/>
                    </w:rPr>
                  </w:pPr>
                  <w:bookmarkStart w:id="3" w:name="_Hlk497993271"/>
                  <w:r>
                    <w:rPr>
                      <w:rFonts w:hint="eastAsia" w:ascii="仿宋" w:hAnsi="仿宋" w:eastAsia="仿宋" w:cs="仿宋"/>
                      <w:b/>
                      <w:bCs/>
                      <w:kern w:val="0"/>
                      <w:sz w:val="19"/>
                      <w:szCs w:val="19"/>
                    </w:rPr>
                    <w:t>序号</w:t>
                  </w:r>
                </w:p>
              </w:tc>
              <w:tc>
                <w:tcPr>
                  <w:tcW w:w="1411" w:type="dxa"/>
                  <w:tcBorders>
                    <w:top w:val="single" w:color="auto" w:sz="4" w:space="0"/>
                    <w:left w:val="single" w:color="auto" w:sz="4" w:space="0"/>
                    <w:bottom w:val="single" w:color="auto" w:sz="4" w:space="0"/>
                    <w:right w:val="single" w:color="auto" w:sz="4" w:space="0"/>
                  </w:tcBorders>
                  <w:noWrap/>
                  <w:vAlign w:val="center"/>
                </w:tcPr>
                <w:p w14:paraId="014DD6F2">
                  <w:pPr>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品  名</w:t>
                  </w:r>
                </w:p>
              </w:tc>
              <w:tc>
                <w:tcPr>
                  <w:tcW w:w="1417" w:type="dxa"/>
                  <w:tcBorders>
                    <w:top w:val="single" w:color="auto" w:sz="4" w:space="0"/>
                    <w:left w:val="single" w:color="auto" w:sz="4" w:space="0"/>
                    <w:bottom w:val="single" w:color="auto" w:sz="4" w:space="0"/>
                    <w:right w:val="single" w:color="auto" w:sz="4" w:space="0"/>
                  </w:tcBorders>
                  <w:noWrap/>
                  <w:vAlign w:val="center"/>
                </w:tcPr>
                <w:p w14:paraId="223BA7FB">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纯度</w:t>
                  </w:r>
                </w:p>
              </w:tc>
              <w:tc>
                <w:tcPr>
                  <w:tcW w:w="1276" w:type="dxa"/>
                  <w:tcBorders>
                    <w:top w:val="single" w:color="auto" w:sz="4" w:space="0"/>
                    <w:left w:val="single" w:color="auto" w:sz="4" w:space="0"/>
                    <w:bottom w:val="single" w:color="auto" w:sz="4" w:space="0"/>
                    <w:right w:val="single" w:color="auto" w:sz="4" w:space="0"/>
                  </w:tcBorders>
                  <w:noWrap/>
                  <w:vAlign w:val="center"/>
                </w:tcPr>
                <w:p w14:paraId="65A80626">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规格</w:t>
                  </w:r>
                </w:p>
              </w:tc>
              <w:tc>
                <w:tcPr>
                  <w:tcW w:w="778" w:type="dxa"/>
                  <w:tcBorders>
                    <w:top w:val="single" w:color="auto" w:sz="4" w:space="0"/>
                    <w:left w:val="single" w:color="auto" w:sz="4" w:space="0"/>
                    <w:bottom w:val="single" w:color="auto" w:sz="4" w:space="0"/>
                    <w:right w:val="single" w:color="auto" w:sz="4" w:space="0"/>
                  </w:tcBorders>
                  <w:noWrap/>
                  <w:vAlign w:val="center"/>
                </w:tcPr>
                <w:p w14:paraId="7A00CD76">
                  <w:pPr>
                    <w:widowControl/>
                    <w:jc w:val="center"/>
                    <w:rPr>
                      <w:rFonts w:hint="eastAsia" w:ascii="仿宋" w:hAnsi="仿宋" w:eastAsia="仿宋" w:cs="仿宋"/>
                      <w:b/>
                      <w:bCs/>
                      <w:kern w:val="0"/>
                      <w:sz w:val="19"/>
                      <w:szCs w:val="19"/>
                    </w:rPr>
                  </w:pPr>
                  <w:r>
                    <w:rPr>
                      <w:rFonts w:hint="eastAsia" w:ascii="仿宋" w:hAnsi="仿宋" w:eastAsia="仿宋" w:cs="仿宋"/>
                      <w:b/>
                      <w:bCs/>
                      <w:kern w:val="0"/>
                      <w:sz w:val="19"/>
                      <w:szCs w:val="19"/>
                    </w:rPr>
                    <w:t>单位</w:t>
                  </w:r>
                </w:p>
              </w:tc>
              <w:tc>
                <w:tcPr>
                  <w:tcW w:w="1112" w:type="dxa"/>
                  <w:tcBorders>
                    <w:top w:val="single" w:color="auto" w:sz="4" w:space="0"/>
                    <w:left w:val="single" w:color="auto" w:sz="4" w:space="0"/>
                    <w:bottom w:val="single" w:color="auto" w:sz="4" w:space="0"/>
                    <w:right w:val="single" w:color="auto" w:sz="4" w:space="0"/>
                  </w:tcBorders>
                  <w:noWrap/>
                  <w:vAlign w:val="center"/>
                </w:tcPr>
                <w:p w14:paraId="0BD70E5F">
                  <w:pPr>
                    <w:widowControl/>
                    <w:jc w:val="center"/>
                    <w:rPr>
                      <w:rFonts w:hint="eastAsia" w:ascii="仿宋" w:hAnsi="仿宋" w:eastAsia="仿宋" w:cs="仿宋"/>
                      <w:b/>
                      <w:bCs/>
                      <w:kern w:val="0"/>
                      <w:sz w:val="19"/>
                      <w:szCs w:val="19"/>
                    </w:rPr>
                  </w:pPr>
                  <w:r>
                    <w:rPr>
                      <w:rFonts w:hint="eastAsia" w:ascii="仿宋" w:hAnsi="仿宋" w:eastAsia="仿宋" w:cs="仿宋"/>
                      <w:b/>
                      <w:bCs/>
                      <w:sz w:val="19"/>
                      <w:szCs w:val="19"/>
                    </w:rPr>
                    <w:t>年约使用量（1年）</w:t>
                  </w:r>
                </w:p>
              </w:tc>
              <w:tc>
                <w:tcPr>
                  <w:tcW w:w="1709" w:type="dxa"/>
                  <w:tcBorders>
                    <w:top w:val="single" w:color="auto" w:sz="4" w:space="0"/>
                    <w:left w:val="single" w:color="auto" w:sz="4" w:space="0"/>
                    <w:bottom w:val="single" w:color="auto" w:sz="4" w:space="0"/>
                    <w:right w:val="single" w:color="auto" w:sz="4" w:space="0"/>
                  </w:tcBorders>
                  <w:noWrap/>
                </w:tcPr>
                <w:p w14:paraId="544F1892">
                  <w:pPr>
                    <w:widowControl/>
                    <w:jc w:val="center"/>
                    <w:rPr>
                      <w:rFonts w:hint="eastAsia" w:ascii="仿宋" w:hAnsi="仿宋" w:eastAsia="仿宋" w:cs="仿宋"/>
                      <w:b/>
                      <w:bCs/>
                      <w:sz w:val="19"/>
                      <w:szCs w:val="19"/>
                    </w:rPr>
                  </w:pPr>
                  <w:r>
                    <w:rPr>
                      <w:rFonts w:hint="eastAsia" w:ascii="仿宋" w:hAnsi="仿宋" w:eastAsia="仿宋" w:cs="仿宋"/>
                      <w:b/>
                      <w:sz w:val="19"/>
                      <w:szCs w:val="19"/>
                    </w:rPr>
                    <w:t>★</w:t>
                  </w:r>
                  <w:r>
                    <w:rPr>
                      <w:rFonts w:hint="eastAsia" w:ascii="仿宋" w:hAnsi="仿宋" w:eastAsia="仿宋" w:cs="仿宋"/>
                      <w:b/>
                      <w:bCs/>
                      <w:kern w:val="0"/>
                      <w:sz w:val="19"/>
                      <w:szCs w:val="19"/>
                    </w:rPr>
                    <w:t>单价限价（元/瓶、元/公斤）</w:t>
                  </w:r>
                </w:p>
              </w:tc>
            </w:tr>
            <w:tr w14:paraId="10E44F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75" w:type="dxa"/>
                  <w:tcBorders>
                    <w:top w:val="single" w:color="auto" w:sz="4" w:space="0"/>
                    <w:bottom w:val="single" w:color="auto" w:sz="4" w:space="0"/>
                    <w:right w:val="single" w:color="auto" w:sz="4" w:space="0"/>
                  </w:tcBorders>
                  <w:noWrap/>
                  <w:vAlign w:val="center"/>
                </w:tcPr>
                <w:p w14:paraId="1C459E68">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w:t>
                  </w:r>
                </w:p>
              </w:tc>
              <w:tc>
                <w:tcPr>
                  <w:tcW w:w="1411" w:type="dxa"/>
                  <w:tcBorders>
                    <w:top w:val="single" w:color="auto" w:sz="4" w:space="0"/>
                    <w:left w:val="single" w:color="auto" w:sz="4" w:space="0"/>
                    <w:bottom w:val="single" w:color="auto" w:sz="4" w:space="0"/>
                    <w:right w:val="single" w:color="auto" w:sz="4" w:space="0"/>
                  </w:tcBorders>
                  <w:noWrap/>
                  <w:vAlign w:val="center"/>
                </w:tcPr>
                <w:p w14:paraId="35DAB3E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食品级二氧化碳</w:t>
                  </w:r>
                </w:p>
              </w:tc>
              <w:tc>
                <w:tcPr>
                  <w:tcW w:w="1417" w:type="dxa"/>
                  <w:tcBorders>
                    <w:top w:val="single" w:color="auto" w:sz="4" w:space="0"/>
                    <w:left w:val="single" w:color="auto" w:sz="4" w:space="0"/>
                    <w:bottom w:val="single" w:color="auto" w:sz="4" w:space="0"/>
                    <w:right w:val="single" w:color="auto" w:sz="4" w:space="0"/>
                  </w:tcBorders>
                  <w:noWrap/>
                  <w:vAlign w:val="center"/>
                </w:tcPr>
                <w:p w14:paraId="223480A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533786E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143FA47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68951A75">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140</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3B24E14E">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180</w:t>
                  </w:r>
                </w:p>
              </w:tc>
            </w:tr>
            <w:tr w14:paraId="22825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21C1CD0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w:t>
                  </w:r>
                </w:p>
              </w:tc>
              <w:tc>
                <w:tcPr>
                  <w:tcW w:w="1411" w:type="dxa"/>
                  <w:tcBorders>
                    <w:top w:val="single" w:color="auto" w:sz="4" w:space="0"/>
                    <w:left w:val="single" w:color="auto" w:sz="4" w:space="0"/>
                    <w:bottom w:val="single" w:color="auto" w:sz="4" w:space="0"/>
                    <w:right w:val="single" w:color="auto" w:sz="4" w:space="0"/>
                  </w:tcBorders>
                  <w:noWrap/>
                  <w:vAlign w:val="center"/>
                </w:tcPr>
                <w:p w14:paraId="22E45466">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食品级二氧化碳</w:t>
                  </w:r>
                </w:p>
              </w:tc>
              <w:tc>
                <w:tcPr>
                  <w:tcW w:w="1417" w:type="dxa"/>
                  <w:tcBorders>
                    <w:top w:val="single" w:color="auto" w:sz="4" w:space="0"/>
                    <w:left w:val="single" w:color="auto" w:sz="4" w:space="0"/>
                    <w:bottom w:val="single" w:color="auto" w:sz="4" w:space="0"/>
                    <w:right w:val="single" w:color="auto" w:sz="4" w:space="0"/>
                  </w:tcBorders>
                  <w:noWrap/>
                  <w:vAlign w:val="center"/>
                </w:tcPr>
                <w:p w14:paraId="2C869D6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4350614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4-10L</w:t>
                  </w:r>
                </w:p>
              </w:tc>
              <w:tc>
                <w:tcPr>
                  <w:tcW w:w="778" w:type="dxa"/>
                  <w:tcBorders>
                    <w:top w:val="single" w:color="auto" w:sz="4" w:space="0"/>
                    <w:left w:val="single" w:color="auto" w:sz="4" w:space="0"/>
                    <w:bottom w:val="single" w:color="auto" w:sz="4" w:space="0"/>
                    <w:right w:val="single" w:color="auto" w:sz="4" w:space="0"/>
                  </w:tcBorders>
                  <w:noWrap/>
                  <w:vAlign w:val="center"/>
                </w:tcPr>
                <w:p w14:paraId="7DB11F8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0F149C53">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24BDDADF">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 xml:space="preserve"> 150</w:t>
                  </w:r>
                </w:p>
              </w:tc>
            </w:tr>
            <w:tr w14:paraId="69F67A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7C877AE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w:t>
                  </w:r>
                </w:p>
              </w:tc>
              <w:tc>
                <w:tcPr>
                  <w:tcW w:w="1411" w:type="dxa"/>
                  <w:tcBorders>
                    <w:top w:val="single" w:color="auto" w:sz="4" w:space="0"/>
                    <w:left w:val="single" w:color="auto" w:sz="4" w:space="0"/>
                    <w:bottom w:val="single" w:color="auto" w:sz="4" w:space="0"/>
                    <w:right w:val="single" w:color="auto" w:sz="4" w:space="0"/>
                  </w:tcBorders>
                  <w:noWrap/>
                  <w:vAlign w:val="center"/>
                </w:tcPr>
                <w:p w14:paraId="7482102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高纯氮</w:t>
                  </w:r>
                </w:p>
              </w:tc>
              <w:tc>
                <w:tcPr>
                  <w:tcW w:w="1417" w:type="dxa"/>
                  <w:tcBorders>
                    <w:top w:val="single" w:color="auto" w:sz="4" w:space="0"/>
                    <w:left w:val="single" w:color="auto" w:sz="4" w:space="0"/>
                    <w:bottom w:val="single" w:color="auto" w:sz="4" w:space="0"/>
                    <w:right w:val="single" w:color="auto" w:sz="4" w:space="0"/>
                  </w:tcBorders>
                  <w:noWrap/>
                  <w:vAlign w:val="center"/>
                </w:tcPr>
                <w:p w14:paraId="3CB2C9A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31EE5CD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206C69CB">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7A23415F">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358FD54B">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95</w:t>
                  </w:r>
                </w:p>
              </w:tc>
            </w:tr>
            <w:tr w14:paraId="61617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2FD1310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w:t>
                  </w:r>
                </w:p>
              </w:tc>
              <w:tc>
                <w:tcPr>
                  <w:tcW w:w="1411" w:type="dxa"/>
                  <w:tcBorders>
                    <w:top w:val="single" w:color="auto" w:sz="4" w:space="0"/>
                    <w:left w:val="single" w:color="auto" w:sz="4" w:space="0"/>
                    <w:bottom w:val="single" w:color="auto" w:sz="4" w:space="0"/>
                    <w:right w:val="single" w:color="auto" w:sz="4" w:space="0"/>
                  </w:tcBorders>
                  <w:noWrap/>
                  <w:vAlign w:val="center"/>
                </w:tcPr>
                <w:p w14:paraId="0751F83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氮气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6EAC0B5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593B7BF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5A0EB21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00D287D4">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27B18C5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30</w:t>
                  </w:r>
                </w:p>
              </w:tc>
            </w:tr>
            <w:tr w14:paraId="6055A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73BFAB6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5</w:t>
                  </w:r>
                </w:p>
              </w:tc>
              <w:tc>
                <w:tcPr>
                  <w:tcW w:w="1411" w:type="dxa"/>
                  <w:tcBorders>
                    <w:top w:val="single" w:color="auto" w:sz="4" w:space="0"/>
                    <w:left w:val="single" w:color="auto" w:sz="4" w:space="0"/>
                    <w:bottom w:val="single" w:color="auto" w:sz="4" w:space="0"/>
                    <w:right w:val="single" w:color="auto" w:sz="4" w:space="0"/>
                  </w:tcBorders>
                  <w:noWrap/>
                  <w:vAlign w:val="center"/>
                </w:tcPr>
                <w:p w14:paraId="1B1F712D">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液氮</w:t>
                  </w:r>
                </w:p>
              </w:tc>
              <w:tc>
                <w:tcPr>
                  <w:tcW w:w="1417" w:type="dxa"/>
                  <w:tcBorders>
                    <w:top w:val="single" w:color="auto" w:sz="4" w:space="0"/>
                    <w:left w:val="single" w:color="auto" w:sz="4" w:space="0"/>
                    <w:bottom w:val="single" w:color="auto" w:sz="4" w:space="0"/>
                    <w:right w:val="single" w:color="auto" w:sz="4" w:space="0"/>
                  </w:tcBorders>
                  <w:noWrap/>
                  <w:vAlign w:val="center"/>
                </w:tcPr>
                <w:p w14:paraId="20458E6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27751B6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w:t>
                  </w:r>
                </w:p>
              </w:tc>
              <w:tc>
                <w:tcPr>
                  <w:tcW w:w="778" w:type="dxa"/>
                  <w:tcBorders>
                    <w:top w:val="single" w:color="auto" w:sz="4" w:space="0"/>
                    <w:left w:val="single" w:color="auto" w:sz="4" w:space="0"/>
                    <w:bottom w:val="single" w:color="auto" w:sz="4" w:space="0"/>
                    <w:right w:val="single" w:color="auto" w:sz="4" w:space="0"/>
                  </w:tcBorders>
                  <w:noWrap/>
                  <w:vAlign w:val="center"/>
                </w:tcPr>
                <w:p w14:paraId="52A9F0C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公斤</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5C87B7E5">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3170</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5DA6BAB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8</w:t>
                  </w:r>
                </w:p>
              </w:tc>
            </w:tr>
            <w:tr w14:paraId="746299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5222FAF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6</w:t>
                  </w:r>
                </w:p>
              </w:tc>
              <w:tc>
                <w:tcPr>
                  <w:tcW w:w="1411" w:type="dxa"/>
                  <w:tcBorders>
                    <w:top w:val="single" w:color="auto" w:sz="4" w:space="0"/>
                    <w:left w:val="single" w:color="auto" w:sz="4" w:space="0"/>
                    <w:bottom w:val="single" w:color="auto" w:sz="4" w:space="0"/>
                    <w:right w:val="single" w:color="auto" w:sz="4" w:space="0"/>
                  </w:tcBorders>
                  <w:noWrap/>
                  <w:vAlign w:val="center"/>
                </w:tcPr>
                <w:p w14:paraId="230331B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高纯氩</w:t>
                  </w:r>
                </w:p>
              </w:tc>
              <w:tc>
                <w:tcPr>
                  <w:tcW w:w="1417" w:type="dxa"/>
                  <w:tcBorders>
                    <w:top w:val="single" w:color="auto" w:sz="4" w:space="0"/>
                    <w:left w:val="single" w:color="auto" w:sz="4" w:space="0"/>
                    <w:bottom w:val="single" w:color="auto" w:sz="4" w:space="0"/>
                    <w:right w:val="single" w:color="auto" w:sz="4" w:space="0"/>
                  </w:tcBorders>
                  <w:noWrap/>
                  <w:vAlign w:val="center"/>
                </w:tcPr>
                <w:p w14:paraId="4C97451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6241AC9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4-10L</w:t>
                  </w:r>
                </w:p>
              </w:tc>
              <w:tc>
                <w:tcPr>
                  <w:tcW w:w="778" w:type="dxa"/>
                  <w:tcBorders>
                    <w:top w:val="single" w:color="auto" w:sz="4" w:space="0"/>
                    <w:left w:val="single" w:color="auto" w:sz="4" w:space="0"/>
                    <w:bottom w:val="single" w:color="auto" w:sz="4" w:space="0"/>
                    <w:right w:val="single" w:color="auto" w:sz="4" w:space="0"/>
                  </w:tcBorders>
                  <w:noWrap/>
                  <w:vAlign w:val="center"/>
                </w:tcPr>
                <w:p w14:paraId="0C86E9A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2EBEB2D7">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64DFAFA8">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150</w:t>
                  </w:r>
                </w:p>
              </w:tc>
            </w:tr>
            <w:tr w14:paraId="34236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05B2F1D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7</w:t>
                  </w:r>
                </w:p>
              </w:tc>
              <w:tc>
                <w:tcPr>
                  <w:tcW w:w="1411" w:type="dxa"/>
                  <w:tcBorders>
                    <w:top w:val="single" w:color="auto" w:sz="4" w:space="0"/>
                    <w:left w:val="single" w:color="auto" w:sz="4" w:space="0"/>
                    <w:bottom w:val="single" w:color="auto" w:sz="4" w:space="0"/>
                    <w:right w:val="single" w:color="auto" w:sz="4" w:space="0"/>
                  </w:tcBorders>
                  <w:noWrap/>
                  <w:vAlign w:val="center"/>
                </w:tcPr>
                <w:p w14:paraId="3CF39626">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高纯氩</w:t>
                  </w:r>
                </w:p>
              </w:tc>
              <w:tc>
                <w:tcPr>
                  <w:tcW w:w="1417" w:type="dxa"/>
                  <w:tcBorders>
                    <w:top w:val="single" w:color="auto" w:sz="4" w:space="0"/>
                    <w:left w:val="single" w:color="auto" w:sz="4" w:space="0"/>
                    <w:bottom w:val="single" w:color="auto" w:sz="4" w:space="0"/>
                    <w:right w:val="single" w:color="auto" w:sz="4" w:space="0"/>
                  </w:tcBorders>
                  <w:noWrap/>
                  <w:vAlign w:val="center"/>
                </w:tcPr>
                <w:p w14:paraId="67D4049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4BC2394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751C39B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56E0563D">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775933C1">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235</w:t>
                  </w:r>
                </w:p>
              </w:tc>
            </w:tr>
            <w:tr w14:paraId="227F9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4DEF28E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8</w:t>
                  </w:r>
                </w:p>
              </w:tc>
              <w:tc>
                <w:tcPr>
                  <w:tcW w:w="1411" w:type="dxa"/>
                  <w:tcBorders>
                    <w:top w:val="single" w:color="auto" w:sz="4" w:space="0"/>
                    <w:left w:val="single" w:color="auto" w:sz="4" w:space="0"/>
                    <w:bottom w:val="single" w:color="auto" w:sz="4" w:space="0"/>
                    <w:right w:val="single" w:color="auto" w:sz="4" w:space="0"/>
                  </w:tcBorders>
                  <w:noWrap/>
                  <w:vAlign w:val="center"/>
                </w:tcPr>
                <w:p w14:paraId="6B00F14B">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高纯二氧化碳</w:t>
                  </w:r>
                </w:p>
              </w:tc>
              <w:tc>
                <w:tcPr>
                  <w:tcW w:w="1417" w:type="dxa"/>
                  <w:tcBorders>
                    <w:top w:val="single" w:color="auto" w:sz="4" w:space="0"/>
                    <w:left w:val="single" w:color="auto" w:sz="4" w:space="0"/>
                    <w:bottom w:val="single" w:color="auto" w:sz="4" w:space="0"/>
                    <w:right w:val="single" w:color="auto" w:sz="4" w:space="0"/>
                  </w:tcBorders>
                  <w:noWrap/>
                  <w:vAlign w:val="center"/>
                </w:tcPr>
                <w:p w14:paraId="1E35C01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≥99.995%</w:t>
                  </w:r>
                </w:p>
              </w:tc>
              <w:tc>
                <w:tcPr>
                  <w:tcW w:w="1276" w:type="dxa"/>
                  <w:tcBorders>
                    <w:top w:val="single" w:color="auto" w:sz="4" w:space="0"/>
                    <w:left w:val="single" w:color="auto" w:sz="4" w:space="0"/>
                    <w:bottom w:val="single" w:color="auto" w:sz="4" w:space="0"/>
                    <w:right w:val="single" w:color="auto" w:sz="4" w:space="0"/>
                  </w:tcBorders>
                  <w:noWrap/>
                  <w:vAlign w:val="center"/>
                </w:tcPr>
                <w:p w14:paraId="0F17C16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2-10L</w:t>
                  </w:r>
                </w:p>
              </w:tc>
              <w:tc>
                <w:tcPr>
                  <w:tcW w:w="778" w:type="dxa"/>
                  <w:tcBorders>
                    <w:top w:val="single" w:color="auto" w:sz="4" w:space="0"/>
                    <w:left w:val="single" w:color="auto" w:sz="4" w:space="0"/>
                    <w:bottom w:val="single" w:color="auto" w:sz="4" w:space="0"/>
                    <w:right w:val="single" w:color="auto" w:sz="4" w:space="0"/>
                  </w:tcBorders>
                  <w:noWrap/>
                  <w:vAlign w:val="center"/>
                </w:tcPr>
                <w:p w14:paraId="1D62332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5B5035C1">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5</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2F2B12DE">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380</w:t>
                  </w:r>
                </w:p>
              </w:tc>
            </w:tr>
            <w:tr w14:paraId="5F4199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1486EB1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w:t>
                  </w:r>
                </w:p>
              </w:tc>
              <w:tc>
                <w:tcPr>
                  <w:tcW w:w="1411" w:type="dxa"/>
                  <w:tcBorders>
                    <w:top w:val="single" w:color="auto" w:sz="4" w:space="0"/>
                    <w:left w:val="single" w:color="auto" w:sz="4" w:space="0"/>
                    <w:bottom w:val="single" w:color="auto" w:sz="4" w:space="0"/>
                    <w:right w:val="single" w:color="auto" w:sz="4" w:space="0"/>
                  </w:tcBorders>
                  <w:noWrap/>
                  <w:vAlign w:val="center"/>
                </w:tcPr>
                <w:p w14:paraId="16F4CE9C">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高纯氦</w:t>
                  </w:r>
                </w:p>
              </w:tc>
              <w:tc>
                <w:tcPr>
                  <w:tcW w:w="1417" w:type="dxa"/>
                  <w:tcBorders>
                    <w:top w:val="single" w:color="auto" w:sz="4" w:space="0"/>
                    <w:left w:val="single" w:color="auto" w:sz="4" w:space="0"/>
                    <w:bottom w:val="single" w:color="auto" w:sz="4" w:space="0"/>
                    <w:right w:val="single" w:color="auto" w:sz="4" w:space="0"/>
                  </w:tcBorders>
                  <w:noWrap/>
                  <w:vAlign w:val="center"/>
                </w:tcPr>
                <w:p w14:paraId="48A6EB9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46A82305">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1L</w:t>
                  </w:r>
                </w:p>
              </w:tc>
              <w:tc>
                <w:tcPr>
                  <w:tcW w:w="778" w:type="dxa"/>
                  <w:tcBorders>
                    <w:top w:val="single" w:color="auto" w:sz="4" w:space="0"/>
                    <w:left w:val="single" w:color="auto" w:sz="4" w:space="0"/>
                    <w:bottom w:val="single" w:color="auto" w:sz="4" w:space="0"/>
                    <w:right w:val="single" w:color="auto" w:sz="4" w:space="0"/>
                  </w:tcBorders>
                  <w:noWrap/>
                  <w:vAlign w:val="center"/>
                </w:tcPr>
                <w:p w14:paraId="3B544EA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2C597232">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7E7EBDBB">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350</w:t>
                  </w:r>
                </w:p>
              </w:tc>
            </w:tr>
            <w:tr w14:paraId="141DCC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 w:hRule="atLeast"/>
                <w:jc w:val="center"/>
              </w:trPr>
              <w:tc>
                <w:tcPr>
                  <w:tcW w:w="675" w:type="dxa"/>
                  <w:tcBorders>
                    <w:top w:val="single" w:color="auto" w:sz="4" w:space="0"/>
                    <w:bottom w:val="single" w:color="auto" w:sz="4" w:space="0"/>
                    <w:right w:val="single" w:color="auto" w:sz="4" w:space="0"/>
                  </w:tcBorders>
                  <w:noWrap/>
                  <w:vAlign w:val="center"/>
                </w:tcPr>
                <w:p w14:paraId="72A708F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10</w:t>
                  </w:r>
                </w:p>
              </w:tc>
              <w:tc>
                <w:tcPr>
                  <w:tcW w:w="1411" w:type="dxa"/>
                  <w:tcBorders>
                    <w:top w:val="single" w:color="auto" w:sz="4" w:space="0"/>
                    <w:left w:val="single" w:color="auto" w:sz="4" w:space="0"/>
                    <w:bottom w:val="single" w:color="auto" w:sz="4" w:space="0"/>
                    <w:right w:val="single" w:color="auto" w:sz="4" w:space="0"/>
                  </w:tcBorders>
                  <w:noWrap/>
                  <w:vAlign w:val="center"/>
                </w:tcPr>
                <w:p w14:paraId="0D0FD1F0">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高纯氦</w:t>
                  </w:r>
                </w:p>
              </w:tc>
              <w:tc>
                <w:tcPr>
                  <w:tcW w:w="1417" w:type="dxa"/>
                  <w:tcBorders>
                    <w:top w:val="single" w:color="auto" w:sz="4" w:space="0"/>
                    <w:left w:val="single" w:color="auto" w:sz="4" w:space="0"/>
                    <w:bottom w:val="single" w:color="auto" w:sz="4" w:space="0"/>
                    <w:right w:val="single" w:color="auto" w:sz="4" w:space="0"/>
                  </w:tcBorders>
                  <w:noWrap/>
                  <w:vAlign w:val="center"/>
                </w:tcPr>
                <w:p w14:paraId="32F58E6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1163B678">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395BD8E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139D28C8">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0F3234BC">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1850</w:t>
                  </w:r>
                </w:p>
              </w:tc>
            </w:tr>
            <w:tr w14:paraId="706A5D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 w:hRule="atLeast"/>
                <w:jc w:val="center"/>
              </w:trPr>
              <w:tc>
                <w:tcPr>
                  <w:tcW w:w="675" w:type="dxa"/>
                  <w:tcBorders>
                    <w:top w:val="single" w:color="auto" w:sz="4" w:space="0"/>
                    <w:bottom w:val="single" w:color="auto" w:sz="4" w:space="0"/>
                    <w:right w:val="single" w:color="auto" w:sz="4" w:space="0"/>
                  </w:tcBorders>
                  <w:noWrap/>
                  <w:vAlign w:val="center"/>
                </w:tcPr>
                <w:p w14:paraId="564DE4B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11</w:t>
                  </w:r>
                </w:p>
              </w:tc>
              <w:tc>
                <w:tcPr>
                  <w:tcW w:w="1411" w:type="dxa"/>
                  <w:tcBorders>
                    <w:top w:val="single" w:color="auto" w:sz="4" w:space="0"/>
                    <w:left w:val="single" w:color="auto" w:sz="4" w:space="0"/>
                    <w:bottom w:val="single" w:color="auto" w:sz="4" w:space="0"/>
                    <w:right w:val="single" w:color="auto" w:sz="4" w:space="0"/>
                  </w:tcBorders>
                  <w:noWrap/>
                  <w:vAlign w:val="center"/>
                </w:tcPr>
                <w:p w14:paraId="054B51E4">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氩气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3591476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216D47B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7865C0C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72A25994">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59536C30">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110</w:t>
                  </w:r>
                </w:p>
              </w:tc>
            </w:tr>
            <w:tr w14:paraId="6DD41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7" w:hRule="atLeast"/>
                <w:jc w:val="center"/>
              </w:trPr>
              <w:tc>
                <w:tcPr>
                  <w:tcW w:w="675" w:type="dxa"/>
                  <w:tcBorders>
                    <w:top w:val="single" w:color="auto" w:sz="4" w:space="0"/>
                    <w:bottom w:val="single" w:color="auto" w:sz="4" w:space="0"/>
                    <w:right w:val="single" w:color="auto" w:sz="4" w:space="0"/>
                  </w:tcBorders>
                  <w:noWrap/>
                  <w:vAlign w:val="center"/>
                </w:tcPr>
                <w:p w14:paraId="3B849AB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12</w:t>
                  </w:r>
                </w:p>
              </w:tc>
              <w:tc>
                <w:tcPr>
                  <w:tcW w:w="1411" w:type="dxa"/>
                  <w:tcBorders>
                    <w:top w:val="single" w:color="auto" w:sz="4" w:space="0"/>
                    <w:left w:val="single" w:color="auto" w:sz="4" w:space="0"/>
                    <w:bottom w:val="single" w:color="auto" w:sz="4" w:space="0"/>
                    <w:right w:val="single" w:color="auto" w:sz="4" w:space="0"/>
                  </w:tcBorders>
                  <w:noWrap/>
                  <w:vAlign w:val="center"/>
                </w:tcPr>
                <w:p w14:paraId="692FB6D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氩气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668652E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4A288C3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10L</w:t>
                  </w:r>
                </w:p>
              </w:tc>
              <w:tc>
                <w:tcPr>
                  <w:tcW w:w="778" w:type="dxa"/>
                  <w:tcBorders>
                    <w:top w:val="single" w:color="auto" w:sz="4" w:space="0"/>
                    <w:left w:val="single" w:color="auto" w:sz="4" w:space="0"/>
                    <w:bottom w:val="single" w:color="auto" w:sz="4" w:space="0"/>
                    <w:right w:val="single" w:color="auto" w:sz="4" w:space="0"/>
                  </w:tcBorders>
                  <w:noWrap/>
                  <w:vAlign w:val="center"/>
                </w:tcPr>
                <w:p w14:paraId="109706D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0CED8A0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0FD4B298">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100</w:t>
                  </w:r>
                </w:p>
              </w:tc>
            </w:tr>
            <w:tr w14:paraId="44245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7D76DF0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13</w:t>
                  </w:r>
                </w:p>
              </w:tc>
              <w:tc>
                <w:tcPr>
                  <w:tcW w:w="1411" w:type="dxa"/>
                  <w:tcBorders>
                    <w:top w:val="single" w:color="auto" w:sz="4" w:space="0"/>
                    <w:left w:val="single" w:color="auto" w:sz="4" w:space="0"/>
                    <w:bottom w:val="single" w:color="auto" w:sz="4" w:space="0"/>
                    <w:right w:val="single" w:color="auto" w:sz="4" w:space="0"/>
                  </w:tcBorders>
                  <w:noWrap/>
                  <w:vAlign w:val="center"/>
                </w:tcPr>
                <w:p w14:paraId="54563D5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乙炔</w:t>
                  </w:r>
                </w:p>
              </w:tc>
              <w:tc>
                <w:tcPr>
                  <w:tcW w:w="1417" w:type="dxa"/>
                  <w:tcBorders>
                    <w:top w:val="single" w:color="auto" w:sz="4" w:space="0"/>
                    <w:left w:val="single" w:color="auto" w:sz="4" w:space="0"/>
                    <w:bottom w:val="single" w:color="auto" w:sz="4" w:space="0"/>
                    <w:right w:val="single" w:color="auto" w:sz="4" w:space="0"/>
                  </w:tcBorders>
                  <w:noWrap/>
                  <w:vAlign w:val="center"/>
                </w:tcPr>
                <w:p w14:paraId="0B7C4F4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≥98%</w:t>
                  </w:r>
                </w:p>
              </w:tc>
              <w:tc>
                <w:tcPr>
                  <w:tcW w:w="1276" w:type="dxa"/>
                  <w:tcBorders>
                    <w:top w:val="single" w:color="auto" w:sz="4" w:space="0"/>
                    <w:left w:val="single" w:color="auto" w:sz="4" w:space="0"/>
                    <w:bottom w:val="single" w:color="auto" w:sz="4" w:space="0"/>
                    <w:right w:val="single" w:color="auto" w:sz="4" w:space="0"/>
                  </w:tcBorders>
                  <w:noWrap/>
                  <w:vAlign w:val="center"/>
                </w:tcPr>
                <w:p w14:paraId="3AFA4FB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2FD172DB">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112FFEB3">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794AC2E9">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150</w:t>
                  </w:r>
                </w:p>
              </w:tc>
            </w:tr>
            <w:tr w14:paraId="5C94E4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4094694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14</w:t>
                  </w:r>
                </w:p>
              </w:tc>
              <w:tc>
                <w:tcPr>
                  <w:tcW w:w="1411" w:type="dxa"/>
                  <w:tcBorders>
                    <w:top w:val="single" w:color="auto" w:sz="4" w:space="0"/>
                    <w:left w:val="single" w:color="auto" w:sz="4" w:space="0"/>
                    <w:bottom w:val="single" w:color="auto" w:sz="4" w:space="0"/>
                    <w:right w:val="single" w:color="auto" w:sz="4" w:space="0"/>
                  </w:tcBorders>
                  <w:noWrap/>
                  <w:vAlign w:val="center"/>
                </w:tcPr>
                <w:p w14:paraId="1898A7E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高纯乙炔</w:t>
                  </w:r>
                </w:p>
              </w:tc>
              <w:tc>
                <w:tcPr>
                  <w:tcW w:w="1417" w:type="dxa"/>
                  <w:tcBorders>
                    <w:top w:val="single" w:color="auto" w:sz="4" w:space="0"/>
                    <w:left w:val="single" w:color="auto" w:sz="4" w:space="0"/>
                    <w:bottom w:val="single" w:color="auto" w:sz="4" w:space="0"/>
                    <w:right w:val="single" w:color="auto" w:sz="4" w:space="0"/>
                  </w:tcBorders>
                  <w:noWrap/>
                  <w:vAlign w:val="center"/>
                </w:tcPr>
                <w:p w14:paraId="336E4F9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29EF30D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58306BC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54A4D2A5">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5231D3BD">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425</w:t>
                  </w:r>
                </w:p>
              </w:tc>
            </w:tr>
            <w:tr w14:paraId="0CB157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675" w:type="dxa"/>
                  <w:tcBorders>
                    <w:top w:val="single" w:color="auto" w:sz="4" w:space="0"/>
                    <w:bottom w:val="single" w:color="auto" w:sz="4" w:space="0"/>
                    <w:right w:val="single" w:color="auto" w:sz="4" w:space="0"/>
                  </w:tcBorders>
                  <w:noWrap/>
                  <w:vAlign w:val="center"/>
                </w:tcPr>
                <w:p w14:paraId="5714E98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15</w:t>
                  </w:r>
                </w:p>
              </w:tc>
              <w:tc>
                <w:tcPr>
                  <w:tcW w:w="1411" w:type="dxa"/>
                  <w:tcBorders>
                    <w:top w:val="single" w:color="auto" w:sz="4" w:space="0"/>
                    <w:left w:val="single" w:color="auto" w:sz="4" w:space="0"/>
                    <w:bottom w:val="single" w:color="auto" w:sz="4" w:space="0"/>
                    <w:right w:val="single" w:color="auto" w:sz="4" w:space="0"/>
                  </w:tcBorders>
                  <w:noWrap/>
                  <w:vAlign w:val="center"/>
                </w:tcPr>
                <w:p w14:paraId="5850D55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干燥空气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30151B8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w:t>
                  </w:r>
                </w:p>
              </w:tc>
              <w:tc>
                <w:tcPr>
                  <w:tcW w:w="1276" w:type="dxa"/>
                  <w:tcBorders>
                    <w:top w:val="single" w:color="auto" w:sz="4" w:space="0"/>
                    <w:left w:val="single" w:color="auto" w:sz="4" w:space="0"/>
                    <w:bottom w:val="single" w:color="auto" w:sz="4" w:space="0"/>
                    <w:right w:val="single" w:color="auto" w:sz="4" w:space="0"/>
                  </w:tcBorders>
                  <w:noWrap/>
                  <w:vAlign w:val="center"/>
                </w:tcPr>
                <w:p w14:paraId="34CE21B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62EF9C1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1D43931E">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446FB64C">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120</w:t>
                  </w:r>
                </w:p>
              </w:tc>
            </w:tr>
            <w:tr w14:paraId="5A7DF1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75" w:type="dxa"/>
                  <w:tcBorders>
                    <w:top w:val="single" w:color="auto" w:sz="4" w:space="0"/>
                    <w:bottom w:val="single" w:color="auto" w:sz="4" w:space="0"/>
                    <w:right w:val="single" w:color="auto" w:sz="4" w:space="0"/>
                  </w:tcBorders>
                  <w:noWrap/>
                  <w:vAlign w:val="center"/>
                </w:tcPr>
                <w:p w14:paraId="0A7B830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16</w:t>
                  </w:r>
                </w:p>
              </w:tc>
              <w:tc>
                <w:tcPr>
                  <w:tcW w:w="1411" w:type="dxa"/>
                  <w:tcBorders>
                    <w:top w:val="single" w:color="auto" w:sz="4" w:space="0"/>
                    <w:left w:val="single" w:color="auto" w:sz="4" w:space="0"/>
                    <w:bottom w:val="single" w:color="auto" w:sz="4" w:space="0"/>
                    <w:right w:val="single" w:color="auto" w:sz="4" w:space="0"/>
                  </w:tcBorders>
                  <w:noWrap/>
                  <w:vAlign w:val="center"/>
                </w:tcPr>
                <w:p w14:paraId="3F5F28B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PET 氦气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40AAE28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76C054C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4B80BE3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250F1EAD">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501897A2">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2500</w:t>
                  </w:r>
                </w:p>
              </w:tc>
            </w:tr>
            <w:tr w14:paraId="33FFB5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2CB7D7C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17</w:t>
                  </w:r>
                </w:p>
              </w:tc>
              <w:tc>
                <w:tcPr>
                  <w:tcW w:w="1411" w:type="dxa"/>
                  <w:tcBorders>
                    <w:top w:val="single" w:color="auto" w:sz="4" w:space="0"/>
                    <w:left w:val="single" w:color="auto" w:sz="4" w:space="0"/>
                    <w:bottom w:val="single" w:color="auto" w:sz="4" w:space="0"/>
                    <w:right w:val="single" w:color="auto" w:sz="4" w:space="0"/>
                  </w:tcBorders>
                  <w:noWrap/>
                  <w:vAlign w:val="center"/>
                </w:tcPr>
                <w:p w14:paraId="23DE121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PET混合气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1967B3B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2.5%O2+氮平衡</w:t>
                  </w:r>
                </w:p>
              </w:tc>
              <w:tc>
                <w:tcPr>
                  <w:tcW w:w="1276" w:type="dxa"/>
                  <w:tcBorders>
                    <w:top w:val="single" w:color="auto" w:sz="4" w:space="0"/>
                    <w:left w:val="single" w:color="auto" w:sz="4" w:space="0"/>
                    <w:bottom w:val="single" w:color="auto" w:sz="4" w:space="0"/>
                    <w:right w:val="single" w:color="auto" w:sz="4" w:space="0"/>
                  </w:tcBorders>
                  <w:noWrap/>
                  <w:vAlign w:val="center"/>
                </w:tcPr>
                <w:p w14:paraId="3A65A33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6833FA0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2D0BD874">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3A7BA1EC">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550</w:t>
                  </w:r>
                </w:p>
              </w:tc>
            </w:tr>
            <w:tr w14:paraId="57846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73D07C4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18</w:t>
                  </w:r>
                </w:p>
              </w:tc>
              <w:tc>
                <w:tcPr>
                  <w:tcW w:w="1411" w:type="dxa"/>
                  <w:tcBorders>
                    <w:top w:val="single" w:color="auto" w:sz="4" w:space="0"/>
                    <w:left w:val="single" w:color="auto" w:sz="4" w:space="0"/>
                    <w:bottom w:val="single" w:color="auto" w:sz="4" w:space="0"/>
                    <w:right w:val="single" w:color="auto" w:sz="4" w:space="0"/>
                  </w:tcBorders>
                  <w:noWrap/>
                  <w:vAlign w:val="center"/>
                </w:tcPr>
                <w:p w14:paraId="203D56A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PET氩气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6C317BC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4165CBCB">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7948109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5CB0AB78">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00AF134F">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350</w:t>
                  </w:r>
                </w:p>
              </w:tc>
            </w:tr>
            <w:tr w14:paraId="295AB0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0CCBD5FC">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19</w:t>
                  </w:r>
                </w:p>
              </w:tc>
              <w:tc>
                <w:tcPr>
                  <w:tcW w:w="1411" w:type="dxa"/>
                  <w:tcBorders>
                    <w:top w:val="single" w:color="auto" w:sz="4" w:space="0"/>
                    <w:left w:val="single" w:color="auto" w:sz="4" w:space="0"/>
                    <w:bottom w:val="single" w:color="auto" w:sz="4" w:space="0"/>
                    <w:right w:val="single" w:color="auto" w:sz="4" w:space="0"/>
                  </w:tcBorders>
                  <w:noWrap/>
                  <w:vAlign w:val="center"/>
                </w:tcPr>
                <w:p w14:paraId="02DCD8C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PET专用氢气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6D74EE8E">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≥99.99%</w:t>
                  </w:r>
                </w:p>
              </w:tc>
              <w:tc>
                <w:tcPr>
                  <w:tcW w:w="1276" w:type="dxa"/>
                  <w:tcBorders>
                    <w:top w:val="single" w:color="auto" w:sz="4" w:space="0"/>
                    <w:left w:val="single" w:color="auto" w:sz="4" w:space="0"/>
                    <w:bottom w:val="single" w:color="auto" w:sz="4" w:space="0"/>
                    <w:right w:val="single" w:color="auto" w:sz="4" w:space="0"/>
                  </w:tcBorders>
                  <w:noWrap/>
                  <w:vAlign w:val="center"/>
                </w:tcPr>
                <w:p w14:paraId="39F0BA7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632F5CB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2B05F79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1EF7F40F">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500</w:t>
                  </w:r>
                </w:p>
              </w:tc>
            </w:tr>
            <w:tr w14:paraId="2F388C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1736C76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20</w:t>
                  </w:r>
                </w:p>
              </w:tc>
              <w:tc>
                <w:tcPr>
                  <w:tcW w:w="1411" w:type="dxa"/>
                  <w:tcBorders>
                    <w:top w:val="single" w:color="auto" w:sz="4" w:space="0"/>
                    <w:left w:val="single" w:color="auto" w:sz="4" w:space="0"/>
                    <w:bottom w:val="single" w:color="auto" w:sz="4" w:space="0"/>
                    <w:right w:val="single" w:color="auto" w:sz="4" w:space="0"/>
                  </w:tcBorders>
                  <w:noWrap/>
                  <w:vAlign w:val="center"/>
                </w:tcPr>
                <w:p w14:paraId="2B8CE67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混合气</w:t>
                  </w:r>
                </w:p>
              </w:tc>
              <w:tc>
                <w:tcPr>
                  <w:tcW w:w="1417" w:type="dxa"/>
                  <w:tcBorders>
                    <w:top w:val="single" w:color="auto" w:sz="4" w:space="0"/>
                    <w:left w:val="single" w:color="auto" w:sz="4" w:space="0"/>
                    <w:bottom w:val="single" w:color="auto" w:sz="4" w:space="0"/>
                    <w:right w:val="single" w:color="auto" w:sz="4" w:space="0"/>
                  </w:tcBorders>
                  <w:noWrap/>
                  <w:vAlign w:val="center"/>
                </w:tcPr>
                <w:p w14:paraId="5771CBC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0.3%CO+0.3%CH+21%O2+氮气N2平衡</w:t>
                  </w:r>
                </w:p>
              </w:tc>
              <w:tc>
                <w:tcPr>
                  <w:tcW w:w="1276" w:type="dxa"/>
                  <w:tcBorders>
                    <w:top w:val="single" w:color="auto" w:sz="4" w:space="0"/>
                    <w:left w:val="single" w:color="auto" w:sz="4" w:space="0"/>
                    <w:bottom w:val="single" w:color="auto" w:sz="4" w:space="0"/>
                    <w:right w:val="single" w:color="auto" w:sz="4" w:space="0"/>
                  </w:tcBorders>
                  <w:noWrap/>
                  <w:vAlign w:val="center"/>
                </w:tcPr>
                <w:p w14:paraId="43A370C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10L</w:t>
                  </w:r>
                </w:p>
              </w:tc>
              <w:tc>
                <w:tcPr>
                  <w:tcW w:w="778" w:type="dxa"/>
                  <w:tcBorders>
                    <w:top w:val="single" w:color="auto" w:sz="4" w:space="0"/>
                    <w:left w:val="single" w:color="auto" w:sz="4" w:space="0"/>
                    <w:bottom w:val="single" w:color="auto" w:sz="4" w:space="0"/>
                    <w:right w:val="single" w:color="auto" w:sz="4" w:space="0"/>
                  </w:tcBorders>
                  <w:noWrap/>
                  <w:vAlign w:val="center"/>
                </w:tcPr>
                <w:p w14:paraId="70295F52">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7E3ACA5E">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30726279">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1080</w:t>
                  </w:r>
                </w:p>
              </w:tc>
            </w:tr>
            <w:tr w14:paraId="787E3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2767955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30</w:t>
                  </w:r>
                </w:p>
              </w:tc>
              <w:tc>
                <w:tcPr>
                  <w:tcW w:w="1411" w:type="dxa"/>
                  <w:tcBorders>
                    <w:top w:val="single" w:color="auto" w:sz="4" w:space="0"/>
                    <w:left w:val="single" w:color="auto" w:sz="4" w:space="0"/>
                    <w:bottom w:val="single" w:color="auto" w:sz="4" w:space="0"/>
                    <w:right w:val="single" w:color="auto" w:sz="4" w:space="0"/>
                  </w:tcBorders>
                  <w:noWrap/>
                  <w:vAlign w:val="center"/>
                </w:tcPr>
                <w:p w14:paraId="4BD8D40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碳钢瓶</w:t>
                  </w:r>
                </w:p>
              </w:tc>
              <w:tc>
                <w:tcPr>
                  <w:tcW w:w="1417" w:type="dxa"/>
                  <w:tcBorders>
                    <w:top w:val="single" w:color="auto" w:sz="4" w:space="0"/>
                    <w:left w:val="single" w:color="auto" w:sz="4" w:space="0"/>
                    <w:bottom w:val="single" w:color="auto" w:sz="4" w:space="0"/>
                    <w:right w:val="single" w:color="auto" w:sz="4" w:space="0"/>
                  </w:tcBorders>
                  <w:noWrap/>
                  <w:vAlign w:val="center"/>
                </w:tcPr>
                <w:p w14:paraId="584B6EA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介质：氢气、氦气/含首检费用</w:t>
                  </w:r>
                </w:p>
              </w:tc>
              <w:tc>
                <w:tcPr>
                  <w:tcW w:w="1276" w:type="dxa"/>
                  <w:tcBorders>
                    <w:top w:val="single" w:color="auto" w:sz="4" w:space="0"/>
                    <w:left w:val="single" w:color="auto" w:sz="4" w:space="0"/>
                    <w:bottom w:val="single" w:color="auto" w:sz="4" w:space="0"/>
                    <w:right w:val="single" w:color="auto" w:sz="4" w:space="0"/>
                  </w:tcBorders>
                  <w:noWrap/>
                  <w:vAlign w:val="center"/>
                </w:tcPr>
                <w:p w14:paraId="60DFFF0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0C46FED8">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top"/>
                </w:tcPr>
                <w:p w14:paraId="1AAB5566">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top"/>
                </w:tcPr>
                <w:p w14:paraId="39F7F4FC">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3000</w:t>
                  </w:r>
                </w:p>
              </w:tc>
            </w:tr>
            <w:tr w14:paraId="6BB91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675" w:type="dxa"/>
                  <w:tcBorders>
                    <w:top w:val="single" w:color="auto" w:sz="4" w:space="0"/>
                    <w:bottom w:val="single" w:color="auto" w:sz="4" w:space="0"/>
                    <w:right w:val="single" w:color="auto" w:sz="4" w:space="0"/>
                  </w:tcBorders>
                  <w:noWrap/>
                  <w:vAlign w:val="center"/>
                </w:tcPr>
                <w:p w14:paraId="1C8E5C6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31</w:t>
                  </w:r>
                </w:p>
              </w:tc>
              <w:tc>
                <w:tcPr>
                  <w:tcW w:w="1411" w:type="dxa"/>
                  <w:tcBorders>
                    <w:top w:val="single" w:color="auto" w:sz="4" w:space="0"/>
                    <w:left w:val="single" w:color="auto" w:sz="4" w:space="0"/>
                    <w:bottom w:val="single" w:color="auto" w:sz="4" w:space="0"/>
                    <w:right w:val="single" w:color="auto" w:sz="4" w:space="0"/>
                  </w:tcBorders>
                  <w:noWrap/>
                  <w:vAlign w:val="center"/>
                </w:tcPr>
                <w:p w14:paraId="1C7CDEE0">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铝合金瓶</w:t>
                  </w:r>
                </w:p>
              </w:tc>
              <w:tc>
                <w:tcPr>
                  <w:tcW w:w="1417" w:type="dxa"/>
                  <w:tcBorders>
                    <w:top w:val="single" w:color="auto" w:sz="4" w:space="0"/>
                    <w:left w:val="single" w:color="auto" w:sz="4" w:space="0"/>
                    <w:bottom w:val="single" w:color="auto" w:sz="4" w:space="0"/>
                    <w:right w:val="single" w:color="auto" w:sz="4" w:space="0"/>
                  </w:tcBorders>
                  <w:noWrap/>
                  <w:vAlign w:val="center"/>
                </w:tcPr>
                <w:p w14:paraId="7D7EF4F6">
                  <w:pPr>
                    <w:jc w:val="center"/>
                    <w:rPr>
                      <w:rFonts w:hint="eastAsia" w:ascii="仿宋" w:hAnsi="仿宋" w:eastAsia="仿宋" w:cs="仿宋"/>
                      <w:kern w:val="0"/>
                      <w:sz w:val="19"/>
                      <w:szCs w:val="19"/>
                    </w:rPr>
                  </w:pPr>
                  <w:r>
                    <w:rPr>
                      <w:rFonts w:hint="eastAsia" w:ascii="仿宋" w:hAnsi="仿宋" w:eastAsia="仿宋" w:cs="仿宋"/>
                      <w:kern w:val="0"/>
                      <w:sz w:val="19"/>
                      <w:szCs w:val="19"/>
                    </w:rPr>
                    <w:t>含首检费用</w:t>
                  </w:r>
                </w:p>
              </w:tc>
              <w:tc>
                <w:tcPr>
                  <w:tcW w:w="1276" w:type="dxa"/>
                  <w:tcBorders>
                    <w:top w:val="single" w:color="auto" w:sz="4" w:space="0"/>
                    <w:left w:val="single" w:color="auto" w:sz="4" w:space="0"/>
                    <w:bottom w:val="single" w:color="auto" w:sz="4" w:space="0"/>
                    <w:right w:val="single" w:color="auto" w:sz="4" w:space="0"/>
                  </w:tcBorders>
                  <w:noWrap/>
                  <w:vAlign w:val="center"/>
                </w:tcPr>
                <w:p w14:paraId="0A888D69">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2L-4L</w:t>
                  </w:r>
                </w:p>
              </w:tc>
              <w:tc>
                <w:tcPr>
                  <w:tcW w:w="778" w:type="dxa"/>
                  <w:tcBorders>
                    <w:top w:val="single" w:color="auto" w:sz="4" w:space="0"/>
                    <w:left w:val="single" w:color="auto" w:sz="4" w:space="0"/>
                    <w:bottom w:val="single" w:color="auto" w:sz="4" w:space="0"/>
                    <w:right w:val="single" w:color="auto" w:sz="4" w:space="0"/>
                  </w:tcBorders>
                  <w:noWrap/>
                  <w:vAlign w:val="center"/>
                </w:tcPr>
                <w:p w14:paraId="33A5BB5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14D19">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7BD61">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650</w:t>
                  </w:r>
                </w:p>
              </w:tc>
            </w:tr>
            <w:tr w14:paraId="4C1C0D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75" w:type="dxa"/>
                  <w:tcBorders>
                    <w:top w:val="single" w:color="auto" w:sz="4" w:space="0"/>
                    <w:bottom w:val="single" w:color="auto" w:sz="4" w:space="0"/>
                    <w:right w:val="single" w:color="auto" w:sz="4" w:space="0"/>
                  </w:tcBorders>
                  <w:noWrap/>
                  <w:vAlign w:val="center"/>
                </w:tcPr>
                <w:p w14:paraId="35E023A1">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32</w:t>
                  </w:r>
                </w:p>
              </w:tc>
              <w:tc>
                <w:tcPr>
                  <w:tcW w:w="1411" w:type="dxa"/>
                  <w:tcBorders>
                    <w:top w:val="single" w:color="auto" w:sz="4" w:space="0"/>
                    <w:left w:val="single" w:color="auto" w:sz="4" w:space="0"/>
                    <w:bottom w:val="single" w:color="auto" w:sz="4" w:space="0"/>
                    <w:right w:val="single" w:color="auto" w:sz="4" w:space="0"/>
                  </w:tcBorders>
                  <w:noWrap/>
                  <w:vAlign w:val="center"/>
                </w:tcPr>
                <w:p w14:paraId="72C394D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铝合金瓶</w:t>
                  </w:r>
                </w:p>
              </w:tc>
              <w:tc>
                <w:tcPr>
                  <w:tcW w:w="1417" w:type="dxa"/>
                  <w:tcBorders>
                    <w:top w:val="single" w:color="auto" w:sz="4" w:space="0"/>
                    <w:left w:val="single" w:color="auto" w:sz="4" w:space="0"/>
                    <w:bottom w:val="single" w:color="auto" w:sz="4" w:space="0"/>
                    <w:right w:val="single" w:color="auto" w:sz="4" w:space="0"/>
                  </w:tcBorders>
                  <w:noWrap/>
                  <w:vAlign w:val="center"/>
                </w:tcPr>
                <w:p w14:paraId="54326655">
                  <w:pPr>
                    <w:jc w:val="center"/>
                    <w:rPr>
                      <w:rFonts w:hint="eastAsia" w:ascii="仿宋" w:hAnsi="仿宋" w:eastAsia="仿宋" w:cs="仿宋"/>
                      <w:kern w:val="0"/>
                      <w:sz w:val="19"/>
                      <w:szCs w:val="19"/>
                    </w:rPr>
                  </w:pPr>
                  <w:r>
                    <w:rPr>
                      <w:rFonts w:hint="eastAsia" w:ascii="仿宋" w:hAnsi="仿宋" w:eastAsia="仿宋" w:cs="仿宋"/>
                      <w:kern w:val="0"/>
                      <w:sz w:val="19"/>
                      <w:szCs w:val="19"/>
                    </w:rPr>
                    <w:t>含首检费用</w:t>
                  </w:r>
                </w:p>
              </w:tc>
              <w:tc>
                <w:tcPr>
                  <w:tcW w:w="1276" w:type="dxa"/>
                  <w:tcBorders>
                    <w:top w:val="single" w:color="auto" w:sz="4" w:space="0"/>
                    <w:left w:val="single" w:color="auto" w:sz="4" w:space="0"/>
                    <w:bottom w:val="single" w:color="auto" w:sz="4" w:space="0"/>
                    <w:right w:val="single" w:color="auto" w:sz="4" w:space="0"/>
                  </w:tcBorders>
                  <w:noWrap/>
                  <w:vAlign w:val="center"/>
                </w:tcPr>
                <w:p w14:paraId="2C8C9D87">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6L-40L</w:t>
                  </w:r>
                </w:p>
              </w:tc>
              <w:tc>
                <w:tcPr>
                  <w:tcW w:w="778" w:type="dxa"/>
                  <w:tcBorders>
                    <w:top w:val="single" w:color="auto" w:sz="4" w:space="0"/>
                    <w:left w:val="single" w:color="auto" w:sz="4" w:space="0"/>
                    <w:bottom w:val="single" w:color="auto" w:sz="4" w:space="0"/>
                    <w:right w:val="single" w:color="auto" w:sz="4" w:space="0"/>
                  </w:tcBorders>
                  <w:noWrap/>
                  <w:vAlign w:val="center"/>
                </w:tcPr>
                <w:p w14:paraId="298404EF">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E03D7">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61FBB">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850</w:t>
                  </w:r>
                </w:p>
              </w:tc>
            </w:tr>
            <w:tr w14:paraId="5B411E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675" w:type="dxa"/>
                  <w:tcBorders>
                    <w:top w:val="single" w:color="auto" w:sz="4" w:space="0"/>
                    <w:bottom w:val="single" w:color="auto" w:sz="4" w:space="0"/>
                    <w:right w:val="single" w:color="auto" w:sz="4" w:space="0"/>
                  </w:tcBorders>
                  <w:noWrap/>
                  <w:vAlign w:val="center"/>
                </w:tcPr>
                <w:p w14:paraId="6B3E7C54">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33</w:t>
                  </w:r>
                </w:p>
              </w:tc>
              <w:tc>
                <w:tcPr>
                  <w:tcW w:w="1411" w:type="dxa"/>
                  <w:tcBorders>
                    <w:top w:val="single" w:color="auto" w:sz="4" w:space="0"/>
                    <w:left w:val="single" w:color="auto" w:sz="4" w:space="0"/>
                    <w:bottom w:val="single" w:color="auto" w:sz="4" w:space="0"/>
                    <w:right w:val="single" w:color="auto" w:sz="4" w:space="0"/>
                  </w:tcBorders>
                  <w:noWrap/>
                  <w:vAlign w:val="center"/>
                </w:tcPr>
                <w:p w14:paraId="57348F63">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钢瓶</w:t>
                  </w:r>
                </w:p>
              </w:tc>
              <w:tc>
                <w:tcPr>
                  <w:tcW w:w="1417" w:type="dxa"/>
                  <w:tcBorders>
                    <w:top w:val="single" w:color="auto" w:sz="4" w:space="0"/>
                    <w:left w:val="single" w:color="auto" w:sz="4" w:space="0"/>
                    <w:bottom w:val="single" w:color="auto" w:sz="4" w:space="0"/>
                    <w:right w:val="single" w:color="auto" w:sz="4" w:space="0"/>
                  </w:tcBorders>
                  <w:noWrap/>
                  <w:vAlign w:val="center"/>
                </w:tcPr>
                <w:p w14:paraId="166D9FF6">
                  <w:pPr>
                    <w:jc w:val="center"/>
                    <w:rPr>
                      <w:rFonts w:hint="eastAsia" w:ascii="仿宋" w:hAnsi="仿宋" w:eastAsia="仿宋" w:cs="仿宋"/>
                      <w:kern w:val="0"/>
                      <w:sz w:val="19"/>
                      <w:szCs w:val="19"/>
                    </w:rPr>
                  </w:pPr>
                  <w:r>
                    <w:rPr>
                      <w:rFonts w:hint="eastAsia" w:ascii="仿宋" w:hAnsi="仿宋" w:eastAsia="仿宋" w:cs="仿宋"/>
                      <w:kern w:val="0"/>
                      <w:sz w:val="19"/>
                      <w:szCs w:val="19"/>
                    </w:rPr>
                    <w:t>含首检费用</w:t>
                  </w:r>
                </w:p>
              </w:tc>
              <w:tc>
                <w:tcPr>
                  <w:tcW w:w="1276" w:type="dxa"/>
                  <w:tcBorders>
                    <w:top w:val="single" w:color="auto" w:sz="4" w:space="0"/>
                    <w:left w:val="single" w:color="auto" w:sz="4" w:space="0"/>
                    <w:bottom w:val="single" w:color="auto" w:sz="4" w:space="0"/>
                    <w:right w:val="single" w:color="auto" w:sz="4" w:space="0"/>
                  </w:tcBorders>
                  <w:noWrap/>
                  <w:vAlign w:val="center"/>
                </w:tcPr>
                <w:p w14:paraId="069E4F6D">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40L</w:t>
                  </w:r>
                </w:p>
              </w:tc>
              <w:tc>
                <w:tcPr>
                  <w:tcW w:w="778" w:type="dxa"/>
                  <w:tcBorders>
                    <w:top w:val="single" w:color="auto" w:sz="4" w:space="0"/>
                    <w:left w:val="single" w:color="auto" w:sz="4" w:space="0"/>
                    <w:bottom w:val="single" w:color="auto" w:sz="4" w:space="0"/>
                    <w:right w:val="single" w:color="auto" w:sz="4" w:space="0"/>
                  </w:tcBorders>
                  <w:noWrap/>
                  <w:vAlign w:val="center"/>
                </w:tcPr>
                <w:p w14:paraId="0259BEC6">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瓶</w:t>
                  </w:r>
                </w:p>
              </w:tc>
              <w:tc>
                <w:tcPr>
                  <w:tcW w:w="11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871EB">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1</w:t>
                  </w:r>
                </w:p>
              </w:tc>
              <w:tc>
                <w:tcPr>
                  <w:tcW w:w="1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722DC">
                  <w:pPr>
                    <w:jc w:val="center"/>
                    <w:rPr>
                      <w:rFonts w:hint="eastAsia" w:ascii="仿宋" w:hAnsi="仿宋" w:eastAsia="仿宋" w:cs="仿宋"/>
                      <w:kern w:val="0"/>
                      <w:sz w:val="19"/>
                      <w:szCs w:val="19"/>
                      <w:lang w:val="en-US" w:eastAsia="zh-CN" w:bidi="ar-SA"/>
                    </w:rPr>
                  </w:pPr>
                  <w:r>
                    <w:rPr>
                      <w:rFonts w:hint="eastAsia" w:ascii="仿宋" w:hAnsi="仿宋" w:eastAsia="仿宋" w:cs="仿宋"/>
                      <w:kern w:val="0"/>
                      <w:sz w:val="19"/>
                      <w:szCs w:val="19"/>
                    </w:rPr>
                    <w:t>900</w:t>
                  </w:r>
                </w:p>
              </w:tc>
            </w:tr>
            <w:tr w14:paraId="6CB409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4779" w:type="dxa"/>
                  <w:gridSpan w:val="4"/>
                  <w:tcBorders>
                    <w:top w:val="single" w:color="auto" w:sz="4" w:space="0"/>
                    <w:bottom w:val="single" w:color="auto" w:sz="4" w:space="0"/>
                    <w:right w:val="single" w:color="auto" w:sz="4" w:space="0"/>
                  </w:tcBorders>
                  <w:noWrap/>
                  <w:vAlign w:val="center"/>
                </w:tcPr>
                <w:p w14:paraId="6C3340CA">
                  <w:pPr>
                    <w:widowControl/>
                    <w:jc w:val="center"/>
                    <w:rPr>
                      <w:rFonts w:hint="eastAsia" w:ascii="仿宋" w:hAnsi="仿宋" w:eastAsia="仿宋" w:cs="仿宋"/>
                      <w:kern w:val="0"/>
                      <w:sz w:val="19"/>
                      <w:szCs w:val="19"/>
                    </w:rPr>
                  </w:pPr>
                  <w:r>
                    <w:rPr>
                      <w:rFonts w:hint="eastAsia" w:ascii="仿宋" w:hAnsi="仿宋" w:eastAsia="仿宋" w:cs="仿宋"/>
                      <w:kern w:val="0"/>
                      <w:sz w:val="19"/>
                      <w:szCs w:val="19"/>
                    </w:rPr>
                    <w:t>★</w:t>
                  </w:r>
                  <w:r>
                    <w:rPr>
                      <w:rFonts w:hint="eastAsia" w:ascii="仿宋" w:hAnsi="仿宋" w:eastAsia="仿宋" w:cs="仿宋"/>
                      <w:bCs/>
                      <w:kern w:val="0"/>
                      <w:sz w:val="19"/>
                      <w:szCs w:val="19"/>
                    </w:rPr>
                    <w:t>特殊气体</w:t>
                  </w:r>
                  <w:r>
                    <w:rPr>
                      <w:rFonts w:hint="eastAsia" w:ascii="仿宋" w:hAnsi="仿宋" w:eastAsia="仿宋" w:cs="仿宋"/>
                      <w:kern w:val="0"/>
                      <w:sz w:val="19"/>
                      <w:szCs w:val="19"/>
                    </w:rPr>
                    <w:t>最高限价=以上所有货物×</w:t>
                  </w:r>
                  <w:r>
                    <w:rPr>
                      <w:rFonts w:hint="eastAsia" w:ascii="仿宋" w:hAnsi="仿宋" w:eastAsia="仿宋" w:cs="仿宋"/>
                      <w:kern w:val="0"/>
                      <w:sz w:val="19"/>
                      <w:szCs w:val="19"/>
                      <w:lang w:val="en-US" w:eastAsia="zh-CN"/>
                    </w:rPr>
                    <w:t>叁</w:t>
                  </w:r>
                  <w:r>
                    <w:rPr>
                      <w:rFonts w:hint="eastAsia" w:ascii="仿宋" w:hAnsi="仿宋" w:eastAsia="仿宋" w:cs="仿宋"/>
                      <w:kern w:val="0"/>
                      <w:sz w:val="19"/>
                      <w:szCs w:val="19"/>
                    </w:rPr>
                    <w:t>年</w:t>
                  </w:r>
                </w:p>
              </w:tc>
              <w:tc>
                <w:tcPr>
                  <w:tcW w:w="3599" w:type="dxa"/>
                  <w:gridSpan w:val="3"/>
                  <w:tcBorders>
                    <w:top w:val="single" w:color="auto" w:sz="4" w:space="0"/>
                    <w:left w:val="single" w:color="auto" w:sz="4" w:space="0"/>
                    <w:bottom w:val="single" w:color="auto" w:sz="4" w:space="0"/>
                    <w:right w:val="single" w:color="auto" w:sz="4" w:space="0"/>
                  </w:tcBorders>
                  <w:noWrap/>
                  <w:vAlign w:val="center"/>
                </w:tcPr>
                <w:p w14:paraId="05496BAA">
                  <w:pPr>
                    <w:widowControl/>
                    <w:jc w:val="center"/>
                    <w:rPr>
                      <w:rFonts w:hint="eastAsia" w:ascii="仿宋" w:hAnsi="仿宋" w:eastAsia="仿宋" w:cs="仿宋"/>
                      <w:kern w:val="0"/>
                      <w:sz w:val="19"/>
                      <w:szCs w:val="19"/>
                    </w:rPr>
                  </w:pPr>
                </w:p>
              </w:tc>
            </w:tr>
            <w:bookmarkEnd w:id="3"/>
          </w:tbl>
          <w:p w14:paraId="21C2F2B1">
            <w:pPr>
              <w:rPr>
                <w:rFonts w:hint="eastAsia" w:ascii="仿宋" w:hAnsi="仿宋" w:eastAsia="仿宋" w:cs="仿宋"/>
              </w:rPr>
            </w:pPr>
          </w:p>
        </w:tc>
      </w:tr>
      <w:tr w14:paraId="6CD3D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9D94119">
            <w:pPr>
              <w:rPr>
                <w:rFonts w:hint="eastAsia" w:ascii="仿宋" w:hAnsi="仿宋" w:eastAsia="仿宋" w:cs="仿宋"/>
              </w:rPr>
            </w:pPr>
          </w:p>
        </w:tc>
        <w:tc>
          <w:tcPr>
            <w:tcW w:w="383" w:type="dxa"/>
          </w:tcPr>
          <w:p w14:paraId="2EA34941">
            <w:pPr>
              <w:pStyle w:val="10"/>
              <w:numPr>
                <w:ilvl w:val="0"/>
                <w:numId w:val="1"/>
              </w:numPr>
              <w:ind w:firstLineChars="0"/>
              <w:rPr>
                <w:rFonts w:hint="eastAsia" w:ascii="仿宋" w:hAnsi="仿宋" w:eastAsia="仿宋" w:cs="仿宋"/>
              </w:rPr>
            </w:pPr>
          </w:p>
        </w:tc>
        <w:tc>
          <w:tcPr>
            <w:tcW w:w="8498" w:type="dxa"/>
          </w:tcPr>
          <w:p w14:paraId="493E0F0A">
            <w:pPr>
              <w:rPr>
                <w:rFonts w:hint="eastAsia" w:ascii="仿宋" w:hAnsi="仿宋" w:eastAsia="仿宋" w:cs="仿宋"/>
              </w:rPr>
            </w:pPr>
            <w:r>
              <w:rPr>
                <w:rFonts w:hint="eastAsia" w:ascii="仿宋" w:hAnsi="仿宋" w:eastAsia="仿宋" w:cs="仿宋"/>
                <w:b/>
                <w:bCs/>
                <w:sz w:val="19"/>
                <w:szCs w:val="19"/>
              </w:rPr>
              <w:t>(二)、质量要求</w:t>
            </w:r>
          </w:p>
        </w:tc>
      </w:tr>
      <w:tr w14:paraId="50A58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5EA7D87">
            <w:pPr>
              <w:rPr>
                <w:rFonts w:hint="eastAsia" w:ascii="仿宋" w:hAnsi="仿宋" w:eastAsia="仿宋" w:cs="仿宋"/>
              </w:rPr>
            </w:pPr>
          </w:p>
        </w:tc>
        <w:tc>
          <w:tcPr>
            <w:tcW w:w="383" w:type="dxa"/>
          </w:tcPr>
          <w:p w14:paraId="5FDE55B8">
            <w:pPr>
              <w:widowControl/>
              <w:jc w:val="left"/>
              <w:rPr>
                <w:rFonts w:hint="eastAsia" w:ascii="仿宋" w:hAnsi="仿宋" w:eastAsia="仿宋" w:cs="仿宋"/>
                <w:kern w:val="0"/>
                <w:sz w:val="19"/>
                <w:szCs w:val="19"/>
              </w:rPr>
            </w:pPr>
          </w:p>
        </w:tc>
        <w:tc>
          <w:tcPr>
            <w:tcW w:w="8498" w:type="dxa"/>
          </w:tcPr>
          <w:p w14:paraId="6F8B5E1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投标人所提供的货物必须符合中华人民共和国国家安全环保标准、国家有关产品质量认证标准：符合《中华人民共和国药典》2020版要求，医用氧纯度≥99.5%以及其他相关的技术标准。严禁提供假冒伪劣物资，严禁用工业氧气冒充医用氧气，其它气体应符合国家最新质量标准。</w:t>
            </w:r>
          </w:p>
        </w:tc>
      </w:tr>
      <w:tr w14:paraId="1D18F0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95C5467">
            <w:pPr>
              <w:rPr>
                <w:rFonts w:hint="eastAsia" w:ascii="仿宋" w:hAnsi="仿宋" w:eastAsia="仿宋" w:cs="仿宋"/>
              </w:rPr>
            </w:pPr>
          </w:p>
        </w:tc>
        <w:tc>
          <w:tcPr>
            <w:tcW w:w="383" w:type="dxa"/>
          </w:tcPr>
          <w:p w14:paraId="661EF44B">
            <w:pPr>
              <w:widowControl/>
              <w:jc w:val="left"/>
              <w:rPr>
                <w:rFonts w:hint="eastAsia" w:ascii="仿宋" w:hAnsi="仿宋" w:eastAsia="仿宋" w:cs="仿宋"/>
                <w:kern w:val="0"/>
                <w:sz w:val="19"/>
                <w:szCs w:val="19"/>
              </w:rPr>
            </w:pPr>
          </w:p>
        </w:tc>
        <w:tc>
          <w:tcPr>
            <w:tcW w:w="8498" w:type="dxa"/>
          </w:tcPr>
          <w:p w14:paraId="4C8ECB4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投标人所供货物送达时须提供本批次的货物检验报告，如产品不达标，采购人有权拒收货物并要求投标人及时给予更换，由此产生的费用由投标人自行承担。采购人不定期对投标人所供医用气体进行抽检，如不符合质量标准，采购人有权要求投标人批量更换医用气体，并且采购人保留终止协议的权利，由此产生的费用由投标人自行承担。如有质量问题或与采购需求不符，由投标人承担全部责任，采购人保留追究相关损失的权利。</w:t>
            </w:r>
          </w:p>
        </w:tc>
      </w:tr>
      <w:tr w14:paraId="641FC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0D80787">
            <w:pPr>
              <w:rPr>
                <w:rFonts w:hint="eastAsia" w:ascii="仿宋" w:hAnsi="仿宋" w:eastAsia="仿宋" w:cs="仿宋"/>
              </w:rPr>
            </w:pPr>
          </w:p>
        </w:tc>
        <w:tc>
          <w:tcPr>
            <w:tcW w:w="383" w:type="dxa"/>
          </w:tcPr>
          <w:p w14:paraId="5AA5BED3">
            <w:pPr>
              <w:widowControl/>
              <w:jc w:val="left"/>
              <w:rPr>
                <w:rFonts w:hint="eastAsia" w:ascii="仿宋" w:hAnsi="仿宋" w:eastAsia="仿宋" w:cs="仿宋"/>
                <w:kern w:val="0"/>
                <w:sz w:val="19"/>
                <w:szCs w:val="19"/>
              </w:rPr>
            </w:pPr>
          </w:p>
        </w:tc>
        <w:tc>
          <w:tcPr>
            <w:tcW w:w="8498" w:type="dxa"/>
          </w:tcPr>
          <w:p w14:paraId="23969D5D">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（1）投标人有良好的、可靠的后续技术支持，具有服务机构（提供工商注册证明文件或租赁合同或产权证明）。</w:t>
            </w:r>
          </w:p>
        </w:tc>
      </w:tr>
      <w:tr w14:paraId="50CB4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31B54EC2">
            <w:pPr>
              <w:rPr>
                <w:rFonts w:hint="eastAsia" w:ascii="仿宋" w:hAnsi="仿宋" w:eastAsia="仿宋" w:cs="仿宋"/>
              </w:rPr>
            </w:pPr>
          </w:p>
        </w:tc>
        <w:tc>
          <w:tcPr>
            <w:tcW w:w="383" w:type="dxa"/>
          </w:tcPr>
          <w:p w14:paraId="139B379B">
            <w:pPr>
              <w:widowControl/>
              <w:jc w:val="left"/>
              <w:rPr>
                <w:rFonts w:hint="eastAsia" w:ascii="仿宋" w:hAnsi="仿宋" w:eastAsia="仿宋" w:cs="仿宋"/>
                <w:kern w:val="0"/>
                <w:sz w:val="19"/>
                <w:szCs w:val="19"/>
              </w:rPr>
            </w:pPr>
          </w:p>
        </w:tc>
        <w:tc>
          <w:tcPr>
            <w:tcW w:w="8498" w:type="dxa"/>
          </w:tcPr>
          <w:p w14:paraId="44B0E19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（2）每次供应时应提供供应产品的检验合格证书。</w:t>
            </w:r>
          </w:p>
        </w:tc>
      </w:tr>
      <w:tr w14:paraId="7B5BF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714" w:type="dxa"/>
          </w:tcPr>
          <w:p w14:paraId="21270230">
            <w:pPr>
              <w:rPr>
                <w:rFonts w:hint="eastAsia" w:ascii="仿宋" w:hAnsi="仿宋" w:eastAsia="仿宋" w:cs="仿宋"/>
              </w:rPr>
            </w:pPr>
          </w:p>
        </w:tc>
        <w:tc>
          <w:tcPr>
            <w:tcW w:w="383" w:type="dxa"/>
          </w:tcPr>
          <w:p w14:paraId="708BBC0F">
            <w:pPr>
              <w:widowControl/>
              <w:jc w:val="left"/>
              <w:rPr>
                <w:rFonts w:hint="eastAsia" w:ascii="仿宋" w:hAnsi="仿宋" w:eastAsia="仿宋" w:cs="仿宋"/>
                <w:kern w:val="0"/>
                <w:sz w:val="19"/>
                <w:szCs w:val="19"/>
              </w:rPr>
            </w:pPr>
          </w:p>
        </w:tc>
        <w:tc>
          <w:tcPr>
            <w:tcW w:w="8498" w:type="dxa"/>
          </w:tcPr>
          <w:p w14:paraId="3BBA765F">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（3）所供应的货物应为原生产厂家的全新产品，所供的医用液态氧气应从合格的生产企业处购买或自行生产，严禁提供假冒伪劣物资，严禁用工业氧气冒充医用氧气。</w:t>
            </w:r>
          </w:p>
        </w:tc>
      </w:tr>
      <w:tr w14:paraId="0BDB5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2E4E4EC">
            <w:pPr>
              <w:rPr>
                <w:rFonts w:hint="eastAsia" w:ascii="仿宋" w:hAnsi="仿宋" w:eastAsia="仿宋" w:cs="仿宋"/>
              </w:rPr>
            </w:pPr>
          </w:p>
        </w:tc>
        <w:tc>
          <w:tcPr>
            <w:tcW w:w="383" w:type="dxa"/>
          </w:tcPr>
          <w:p w14:paraId="722EDE50">
            <w:pPr>
              <w:widowControl/>
              <w:jc w:val="left"/>
              <w:rPr>
                <w:rFonts w:hint="eastAsia" w:ascii="仿宋" w:hAnsi="仿宋" w:eastAsia="仿宋" w:cs="仿宋"/>
                <w:kern w:val="0"/>
                <w:sz w:val="19"/>
                <w:szCs w:val="19"/>
              </w:rPr>
            </w:pPr>
          </w:p>
        </w:tc>
        <w:tc>
          <w:tcPr>
            <w:tcW w:w="8498" w:type="dxa"/>
          </w:tcPr>
          <w:p w14:paraId="0B13A631">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（4）医用氧出厂前，应按国家药品质量标准进行全检。每个容器都应帖有合格证，合格证上应注明：品名、企业名称、生产批号、生产日期、有效期、压力、纯度执行标准。</w:t>
            </w:r>
          </w:p>
        </w:tc>
      </w:tr>
      <w:tr w14:paraId="5B80C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844D2BD">
            <w:pPr>
              <w:rPr>
                <w:rFonts w:hint="eastAsia" w:ascii="仿宋" w:hAnsi="仿宋" w:eastAsia="仿宋" w:cs="仿宋"/>
              </w:rPr>
            </w:pPr>
          </w:p>
        </w:tc>
        <w:tc>
          <w:tcPr>
            <w:tcW w:w="383" w:type="dxa"/>
          </w:tcPr>
          <w:p w14:paraId="0355979F">
            <w:pPr>
              <w:widowControl/>
              <w:jc w:val="left"/>
              <w:rPr>
                <w:rFonts w:hint="eastAsia" w:ascii="仿宋" w:hAnsi="仿宋" w:eastAsia="仿宋" w:cs="仿宋"/>
                <w:kern w:val="0"/>
                <w:sz w:val="19"/>
                <w:szCs w:val="19"/>
              </w:rPr>
            </w:pPr>
          </w:p>
        </w:tc>
        <w:tc>
          <w:tcPr>
            <w:tcW w:w="8498" w:type="dxa"/>
          </w:tcPr>
          <w:p w14:paraId="05A66517">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3、质量标识：</w:t>
            </w:r>
          </w:p>
        </w:tc>
      </w:tr>
      <w:tr w14:paraId="4A336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6F56F9C">
            <w:pPr>
              <w:rPr>
                <w:rFonts w:hint="eastAsia" w:ascii="仿宋" w:hAnsi="仿宋" w:eastAsia="仿宋" w:cs="仿宋"/>
              </w:rPr>
            </w:pPr>
          </w:p>
        </w:tc>
        <w:tc>
          <w:tcPr>
            <w:tcW w:w="383" w:type="dxa"/>
          </w:tcPr>
          <w:p w14:paraId="40C7B67F">
            <w:pPr>
              <w:widowControl/>
              <w:jc w:val="left"/>
              <w:rPr>
                <w:rFonts w:hint="eastAsia" w:ascii="仿宋" w:hAnsi="仿宋" w:eastAsia="仿宋" w:cs="仿宋"/>
                <w:kern w:val="0"/>
                <w:sz w:val="19"/>
                <w:szCs w:val="19"/>
              </w:rPr>
            </w:pPr>
          </w:p>
        </w:tc>
        <w:tc>
          <w:tcPr>
            <w:tcW w:w="8498" w:type="dxa"/>
          </w:tcPr>
          <w:p w14:paraId="48B105AC">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质量标识：产品规格及验收应按分装瓶随瓶附有产品检验合格证，必须按国家药品质量标准进行全检。每个容器都应贴有合格证；按分装瓶标明产品名称，生产日期、生产批号、气体的容量(L)：压力(Mpa)、质量（kg)和纯度(%)（如有涉及表格内纯度要求的）、执行标准、生产企业等。</w:t>
            </w:r>
          </w:p>
        </w:tc>
      </w:tr>
      <w:tr w14:paraId="197C6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303689DB">
            <w:pPr>
              <w:rPr>
                <w:rFonts w:hint="eastAsia" w:ascii="仿宋" w:hAnsi="仿宋" w:eastAsia="仿宋" w:cs="仿宋"/>
              </w:rPr>
            </w:pPr>
          </w:p>
        </w:tc>
        <w:tc>
          <w:tcPr>
            <w:tcW w:w="383" w:type="dxa"/>
          </w:tcPr>
          <w:p w14:paraId="37535AE5">
            <w:pPr>
              <w:widowControl/>
              <w:jc w:val="left"/>
              <w:rPr>
                <w:rFonts w:hint="eastAsia" w:ascii="仿宋" w:hAnsi="仿宋" w:eastAsia="仿宋" w:cs="仿宋"/>
                <w:kern w:val="0"/>
                <w:sz w:val="19"/>
                <w:szCs w:val="19"/>
              </w:rPr>
            </w:pPr>
          </w:p>
        </w:tc>
        <w:tc>
          <w:tcPr>
            <w:tcW w:w="8498" w:type="dxa"/>
          </w:tcPr>
          <w:p w14:paraId="13D2CFD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（2）分类标识：对不同种类医用气体的气瓶及合格证，按国标以不同颜色区分，并按国标设置危险货物包装标志。</w:t>
            </w:r>
          </w:p>
        </w:tc>
      </w:tr>
      <w:tr w14:paraId="0F0675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4223366">
            <w:pPr>
              <w:rPr>
                <w:rFonts w:hint="eastAsia" w:ascii="仿宋" w:hAnsi="仿宋" w:eastAsia="仿宋" w:cs="仿宋"/>
              </w:rPr>
            </w:pPr>
          </w:p>
        </w:tc>
        <w:tc>
          <w:tcPr>
            <w:tcW w:w="383" w:type="dxa"/>
          </w:tcPr>
          <w:p w14:paraId="3F1AA912">
            <w:pPr>
              <w:widowControl/>
              <w:jc w:val="left"/>
              <w:rPr>
                <w:rFonts w:hint="eastAsia" w:ascii="仿宋" w:hAnsi="仿宋" w:eastAsia="仿宋" w:cs="仿宋"/>
                <w:kern w:val="0"/>
                <w:sz w:val="19"/>
                <w:szCs w:val="19"/>
              </w:rPr>
            </w:pPr>
          </w:p>
        </w:tc>
        <w:tc>
          <w:tcPr>
            <w:tcW w:w="8498" w:type="dxa"/>
          </w:tcPr>
          <w:p w14:paraId="7CD4E94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（3）对不符合质量要求和标识要求的货品，采购人有权拒收，投标人应及时给予退换。</w:t>
            </w:r>
          </w:p>
        </w:tc>
      </w:tr>
      <w:tr w14:paraId="7C250E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5E502FF">
            <w:pPr>
              <w:rPr>
                <w:rFonts w:hint="eastAsia" w:ascii="仿宋" w:hAnsi="仿宋" w:eastAsia="仿宋" w:cs="仿宋"/>
              </w:rPr>
            </w:pPr>
          </w:p>
        </w:tc>
        <w:tc>
          <w:tcPr>
            <w:tcW w:w="383" w:type="dxa"/>
          </w:tcPr>
          <w:p w14:paraId="3DB0A456">
            <w:pPr>
              <w:widowControl/>
              <w:jc w:val="left"/>
              <w:rPr>
                <w:rFonts w:hint="eastAsia" w:ascii="仿宋" w:hAnsi="仿宋" w:eastAsia="仿宋" w:cs="仿宋"/>
                <w:kern w:val="0"/>
                <w:sz w:val="19"/>
                <w:szCs w:val="19"/>
              </w:rPr>
            </w:pPr>
          </w:p>
        </w:tc>
        <w:tc>
          <w:tcPr>
            <w:tcW w:w="8498" w:type="dxa"/>
          </w:tcPr>
          <w:p w14:paraId="3C9D5DD2">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4、气瓶维护保养和检测：投标人负责对采购人提供的气瓶进行后续的维护保养、定期检验，并由具备检验资质的公司出具检测合格证明；如采购人因气瓶年检或维修，投标人应按采购人需要提供合理数量的气瓶给采购人使用，以满足采购人的要求为准，投标人提供的气瓶应符合国家安全质量要求。以上费用均包含在本项目投标报价中，采购人不再另行支付。</w:t>
            </w:r>
          </w:p>
        </w:tc>
      </w:tr>
      <w:tr w14:paraId="760049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34A308C7">
            <w:pPr>
              <w:rPr>
                <w:rFonts w:hint="eastAsia" w:ascii="仿宋" w:hAnsi="仿宋" w:eastAsia="仿宋" w:cs="仿宋"/>
              </w:rPr>
            </w:pPr>
          </w:p>
        </w:tc>
        <w:tc>
          <w:tcPr>
            <w:tcW w:w="383" w:type="dxa"/>
          </w:tcPr>
          <w:p w14:paraId="6D947B8E">
            <w:pPr>
              <w:widowControl/>
              <w:jc w:val="left"/>
              <w:rPr>
                <w:rFonts w:hint="eastAsia" w:ascii="仿宋" w:hAnsi="仿宋" w:eastAsia="仿宋" w:cs="仿宋"/>
                <w:kern w:val="0"/>
                <w:sz w:val="19"/>
                <w:szCs w:val="19"/>
              </w:rPr>
            </w:pPr>
          </w:p>
        </w:tc>
        <w:tc>
          <w:tcPr>
            <w:tcW w:w="8498" w:type="dxa"/>
          </w:tcPr>
          <w:p w14:paraId="7454D870">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5、因产品的质量问题发生争议，由广东省或广州市质检部门进行质量鉴定。采购人与中标人认为有需要，可以共同提出或分别提出质量鉴定，若广东省质检部门与广州市质检部门的鉴定结论不一致的，以广东省质检部门的鉴定结论为准。产品符合质量标准的，鉴定费由采购人承担；产品不符合质量标准的，鉴定费由中标人承担。</w:t>
            </w:r>
          </w:p>
        </w:tc>
      </w:tr>
      <w:tr w14:paraId="719955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413AD94">
            <w:pPr>
              <w:rPr>
                <w:rFonts w:hint="eastAsia" w:ascii="仿宋" w:hAnsi="仿宋" w:eastAsia="仿宋" w:cs="仿宋"/>
              </w:rPr>
            </w:pPr>
          </w:p>
        </w:tc>
        <w:tc>
          <w:tcPr>
            <w:tcW w:w="383" w:type="dxa"/>
          </w:tcPr>
          <w:p w14:paraId="01F6AF28">
            <w:pPr>
              <w:widowControl/>
              <w:jc w:val="left"/>
              <w:rPr>
                <w:rFonts w:hint="eastAsia" w:ascii="仿宋" w:hAnsi="仿宋" w:eastAsia="仿宋" w:cs="仿宋"/>
                <w:kern w:val="0"/>
                <w:sz w:val="19"/>
                <w:szCs w:val="19"/>
              </w:rPr>
            </w:pPr>
          </w:p>
        </w:tc>
        <w:tc>
          <w:tcPr>
            <w:tcW w:w="8498" w:type="dxa"/>
          </w:tcPr>
          <w:p w14:paraId="6FAA415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6、对于影响配送货物正常工作的必要组成部分，无论在采购需求中指出与否，投标人都应提供并在投标文件中明确列出。</w:t>
            </w:r>
          </w:p>
        </w:tc>
      </w:tr>
      <w:tr w14:paraId="393F1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227B07CF">
            <w:pPr>
              <w:rPr>
                <w:rFonts w:hint="eastAsia" w:ascii="仿宋" w:hAnsi="仿宋" w:eastAsia="仿宋" w:cs="仿宋"/>
              </w:rPr>
            </w:pPr>
          </w:p>
        </w:tc>
        <w:tc>
          <w:tcPr>
            <w:tcW w:w="383" w:type="dxa"/>
          </w:tcPr>
          <w:p w14:paraId="64E74313">
            <w:pPr>
              <w:widowControl/>
              <w:jc w:val="left"/>
              <w:rPr>
                <w:rFonts w:hint="eastAsia" w:ascii="仿宋" w:hAnsi="仿宋" w:eastAsia="仿宋" w:cs="仿宋"/>
                <w:kern w:val="0"/>
                <w:sz w:val="19"/>
                <w:szCs w:val="19"/>
              </w:rPr>
            </w:pPr>
          </w:p>
        </w:tc>
        <w:tc>
          <w:tcPr>
            <w:tcW w:w="8498" w:type="dxa"/>
          </w:tcPr>
          <w:p w14:paraId="1705168F">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7、为保证配送货物质量，投标人应针对本项目实际情况及质量要求，提供产品质量保证及措施方案。</w:t>
            </w:r>
          </w:p>
        </w:tc>
      </w:tr>
      <w:tr w14:paraId="19A03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4C5345B">
            <w:pPr>
              <w:rPr>
                <w:rFonts w:hint="eastAsia" w:ascii="仿宋" w:hAnsi="仿宋" w:eastAsia="仿宋" w:cs="仿宋"/>
              </w:rPr>
            </w:pPr>
          </w:p>
        </w:tc>
        <w:tc>
          <w:tcPr>
            <w:tcW w:w="383" w:type="dxa"/>
          </w:tcPr>
          <w:p w14:paraId="5C766EFC">
            <w:pPr>
              <w:widowControl/>
              <w:jc w:val="left"/>
              <w:rPr>
                <w:rFonts w:hint="eastAsia" w:ascii="仿宋" w:hAnsi="仿宋" w:eastAsia="仿宋" w:cs="仿宋"/>
                <w:kern w:val="0"/>
                <w:sz w:val="19"/>
                <w:szCs w:val="19"/>
              </w:rPr>
            </w:pPr>
          </w:p>
        </w:tc>
        <w:tc>
          <w:tcPr>
            <w:tcW w:w="8498" w:type="dxa"/>
          </w:tcPr>
          <w:p w14:paraId="468C90EA">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8、混合气及高纯气体质量要求较为精准，需专瓶专用，中标人不得提供周转钢瓶使用。</w:t>
            </w:r>
          </w:p>
        </w:tc>
      </w:tr>
      <w:tr w14:paraId="64D87B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31CDB637">
            <w:pPr>
              <w:rPr>
                <w:rFonts w:hint="eastAsia" w:ascii="仿宋" w:hAnsi="仿宋" w:eastAsia="仿宋" w:cs="仿宋"/>
              </w:rPr>
            </w:pPr>
          </w:p>
        </w:tc>
        <w:tc>
          <w:tcPr>
            <w:tcW w:w="383" w:type="dxa"/>
          </w:tcPr>
          <w:p w14:paraId="3BD41DD8">
            <w:pPr>
              <w:widowControl/>
              <w:jc w:val="left"/>
              <w:rPr>
                <w:rFonts w:hint="eastAsia" w:ascii="仿宋" w:hAnsi="仿宋" w:eastAsia="仿宋" w:cs="仿宋"/>
                <w:kern w:val="0"/>
                <w:sz w:val="19"/>
                <w:szCs w:val="19"/>
              </w:rPr>
            </w:pPr>
          </w:p>
        </w:tc>
        <w:tc>
          <w:tcPr>
            <w:tcW w:w="8498" w:type="dxa"/>
          </w:tcPr>
          <w:p w14:paraId="5389B458">
            <w:pPr>
              <w:rPr>
                <w:rFonts w:hint="eastAsia" w:ascii="仿宋" w:hAnsi="仿宋" w:eastAsia="仿宋" w:cs="仿宋"/>
                <w:kern w:val="0"/>
                <w:sz w:val="19"/>
                <w:szCs w:val="19"/>
              </w:rPr>
            </w:pPr>
            <w:r>
              <w:rPr>
                <w:rFonts w:hint="eastAsia" w:ascii="仿宋" w:hAnsi="仿宋" w:eastAsia="仿宋" w:cs="仿宋"/>
                <w:b/>
                <w:bCs/>
                <w:sz w:val="19"/>
                <w:szCs w:val="19"/>
              </w:rPr>
              <w:t xml:space="preserve">（三)服务要求 </w:t>
            </w:r>
          </w:p>
        </w:tc>
      </w:tr>
      <w:tr w14:paraId="6370B8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01017D1">
            <w:pPr>
              <w:rPr>
                <w:rFonts w:hint="eastAsia" w:ascii="仿宋" w:hAnsi="仿宋" w:eastAsia="仿宋" w:cs="仿宋"/>
              </w:rPr>
            </w:pPr>
          </w:p>
        </w:tc>
        <w:tc>
          <w:tcPr>
            <w:tcW w:w="383" w:type="dxa"/>
          </w:tcPr>
          <w:p w14:paraId="646E8710">
            <w:pPr>
              <w:widowControl/>
              <w:jc w:val="left"/>
              <w:rPr>
                <w:rFonts w:hint="eastAsia" w:ascii="仿宋" w:hAnsi="仿宋" w:eastAsia="仿宋" w:cs="仿宋"/>
                <w:kern w:val="0"/>
                <w:sz w:val="19"/>
                <w:szCs w:val="19"/>
              </w:rPr>
            </w:pPr>
          </w:p>
        </w:tc>
        <w:tc>
          <w:tcPr>
            <w:tcW w:w="8498" w:type="dxa"/>
          </w:tcPr>
          <w:p w14:paraId="7F405E5B">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1、交货方式：所有货物需根据采购人的需求分批次配送，具体种类及交货时间由采购人通知投标人。投标人提供正式税务发票和盖有公章的送货单、每批次的检验合格证。</w:t>
            </w:r>
          </w:p>
        </w:tc>
      </w:tr>
      <w:tr w14:paraId="6B90C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65C3E50">
            <w:pPr>
              <w:rPr>
                <w:rFonts w:hint="eastAsia" w:ascii="仿宋" w:hAnsi="仿宋" w:eastAsia="仿宋" w:cs="仿宋"/>
              </w:rPr>
            </w:pPr>
          </w:p>
        </w:tc>
        <w:tc>
          <w:tcPr>
            <w:tcW w:w="383" w:type="dxa"/>
          </w:tcPr>
          <w:p w14:paraId="4BCF6E0F">
            <w:pPr>
              <w:widowControl/>
              <w:jc w:val="left"/>
              <w:rPr>
                <w:rFonts w:hint="eastAsia" w:ascii="仿宋" w:hAnsi="仿宋" w:eastAsia="仿宋" w:cs="仿宋"/>
                <w:kern w:val="0"/>
                <w:sz w:val="19"/>
                <w:szCs w:val="19"/>
              </w:rPr>
            </w:pPr>
          </w:p>
        </w:tc>
        <w:tc>
          <w:tcPr>
            <w:tcW w:w="8498" w:type="dxa"/>
          </w:tcPr>
          <w:p w14:paraId="4BEBBEE4">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2、★交货时间：投标人接到采购人订单需求后，24小时内将采购人所需的医用气体送达到指定地点，如遇紧急情况要求3小时内送达。</w:t>
            </w:r>
          </w:p>
          <w:p w14:paraId="6FBE1DF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费用包含在本项目报价内。</w:t>
            </w:r>
          </w:p>
        </w:tc>
      </w:tr>
      <w:tr w14:paraId="7500B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2B7742B2">
            <w:pPr>
              <w:rPr>
                <w:rFonts w:hint="eastAsia" w:ascii="仿宋" w:hAnsi="仿宋" w:eastAsia="仿宋" w:cs="仿宋"/>
              </w:rPr>
            </w:pPr>
          </w:p>
        </w:tc>
        <w:tc>
          <w:tcPr>
            <w:tcW w:w="383" w:type="dxa"/>
          </w:tcPr>
          <w:p w14:paraId="19467F9B">
            <w:pPr>
              <w:widowControl/>
              <w:jc w:val="left"/>
              <w:rPr>
                <w:rFonts w:hint="eastAsia" w:ascii="仿宋" w:hAnsi="仿宋" w:eastAsia="仿宋" w:cs="仿宋"/>
                <w:kern w:val="0"/>
                <w:sz w:val="19"/>
                <w:szCs w:val="19"/>
              </w:rPr>
            </w:pPr>
          </w:p>
        </w:tc>
        <w:tc>
          <w:tcPr>
            <w:tcW w:w="8498" w:type="dxa"/>
          </w:tcPr>
          <w:p w14:paraId="409A2816">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为保证本项目安全执行，投标人或委托的运输公司每次送货需配备至少2名配送人员。配送人员中须至少有一人具有道路危险货物运输驾驶员证、至少有一人具有道路危险货物运输押运人员证(同一人可具有多项证书，但配送人员必须为2名或以上的持证人员。提供送货人员的身份证、距本项目投标截止前六个月内任意一个月投标人或委托运输公司为其购买社保证明文件、道路危险货物运输驾驶员证、道路危险货物运输押运人员证)。</w:t>
            </w:r>
          </w:p>
        </w:tc>
      </w:tr>
      <w:tr w14:paraId="362A6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37B1C3B0">
            <w:pPr>
              <w:rPr>
                <w:rFonts w:hint="eastAsia" w:ascii="仿宋" w:hAnsi="仿宋" w:eastAsia="仿宋" w:cs="仿宋"/>
              </w:rPr>
            </w:pPr>
          </w:p>
        </w:tc>
        <w:tc>
          <w:tcPr>
            <w:tcW w:w="383" w:type="dxa"/>
          </w:tcPr>
          <w:p w14:paraId="39AD0696">
            <w:pPr>
              <w:widowControl/>
              <w:jc w:val="left"/>
              <w:rPr>
                <w:rFonts w:hint="eastAsia" w:ascii="仿宋" w:hAnsi="仿宋" w:eastAsia="仿宋" w:cs="仿宋"/>
                <w:kern w:val="0"/>
                <w:sz w:val="19"/>
                <w:szCs w:val="19"/>
              </w:rPr>
            </w:pPr>
          </w:p>
        </w:tc>
        <w:tc>
          <w:tcPr>
            <w:tcW w:w="8498" w:type="dxa"/>
          </w:tcPr>
          <w:p w14:paraId="3DE2858E">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4、中标人提供的产品如出现质量问题、气瓶漏气等，中标人应在收到采购人通知后12小时或以内给予更换，所发生的费用由中标人自行承担，否则该批货物不给予支付货款。</w:t>
            </w:r>
          </w:p>
        </w:tc>
      </w:tr>
      <w:tr w14:paraId="53B846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3246BEA">
            <w:pPr>
              <w:rPr>
                <w:rFonts w:hint="eastAsia" w:ascii="仿宋" w:hAnsi="仿宋" w:eastAsia="仿宋" w:cs="仿宋"/>
              </w:rPr>
            </w:pPr>
          </w:p>
        </w:tc>
        <w:tc>
          <w:tcPr>
            <w:tcW w:w="383" w:type="dxa"/>
          </w:tcPr>
          <w:p w14:paraId="774CA7FA">
            <w:pPr>
              <w:widowControl/>
              <w:jc w:val="left"/>
              <w:rPr>
                <w:rFonts w:hint="eastAsia" w:ascii="仿宋" w:hAnsi="仿宋" w:eastAsia="仿宋" w:cs="仿宋"/>
                <w:kern w:val="0"/>
                <w:sz w:val="19"/>
                <w:szCs w:val="19"/>
              </w:rPr>
            </w:pPr>
          </w:p>
        </w:tc>
        <w:tc>
          <w:tcPr>
            <w:tcW w:w="8498" w:type="dxa"/>
          </w:tcPr>
          <w:p w14:paraId="52D515F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5、合同签定后30天内，中标人应做好供应准备，以便随时按照采购人要求提供供货服务。供货时以书面通知为准，中标人在收到书面通知后，用符合国家规定的运输工具（液罐车），按通知中规定的数量、供应地点等要求卸至指定的地点。如遇特殊情况，中标人须配合医院紧急用气的需求。供应时将对实际供货情况作记录，并由双方签字确认。</w:t>
            </w:r>
          </w:p>
        </w:tc>
      </w:tr>
      <w:tr w14:paraId="3CAE7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F81D8EE">
            <w:pPr>
              <w:rPr>
                <w:rFonts w:hint="eastAsia" w:ascii="仿宋" w:hAnsi="仿宋" w:eastAsia="仿宋" w:cs="仿宋"/>
              </w:rPr>
            </w:pPr>
          </w:p>
        </w:tc>
        <w:tc>
          <w:tcPr>
            <w:tcW w:w="383" w:type="dxa"/>
          </w:tcPr>
          <w:p w14:paraId="136BF8DB">
            <w:pPr>
              <w:widowControl/>
              <w:jc w:val="left"/>
              <w:rPr>
                <w:rFonts w:hint="eastAsia" w:ascii="仿宋" w:hAnsi="仿宋" w:eastAsia="仿宋" w:cs="仿宋"/>
                <w:kern w:val="0"/>
                <w:sz w:val="19"/>
                <w:szCs w:val="19"/>
              </w:rPr>
            </w:pPr>
          </w:p>
        </w:tc>
        <w:tc>
          <w:tcPr>
            <w:tcW w:w="8498" w:type="dxa"/>
          </w:tcPr>
          <w:p w14:paraId="3036AD9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6、面对春节及高考、暴雨天气等异常情况，中标人应提前做好氧气供应预案，同时与采购人设备器材科紧密联系，确保医用气体及时供应。</w:t>
            </w:r>
          </w:p>
        </w:tc>
      </w:tr>
      <w:tr w14:paraId="20A3B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C25E7C8">
            <w:pPr>
              <w:rPr>
                <w:rFonts w:hint="eastAsia" w:ascii="仿宋" w:hAnsi="仿宋" w:eastAsia="仿宋" w:cs="仿宋"/>
              </w:rPr>
            </w:pPr>
          </w:p>
        </w:tc>
        <w:tc>
          <w:tcPr>
            <w:tcW w:w="383" w:type="dxa"/>
          </w:tcPr>
          <w:p w14:paraId="25399197">
            <w:pPr>
              <w:widowControl/>
              <w:jc w:val="left"/>
              <w:rPr>
                <w:rFonts w:hint="eastAsia" w:ascii="仿宋" w:hAnsi="仿宋" w:eastAsia="仿宋" w:cs="仿宋"/>
                <w:kern w:val="0"/>
                <w:sz w:val="19"/>
                <w:szCs w:val="19"/>
              </w:rPr>
            </w:pPr>
          </w:p>
        </w:tc>
        <w:tc>
          <w:tcPr>
            <w:tcW w:w="8498" w:type="dxa"/>
          </w:tcPr>
          <w:p w14:paraId="2C930E9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7、中标人应制定周密且可行的应急预案，在签订合同前需经设备器材科确认应急预案后，提供采购人设备器材科等存档。</w:t>
            </w:r>
          </w:p>
        </w:tc>
      </w:tr>
      <w:tr w14:paraId="21E8D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3569042">
            <w:pPr>
              <w:rPr>
                <w:rFonts w:hint="eastAsia" w:ascii="仿宋" w:hAnsi="仿宋" w:eastAsia="仿宋" w:cs="仿宋"/>
              </w:rPr>
            </w:pPr>
          </w:p>
        </w:tc>
        <w:tc>
          <w:tcPr>
            <w:tcW w:w="383" w:type="dxa"/>
          </w:tcPr>
          <w:p w14:paraId="6AE91E26">
            <w:pPr>
              <w:widowControl/>
              <w:jc w:val="left"/>
              <w:rPr>
                <w:rFonts w:hint="eastAsia" w:ascii="仿宋" w:hAnsi="仿宋" w:eastAsia="仿宋" w:cs="仿宋"/>
                <w:kern w:val="0"/>
                <w:sz w:val="19"/>
                <w:szCs w:val="19"/>
              </w:rPr>
            </w:pPr>
          </w:p>
        </w:tc>
        <w:tc>
          <w:tcPr>
            <w:tcW w:w="8498" w:type="dxa"/>
          </w:tcPr>
          <w:p w14:paraId="0C36806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8、供应地点：南方医科大学中西医结合医院。运送采购人指定交收点，不得另外加收运输费用。</w:t>
            </w:r>
          </w:p>
        </w:tc>
      </w:tr>
      <w:tr w14:paraId="0112B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DC514E2">
            <w:pPr>
              <w:rPr>
                <w:rFonts w:hint="eastAsia" w:ascii="仿宋" w:hAnsi="仿宋" w:eastAsia="仿宋" w:cs="仿宋"/>
              </w:rPr>
            </w:pPr>
          </w:p>
        </w:tc>
        <w:tc>
          <w:tcPr>
            <w:tcW w:w="383" w:type="dxa"/>
          </w:tcPr>
          <w:p w14:paraId="0CBF13C5">
            <w:pPr>
              <w:widowControl/>
              <w:jc w:val="left"/>
              <w:rPr>
                <w:rFonts w:hint="eastAsia" w:ascii="仿宋" w:hAnsi="仿宋" w:eastAsia="仿宋" w:cs="仿宋"/>
                <w:kern w:val="0"/>
                <w:sz w:val="19"/>
                <w:szCs w:val="19"/>
              </w:rPr>
            </w:pPr>
          </w:p>
        </w:tc>
        <w:tc>
          <w:tcPr>
            <w:tcW w:w="8498" w:type="dxa"/>
          </w:tcPr>
          <w:p w14:paraId="1966352D">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9、供应方式：在正常上班工作日内，中标人按采购人提供的数量准时将货送达。特殊情况供应时间另行商定。</w:t>
            </w:r>
          </w:p>
        </w:tc>
      </w:tr>
      <w:tr w14:paraId="35473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57179AD">
            <w:pPr>
              <w:rPr>
                <w:rFonts w:hint="eastAsia" w:ascii="仿宋" w:hAnsi="仿宋" w:eastAsia="仿宋" w:cs="仿宋"/>
              </w:rPr>
            </w:pPr>
          </w:p>
        </w:tc>
        <w:tc>
          <w:tcPr>
            <w:tcW w:w="383" w:type="dxa"/>
          </w:tcPr>
          <w:p w14:paraId="2D55CCFF">
            <w:pPr>
              <w:widowControl/>
              <w:jc w:val="left"/>
              <w:rPr>
                <w:rFonts w:hint="eastAsia" w:ascii="仿宋" w:hAnsi="仿宋" w:eastAsia="仿宋" w:cs="仿宋"/>
                <w:kern w:val="0"/>
                <w:sz w:val="19"/>
                <w:szCs w:val="19"/>
              </w:rPr>
            </w:pPr>
          </w:p>
        </w:tc>
        <w:tc>
          <w:tcPr>
            <w:tcW w:w="8498" w:type="dxa"/>
          </w:tcPr>
          <w:p w14:paraId="4FA62E33">
            <w:pPr>
              <w:rPr>
                <w:rFonts w:hint="eastAsia" w:ascii="仿宋" w:hAnsi="仿宋" w:eastAsia="仿宋" w:cs="仿宋"/>
                <w:kern w:val="0"/>
                <w:sz w:val="19"/>
                <w:szCs w:val="19"/>
              </w:rPr>
            </w:pPr>
            <w:r>
              <w:rPr>
                <w:rFonts w:hint="eastAsia" w:ascii="仿宋" w:hAnsi="仿宋" w:eastAsia="仿宋" w:cs="仿宋"/>
                <w:b/>
                <w:bCs/>
                <w:sz w:val="19"/>
                <w:szCs w:val="19"/>
              </w:rPr>
              <w:t>(四)、其他要求</w:t>
            </w:r>
          </w:p>
        </w:tc>
      </w:tr>
      <w:tr w14:paraId="58F8B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77D0E27">
            <w:pPr>
              <w:rPr>
                <w:rFonts w:hint="eastAsia" w:ascii="仿宋" w:hAnsi="仿宋" w:eastAsia="仿宋" w:cs="仿宋"/>
              </w:rPr>
            </w:pPr>
          </w:p>
        </w:tc>
        <w:tc>
          <w:tcPr>
            <w:tcW w:w="383" w:type="dxa"/>
          </w:tcPr>
          <w:p w14:paraId="63949EA5">
            <w:pPr>
              <w:widowControl/>
              <w:jc w:val="left"/>
              <w:rPr>
                <w:rFonts w:hint="eastAsia" w:ascii="仿宋" w:hAnsi="仿宋" w:eastAsia="仿宋" w:cs="仿宋"/>
                <w:kern w:val="0"/>
                <w:sz w:val="19"/>
                <w:szCs w:val="19"/>
              </w:rPr>
            </w:pPr>
          </w:p>
        </w:tc>
        <w:tc>
          <w:tcPr>
            <w:tcW w:w="8498" w:type="dxa"/>
          </w:tcPr>
          <w:p w14:paraId="57970DC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1、在规定的质保期内，中标人对所供的医用氧气由于制造或材料缺陷而发生的任何损失负责。</w:t>
            </w:r>
          </w:p>
        </w:tc>
      </w:tr>
      <w:tr w14:paraId="6427DB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96FC3B6">
            <w:pPr>
              <w:rPr>
                <w:rFonts w:hint="eastAsia" w:ascii="仿宋" w:hAnsi="仿宋" w:eastAsia="仿宋" w:cs="仿宋"/>
              </w:rPr>
            </w:pPr>
          </w:p>
        </w:tc>
        <w:tc>
          <w:tcPr>
            <w:tcW w:w="383" w:type="dxa"/>
          </w:tcPr>
          <w:p w14:paraId="2FB402A5">
            <w:pPr>
              <w:widowControl/>
              <w:jc w:val="left"/>
              <w:rPr>
                <w:rFonts w:hint="eastAsia" w:ascii="仿宋" w:hAnsi="仿宋" w:eastAsia="仿宋" w:cs="仿宋"/>
                <w:kern w:val="0"/>
                <w:sz w:val="19"/>
                <w:szCs w:val="19"/>
              </w:rPr>
            </w:pPr>
          </w:p>
        </w:tc>
        <w:tc>
          <w:tcPr>
            <w:tcW w:w="8498" w:type="dxa"/>
          </w:tcPr>
          <w:p w14:paraId="27D65281">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投标人需保障本项目采购的医用氧产品和其他医用气体有充足的储备，能完全满足且保障采购人的日常采购需要。本项目采购医用液氧较多，要求投标人具备一定的液氧储存能力。投标人需提供液氧储存方案，从储存能力、储存方式、储存计划方面制定详细的实施措施，保障采购人的液氧供应。</w:t>
            </w:r>
          </w:p>
        </w:tc>
      </w:tr>
      <w:tr w14:paraId="16FB4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8105604">
            <w:pPr>
              <w:rPr>
                <w:rFonts w:hint="eastAsia" w:ascii="仿宋" w:hAnsi="仿宋" w:eastAsia="仿宋" w:cs="仿宋"/>
              </w:rPr>
            </w:pPr>
          </w:p>
        </w:tc>
        <w:tc>
          <w:tcPr>
            <w:tcW w:w="383" w:type="dxa"/>
          </w:tcPr>
          <w:p w14:paraId="55C0BD48">
            <w:pPr>
              <w:widowControl/>
              <w:jc w:val="left"/>
              <w:rPr>
                <w:rFonts w:hint="eastAsia" w:ascii="仿宋" w:hAnsi="仿宋" w:eastAsia="仿宋" w:cs="仿宋"/>
                <w:kern w:val="0"/>
                <w:sz w:val="19"/>
                <w:szCs w:val="19"/>
              </w:rPr>
            </w:pPr>
          </w:p>
        </w:tc>
        <w:tc>
          <w:tcPr>
            <w:tcW w:w="8498" w:type="dxa"/>
          </w:tcPr>
          <w:p w14:paraId="5E2A473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3、投标文件中以及供应产品时提供下列证明材料：（包含但不限于）</w:t>
            </w:r>
          </w:p>
        </w:tc>
      </w:tr>
      <w:tr w14:paraId="68A06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1F66A82">
            <w:pPr>
              <w:rPr>
                <w:rFonts w:hint="eastAsia" w:ascii="仿宋" w:hAnsi="仿宋" w:eastAsia="仿宋" w:cs="仿宋"/>
              </w:rPr>
            </w:pPr>
          </w:p>
        </w:tc>
        <w:tc>
          <w:tcPr>
            <w:tcW w:w="383" w:type="dxa"/>
          </w:tcPr>
          <w:p w14:paraId="2560D4F8">
            <w:pPr>
              <w:widowControl/>
              <w:jc w:val="left"/>
              <w:rPr>
                <w:rFonts w:hint="eastAsia" w:ascii="仿宋" w:hAnsi="仿宋" w:eastAsia="仿宋" w:cs="仿宋"/>
                <w:kern w:val="0"/>
                <w:sz w:val="19"/>
                <w:szCs w:val="19"/>
              </w:rPr>
            </w:pPr>
          </w:p>
        </w:tc>
        <w:tc>
          <w:tcPr>
            <w:tcW w:w="8498" w:type="dxa"/>
          </w:tcPr>
          <w:p w14:paraId="0ED6FC7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（1）质量档案样本，验收、养护、销售记录样本。</w:t>
            </w:r>
          </w:p>
        </w:tc>
      </w:tr>
      <w:tr w14:paraId="5298B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BC0F141">
            <w:pPr>
              <w:rPr>
                <w:rFonts w:hint="eastAsia" w:ascii="仿宋" w:hAnsi="仿宋" w:eastAsia="仿宋" w:cs="仿宋"/>
              </w:rPr>
            </w:pPr>
          </w:p>
        </w:tc>
        <w:tc>
          <w:tcPr>
            <w:tcW w:w="383" w:type="dxa"/>
          </w:tcPr>
          <w:p w14:paraId="63F42C3E">
            <w:pPr>
              <w:widowControl/>
              <w:jc w:val="left"/>
              <w:rPr>
                <w:rFonts w:hint="eastAsia" w:ascii="仿宋" w:hAnsi="仿宋" w:eastAsia="仿宋" w:cs="仿宋"/>
                <w:kern w:val="0"/>
                <w:sz w:val="19"/>
                <w:szCs w:val="19"/>
              </w:rPr>
            </w:pPr>
          </w:p>
        </w:tc>
        <w:tc>
          <w:tcPr>
            <w:tcW w:w="8498" w:type="dxa"/>
          </w:tcPr>
          <w:p w14:paraId="29523A70">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（2）企业负责人和养护保管人员具有培训合格的上岗证。</w:t>
            </w:r>
          </w:p>
        </w:tc>
      </w:tr>
      <w:tr w14:paraId="75612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74F90D8">
            <w:pPr>
              <w:rPr>
                <w:rFonts w:hint="eastAsia" w:ascii="仿宋" w:hAnsi="仿宋" w:eastAsia="仿宋" w:cs="仿宋"/>
              </w:rPr>
            </w:pPr>
          </w:p>
        </w:tc>
        <w:tc>
          <w:tcPr>
            <w:tcW w:w="383" w:type="dxa"/>
          </w:tcPr>
          <w:p w14:paraId="52748BFA">
            <w:pPr>
              <w:widowControl/>
              <w:jc w:val="left"/>
              <w:rPr>
                <w:rFonts w:hint="eastAsia" w:ascii="仿宋" w:hAnsi="仿宋" w:eastAsia="仿宋" w:cs="仿宋"/>
                <w:kern w:val="0"/>
                <w:sz w:val="19"/>
                <w:szCs w:val="19"/>
              </w:rPr>
            </w:pPr>
          </w:p>
        </w:tc>
        <w:tc>
          <w:tcPr>
            <w:tcW w:w="8498" w:type="dxa"/>
          </w:tcPr>
          <w:p w14:paraId="5C2AEA0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（3）专用运输车辆的情况。</w:t>
            </w:r>
          </w:p>
        </w:tc>
      </w:tr>
      <w:tr w14:paraId="2A3EB9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2BA9F715">
            <w:pPr>
              <w:rPr>
                <w:rFonts w:hint="eastAsia" w:ascii="仿宋" w:hAnsi="仿宋" w:eastAsia="仿宋" w:cs="仿宋"/>
              </w:rPr>
            </w:pPr>
          </w:p>
        </w:tc>
        <w:tc>
          <w:tcPr>
            <w:tcW w:w="383" w:type="dxa"/>
          </w:tcPr>
          <w:p w14:paraId="3278995A">
            <w:pPr>
              <w:widowControl/>
              <w:jc w:val="left"/>
              <w:rPr>
                <w:rFonts w:hint="eastAsia" w:ascii="仿宋" w:hAnsi="仿宋" w:eastAsia="仿宋" w:cs="仿宋"/>
                <w:kern w:val="0"/>
                <w:sz w:val="19"/>
                <w:szCs w:val="19"/>
              </w:rPr>
            </w:pPr>
          </w:p>
        </w:tc>
        <w:tc>
          <w:tcPr>
            <w:tcW w:w="8498" w:type="dxa"/>
          </w:tcPr>
          <w:p w14:paraId="579FD86D">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（4）各项规章制度、生产操作流程及规范。</w:t>
            </w:r>
          </w:p>
        </w:tc>
      </w:tr>
      <w:tr w14:paraId="2FA2F9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35C2652">
            <w:pPr>
              <w:rPr>
                <w:rFonts w:hint="eastAsia" w:ascii="仿宋" w:hAnsi="仿宋" w:eastAsia="仿宋" w:cs="仿宋"/>
              </w:rPr>
            </w:pPr>
          </w:p>
        </w:tc>
        <w:tc>
          <w:tcPr>
            <w:tcW w:w="383" w:type="dxa"/>
          </w:tcPr>
          <w:p w14:paraId="4136F992">
            <w:pPr>
              <w:widowControl/>
              <w:jc w:val="left"/>
              <w:rPr>
                <w:rFonts w:hint="eastAsia" w:ascii="仿宋" w:hAnsi="仿宋" w:eastAsia="仿宋" w:cs="仿宋"/>
                <w:kern w:val="0"/>
                <w:sz w:val="19"/>
                <w:szCs w:val="19"/>
              </w:rPr>
            </w:pPr>
          </w:p>
        </w:tc>
        <w:tc>
          <w:tcPr>
            <w:tcW w:w="8498" w:type="dxa"/>
          </w:tcPr>
          <w:p w14:paraId="75113173">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（5）投标人认为有必要增加的材料。</w:t>
            </w:r>
          </w:p>
        </w:tc>
      </w:tr>
      <w:tr w14:paraId="7D0C5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A51F151">
            <w:pPr>
              <w:rPr>
                <w:rFonts w:hint="eastAsia" w:ascii="仿宋" w:hAnsi="仿宋" w:eastAsia="仿宋" w:cs="仿宋"/>
              </w:rPr>
            </w:pPr>
          </w:p>
        </w:tc>
        <w:tc>
          <w:tcPr>
            <w:tcW w:w="383" w:type="dxa"/>
          </w:tcPr>
          <w:p w14:paraId="54A3671F">
            <w:pPr>
              <w:widowControl/>
              <w:jc w:val="left"/>
              <w:rPr>
                <w:rFonts w:hint="eastAsia" w:ascii="仿宋" w:hAnsi="仿宋" w:eastAsia="仿宋" w:cs="仿宋"/>
                <w:kern w:val="0"/>
                <w:sz w:val="19"/>
                <w:szCs w:val="19"/>
              </w:rPr>
            </w:pPr>
          </w:p>
        </w:tc>
        <w:tc>
          <w:tcPr>
            <w:tcW w:w="8498" w:type="dxa"/>
          </w:tcPr>
          <w:p w14:paraId="1BB8010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4、合同签订前，中标人须向采购人提供</w:t>
            </w:r>
            <w:r>
              <w:rPr>
                <w:rFonts w:hint="eastAsia" w:ascii="仿宋" w:hAnsi="仿宋" w:eastAsia="仿宋" w:cs="仿宋"/>
                <w:kern w:val="0"/>
                <w:sz w:val="19"/>
                <w:szCs w:val="19"/>
                <w:highlight w:val="none"/>
                <w:shd w:val="clear"/>
              </w:rPr>
              <w:t>人民币：</w:t>
            </w:r>
            <w:r>
              <w:rPr>
                <w:rFonts w:hint="eastAsia" w:ascii="仿宋" w:hAnsi="仿宋" w:eastAsia="仿宋" w:cs="仿宋"/>
                <w:kern w:val="0"/>
                <w:sz w:val="19"/>
                <w:szCs w:val="19"/>
                <w:highlight w:val="none"/>
                <w:shd w:val="clear"/>
                <w:lang w:val="en-US" w:eastAsia="zh-CN"/>
              </w:rPr>
              <w:t xml:space="preserve">          </w:t>
            </w:r>
            <w:r>
              <w:rPr>
                <w:rFonts w:hint="eastAsia" w:ascii="仿宋" w:hAnsi="仿宋" w:eastAsia="仿宋" w:cs="仿宋"/>
                <w:kern w:val="0"/>
                <w:sz w:val="19"/>
                <w:szCs w:val="19"/>
                <w:highlight w:val="none"/>
                <w:shd w:val="clear"/>
              </w:rPr>
              <w:t>，大写：</w:t>
            </w:r>
            <w:r>
              <w:rPr>
                <w:rFonts w:hint="eastAsia" w:ascii="仿宋" w:hAnsi="仿宋" w:eastAsia="仿宋" w:cs="仿宋"/>
                <w:kern w:val="0"/>
                <w:sz w:val="19"/>
                <w:szCs w:val="19"/>
                <w:highlight w:val="none"/>
                <w:shd w:val="clear"/>
                <w:lang w:val="en-US" w:eastAsia="zh-CN"/>
              </w:rPr>
              <w:t xml:space="preserve">         </w:t>
            </w:r>
            <w:r>
              <w:rPr>
                <w:rFonts w:hint="eastAsia" w:ascii="仿宋" w:hAnsi="仿宋" w:eastAsia="仿宋" w:cs="仿宋"/>
                <w:kern w:val="0"/>
                <w:sz w:val="19"/>
                <w:szCs w:val="19"/>
                <w:highlight w:val="none"/>
                <w:shd w:val="clear"/>
              </w:rPr>
              <w:t>的履</w:t>
            </w:r>
            <w:r>
              <w:rPr>
                <w:rFonts w:hint="eastAsia" w:ascii="仿宋" w:hAnsi="仿宋" w:eastAsia="仿宋" w:cs="仿宋"/>
                <w:kern w:val="0"/>
                <w:sz w:val="19"/>
                <w:szCs w:val="19"/>
              </w:rPr>
              <w:t>约保证金（以保函等或银行转账方式），采购人将在合同期满之后不计利息返还给中标人。</w:t>
            </w:r>
          </w:p>
        </w:tc>
      </w:tr>
      <w:tr w14:paraId="46B92A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5CA11FD4">
            <w:pPr>
              <w:rPr>
                <w:rFonts w:hint="eastAsia" w:ascii="仿宋" w:hAnsi="仿宋" w:eastAsia="仿宋" w:cs="仿宋"/>
              </w:rPr>
            </w:pPr>
          </w:p>
        </w:tc>
        <w:tc>
          <w:tcPr>
            <w:tcW w:w="383" w:type="dxa"/>
          </w:tcPr>
          <w:p w14:paraId="2C4EFC3B">
            <w:pPr>
              <w:widowControl/>
              <w:jc w:val="left"/>
              <w:rPr>
                <w:rFonts w:hint="eastAsia" w:ascii="仿宋" w:hAnsi="仿宋" w:eastAsia="仿宋" w:cs="仿宋"/>
                <w:kern w:val="0"/>
                <w:sz w:val="19"/>
                <w:szCs w:val="19"/>
              </w:rPr>
            </w:pPr>
          </w:p>
        </w:tc>
        <w:tc>
          <w:tcPr>
            <w:tcW w:w="8498" w:type="dxa"/>
          </w:tcPr>
          <w:p w14:paraId="6D2F32B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▲5、采购人所用的杜瓦瓶由中标人费用包含在本次报价中提供，为保证杜瓦瓶在使用、运输中的安全，双方应严格遵守国家杜瓦瓶安全管理的有关规定，按其要求认真执行，避免安全事故的发生。</w:t>
            </w:r>
          </w:p>
        </w:tc>
      </w:tr>
      <w:tr w14:paraId="31A48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489A0453">
            <w:pPr>
              <w:rPr>
                <w:rFonts w:hint="eastAsia" w:ascii="仿宋" w:hAnsi="仿宋" w:eastAsia="仿宋" w:cs="仿宋"/>
              </w:rPr>
            </w:pPr>
          </w:p>
        </w:tc>
        <w:tc>
          <w:tcPr>
            <w:tcW w:w="383" w:type="dxa"/>
          </w:tcPr>
          <w:p w14:paraId="57A4D13F">
            <w:pPr>
              <w:widowControl/>
              <w:jc w:val="left"/>
              <w:rPr>
                <w:rFonts w:hint="eastAsia" w:ascii="仿宋" w:hAnsi="仿宋" w:eastAsia="仿宋" w:cs="仿宋"/>
                <w:kern w:val="0"/>
                <w:sz w:val="19"/>
                <w:szCs w:val="19"/>
              </w:rPr>
            </w:pPr>
          </w:p>
        </w:tc>
        <w:tc>
          <w:tcPr>
            <w:tcW w:w="8498" w:type="dxa"/>
          </w:tcPr>
          <w:p w14:paraId="68FC49B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6、当采购人自有医用氧气瓶不够时，中标人应费用包含在本次报价中提供钢瓶供采购人使用。</w:t>
            </w:r>
          </w:p>
        </w:tc>
      </w:tr>
      <w:tr w14:paraId="4212D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0C9E5AD">
            <w:pPr>
              <w:rPr>
                <w:rFonts w:hint="eastAsia" w:ascii="仿宋" w:hAnsi="仿宋" w:eastAsia="仿宋" w:cs="仿宋"/>
              </w:rPr>
            </w:pPr>
          </w:p>
        </w:tc>
        <w:tc>
          <w:tcPr>
            <w:tcW w:w="383" w:type="dxa"/>
          </w:tcPr>
          <w:p w14:paraId="2C7CD2E6">
            <w:pPr>
              <w:widowControl/>
              <w:jc w:val="left"/>
              <w:rPr>
                <w:rFonts w:hint="eastAsia" w:ascii="仿宋" w:hAnsi="仿宋" w:eastAsia="仿宋" w:cs="仿宋"/>
                <w:kern w:val="0"/>
                <w:sz w:val="19"/>
                <w:szCs w:val="19"/>
              </w:rPr>
            </w:pPr>
          </w:p>
        </w:tc>
        <w:tc>
          <w:tcPr>
            <w:tcW w:w="8498" w:type="dxa"/>
          </w:tcPr>
          <w:p w14:paraId="4BB38C1C">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▲7、投标人是医用气体生产企业或经有效授权的医用气体代销企业（代理商投标应提供有效的授权书或代理证明）</w:t>
            </w:r>
          </w:p>
        </w:tc>
      </w:tr>
      <w:tr w14:paraId="6AE9A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68D1BE7A">
            <w:pPr>
              <w:rPr>
                <w:rFonts w:hint="eastAsia" w:ascii="仿宋" w:hAnsi="仿宋" w:eastAsia="仿宋" w:cs="仿宋"/>
              </w:rPr>
            </w:pPr>
          </w:p>
        </w:tc>
        <w:tc>
          <w:tcPr>
            <w:tcW w:w="383" w:type="dxa"/>
          </w:tcPr>
          <w:p w14:paraId="51854335">
            <w:pPr>
              <w:widowControl/>
              <w:jc w:val="left"/>
              <w:rPr>
                <w:rFonts w:hint="eastAsia" w:ascii="仿宋" w:hAnsi="仿宋" w:eastAsia="仿宋" w:cs="仿宋"/>
                <w:kern w:val="0"/>
                <w:sz w:val="19"/>
                <w:szCs w:val="19"/>
              </w:rPr>
            </w:pPr>
          </w:p>
        </w:tc>
        <w:tc>
          <w:tcPr>
            <w:tcW w:w="8498" w:type="dxa"/>
          </w:tcPr>
          <w:p w14:paraId="00702FE2">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8、根据广州市公安局关于广州市区货车交通管制措施的通知（穗公（2015）173号）中规定，《广州市危险化学品车辆市区道路运输通行证》需在广州市公安局治安支队按电脑系统审批并登记，并且每2个月为有限期限续证办理。投标人承诺在签订合同之前，应办理或具有《广州市危险化学品车辆市区道路运输通行证》，其有效期覆盖开始履约的时间，便于要求供应时顺利供氧（投标人提供承诺函，格式自拟）。为保障医院氧气正常供应和使用，保障医疗安全的稳定和病人的生命安全，本项目推荐两名中标候选人，若第一中标候选人在履行合同过程中不能办理《广州市危险化学品车辆市区道路运输通行证》的审批或续证，无法配送供应我院氧气使用时，由第二中标候选人来执行配送供应（具体供应数量、服务时间由采购人安排）。第一中标候选人应承担无法续证配送情况下造成的后果，扣除履约保证金赔偿医院相关损失，并支付在该情况下产生的费用。第二中标候选人无论是否签订合同不影响第一中标人的履约和招标过程的完结。</w:t>
            </w:r>
          </w:p>
        </w:tc>
      </w:tr>
      <w:tr w14:paraId="28FCD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1F108884">
            <w:pPr>
              <w:rPr>
                <w:rFonts w:hint="eastAsia" w:ascii="仿宋" w:hAnsi="仿宋" w:eastAsia="仿宋" w:cs="仿宋"/>
              </w:rPr>
            </w:pPr>
          </w:p>
        </w:tc>
        <w:tc>
          <w:tcPr>
            <w:tcW w:w="383" w:type="dxa"/>
          </w:tcPr>
          <w:p w14:paraId="5851F14A">
            <w:pPr>
              <w:widowControl/>
              <w:jc w:val="left"/>
              <w:rPr>
                <w:rFonts w:hint="eastAsia" w:ascii="仿宋" w:hAnsi="仿宋" w:eastAsia="仿宋" w:cs="仿宋"/>
                <w:kern w:val="0"/>
                <w:sz w:val="19"/>
                <w:szCs w:val="19"/>
              </w:rPr>
            </w:pPr>
          </w:p>
        </w:tc>
        <w:tc>
          <w:tcPr>
            <w:tcW w:w="8498" w:type="dxa"/>
          </w:tcPr>
          <w:p w14:paraId="5AA28CB5">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★9、供应产品时提供《药品生产企业许可证》《危险化学品经营许可证》《危险化学品安全生产许可证》《道路运输经营许可证》等证件复印件加盖公章。</w:t>
            </w:r>
          </w:p>
        </w:tc>
      </w:tr>
      <w:tr w14:paraId="16C07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7449244">
            <w:pPr>
              <w:rPr>
                <w:rFonts w:hint="eastAsia" w:ascii="仿宋" w:hAnsi="仿宋" w:eastAsia="仿宋" w:cs="仿宋"/>
              </w:rPr>
            </w:pPr>
          </w:p>
        </w:tc>
        <w:tc>
          <w:tcPr>
            <w:tcW w:w="383" w:type="dxa"/>
          </w:tcPr>
          <w:p w14:paraId="6CABE0C4">
            <w:pPr>
              <w:widowControl/>
              <w:jc w:val="left"/>
              <w:rPr>
                <w:rFonts w:hint="eastAsia" w:ascii="仿宋" w:hAnsi="仿宋" w:eastAsia="仿宋" w:cs="仿宋"/>
                <w:b/>
                <w:bCs/>
                <w:kern w:val="0"/>
                <w:sz w:val="19"/>
                <w:szCs w:val="19"/>
              </w:rPr>
            </w:pPr>
          </w:p>
        </w:tc>
        <w:tc>
          <w:tcPr>
            <w:tcW w:w="8498" w:type="dxa"/>
          </w:tcPr>
          <w:p w14:paraId="18DAA389">
            <w:pPr>
              <w:widowControl/>
              <w:jc w:val="left"/>
              <w:rPr>
                <w:rFonts w:hint="eastAsia" w:ascii="仿宋" w:hAnsi="仿宋" w:eastAsia="仿宋" w:cs="仿宋"/>
                <w:b/>
                <w:bCs/>
                <w:kern w:val="0"/>
                <w:sz w:val="19"/>
                <w:szCs w:val="19"/>
              </w:rPr>
            </w:pPr>
            <w:r>
              <w:rPr>
                <w:rFonts w:hint="eastAsia" w:ascii="仿宋" w:hAnsi="仿宋" w:eastAsia="仿宋" w:cs="仿宋"/>
                <w:b/>
                <w:bCs/>
                <w:kern w:val="0"/>
                <w:sz w:val="19"/>
                <w:szCs w:val="19"/>
              </w:rPr>
              <w:t>三、报价要求</w:t>
            </w:r>
          </w:p>
        </w:tc>
      </w:tr>
      <w:tr w14:paraId="572A0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12D9E12">
            <w:pPr>
              <w:rPr>
                <w:rFonts w:hint="eastAsia" w:ascii="仿宋" w:hAnsi="仿宋" w:eastAsia="仿宋" w:cs="仿宋"/>
              </w:rPr>
            </w:pPr>
          </w:p>
        </w:tc>
        <w:tc>
          <w:tcPr>
            <w:tcW w:w="383" w:type="dxa"/>
          </w:tcPr>
          <w:p w14:paraId="7E161717">
            <w:pPr>
              <w:widowControl/>
              <w:jc w:val="left"/>
              <w:rPr>
                <w:rFonts w:hint="eastAsia" w:ascii="仿宋" w:hAnsi="仿宋" w:eastAsia="仿宋" w:cs="仿宋"/>
                <w:kern w:val="0"/>
                <w:sz w:val="19"/>
                <w:szCs w:val="19"/>
              </w:rPr>
            </w:pPr>
          </w:p>
        </w:tc>
        <w:tc>
          <w:tcPr>
            <w:tcW w:w="8498" w:type="dxa"/>
          </w:tcPr>
          <w:p w14:paraId="3080C59E">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 xml:space="preserve"> 投标人报价应包括货物设计、制造、包装、送货、安装、调试、检测、验收、培训、技术服务（包括技术资料、图纸的提供）、质保期保障等一切支出，并包含关税等所有税费。</w:t>
            </w:r>
          </w:p>
        </w:tc>
      </w:tr>
      <w:tr w14:paraId="6E0A8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2448C9E">
            <w:pPr>
              <w:rPr>
                <w:rFonts w:hint="eastAsia" w:ascii="仿宋" w:hAnsi="仿宋" w:eastAsia="仿宋" w:cs="仿宋"/>
              </w:rPr>
            </w:pPr>
          </w:p>
        </w:tc>
        <w:tc>
          <w:tcPr>
            <w:tcW w:w="383" w:type="dxa"/>
          </w:tcPr>
          <w:p w14:paraId="1AD32BCB">
            <w:pPr>
              <w:widowControl/>
              <w:jc w:val="left"/>
              <w:rPr>
                <w:rFonts w:hint="eastAsia" w:ascii="仿宋" w:hAnsi="仿宋" w:eastAsia="仿宋" w:cs="仿宋"/>
                <w:kern w:val="0"/>
                <w:sz w:val="19"/>
                <w:szCs w:val="19"/>
              </w:rPr>
            </w:pPr>
          </w:p>
        </w:tc>
        <w:tc>
          <w:tcPr>
            <w:tcW w:w="8498" w:type="dxa"/>
          </w:tcPr>
          <w:p w14:paraId="3243CC89">
            <w:pPr>
              <w:rPr>
                <w:rFonts w:hint="eastAsia" w:ascii="仿宋" w:hAnsi="仿宋" w:eastAsia="仿宋" w:cs="仿宋"/>
                <w:b/>
                <w:bCs/>
                <w:kern w:val="0"/>
                <w:sz w:val="19"/>
                <w:szCs w:val="19"/>
              </w:rPr>
            </w:pPr>
            <w:r>
              <w:rPr>
                <w:rFonts w:hint="eastAsia" w:ascii="仿宋" w:hAnsi="仿宋" w:eastAsia="仿宋" w:cs="仿宋"/>
                <w:b/>
                <w:bCs/>
                <w:kern w:val="0"/>
                <w:sz w:val="19"/>
                <w:szCs w:val="19"/>
              </w:rPr>
              <w:t>四、包装和运输</w:t>
            </w:r>
          </w:p>
        </w:tc>
      </w:tr>
      <w:tr w14:paraId="4EF78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23F7760B">
            <w:pPr>
              <w:rPr>
                <w:rFonts w:hint="eastAsia" w:ascii="仿宋" w:hAnsi="仿宋" w:eastAsia="仿宋" w:cs="仿宋"/>
              </w:rPr>
            </w:pPr>
          </w:p>
        </w:tc>
        <w:tc>
          <w:tcPr>
            <w:tcW w:w="383" w:type="dxa"/>
          </w:tcPr>
          <w:p w14:paraId="67784DF3">
            <w:pPr>
              <w:widowControl/>
              <w:jc w:val="left"/>
              <w:rPr>
                <w:rFonts w:hint="eastAsia" w:ascii="仿宋" w:hAnsi="仿宋" w:eastAsia="仿宋" w:cs="仿宋"/>
                <w:kern w:val="0"/>
                <w:sz w:val="19"/>
                <w:szCs w:val="19"/>
              </w:rPr>
            </w:pPr>
          </w:p>
        </w:tc>
        <w:tc>
          <w:tcPr>
            <w:tcW w:w="8498" w:type="dxa"/>
          </w:tcPr>
          <w:p w14:paraId="0D5347D6">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中标人应采取相应措施对货物进行包装，确保货物在正常作业和装卸条件下安全无损地到达合同指定地点。如中标人所送货物存在分量不足、瓶身残旧污损、瓶身检测过期等不符合采购人验收标准的现象，采购人有权要求中标人退货，及时更换新产品送达医院。</w:t>
            </w:r>
          </w:p>
        </w:tc>
      </w:tr>
      <w:tr w14:paraId="6DD0F1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905D5CC">
            <w:pPr>
              <w:rPr>
                <w:rFonts w:hint="eastAsia" w:ascii="仿宋" w:hAnsi="仿宋" w:eastAsia="仿宋" w:cs="仿宋"/>
              </w:rPr>
            </w:pPr>
          </w:p>
        </w:tc>
        <w:tc>
          <w:tcPr>
            <w:tcW w:w="383" w:type="dxa"/>
          </w:tcPr>
          <w:p w14:paraId="3FE7AA2F">
            <w:pPr>
              <w:widowControl/>
              <w:jc w:val="left"/>
              <w:rPr>
                <w:rFonts w:hint="eastAsia" w:ascii="仿宋" w:hAnsi="仿宋" w:eastAsia="仿宋" w:cs="仿宋"/>
                <w:kern w:val="0"/>
                <w:sz w:val="19"/>
                <w:szCs w:val="19"/>
              </w:rPr>
            </w:pPr>
          </w:p>
        </w:tc>
        <w:tc>
          <w:tcPr>
            <w:tcW w:w="8498" w:type="dxa"/>
          </w:tcPr>
          <w:p w14:paraId="357893F5">
            <w:pPr>
              <w:widowControl/>
              <w:jc w:val="left"/>
              <w:rPr>
                <w:rFonts w:hint="eastAsia" w:ascii="仿宋" w:hAnsi="仿宋" w:eastAsia="仿宋" w:cs="仿宋"/>
                <w:b/>
                <w:bCs/>
                <w:kern w:val="0"/>
                <w:sz w:val="19"/>
                <w:szCs w:val="19"/>
              </w:rPr>
            </w:pPr>
            <w:r>
              <w:rPr>
                <w:rFonts w:hint="eastAsia" w:ascii="仿宋" w:hAnsi="仿宋" w:eastAsia="仿宋" w:cs="仿宋"/>
                <w:b/>
                <w:bCs/>
                <w:kern w:val="0"/>
                <w:sz w:val="19"/>
                <w:szCs w:val="19"/>
              </w:rPr>
              <w:t>五、售后服务</w:t>
            </w:r>
          </w:p>
        </w:tc>
      </w:tr>
      <w:tr w14:paraId="489E34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03C9B644">
            <w:pPr>
              <w:rPr>
                <w:rFonts w:hint="eastAsia" w:ascii="仿宋" w:hAnsi="仿宋" w:eastAsia="仿宋" w:cs="仿宋"/>
              </w:rPr>
            </w:pPr>
          </w:p>
        </w:tc>
        <w:tc>
          <w:tcPr>
            <w:tcW w:w="383" w:type="dxa"/>
          </w:tcPr>
          <w:p w14:paraId="6C620ADE">
            <w:pPr>
              <w:widowControl/>
              <w:jc w:val="left"/>
              <w:rPr>
                <w:rFonts w:hint="eastAsia" w:ascii="仿宋" w:hAnsi="仿宋" w:eastAsia="仿宋" w:cs="仿宋"/>
                <w:kern w:val="0"/>
                <w:sz w:val="19"/>
                <w:szCs w:val="19"/>
              </w:rPr>
            </w:pPr>
          </w:p>
        </w:tc>
        <w:tc>
          <w:tcPr>
            <w:tcW w:w="8498" w:type="dxa"/>
          </w:tcPr>
          <w:p w14:paraId="71D45739">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中标人供应产品时提供正式税务发票和盖有公章的送货单、每批次的检验合格证。如果有一项没有提供，该批货物不给予支付货款。</w:t>
            </w:r>
          </w:p>
          <w:p w14:paraId="0847E162">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投标人负责对采购人工作人员进行气体应用技术及相关医用氧气安全使用等方面的培训工作（每季度一次），确保人员使用安全、规范。投标人应当为本项目制定完善的培训及技术指导方案，包括但不限于本项目所采购医用气体罐体等相关设备的安全操作规程及安全知识培训、应急处理培训、保养维护培训等，需提供不同气体使用过程中的操作规程及安全知识注意事项，制定各类供应气体使用过程中的应急处理培训方案，提供气体使用安全操作及气瓶保养维护培训，以保障采购人可以安全使用相关气体。投标人在现场对采购人技术人员进行设备操作规程培训，保证使用方人员能够熟练掌握各种设备等常规使用方法和故障的判断与解决，并提供相关的气体应急演练培训（每年一次）。</w:t>
            </w:r>
          </w:p>
        </w:tc>
      </w:tr>
      <w:tr w14:paraId="7FBC3F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84F4DC2">
            <w:pPr>
              <w:rPr>
                <w:rFonts w:hint="eastAsia" w:ascii="仿宋" w:hAnsi="仿宋" w:eastAsia="仿宋" w:cs="仿宋"/>
              </w:rPr>
            </w:pPr>
          </w:p>
        </w:tc>
        <w:tc>
          <w:tcPr>
            <w:tcW w:w="383" w:type="dxa"/>
          </w:tcPr>
          <w:p w14:paraId="156702D7">
            <w:pPr>
              <w:widowControl/>
              <w:jc w:val="left"/>
              <w:rPr>
                <w:rFonts w:hint="eastAsia" w:ascii="仿宋" w:hAnsi="仿宋" w:eastAsia="仿宋" w:cs="仿宋"/>
                <w:kern w:val="0"/>
                <w:sz w:val="19"/>
                <w:szCs w:val="19"/>
              </w:rPr>
            </w:pPr>
          </w:p>
        </w:tc>
        <w:tc>
          <w:tcPr>
            <w:tcW w:w="8498" w:type="dxa"/>
          </w:tcPr>
          <w:p w14:paraId="2BE4B338">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2、应在正常上班时间送货，特殊情况供货时间另行商定。</w:t>
            </w:r>
          </w:p>
        </w:tc>
      </w:tr>
      <w:tr w14:paraId="201A6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14" w:type="dxa"/>
          </w:tcPr>
          <w:p w14:paraId="73D3D7F6">
            <w:pPr>
              <w:rPr>
                <w:rFonts w:hint="eastAsia" w:ascii="仿宋" w:hAnsi="仿宋" w:eastAsia="仿宋" w:cs="仿宋"/>
              </w:rPr>
            </w:pPr>
            <w:r>
              <w:rPr>
                <w:rFonts w:hint="eastAsia" w:ascii="仿宋" w:hAnsi="仿宋" w:eastAsia="仿宋" w:cs="仿宋"/>
              </w:rPr>
              <w:t>说明</w:t>
            </w:r>
          </w:p>
        </w:tc>
        <w:tc>
          <w:tcPr>
            <w:tcW w:w="8881" w:type="dxa"/>
            <w:gridSpan w:val="2"/>
          </w:tcPr>
          <w:p w14:paraId="2110E47E">
            <w:pPr>
              <w:widowControl/>
              <w:jc w:val="left"/>
              <w:rPr>
                <w:rFonts w:hint="eastAsia" w:ascii="仿宋" w:hAnsi="仿宋" w:eastAsia="仿宋" w:cs="仿宋"/>
                <w:kern w:val="0"/>
                <w:sz w:val="19"/>
                <w:szCs w:val="19"/>
              </w:rPr>
            </w:pPr>
            <w:r>
              <w:rPr>
                <w:rFonts w:hint="eastAsia" w:ascii="仿宋" w:hAnsi="仿宋" w:eastAsia="仿宋" w:cs="仿宋"/>
                <w:kern w:val="0"/>
                <w:sz w:val="19"/>
                <w:szCs w:val="19"/>
              </w:rPr>
              <w:t>打“★”号条款为实质性条款，若有任何一条负偏离或不满足则导致投标（响应）无效。</w:t>
            </w:r>
            <w:r>
              <w:rPr>
                <w:rFonts w:hint="eastAsia" w:ascii="仿宋" w:hAnsi="仿宋" w:eastAsia="仿宋" w:cs="仿宋"/>
                <w:kern w:val="0"/>
                <w:sz w:val="19"/>
                <w:szCs w:val="19"/>
              </w:rPr>
              <w:br w:type="textWrapping"/>
            </w:r>
            <w:r>
              <w:rPr>
                <w:rFonts w:hint="eastAsia" w:ascii="仿宋" w:hAnsi="仿宋" w:eastAsia="仿宋" w:cs="仿宋"/>
                <w:kern w:val="0"/>
                <w:sz w:val="19"/>
                <w:szCs w:val="19"/>
              </w:rPr>
              <w:t>打“▲”号条款为重要技术参数（如有），若有部分“▲”条款未响应或不满足，将根据评审要求影响其得分，但不作为无效投标（响应）条款。</w:t>
            </w:r>
          </w:p>
        </w:tc>
      </w:tr>
    </w:tbl>
    <w:p w14:paraId="77EFAF94">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B64B9"/>
    <w:multiLevelType w:val="multilevel"/>
    <w:tmpl w:val="061B64B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162"/>
    <w:rsid w:val="0000006C"/>
    <w:rsid w:val="00000B94"/>
    <w:rsid w:val="0000358C"/>
    <w:rsid w:val="000035F9"/>
    <w:rsid w:val="00005654"/>
    <w:rsid w:val="0000586F"/>
    <w:rsid w:val="000064ED"/>
    <w:rsid w:val="000075EB"/>
    <w:rsid w:val="0001118E"/>
    <w:rsid w:val="00011CFF"/>
    <w:rsid w:val="000129F7"/>
    <w:rsid w:val="00013F58"/>
    <w:rsid w:val="00014D7B"/>
    <w:rsid w:val="00024580"/>
    <w:rsid w:val="0003152D"/>
    <w:rsid w:val="000339E4"/>
    <w:rsid w:val="00034560"/>
    <w:rsid w:val="00034971"/>
    <w:rsid w:val="00034C0D"/>
    <w:rsid w:val="00035FE7"/>
    <w:rsid w:val="000364E4"/>
    <w:rsid w:val="000408B5"/>
    <w:rsid w:val="00041161"/>
    <w:rsid w:val="0004152E"/>
    <w:rsid w:val="00041A92"/>
    <w:rsid w:val="000455BC"/>
    <w:rsid w:val="0004784E"/>
    <w:rsid w:val="00047C4D"/>
    <w:rsid w:val="00060ED2"/>
    <w:rsid w:val="00062843"/>
    <w:rsid w:val="00063E3C"/>
    <w:rsid w:val="00064428"/>
    <w:rsid w:val="000675E9"/>
    <w:rsid w:val="00070622"/>
    <w:rsid w:val="000715B9"/>
    <w:rsid w:val="000725BF"/>
    <w:rsid w:val="000730DC"/>
    <w:rsid w:val="000737C2"/>
    <w:rsid w:val="000763D3"/>
    <w:rsid w:val="00076B9D"/>
    <w:rsid w:val="000806D6"/>
    <w:rsid w:val="000811BE"/>
    <w:rsid w:val="000822C4"/>
    <w:rsid w:val="00090A05"/>
    <w:rsid w:val="0009293B"/>
    <w:rsid w:val="00092CB0"/>
    <w:rsid w:val="00092CFD"/>
    <w:rsid w:val="00096BA8"/>
    <w:rsid w:val="00097CEF"/>
    <w:rsid w:val="000A23B6"/>
    <w:rsid w:val="000A4215"/>
    <w:rsid w:val="000A600B"/>
    <w:rsid w:val="000A6655"/>
    <w:rsid w:val="000A68FF"/>
    <w:rsid w:val="000A6B42"/>
    <w:rsid w:val="000A7929"/>
    <w:rsid w:val="000B0656"/>
    <w:rsid w:val="000B0B18"/>
    <w:rsid w:val="000B11ED"/>
    <w:rsid w:val="000B1236"/>
    <w:rsid w:val="000B1B7A"/>
    <w:rsid w:val="000B2FE4"/>
    <w:rsid w:val="000B3AA0"/>
    <w:rsid w:val="000B5B41"/>
    <w:rsid w:val="000C1BC5"/>
    <w:rsid w:val="000C2194"/>
    <w:rsid w:val="000C3BA4"/>
    <w:rsid w:val="000C40C5"/>
    <w:rsid w:val="000C453B"/>
    <w:rsid w:val="000C70CD"/>
    <w:rsid w:val="000C72A4"/>
    <w:rsid w:val="000D0B9C"/>
    <w:rsid w:val="000D48D7"/>
    <w:rsid w:val="000E11B5"/>
    <w:rsid w:val="000E1DEB"/>
    <w:rsid w:val="000E4574"/>
    <w:rsid w:val="000E52CB"/>
    <w:rsid w:val="000E599B"/>
    <w:rsid w:val="000E6747"/>
    <w:rsid w:val="000E6E2A"/>
    <w:rsid w:val="000F0774"/>
    <w:rsid w:val="000F13E2"/>
    <w:rsid w:val="000F38AF"/>
    <w:rsid w:val="000F4202"/>
    <w:rsid w:val="000F4FB6"/>
    <w:rsid w:val="000F67FF"/>
    <w:rsid w:val="001020B6"/>
    <w:rsid w:val="0010477B"/>
    <w:rsid w:val="001053B8"/>
    <w:rsid w:val="00106D91"/>
    <w:rsid w:val="00111F44"/>
    <w:rsid w:val="0011296D"/>
    <w:rsid w:val="00115657"/>
    <w:rsid w:val="001167D5"/>
    <w:rsid w:val="001201BD"/>
    <w:rsid w:val="00122336"/>
    <w:rsid w:val="00122D00"/>
    <w:rsid w:val="00123FEB"/>
    <w:rsid w:val="001242B1"/>
    <w:rsid w:val="001250A0"/>
    <w:rsid w:val="00127911"/>
    <w:rsid w:val="001335E5"/>
    <w:rsid w:val="00133F6B"/>
    <w:rsid w:val="00134361"/>
    <w:rsid w:val="001349A8"/>
    <w:rsid w:val="00136B2E"/>
    <w:rsid w:val="00145D05"/>
    <w:rsid w:val="001511B1"/>
    <w:rsid w:val="00151B9B"/>
    <w:rsid w:val="001554CF"/>
    <w:rsid w:val="001576F4"/>
    <w:rsid w:val="00157D6D"/>
    <w:rsid w:val="00162524"/>
    <w:rsid w:val="00162A23"/>
    <w:rsid w:val="001634C6"/>
    <w:rsid w:val="00164B65"/>
    <w:rsid w:val="00165653"/>
    <w:rsid w:val="00166BCF"/>
    <w:rsid w:val="00166E58"/>
    <w:rsid w:val="00170A24"/>
    <w:rsid w:val="001711E7"/>
    <w:rsid w:val="0017529A"/>
    <w:rsid w:val="001768B3"/>
    <w:rsid w:val="00180B75"/>
    <w:rsid w:val="00181270"/>
    <w:rsid w:val="00182646"/>
    <w:rsid w:val="00183B95"/>
    <w:rsid w:val="00193ED2"/>
    <w:rsid w:val="001A03F3"/>
    <w:rsid w:val="001A4F47"/>
    <w:rsid w:val="001A570A"/>
    <w:rsid w:val="001A7193"/>
    <w:rsid w:val="001B033B"/>
    <w:rsid w:val="001B2706"/>
    <w:rsid w:val="001B3B23"/>
    <w:rsid w:val="001B54FF"/>
    <w:rsid w:val="001B64A6"/>
    <w:rsid w:val="001B7860"/>
    <w:rsid w:val="001B7F2B"/>
    <w:rsid w:val="001C2213"/>
    <w:rsid w:val="001C4819"/>
    <w:rsid w:val="001C622B"/>
    <w:rsid w:val="001C6867"/>
    <w:rsid w:val="001D004E"/>
    <w:rsid w:val="001D285B"/>
    <w:rsid w:val="001D5417"/>
    <w:rsid w:val="001D56E8"/>
    <w:rsid w:val="001D6381"/>
    <w:rsid w:val="001D665E"/>
    <w:rsid w:val="001E1C92"/>
    <w:rsid w:val="001E42BE"/>
    <w:rsid w:val="001E53CB"/>
    <w:rsid w:val="001E547E"/>
    <w:rsid w:val="001E5EAC"/>
    <w:rsid w:val="001E77D9"/>
    <w:rsid w:val="001F1B25"/>
    <w:rsid w:val="001F25E5"/>
    <w:rsid w:val="001F31BB"/>
    <w:rsid w:val="001F3478"/>
    <w:rsid w:val="001F5214"/>
    <w:rsid w:val="00202803"/>
    <w:rsid w:val="00202B2C"/>
    <w:rsid w:val="002047F1"/>
    <w:rsid w:val="00205754"/>
    <w:rsid w:val="0020575D"/>
    <w:rsid w:val="00206A30"/>
    <w:rsid w:val="00207237"/>
    <w:rsid w:val="00212506"/>
    <w:rsid w:val="00213564"/>
    <w:rsid w:val="0021562A"/>
    <w:rsid w:val="002167F3"/>
    <w:rsid w:val="00216B55"/>
    <w:rsid w:val="00217130"/>
    <w:rsid w:val="002175DE"/>
    <w:rsid w:val="00217EBF"/>
    <w:rsid w:val="0022158F"/>
    <w:rsid w:val="00224EF1"/>
    <w:rsid w:val="002268C5"/>
    <w:rsid w:val="0023169F"/>
    <w:rsid w:val="00232FA8"/>
    <w:rsid w:val="0023592D"/>
    <w:rsid w:val="00245FF0"/>
    <w:rsid w:val="0024683A"/>
    <w:rsid w:val="00247DA8"/>
    <w:rsid w:val="00250117"/>
    <w:rsid w:val="00250596"/>
    <w:rsid w:val="0025285D"/>
    <w:rsid w:val="00252B11"/>
    <w:rsid w:val="0025345B"/>
    <w:rsid w:val="00253EED"/>
    <w:rsid w:val="00254092"/>
    <w:rsid w:val="00254D41"/>
    <w:rsid w:val="002553BB"/>
    <w:rsid w:val="00255A7D"/>
    <w:rsid w:val="00255C61"/>
    <w:rsid w:val="00260585"/>
    <w:rsid w:val="00261F53"/>
    <w:rsid w:val="002622C7"/>
    <w:rsid w:val="002636AA"/>
    <w:rsid w:val="00264ADB"/>
    <w:rsid w:val="00265D51"/>
    <w:rsid w:val="00273BF2"/>
    <w:rsid w:val="0027746D"/>
    <w:rsid w:val="002802E4"/>
    <w:rsid w:val="00282BD2"/>
    <w:rsid w:val="00283008"/>
    <w:rsid w:val="00286CAE"/>
    <w:rsid w:val="002874C2"/>
    <w:rsid w:val="002874EC"/>
    <w:rsid w:val="00290747"/>
    <w:rsid w:val="00294035"/>
    <w:rsid w:val="00295A0A"/>
    <w:rsid w:val="00296B6F"/>
    <w:rsid w:val="00297749"/>
    <w:rsid w:val="00297F4F"/>
    <w:rsid w:val="002A2BAB"/>
    <w:rsid w:val="002A43A9"/>
    <w:rsid w:val="002A789A"/>
    <w:rsid w:val="002A7B8D"/>
    <w:rsid w:val="002A7F8E"/>
    <w:rsid w:val="002B15FA"/>
    <w:rsid w:val="002B1B97"/>
    <w:rsid w:val="002B234D"/>
    <w:rsid w:val="002B38BD"/>
    <w:rsid w:val="002B3BAD"/>
    <w:rsid w:val="002B623D"/>
    <w:rsid w:val="002C0121"/>
    <w:rsid w:val="002C5D16"/>
    <w:rsid w:val="002C70CC"/>
    <w:rsid w:val="002C735C"/>
    <w:rsid w:val="002D0A9D"/>
    <w:rsid w:val="002D265D"/>
    <w:rsid w:val="002D27E3"/>
    <w:rsid w:val="002D3C78"/>
    <w:rsid w:val="002D7EBC"/>
    <w:rsid w:val="002E0DCC"/>
    <w:rsid w:val="002E5314"/>
    <w:rsid w:val="002E7A82"/>
    <w:rsid w:val="002F0352"/>
    <w:rsid w:val="002F0E18"/>
    <w:rsid w:val="002F1B94"/>
    <w:rsid w:val="002F1CE8"/>
    <w:rsid w:val="002F2600"/>
    <w:rsid w:val="002F40DB"/>
    <w:rsid w:val="002F5A89"/>
    <w:rsid w:val="002F6162"/>
    <w:rsid w:val="0030026E"/>
    <w:rsid w:val="00300A71"/>
    <w:rsid w:val="00301A1C"/>
    <w:rsid w:val="0030294F"/>
    <w:rsid w:val="0030369D"/>
    <w:rsid w:val="00304B73"/>
    <w:rsid w:val="00304CE5"/>
    <w:rsid w:val="00304D88"/>
    <w:rsid w:val="00305D20"/>
    <w:rsid w:val="00315A5F"/>
    <w:rsid w:val="003177EF"/>
    <w:rsid w:val="00320EE0"/>
    <w:rsid w:val="003260AC"/>
    <w:rsid w:val="00332D5A"/>
    <w:rsid w:val="0033345D"/>
    <w:rsid w:val="00336251"/>
    <w:rsid w:val="00340F99"/>
    <w:rsid w:val="003435A5"/>
    <w:rsid w:val="00344D29"/>
    <w:rsid w:val="00344FA7"/>
    <w:rsid w:val="00345094"/>
    <w:rsid w:val="003479CC"/>
    <w:rsid w:val="003506E6"/>
    <w:rsid w:val="00351657"/>
    <w:rsid w:val="00351FAA"/>
    <w:rsid w:val="00354751"/>
    <w:rsid w:val="00355482"/>
    <w:rsid w:val="003557EA"/>
    <w:rsid w:val="00357D47"/>
    <w:rsid w:val="003626A2"/>
    <w:rsid w:val="0036417D"/>
    <w:rsid w:val="00366655"/>
    <w:rsid w:val="0036798D"/>
    <w:rsid w:val="003711F7"/>
    <w:rsid w:val="003721EC"/>
    <w:rsid w:val="00380FE1"/>
    <w:rsid w:val="00382BA6"/>
    <w:rsid w:val="003842B7"/>
    <w:rsid w:val="00386A63"/>
    <w:rsid w:val="00390EA9"/>
    <w:rsid w:val="00395C29"/>
    <w:rsid w:val="00397D4E"/>
    <w:rsid w:val="003A04EE"/>
    <w:rsid w:val="003A0AA4"/>
    <w:rsid w:val="003A1864"/>
    <w:rsid w:val="003A47C8"/>
    <w:rsid w:val="003B1C68"/>
    <w:rsid w:val="003B4859"/>
    <w:rsid w:val="003B4AD1"/>
    <w:rsid w:val="003B71BB"/>
    <w:rsid w:val="003C2379"/>
    <w:rsid w:val="003C37C0"/>
    <w:rsid w:val="003C4906"/>
    <w:rsid w:val="003D003E"/>
    <w:rsid w:val="003D0BA6"/>
    <w:rsid w:val="003D157B"/>
    <w:rsid w:val="003D1611"/>
    <w:rsid w:val="003D1D77"/>
    <w:rsid w:val="003D30E9"/>
    <w:rsid w:val="003D406C"/>
    <w:rsid w:val="003D67DB"/>
    <w:rsid w:val="003D74C1"/>
    <w:rsid w:val="003E3370"/>
    <w:rsid w:val="003F1BAA"/>
    <w:rsid w:val="003F1EC0"/>
    <w:rsid w:val="003F238B"/>
    <w:rsid w:val="003F40D3"/>
    <w:rsid w:val="003F4EC3"/>
    <w:rsid w:val="003F64C4"/>
    <w:rsid w:val="00402321"/>
    <w:rsid w:val="0040271E"/>
    <w:rsid w:val="00403AE7"/>
    <w:rsid w:val="00406FDB"/>
    <w:rsid w:val="0040781E"/>
    <w:rsid w:val="00413D17"/>
    <w:rsid w:val="00415DE6"/>
    <w:rsid w:val="004207A8"/>
    <w:rsid w:val="004229B5"/>
    <w:rsid w:val="00424432"/>
    <w:rsid w:val="004251AC"/>
    <w:rsid w:val="00425E71"/>
    <w:rsid w:val="00426843"/>
    <w:rsid w:val="004274ED"/>
    <w:rsid w:val="00433D44"/>
    <w:rsid w:val="0044293C"/>
    <w:rsid w:val="0044466E"/>
    <w:rsid w:val="004449CD"/>
    <w:rsid w:val="0044548A"/>
    <w:rsid w:val="00446C23"/>
    <w:rsid w:val="00447151"/>
    <w:rsid w:val="0045110B"/>
    <w:rsid w:val="004534F0"/>
    <w:rsid w:val="00453C94"/>
    <w:rsid w:val="00455A6B"/>
    <w:rsid w:val="00457B32"/>
    <w:rsid w:val="00457C6B"/>
    <w:rsid w:val="00462290"/>
    <w:rsid w:val="00464111"/>
    <w:rsid w:val="00465853"/>
    <w:rsid w:val="00465E19"/>
    <w:rsid w:val="004728C5"/>
    <w:rsid w:val="00473ACA"/>
    <w:rsid w:val="004752B3"/>
    <w:rsid w:val="004779FE"/>
    <w:rsid w:val="00477A35"/>
    <w:rsid w:val="00481BC4"/>
    <w:rsid w:val="00482D85"/>
    <w:rsid w:val="00484307"/>
    <w:rsid w:val="004864A3"/>
    <w:rsid w:val="0048693D"/>
    <w:rsid w:val="00492D6C"/>
    <w:rsid w:val="004962CD"/>
    <w:rsid w:val="00497A2B"/>
    <w:rsid w:val="004A1F03"/>
    <w:rsid w:val="004B12E3"/>
    <w:rsid w:val="004B20D2"/>
    <w:rsid w:val="004B244B"/>
    <w:rsid w:val="004B2F78"/>
    <w:rsid w:val="004B5128"/>
    <w:rsid w:val="004C0095"/>
    <w:rsid w:val="004C0A01"/>
    <w:rsid w:val="004C0E43"/>
    <w:rsid w:val="004C43F3"/>
    <w:rsid w:val="004C56D5"/>
    <w:rsid w:val="004C5FA3"/>
    <w:rsid w:val="004D0036"/>
    <w:rsid w:val="004D04E0"/>
    <w:rsid w:val="004D0571"/>
    <w:rsid w:val="004D1367"/>
    <w:rsid w:val="004D46FB"/>
    <w:rsid w:val="004D5955"/>
    <w:rsid w:val="004E1B2E"/>
    <w:rsid w:val="004E2B9B"/>
    <w:rsid w:val="004E3795"/>
    <w:rsid w:val="004E4389"/>
    <w:rsid w:val="004E4B7D"/>
    <w:rsid w:val="004F656E"/>
    <w:rsid w:val="00511834"/>
    <w:rsid w:val="00512312"/>
    <w:rsid w:val="005155C6"/>
    <w:rsid w:val="00515D54"/>
    <w:rsid w:val="0052105A"/>
    <w:rsid w:val="0053023A"/>
    <w:rsid w:val="00530E40"/>
    <w:rsid w:val="00531F8D"/>
    <w:rsid w:val="00537AE2"/>
    <w:rsid w:val="0054035E"/>
    <w:rsid w:val="00540DF0"/>
    <w:rsid w:val="00540EB8"/>
    <w:rsid w:val="00542325"/>
    <w:rsid w:val="00542757"/>
    <w:rsid w:val="00542D32"/>
    <w:rsid w:val="00543396"/>
    <w:rsid w:val="00546501"/>
    <w:rsid w:val="00546E66"/>
    <w:rsid w:val="00547D3D"/>
    <w:rsid w:val="005507D2"/>
    <w:rsid w:val="0055199F"/>
    <w:rsid w:val="00555AB4"/>
    <w:rsid w:val="00557CC1"/>
    <w:rsid w:val="0056209F"/>
    <w:rsid w:val="00566C3A"/>
    <w:rsid w:val="0056729C"/>
    <w:rsid w:val="005710DA"/>
    <w:rsid w:val="00571332"/>
    <w:rsid w:val="0057216F"/>
    <w:rsid w:val="00572887"/>
    <w:rsid w:val="00576912"/>
    <w:rsid w:val="00577429"/>
    <w:rsid w:val="00581762"/>
    <w:rsid w:val="0058240C"/>
    <w:rsid w:val="00582E76"/>
    <w:rsid w:val="005834DD"/>
    <w:rsid w:val="00586793"/>
    <w:rsid w:val="00590312"/>
    <w:rsid w:val="00590ACA"/>
    <w:rsid w:val="00594AD9"/>
    <w:rsid w:val="005950F6"/>
    <w:rsid w:val="00596879"/>
    <w:rsid w:val="005A0595"/>
    <w:rsid w:val="005A0FC5"/>
    <w:rsid w:val="005A23E3"/>
    <w:rsid w:val="005A4605"/>
    <w:rsid w:val="005A4A1B"/>
    <w:rsid w:val="005A6CD1"/>
    <w:rsid w:val="005A78D3"/>
    <w:rsid w:val="005A7DC2"/>
    <w:rsid w:val="005B0732"/>
    <w:rsid w:val="005B7DCC"/>
    <w:rsid w:val="005C00FA"/>
    <w:rsid w:val="005C463B"/>
    <w:rsid w:val="005C6B6C"/>
    <w:rsid w:val="005C6E7F"/>
    <w:rsid w:val="005D1DB5"/>
    <w:rsid w:val="005D35C4"/>
    <w:rsid w:val="005D6A63"/>
    <w:rsid w:val="005D7FCF"/>
    <w:rsid w:val="005E49E0"/>
    <w:rsid w:val="005F183F"/>
    <w:rsid w:val="00601AB6"/>
    <w:rsid w:val="00602C14"/>
    <w:rsid w:val="006051BE"/>
    <w:rsid w:val="00606A57"/>
    <w:rsid w:val="006076DD"/>
    <w:rsid w:val="00607CD0"/>
    <w:rsid w:val="00611C0E"/>
    <w:rsid w:val="00612CF4"/>
    <w:rsid w:val="00613955"/>
    <w:rsid w:val="006147C3"/>
    <w:rsid w:val="00620493"/>
    <w:rsid w:val="00620936"/>
    <w:rsid w:val="00621071"/>
    <w:rsid w:val="00622A52"/>
    <w:rsid w:val="00623D5E"/>
    <w:rsid w:val="0062531E"/>
    <w:rsid w:val="00627076"/>
    <w:rsid w:val="0062707C"/>
    <w:rsid w:val="00627A6C"/>
    <w:rsid w:val="00627DCB"/>
    <w:rsid w:val="006300B5"/>
    <w:rsid w:val="00632C85"/>
    <w:rsid w:val="00636427"/>
    <w:rsid w:val="006424E3"/>
    <w:rsid w:val="0064278D"/>
    <w:rsid w:val="0064427C"/>
    <w:rsid w:val="00644610"/>
    <w:rsid w:val="006459DE"/>
    <w:rsid w:val="00646702"/>
    <w:rsid w:val="00647446"/>
    <w:rsid w:val="00657A26"/>
    <w:rsid w:val="00661821"/>
    <w:rsid w:val="00661AEF"/>
    <w:rsid w:val="00663782"/>
    <w:rsid w:val="0066539B"/>
    <w:rsid w:val="00666287"/>
    <w:rsid w:val="00667FA6"/>
    <w:rsid w:val="00670242"/>
    <w:rsid w:val="00671C6D"/>
    <w:rsid w:val="00672FEE"/>
    <w:rsid w:val="00674FBE"/>
    <w:rsid w:val="00675E2E"/>
    <w:rsid w:val="00676C75"/>
    <w:rsid w:val="00680392"/>
    <w:rsid w:val="006810EB"/>
    <w:rsid w:val="0068141D"/>
    <w:rsid w:val="0068402F"/>
    <w:rsid w:val="00685689"/>
    <w:rsid w:val="006857D5"/>
    <w:rsid w:val="00687D76"/>
    <w:rsid w:val="006900CB"/>
    <w:rsid w:val="00691E7C"/>
    <w:rsid w:val="00692006"/>
    <w:rsid w:val="00692E63"/>
    <w:rsid w:val="00695049"/>
    <w:rsid w:val="00696594"/>
    <w:rsid w:val="00697981"/>
    <w:rsid w:val="006A0207"/>
    <w:rsid w:val="006A48F0"/>
    <w:rsid w:val="006A4C31"/>
    <w:rsid w:val="006A7E76"/>
    <w:rsid w:val="006B3EBA"/>
    <w:rsid w:val="006B7F9A"/>
    <w:rsid w:val="006C38E0"/>
    <w:rsid w:val="006C5654"/>
    <w:rsid w:val="006C78A6"/>
    <w:rsid w:val="006D0A15"/>
    <w:rsid w:val="006D16E3"/>
    <w:rsid w:val="006D77A0"/>
    <w:rsid w:val="006D77D0"/>
    <w:rsid w:val="006E1CBB"/>
    <w:rsid w:val="006E7FD1"/>
    <w:rsid w:val="006F0A38"/>
    <w:rsid w:val="006F3DB6"/>
    <w:rsid w:val="006F49CC"/>
    <w:rsid w:val="00704160"/>
    <w:rsid w:val="00705470"/>
    <w:rsid w:val="00705A2B"/>
    <w:rsid w:val="007076E0"/>
    <w:rsid w:val="007106BC"/>
    <w:rsid w:val="00710C59"/>
    <w:rsid w:val="007115F9"/>
    <w:rsid w:val="00712B94"/>
    <w:rsid w:val="007130D9"/>
    <w:rsid w:val="00713338"/>
    <w:rsid w:val="00713BA9"/>
    <w:rsid w:val="00715096"/>
    <w:rsid w:val="00722B73"/>
    <w:rsid w:val="0072461A"/>
    <w:rsid w:val="007262FE"/>
    <w:rsid w:val="007300EB"/>
    <w:rsid w:val="007367F2"/>
    <w:rsid w:val="00743938"/>
    <w:rsid w:val="00743CF8"/>
    <w:rsid w:val="00743CFB"/>
    <w:rsid w:val="00746C98"/>
    <w:rsid w:val="00746F9C"/>
    <w:rsid w:val="00752CF6"/>
    <w:rsid w:val="00756046"/>
    <w:rsid w:val="00756206"/>
    <w:rsid w:val="00761455"/>
    <w:rsid w:val="0076182B"/>
    <w:rsid w:val="00764273"/>
    <w:rsid w:val="0076723F"/>
    <w:rsid w:val="007704B9"/>
    <w:rsid w:val="00770537"/>
    <w:rsid w:val="007705C6"/>
    <w:rsid w:val="00770A21"/>
    <w:rsid w:val="00772E18"/>
    <w:rsid w:val="00774BE3"/>
    <w:rsid w:val="007817F7"/>
    <w:rsid w:val="00784CFA"/>
    <w:rsid w:val="00785989"/>
    <w:rsid w:val="00791887"/>
    <w:rsid w:val="00792B48"/>
    <w:rsid w:val="007953B6"/>
    <w:rsid w:val="007A0C46"/>
    <w:rsid w:val="007A0CDC"/>
    <w:rsid w:val="007A13B2"/>
    <w:rsid w:val="007A3338"/>
    <w:rsid w:val="007A38A0"/>
    <w:rsid w:val="007A4323"/>
    <w:rsid w:val="007A54CC"/>
    <w:rsid w:val="007A75C3"/>
    <w:rsid w:val="007B0C7E"/>
    <w:rsid w:val="007B2780"/>
    <w:rsid w:val="007B337A"/>
    <w:rsid w:val="007B5677"/>
    <w:rsid w:val="007B57A1"/>
    <w:rsid w:val="007B7569"/>
    <w:rsid w:val="007C02BF"/>
    <w:rsid w:val="007C083C"/>
    <w:rsid w:val="007C31AC"/>
    <w:rsid w:val="007C34BB"/>
    <w:rsid w:val="007C383B"/>
    <w:rsid w:val="007C6F15"/>
    <w:rsid w:val="007C710E"/>
    <w:rsid w:val="007D4314"/>
    <w:rsid w:val="007D50C1"/>
    <w:rsid w:val="007D7289"/>
    <w:rsid w:val="007D7809"/>
    <w:rsid w:val="007E241B"/>
    <w:rsid w:val="007E2CD0"/>
    <w:rsid w:val="007E64E0"/>
    <w:rsid w:val="007F13A8"/>
    <w:rsid w:val="007F4A52"/>
    <w:rsid w:val="007F5EAF"/>
    <w:rsid w:val="007F7E8E"/>
    <w:rsid w:val="008001E0"/>
    <w:rsid w:val="00803F9A"/>
    <w:rsid w:val="00806D45"/>
    <w:rsid w:val="0080701C"/>
    <w:rsid w:val="008077EE"/>
    <w:rsid w:val="00807EA1"/>
    <w:rsid w:val="0081092F"/>
    <w:rsid w:val="00811051"/>
    <w:rsid w:val="00811246"/>
    <w:rsid w:val="00811B45"/>
    <w:rsid w:val="008120CA"/>
    <w:rsid w:val="0081448D"/>
    <w:rsid w:val="00815DBA"/>
    <w:rsid w:val="0081789D"/>
    <w:rsid w:val="00820E2C"/>
    <w:rsid w:val="00824902"/>
    <w:rsid w:val="0082692E"/>
    <w:rsid w:val="0083090E"/>
    <w:rsid w:val="00833AD0"/>
    <w:rsid w:val="00835AAB"/>
    <w:rsid w:val="0083607E"/>
    <w:rsid w:val="0083711F"/>
    <w:rsid w:val="00841885"/>
    <w:rsid w:val="00841AD0"/>
    <w:rsid w:val="00841DD4"/>
    <w:rsid w:val="008422EA"/>
    <w:rsid w:val="0084454F"/>
    <w:rsid w:val="00846CAE"/>
    <w:rsid w:val="00847389"/>
    <w:rsid w:val="008524DA"/>
    <w:rsid w:val="00857592"/>
    <w:rsid w:val="00860B5B"/>
    <w:rsid w:val="00861E6B"/>
    <w:rsid w:val="008644E5"/>
    <w:rsid w:val="00864769"/>
    <w:rsid w:val="008652E1"/>
    <w:rsid w:val="008654E5"/>
    <w:rsid w:val="00865E3C"/>
    <w:rsid w:val="008678CB"/>
    <w:rsid w:val="008700C1"/>
    <w:rsid w:val="00870849"/>
    <w:rsid w:val="008747B0"/>
    <w:rsid w:val="0087565E"/>
    <w:rsid w:val="00875CDD"/>
    <w:rsid w:val="008824F6"/>
    <w:rsid w:val="0088252D"/>
    <w:rsid w:val="008827FF"/>
    <w:rsid w:val="0088633D"/>
    <w:rsid w:val="0088698D"/>
    <w:rsid w:val="00887FD5"/>
    <w:rsid w:val="008907DC"/>
    <w:rsid w:val="00892AC6"/>
    <w:rsid w:val="0089414A"/>
    <w:rsid w:val="00894270"/>
    <w:rsid w:val="00894AA5"/>
    <w:rsid w:val="008950E2"/>
    <w:rsid w:val="008955AC"/>
    <w:rsid w:val="00895D3A"/>
    <w:rsid w:val="00897BDB"/>
    <w:rsid w:val="008A2453"/>
    <w:rsid w:val="008A6CA0"/>
    <w:rsid w:val="008C05CF"/>
    <w:rsid w:val="008C0908"/>
    <w:rsid w:val="008C1657"/>
    <w:rsid w:val="008C17E3"/>
    <w:rsid w:val="008C1B21"/>
    <w:rsid w:val="008C3211"/>
    <w:rsid w:val="008C3E28"/>
    <w:rsid w:val="008C6653"/>
    <w:rsid w:val="008C6AFF"/>
    <w:rsid w:val="008C702B"/>
    <w:rsid w:val="008D4E14"/>
    <w:rsid w:val="008D5FDC"/>
    <w:rsid w:val="008D63F6"/>
    <w:rsid w:val="008D7D4C"/>
    <w:rsid w:val="008E07A2"/>
    <w:rsid w:val="008E0EA1"/>
    <w:rsid w:val="008E13F0"/>
    <w:rsid w:val="008E1DE0"/>
    <w:rsid w:val="008E217B"/>
    <w:rsid w:val="008E4313"/>
    <w:rsid w:val="008E6F58"/>
    <w:rsid w:val="008E7816"/>
    <w:rsid w:val="008F22F0"/>
    <w:rsid w:val="008F27EB"/>
    <w:rsid w:val="008F31F4"/>
    <w:rsid w:val="008F4A6F"/>
    <w:rsid w:val="008F4CB4"/>
    <w:rsid w:val="008F5764"/>
    <w:rsid w:val="00901D90"/>
    <w:rsid w:val="00901DA6"/>
    <w:rsid w:val="0090276D"/>
    <w:rsid w:val="009045CF"/>
    <w:rsid w:val="00906134"/>
    <w:rsid w:val="009064B7"/>
    <w:rsid w:val="0091033E"/>
    <w:rsid w:val="009126CD"/>
    <w:rsid w:val="009135DD"/>
    <w:rsid w:val="00916EE5"/>
    <w:rsid w:val="00917395"/>
    <w:rsid w:val="00921857"/>
    <w:rsid w:val="0092204A"/>
    <w:rsid w:val="00924B10"/>
    <w:rsid w:val="00924EBB"/>
    <w:rsid w:val="00924F5B"/>
    <w:rsid w:val="00926CF9"/>
    <w:rsid w:val="00930D06"/>
    <w:rsid w:val="009329ED"/>
    <w:rsid w:val="00932DCF"/>
    <w:rsid w:val="00933217"/>
    <w:rsid w:val="00933504"/>
    <w:rsid w:val="00934704"/>
    <w:rsid w:val="00935EE2"/>
    <w:rsid w:val="0093647B"/>
    <w:rsid w:val="00940A25"/>
    <w:rsid w:val="00940D03"/>
    <w:rsid w:val="00943C3E"/>
    <w:rsid w:val="009441A1"/>
    <w:rsid w:val="009524AB"/>
    <w:rsid w:val="00961774"/>
    <w:rsid w:val="0096222B"/>
    <w:rsid w:val="0096529B"/>
    <w:rsid w:val="009652D9"/>
    <w:rsid w:val="009659C2"/>
    <w:rsid w:val="009662D1"/>
    <w:rsid w:val="00967D8B"/>
    <w:rsid w:val="009739B8"/>
    <w:rsid w:val="009808C0"/>
    <w:rsid w:val="0098156E"/>
    <w:rsid w:val="009833D2"/>
    <w:rsid w:val="009835BA"/>
    <w:rsid w:val="0098448E"/>
    <w:rsid w:val="00984F78"/>
    <w:rsid w:val="009873F5"/>
    <w:rsid w:val="00987BA6"/>
    <w:rsid w:val="009938CA"/>
    <w:rsid w:val="009950C8"/>
    <w:rsid w:val="00997168"/>
    <w:rsid w:val="009A4F9E"/>
    <w:rsid w:val="009A523F"/>
    <w:rsid w:val="009A5F2C"/>
    <w:rsid w:val="009B03D9"/>
    <w:rsid w:val="009B10C9"/>
    <w:rsid w:val="009B1DF1"/>
    <w:rsid w:val="009B2304"/>
    <w:rsid w:val="009B3FA6"/>
    <w:rsid w:val="009B70A6"/>
    <w:rsid w:val="009B7F08"/>
    <w:rsid w:val="009C152E"/>
    <w:rsid w:val="009C772C"/>
    <w:rsid w:val="009D4B51"/>
    <w:rsid w:val="009D60B4"/>
    <w:rsid w:val="009D63E6"/>
    <w:rsid w:val="009E4200"/>
    <w:rsid w:val="009E47C7"/>
    <w:rsid w:val="009E581B"/>
    <w:rsid w:val="009E6638"/>
    <w:rsid w:val="009E71E4"/>
    <w:rsid w:val="009E7215"/>
    <w:rsid w:val="009F0B53"/>
    <w:rsid w:val="009F3E6E"/>
    <w:rsid w:val="009F60AB"/>
    <w:rsid w:val="009F6AFD"/>
    <w:rsid w:val="00A022F6"/>
    <w:rsid w:val="00A03DED"/>
    <w:rsid w:val="00A05B3F"/>
    <w:rsid w:val="00A062EE"/>
    <w:rsid w:val="00A10FC4"/>
    <w:rsid w:val="00A12D81"/>
    <w:rsid w:val="00A20F4B"/>
    <w:rsid w:val="00A2132A"/>
    <w:rsid w:val="00A21BEB"/>
    <w:rsid w:val="00A21ECD"/>
    <w:rsid w:val="00A22789"/>
    <w:rsid w:val="00A27807"/>
    <w:rsid w:val="00A31625"/>
    <w:rsid w:val="00A330F6"/>
    <w:rsid w:val="00A33315"/>
    <w:rsid w:val="00A33E9A"/>
    <w:rsid w:val="00A35E3C"/>
    <w:rsid w:val="00A37011"/>
    <w:rsid w:val="00A37D0A"/>
    <w:rsid w:val="00A40581"/>
    <w:rsid w:val="00A41BF0"/>
    <w:rsid w:val="00A42344"/>
    <w:rsid w:val="00A427D0"/>
    <w:rsid w:val="00A46B60"/>
    <w:rsid w:val="00A46FAA"/>
    <w:rsid w:val="00A472C0"/>
    <w:rsid w:val="00A47456"/>
    <w:rsid w:val="00A509AA"/>
    <w:rsid w:val="00A510E9"/>
    <w:rsid w:val="00A51450"/>
    <w:rsid w:val="00A52099"/>
    <w:rsid w:val="00A56C54"/>
    <w:rsid w:val="00A579DF"/>
    <w:rsid w:val="00A61266"/>
    <w:rsid w:val="00A615C5"/>
    <w:rsid w:val="00A62566"/>
    <w:rsid w:val="00A62D2F"/>
    <w:rsid w:val="00A63A8B"/>
    <w:rsid w:val="00A66961"/>
    <w:rsid w:val="00A67B3A"/>
    <w:rsid w:val="00A7082A"/>
    <w:rsid w:val="00A72428"/>
    <w:rsid w:val="00A740A8"/>
    <w:rsid w:val="00A772E5"/>
    <w:rsid w:val="00A77577"/>
    <w:rsid w:val="00A77C31"/>
    <w:rsid w:val="00A81D2E"/>
    <w:rsid w:val="00A843B0"/>
    <w:rsid w:val="00A851A0"/>
    <w:rsid w:val="00A8718A"/>
    <w:rsid w:val="00A9030A"/>
    <w:rsid w:val="00A939F4"/>
    <w:rsid w:val="00A949F8"/>
    <w:rsid w:val="00A96132"/>
    <w:rsid w:val="00AA2684"/>
    <w:rsid w:val="00AA5A38"/>
    <w:rsid w:val="00AB4049"/>
    <w:rsid w:val="00AB630B"/>
    <w:rsid w:val="00AC3246"/>
    <w:rsid w:val="00AC5636"/>
    <w:rsid w:val="00AC6867"/>
    <w:rsid w:val="00AC72D2"/>
    <w:rsid w:val="00AD4907"/>
    <w:rsid w:val="00AD684E"/>
    <w:rsid w:val="00AD6D7A"/>
    <w:rsid w:val="00AD776B"/>
    <w:rsid w:val="00AD7B05"/>
    <w:rsid w:val="00AE0F61"/>
    <w:rsid w:val="00AE172F"/>
    <w:rsid w:val="00AE400D"/>
    <w:rsid w:val="00AE5109"/>
    <w:rsid w:val="00AE5FC8"/>
    <w:rsid w:val="00AF08BE"/>
    <w:rsid w:val="00AF4C55"/>
    <w:rsid w:val="00AF7D0E"/>
    <w:rsid w:val="00B007EC"/>
    <w:rsid w:val="00B00B34"/>
    <w:rsid w:val="00B01EF4"/>
    <w:rsid w:val="00B02599"/>
    <w:rsid w:val="00B03DD0"/>
    <w:rsid w:val="00B07C0E"/>
    <w:rsid w:val="00B10378"/>
    <w:rsid w:val="00B11EE0"/>
    <w:rsid w:val="00B159CE"/>
    <w:rsid w:val="00B1689C"/>
    <w:rsid w:val="00B177D7"/>
    <w:rsid w:val="00B20B0E"/>
    <w:rsid w:val="00B21BAA"/>
    <w:rsid w:val="00B25D61"/>
    <w:rsid w:val="00B2693E"/>
    <w:rsid w:val="00B3250B"/>
    <w:rsid w:val="00B326E4"/>
    <w:rsid w:val="00B349C2"/>
    <w:rsid w:val="00B34B74"/>
    <w:rsid w:val="00B36E5E"/>
    <w:rsid w:val="00B418B6"/>
    <w:rsid w:val="00B418C3"/>
    <w:rsid w:val="00B419DA"/>
    <w:rsid w:val="00B44024"/>
    <w:rsid w:val="00B44BA9"/>
    <w:rsid w:val="00B44D66"/>
    <w:rsid w:val="00B44DF9"/>
    <w:rsid w:val="00B450C6"/>
    <w:rsid w:val="00B45440"/>
    <w:rsid w:val="00B465D7"/>
    <w:rsid w:val="00B469FF"/>
    <w:rsid w:val="00B4792C"/>
    <w:rsid w:val="00B54479"/>
    <w:rsid w:val="00B56D55"/>
    <w:rsid w:val="00B61C48"/>
    <w:rsid w:val="00B632BA"/>
    <w:rsid w:val="00B637A1"/>
    <w:rsid w:val="00B7010E"/>
    <w:rsid w:val="00B7279B"/>
    <w:rsid w:val="00B74FCA"/>
    <w:rsid w:val="00B80484"/>
    <w:rsid w:val="00B81244"/>
    <w:rsid w:val="00B81953"/>
    <w:rsid w:val="00B81B7D"/>
    <w:rsid w:val="00B82F8C"/>
    <w:rsid w:val="00B87563"/>
    <w:rsid w:val="00B94328"/>
    <w:rsid w:val="00B94F6F"/>
    <w:rsid w:val="00BA142D"/>
    <w:rsid w:val="00BA1721"/>
    <w:rsid w:val="00BA42E5"/>
    <w:rsid w:val="00BA4E7F"/>
    <w:rsid w:val="00BA78D3"/>
    <w:rsid w:val="00BB00C0"/>
    <w:rsid w:val="00BB1F7A"/>
    <w:rsid w:val="00BB325B"/>
    <w:rsid w:val="00BB4E57"/>
    <w:rsid w:val="00BB5373"/>
    <w:rsid w:val="00BB7E32"/>
    <w:rsid w:val="00BC19F3"/>
    <w:rsid w:val="00BC416E"/>
    <w:rsid w:val="00BC4937"/>
    <w:rsid w:val="00BC6BF8"/>
    <w:rsid w:val="00BC70FD"/>
    <w:rsid w:val="00BC7DEF"/>
    <w:rsid w:val="00BD00E2"/>
    <w:rsid w:val="00BD0B13"/>
    <w:rsid w:val="00BD1050"/>
    <w:rsid w:val="00BD24E8"/>
    <w:rsid w:val="00BD3A4D"/>
    <w:rsid w:val="00BD5B70"/>
    <w:rsid w:val="00BD6136"/>
    <w:rsid w:val="00BD7036"/>
    <w:rsid w:val="00BE1033"/>
    <w:rsid w:val="00BE178B"/>
    <w:rsid w:val="00BE248E"/>
    <w:rsid w:val="00BE42ED"/>
    <w:rsid w:val="00BE52ED"/>
    <w:rsid w:val="00BF01BF"/>
    <w:rsid w:val="00BF1353"/>
    <w:rsid w:val="00BF23B8"/>
    <w:rsid w:val="00BF4463"/>
    <w:rsid w:val="00BF4CCB"/>
    <w:rsid w:val="00BF544C"/>
    <w:rsid w:val="00BF547F"/>
    <w:rsid w:val="00BF7CB4"/>
    <w:rsid w:val="00C00315"/>
    <w:rsid w:val="00C013BF"/>
    <w:rsid w:val="00C014B9"/>
    <w:rsid w:val="00C0269A"/>
    <w:rsid w:val="00C02789"/>
    <w:rsid w:val="00C02ECF"/>
    <w:rsid w:val="00C06266"/>
    <w:rsid w:val="00C0749A"/>
    <w:rsid w:val="00C13351"/>
    <w:rsid w:val="00C23EBE"/>
    <w:rsid w:val="00C3124E"/>
    <w:rsid w:val="00C33CEF"/>
    <w:rsid w:val="00C36012"/>
    <w:rsid w:val="00C400CC"/>
    <w:rsid w:val="00C4123C"/>
    <w:rsid w:val="00C4235F"/>
    <w:rsid w:val="00C4299A"/>
    <w:rsid w:val="00C43357"/>
    <w:rsid w:val="00C448B0"/>
    <w:rsid w:val="00C5090E"/>
    <w:rsid w:val="00C51AA7"/>
    <w:rsid w:val="00C5233C"/>
    <w:rsid w:val="00C55BD7"/>
    <w:rsid w:val="00C55FE3"/>
    <w:rsid w:val="00C57BB5"/>
    <w:rsid w:val="00C6082A"/>
    <w:rsid w:val="00C6178E"/>
    <w:rsid w:val="00C651B7"/>
    <w:rsid w:val="00C65494"/>
    <w:rsid w:val="00C65606"/>
    <w:rsid w:val="00C65E96"/>
    <w:rsid w:val="00C712C7"/>
    <w:rsid w:val="00C72233"/>
    <w:rsid w:val="00C74B12"/>
    <w:rsid w:val="00C77649"/>
    <w:rsid w:val="00C81735"/>
    <w:rsid w:val="00C81DEB"/>
    <w:rsid w:val="00C828DD"/>
    <w:rsid w:val="00C85F1F"/>
    <w:rsid w:val="00C900C7"/>
    <w:rsid w:val="00C90D2E"/>
    <w:rsid w:val="00C915A4"/>
    <w:rsid w:val="00C93464"/>
    <w:rsid w:val="00C94805"/>
    <w:rsid w:val="00C94EAA"/>
    <w:rsid w:val="00C9687A"/>
    <w:rsid w:val="00C96B70"/>
    <w:rsid w:val="00CA2685"/>
    <w:rsid w:val="00CA689E"/>
    <w:rsid w:val="00CB088C"/>
    <w:rsid w:val="00CB166C"/>
    <w:rsid w:val="00CB184D"/>
    <w:rsid w:val="00CB35A8"/>
    <w:rsid w:val="00CB4C0A"/>
    <w:rsid w:val="00CB6A34"/>
    <w:rsid w:val="00CC219C"/>
    <w:rsid w:val="00CC278C"/>
    <w:rsid w:val="00CC4D64"/>
    <w:rsid w:val="00CC6FCA"/>
    <w:rsid w:val="00CD0E67"/>
    <w:rsid w:val="00CD2CAE"/>
    <w:rsid w:val="00CD6EFA"/>
    <w:rsid w:val="00CD7974"/>
    <w:rsid w:val="00CE39EC"/>
    <w:rsid w:val="00CE4792"/>
    <w:rsid w:val="00CE6EEE"/>
    <w:rsid w:val="00CE7046"/>
    <w:rsid w:val="00CF1E08"/>
    <w:rsid w:val="00CF1E9C"/>
    <w:rsid w:val="00CF1F89"/>
    <w:rsid w:val="00CF2F06"/>
    <w:rsid w:val="00CF34F9"/>
    <w:rsid w:val="00CF4F3A"/>
    <w:rsid w:val="00CF6309"/>
    <w:rsid w:val="00CF63A6"/>
    <w:rsid w:val="00CF6934"/>
    <w:rsid w:val="00CF762E"/>
    <w:rsid w:val="00D00F7E"/>
    <w:rsid w:val="00D0225D"/>
    <w:rsid w:val="00D03872"/>
    <w:rsid w:val="00D06FBD"/>
    <w:rsid w:val="00D07ADB"/>
    <w:rsid w:val="00D1180F"/>
    <w:rsid w:val="00D12919"/>
    <w:rsid w:val="00D13719"/>
    <w:rsid w:val="00D2039D"/>
    <w:rsid w:val="00D20AB8"/>
    <w:rsid w:val="00D2127A"/>
    <w:rsid w:val="00D23A0F"/>
    <w:rsid w:val="00D245BD"/>
    <w:rsid w:val="00D329CC"/>
    <w:rsid w:val="00D36A28"/>
    <w:rsid w:val="00D41AC2"/>
    <w:rsid w:val="00D45623"/>
    <w:rsid w:val="00D467C7"/>
    <w:rsid w:val="00D5128D"/>
    <w:rsid w:val="00D55335"/>
    <w:rsid w:val="00D55F5C"/>
    <w:rsid w:val="00D56ED3"/>
    <w:rsid w:val="00D600A4"/>
    <w:rsid w:val="00D61151"/>
    <w:rsid w:val="00D61BCE"/>
    <w:rsid w:val="00D63E40"/>
    <w:rsid w:val="00D64EA4"/>
    <w:rsid w:val="00D71016"/>
    <w:rsid w:val="00D71E42"/>
    <w:rsid w:val="00D74202"/>
    <w:rsid w:val="00D74986"/>
    <w:rsid w:val="00D76B7D"/>
    <w:rsid w:val="00D812A6"/>
    <w:rsid w:val="00D829AE"/>
    <w:rsid w:val="00D845FA"/>
    <w:rsid w:val="00D84890"/>
    <w:rsid w:val="00D857B9"/>
    <w:rsid w:val="00D87D02"/>
    <w:rsid w:val="00D90E40"/>
    <w:rsid w:val="00D91353"/>
    <w:rsid w:val="00D917AD"/>
    <w:rsid w:val="00D92152"/>
    <w:rsid w:val="00D9254F"/>
    <w:rsid w:val="00D93907"/>
    <w:rsid w:val="00D93FC5"/>
    <w:rsid w:val="00D946C4"/>
    <w:rsid w:val="00D95F17"/>
    <w:rsid w:val="00D96820"/>
    <w:rsid w:val="00DA40F3"/>
    <w:rsid w:val="00DA47B4"/>
    <w:rsid w:val="00DA7222"/>
    <w:rsid w:val="00DA72CB"/>
    <w:rsid w:val="00DA7409"/>
    <w:rsid w:val="00DA75EB"/>
    <w:rsid w:val="00DB0897"/>
    <w:rsid w:val="00DB0EEB"/>
    <w:rsid w:val="00DB2854"/>
    <w:rsid w:val="00DB59D0"/>
    <w:rsid w:val="00DB60C3"/>
    <w:rsid w:val="00DB68B1"/>
    <w:rsid w:val="00DB6B59"/>
    <w:rsid w:val="00DC0B13"/>
    <w:rsid w:val="00DC1763"/>
    <w:rsid w:val="00DC18DE"/>
    <w:rsid w:val="00DC2C80"/>
    <w:rsid w:val="00DC3BCE"/>
    <w:rsid w:val="00DC7029"/>
    <w:rsid w:val="00DD06EA"/>
    <w:rsid w:val="00DD08E9"/>
    <w:rsid w:val="00DD0FA9"/>
    <w:rsid w:val="00DD47B2"/>
    <w:rsid w:val="00DD714F"/>
    <w:rsid w:val="00DD7CE3"/>
    <w:rsid w:val="00DE0576"/>
    <w:rsid w:val="00DE38CF"/>
    <w:rsid w:val="00DE4EAE"/>
    <w:rsid w:val="00DE52E7"/>
    <w:rsid w:val="00DE5BD4"/>
    <w:rsid w:val="00DE5EF4"/>
    <w:rsid w:val="00DF1837"/>
    <w:rsid w:val="00DF6D68"/>
    <w:rsid w:val="00DF7687"/>
    <w:rsid w:val="00E00686"/>
    <w:rsid w:val="00E006D5"/>
    <w:rsid w:val="00E01736"/>
    <w:rsid w:val="00E0210A"/>
    <w:rsid w:val="00E023C7"/>
    <w:rsid w:val="00E051B9"/>
    <w:rsid w:val="00E06010"/>
    <w:rsid w:val="00E06EE8"/>
    <w:rsid w:val="00E10745"/>
    <w:rsid w:val="00E1366B"/>
    <w:rsid w:val="00E14BFD"/>
    <w:rsid w:val="00E14DFF"/>
    <w:rsid w:val="00E16AF9"/>
    <w:rsid w:val="00E17EB1"/>
    <w:rsid w:val="00E21E49"/>
    <w:rsid w:val="00E22890"/>
    <w:rsid w:val="00E271F3"/>
    <w:rsid w:val="00E30939"/>
    <w:rsid w:val="00E3305E"/>
    <w:rsid w:val="00E33379"/>
    <w:rsid w:val="00E43628"/>
    <w:rsid w:val="00E45C20"/>
    <w:rsid w:val="00E4607B"/>
    <w:rsid w:val="00E500B9"/>
    <w:rsid w:val="00E5259C"/>
    <w:rsid w:val="00E5268A"/>
    <w:rsid w:val="00E52DB2"/>
    <w:rsid w:val="00E55863"/>
    <w:rsid w:val="00E56AAA"/>
    <w:rsid w:val="00E62050"/>
    <w:rsid w:val="00E630BC"/>
    <w:rsid w:val="00E635A4"/>
    <w:rsid w:val="00E67956"/>
    <w:rsid w:val="00E67EAA"/>
    <w:rsid w:val="00E71CE6"/>
    <w:rsid w:val="00E720D2"/>
    <w:rsid w:val="00E74AF2"/>
    <w:rsid w:val="00E76E9A"/>
    <w:rsid w:val="00E7704F"/>
    <w:rsid w:val="00E77CBC"/>
    <w:rsid w:val="00E77EB8"/>
    <w:rsid w:val="00E80364"/>
    <w:rsid w:val="00E80421"/>
    <w:rsid w:val="00E81502"/>
    <w:rsid w:val="00E83B11"/>
    <w:rsid w:val="00E8656A"/>
    <w:rsid w:val="00E87271"/>
    <w:rsid w:val="00E909A6"/>
    <w:rsid w:val="00E94413"/>
    <w:rsid w:val="00E9453A"/>
    <w:rsid w:val="00EA249E"/>
    <w:rsid w:val="00EA38B0"/>
    <w:rsid w:val="00EA4432"/>
    <w:rsid w:val="00EA5623"/>
    <w:rsid w:val="00EA5CDC"/>
    <w:rsid w:val="00EA5F30"/>
    <w:rsid w:val="00EB06C8"/>
    <w:rsid w:val="00EB0CDE"/>
    <w:rsid w:val="00EB1641"/>
    <w:rsid w:val="00EB1D92"/>
    <w:rsid w:val="00EB1FF1"/>
    <w:rsid w:val="00EB6C7B"/>
    <w:rsid w:val="00EB7BBE"/>
    <w:rsid w:val="00EC0CE4"/>
    <w:rsid w:val="00EC294F"/>
    <w:rsid w:val="00EC36B5"/>
    <w:rsid w:val="00EC6677"/>
    <w:rsid w:val="00EC7182"/>
    <w:rsid w:val="00ED39CF"/>
    <w:rsid w:val="00ED3C23"/>
    <w:rsid w:val="00ED4BD9"/>
    <w:rsid w:val="00ED4CE8"/>
    <w:rsid w:val="00ED61EF"/>
    <w:rsid w:val="00EE4AD7"/>
    <w:rsid w:val="00EE4DAE"/>
    <w:rsid w:val="00EE655B"/>
    <w:rsid w:val="00EE65A0"/>
    <w:rsid w:val="00EF08B8"/>
    <w:rsid w:val="00EF0C55"/>
    <w:rsid w:val="00EF4EDE"/>
    <w:rsid w:val="00EF51A0"/>
    <w:rsid w:val="00EF73AE"/>
    <w:rsid w:val="00F03B12"/>
    <w:rsid w:val="00F07DA0"/>
    <w:rsid w:val="00F10946"/>
    <w:rsid w:val="00F1295D"/>
    <w:rsid w:val="00F269B3"/>
    <w:rsid w:val="00F309E7"/>
    <w:rsid w:val="00F30D43"/>
    <w:rsid w:val="00F31745"/>
    <w:rsid w:val="00F32B20"/>
    <w:rsid w:val="00F32EC9"/>
    <w:rsid w:val="00F345F4"/>
    <w:rsid w:val="00F34B95"/>
    <w:rsid w:val="00F365EB"/>
    <w:rsid w:val="00F366CF"/>
    <w:rsid w:val="00F36DEC"/>
    <w:rsid w:val="00F4218D"/>
    <w:rsid w:val="00F42229"/>
    <w:rsid w:val="00F42D5A"/>
    <w:rsid w:val="00F463E2"/>
    <w:rsid w:val="00F4679E"/>
    <w:rsid w:val="00F50540"/>
    <w:rsid w:val="00F52D09"/>
    <w:rsid w:val="00F5307D"/>
    <w:rsid w:val="00F56CAC"/>
    <w:rsid w:val="00F57787"/>
    <w:rsid w:val="00F611A2"/>
    <w:rsid w:val="00F6361C"/>
    <w:rsid w:val="00F65452"/>
    <w:rsid w:val="00F6781C"/>
    <w:rsid w:val="00F714B4"/>
    <w:rsid w:val="00F75BC8"/>
    <w:rsid w:val="00F766B2"/>
    <w:rsid w:val="00F77E36"/>
    <w:rsid w:val="00F81BCB"/>
    <w:rsid w:val="00F825DF"/>
    <w:rsid w:val="00F8341C"/>
    <w:rsid w:val="00F84DCD"/>
    <w:rsid w:val="00F85E48"/>
    <w:rsid w:val="00F9112A"/>
    <w:rsid w:val="00F92077"/>
    <w:rsid w:val="00F96C22"/>
    <w:rsid w:val="00FA021A"/>
    <w:rsid w:val="00FA1639"/>
    <w:rsid w:val="00FA3970"/>
    <w:rsid w:val="00FB2B88"/>
    <w:rsid w:val="00FB39C2"/>
    <w:rsid w:val="00FB6359"/>
    <w:rsid w:val="00FC13B4"/>
    <w:rsid w:val="00FC176F"/>
    <w:rsid w:val="00FC1E30"/>
    <w:rsid w:val="00FC3A92"/>
    <w:rsid w:val="00FC5783"/>
    <w:rsid w:val="00FD4991"/>
    <w:rsid w:val="00FD6AB4"/>
    <w:rsid w:val="00FD730E"/>
    <w:rsid w:val="00FE1864"/>
    <w:rsid w:val="00FE40A7"/>
    <w:rsid w:val="00FE43A3"/>
    <w:rsid w:val="00FE4652"/>
    <w:rsid w:val="00FE56C3"/>
    <w:rsid w:val="00FF05DC"/>
    <w:rsid w:val="00FF19F4"/>
    <w:rsid w:val="00FF22D8"/>
    <w:rsid w:val="00FF4239"/>
    <w:rsid w:val="1D287CC0"/>
    <w:rsid w:val="48C9655C"/>
    <w:rsid w:val="4FE01568"/>
    <w:rsid w:val="778E2D69"/>
    <w:rsid w:val="7B9C6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sz w:val="18"/>
      <w:szCs w:val="18"/>
    </w:rPr>
  </w:style>
  <w:style w:type="character" w:customStyle="1" w:styleId="9">
    <w:name w:val="页脚 字符"/>
    <w:basedOn w:val="7"/>
    <w:link w:val="3"/>
    <w:qFormat/>
    <w:uiPriority w:val="0"/>
    <w:rPr>
      <w:sz w:val="18"/>
      <w:szCs w:val="18"/>
    </w:rPr>
  </w:style>
  <w:style w:type="paragraph" w:styleId="10">
    <w:name w:val="List Paragraph"/>
    <w:basedOn w:val="1"/>
    <w:qFormat/>
    <w:uiPriority w:val="99"/>
    <w:pPr>
      <w:ind w:firstLine="420" w:firstLineChars="200"/>
    </w:pPr>
  </w:style>
  <w:style w:type="paragraph" w:customStyle="1" w:styleId="11">
    <w:name w:val="Table Paragraph"/>
    <w:basedOn w:val="1"/>
    <w:qFormat/>
    <w:uiPriority w:val="1"/>
    <w:pPr>
      <w:spacing w:before="99"/>
      <w:ind w:left="107"/>
    </w:pPr>
    <w:rPr>
      <w:rFonts w:ascii="宋体" w:hAnsi="宋体" w:eastAsia="宋体" w:cs="宋体"/>
      <w:lang w:val="zh-CN" w:bidi="zh-CN"/>
    </w:rPr>
  </w:style>
  <w:style w:type="paragraph" w:customStyle="1" w:styleId="12">
    <w:name w:val="正文缩进2格"/>
    <w:basedOn w:val="1"/>
    <w:qFormat/>
    <w:uiPriority w:val="0"/>
    <w:pPr>
      <w:spacing w:line="600" w:lineRule="exact"/>
      <w:ind w:firstLine="639" w:firstLineChars="206"/>
    </w:pPr>
    <w:rPr>
      <w:rFonts w:ascii="仿宋_GB2312" w:hAnsi="Times New Roman" w:eastAsia="仿宋_GB2312" w:cs="Times New Roman"/>
      <w:sz w:val="31"/>
      <w:szCs w:val="28"/>
    </w:rPr>
  </w:style>
  <w:style w:type="paragraph" w:customStyle="1" w:styleId="13">
    <w:name w:val="null3"/>
    <w:hidden/>
    <w:qFormat/>
    <w:uiPriority w:val="0"/>
    <w:rPr>
      <w:rFonts w:hint="eastAsia" w:asciiTheme="minorHAnsi" w:hAnsiTheme="minorHAnsi" w:eastAsiaTheme="minorEastAsia" w:cstheme="minorBidi"/>
      <w:kern w:val="0"/>
      <w:sz w:val="20"/>
      <w:szCs w:val="20"/>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1249</Words>
  <Characters>1578</Characters>
  <Lines>53</Lines>
  <Paragraphs>14</Paragraphs>
  <TotalTime>8</TotalTime>
  <ScaleCrop>false</ScaleCrop>
  <LinksUpToDate>false</LinksUpToDate>
  <CharactersWithSpaces>1599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2024-11-15T02:27:00Z</dcterms:created>
  <dc:creator>lai jintao</dc:creator>
  <cp:lastModifiedBy>750</cp:lastModifiedBy>
  <dcterms:modified xsi:type="dcterms:W3CDTF">2026-11-05T07:44:42Z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eyJoZGlkIjoiMjgwZjY2Y2VmN2Q4NTUyN2U0OWMzOTZjMTEyNzk0ZTAiLCJ1c2VySWQiOiIyNjM5MzU5MDcifQ==</vt:lpwstr>
  </property>
  <property fmtid="{D5CDD505-2E9C-101B-9397-08002B2CF9AE}" pid="3" name="KSOProductBuildVer">
    <vt:lpwstr>2052-12.1.0.29161</vt:lpwstr>
  </property>
  <property fmtid="{D5CDD505-2E9C-101B-9397-08002B2CF9AE}" pid="4" name="ICV">
    <vt:lpwstr>88FA6744D7B24E3BBEC467200E0AF671_13</vt:lpwstr>
  </property>
</Properties>
</file>