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D3AF2">
      <w:pPr>
        <w:pStyle w:val="2"/>
        <w:keepNext w:val="0"/>
        <w:keepLines w:val="0"/>
        <w:pageBreakBefore w:val="0"/>
        <w:widowControl w:val="0"/>
        <w:wordWrap/>
        <w:overflowPunct/>
        <w:topLinePunct w:val="0"/>
        <w:bidi w:val="0"/>
        <w:spacing w:before="0" w:after="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w:t>
      </w:r>
    </w:p>
    <w:p w14:paraId="52116CDE">
      <w:pPr>
        <w:keepLines w:val="0"/>
        <w:pageBreakBefore w:val="0"/>
        <w:widowControl w:val="0"/>
        <w:wordWrap/>
        <w:overflowPunct/>
        <w:topLinePunct w:val="0"/>
        <w:bidi w:val="0"/>
        <w:outlineLvl w:val="1"/>
        <w:rPr>
          <w:rFonts w:hint="eastAsia" w:ascii="宋体" w:hAnsi="宋体" w:eastAsia="宋体" w:cs="宋体"/>
          <w:b/>
          <w:bCs/>
          <w:color w:val="auto"/>
          <w:highlight w:val="none"/>
        </w:rPr>
      </w:pPr>
      <w:bookmarkStart w:id="0" w:name="_Toc171529101"/>
      <w:bookmarkStart w:id="1" w:name="_Toc104160554"/>
      <w:bookmarkStart w:id="2" w:name="_Toc104040686"/>
      <w:bookmarkStart w:id="3" w:name="_Toc15845"/>
      <w:bookmarkStart w:id="10" w:name="_GoBack"/>
      <w:bookmarkEnd w:id="10"/>
      <w:r>
        <w:rPr>
          <w:rFonts w:hint="eastAsia" w:ascii="宋体" w:hAnsi="宋体" w:eastAsia="宋体" w:cs="宋体"/>
          <w:b/>
          <w:bCs/>
          <w:color w:val="auto"/>
          <w:highlight w:val="none"/>
        </w:rPr>
        <w:t>一、项目概述</w:t>
      </w:r>
      <w:bookmarkEnd w:id="0"/>
      <w:bookmarkEnd w:id="1"/>
      <w:bookmarkEnd w:id="2"/>
      <w:bookmarkEnd w:id="3"/>
    </w:p>
    <w:p w14:paraId="50478991">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北京师范大学珠海校区位于广东省珠海市香洲区唐家湾金凤路18号，在校师生规模约1</w:t>
      </w:r>
      <w:r>
        <w:rPr>
          <w:rFonts w:hint="eastAsia" w:cs="宋体"/>
          <w:color w:val="auto"/>
          <w:szCs w:val="21"/>
          <w:highlight w:val="none"/>
          <w:lang w:val="en-US" w:eastAsia="zh-CN"/>
        </w:rPr>
        <w:t>3</w:t>
      </w:r>
      <w:r>
        <w:rPr>
          <w:rFonts w:hint="eastAsia" w:ascii="宋体" w:hAnsi="宋体" w:eastAsia="宋体" w:cs="宋体"/>
          <w:color w:val="auto"/>
          <w:szCs w:val="21"/>
          <w:highlight w:val="none"/>
          <w:lang w:val="en-US" w:eastAsia="zh-CN"/>
        </w:rPr>
        <w:t>000人，是北师大建设“综合性、研究型、教师教育领先的中国特色世界一流大学”的重要组成部分，是按照学校“一体两翼”办学格局和“高标准、新机制、国际化”原则，打造的与北京校区一体规划、一体推进、一体呈现、同一水平的南方校区。</w:t>
      </w:r>
    </w:p>
    <w:p w14:paraId="410B5578">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color w:val="auto"/>
          <w:highlight w:val="none"/>
        </w:rPr>
      </w:pPr>
      <w:r>
        <w:rPr>
          <w:rFonts w:hint="eastAsia" w:ascii="宋体" w:hAnsi="宋体" w:eastAsia="宋体" w:cs="宋体"/>
          <w:color w:val="auto"/>
          <w:szCs w:val="21"/>
          <w:highlight w:val="none"/>
          <w:lang w:val="en-US" w:eastAsia="zh-CN"/>
        </w:rPr>
        <w:t>本项目拟引入社会信誉好的供应商进行合作，为全校师生提供自动化全年无休、触手可及的自动售卖服务，包含各类饮料、包装食品、生活用品及体育用品等。</w:t>
      </w:r>
    </w:p>
    <w:tbl>
      <w:tblPr>
        <w:tblStyle w:val="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777"/>
        <w:gridCol w:w="5799"/>
      </w:tblGrid>
      <w:tr w14:paraId="3F19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38" w:type="pct"/>
            <w:tcBorders>
              <w:tl2br w:val="nil"/>
              <w:tr2bl w:val="nil"/>
            </w:tcBorders>
            <w:shd w:val="clear" w:color="auto" w:fill="EEECE1"/>
            <w:vAlign w:val="center"/>
          </w:tcPr>
          <w:p w14:paraId="6DF9790D">
            <w:pPr>
              <w:keepLines w:val="0"/>
              <w:pageBreakBefore w:val="0"/>
              <w:widowControl w:val="0"/>
              <w:wordWrap/>
              <w:overflowPunct/>
              <w:topLinePunct w:val="0"/>
              <w:bidi w:val="0"/>
              <w:spacing w:line="360" w:lineRule="auto"/>
              <w:jc w:val="center"/>
              <w:rPr>
                <w:rFonts w:hint="eastAsia" w:ascii="宋体" w:hAnsi="宋体" w:eastAsia="宋体" w:cs="宋体"/>
                <w:b/>
                <w:color w:val="auto"/>
                <w:highlight w:val="none"/>
              </w:rPr>
            </w:pPr>
            <w:r>
              <w:rPr>
                <w:rFonts w:hint="eastAsia" w:ascii="宋体" w:hAnsi="宋体" w:eastAsia="宋体" w:cs="宋体"/>
                <w:b/>
                <w:color w:val="auto"/>
                <w:highlight w:val="none"/>
              </w:rPr>
              <w:t>采购内容</w:t>
            </w:r>
          </w:p>
        </w:tc>
        <w:tc>
          <w:tcPr>
            <w:tcW w:w="456" w:type="pct"/>
            <w:tcBorders>
              <w:tl2br w:val="nil"/>
              <w:tr2bl w:val="nil"/>
            </w:tcBorders>
            <w:shd w:val="clear" w:color="auto" w:fill="EEECE1"/>
            <w:vAlign w:val="center"/>
          </w:tcPr>
          <w:p w14:paraId="6D5AE85A">
            <w:pPr>
              <w:keepLines w:val="0"/>
              <w:pageBreakBefore w:val="0"/>
              <w:widowControl w:val="0"/>
              <w:wordWrap/>
              <w:overflowPunct/>
              <w:topLinePunct w:val="0"/>
              <w:bidi w:val="0"/>
              <w:spacing w:line="360" w:lineRule="auto"/>
              <w:jc w:val="center"/>
              <w:rPr>
                <w:rFonts w:hint="eastAsia" w:ascii="宋体" w:hAnsi="宋体" w:eastAsia="宋体" w:cs="宋体"/>
                <w:b/>
                <w:color w:val="auto"/>
                <w:highlight w:val="none"/>
              </w:rPr>
            </w:pPr>
            <w:r>
              <w:rPr>
                <w:rFonts w:hint="eastAsia" w:ascii="宋体" w:hAnsi="宋体" w:eastAsia="宋体" w:cs="宋体"/>
                <w:b/>
                <w:color w:val="auto"/>
                <w:highlight w:val="none"/>
              </w:rPr>
              <w:t>数量</w:t>
            </w:r>
          </w:p>
        </w:tc>
        <w:tc>
          <w:tcPr>
            <w:tcW w:w="3404" w:type="pct"/>
            <w:tcBorders>
              <w:tl2br w:val="nil"/>
              <w:tr2bl w:val="nil"/>
            </w:tcBorders>
            <w:shd w:val="clear" w:color="auto" w:fill="EEECE1"/>
            <w:vAlign w:val="center"/>
          </w:tcPr>
          <w:p w14:paraId="7098587C">
            <w:pPr>
              <w:keepLines w:val="0"/>
              <w:pageBreakBefore w:val="0"/>
              <w:widowControl w:val="0"/>
              <w:wordWrap/>
              <w:overflowPunct/>
              <w:topLinePunct w:val="0"/>
              <w:bidi w:val="0"/>
              <w:spacing w:line="360" w:lineRule="auto"/>
              <w:jc w:val="center"/>
              <w:rPr>
                <w:rFonts w:hint="eastAsia" w:ascii="宋体" w:hAnsi="宋体" w:eastAsia="宋体" w:cs="宋体"/>
                <w:b/>
                <w:color w:val="auto"/>
                <w:highlight w:val="none"/>
                <w:lang w:eastAsia="zh-CN"/>
              </w:rPr>
            </w:pPr>
            <w:r>
              <w:rPr>
                <w:rFonts w:hint="eastAsia" w:cs="宋体"/>
                <w:b/>
                <w:color w:val="auto"/>
                <w:highlight w:val="none"/>
                <w:lang w:val="en-US" w:eastAsia="zh-CN"/>
              </w:rPr>
              <w:t>概况</w:t>
            </w:r>
          </w:p>
        </w:tc>
      </w:tr>
      <w:tr w14:paraId="4728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138" w:type="pct"/>
            <w:tcBorders>
              <w:tl2br w:val="nil"/>
              <w:tr2bl w:val="nil"/>
            </w:tcBorders>
            <w:vAlign w:val="center"/>
          </w:tcPr>
          <w:p w14:paraId="58F3664A">
            <w:pPr>
              <w:keepLines w:val="0"/>
              <w:pageBreakBefore w:val="0"/>
              <w:widowControl w:val="0"/>
              <w:wordWrap/>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教学楼和公共场馆自动售卖机投放服务</w:t>
            </w:r>
          </w:p>
        </w:tc>
        <w:tc>
          <w:tcPr>
            <w:tcW w:w="456" w:type="pct"/>
            <w:tcBorders>
              <w:tl2br w:val="nil"/>
              <w:tr2bl w:val="nil"/>
            </w:tcBorders>
            <w:vAlign w:val="center"/>
          </w:tcPr>
          <w:p w14:paraId="645EA4D1">
            <w:pPr>
              <w:keepLines w:val="0"/>
              <w:pageBreakBefore w:val="0"/>
              <w:widowControl w:val="0"/>
              <w:wordWrap/>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1项</w:t>
            </w:r>
          </w:p>
        </w:tc>
        <w:tc>
          <w:tcPr>
            <w:tcW w:w="3404" w:type="pct"/>
            <w:tcBorders>
              <w:tl2br w:val="nil"/>
              <w:tr2bl w:val="nil"/>
            </w:tcBorders>
            <w:vAlign w:val="center"/>
          </w:tcPr>
          <w:p w14:paraId="1457E210">
            <w:pPr>
              <w:pStyle w:val="10"/>
              <w:keepLines w:val="0"/>
              <w:pageBreakBefore w:val="0"/>
              <w:widowControl w:val="0"/>
              <w:wordWrap/>
              <w:overflowPunct/>
              <w:topLinePunct w:val="0"/>
              <w:bidi w:val="0"/>
              <w:spacing w:line="360" w:lineRule="auto"/>
              <w:ind w:right="-82" w:rightChars="-39" w:hanging="54"/>
              <w:jc w:val="both"/>
              <w:rPr>
                <w:rFonts w:hint="eastAsia" w:ascii="宋体" w:hAnsi="宋体" w:eastAsia="宋体" w:cs="宋体"/>
                <w:snapToGrid/>
                <w:color w:val="auto"/>
                <w:spacing w:val="0"/>
                <w:kern w:val="2"/>
                <w:sz w:val="21"/>
                <w:highlight w:val="none"/>
                <w:lang w:eastAsia="zh-CN"/>
              </w:rPr>
            </w:pPr>
            <w:r>
              <w:rPr>
                <w:rFonts w:hint="eastAsia" w:ascii="宋体" w:hAnsi="宋体" w:eastAsia="宋体" w:cs="宋体"/>
                <w:snapToGrid/>
                <w:color w:val="auto"/>
                <w:spacing w:val="0"/>
                <w:kern w:val="2"/>
                <w:sz w:val="21"/>
                <w:highlight w:val="none"/>
              </w:rPr>
              <w:t>自动售卖机涉及服务全校</w:t>
            </w:r>
            <w:r>
              <w:rPr>
                <w:rFonts w:hint="eastAsia" w:cs="宋体"/>
                <w:snapToGrid/>
                <w:color w:val="auto"/>
                <w:spacing w:val="0"/>
                <w:kern w:val="2"/>
                <w:sz w:val="21"/>
                <w:highlight w:val="none"/>
                <w:lang w:val="en-US" w:eastAsia="zh-CN"/>
              </w:rPr>
              <w:t>8</w:t>
            </w:r>
            <w:r>
              <w:rPr>
                <w:rFonts w:hint="eastAsia" w:ascii="宋体" w:hAnsi="宋体" w:eastAsia="宋体" w:cs="宋体"/>
                <w:snapToGrid/>
                <w:color w:val="auto"/>
                <w:spacing w:val="0"/>
                <w:kern w:val="2"/>
                <w:sz w:val="21"/>
                <w:highlight w:val="none"/>
              </w:rPr>
              <w:t>栋教学楼，</w:t>
            </w:r>
            <w:r>
              <w:rPr>
                <w:rFonts w:hint="eastAsia" w:cs="宋体"/>
                <w:snapToGrid/>
                <w:color w:val="auto"/>
                <w:spacing w:val="0"/>
                <w:kern w:val="2"/>
                <w:sz w:val="21"/>
                <w:highlight w:val="none"/>
                <w:lang w:val="en-US" w:eastAsia="zh-CN"/>
              </w:rPr>
              <w:t>分别为：励耘楼、乐育楼、弘文楼、丽泽楼、励教楼、风雨操场、田径场、游泳馆。</w:t>
            </w:r>
            <w:r>
              <w:rPr>
                <w:rFonts w:hint="eastAsia" w:ascii="宋体" w:hAnsi="宋体" w:eastAsia="宋体" w:cs="宋体"/>
                <w:snapToGrid/>
                <w:color w:val="auto"/>
                <w:spacing w:val="0"/>
                <w:kern w:val="2"/>
                <w:sz w:val="21"/>
                <w:highlight w:val="none"/>
              </w:rPr>
              <w:t>本次计划采购自动售卖机服务台数</w:t>
            </w:r>
            <w:r>
              <w:rPr>
                <w:rFonts w:hint="eastAsia" w:cs="宋体"/>
                <w:snapToGrid/>
                <w:color w:val="auto"/>
                <w:spacing w:val="0"/>
                <w:kern w:val="2"/>
                <w:sz w:val="21"/>
                <w:highlight w:val="none"/>
                <w:lang w:val="en-US" w:eastAsia="zh-CN"/>
              </w:rPr>
              <w:t>40</w:t>
            </w:r>
            <w:r>
              <w:rPr>
                <w:rFonts w:hint="eastAsia" w:ascii="宋体" w:hAnsi="宋体" w:eastAsia="宋体" w:cs="宋体"/>
                <w:snapToGrid/>
                <w:color w:val="auto"/>
                <w:spacing w:val="0"/>
                <w:kern w:val="2"/>
                <w:sz w:val="21"/>
                <w:highlight w:val="none"/>
              </w:rPr>
              <w:t>台（如有需要应无条件配合采购人增加），所有经营所需设备、设施由成交供应商配置、安装</w:t>
            </w:r>
            <w:r>
              <w:rPr>
                <w:rFonts w:hint="eastAsia" w:cs="宋体"/>
                <w:snapToGrid/>
                <w:color w:val="auto"/>
                <w:spacing w:val="0"/>
                <w:kern w:val="2"/>
                <w:sz w:val="21"/>
                <w:highlight w:val="none"/>
                <w:lang w:eastAsia="zh-CN"/>
              </w:rPr>
              <w:t>。</w:t>
            </w:r>
          </w:p>
        </w:tc>
      </w:tr>
    </w:tbl>
    <w:p w14:paraId="79109E4A">
      <w:pPr>
        <w:pStyle w:val="11"/>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sz w:val="21"/>
          <w:szCs w:val="21"/>
          <w:highlight w:val="none"/>
          <w:lang w:eastAsia="zh-CN"/>
        </w:rPr>
      </w:pPr>
    </w:p>
    <w:p w14:paraId="072EFA04">
      <w:pPr>
        <w:pStyle w:val="12"/>
        <w:keepLines w:val="0"/>
        <w:pageBreakBefore w:val="0"/>
        <w:widowControl w:val="0"/>
        <w:wordWrap/>
        <w:overflowPunct/>
        <w:topLinePunct w:val="0"/>
        <w:autoSpaceDE/>
        <w:autoSpaceDN/>
        <w:bidi w:val="0"/>
        <w:rPr>
          <w:rFonts w:hint="eastAsia" w:ascii="宋体" w:hAnsi="宋体" w:eastAsia="宋体" w:cs="宋体"/>
          <w:color w:val="auto"/>
          <w:sz w:val="21"/>
          <w:szCs w:val="21"/>
          <w:highlight w:val="none"/>
          <w:lang w:eastAsia="zh-CN"/>
        </w:rPr>
      </w:pPr>
      <w:bookmarkStart w:id="4" w:name="_Toc17363"/>
      <w:bookmarkStart w:id="5" w:name="_Toc171503946"/>
      <w:r>
        <w:rPr>
          <w:rFonts w:hint="eastAsia" w:ascii="宋体" w:hAnsi="宋体" w:eastAsia="宋体" w:cs="宋体"/>
          <w:color w:val="auto"/>
          <w:sz w:val="21"/>
          <w:szCs w:val="21"/>
          <w:highlight w:val="none"/>
          <w:lang w:eastAsia="zh-CN"/>
        </w:rPr>
        <w:t>二、主要商务要求</w:t>
      </w:r>
      <w:bookmarkEnd w:id="4"/>
    </w:p>
    <w:p w14:paraId="303A1FFB">
      <w:pPr>
        <w:pStyle w:val="7"/>
        <w:keepLines w:val="0"/>
        <w:pageBreakBefore w:val="0"/>
        <w:widowControl w:val="0"/>
        <w:numPr>
          <w:ilvl w:val="0"/>
          <w:numId w:val="1"/>
        </w:numPr>
        <w:wordWrap/>
        <w:overflowPunct/>
        <w:topLinePunct w:val="0"/>
        <w:bidi w:val="0"/>
        <w:spacing w:after="0" w:line="360" w:lineRule="auto"/>
        <w:ind w:left="0" w:leftChars="0" w:firstLine="42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标的提供的时间：自合同签订生效之日起三年。（合同一年一签，第一年结束前 15 个工作日采购人对成交供应商进行服务考核，考核合格后续签一年；第二年结束前15个工作日内进行服务考核，考核合格再续签一年，服务期限最长为3年。）</w:t>
      </w:r>
    </w:p>
    <w:p w14:paraId="40E9A053">
      <w:pPr>
        <w:pStyle w:val="7"/>
        <w:keepLines w:val="0"/>
        <w:pageBreakBefore w:val="0"/>
        <w:widowControl w:val="0"/>
        <w:numPr>
          <w:ilvl w:val="0"/>
          <w:numId w:val="1"/>
        </w:numPr>
        <w:wordWrap/>
        <w:overflowPunct/>
        <w:topLinePunct w:val="0"/>
        <w:bidi w:val="0"/>
        <w:spacing w:after="0" w:line="360" w:lineRule="auto"/>
        <w:ind w:left="0" w:leftChars="0" w:firstLine="42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标的提供的地点：</w:t>
      </w:r>
      <w:r>
        <w:rPr>
          <w:rFonts w:hint="eastAsia" w:ascii="宋体" w:hAnsi="宋体" w:eastAsia="宋体" w:cs="宋体"/>
          <w:color w:val="auto"/>
          <w:szCs w:val="21"/>
          <w:highlight w:val="none"/>
          <w:lang w:eastAsia="zh-CN"/>
        </w:rPr>
        <w:t>北京师范大学珠海校区</w:t>
      </w:r>
      <w:r>
        <w:rPr>
          <w:rFonts w:hint="eastAsia" w:ascii="宋体" w:hAnsi="宋体" w:eastAsia="宋体" w:cs="宋体"/>
          <w:color w:val="auto"/>
          <w:szCs w:val="21"/>
          <w:highlight w:val="none"/>
        </w:rPr>
        <w:t>内</w:t>
      </w:r>
      <w:r>
        <w:rPr>
          <w:rFonts w:hint="eastAsia" w:cs="宋体"/>
          <w:color w:val="auto"/>
          <w:szCs w:val="21"/>
          <w:highlight w:val="none"/>
          <w:lang w:eastAsia="zh-CN"/>
        </w:rPr>
        <w:t>，</w:t>
      </w:r>
      <w:r>
        <w:rPr>
          <w:rFonts w:hint="eastAsia" w:cs="宋体"/>
          <w:color w:val="auto"/>
          <w:szCs w:val="21"/>
          <w:highlight w:val="none"/>
          <w:lang w:val="en-US" w:eastAsia="zh-CN"/>
        </w:rPr>
        <w:t>供应商合同期内免费配合采购人进行位置调整，接到调整通知2日内完成调整工作</w:t>
      </w:r>
      <w:r>
        <w:rPr>
          <w:rFonts w:hint="eastAsia" w:ascii="宋体" w:hAnsi="宋体" w:eastAsia="宋体" w:cs="宋体"/>
          <w:color w:val="auto"/>
          <w:szCs w:val="21"/>
          <w:highlight w:val="none"/>
        </w:rPr>
        <w:t>。</w:t>
      </w:r>
    </w:p>
    <w:p w14:paraId="52625E41">
      <w:pPr>
        <w:pStyle w:val="7"/>
        <w:keepNext w:val="0"/>
        <w:keepLines w:val="0"/>
        <w:pageBreakBefore w:val="0"/>
        <w:widowControl w:val="0"/>
        <w:numPr>
          <w:ilvl w:val="0"/>
          <w:numId w:val="1"/>
        </w:numPr>
        <w:kinsoku/>
        <w:wordWrap/>
        <w:overflowPunct/>
        <w:topLinePunct w:val="0"/>
        <w:autoSpaceDE/>
        <w:autoSpaceDN/>
        <w:bidi w:val="0"/>
        <w:adjustRightInd/>
        <w:snapToGrid/>
        <w:spacing w:after="0" w:line="360" w:lineRule="auto"/>
        <w:ind w:left="0" w:leftChars="0" w:firstLine="42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验收要求</w:t>
      </w:r>
      <w:r>
        <w:rPr>
          <w:rFonts w:hint="eastAsia" w:ascii="宋体" w:hAnsi="宋体" w:eastAsia="宋体" w:cs="宋体"/>
          <w:color w:val="auto"/>
          <w:szCs w:val="21"/>
          <w:highlight w:val="none"/>
          <w:lang w:eastAsia="zh-CN"/>
        </w:rPr>
        <w:t>：</w:t>
      </w:r>
    </w:p>
    <w:p w14:paraId="112D6F21">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（1）验收主体：北京师范大学珠海校区</w:t>
      </w:r>
      <w:r>
        <w:rPr>
          <w:rFonts w:hint="eastAsia" w:ascii="宋体" w:hAnsi="宋体" w:eastAsia="宋体" w:cs="宋体"/>
          <w:color w:val="auto"/>
          <w:szCs w:val="21"/>
          <w:highlight w:val="none"/>
          <w:lang w:val="en-US" w:eastAsia="zh-CN"/>
        </w:rPr>
        <w:t>相关部门</w:t>
      </w:r>
      <w:r>
        <w:rPr>
          <w:rFonts w:hint="eastAsia" w:ascii="宋体" w:hAnsi="宋体" w:eastAsia="宋体" w:cs="宋体"/>
          <w:color w:val="auto"/>
          <w:szCs w:val="21"/>
          <w:highlight w:val="none"/>
          <w:lang w:eastAsia="zh-CN"/>
        </w:rPr>
        <w:t>。</w:t>
      </w:r>
    </w:p>
    <w:p w14:paraId="6E35FB9E">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（2）验收时间：供应商完成项目全部</w:t>
      </w:r>
      <w:r>
        <w:rPr>
          <w:rFonts w:hint="eastAsia" w:ascii="宋体" w:hAnsi="宋体" w:eastAsia="宋体" w:cs="宋体"/>
          <w:color w:val="auto"/>
          <w:highlight w:val="none"/>
        </w:rPr>
        <w:t>自动售卖机投放</w:t>
      </w:r>
      <w:r>
        <w:rPr>
          <w:rFonts w:hint="eastAsia" w:ascii="宋体" w:hAnsi="宋体" w:eastAsia="宋体" w:cs="宋体"/>
          <w:color w:val="auto"/>
          <w:szCs w:val="21"/>
          <w:highlight w:val="none"/>
          <w:lang w:eastAsia="zh-CN"/>
        </w:rPr>
        <w:t>，提交</w:t>
      </w:r>
      <w:r>
        <w:rPr>
          <w:rFonts w:hint="eastAsia" w:ascii="宋体" w:hAnsi="宋体" w:eastAsia="宋体" w:cs="宋体"/>
          <w:color w:val="auto"/>
          <w:szCs w:val="21"/>
          <w:highlight w:val="none"/>
          <w:lang w:val="en-US" w:eastAsia="zh-CN"/>
        </w:rPr>
        <w:t>验收</w:t>
      </w:r>
      <w:r>
        <w:rPr>
          <w:rFonts w:hint="eastAsia" w:ascii="宋体" w:hAnsi="宋体" w:eastAsia="宋体" w:cs="宋体"/>
          <w:color w:val="auto"/>
          <w:szCs w:val="21"/>
          <w:highlight w:val="none"/>
          <w:lang w:eastAsia="zh-CN"/>
        </w:rPr>
        <w:t>申请及</w:t>
      </w:r>
      <w:r>
        <w:rPr>
          <w:rFonts w:hint="eastAsia" w:ascii="宋体" w:hAnsi="宋体" w:eastAsia="宋体" w:cs="宋体"/>
          <w:color w:val="auto"/>
          <w:highlight w:val="none"/>
        </w:rPr>
        <w:t>自动售卖机</w:t>
      </w:r>
      <w:r>
        <w:rPr>
          <w:rFonts w:hint="eastAsia" w:ascii="宋体" w:hAnsi="宋体" w:eastAsia="宋体" w:cs="宋体"/>
          <w:color w:val="auto"/>
          <w:highlight w:val="none"/>
          <w:lang w:val="en-US" w:eastAsia="zh-CN"/>
        </w:rPr>
        <w:t>正常的</w:t>
      </w:r>
      <w:r>
        <w:rPr>
          <w:rFonts w:hint="eastAsia" w:ascii="宋体" w:hAnsi="宋体" w:eastAsia="宋体" w:cs="宋体"/>
          <w:color w:val="auto"/>
          <w:szCs w:val="21"/>
          <w:highlight w:val="none"/>
          <w:lang w:eastAsia="zh-CN"/>
        </w:rPr>
        <w:t>完整佐证资料（含</w:t>
      </w:r>
      <w:r>
        <w:rPr>
          <w:rFonts w:hint="eastAsia" w:ascii="宋体" w:hAnsi="宋体" w:eastAsia="宋体" w:cs="宋体"/>
          <w:color w:val="auto"/>
          <w:szCs w:val="21"/>
          <w:highlight w:val="none"/>
          <w:lang w:val="en-US" w:eastAsia="zh-CN"/>
        </w:rPr>
        <w:t>3C认证证书</w:t>
      </w:r>
      <w:r>
        <w:rPr>
          <w:rFonts w:hint="eastAsia" w:ascii="宋体" w:hAnsi="宋体" w:eastAsia="宋体" w:cs="宋体"/>
          <w:color w:val="auto"/>
          <w:szCs w:val="21"/>
          <w:highlight w:val="none"/>
          <w:lang w:eastAsia="zh-CN"/>
        </w:rPr>
        <w:t>），经采购人确认后</w:t>
      </w:r>
      <w:r>
        <w:rPr>
          <w:rFonts w:hint="eastAsia" w:ascii="宋体" w:hAnsi="宋体" w:eastAsia="宋体" w:cs="宋体"/>
          <w:color w:val="auto"/>
          <w:szCs w:val="21"/>
          <w:highlight w:val="none"/>
          <w:lang w:val="en-US" w:eastAsia="zh-CN"/>
        </w:rPr>
        <w:t>7天内进行</w:t>
      </w:r>
      <w:r>
        <w:rPr>
          <w:rFonts w:hint="eastAsia" w:ascii="宋体" w:hAnsi="宋体" w:eastAsia="宋体" w:cs="宋体"/>
          <w:color w:val="auto"/>
          <w:szCs w:val="21"/>
          <w:highlight w:val="none"/>
          <w:lang w:eastAsia="zh-CN"/>
        </w:rPr>
        <w:t>验收。</w:t>
      </w:r>
    </w:p>
    <w:p w14:paraId="25A98B73">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（3）验收方式：采取现场核查、资料核验、服务对象回访等方式，验收合格后采购人在</w:t>
      </w:r>
      <w:r>
        <w:rPr>
          <w:rFonts w:hint="eastAsia" w:ascii="宋体" w:hAnsi="宋体" w:eastAsia="宋体" w:cs="宋体"/>
          <w:color w:val="auto"/>
          <w:szCs w:val="21"/>
          <w:highlight w:val="none"/>
          <w:lang w:val="en-US" w:eastAsia="zh-CN"/>
        </w:rPr>
        <w:t>相关</w:t>
      </w:r>
      <w:r>
        <w:rPr>
          <w:rFonts w:hint="eastAsia" w:ascii="宋体" w:hAnsi="宋体" w:eastAsia="宋体" w:cs="宋体"/>
          <w:color w:val="auto"/>
          <w:szCs w:val="21"/>
          <w:highlight w:val="none"/>
          <w:lang w:eastAsia="zh-CN"/>
        </w:rPr>
        <w:t>验收单</w:t>
      </w:r>
      <w:r>
        <w:rPr>
          <w:rFonts w:hint="eastAsia" w:ascii="宋体" w:hAnsi="宋体" w:eastAsia="宋体" w:cs="宋体"/>
          <w:color w:val="auto"/>
          <w:szCs w:val="21"/>
          <w:highlight w:val="none"/>
          <w:lang w:val="en-US" w:eastAsia="zh-CN"/>
        </w:rPr>
        <w:t>据</w:t>
      </w:r>
      <w:r>
        <w:rPr>
          <w:rFonts w:hint="eastAsia" w:ascii="宋体" w:hAnsi="宋体" w:eastAsia="宋体" w:cs="宋体"/>
          <w:color w:val="auto"/>
          <w:szCs w:val="21"/>
          <w:highlight w:val="none"/>
          <w:lang w:eastAsia="zh-CN"/>
        </w:rPr>
        <w:t>上签字确认。</w:t>
      </w:r>
    </w:p>
    <w:p w14:paraId="71C00644">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lang w:eastAsia="zh-CN"/>
        </w:rPr>
        <w:t>（4）验收程序：①供应商提交</w:t>
      </w:r>
      <w:r>
        <w:rPr>
          <w:rFonts w:hint="eastAsia" w:ascii="宋体" w:hAnsi="宋体" w:eastAsia="宋体" w:cs="宋体"/>
          <w:color w:val="auto"/>
          <w:szCs w:val="21"/>
          <w:highlight w:val="none"/>
          <w:lang w:val="en-US" w:eastAsia="zh-CN"/>
        </w:rPr>
        <w:t>自动售卖机投放完毕的</w:t>
      </w:r>
      <w:r>
        <w:rPr>
          <w:rFonts w:hint="eastAsia" w:ascii="宋体" w:hAnsi="宋体" w:eastAsia="宋体" w:cs="宋体"/>
          <w:color w:val="auto"/>
          <w:szCs w:val="21"/>
          <w:highlight w:val="none"/>
          <w:lang w:eastAsia="zh-CN"/>
        </w:rPr>
        <w:t>验收资料（含</w:t>
      </w:r>
      <w:r>
        <w:rPr>
          <w:rFonts w:hint="eastAsia" w:ascii="宋体" w:hAnsi="宋体" w:eastAsia="宋体" w:cs="宋体"/>
          <w:color w:val="auto"/>
          <w:szCs w:val="21"/>
          <w:highlight w:val="none"/>
          <w:lang w:val="en-US" w:eastAsia="zh-CN"/>
        </w:rPr>
        <w:t>投放地点记录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功能正常</w:t>
      </w:r>
      <w:r>
        <w:rPr>
          <w:rFonts w:hint="eastAsia" w:ascii="宋体" w:hAnsi="宋体" w:eastAsia="宋体" w:cs="宋体"/>
          <w:color w:val="auto"/>
          <w:szCs w:val="21"/>
          <w:highlight w:val="none"/>
          <w:lang w:eastAsia="zh-CN"/>
        </w:rPr>
        <w:t>证明等）；②采购人核对资料完整性、合规性及与采购要求的一致性；③现场核查</w:t>
      </w:r>
      <w:r>
        <w:rPr>
          <w:rFonts w:hint="eastAsia" w:ascii="宋体" w:hAnsi="宋体" w:eastAsia="宋体" w:cs="宋体"/>
          <w:color w:val="auto"/>
          <w:szCs w:val="21"/>
          <w:highlight w:val="none"/>
          <w:lang w:val="en-US" w:eastAsia="zh-CN"/>
        </w:rPr>
        <w:t>投放</w:t>
      </w:r>
      <w:r>
        <w:rPr>
          <w:rFonts w:hint="eastAsia" w:ascii="宋体" w:hAnsi="宋体" w:eastAsia="宋体" w:cs="宋体"/>
          <w:color w:val="auto"/>
          <w:szCs w:val="21"/>
          <w:highlight w:val="none"/>
          <w:lang w:eastAsia="zh-CN"/>
        </w:rPr>
        <w:t>执行过程、</w:t>
      </w:r>
      <w:r>
        <w:rPr>
          <w:rFonts w:hint="eastAsia" w:ascii="宋体" w:hAnsi="宋体" w:eastAsia="宋体" w:cs="宋体"/>
          <w:color w:val="auto"/>
          <w:szCs w:val="21"/>
          <w:highlight w:val="none"/>
          <w:lang w:val="en-US" w:eastAsia="zh-CN"/>
        </w:rPr>
        <w:t>售卖机</w:t>
      </w:r>
      <w:r>
        <w:rPr>
          <w:rFonts w:hint="eastAsia" w:ascii="宋体" w:hAnsi="宋体" w:eastAsia="宋体" w:cs="宋体"/>
          <w:color w:val="auto"/>
          <w:szCs w:val="21"/>
          <w:highlight w:val="none"/>
          <w:lang w:eastAsia="zh-CN"/>
        </w:rPr>
        <w:t>质量、</w:t>
      </w:r>
      <w:r>
        <w:rPr>
          <w:rFonts w:hint="eastAsia" w:ascii="宋体" w:hAnsi="宋体" w:eastAsia="宋体" w:cs="宋体"/>
          <w:color w:val="auto"/>
          <w:szCs w:val="21"/>
          <w:highlight w:val="none"/>
          <w:lang w:val="en-US" w:eastAsia="zh-CN"/>
        </w:rPr>
        <w:t>价格标注是否合理等内容</w:t>
      </w:r>
      <w:r>
        <w:rPr>
          <w:rFonts w:hint="eastAsia" w:ascii="宋体" w:hAnsi="宋体" w:eastAsia="宋体" w:cs="宋体"/>
          <w:color w:val="auto"/>
          <w:szCs w:val="21"/>
          <w:highlight w:val="none"/>
          <w:lang w:eastAsia="zh-CN"/>
        </w:rPr>
        <w:t>，必要时开展服务对象满意度调查；④按需开</w:t>
      </w:r>
      <w:r>
        <w:rPr>
          <w:rFonts w:hint="eastAsia" w:ascii="宋体" w:hAnsi="宋体" w:eastAsia="宋体" w:cs="宋体"/>
          <w:color w:val="auto"/>
          <w:sz w:val="21"/>
          <w:szCs w:val="21"/>
          <w:highlight w:val="none"/>
          <w:lang w:eastAsia="zh-CN"/>
        </w:rPr>
        <w:t>展</w:t>
      </w:r>
      <w:r>
        <w:rPr>
          <w:rFonts w:hint="eastAsia" w:ascii="宋体" w:hAnsi="宋体" w:eastAsia="宋体" w:cs="宋体"/>
          <w:color w:val="auto"/>
          <w:sz w:val="21"/>
          <w:szCs w:val="21"/>
          <w:highlight w:val="none"/>
          <w:lang w:val="en-US" w:eastAsia="zh-CN"/>
        </w:rPr>
        <w:t>使用</w:t>
      </w:r>
      <w:r>
        <w:rPr>
          <w:rFonts w:hint="eastAsia" w:ascii="宋体" w:hAnsi="宋体" w:eastAsia="宋体" w:cs="宋体"/>
          <w:color w:val="auto"/>
          <w:sz w:val="21"/>
          <w:szCs w:val="21"/>
          <w:highlight w:val="none"/>
          <w:lang w:eastAsia="zh-CN"/>
        </w:rPr>
        <w:t>功能、服务标准实测核验；⑤汇总验收意见，判定合格或限期整改；⑥验收无异议签署验收单据归档。</w:t>
      </w:r>
    </w:p>
    <w:p w14:paraId="582B67D7">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（5）验收内容：采购人对供应商提供的全部服务进行全面验收，包括但不限于</w:t>
      </w:r>
      <w:r>
        <w:rPr>
          <w:rFonts w:hint="eastAsia" w:ascii="宋体" w:hAnsi="宋体" w:eastAsia="宋体" w:cs="宋体"/>
          <w:color w:val="auto"/>
          <w:sz w:val="21"/>
          <w:szCs w:val="21"/>
          <w:highlight w:val="none"/>
          <w:lang w:val="en-US" w:eastAsia="zh-CN"/>
        </w:rPr>
        <w:t>投放</w:t>
      </w:r>
      <w:r>
        <w:rPr>
          <w:rFonts w:hint="eastAsia" w:ascii="宋体" w:hAnsi="宋体" w:eastAsia="宋体" w:cs="宋体"/>
          <w:color w:val="auto"/>
          <w:sz w:val="21"/>
          <w:szCs w:val="21"/>
          <w:highlight w:val="none"/>
          <w:lang w:eastAsia="zh-CN"/>
        </w:rPr>
        <w:t>范围、</w:t>
      </w:r>
      <w:r>
        <w:rPr>
          <w:rFonts w:hint="eastAsia" w:ascii="宋体" w:hAnsi="宋体" w:eastAsia="宋体" w:cs="宋体"/>
          <w:color w:val="auto"/>
          <w:sz w:val="21"/>
          <w:szCs w:val="21"/>
          <w:highlight w:val="none"/>
          <w:lang w:val="en-US" w:eastAsia="zh-CN"/>
        </w:rPr>
        <w:t>定价</w:t>
      </w:r>
      <w:r>
        <w:rPr>
          <w:rFonts w:hint="eastAsia" w:ascii="宋体" w:hAnsi="宋体" w:eastAsia="宋体" w:cs="宋体"/>
          <w:color w:val="auto"/>
          <w:sz w:val="21"/>
          <w:szCs w:val="21"/>
          <w:highlight w:val="none"/>
          <w:lang w:eastAsia="zh-CN"/>
        </w:rPr>
        <w:t>标准、</w:t>
      </w:r>
      <w:r>
        <w:rPr>
          <w:rFonts w:hint="eastAsia" w:ascii="宋体" w:hAnsi="宋体" w:eastAsia="宋体" w:cs="宋体"/>
          <w:color w:val="auto"/>
          <w:sz w:val="21"/>
          <w:szCs w:val="21"/>
          <w:highlight w:val="none"/>
          <w:lang w:val="en-US" w:eastAsia="zh-CN"/>
        </w:rPr>
        <w:t>机器</w:t>
      </w:r>
      <w:r>
        <w:rPr>
          <w:rFonts w:hint="eastAsia" w:ascii="宋体" w:hAnsi="宋体" w:eastAsia="宋体" w:cs="宋体"/>
          <w:color w:val="auto"/>
          <w:sz w:val="21"/>
          <w:szCs w:val="21"/>
          <w:highlight w:val="none"/>
          <w:lang w:eastAsia="zh-CN"/>
        </w:rPr>
        <w:t>质量、</w:t>
      </w:r>
      <w:r>
        <w:rPr>
          <w:rFonts w:hint="eastAsia" w:ascii="宋体" w:hAnsi="宋体" w:eastAsia="宋体" w:cs="宋体"/>
          <w:color w:val="auto"/>
          <w:sz w:val="21"/>
          <w:szCs w:val="21"/>
          <w:highlight w:val="none"/>
          <w:lang w:val="en-US" w:eastAsia="zh-CN"/>
        </w:rPr>
        <w:t>投放</w:t>
      </w:r>
      <w:r>
        <w:rPr>
          <w:rFonts w:hint="eastAsia" w:ascii="宋体" w:hAnsi="宋体" w:eastAsia="宋体" w:cs="宋体"/>
          <w:color w:val="auto"/>
          <w:sz w:val="21"/>
          <w:szCs w:val="21"/>
          <w:highlight w:val="none"/>
          <w:lang w:eastAsia="zh-CN"/>
        </w:rPr>
        <w:t>进度、服务成果、服务态度、配套资料、售后保障及服务对象反馈等全部履约事项。</w:t>
      </w:r>
    </w:p>
    <w:p w14:paraId="552D2BD9">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验收标准：①供应商提供的货物或服务质量符合我国最新颁布的与之相关的技术规范与标准，同时满足国家强制标准、行业规范标准、采购文件明确要求、投标（响应）文件承诺及合同全部约定，无实质性偏离、无质量瑕疵，达到约定的服务成效。 ②供应商需提供完整的</w:t>
      </w:r>
      <w:r>
        <w:rPr>
          <w:rFonts w:hint="eastAsia" w:ascii="宋体" w:hAnsi="宋体" w:eastAsia="宋体" w:cs="宋体"/>
          <w:color w:val="auto"/>
          <w:sz w:val="21"/>
          <w:szCs w:val="21"/>
          <w:highlight w:val="none"/>
          <w:lang w:val="en-US" w:eastAsia="zh-CN"/>
        </w:rPr>
        <w:t>自动售卖机投放</w:t>
      </w:r>
      <w:r>
        <w:rPr>
          <w:rFonts w:hint="eastAsia" w:ascii="宋体" w:hAnsi="宋体" w:eastAsia="宋体" w:cs="宋体"/>
          <w:color w:val="auto"/>
          <w:sz w:val="21"/>
          <w:szCs w:val="21"/>
          <w:highlight w:val="none"/>
          <w:lang w:eastAsia="zh-CN"/>
        </w:rPr>
        <w:t>记录、</w:t>
      </w:r>
      <w:r>
        <w:rPr>
          <w:rFonts w:hint="eastAsia" w:ascii="宋体" w:hAnsi="宋体" w:eastAsia="宋体" w:cs="宋体"/>
          <w:color w:val="auto"/>
          <w:sz w:val="21"/>
          <w:szCs w:val="21"/>
          <w:highlight w:val="none"/>
          <w:lang w:val="en-US" w:eastAsia="zh-CN"/>
        </w:rPr>
        <w:t>机器功能正常记录、</w:t>
      </w:r>
      <w:r>
        <w:rPr>
          <w:rFonts w:hint="eastAsia" w:ascii="宋体" w:hAnsi="宋体" w:eastAsia="宋体" w:cs="宋体"/>
          <w:color w:val="auto"/>
          <w:sz w:val="21"/>
          <w:szCs w:val="21"/>
          <w:highlight w:val="none"/>
          <w:lang w:eastAsia="zh-CN"/>
        </w:rPr>
        <w:t>相关</w:t>
      </w:r>
      <w:r>
        <w:rPr>
          <w:rFonts w:hint="eastAsia" w:ascii="宋体" w:hAnsi="宋体" w:eastAsia="宋体" w:cs="宋体"/>
          <w:color w:val="auto"/>
          <w:sz w:val="21"/>
          <w:szCs w:val="21"/>
          <w:highlight w:val="none"/>
          <w:lang w:val="en-US" w:eastAsia="zh-CN"/>
        </w:rPr>
        <w:t>产品定价及种类记录等</w:t>
      </w:r>
      <w:r>
        <w:rPr>
          <w:rFonts w:hint="eastAsia" w:ascii="宋体" w:hAnsi="宋体" w:eastAsia="宋体" w:cs="宋体"/>
          <w:color w:val="auto"/>
          <w:sz w:val="21"/>
          <w:szCs w:val="21"/>
          <w:highlight w:val="none"/>
          <w:lang w:eastAsia="zh-CN"/>
        </w:rPr>
        <w:t>佐证材料，确保服务过程可追溯、可核查，服务成果符合合同约定要求。</w:t>
      </w:r>
    </w:p>
    <w:p w14:paraId="523EE79C">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eastAsia="zh-CN"/>
        </w:rPr>
        <w:t>（7）整改与费用：首次验收不合格，供应商须按采购人要求限期免费整改、返工，补充完善服务内容；重新验收产生的所有费用（检测费、评估费、人工费等）均由过错方承担，逾期未整改或整改后仍不合格视为严重违约。</w:t>
      </w:r>
    </w:p>
    <w:p w14:paraId="0F69EFA7">
      <w:pPr>
        <w:pStyle w:val="7"/>
        <w:keepLines w:val="0"/>
        <w:pageBreakBefore w:val="0"/>
        <w:widowControl w:val="0"/>
        <w:numPr>
          <w:ilvl w:val="0"/>
          <w:numId w:val="1"/>
        </w:numPr>
        <w:wordWrap/>
        <w:overflowPunct/>
        <w:topLinePunct w:val="0"/>
        <w:bidi w:val="0"/>
        <w:spacing w:after="0" w:line="360" w:lineRule="auto"/>
        <w:ind w:left="0" w:leftChars="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履约保证金：本项目收取履约保证金，具体规定如下：</w:t>
      </w:r>
    </w:p>
    <w:p w14:paraId="6E1B9DDA">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（1）履约保证金金额：按</w:t>
      </w:r>
      <w:r>
        <w:rPr>
          <w:rFonts w:hint="eastAsia" w:ascii="宋体" w:hAnsi="宋体" w:eastAsia="宋体" w:cs="宋体"/>
          <w:color w:val="auto"/>
          <w:szCs w:val="21"/>
          <w:highlight w:val="none"/>
          <w:lang w:val="en-US" w:eastAsia="zh-CN"/>
        </w:rPr>
        <w:t>固定</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val="en-US" w:eastAsia="zh-CN"/>
        </w:rPr>
        <w:t>人10000.00元</w:t>
      </w:r>
      <w:r>
        <w:rPr>
          <w:rFonts w:hint="eastAsia" w:ascii="宋体" w:hAnsi="宋体" w:eastAsia="宋体" w:cs="宋体"/>
          <w:color w:val="auto"/>
          <w:szCs w:val="21"/>
          <w:highlight w:val="none"/>
        </w:rPr>
        <w:t>整收取。</w:t>
      </w:r>
    </w:p>
    <w:p w14:paraId="34839946">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（2）履约保证金递交方式：银行转账、支票、汇票、本票或者金融机构、担保机构出具的保函等非现金方式。</w:t>
      </w:r>
    </w:p>
    <w:p w14:paraId="379BED9E">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（3）履约保证金退还方式、时间及条件：</w:t>
      </w:r>
      <w:r>
        <w:rPr>
          <w:rFonts w:hint="eastAsia" w:ascii="宋体" w:hAnsi="宋体" w:eastAsia="宋体" w:cs="宋体"/>
          <w:color w:val="auto"/>
          <w:szCs w:val="21"/>
          <w:highlight w:val="none"/>
          <w:u w:val="single"/>
        </w:rPr>
        <w:t>服务期满且无服务质量问题的情况下，采购人于</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日内原路</w:t>
      </w:r>
      <w:r>
        <w:rPr>
          <w:rFonts w:hint="eastAsia" w:ascii="宋体" w:hAnsi="宋体" w:eastAsia="宋体" w:cs="宋体"/>
          <w:color w:val="auto"/>
          <w:szCs w:val="21"/>
          <w:highlight w:val="none"/>
          <w:u w:val="single"/>
          <w:lang w:val="en-US" w:eastAsia="zh-CN"/>
        </w:rPr>
        <w:t>无息</w:t>
      </w:r>
      <w:r>
        <w:rPr>
          <w:rFonts w:hint="eastAsia" w:ascii="宋体" w:hAnsi="宋体" w:eastAsia="宋体" w:cs="宋体"/>
          <w:color w:val="auto"/>
          <w:szCs w:val="21"/>
          <w:highlight w:val="none"/>
          <w:u w:val="single"/>
        </w:rPr>
        <w:t xml:space="preserve">退还履约保证金。 </w:t>
      </w:r>
    </w:p>
    <w:p w14:paraId="7E1E7214">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（4）备注：</w:t>
      </w:r>
    </w:p>
    <w:p w14:paraId="710B64AB">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 1 \* GB3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①</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5D21FA9E">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 2 \* GB3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②</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采用金融、担保机构出具的保函的，必须为见索即付保函，否则不予签订合同。</w:t>
      </w:r>
    </w:p>
    <w:p w14:paraId="7B985B08">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 3 \* GB3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③</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如在合同执行期间因成交供应商违约导致履约保证金扣减的，成交供应商需在5个工作日内将扣减的履约保证金补齐。若无正当理由，未能在5个工作日内补齐履约保证金的，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有权解除合同。</w:t>
      </w:r>
    </w:p>
    <w:p w14:paraId="1EE947BB">
      <w:pPr>
        <w:pStyle w:val="7"/>
        <w:keepLines w:val="0"/>
        <w:pageBreakBefore w:val="0"/>
        <w:widowControl w:val="0"/>
        <w:wordWrap/>
        <w:overflowPunct/>
        <w:topLinePunct w:val="0"/>
        <w:bidi w:val="0"/>
        <w:spacing w:after="0" w:line="360" w:lineRule="auto"/>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 4 \* GB3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④</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采购人逾期退还履约保证金的，将依法承担法律责任，并赔偿供应商损失。</w:t>
      </w:r>
    </w:p>
    <w:p w14:paraId="7671944B">
      <w:pPr>
        <w:keepLines w:val="0"/>
        <w:pageBreakBefore w:val="0"/>
        <w:widowControl w:val="0"/>
        <w:wordWrap/>
        <w:overflowPunct/>
        <w:topLinePunct w:val="0"/>
        <w:bidi w:val="0"/>
        <w:rPr>
          <w:rFonts w:hint="eastAsia" w:ascii="宋体" w:hAnsi="宋体" w:eastAsia="宋体" w:cs="宋体"/>
          <w:color w:val="auto"/>
          <w:highlight w:val="none"/>
        </w:rPr>
      </w:pPr>
    </w:p>
    <w:p w14:paraId="7E52E665">
      <w:pPr>
        <w:pStyle w:val="12"/>
        <w:keepLines w:val="0"/>
        <w:pageBreakBefore w:val="0"/>
        <w:widowControl w:val="0"/>
        <w:wordWrap/>
        <w:overflowPunct/>
        <w:topLinePunct w:val="0"/>
        <w:autoSpaceDE/>
        <w:autoSpaceDN/>
        <w:bidi w:val="0"/>
        <w:rPr>
          <w:rFonts w:hint="eastAsia" w:ascii="宋体" w:hAnsi="宋体" w:eastAsia="宋体" w:cs="宋体"/>
          <w:color w:val="auto"/>
          <w:sz w:val="21"/>
          <w:szCs w:val="21"/>
          <w:highlight w:val="none"/>
          <w:lang w:eastAsia="zh-CN"/>
        </w:rPr>
      </w:pPr>
      <w:bookmarkStart w:id="6" w:name="_Toc8551"/>
      <w:r>
        <w:rPr>
          <w:rFonts w:hint="eastAsia" w:ascii="宋体" w:hAnsi="宋体" w:eastAsia="宋体" w:cs="宋体"/>
          <w:color w:val="auto"/>
          <w:sz w:val="21"/>
          <w:szCs w:val="21"/>
          <w:highlight w:val="none"/>
          <w:lang w:eastAsia="zh-CN"/>
        </w:rPr>
        <w:t>三、技术标准与要求</w:t>
      </w:r>
      <w:bookmarkEnd w:id="6"/>
    </w:p>
    <w:p w14:paraId="51FE8361">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szCs w:val="21"/>
          <w:highlight w:val="none"/>
          <w:lang w:val="en-US" w:eastAsia="zh-CN"/>
        </w:rPr>
      </w:pPr>
      <w:r>
        <w:rPr>
          <w:rFonts w:hint="eastAsia" w:cs="宋体"/>
          <w:color w:val="auto"/>
          <w:szCs w:val="21"/>
          <w:highlight w:val="none"/>
          <w:lang w:val="en-US" w:eastAsia="zh-CN"/>
        </w:rPr>
        <w:t>1.</w:t>
      </w:r>
      <w:r>
        <w:rPr>
          <w:rFonts w:hint="eastAsia" w:ascii="宋体" w:hAnsi="宋体" w:eastAsia="宋体" w:cs="宋体"/>
          <w:color w:val="auto"/>
          <w:szCs w:val="21"/>
          <w:highlight w:val="none"/>
          <w:lang w:val="en-US" w:eastAsia="zh-CN"/>
        </w:rPr>
        <w:t>自动售卖机涉及服务全校</w:t>
      </w:r>
      <w:r>
        <w:rPr>
          <w:rFonts w:hint="eastAsia" w:cs="宋体"/>
          <w:color w:val="auto"/>
          <w:szCs w:val="21"/>
          <w:highlight w:val="none"/>
          <w:lang w:val="en-US" w:eastAsia="zh-CN"/>
        </w:rPr>
        <w:t>8</w:t>
      </w:r>
      <w:r>
        <w:rPr>
          <w:rFonts w:hint="eastAsia" w:ascii="宋体" w:hAnsi="宋体" w:eastAsia="宋体" w:cs="宋体"/>
          <w:color w:val="auto"/>
          <w:szCs w:val="21"/>
          <w:highlight w:val="none"/>
          <w:lang w:val="en-US" w:eastAsia="zh-CN"/>
        </w:rPr>
        <w:t>栋教学楼，</w:t>
      </w:r>
      <w:r>
        <w:rPr>
          <w:rFonts w:hint="eastAsia" w:cs="宋体"/>
          <w:color w:val="auto"/>
          <w:szCs w:val="21"/>
          <w:highlight w:val="none"/>
          <w:lang w:val="en-US" w:eastAsia="zh-CN"/>
        </w:rPr>
        <w:t>分别为：励耘楼、乐育楼、弘文楼、丽泽楼、励教楼、风雨操场、田径场、游泳馆。</w:t>
      </w:r>
      <w:r>
        <w:rPr>
          <w:rFonts w:hint="eastAsia" w:ascii="宋体" w:hAnsi="宋体" w:eastAsia="宋体" w:cs="宋体"/>
          <w:color w:val="auto"/>
          <w:szCs w:val="21"/>
          <w:highlight w:val="none"/>
          <w:lang w:val="en-US" w:eastAsia="zh-CN"/>
        </w:rPr>
        <w:t>本次计划采购自动售卖机服务台数</w:t>
      </w:r>
      <w:r>
        <w:rPr>
          <w:rFonts w:hint="eastAsia" w:cs="宋体"/>
          <w:color w:val="auto"/>
          <w:szCs w:val="21"/>
          <w:highlight w:val="none"/>
          <w:lang w:val="en-US" w:eastAsia="zh-CN"/>
        </w:rPr>
        <w:t>40</w:t>
      </w:r>
      <w:r>
        <w:rPr>
          <w:rFonts w:hint="eastAsia" w:ascii="宋体" w:hAnsi="宋体" w:eastAsia="宋体" w:cs="宋体"/>
          <w:color w:val="auto"/>
          <w:szCs w:val="21"/>
          <w:highlight w:val="none"/>
          <w:lang w:val="en-US" w:eastAsia="zh-CN"/>
        </w:rPr>
        <w:t>台（如有需要应无条件配合采购人增加），所有经营所需设备、设施由成交供应商配置、安装。</w:t>
      </w:r>
    </w:p>
    <w:p w14:paraId="097EA7C8">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w:t>
      </w:r>
      <w:r>
        <w:rPr>
          <w:rFonts w:hint="eastAsia" w:cs="宋体"/>
          <w:color w:val="auto"/>
          <w:highlight w:val="none"/>
          <w:lang w:val="en-US" w:eastAsia="zh-CN"/>
        </w:rPr>
        <w:t>2.</w:t>
      </w:r>
      <w:r>
        <w:rPr>
          <w:rFonts w:hint="eastAsia" w:cs="宋体"/>
          <w:color w:val="auto"/>
          <w:szCs w:val="21"/>
          <w:highlight w:val="none"/>
          <w:lang w:val="en-US" w:eastAsia="zh-CN"/>
        </w:rPr>
        <w:t>成交供应商</w:t>
      </w:r>
      <w:r>
        <w:rPr>
          <w:rFonts w:hint="eastAsia" w:ascii="宋体" w:hAnsi="宋体" w:eastAsia="宋体" w:cs="宋体"/>
          <w:color w:val="auto"/>
          <w:szCs w:val="21"/>
          <w:highlight w:val="none"/>
          <w:lang w:val="en-US" w:eastAsia="zh-CN"/>
        </w:rPr>
        <w:t>须按学校</w:t>
      </w:r>
      <w:r>
        <w:rPr>
          <w:rFonts w:hint="eastAsia" w:cs="宋体"/>
          <w:color w:val="auto"/>
          <w:szCs w:val="21"/>
          <w:highlight w:val="none"/>
          <w:lang w:val="en-US" w:eastAsia="zh-CN"/>
        </w:rPr>
        <w:t>技术</w:t>
      </w:r>
      <w:r>
        <w:rPr>
          <w:rFonts w:hint="eastAsia" w:ascii="宋体" w:hAnsi="宋体" w:eastAsia="宋体" w:cs="宋体"/>
          <w:color w:val="auto"/>
          <w:szCs w:val="21"/>
          <w:highlight w:val="none"/>
          <w:lang w:val="en-US" w:eastAsia="zh-CN"/>
        </w:rPr>
        <w:t>要求</w:t>
      </w:r>
      <w:r>
        <w:rPr>
          <w:rFonts w:hint="eastAsia" w:cs="宋体"/>
          <w:color w:val="auto"/>
          <w:szCs w:val="21"/>
          <w:highlight w:val="none"/>
          <w:lang w:val="en-US" w:eastAsia="zh-CN"/>
        </w:rPr>
        <w:t>免费为所有自动售卖机</w:t>
      </w:r>
      <w:r>
        <w:rPr>
          <w:rFonts w:hint="eastAsia" w:ascii="宋体" w:hAnsi="宋体" w:eastAsia="宋体" w:cs="宋体"/>
          <w:color w:val="auto"/>
          <w:szCs w:val="21"/>
          <w:highlight w:val="none"/>
          <w:lang w:val="en-US" w:eastAsia="zh-CN"/>
        </w:rPr>
        <w:t>设置监控设备</w:t>
      </w:r>
      <w:r>
        <w:rPr>
          <w:rFonts w:hint="eastAsia" w:cs="宋体"/>
          <w:color w:val="auto"/>
          <w:szCs w:val="21"/>
          <w:highlight w:val="none"/>
          <w:lang w:val="en-US" w:eastAsia="zh-CN"/>
        </w:rPr>
        <w:t>（含设备运行所需强弱电配套系统）并承诺对接联网学校监控系统</w:t>
      </w:r>
      <w:r>
        <w:rPr>
          <w:rFonts w:hint="eastAsia" w:ascii="宋体" w:hAnsi="宋体" w:eastAsia="宋体" w:cs="宋体"/>
          <w:color w:val="auto"/>
          <w:szCs w:val="21"/>
          <w:highlight w:val="none"/>
          <w:lang w:val="en-US" w:eastAsia="zh-CN"/>
        </w:rPr>
        <w:t>，</w:t>
      </w:r>
      <w:r>
        <w:rPr>
          <w:rFonts w:hint="eastAsia" w:cs="宋体"/>
          <w:color w:val="auto"/>
          <w:szCs w:val="21"/>
          <w:highlight w:val="none"/>
          <w:lang w:val="en-US" w:eastAsia="zh-CN"/>
        </w:rPr>
        <w:t>视频存储时间不低于180天，</w:t>
      </w:r>
      <w:r>
        <w:rPr>
          <w:rFonts w:hint="eastAsia" w:ascii="宋体" w:hAnsi="宋体" w:eastAsia="宋体" w:cs="宋体"/>
          <w:color w:val="auto"/>
          <w:szCs w:val="21"/>
          <w:highlight w:val="none"/>
          <w:lang w:val="en-US" w:eastAsia="zh-CN"/>
        </w:rPr>
        <w:t>以保障食品安全的溯源。</w:t>
      </w:r>
      <w:r>
        <w:rPr>
          <w:rFonts w:hint="eastAsia" w:cs="宋体"/>
          <w:b/>
          <w:bCs/>
          <w:color w:val="auto"/>
          <w:szCs w:val="21"/>
          <w:highlight w:val="none"/>
          <w:lang w:val="en-US" w:eastAsia="zh-CN"/>
        </w:rPr>
        <w:t>（提供承诺函，格式自拟）</w:t>
      </w:r>
    </w:p>
    <w:p w14:paraId="3BE8DC4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szCs w:val="21"/>
          <w:highlight w:val="none"/>
          <w:lang w:val="en-US" w:eastAsia="zh-CN"/>
        </w:rPr>
      </w:pPr>
      <w:r>
        <w:rPr>
          <w:rFonts w:hint="eastAsia" w:cs="宋体"/>
          <w:color w:val="auto"/>
          <w:szCs w:val="21"/>
          <w:highlight w:val="none"/>
          <w:lang w:val="en-US" w:eastAsia="zh-CN"/>
        </w:rPr>
        <w:t>3.</w:t>
      </w:r>
      <w:r>
        <w:rPr>
          <w:rFonts w:hint="eastAsia" w:ascii="宋体" w:hAnsi="宋体" w:eastAsia="宋体" w:cs="宋体"/>
          <w:color w:val="auto"/>
          <w:szCs w:val="21"/>
          <w:highlight w:val="none"/>
          <w:lang w:val="en-US" w:eastAsia="zh-CN"/>
        </w:rPr>
        <w:t>本项目由采购人提供场地，由成交供应商投资并根据商定规划设计方案建设，包括运营系统、技术服务、人工服务和场地用电改造等。</w:t>
      </w:r>
    </w:p>
    <w:p w14:paraId="472E9541">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b/>
          <w:bCs/>
          <w:color w:val="auto"/>
          <w:szCs w:val="21"/>
          <w:highlight w:val="none"/>
        </w:rPr>
        <w:t>★</w:t>
      </w:r>
      <w:r>
        <w:rPr>
          <w:rFonts w:hint="eastAsia" w:cs="宋体"/>
          <w:b w:val="0"/>
          <w:bCs w:val="0"/>
          <w:color w:val="auto"/>
          <w:szCs w:val="21"/>
          <w:highlight w:val="none"/>
          <w:lang w:val="en-US" w:eastAsia="zh-CN"/>
        </w:rPr>
        <w:t>4.</w:t>
      </w:r>
      <w:r>
        <w:rPr>
          <w:rFonts w:hint="eastAsia" w:ascii="宋体" w:hAnsi="宋体" w:eastAsia="宋体" w:cs="宋体"/>
          <w:b w:val="0"/>
          <w:bCs w:val="0"/>
          <w:color w:val="auto"/>
          <w:szCs w:val="21"/>
          <w:highlight w:val="none"/>
          <w:lang w:val="en-US" w:eastAsia="zh-CN"/>
        </w:rPr>
        <w:t>电</w:t>
      </w:r>
      <w:r>
        <w:rPr>
          <w:rFonts w:hint="eastAsia" w:ascii="宋体" w:hAnsi="宋体" w:eastAsia="宋体" w:cs="宋体"/>
          <w:color w:val="auto"/>
          <w:szCs w:val="21"/>
          <w:highlight w:val="none"/>
          <w:lang w:val="en-US" w:eastAsia="zh-CN"/>
        </w:rPr>
        <w:t>费由成交供应商按实际使用情况</w:t>
      </w:r>
      <w:r>
        <w:rPr>
          <w:rFonts w:hint="eastAsia" w:cs="宋体"/>
          <w:color w:val="auto"/>
          <w:szCs w:val="21"/>
          <w:highlight w:val="none"/>
          <w:lang w:val="en-US" w:eastAsia="zh-CN"/>
        </w:rPr>
        <w:t>按月</w:t>
      </w:r>
      <w:r>
        <w:rPr>
          <w:rFonts w:hint="eastAsia" w:ascii="宋体" w:hAnsi="宋体" w:eastAsia="宋体" w:cs="宋体"/>
          <w:color w:val="auto"/>
          <w:szCs w:val="21"/>
          <w:highlight w:val="none"/>
          <w:lang w:val="en-US" w:eastAsia="zh-CN"/>
        </w:rPr>
        <w:t>缴纳，电费的缴费标准根据当地供电部门对采购人学校的收费标准执行。成交供应商</w:t>
      </w:r>
      <w:r>
        <w:rPr>
          <w:rFonts w:hint="eastAsia" w:cs="宋体"/>
          <w:color w:val="auto"/>
          <w:szCs w:val="21"/>
          <w:highlight w:val="none"/>
          <w:lang w:val="en-US" w:eastAsia="zh-CN"/>
        </w:rPr>
        <w:t>承诺按学校技术要求</w:t>
      </w:r>
      <w:r>
        <w:rPr>
          <w:rFonts w:hint="eastAsia" w:ascii="宋体" w:hAnsi="宋体" w:eastAsia="宋体" w:cs="宋体"/>
          <w:color w:val="auto"/>
          <w:szCs w:val="21"/>
          <w:highlight w:val="none"/>
          <w:lang w:val="en-US" w:eastAsia="zh-CN"/>
        </w:rPr>
        <w:t>自行</w:t>
      </w:r>
      <w:r>
        <w:rPr>
          <w:rFonts w:hint="eastAsia" w:cs="宋体"/>
          <w:color w:val="auto"/>
          <w:szCs w:val="21"/>
          <w:highlight w:val="none"/>
          <w:lang w:val="en-US" w:eastAsia="zh-CN"/>
        </w:rPr>
        <w:t>安装</w:t>
      </w:r>
      <w:r>
        <w:rPr>
          <w:rFonts w:hint="eastAsia" w:ascii="宋体" w:hAnsi="宋体" w:eastAsia="宋体" w:cs="宋体"/>
          <w:color w:val="auto"/>
          <w:szCs w:val="21"/>
          <w:highlight w:val="none"/>
          <w:lang w:val="en-US" w:eastAsia="zh-CN"/>
        </w:rPr>
        <w:t>售卖机供电线路及计量设备</w:t>
      </w:r>
      <w:r>
        <w:rPr>
          <w:rFonts w:hint="eastAsia" w:cs="宋体"/>
          <w:color w:val="auto"/>
          <w:szCs w:val="21"/>
          <w:highlight w:val="none"/>
          <w:lang w:val="en-US" w:eastAsia="zh-CN"/>
        </w:rPr>
        <w:t>并承诺对接联网学校用电计量系统</w:t>
      </w:r>
      <w:r>
        <w:rPr>
          <w:rFonts w:hint="eastAsia" w:ascii="宋体" w:hAnsi="宋体" w:eastAsia="宋体" w:cs="宋体"/>
          <w:color w:val="auto"/>
          <w:szCs w:val="21"/>
          <w:highlight w:val="none"/>
          <w:lang w:val="en-US" w:eastAsia="zh-CN"/>
        </w:rPr>
        <w:t>，向采购人学校缴纳交电费。</w:t>
      </w:r>
      <w:r>
        <w:rPr>
          <w:rFonts w:hint="eastAsia" w:cs="宋体"/>
          <w:b/>
          <w:bCs/>
          <w:color w:val="auto"/>
          <w:szCs w:val="21"/>
          <w:highlight w:val="none"/>
          <w:lang w:val="en-US" w:eastAsia="zh-CN"/>
        </w:rPr>
        <w:t>（提供承诺函，格式自拟）</w:t>
      </w:r>
    </w:p>
    <w:p w14:paraId="58482B8D">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szCs w:val="21"/>
          <w:highlight w:val="none"/>
          <w:lang w:val="en-US" w:eastAsia="zh-CN"/>
        </w:rPr>
      </w:pPr>
      <w:r>
        <w:rPr>
          <w:rFonts w:hint="eastAsia" w:cs="宋体"/>
          <w:color w:val="auto"/>
          <w:szCs w:val="21"/>
          <w:highlight w:val="none"/>
          <w:lang w:val="en-US" w:eastAsia="zh-CN"/>
        </w:rPr>
        <w:t>5.</w:t>
      </w:r>
      <w:r>
        <w:rPr>
          <w:rFonts w:hint="eastAsia" w:ascii="宋体" w:hAnsi="宋体" w:eastAsia="宋体" w:cs="宋体"/>
          <w:color w:val="auto"/>
          <w:szCs w:val="21"/>
          <w:highlight w:val="none"/>
          <w:lang w:val="en-US" w:eastAsia="zh-CN"/>
        </w:rPr>
        <w:t>供应商必须自行提供服务，不得将经营权进行任何方式的分包转租。服从并执行采购人各项管理规定，依法依规文明经营；不经营、出售“三无产品”、变质和过期食品，除自助售卖机外不得增加任何经营项目或产品；自觉接受采购人和工商、质监、卫生防疫、教育行政等部门的检查和监督。</w:t>
      </w:r>
    </w:p>
    <w:p w14:paraId="102AF7A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szCs w:val="21"/>
          <w:highlight w:val="none"/>
          <w:lang w:val="en-US" w:eastAsia="zh-CN"/>
        </w:rPr>
      </w:pPr>
      <w:r>
        <w:rPr>
          <w:rFonts w:hint="eastAsia" w:cs="宋体"/>
          <w:color w:val="auto"/>
          <w:szCs w:val="21"/>
          <w:highlight w:val="none"/>
          <w:lang w:val="en-US" w:eastAsia="zh-CN"/>
        </w:rPr>
        <w:t>6.</w:t>
      </w:r>
      <w:r>
        <w:rPr>
          <w:rFonts w:hint="eastAsia" w:ascii="宋体" w:hAnsi="宋体" w:eastAsia="宋体" w:cs="宋体"/>
          <w:color w:val="auto"/>
          <w:szCs w:val="21"/>
          <w:highlight w:val="none"/>
          <w:lang w:val="en-US" w:eastAsia="zh-CN"/>
        </w:rPr>
        <w:t>成交供应商</w:t>
      </w:r>
      <w:r>
        <w:rPr>
          <w:rFonts w:hint="eastAsia" w:cs="宋体"/>
          <w:color w:val="auto"/>
          <w:szCs w:val="21"/>
          <w:highlight w:val="none"/>
          <w:lang w:val="en-US" w:eastAsia="zh-CN"/>
        </w:rPr>
        <w:t>在合同生效14日内</w:t>
      </w:r>
      <w:r>
        <w:rPr>
          <w:rFonts w:hint="eastAsia" w:ascii="宋体" w:hAnsi="宋体" w:eastAsia="宋体" w:cs="宋体"/>
          <w:color w:val="auto"/>
          <w:szCs w:val="21"/>
          <w:highlight w:val="none"/>
          <w:lang w:val="en-US" w:eastAsia="zh-CN"/>
        </w:rPr>
        <w:t>完成设备装调</w:t>
      </w:r>
      <w:r>
        <w:rPr>
          <w:rFonts w:hint="eastAsia" w:cs="宋体"/>
          <w:color w:val="auto"/>
          <w:szCs w:val="21"/>
          <w:highlight w:val="none"/>
          <w:lang w:val="en-US" w:eastAsia="zh-CN"/>
        </w:rPr>
        <w:t>上线工作（含监控设施、用电计量设施）</w:t>
      </w:r>
      <w:r>
        <w:rPr>
          <w:rFonts w:hint="eastAsia" w:ascii="宋体" w:hAnsi="宋体" w:eastAsia="宋体" w:cs="宋体"/>
          <w:color w:val="auto"/>
          <w:szCs w:val="21"/>
          <w:highlight w:val="none"/>
          <w:lang w:val="en-US" w:eastAsia="zh-CN"/>
        </w:rPr>
        <w:t>，保证所有设备正常使用。自觉服从采购人管理监督，成交供应商提供的自助售卖机设备及销售的商品必须符合相关国家标准和行业标准，认真执行所售产品对应的法律法规以及采购人有关管理制度，保证服务与所售产品的质量，必须从正规渠道进货，所有货物必须证件齐全，不得出售不合格产品。违反采购人相关管理制度按违约处理，采购人不承担任何责任。</w:t>
      </w:r>
    </w:p>
    <w:p w14:paraId="5FABB50C">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szCs w:val="21"/>
          <w:highlight w:val="none"/>
          <w:lang w:val="en-US" w:eastAsia="zh-CN"/>
        </w:rPr>
      </w:pPr>
      <w:r>
        <w:rPr>
          <w:rFonts w:hint="eastAsia" w:cs="宋体"/>
          <w:color w:val="auto"/>
          <w:szCs w:val="21"/>
          <w:highlight w:val="none"/>
          <w:lang w:val="en-US" w:eastAsia="zh-CN"/>
        </w:rPr>
        <w:t>7.</w:t>
      </w:r>
      <w:r>
        <w:rPr>
          <w:rFonts w:hint="eastAsia" w:ascii="宋体" w:hAnsi="宋体" w:eastAsia="宋体" w:cs="宋体"/>
          <w:color w:val="auto"/>
          <w:szCs w:val="21"/>
          <w:highlight w:val="none"/>
          <w:lang w:val="en-US" w:eastAsia="zh-CN"/>
        </w:rPr>
        <w:t>成交供应商不得乱搭建、乱装修，除自助售卖机外不得增加任何经营项目或产品，不得占用自助售卖机周边空地用作经营场所和堆放杂物。成交供应商应确保所提供设备安全（防火、防电、防盗、卫生、防毒等），并进行有效的管理。</w:t>
      </w:r>
    </w:p>
    <w:p w14:paraId="0BFEBC81">
      <w:pPr>
        <w:keepLines w:val="0"/>
        <w:pageBreakBefore w:val="0"/>
        <w:widowControl w:val="0"/>
        <w:wordWrap/>
        <w:overflowPunct/>
        <w:topLinePunct w:val="0"/>
        <w:bidi w:val="0"/>
        <w:ind w:firstLine="420" w:firstLineChars="200"/>
        <w:rPr>
          <w:rFonts w:hint="eastAsia" w:ascii="宋体" w:hAnsi="宋体" w:eastAsia="宋体" w:cs="宋体"/>
          <w:color w:val="auto"/>
          <w:szCs w:val="21"/>
          <w:highlight w:val="none"/>
          <w:lang w:val="en-US" w:eastAsia="zh-CN"/>
        </w:rPr>
      </w:pPr>
      <w:r>
        <w:rPr>
          <w:rFonts w:hint="eastAsia" w:cs="宋体"/>
          <w:color w:val="auto"/>
          <w:szCs w:val="21"/>
          <w:highlight w:val="none"/>
          <w:lang w:val="en-US" w:eastAsia="zh-CN"/>
        </w:rPr>
        <w:t>8.</w:t>
      </w:r>
      <w:r>
        <w:rPr>
          <w:rFonts w:hint="eastAsia" w:ascii="宋体" w:hAnsi="宋体" w:eastAsia="宋体" w:cs="宋体"/>
          <w:color w:val="auto"/>
          <w:szCs w:val="21"/>
          <w:highlight w:val="none"/>
          <w:lang w:val="en-US" w:eastAsia="zh-CN"/>
        </w:rPr>
        <w:t>供应商应熟悉现场及周围交通道路等情况，以获得一切可能影响其履约的直接资料。成交供应商不得以不完全了解现场情况为理由，向采购人提出任何索赔的要求，或作为不能合格履约的借口，对此采购人不承担任何责任并将不作任何答复与考虑。</w:t>
      </w:r>
    </w:p>
    <w:p w14:paraId="5AA9B7D5">
      <w:pPr>
        <w:keepLines w:val="0"/>
        <w:pageBreakBefore w:val="0"/>
        <w:widowControl w:val="0"/>
        <w:wordWrap/>
        <w:overflowPunct/>
        <w:topLinePunct w:val="0"/>
        <w:bidi w:val="0"/>
        <w:ind w:firstLine="420" w:firstLineChars="200"/>
        <w:rPr>
          <w:rFonts w:hint="eastAsia" w:eastAsia="宋体" w:cs="宋体"/>
          <w:color w:val="auto"/>
          <w:highlight w:val="none"/>
          <w:lang w:val="en-US" w:eastAsia="zh-CN"/>
        </w:rPr>
      </w:pPr>
      <w:r>
        <w:rPr>
          <w:rFonts w:hint="eastAsia" w:ascii="宋体" w:hAnsi="宋体" w:eastAsia="宋体" w:cs="宋体"/>
          <w:color w:val="auto"/>
          <w:highlight w:val="none"/>
        </w:rPr>
        <w:t>★</w:t>
      </w:r>
      <w:r>
        <w:rPr>
          <w:rFonts w:hint="eastAsia" w:cs="宋体"/>
          <w:color w:val="auto"/>
          <w:highlight w:val="none"/>
          <w:lang w:val="en-US" w:eastAsia="zh-CN"/>
        </w:rPr>
        <w:t>9.成交供应商应为本项目投入专职运维人员，负责</w:t>
      </w:r>
      <w:r>
        <w:rPr>
          <w:rFonts w:hint="eastAsia" w:ascii="宋体" w:hAnsi="宋体" w:cs="宋体"/>
          <w:color w:val="auto"/>
          <w:szCs w:val="24"/>
          <w:highlight w:val="none"/>
        </w:rPr>
        <w:t>自动售卖机</w:t>
      </w:r>
      <w:r>
        <w:rPr>
          <w:rFonts w:hint="eastAsia" w:cs="宋体"/>
          <w:color w:val="auto"/>
          <w:szCs w:val="24"/>
          <w:highlight w:val="none"/>
          <w:lang w:eastAsia="zh-CN"/>
        </w:rPr>
        <w:t>的</w:t>
      </w:r>
      <w:r>
        <w:rPr>
          <w:rFonts w:hint="eastAsia" w:ascii="宋体" w:hAnsi="宋体" w:cs="宋体"/>
          <w:color w:val="auto"/>
          <w:szCs w:val="24"/>
          <w:highlight w:val="none"/>
        </w:rPr>
        <w:t>商品补货、故障处理、仓储管理</w:t>
      </w:r>
      <w:r>
        <w:rPr>
          <w:rFonts w:hint="eastAsia" w:cs="宋体"/>
          <w:color w:val="auto"/>
          <w:szCs w:val="24"/>
          <w:highlight w:val="none"/>
          <w:lang w:val="en-US" w:eastAsia="zh-CN"/>
        </w:rPr>
        <w:t>等，服从学校管理，不得影响校内秩序，未经学校同意，不得私自更换专职运维人员。</w:t>
      </w:r>
      <w:r>
        <w:rPr>
          <w:rFonts w:hint="eastAsia" w:ascii="宋体" w:hAnsi="宋体" w:eastAsia="宋体" w:cs="宋体"/>
          <w:b/>
          <w:bCs/>
          <w:color w:val="auto"/>
          <w:kern w:val="0"/>
          <w:sz w:val="21"/>
          <w:szCs w:val="21"/>
          <w:highlight w:val="none"/>
          <w:lang w:val="en-US" w:eastAsia="zh-CN"/>
        </w:rPr>
        <w:t>（响应文件需提供</w:t>
      </w:r>
      <w:r>
        <w:rPr>
          <w:rFonts w:hint="eastAsia" w:cs="宋体"/>
          <w:b/>
          <w:bCs/>
          <w:color w:val="auto"/>
          <w:kern w:val="0"/>
          <w:sz w:val="21"/>
          <w:szCs w:val="21"/>
          <w:highlight w:val="none"/>
          <w:lang w:val="en-US" w:eastAsia="zh-CN"/>
        </w:rPr>
        <w:t>运维人员信息</w:t>
      </w:r>
      <w:r>
        <w:rPr>
          <w:rFonts w:hint="eastAsia" w:ascii="宋体" w:hAnsi="宋体" w:eastAsia="宋体" w:cs="宋体"/>
          <w:b/>
          <w:bCs/>
          <w:color w:val="auto"/>
          <w:kern w:val="0"/>
          <w:sz w:val="21"/>
          <w:szCs w:val="21"/>
          <w:highlight w:val="none"/>
          <w:lang w:val="en-US" w:eastAsia="zh-CN"/>
        </w:rPr>
        <w:t>及</w:t>
      </w:r>
      <w:r>
        <w:rPr>
          <w:rFonts w:hint="eastAsia" w:cs="宋体"/>
          <w:b/>
          <w:bCs/>
          <w:color w:val="auto"/>
          <w:sz w:val="21"/>
          <w:szCs w:val="21"/>
          <w:highlight w:val="none"/>
          <w:lang w:val="en-US" w:eastAsia="zh-CN" w:bidi="ar"/>
        </w:rPr>
        <w:t>2026年6月1日至投标截止之日</w:t>
      </w:r>
      <w:r>
        <w:rPr>
          <w:rFonts w:hint="eastAsia" w:ascii="宋体" w:hAnsi="宋体" w:eastAsia="宋体" w:cs="宋体"/>
          <w:b/>
          <w:bCs/>
          <w:color w:val="auto"/>
          <w:kern w:val="0"/>
          <w:sz w:val="21"/>
          <w:szCs w:val="21"/>
          <w:highlight w:val="none"/>
          <w:lang w:val="en-US" w:eastAsia="zh-CN"/>
        </w:rPr>
        <w:t>任意一个月响应供应商为</w:t>
      </w:r>
      <w:r>
        <w:rPr>
          <w:rFonts w:hint="eastAsia" w:cs="宋体"/>
          <w:b/>
          <w:bCs/>
          <w:color w:val="auto"/>
          <w:kern w:val="0"/>
          <w:sz w:val="21"/>
          <w:szCs w:val="21"/>
          <w:highlight w:val="none"/>
          <w:lang w:val="en-US" w:eastAsia="zh-CN"/>
        </w:rPr>
        <w:t>其</w:t>
      </w:r>
      <w:r>
        <w:rPr>
          <w:rFonts w:hint="eastAsia" w:ascii="宋体" w:hAnsi="宋体" w:eastAsia="宋体" w:cs="宋体"/>
          <w:b/>
          <w:bCs/>
          <w:color w:val="auto"/>
          <w:kern w:val="0"/>
          <w:sz w:val="21"/>
          <w:szCs w:val="21"/>
          <w:highlight w:val="none"/>
          <w:lang w:val="en-US" w:eastAsia="zh-CN"/>
        </w:rPr>
        <w:t>购买社保的凭证</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kern w:val="0"/>
          <w:sz w:val="21"/>
          <w:szCs w:val="21"/>
          <w:highlight w:val="none"/>
          <w:lang w:val="en-US" w:eastAsia="zh-CN"/>
        </w:rPr>
        <w:t>）</w:t>
      </w:r>
    </w:p>
    <w:p w14:paraId="572AA1F7">
      <w:pPr>
        <w:widowControl w:val="0"/>
        <w:topLinePunct/>
        <w:autoSpaceDE/>
        <w:autoSpaceDN/>
        <w:adjustRightInd w:val="0"/>
        <w:spacing w:line="360" w:lineRule="auto"/>
        <w:ind w:firstLine="420" w:firstLineChars="200"/>
        <w:jc w:val="both"/>
        <w:rPr>
          <w:rFonts w:hint="default" w:cs="宋体"/>
          <w:color w:val="auto"/>
          <w:highlight w:val="none"/>
          <w:lang w:val="en-US" w:eastAsia="zh-CN"/>
        </w:rPr>
      </w:pPr>
      <w:r>
        <w:rPr>
          <w:rFonts w:hint="eastAsia" w:ascii="宋体" w:hAnsi="宋体" w:eastAsia="宋体" w:cs="宋体"/>
          <w:color w:val="auto"/>
          <w:highlight w:val="none"/>
        </w:rPr>
        <w:t>★</w:t>
      </w:r>
      <w:r>
        <w:rPr>
          <w:rFonts w:hint="eastAsia" w:cs="宋体"/>
          <w:color w:val="auto"/>
          <w:highlight w:val="none"/>
          <w:lang w:val="en-US" w:eastAsia="zh-CN"/>
        </w:rPr>
        <w:t>10.若自动售卖机出现故障，成交供应商应当在1小时内到达现场对故障机进行维修或更换新机，学生缴费未供货或扣费异常等情况，承诺1小时内处置完毕。</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提供承诺函，格式自拟</w:t>
      </w:r>
      <w:r>
        <w:rPr>
          <w:rFonts w:hint="eastAsia" w:ascii="宋体" w:hAnsi="宋体" w:eastAsia="宋体" w:cs="宋体"/>
          <w:b/>
          <w:bCs/>
          <w:color w:val="auto"/>
          <w:highlight w:val="none"/>
          <w:lang w:eastAsia="zh-CN"/>
        </w:rPr>
        <w:t>）</w:t>
      </w:r>
    </w:p>
    <w:p w14:paraId="51234937">
      <w:pPr>
        <w:widowControl w:val="0"/>
        <w:topLinePunct/>
        <w:autoSpaceDE/>
        <w:autoSpaceDN/>
        <w:adjustRightInd w:val="0"/>
        <w:spacing w:line="360" w:lineRule="auto"/>
        <w:ind w:firstLine="420" w:firstLineChars="200"/>
        <w:jc w:val="both"/>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highlight w:val="none"/>
        </w:rPr>
        <w:t>★</w:t>
      </w:r>
      <w:r>
        <w:rPr>
          <w:rFonts w:hint="eastAsia" w:cs="宋体"/>
          <w:color w:val="auto"/>
          <w:highlight w:val="none"/>
          <w:lang w:val="en-US" w:eastAsia="zh-CN"/>
        </w:rPr>
        <w:t>11.拟投本项目的设备保修人员应具有特种作业操作证</w:t>
      </w:r>
      <w:r>
        <w:rPr>
          <w:rFonts w:hint="eastAsia" w:cs="宋体"/>
          <w:color w:val="auto"/>
          <w:kern w:val="0"/>
          <w:sz w:val="21"/>
          <w:szCs w:val="21"/>
          <w:highlight w:val="none"/>
          <w:lang w:val="en-US" w:eastAsia="zh-CN"/>
        </w:rPr>
        <w:t>（低压电工作业）。</w:t>
      </w:r>
      <w:r>
        <w:rPr>
          <w:rFonts w:hint="eastAsia" w:ascii="宋体" w:hAnsi="宋体" w:eastAsia="宋体" w:cs="宋体"/>
          <w:b/>
          <w:bCs/>
          <w:color w:val="auto"/>
          <w:kern w:val="0"/>
          <w:sz w:val="21"/>
          <w:szCs w:val="21"/>
          <w:highlight w:val="none"/>
          <w:lang w:val="en-US" w:eastAsia="zh-CN"/>
        </w:rPr>
        <w:t>（响应文件需提供</w:t>
      </w:r>
      <w:r>
        <w:rPr>
          <w:rFonts w:hint="eastAsia" w:cs="宋体"/>
          <w:b/>
          <w:bCs/>
          <w:color w:val="auto"/>
          <w:kern w:val="0"/>
          <w:sz w:val="21"/>
          <w:szCs w:val="21"/>
          <w:highlight w:val="none"/>
          <w:lang w:val="en-US" w:eastAsia="zh-CN"/>
        </w:rPr>
        <w:t>特种作业操作证</w:t>
      </w:r>
      <w:r>
        <w:rPr>
          <w:rFonts w:hint="eastAsia" w:ascii="宋体" w:hAnsi="宋体" w:eastAsia="宋体" w:cs="宋体"/>
          <w:b/>
          <w:bCs/>
          <w:color w:val="auto"/>
          <w:kern w:val="0"/>
          <w:sz w:val="21"/>
          <w:szCs w:val="21"/>
          <w:highlight w:val="none"/>
          <w:lang w:val="en-US" w:eastAsia="zh-CN"/>
        </w:rPr>
        <w:t>复印件，以及</w:t>
      </w:r>
      <w:r>
        <w:rPr>
          <w:rFonts w:hint="eastAsia" w:cs="宋体"/>
          <w:b/>
          <w:bCs/>
          <w:color w:val="auto"/>
          <w:sz w:val="21"/>
          <w:szCs w:val="21"/>
          <w:highlight w:val="none"/>
          <w:lang w:val="en-US" w:eastAsia="zh-CN" w:bidi="ar"/>
        </w:rPr>
        <w:t>2026年6月1日至投标截止之日</w:t>
      </w:r>
      <w:r>
        <w:rPr>
          <w:rFonts w:hint="eastAsia" w:ascii="宋体" w:hAnsi="宋体" w:eastAsia="宋体" w:cs="宋体"/>
          <w:b/>
          <w:bCs/>
          <w:color w:val="auto"/>
          <w:kern w:val="0"/>
          <w:sz w:val="21"/>
          <w:szCs w:val="21"/>
          <w:highlight w:val="none"/>
          <w:lang w:val="en-US" w:eastAsia="zh-CN"/>
        </w:rPr>
        <w:t>任意一个月响应供应商为</w:t>
      </w:r>
      <w:r>
        <w:rPr>
          <w:rFonts w:hint="eastAsia" w:cs="宋体"/>
          <w:b/>
          <w:bCs/>
          <w:color w:val="auto"/>
          <w:kern w:val="0"/>
          <w:sz w:val="21"/>
          <w:szCs w:val="21"/>
          <w:highlight w:val="none"/>
          <w:lang w:val="en-US" w:eastAsia="zh-CN"/>
        </w:rPr>
        <w:t>其</w:t>
      </w:r>
      <w:r>
        <w:rPr>
          <w:rFonts w:hint="eastAsia" w:ascii="宋体" w:hAnsi="宋体" w:eastAsia="宋体" w:cs="宋体"/>
          <w:b/>
          <w:bCs/>
          <w:color w:val="auto"/>
          <w:kern w:val="0"/>
          <w:sz w:val="21"/>
          <w:szCs w:val="21"/>
          <w:highlight w:val="none"/>
          <w:lang w:val="en-US" w:eastAsia="zh-CN"/>
        </w:rPr>
        <w:t>购买社保的凭证</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kern w:val="0"/>
          <w:sz w:val="21"/>
          <w:szCs w:val="21"/>
          <w:highlight w:val="none"/>
          <w:lang w:val="en-US" w:eastAsia="zh-CN"/>
        </w:rPr>
        <w:t>）</w:t>
      </w:r>
    </w:p>
    <w:p w14:paraId="4C57BECB">
      <w:pPr>
        <w:keepLines w:val="0"/>
        <w:pageBreakBefore w:val="0"/>
        <w:widowControl w:val="0"/>
        <w:wordWrap/>
        <w:overflowPunct/>
        <w:topLinePunct w:val="0"/>
        <w:bidi w:val="0"/>
        <w:ind w:firstLine="420" w:firstLineChars="200"/>
        <w:rPr>
          <w:rFonts w:hint="eastAsia" w:ascii="宋体" w:hAnsi="宋体" w:eastAsia="宋体" w:cs="宋体"/>
          <w:b/>
          <w:bCs/>
          <w:color w:val="auto"/>
          <w:highlight w:val="none"/>
          <w:lang w:eastAsia="zh-CN"/>
        </w:rPr>
      </w:pPr>
      <w:r>
        <w:rPr>
          <w:rFonts w:hint="eastAsia" w:ascii="宋体" w:hAnsi="宋体" w:eastAsia="宋体" w:cs="宋体"/>
          <w:color w:val="auto"/>
          <w:highlight w:val="none"/>
        </w:rPr>
        <w:t>★</w:t>
      </w:r>
      <w:r>
        <w:rPr>
          <w:rFonts w:hint="eastAsia" w:cs="宋体"/>
          <w:color w:val="auto"/>
          <w:highlight w:val="none"/>
          <w:lang w:val="en-US" w:eastAsia="zh-CN"/>
        </w:rPr>
        <w:t>12.</w:t>
      </w:r>
      <w:r>
        <w:rPr>
          <w:rFonts w:hint="eastAsia" w:ascii="宋体" w:hAnsi="宋体" w:eastAsia="宋体" w:cs="宋体"/>
          <w:color w:val="auto"/>
          <w:szCs w:val="21"/>
          <w:highlight w:val="none"/>
          <w:lang w:val="en-US" w:eastAsia="zh-CN"/>
        </w:rPr>
        <w:t>成交供应商拟投放自动售卖机须取得国家强制3C认证证书</w:t>
      </w:r>
      <w:r>
        <w:rPr>
          <w:rFonts w:hint="eastAsia" w:ascii="宋体" w:hAnsi="宋体" w:eastAsia="宋体" w:cs="宋体"/>
          <w:color w:val="auto"/>
          <w:highlight w:val="none"/>
        </w:rPr>
        <w:t>。</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提供承诺函，格式自拟</w:t>
      </w:r>
      <w:r>
        <w:rPr>
          <w:rFonts w:hint="eastAsia" w:ascii="宋体" w:hAnsi="宋体" w:eastAsia="宋体" w:cs="宋体"/>
          <w:b/>
          <w:bCs/>
          <w:color w:val="auto"/>
          <w:highlight w:val="none"/>
          <w:lang w:eastAsia="zh-CN"/>
        </w:rPr>
        <w:t>）</w:t>
      </w:r>
    </w:p>
    <w:p w14:paraId="38DD4118">
      <w:pPr>
        <w:keepLines w:val="0"/>
        <w:pageBreakBefore w:val="0"/>
        <w:widowControl w:val="0"/>
        <w:wordWrap/>
        <w:overflowPunct/>
        <w:topLinePunct w:val="0"/>
        <w:bidi w:val="0"/>
        <w:ind w:firstLine="420" w:firstLineChars="200"/>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13.成交供应商需要</w:t>
      </w:r>
      <w:r>
        <w:rPr>
          <w:rFonts w:hint="eastAsia" w:cs="宋体"/>
          <w:b w:val="0"/>
          <w:bCs w:val="0"/>
          <w:color w:val="auto"/>
          <w:highlight w:val="none"/>
          <w:lang w:val="en-US" w:eastAsia="zh-CN"/>
        </w:rPr>
        <w:t>为本项目所涉及的饮料和食品</w:t>
      </w:r>
      <w:r>
        <w:rPr>
          <w:rFonts w:hint="eastAsia" w:ascii="宋体" w:hAnsi="宋体" w:eastAsia="宋体" w:cs="宋体"/>
          <w:b w:val="0"/>
          <w:bCs w:val="0"/>
          <w:color w:val="auto"/>
          <w:highlight w:val="none"/>
          <w:lang w:eastAsia="zh-CN"/>
        </w:rPr>
        <w:t>购买食品安全责任险</w:t>
      </w:r>
      <w:r>
        <w:rPr>
          <w:rFonts w:hint="eastAsia" w:cs="宋体"/>
          <w:b w:val="0"/>
          <w:bCs w:val="0"/>
          <w:color w:val="auto"/>
          <w:highlight w:val="none"/>
          <w:lang w:eastAsia="zh-CN"/>
        </w:rPr>
        <w:t>。</w:t>
      </w:r>
    </w:p>
    <w:p w14:paraId="70098669">
      <w:pPr>
        <w:keepLines w:val="0"/>
        <w:pageBreakBefore w:val="0"/>
        <w:widowControl w:val="0"/>
        <w:wordWrap/>
        <w:overflowPunct/>
        <w:topLinePunct w:val="0"/>
        <w:bidi w:val="0"/>
        <w:ind w:firstLine="420" w:firstLineChars="200"/>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14.成交供应商</w:t>
      </w:r>
      <w:r>
        <w:rPr>
          <w:rFonts w:hint="eastAsia" w:cs="宋体"/>
          <w:b w:val="0"/>
          <w:bCs w:val="0"/>
          <w:color w:val="auto"/>
          <w:highlight w:val="none"/>
          <w:lang w:val="en-US" w:eastAsia="zh-CN"/>
        </w:rPr>
        <w:t>需具有</w:t>
      </w:r>
      <w:r>
        <w:rPr>
          <w:rFonts w:hint="eastAsia" w:ascii="宋体" w:hAnsi="宋体" w:eastAsia="宋体" w:cs="宋体"/>
          <w:b w:val="0"/>
          <w:bCs w:val="0"/>
          <w:color w:val="auto"/>
          <w:highlight w:val="none"/>
          <w:lang w:eastAsia="zh-CN"/>
        </w:rPr>
        <w:t>配送仓储库房及配送专用车辆。</w:t>
      </w:r>
    </w:p>
    <w:p w14:paraId="04C8A0A0">
      <w:pPr>
        <w:keepLines w:val="0"/>
        <w:pageBreakBefore w:val="0"/>
        <w:widowControl w:val="0"/>
        <w:wordWrap/>
        <w:overflowPunct/>
        <w:topLinePunct w:val="0"/>
        <w:bidi w:val="0"/>
        <w:ind w:firstLine="420" w:firstLineChars="200"/>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15.成交供应商</w:t>
      </w:r>
      <w:r>
        <w:rPr>
          <w:rFonts w:hint="eastAsia" w:cs="宋体"/>
          <w:b w:val="0"/>
          <w:bCs w:val="0"/>
          <w:color w:val="auto"/>
          <w:highlight w:val="none"/>
          <w:lang w:val="en-US" w:eastAsia="zh-CN"/>
        </w:rPr>
        <w:t>拟投入本项目的</w:t>
      </w:r>
      <w:r>
        <w:rPr>
          <w:rFonts w:hint="eastAsia" w:ascii="宋体" w:hAnsi="宋体" w:eastAsia="宋体" w:cs="宋体"/>
          <w:b w:val="0"/>
          <w:bCs w:val="0"/>
          <w:color w:val="auto"/>
          <w:highlight w:val="none"/>
          <w:lang w:eastAsia="zh-CN"/>
        </w:rPr>
        <w:t>从业人员</w:t>
      </w:r>
      <w:r>
        <w:rPr>
          <w:rFonts w:hint="eastAsia" w:cs="宋体"/>
          <w:b w:val="0"/>
          <w:bCs w:val="0"/>
          <w:color w:val="auto"/>
          <w:highlight w:val="none"/>
          <w:lang w:val="en-US" w:eastAsia="zh-CN"/>
        </w:rPr>
        <w:t>需</w:t>
      </w:r>
      <w:r>
        <w:rPr>
          <w:rFonts w:hint="eastAsia" w:ascii="宋体" w:hAnsi="宋体" w:eastAsia="宋体" w:cs="宋体"/>
          <w:b w:val="0"/>
          <w:bCs w:val="0"/>
          <w:color w:val="auto"/>
          <w:highlight w:val="none"/>
          <w:lang w:eastAsia="zh-CN"/>
        </w:rPr>
        <w:t>持有效健康证明，确保人员身体健康状况符合岗位从业要求，从源头规避公共卫生安全风险。</w:t>
      </w:r>
    </w:p>
    <w:p w14:paraId="1101C584">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szCs w:val="21"/>
          <w:highlight w:val="none"/>
          <w:lang w:val="en-US" w:eastAsia="zh-CN"/>
        </w:rPr>
      </w:pPr>
    </w:p>
    <w:p w14:paraId="41EA6307">
      <w:pPr>
        <w:pStyle w:val="12"/>
        <w:keepLines w:val="0"/>
        <w:pageBreakBefore w:val="0"/>
        <w:widowControl w:val="0"/>
        <w:wordWrap/>
        <w:overflowPunct/>
        <w:topLinePunct w:val="0"/>
        <w:autoSpaceDE/>
        <w:autoSpaceDN/>
        <w:bidi w:val="0"/>
        <w:rPr>
          <w:rFonts w:hint="eastAsia" w:ascii="宋体" w:hAnsi="宋体" w:eastAsia="宋体" w:cs="宋体"/>
          <w:color w:val="auto"/>
          <w:sz w:val="21"/>
          <w:szCs w:val="21"/>
          <w:highlight w:val="none"/>
          <w:lang w:eastAsia="zh-CN"/>
        </w:rPr>
      </w:pPr>
      <w:bookmarkStart w:id="7" w:name="_Toc2885"/>
      <w:r>
        <w:rPr>
          <w:rFonts w:hint="eastAsia" w:ascii="宋体" w:hAnsi="宋体" w:eastAsia="宋体" w:cs="宋体"/>
          <w:b/>
          <w:color w:val="auto"/>
          <w:highlight w:val="none"/>
        </w:rPr>
        <w:t>★</w:t>
      </w:r>
      <w:r>
        <w:rPr>
          <w:rFonts w:hint="eastAsia" w:ascii="宋体" w:hAnsi="宋体" w:eastAsia="宋体" w:cs="宋体"/>
          <w:color w:val="auto"/>
          <w:sz w:val="21"/>
          <w:szCs w:val="21"/>
          <w:highlight w:val="none"/>
          <w:lang w:eastAsia="zh-CN"/>
        </w:rPr>
        <w:t>四、报价要求及付款方式</w:t>
      </w:r>
      <w:bookmarkEnd w:id="7"/>
    </w:p>
    <w:p w14:paraId="5FF24E47">
      <w:pPr>
        <w:pStyle w:val="5"/>
        <w:keepLines w:val="0"/>
        <w:pageBreakBefore w:val="0"/>
        <w:widowControl w:val="0"/>
        <w:tabs>
          <w:tab w:val="left" w:pos="540"/>
        </w:tabs>
        <w:wordWrap/>
        <w:overflowPunct/>
        <w:topLinePunct w:val="0"/>
        <w:bidi w:val="0"/>
        <w:adjustRightInd w:val="0"/>
        <w:snapToGrid w:val="0"/>
        <w:spacing w:line="360" w:lineRule="auto"/>
        <w:ind w:firstLine="420" w:firstLineChars="200"/>
        <w:rPr>
          <w:rFonts w:hint="eastAsia" w:ascii="宋体" w:hAnsi="宋体" w:eastAsia="宋体" w:cs="宋体"/>
          <w:color w:val="auto"/>
          <w:szCs w:val="24"/>
          <w:highlight w:val="none"/>
        </w:rPr>
      </w:pPr>
      <w:r>
        <w:rPr>
          <w:rFonts w:hint="eastAsia" w:ascii="宋体" w:hAnsi="宋体" w:eastAsia="宋体" w:cs="宋体"/>
          <w:bCs/>
          <w:color w:val="auto"/>
          <w:highlight w:val="none"/>
          <w:lang w:val="en-US" w:eastAsia="zh-CN"/>
        </w:rPr>
        <w:t>1.</w:t>
      </w:r>
      <w:r>
        <w:rPr>
          <w:rFonts w:hint="eastAsia" w:ascii="宋体" w:hAnsi="宋体" w:eastAsia="宋体" w:cs="宋体"/>
          <w:bCs/>
          <w:color w:val="auto"/>
          <w:highlight w:val="none"/>
        </w:rPr>
        <w:t>成交供应商根据投入项目的全部自动售卖机</w:t>
      </w:r>
      <w:r>
        <w:rPr>
          <w:rFonts w:hint="eastAsia" w:ascii="宋体" w:hAnsi="宋体" w:eastAsia="宋体" w:cs="宋体"/>
          <w:color w:val="auto"/>
          <w:szCs w:val="24"/>
          <w:highlight w:val="none"/>
        </w:rPr>
        <w:t>流水，按比例向采购人缴纳管理费。</w:t>
      </w:r>
    </w:p>
    <w:p w14:paraId="673C7BF1">
      <w:pPr>
        <w:pStyle w:val="5"/>
        <w:keepLines w:val="0"/>
        <w:pageBreakBefore w:val="0"/>
        <w:widowControl w:val="0"/>
        <w:tabs>
          <w:tab w:val="left" w:pos="540"/>
        </w:tabs>
        <w:wordWrap/>
        <w:overflowPunct/>
        <w:topLinePunct w:val="0"/>
        <w:bidi w:val="0"/>
        <w:adjustRightInd w:val="0"/>
        <w:snapToGrid w:val="0"/>
        <w:spacing w:line="360" w:lineRule="auto"/>
        <w:ind w:firstLine="420" w:firstLineChars="200"/>
        <w:rPr>
          <w:rFonts w:hint="eastAsia" w:ascii="宋体" w:hAnsi="宋体" w:eastAsia="宋体" w:cs="宋体"/>
          <w:bCs/>
          <w:color w:val="auto"/>
          <w:highlight w:val="none"/>
          <w:lang w:eastAsia="zh-CN"/>
        </w:rPr>
      </w:pPr>
      <w:r>
        <w:rPr>
          <w:rFonts w:hint="eastAsia" w:ascii="宋体" w:hAnsi="宋体" w:eastAsia="宋体" w:cs="宋体"/>
          <w:bCs/>
          <w:color w:val="auto"/>
          <w:highlight w:val="none"/>
          <w:lang w:val="en-US" w:eastAsia="zh-CN"/>
        </w:rPr>
        <w:t>2.</w:t>
      </w:r>
      <w:r>
        <w:rPr>
          <w:rFonts w:hint="eastAsia" w:ascii="宋体" w:hAnsi="宋体" w:eastAsia="宋体" w:cs="宋体"/>
          <w:bCs/>
          <w:color w:val="auto"/>
          <w:highlight w:val="none"/>
        </w:rPr>
        <w:t>供应商以该比例进行报价，投报比例不低于10%，否则报价无效。</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举例</w:t>
      </w:r>
      <w:r>
        <w:rPr>
          <w:rFonts w:hint="eastAsia" w:ascii="宋体" w:hAnsi="宋体" w:eastAsia="宋体" w:cs="宋体"/>
          <w:bCs/>
          <w:color w:val="auto"/>
          <w:highlight w:val="none"/>
        </w:rPr>
        <w:t>：全部自动售卖机</w:t>
      </w:r>
      <w:r>
        <w:rPr>
          <w:rFonts w:hint="eastAsia" w:ascii="宋体" w:hAnsi="宋体" w:eastAsia="宋体" w:cs="宋体"/>
          <w:color w:val="auto"/>
          <w:szCs w:val="24"/>
          <w:highlight w:val="none"/>
        </w:rPr>
        <w:t>流水为10000元/月，</w:t>
      </w:r>
      <w:r>
        <w:rPr>
          <w:rFonts w:hint="eastAsia" w:ascii="宋体" w:hAnsi="宋体" w:eastAsia="宋体" w:cs="宋体"/>
          <w:bCs/>
          <w:color w:val="auto"/>
          <w:highlight w:val="none"/>
        </w:rPr>
        <w:t>供应商报价比例为10%，则供应商须向采购人</w:t>
      </w:r>
      <w:r>
        <w:rPr>
          <w:rFonts w:hint="eastAsia" w:ascii="宋体" w:hAnsi="宋体" w:eastAsia="宋体" w:cs="宋体"/>
          <w:color w:val="auto"/>
          <w:szCs w:val="24"/>
          <w:highlight w:val="none"/>
        </w:rPr>
        <w:t>缴纳管理费1000元/月。</w:t>
      </w:r>
      <w:r>
        <w:rPr>
          <w:rFonts w:hint="eastAsia" w:ascii="宋体" w:hAnsi="宋体" w:eastAsia="宋体" w:cs="宋体"/>
          <w:bCs/>
          <w:color w:val="auto"/>
          <w:highlight w:val="none"/>
          <w:lang w:eastAsia="zh-CN"/>
        </w:rPr>
        <w:t>）</w:t>
      </w:r>
    </w:p>
    <w:p w14:paraId="28AAAF27">
      <w:pPr>
        <w:pStyle w:val="5"/>
        <w:keepLines w:val="0"/>
        <w:pageBreakBefore w:val="0"/>
        <w:widowControl w:val="0"/>
        <w:tabs>
          <w:tab w:val="left" w:pos="540"/>
        </w:tabs>
        <w:wordWrap/>
        <w:overflowPunct/>
        <w:topLinePunct w:val="0"/>
        <w:bidi w:val="0"/>
        <w:adjustRightInd w:val="0"/>
        <w:snapToGrid w:val="0"/>
        <w:spacing w:line="360" w:lineRule="auto"/>
        <w:ind w:firstLine="420" w:firstLineChars="200"/>
        <w:rPr>
          <w:rFonts w:hint="eastAsia" w:ascii="宋体" w:hAnsi="宋体" w:eastAsia="宋体" w:cs="宋体"/>
          <w:bCs/>
          <w:color w:val="auto"/>
          <w:highlight w:val="none"/>
          <w:lang w:val="en-US" w:eastAsia="zh-CN"/>
        </w:rPr>
      </w:pPr>
      <w:r>
        <w:rPr>
          <w:rFonts w:hint="eastAsia" w:ascii="宋体" w:hAnsi="宋体" w:eastAsia="宋体" w:cs="宋体"/>
          <w:bCs/>
          <w:color w:val="auto"/>
          <w:highlight w:val="none"/>
          <w:lang w:val="en-US" w:eastAsia="zh-CN"/>
        </w:rPr>
        <w:t>3.管理费缴纳时间：</w:t>
      </w:r>
      <w:r>
        <w:rPr>
          <w:rFonts w:hint="eastAsia" w:ascii="宋体" w:hAnsi="宋体" w:eastAsia="宋体" w:cs="宋体"/>
          <w:bCs/>
          <w:color w:val="auto"/>
          <w:kern w:val="2"/>
          <w:highlight w:val="none"/>
        </w:rPr>
        <w:t>按月</w:t>
      </w:r>
      <w:r>
        <w:rPr>
          <w:rFonts w:hint="eastAsia" w:ascii="宋体" w:hAnsi="宋体" w:eastAsia="宋体" w:cs="宋体"/>
          <w:bCs/>
          <w:color w:val="auto"/>
          <w:kern w:val="2"/>
          <w:highlight w:val="none"/>
          <w:lang w:val="en-US" w:eastAsia="zh-CN"/>
        </w:rPr>
        <w:t>缴纳；成交供应商于每月5日前，</w:t>
      </w:r>
      <w:r>
        <w:rPr>
          <w:rFonts w:hint="eastAsia" w:ascii="宋体" w:hAnsi="宋体" w:eastAsia="宋体" w:cs="宋体"/>
          <w:bCs/>
          <w:color w:val="auto"/>
          <w:kern w:val="2"/>
          <w:highlight w:val="none"/>
        </w:rPr>
        <w:t>向采购人缴纳</w:t>
      </w:r>
      <w:r>
        <w:rPr>
          <w:rFonts w:hint="eastAsia" w:ascii="宋体" w:hAnsi="宋体" w:eastAsia="宋体" w:cs="宋体"/>
          <w:bCs/>
          <w:color w:val="auto"/>
          <w:kern w:val="2"/>
          <w:highlight w:val="none"/>
          <w:lang w:val="en-US" w:eastAsia="zh-CN"/>
        </w:rPr>
        <w:t>上月</w:t>
      </w:r>
      <w:r>
        <w:rPr>
          <w:rFonts w:hint="eastAsia" w:ascii="宋体" w:hAnsi="宋体" w:eastAsia="宋体" w:cs="宋体"/>
          <w:bCs/>
          <w:color w:val="auto"/>
          <w:kern w:val="2"/>
          <w:highlight w:val="none"/>
        </w:rPr>
        <w:t>管理费。</w:t>
      </w:r>
    </w:p>
    <w:p w14:paraId="1CB530AE">
      <w:pPr>
        <w:pStyle w:val="5"/>
        <w:keepLines w:val="0"/>
        <w:pageBreakBefore w:val="0"/>
        <w:widowControl w:val="0"/>
        <w:tabs>
          <w:tab w:val="left" w:pos="540"/>
        </w:tabs>
        <w:wordWrap/>
        <w:overflowPunct/>
        <w:topLinePunct w:val="0"/>
        <w:bidi w:val="0"/>
        <w:adjustRightInd w:val="0"/>
        <w:snapToGrid w:val="0"/>
        <w:spacing w:line="360" w:lineRule="auto"/>
        <w:ind w:firstLine="420" w:firstLineChars="200"/>
        <w:rPr>
          <w:rFonts w:hint="eastAsia" w:ascii="宋体" w:hAnsi="宋体" w:eastAsia="宋体" w:cs="宋体"/>
          <w:color w:val="auto"/>
          <w:szCs w:val="24"/>
          <w:highlight w:val="none"/>
        </w:rPr>
      </w:pPr>
    </w:p>
    <w:p w14:paraId="02AF97DF">
      <w:pPr>
        <w:pStyle w:val="12"/>
        <w:keepLines w:val="0"/>
        <w:pageBreakBefore w:val="0"/>
        <w:widowControl w:val="0"/>
        <w:wordWrap/>
        <w:overflowPunct/>
        <w:topLinePunct w:val="0"/>
        <w:autoSpaceDE/>
        <w:autoSpaceDN/>
        <w:bidi w:val="0"/>
        <w:rPr>
          <w:rFonts w:hint="eastAsia" w:ascii="宋体" w:hAnsi="宋体" w:eastAsia="宋体" w:cs="宋体"/>
          <w:color w:val="auto"/>
          <w:sz w:val="21"/>
          <w:szCs w:val="21"/>
          <w:highlight w:val="none"/>
          <w:lang w:eastAsia="zh-CN"/>
        </w:rPr>
      </w:pPr>
      <w:bookmarkStart w:id="8" w:name="_Toc5066"/>
      <w:r>
        <w:rPr>
          <w:rFonts w:hint="eastAsia" w:ascii="宋体" w:hAnsi="宋体" w:eastAsia="宋体" w:cs="宋体"/>
          <w:color w:val="auto"/>
          <w:sz w:val="21"/>
          <w:szCs w:val="21"/>
          <w:highlight w:val="none"/>
          <w:lang w:eastAsia="zh-CN"/>
        </w:rPr>
        <w:t>五、其他要求</w:t>
      </w:r>
      <w:bookmarkEnd w:id="8"/>
    </w:p>
    <w:p w14:paraId="31E266D2">
      <w:pPr>
        <w:pStyle w:val="5"/>
        <w:keepLines w:val="0"/>
        <w:pageBreakBefore w:val="0"/>
        <w:widowControl w:val="0"/>
        <w:tabs>
          <w:tab w:val="left" w:pos="540"/>
        </w:tabs>
        <w:wordWrap/>
        <w:overflowPunct/>
        <w:topLinePunct w:val="0"/>
        <w:bidi w:val="0"/>
        <w:adjustRightInd w:val="0"/>
        <w:snapToGrid w:val="0"/>
        <w:spacing w:line="360" w:lineRule="auto"/>
        <w:ind w:firstLine="420" w:firstLineChars="200"/>
        <w:rPr>
          <w:rFonts w:hint="eastAsia" w:ascii="宋体" w:hAnsi="宋体" w:eastAsia="宋体" w:cs="宋体"/>
          <w:bCs/>
          <w:color w:val="auto"/>
          <w:highlight w:val="none"/>
          <w:lang w:val="en-US" w:eastAsia="zh-CN"/>
        </w:rPr>
      </w:pPr>
      <w:r>
        <w:rPr>
          <w:rFonts w:hint="eastAsia" w:ascii="宋体" w:hAnsi="宋体" w:eastAsia="宋体" w:cs="宋体"/>
          <w:bCs/>
          <w:color w:val="auto"/>
          <w:highlight w:val="none"/>
          <w:lang w:val="en-US" w:eastAsia="zh-CN"/>
        </w:rPr>
        <w:t>成交供应商应在合同期满后5个工作日内腾退场地，撤离自行投入的全部可移动资产，并将场地恢复原状，保证场地卫生。若不腾退，场内所有投入的财产均视为无主物，采购人有权处置资产，清退场地并恢复原状。由此产生的费用由成交供应商承担。</w:t>
      </w:r>
    </w:p>
    <w:p w14:paraId="7BB4A196">
      <w:pPr>
        <w:pStyle w:val="6"/>
        <w:keepLines w:val="0"/>
        <w:pageBreakBefore w:val="0"/>
        <w:widowControl w:val="0"/>
        <w:wordWrap/>
        <w:overflowPunct/>
        <w:topLinePunct w:val="0"/>
        <w:bidi w:val="0"/>
        <w:rPr>
          <w:rFonts w:hint="eastAsia" w:ascii="宋体" w:hAnsi="宋体" w:eastAsia="宋体" w:cs="宋体"/>
          <w:color w:val="auto"/>
          <w:highlight w:val="none"/>
        </w:rPr>
      </w:pPr>
    </w:p>
    <w:p w14:paraId="26E509B5">
      <w:pPr>
        <w:pStyle w:val="12"/>
        <w:keepLines w:val="0"/>
        <w:pageBreakBefore w:val="0"/>
        <w:widowControl w:val="0"/>
        <w:wordWrap/>
        <w:overflowPunct/>
        <w:topLinePunct w:val="0"/>
        <w:autoSpaceDE/>
        <w:autoSpaceDN/>
        <w:bidi w:val="0"/>
        <w:rPr>
          <w:rFonts w:hint="eastAsia" w:ascii="宋体" w:hAnsi="宋体" w:eastAsia="宋体" w:cs="宋体"/>
          <w:color w:val="auto"/>
          <w:sz w:val="21"/>
          <w:szCs w:val="21"/>
          <w:highlight w:val="none"/>
          <w:lang w:eastAsia="zh-CN"/>
        </w:rPr>
      </w:pPr>
      <w:bookmarkStart w:id="9" w:name="_Toc32270"/>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lang w:eastAsia="zh-CN"/>
        </w:rPr>
        <w:t>、违约条款</w:t>
      </w:r>
      <w:bookmarkEnd w:id="9"/>
    </w:p>
    <w:p w14:paraId="2BCB86CE">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1.成交供应商售卖过期、变质食品或其他依据有关法律法规认定为不合格产品，每发现一次</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rPr>
        <w:t>1000元。累计三次采购人有权终止合同，且</w:t>
      </w:r>
      <w:r>
        <w:rPr>
          <w:rFonts w:hint="eastAsia" w:ascii="宋体" w:hAnsi="宋体" w:eastAsia="宋体" w:cs="宋体"/>
          <w:bCs/>
          <w:color w:val="auto"/>
          <w:kern w:val="2"/>
          <w:highlight w:val="none"/>
          <w:lang w:val="en-US" w:eastAsia="zh-CN"/>
        </w:rPr>
        <w:t>剩余</w:t>
      </w:r>
      <w:r>
        <w:rPr>
          <w:rFonts w:hint="eastAsia" w:ascii="宋体" w:hAnsi="宋体" w:eastAsia="宋体" w:cs="宋体"/>
          <w:bCs/>
          <w:color w:val="auto"/>
          <w:kern w:val="2"/>
          <w:highlight w:val="none"/>
        </w:rPr>
        <w:t>履约保证金不予退还。</w:t>
      </w:r>
    </w:p>
    <w:p w14:paraId="509DB147">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2.成交供应商不按要求做好自助售卖机周边卫生，在采购人要求整改的限期内仍未整改完毕的，</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rPr>
        <w:t>200元/次。乱张贴、摆放宣传单张、海报，不听从管理人员劝告，</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rPr>
        <w:t>500元/次。</w:t>
      </w:r>
    </w:p>
    <w:p w14:paraId="69C90EA1">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3.成交供应商在未经校方同意的情况下擅自移动或搬走机器设备，按照每天500.00元</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lang w:eastAsia="zh-CN"/>
        </w:rPr>
        <w:t>，</w:t>
      </w:r>
      <w:r>
        <w:rPr>
          <w:rFonts w:hint="eastAsia" w:ascii="宋体" w:hAnsi="宋体" w:eastAsia="宋体" w:cs="宋体"/>
          <w:bCs/>
          <w:color w:val="auto"/>
          <w:kern w:val="2"/>
          <w:highlight w:val="none"/>
        </w:rPr>
        <w:t>直至相应机器设备重新复位为止；</w:t>
      </w:r>
    </w:p>
    <w:p w14:paraId="7B376A7D">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4.成交供应商的经营内容超出自助售卖机经营范围的，</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rPr>
        <w:t>1000元/次。累计三次，采购人有权终止合同，且</w:t>
      </w:r>
      <w:r>
        <w:rPr>
          <w:rFonts w:hint="eastAsia" w:ascii="宋体" w:hAnsi="宋体" w:eastAsia="宋体" w:cs="宋体"/>
          <w:bCs/>
          <w:color w:val="auto"/>
          <w:kern w:val="2"/>
          <w:highlight w:val="none"/>
          <w:lang w:val="en-US" w:eastAsia="zh-CN"/>
        </w:rPr>
        <w:t>剩余</w:t>
      </w:r>
      <w:r>
        <w:rPr>
          <w:rFonts w:hint="eastAsia" w:ascii="宋体" w:hAnsi="宋体" w:eastAsia="宋体" w:cs="宋体"/>
          <w:bCs/>
          <w:color w:val="auto"/>
          <w:kern w:val="2"/>
          <w:highlight w:val="none"/>
        </w:rPr>
        <w:t>履约保证金不予退还。</w:t>
      </w:r>
    </w:p>
    <w:p w14:paraId="721058E1">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5.成交供应商聘请的所有工作人员与采购人师生发生争吵或冲突，没做到文明、礼貌、热情周到地提供服务的，</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rPr>
        <w:t>200元/次。</w:t>
      </w:r>
    </w:p>
    <w:p w14:paraId="416831C8">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6.成交供应商无正当理由，负责人不亲自出席采购人组织的相关工作会议的，</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rPr>
        <w:t>200元/次。</w:t>
      </w:r>
    </w:p>
    <w:p w14:paraId="0711EA64">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7.成交供应商出现下列情况之一的，每次</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rPr>
        <w:t>2000元：违反消防安全制度和有关操作规程；违反用水、用电管理规定的；存在火灾隐患，采购人通知后逾期仍未整改的。</w:t>
      </w:r>
    </w:p>
    <w:p w14:paraId="66192764">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8.成交供应商没有按照采购人的要求做好经营场所及疫情防控工作的，检查每发现一次</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bCs/>
          <w:color w:val="auto"/>
          <w:kern w:val="2"/>
          <w:highlight w:val="none"/>
        </w:rPr>
        <w:t>1000元。</w:t>
      </w:r>
    </w:p>
    <w:p w14:paraId="0018D980">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9.成交供应商的实际操作与成交供应商的责任和本合同所规定的指标不符，成交供应商的实际操作与投标承诺不符，即视为违约，采购人有权向成交供应商索赔，赔偿数额已有规定的按规定执行，没有具体规定的可按违约程度缴纳200元/次至1000元/次的违约金。</w:t>
      </w:r>
    </w:p>
    <w:p w14:paraId="325D2906">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10.</w:t>
      </w:r>
      <w:r>
        <w:rPr>
          <w:rFonts w:hint="eastAsia" w:ascii="宋体" w:hAnsi="宋体" w:eastAsia="宋体" w:cs="宋体"/>
          <w:color w:val="auto"/>
          <w:szCs w:val="24"/>
          <w:highlight w:val="none"/>
        </w:rPr>
        <w:t>未经采购人同意，</w:t>
      </w:r>
      <w:r>
        <w:rPr>
          <w:rFonts w:hint="eastAsia" w:ascii="宋体" w:hAnsi="宋体" w:eastAsia="宋体" w:cs="宋体"/>
          <w:bCs/>
          <w:color w:val="auto"/>
          <w:kern w:val="2"/>
          <w:highlight w:val="none"/>
        </w:rPr>
        <w:t>成交供应商</w:t>
      </w:r>
      <w:r>
        <w:rPr>
          <w:rFonts w:hint="eastAsia" w:ascii="宋体" w:hAnsi="宋体" w:eastAsia="宋体" w:cs="宋体"/>
          <w:color w:val="auto"/>
          <w:szCs w:val="24"/>
          <w:highlight w:val="none"/>
        </w:rPr>
        <w:t>不得私自更换入校服务人员，否则不予办理入校证件，并按照2000元/次</w:t>
      </w:r>
      <w:r>
        <w:rPr>
          <w:rFonts w:hint="eastAsia" w:ascii="宋体" w:hAnsi="宋体" w:eastAsia="宋体" w:cs="宋体"/>
          <w:bCs/>
          <w:color w:val="auto"/>
          <w:kern w:val="2"/>
          <w:highlight w:val="none"/>
          <w:lang w:val="en-US" w:eastAsia="zh-CN"/>
        </w:rPr>
        <w:t>扣除履约保证金</w:t>
      </w:r>
      <w:r>
        <w:rPr>
          <w:rFonts w:hint="eastAsia" w:ascii="宋体" w:hAnsi="宋体" w:eastAsia="宋体" w:cs="宋体"/>
          <w:color w:val="auto"/>
          <w:szCs w:val="24"/>
          <w:highlight w:val="none"/>
        </w:rPr>
        <w:t>。</w:t>
      </w:r>
    </w:p>
    <w:p w14:paraId="18FF4C54">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11.采购人有权单方面决定终止合同，没收全部履约保证金，由成交供应商承担相应的法律和经济责任，包括但不限于以下内容：</w:t>
      </w:r>
    </w:p>
    <w:p w14:paraId="0BE3AA71">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（1）合同期间管理不善而导致食物中毒事故或其它食源性疾患传染；</w:t>
      </w:r>
    </w:p>
    <w:p w14:paraId="6337D8A2">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（2）合同期间出现重大安全责任事故的；</w:t>
      </w:r>
    </w:p>
    <w:p w14:paraId="5E4935C0">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（3）合同期间加工、出售明令禁止的食品以及其他依法不得经营销售的产品；</w:t>
      </w:r>
    </w:p>
    <w:p w14:paraId="6B3F0C80">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（4）合同期间超范围经营，采购人发出整改通知超过三次（含三次）的；</w:t>
      </w:r>
    </w:p>
    <w:p w14:paraId="1912425E">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（5）合同期间因成交供应商原因造成学生群体事件的；</w:t>
      </w:r>
    </w:p>
    <w:p w14:paraId="19F7E6E3">
      <w:pPr>
        <w:keepLines w:val="0"/>
        <w:pageBreakBefore w:val="0"/>
        <w:widowControl w:val="0"/>
        <w:wordWrap/>
        <w:overflowPunct/>
        <w:topLinePunct w:val="0"/>
        <w:bidi w:val="0"/>
        <w:adjustRightInd/>
        <w:snapToGrid w:val="0"/>
        <w:spacing w:line="360" w:lineRule="auto"/>
        <w:ind w:firstLine="420"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（6）合同期间私自将经营权分包、转包的；</w:t>
      </w:r>
    </w:p>
    <w:p w14:paraId="12182066">
      <w:pPr>
        <w:snapToGrid w:val="0"/>
        <w:spacing w:line="360" w:lineRule="auto"/>
        <w:ind w:firstLineChars="20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（7）合同期间成交供应商因与外界发生债权、债务等纠纷而影响采购人正常教学、生活秩序的；</w:t>
      </w:r>
    </w:p>
    <w:p w14:paraId="0972D411">
      <w:pPr>
        <w:snapToGrid w:val="0"/>
        <w:spacing w:line="360" w:lineRule="auto"/>
        <w:ind w:firstLineChars="200"/>
        <w:rPr>
          <w:rFonts w:hint="eastAsia" w:ascii="宋体" w:hAnsi="宋体" w:eastAsia="宋体" w:cs="宋体"/>
          <w:color w:val="auto"/>
          <w:highlight w:val="none"/>
        </w:rPr>
      </w:pPr>
      <w:r>
        <w:rPr>
          <w:rFonts w:hint="eastAsia" w:ascii="宋体" w:hAnsi="宋体" w:eastAsia="宋体" w:cs="宋体"/>
          <w:bCs/>
          <w:color w:val="auto"/>
          <w:kern w:val="2"/>
          <w:highlight w:val="none"/>
        </w:rPr>
        <w:t>（8）合同期间成交供应商不服从采购人依法依规依约管理，经3次书面警告整改</w:t>
      </w:r>
      <w:r>
        <w:rPr>
          <w:rFonts w:hint="eastAsia" w:cs="宋体"/>
          <w:bCs/>
          <w:color w:val="auto"/>
          <w:kern w:val="2"/>
          <w:highlight w:val="none"/>
          <w:lang w:val="en-US" w:eastAsia="zh-CN"/>
        </w:rPr>
        <w:t>仍</w:t>
      </w:r>
      <w:r>
        <w:rPr>
          <w:rFonts w:hint="eastAsia" w:ascii="宋体" w:hAnsi="宋体" w:eastAsia="宋体" w:cs="宋体"/>
          <w:bCs/>
          <w:color w:val="auto"/>
          <w:kern w:val="2"/>
          <w:highlight w:val="none"/>
        </w:rPr>
        <w:t>未符合要求的。</w:t>
      </w:r>
    </w:p>
    <w:bookmarkEnd w:id="5"/>
    <w:p w14:paraId="2DB0977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文鼎CS中黑">
    <w:altName w:val="黑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SimSun-Identity-H">
    <w:altName w:val="宋体"/>
    <w:panose1 w:val="00000000000000000000"/>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F84A49"/>
    <w:multiLevelType w:val="multilevel"/>
    <w:tmpl w:val="3BF84A49"/>
    <w:lvl w:ilvl="0" w:tentative="0">
      <w:start w:val="1"/>
      <w:numFmt w:val="decimal"/>
      <w:lvlText w:val="%1."/>
      <w:lvlJc w:val="left"/>
      <w:pPr>
        <w:ind w:left="860" w:hanging="420"/>
      </w:pPr>
      <w:rPr>
        <w:rFonts w:hint="eastAsia" w:ascii="宋体" w:hAnsi="宋体" w:eastAsia="宋体"/>
      </w:rPr>
    </w:lvl>
    <w:lvl w:ilvl="1" w:tentative="0">
      <w:start w:val="1"/>
      <w:numFmt w:val="lowerLetter"/>
      <w:lvlText w:val="%2)"/>
      <w:lvlJc w:val="left"/>
      <w:pPr>
        <w:ind w:left="1280" w:hanging="420"/>
      </w:pPr>
    </w:lvl>
    <w:lvl w:ilvl="2" w:tentative="0">
      <w:start w:val="1"/>
      <w:numFmt w:val="lowerRoman"/>
      <w:lvlText w:val="%3."/>
      <w:lvlJc w:val="right"/>
      <w:pPr>
        <w:ind w:left="1700" w:hanging="420"/>
      </w:pPr>
    </w:lvl>
    <w:lvl w:ilvl="3" w:tentative="0">
      <w:start w:val="1"/>
      <w:numFmt w:val="decimal"/>
      <w:lvlText w:val="%4."/>
      <w:lvlJc w:val="left"/>
      <w:pPr>
        <w:ind w:left="2120" w:hanging="420"/>
      </w:pPr>
    </w:lvl>
    <w:lvl w:ilvl="4" w:tentative="0">
      <w:start w:val="1"/>
      <w:numFmt w:val="lowerLetter"/>
      <w:lvlText w:val="%5)"/>
      <w:lvlJc w:val="left"/>
      <w:pPr>
        <w:ind w:left="2540" w:hanging="420"/>
      </w:pPr>
    </w:lvl>
    <w:lvl w:ilvl="5" w:tentative="0">
      <w:start w:val="1"/>
      <w:numFmt w:val="lowerRoman"/>
      <w:lvlText w:val="%6."/>
      <w:lvlJc w:val="right"/>
      <w:pPr>
        <w:ind w:left="2960" w:hanging="420"/>
      </w:pPr>
    </w:lvl>
    <w:lvl w:ilvl="6" w:tentative="0">
      <w:start w:val="1"/>
      <w:numFmt w:val="decimal"/>
      <w:lvlText w:val="%7."/>
      <w:lvlJc w:val="left"/>
      <w:pPr>
        <w:ind w:left="3380" w:hanging="420"/>
      </w:pPr>
    </w:lvl>
    <w:lvl w:ilvl="7" w:tentative="0">
      <w:start w:val="1"/>
      <w:numFmt w:val="lowerLetter"/>
      <w:lvlText w:val="%8)"/>
      <w:lvlJc w:val="left"/>
      <w:pPr>
        <w:ind w:left="3800" w:hanging="420"/>
      </w:pPr>
    </w:lvl>
    <w:lvl w:ilvl="8" w:tentative="0">
      <w:start w:val="1"/>
      <w:numFmt w:val="lowerRoman"/>
      <w:lvlText w:val="%9."/>
      <w:lvlJc w:val="right"/>
      <w:pPr>
        <w:ind w:left="42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505052"/>
    <w:rsid w:val="57505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宋体" w:hAnsi="宋体"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文鼎CS中黑"/>
      <w:b/>
      <w:bCs/>
      <w:kern w:val="44"/>
      <w:sz w:val="52"/>
      <w:szCs w:val="44"/>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style>
  <w:style w:type="paragraph" w:styleId="4">
    <w:name w:val="Body Text Indent"/>
    <w:basedOn w:val="1"/>
    <w:qFormat/>
    <w:uiPriority w:val="0"/>
    <w:pPr>
      <w:adjustRightInd w:val="0"/>
      <w:snapToGrid w:val="0"/>
      <w:ind w:firstLine="420" w:firstLineChars="200"/>
    </w:pPr>
  </w:style>
  <w:style w:type="paragraph" w:styleId="5">
    <w:name w:val="Plain Text"/>
    <w:basedOn w:val="1"/>
    <w:qFormat/>
    <w:uiPriority w:val="0"/>
    <w:rPr>
      <w:rFonts w:hAnsi="等线 Light" w:eastAsia="Courier New" w:cs="等线 Light"/>
      <w:szCs w:val="21"/>
    </w:rPr>
  </w:style>
  <w:style w:type="paragraph" w:styleId="6">
    <w:name w:val="Body Text Indent 2"/>
    <w:basedOn w:val="1"/>
    <w:qFormat/>
    <w:uiPriority w:val="0"/>
    <w:pPr>
      <w:spacing w:line="480" w:lineRule="exact"/>
      <w:ind w:left="810" w:firstLine="675"/>
    </w:pPr>
    <w:rPr>
      <w:rFonts w:eastAsia="SimSun-Identity-H"/>
      <w:sz w:val="30"/>
      <w:szCs w:val="20"/>
    </w:rPr>
  </w:style>
  <w:style w:type="paragraph" w:styleId="7">
    <w:name w:val="Body Text First Indent 2"/>
    <w:basedOn w:val="4"/>
    <w:qFormat/>
    <w:uiPriority w:val="99"/>
    <w:pPr>
      <w:adjustRightInd/>
      <w:snapToGrid/>
      <w:spacing w:after="120" w:line="240" w:lineRule="auto"/>
      <w:ind w:left="420" w:leftChars="200"/>
    </w:pPr>
  </w:style>
  <w:style w:type="paragraph" w:customStyle="1" w:styleId="1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1">
    <w:name w:val="B"/>
    <w:basedOn w:val="3"/>
    <w:qFormat/>
    <w:uiPriority w:val="1"/>
    <w:pPr>
      <w:autoSpaceDE w:val="0"/>
      <w:autoSpaceDN w:val="0"/>
      <w:ind w:firstLine="480" w:firstLineChars="200"/>
      <w:jc w:val="left"/>
    </w:pPr>
    <w:rPr>
      <w:rFonts w:cs="宋体"/>
      <w:sz w:val="24"/>
      <w:lang w:eastAsia="en-US"/>
    </w:rPr>
  </w:style>
  <w:style w:type="paragraph" w:customStyle="1" w:styleId="12">
    <w:name w:val="C"/>
    <w:basedOn w:val="1"/>
    <w:qFormat/>
    <w:uiPriority w:val="1"/>
    <w:pPr>
      <w:widowControl w:val="0"/>
      <w:autoSpaceDE w:val="0"/>
      <w:autoSpaceDN w:val="0"/>
      <w:jc w:val="left"/>
      <w:outlineLvl w:val="1"/>
    </w:pPr>
    <w:rPr>
      <w:rFonts w:cs="宋体"/>
      <w:b/>
      <w:bCs/>
      <w:kern w:val="0"/>
      <w:sz w:val="24"/>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2026-09-16T07:06:00Z</dcterms:created>
  <dc:creator>星垂野</dc:creator>
  <cp:lastModifiedBy>星垂野</cp:lastModifiedBy>
  <dcterms:modified xsi:type="dcterms:W3CDTF">2026-09-16T07:06:26Z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FCC6D195990F46C681E1F61E1CFB04A5_11</vt:lpwstr>
  </property>
  <property fmtid="{D5CDD505-2E9C-101B-9397-08002B2CF9AE}" pid="4" name="KSOTemplateDocerSaveRecord">
    <vt:lpwstr>eyJoZGlkIjoiMDk2OTA1NDkwMDRkYzM1ZjcyOTU0MGYwZjMwMjMzM2IiLCJ1c2VySWQiOiI2MDQyNjU5NzIifQ==</vt:lpwstr>
  </property>
</Properties>
</file>