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DAA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宋体" w:hAnsi="宋体" w:eastAsia="宋体" w:cs="宋体"/>
          <w:b/>
          <w:bCs/>
          <w:sz w:val="36"/>
          <w:szCs w:val="36"/>
          <w:lang w:val="en-US" w:eastAsia="zh-CN"/>
        </w:rPr>
      </w:pPr>
      <w:bookmarkStart w:id="0" w:name="_GoBack"/>
      <w:r>
        <w:rPr>
          <w:rFonts w:hint="eastAsia" w:ascii="宋体" w:hAnsi="宋体" w:eastAsia="宋体" w:cs="宋体"/>
          <w:b/>
          <w:bCs/>
          <w:sz w:val="36"/>
          <w:szCs w:val="36"/>
          <w:lang w:val="en-US" w:eastAsia="zh-CN"/>
        </w:rPr>
        <w:t>南方医科大学中西医结合医院</w:t>
      </w:r>
      <w:r>
        <w:rPr>
          <w:rFonts w:hint="eastAsia" w:ascii="宋体" w:hAnsi="宋体" w:eastAsia="宋体" w:cs="宋体"/>
          <w:b/>
          <w:bCs/>
          <w:sz w:val="36"/>
          <w:szCs w:val="36"/>
          <w:lang w:val="en-US" w:eastAsia="zh-CN"/>
        </w:rPr>
        <w:t>工会委员会</w:t>
      </w:r>
    </w:p>
    <w:p w14:paraId="6E6509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宋体" w:hAnsi="宋体" w:eastAsia="宋体" w:cs="宋体"/>
          <w:b/>
          <w:bCs/>
          <w:sz w:val="44"/>
          <w:szCs w:val="44"/>
        </w:rPr>
      </w:pPr>
      <w:r>
        <w:rPr>
          <w:rFonts w:hint="eastAsia" w:ascii="宋体" w:hAnsi="宋体" w:eastAsia="宋体" w:cs="宋体"/>
          <w:b/>
          <w:bCs/>
          <w:sz w:val="36"/>
          <w:szCs w:val="36"/>
          <w:lang w:val="en-US" w:eastAsia="zh-CN"/>
        </w:rPr>
        <w:t>2</w:t>
      </w:r>
      <w:r>
        <w:rPr>
          <w:rFonts w:hint="eastAsia" w:ascii="宋体" w:hAnsi="宋体" w:eastAsia="宋体" w:cs="宋体"/>
          <w:b/>
          <w:bCs/>
          <w:sz w:val="36"/>
          <w:szCs w:val="36"/>
        </w:rPr>
        <w:t>02</w:t>
      </w:r>
      <w:r>
        <w:rPr>
          <w:rFonts w:hint="eastAsia" w:ascii="宋体" w:hAnsi="宋体" w:cs="宋体"/>
          <w:b/>
          <w:bCs/>
          <w:sz w:val="36"/>
          <w:szCs w:val="36"/>
          <w:lang w:val="en-US" w:eastAsia="zh-CN"/>
        </w:rPr>
        <w:t>7</w:t>
      </w:r>
      <w:r>
        <w:rPr>
          <w:rFonts w:hint="eastAsia" w:ascii="宋体" w:hAnsi="宋体" w:eastAsia="宋体" w:cs="宋体"/>
          <w:b/>
          <w:bCs/>
          <w:sz w:val="36"/>
          <w:szCs w:val="36"/>
        </w:rPr>
        <w:t>年员工节日慰问活动</w:t>
      </w:r>
      <w:r>
        <w:rPr>
          <w:rFonts w:hint="eastAsia" w:ascii="宋体" w:hAnsi="宋体" w:eastAsia="宋体" w:cs="宋体"/>
          <w:b/>
          <w:bCs/>
          <w:sz w:val="36"/>
          <w:szCs w:val="36"/>
          <w:lang w:val="en-US" w:eastAsia="zh-CN"/>
        </w:rPr>
        <w:t>配送服务</w:t>
      </w:r>
      <w:r>
        <w:rPr>
          <w:rFonts w:hint="eastAsia" w:ascii="宋体" w:hAnsi="宋体" w:eastAsia="宋体" w:cs="宋体"/>
          <w:b/>
          <w:bCs/>
          <w:sz w:val="36"/>
          <w:szCs w:val="36"/>
        </w:rPr>
        <w:t>项目用户需求书</w:t>
      </w:r>
    </w:p>
    <w:bookmarkEnd w:id="0"/>
    <w:p w14:paraId="6DB83B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宋体" w:hAnsi="宋体" w:eastAsia="宋体" w:cs="宋体"/>
          <w:b/>
          <w:bCs/>
          <w:sz w:val="36"/>
          <w:szCs w:val="36"/>
        </w:rPr>
      </w:pPr>
    </w:p>
    <w:p w14:paraId="66C64524">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outlineLvl w:val="0"/>
        <w:rPr>
          <w:rFonts w:hint="eastAsia" w:ascii="仿宋" w:hAnsi="仿宋" w:eastAsia="仿宋" w:cs="仿宋"/>
          <w:b/>
          <w:sz w:val="32"/>
          <w:szCs w:val="32"/>
        </w:rPr>
      </w:pPr>
      <w:r>
        <w:rPr>
          <w:rFonts w:hint="eastAsia" w:ascii="仿宋" w:hAnsi="仿宋" w:eastAsia="仿宋" w:cs="仿宋"/>
          <w:b/>
          <w:sz w:val="32"/>
          <w:szCs w:val="32"/>
        </w:rPr>
        <w:t>一、项目内容</w:t>
      </w:r>
    </w:p>
    <w:p w14:paraId="0A1286A4">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outlineLvl w:val="0"/>
        <w:rPr>
          <w:rFonts w:hint="eastAsia" w:ascii="仿宋" w:hAnsi="仿宋" w:eastAsia="仿宋" w:cs="仿宋"/>
          <w:sz w:val="32"/>
          <w:szCs w:val="32"/>
        </w:rPr>
      </w:pPr>
      <w:r>
        <w:rPr>
          <w:rFonts w:hint="eastAsia" w:ascii="仿宋" w:hAnsi="仿宋" w:eastAsia="仿宋" w:cs="仿宋"/>
          <w:sz w:val="32"/>
          <w:szCs w:val="32"/>
        </w:rPr>
        <w:t>本项目为南方医科大学中西医结合医院</w:t>
      </w:r>
      <w:r>
        <w:rPr>
          <w:rFonts w:hint="eastAsia" w:ascii="仿宋" w:hAnsi="仿宋" w:eastAsia="仿宋" w:cs="仿宋"/>
          <w:sz w:val="32"/>
          <w:szCs w:val="32"/>
          <w:lang w:val="en-US" w:eastAsia="zh-CN"/>
        </w:rPr>
        <w:t>工会委员会2</w:t>
      </w:r>
      <w:r>
        <w:rPr>
          <w:rFonts w:hint="eastAsia" w:ascii="仿宋" w:hAnsi="仿宋" w:eastAsia="仿宋" w:cs="仿宋"/>
          <w:sz w:val="32"/>
          <w:szCs w:val="32"/>
        </w:rPr>
        <w:t>02</w:t>
      </w:r>
      <w:r>
        <w:rPr>
          <w:rFonts w:hint="eastAsia" w:ascii="仿宋" w:hAnsi="仿宋" w:eastAsia="仿宋" w:cs="仿宋"/>
          <w:sz w:val="32"/>
          <w:szCs w:val="32"/>
          <w:lang w:val="en-US" w:eastAsia="zh-CN"/>
        </w:rPr>
        <w:t>7</w:t>
      </w:r>
      <w:r>
        <w:rPr>
          <w:rFonts w:hint="eastAsia" w:ascii="仿宋" w:hAnsi="仿宋" w:eastAsia="仿宋" w:cs="仿宋"/>
          <w:sz w:val="32"/>
          <w:szCs w:val="32"/>
        </w:rPr>
        <w:t>年员工节日慰问活动</w:t>
      </w:r>
      <w:r>
        <w:rPr>
          <w:rFonts w:hint="eastAsia" w:ascii="仿宋" w:hAnsi="仿宋" w:eastAsia="仿宋" w:cs="仿宋"/>
          <w:sz w:val="32"/>
          <w:szCs w:val="32"/>
          <w:lang w:val="en-US" w:eastAsia="zh-CN"/>
        </w:rPr>
        <w:t>配送服务</w:t>
      </w:r>
      <w:r>
        <w:rPr>
          <w:rFonts w:hint="eastAsia" w:ascii="仿宋" w:hAnsi="仿宋" w:eastAsia="仿宋" w:cs="仿宋"/>
          <w:sz w:val="32"/>
          <w:szCs w:val="32"/>
        </w:rPr>
        <w:t>项目。具体内容要求，请参阅《用户需求书》。</w:t>
      </w:r>
    </w:p>
    <w:p w14:paraId="528EF317">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仿宋" w:hAnsi="仿宋" w:eastAsia="仿宋" w:cs="仿宋"/>
          <w:b/>
          <w:sz w:val="32"/>
          <w:szCs w:val="32"/>
        </w:rPr>
      </w:pPr>
      <w:r>
        <w:rPr>
          <w:rFonts w:hint="eastAsia" w:ascii="仿宋" w:hAnsi="仿宋" w:eastAsia="仿宋" w:cs="仿宋"/>
          <w:sz w:val="32"/>
          <w:szCs w:val="32"/>
        </w:rPr>
        <w:t>二、</w:t>
      </w:r>
      <w:r>
        <w:rPr>
          <w:rFonts w:hint="eastAsia" w:ascii="仿宋" w:hAnsi="仿宋" w:eastAsia="仿宋" w:cs="仿宋"/>
          <w:b/>
          <w:sz w:val="32"/>
          <w:szCs w:val="32"/>
        </w:rPr>
        <w:t>项目要求</w:t>
      </w:r>
    </w:p>
    <w:p w14:paraId="5D9588BB">
      <w:pPr>
        <w:ind w:firstLine="602" w:firstLineChars="200"/>
        <w:jc w:val="left"/>
        <w:rPr>
          <w:rFonts w:hint="eastAsia" w:ascii="仿宋" w:hAnsi="仿宋" w:eastAsia="仿宋" w:cs="仿宋"/>
          <w:b w:val="0"/>
          <w:bCs/>
          <w:sz w:val="32"/>
          <w:szCs w:val="32"/>
          <w:lang w:val="en-US" w:eastAsia="zh-CN"/>
        </w:rPr>
      </w:pPr>
      <w:r>
        <w:rPr>
          <w:rFonts w:hint="eastAsia" w:ascii="仿宋" w:hAnsi="仿宋" w:eastAsia="仿宋" w:cs="仿宋"/>
          <w:b w:val="0"/>
          <w:bCs/>
          <w:color w:val="auto"/>
          <w:sz w:val="32"/>
          <w:szCs w:val="32"/>
          <w:highlight w:val="none"/>
          <w:lang w:val="en-US" w:eastAsia="zh-CN"/>
        </w:rPr>
        <w:t>1.项目一览表</w:t>
      </w:r>
    </w:p>
    <w:tbl>
      <w:tblPr>
        <w:tblStyle w:val="22"/>
        <w:tblW w:w="93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3319"/>
        <w:gridCol w:w="1401"/>
        <w:gridCol w:w="1863"/>
        <w:gridCol w:w="1941"/>
      </w:tblGrid>
      <w:tr w14:paraId="51B9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5E419FED">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22"/>
                <w:szCs w:val="22"/>
                <w:highlight w:val="none"/>
                <w:lang w:eastAsia="zh-CN"/>
              </w:rPr>
            </w:pPr>
            <w:r>
              <w:rPr>
                <w:rFonts w:hint="eastAsia" w:ascii="宋体" w:hAnsi="宋体" w:cs="宋体"/>
                <w:b/>
                <w:bCs/>
                <w:color w:val="auto"/>
                <w:kern w:val="0"/>
                <w:sz w:val="22"/>
                <w:szCs w:val="22"/>
                <w:highlight w:val="none"/>
                <w:lang w:val="en-US" w:eastAsia="zh-CN"/>
              </w:rPr>
              <w:t>采购包</w:t>
            </w:r>
          </w:p>
        </w:tc>
        <w:tc>
          <w:tcPr>
            <w:tcW w:w="3319" w:type="dxa"/>
            <w:tcBorders>
              <w:top w:val="single" w:color="auto" w:sz="4" w:space="0"/>
              <w:left w:val="single" w:color="auto" w:sz="4" w:space="0"/>
              <w:bottom w:val="single" w:color="auto" w:sz="4" w:space="0"/>
              <w:right w:val="single" w:color="auto" w:sz="4" w:space="0"/>
            </w:tcBorders>
            <w:noWrap w:val="0"/>
            <w:vAlign w:val="center"/>
          </w:tcPr>
          <w:p w14:paraId="48AEDE3A">
            <w:pPr>
              <w:keepNext w:val="0"/>
              <w:keepLines w:val="0"/>
              <w:widowControl/>
              <w:suppressLineNumbers w:val="0"/>
              <w:spacing w:before="0" w:beforeAutospacing="0" w:after="0" w:afterAutospacing="0"/>
              <w:ind w:left="0" w:right="0" w:firstLine="101" w:firstLineChars="50"/>
              <w:jc w:val="center"/>
              <w:rPr>
                <w:rFonts w:hint="eastAsia" w:ascii="宋体" w:hAnsi="宋体" w:eastAsia="宋体" w:cs="宋体"/>
                <w:b/>
                <w:bCs/>
                <w:color w:val="auto"/>
                <w:kern w:val="0"/>
                <w:sz w:val="22"/>
                <w:szCs w:val="22"/>
                <w:highlight w:val="none"/>
                <w:lang w:val="en-US" w:eastAsia="zh-CN"/>
              </w:rPr>
            </w:pPr>
            <w:r>
              <w:rPr>
                <w:rFonts w:hint="eastAsia" w:ascii="宋体" w:hAnsi="宋体" w:cs="宋体"/>
                <w:b/>
                <w:bCs/>
                <w:color w:val="auto"/>
                <w:kern w:val="0"/>
                <w:sz w:val="22"/>
                <w:szCs w:val="22"/>
                <w:highlight w:val="none"/>
                <w:lang w:val="en-US" w:eastAsia="zh-CN"/>
              </w:rPr>
              <w:t>采购包</w:t>
            </w:r>
            <w:r>
              <w:rPr>
                <w:rFonts w:hint="eastAsia" w:ascii="宋体" w:hAnsi="宋体" w:eastAsia="宋体" w:cs="宋体"/>
                <w:b/>
                <w:bCs/>
                <w:color w:val="auto"/>
                <w:kern w:val="0"/>
                <w:sz w:val="22"/>
                <w:szCs w:val="22"/>
                <w:highlight w:val="none"/>
                <w:lang w:val="en-US" w:eastAsia="zh-CN"/>
              </w:rPr>
              <w:t>名称</w:t>
            </w:r>
          </w:p>
        </w:tc>
        <w:tc>
          <w:tcPr>
            <w:tcW w:w="1401" w:type="dxa"/>
            <w:tcBorders>
              <w:top w:val="single" w:color="auto" w:sz="4" w:space="0"/>
              <w:left w:val="single" w:color="auto" w:sz="4" w:space="0"/>
              <w:bottom w:val="single" w:color="auto" w:sz="4" w:space="0"/>
              <w:right w:val="single" w:color="auto" w:sz="4" w:space="0"/>
            </w:tcBorders>
            <w:noWrap w:val="0"/>
            <w:vAlign w:val="center"/>
          </w:tcPr>
          <w:p w14:paraId="19FF920C">
            <w:pPr>
              <w:keepNext w:val="0"/>
              <w:keepLines w:val="0"/>
              <w:widowControl/>
              <w:suppressLineNumbers w:val="0"/>
              <w:spacing w:before="0" w:beforeAutospacing="0" w:after="0" w:afterAutospacing="0"/>
              <w:ind w:left="0" w:right="0" w:firstLine="101" w:firstLineChars="50"/>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数量</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61A80492">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b/>
                <w:bCs/>
                <w:color w:val="auto"/>
                <w:kern w:val="0"/>
                <w:sz w:val="22"/>
                <w:szCs w:val="22"/>
                <w:highlight w:val="none"/>
                <w:lang w:val="en-US"/>
              </w:rPr>
            </w:pPr>
            <w:r>
              <w:rPr>
                <w:rFonts w:hint="eastAsia" w:ascii="宋体" w:hAnsi="宋体" w:cs="宋体"/>
                <w:b/>
                <w:bCs/>
                <w:color w:val="auto"/>
                <w:kern w:val="0"/>
                <w:sz w:val="22"/>
                <w:szCs w:val="22"/>
                <w:highlight w:val="none"/>
                <w:lang w:val="en-US" w:eastAsia="zh-CN"/>
              </w:rPr>
              <w:t>单人预算</w:t>
            </w:r>
          </w:p>
        </w:tc>
        <w:tc>
          <w:tcPr>
            <w:tcW w:w="1941" w:type="dxa"/>
            <w:tcBorders>
              <w:top w:val="single" w:color="auto" w:sz="4" w:space="0"/>
              <w:left w:val="single" w:color="auto" w:sz="4" w:space="0"/>
              <w:bottom w:val="single" w:color="auto" w:sz="4" w:space="0"/>
              <w:right w:val="single" w:color="auto" w:sz="4" w:space="0"/>
            </w:tcBorders>
            <w:noWrap w:val="0"/>
            <w:vAlign w:val="center"/>
          </w:tcPr>
          <w:p w14:paraId="0EFE00C0">
            <w:pPr>
              <w:keepNext w:val="0"/>
              <w:keepLines w:val="0"/>
              <w:widowControl/>
              <w:suppressLineNumbers w:val="0"/>
              <w:spacing w:before="0" w:beforeAutospacing="0" w:after="0" w:afterAutospacing="0"/>
              <w:ind w:left="0" w:right="0" w:firstLine="101" w:firstLineChars="50"/>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采购预算</w:t>
            </w:r>
          </w:p>
        </w:tc>
      </w:tr>
      <w:tr w14:paraId="5ADD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04721844">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1</w:t>
            </w:r>
          </w:p>
        </w:tc>
        <w:tc>
          <w:tcPr>
            <w:tcW w:w="3319" w:type="dxa"/>
            <w:tcBorders>
              <w:top w:val="single" w:color="auto" w:sz="4" w:space="0"/>
              <w:left w:val="single" w:color="auto" w:sz="4" w:space="0"/>
              <w:bottom w:val="single" w:color="auto" w:sz="4" w:space="0"/>
              <w:right w:val="single" w:color="auto" w:sz="4" w:space="0"/>
            </w:tcBorders>
            <w:noWrap w:val="0"/>
            <w:vAlign w:val="center"/>
          </w:tcPr>
          <w:p w14:paraId="34B0CB7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auto"/>
              <w:ind w:left="0" w:right="0"/>
              <w:jc w:val="center"/>
              <w:textAlignment w:val="auto"/>
              <w:rPr>
                <w:rFonts w:hint="eastAsia" w:ascii="宋体" w:hAnsi="宋体" w:eastAsia="宋体" w:cs="宋体"/>
                <w:color w:val="auto"/>
                <w:kern w:val="0"/>
                <w:sz w:val="22"/>
                <w:szCs w:val="22"/>
                <w:highlight w:val="none"/>
                <w:lang w:val="en-US"/>
              </w:rPr>
            </w:pPr>
            <w:r>
              <w:rPr>
                <w:rFonts w:hint="eastAsia" w:ascii="宋体" w:hAnsi="宋体" w:eastAsia="宋体" w:cs="宋体"/>
                <w:color w:val="auto"/>
                <w:kern w:val="0"/>
                <w:sz w:val="22"/>
                <w:szCs w:val="22"/>
                <w:highlight w:val="none"/>
                <w:lang w:eastAsia="zh-CN"/>
              </w:rPr>
              <w:t>202</w:t>
            </w:r>
            <w:r>
              <w:rPr>
                <w:rFonts w:hint="eastAsia" w:ascii="宋体" w:hAnsi="宋体" w:cs="宋体"/>
                <w:color w:val="auto"/>
                <w:kern w:val="0"/>
                <w:sz w:val="22"/>
                <w:szCs w:val="22"/>
                <w:highlight w:val="none"/>
                <w:lang w:val="en-US" w:eastAsia="zh-CN"/>
              </w:rPr>
              <w:t>7</w:t>
            </w:r>
            <w:r>
              <w:rPr>
                <w:rFonts w:hint="eastAsia" w:ascii="宋体" w:hAnsi="宋体" w:eastAsia="宋体" w:cs="宋体"/>
                <w:color w:val="auto"/>
                <w:kern w:val="0"/>
                <w:sz w:val="22"/>
                <w:szCs w:val="22"/>
                <w:highlight w:val="none"/>
                <w:lang w:eastAsia="zh-CN"/>
              </w:rPr>
              <w:t>年员工节日慰问活动配送服务（</w:t>
            </w:r>
            <w:r>
              <w:rPr>
                <w:rFonts w:hint="eastAsia" w:ascii="宋体" w:hAnsi="宋体" w:eastAsia="宋体" w:cs="宋体"/>
                <w:color w:val="auto"/>
                <w:kern w:val="0"/>
                <w:sz w:val="22"/>
                <w:szCs w:val="22"/>
                <w:highlight w:val="none"/>
                <w:lang w:val="en-US" w:eastAsia="zh-CN"/>
              </w:rPr>
              <w:t>线下门店）</w:t>
            </w:r>
          </w:p>
        </w:tc>
        <w:tc>
          <w:tcPr>
            <w:tcW w:w="1401" w:type="dxa"/>
            <w:vMerge w:val="restart"/>
            <w:tcBorders>
              <w:top w:val="single" w:color="auto" w:sz="4" w:space="0"/>
              <w:left w:val="single" w:color="auto" w:sz="4" w:space="0"/>
              <w:right w:val="single" w:color="auto" w:sz="4" w:space="0"/>
            </w:tcBorders>
            <w:noWrap w:val="0"/>
            <w:vAlign w:val="center"/>
          </w:tcPr>
          <w:p w14:paraId="20265F28">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rPr>
              <w:t>共</w:t>
            </w:r>
            <w:r>
              <w:rPr>
                <w:rFonts w:hint="eastAsia" w:ascii="宋体" w:hAnsi="宋体" w:cs="宋体"/>
                <w:color w:val="auto"/>
                <w:kern w:val="0"/>
                <w:sz w:val="22"/>
                <w:szCs w:val="22"/>
                <w:highlight w:val="none"/>
                <w:lang w:val="en-US" w:eastAsia="zh-CN"/>
              </w:rPr>
              <w:t>1530</w:t>
            </w:r>
            <w:r>
              <w:rPr>
                <w:rFonts w:hint="eastAsia" w:ascii="宋体" w:hAnsi="宋体" w:eastAsia="宋体" w:cs="宋体"/>
                <w:color w:val="auto"/>
                <w:kern w:val="0"/>
                <w:sz w:val="22"/>
                <w:szCs w:val="22"/>
                <w:highlight w:val="none"/>
                <w:lang w:val="en-US" w:eastAsia="zh-CN"/>
              </w:rPr>
              <w:t>人</w:t>
            </w:r>
          </w:p>
        </w:tc>
        <w:tc>
          <w:tcPr>
            <w:tcW w:w="1863" w:type="dxa"/>
            <w:vMerge w:val="restart"/>
            <w:tcBorders>
              <w:top w:val="single" w:color="auto" w:sz="4" w:space="0"/>
              <w:left w:val="single" w:color="auto" w:sz="4" w:space="0"/>
              <w:right w:val="single" w:color="auto" w:sz="4" w:space="0"/>
            </w:tcBorders>
            <w:noWrap w:val="0"/>
            <w:vAlign w:val="center"/>
          </w:tcPr>
          <w:p w14:paraId="4FA24B03">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w:t>
            </w: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en-US" w:eastAsia="zh-CN"/>
              </w:rPr>
              <w:t>00 元/人/年</w:t>
            </w:r>
          </w:p>
        </w:tc>
        <w:tc>
          <w:tcPr>
            <w:tcW w:w="1941" w:type="dxa"/>
            <w:vMerge w:val="restart"/>
            <w:tcBorders>
              <w:top w:val="single" w:color="auto" w:sz="4" w:space="0"/>
              <w:left w:val="single" w:color="auto" w:sz="4" w:space="0"/>
              <w:right w:val="single" w:color="auto" w:sz="4" w:space="0"/>
            </w:tcBorders>
            <w:noWrap w:val="0"/>
            <w:vAlign w:val="center"/>
          </w:tcPr>
          <w:p w14:paraId="180056B2">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共</w:t>
            </w:r>
            <w:r>
              <w:rPr>
                <w:rFonts w:hint="eastAsia" w:ascii="宋体" w:hAnsi="宋体" w:cs="宋体"/>
                <w:color w:val="auto"/>
                <w:sz w:val="22"/>
                <w:szCs w:val="22"/>
                <w:highlight w:val="none"/>
                <w:lang w:val="en-US" w:eastAsia="zh-CN"/>
              </w:rPr>
              <w:t>1836000.00</w:t>
            </w:r>
            <w:r>
              <w:rPr>
                <w:rFonts w:hint="eastAsia" w:ascii="宋体" w:hAnsi="宋体" w:eastAsia="宋体" w:cs="宋体"/>
                <w:color w:val="auto"/>
                <w:sz w:val="22"/>
                <w:szCs w:val="22"/>
                <w:highlight w:val="none"/>
                <w:lang w:val="en-US" w:eastAsia="zh-CN"/>
              </w:rPr>
              <w:t>元</w:t>
            </w:r>
          </w:p>
        </w:tc>
      </w:tr>
      <w:tr w14:paraId="23C5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2C7C3E0B">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w:t>
            </w:r>
          </w:p>
        </w:tc>
        <w:tc>
          <w:tcPr>
            <w:tcW w:w="3319" w:type="dxa"/>
            <w:tcBorders>
              <w:top w:val="single" w:color="auto" w:sz="4" w:space="0"/>
              <w:left w:val="single" w:color="auto" w:sz="4" w:space="0"/>
              <w:bottom w:val="single" w:color="auto" w:sz="4" w:space="0"/>
              <w:right w:val="single" w:color="auto" w:sz="4" w:space="0"/>
            </w:tcBorders>
            <w:noWrap w:val="0"/>
            <w:vAlign w:val="center"/>
          </w:tcPr>
          <w:p w14:paraId="0540022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auto"/>
              <w:ind w:left="0" w:righ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eastAsia="zh-CN"/>
              </w:rPr>
              <w:t>202</w:t>
            </w:r>
            <w:r>
              <w:rPr>
                <w:rFonts w:hint="eastAsia" w:ascii="宋体" w:hAnsi="宋体" w:cs="宋体"/>
                <w:color w:val="auto"/>
                <w:kern w:val="0"/>
                <w:sz w:val="22"/>
                <w:szCs w:val="22"/>
                <w:highlight w:val="none"/>
                <w:lang w:val="en-US" w:eastAsia="zh-CN"/>
              </w:rPr>
              <w:t>7</w:t>
            </w:r>
            <w:r>
              <w:rPr>
                <w:rFonts w:hint="eastAsia" w:ascii="宋体" w:hAnsi="宋体" w:eastAsia="宋体" w:cs="宋体"/>
                <w:color w:val="auto"/>
                <w:kern w:val="0"/>
                <w:sz w:val="22"/>
                <w:szCs w:val="22"/>
                <w:highlight w:val="none"/>
                <w:lang w:eastAsia="zh-CN"/>
              </w:rPr>
              <w:t>年员工节日慰问活动配送服务（</w:t>
            </w:r>
            <w:r>
              <w:rPr>
                <w:rFonts w:hint="eastAsia" w:ascii="宋体" w:hAnsi="宋体" w:eastAsia="宋体" w:cs="宋体"/>
                <w:color w:val="auto"/>
                <w:kern w:val="0"/>
                <w:sz w:val="22"/>
                <w:szCs w:val="22"/>
                <w:highlight w:val="none"/>
                <w:lang w:val="en-US" w:eastAsia="zh-CN"/>
              </w:rPr>
              <w:t>线上商城）</w:t>
            </w:r>
          </w:p>
        </w:tc>
        <w:tc>
          <w:tcPr>
            <w:tcW w:w="1401" w:type="dxa"/>
            <w:vMerge w:val="continue"/>
            <w:tcBorders>
              <w:left w:val="single" w:color="auto" w:sz="4" w:space="0"/>
              <w:bottom w:val="single" w:color="auto" w:sz="4" w:space="0"/>
              <w:right w:val="single" w:color="auto" w:sz="4" w:space="0"/>
            </w:tcBorders>
            <w:noWrap w:val="0"/>
            <w:vAlign w:val="center"/>
          </w:tcPr>
          <w:p w14:paraId="09B3952E">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2"/>
                <w:szCs w:val="22"/>
                <w:highlight w:val="none"/>
              </w:rPr>
            </w:pPr>
          </w:p>
        </w:tc>
        <w:tc>
          <w:tcPr>
            <w:tcW w:w="1863" w:type="dxa"/>
            <w:vMerge w:val="continue"/>
            <w:tcBorders>
              <w:left w:val="single" w:color="auto" w:sz="4" w:space="0"/>
              <w:bottom w:val="single" w:color="auto" w:sz="4" w:space="0"/>
              <w:right w:val="single" w:color="auto" w:sz="4" w:space="0"/>
            </w:tcBorders>
            <w:noWrap w:val="0"/>
            <w:vAlign w:val="center"/>
          </w:tcPr>
          <w:p w14:paraId="301DFFCF">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auto"/>
                <w:kern w:val="0"/>
                <w:sz w:val="22"/>
                <w:szCs w:val="22"/>
                <w:highlight w:val="none"/>
                <w:lang w:val="en-US" w:eastAsia="zh-CN"/>
              </w:rPr>
            </w:pPr>
          </w:p>
        </w:tc>
        <w:tc>
          <w:tcPr>
            <w:tcW w:w="1941" w:type="dxa"/>
            <w:vMerge w:val="continue"/>
            <w:tcBorders>
              <w:left w:val="single" w:color="auto" w:sz="4" w:space="0"/>
              <w:bottom w:val="single" w:color="auto" w:sz="4" w:space="0"/>
              <w:right w:val="single" w:color="auto" w:sz="4" w:space="0"/>
            </w:tcBorders>
            <w:noWrap w:val="0"/>
            <w:vAlign w:val="center"/>
          </w:tcPr>
          <w:p w14:paraId="4057CF48">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lang w:eastAsia="zh-CN"/>
              </w:rPr>
            </w:pPr>
          </w:p>
        </w:tc>
      </w:tr>
    </w:tbl>
    <w:p w14:paraId="32734C34">
      <w:pPr>
        <w:adjustRightInd w:val="0"/>
        <w:snapToGrid w:val="0"/>
        <w:spacing w:line="300" w:lineRule="auto"/>
        <w:ind w:firstLine="602" w:firstLineChars="200"/>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备注：</w:t>
      </w:r>
    </w:p>
    <w:p w14:paraId="4388CF4D">
      <w:pPr>
        <w:adjustRightInd w:val="0"/>
        <w:snapToGrid w:val="0"/>
        <w:spacing w:line="300" w:lineRule="auto"/>
        <w:ind w:firstLine="602" w:firstLineChars="200"/>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本项目预算为采购包1和采购包2的预算合计，但采购人不承诺各采购包的实际结算金额。各采购包的结算金额将以各采购包每个节日获得的采购人员工选择数量及对应结算金额按实结算，因此供应商应为本项目提供丰富的产品选择及优质实惠的商品，以吸引更多员工选择。</w:t>
      </w:r>
    </w:p>
    <w:p w14:paraId="375933A9">
      <w:pPr>
        <w:adjustRightInd w:val="0"/>
        <w:snapToGrid w:val="0"/>
        <w:spacing w:line="300" w:lineRule="auto"/>
        <w:ind w:firstLine="602" w:firstLineChars="200"/>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(2)如供应商既有线下门店又有线上商城，可以兼投2个采购包，且允许兼中。</w:t>
      </w:r>
    </w:p>
    <w:p w14:paraId="2B082969">
      <w:pPr>
        <w:numPr>
          <w:ilvl w:val="0"/>
          <w:numId w:val="0"/>
        </w:numPr>
        <w:ind w:firstLine="602" w:firstLineChars="200"/>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kern w:val="2"/>
          <w:sz w:val="32"/>
          <w:szCs w:val="32"/>
          <w:lang w:val="en-US" w:eastAsia="zh-CN" w:bidi="ar-SA"/>
        </w:rPr>
        <w:t>2.</w:t>
      </w:r>
      <w:r>
        <w:rPr>
          <w:rFonts w:hint="eastAsia" w:ascii="仿宋" w:hAnsi="仿宋" w:eastAsia="仿宋" w:cs="仿宋"/>
          <w:b w:val="0"/>
          <w:bCs/>
          <w:color w:val="auto"/>
          <w:sz w:val="32"/>
          <w:szCs w:val="32"/>
          <w:highlight w:val="none"/>
          <w:lang w:val="en-US" w:eastAsia="zh-CN"/>
        </w:rPr>
        <w:t>项目基本情况</w:t>
      </w:r>
    </w:p>
    <w:p w14:paraId="6B777EE4">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bCs w:val="0"/>
          <w:color w:val="auto"/>
          <w:sz w:val="32"/>
          <w:szCs w:val="32"/>
          <w:highlight w:val="none"/>
          <w:lang w:val="en-US" w:eastAsia="zh-CN"/>
        </w:rPr>
        <w:t>（适用于采购包1）</w:t>
      </w:r>
      <w:r>
        <w:rPr>
          <w:rFonts w:hint="eastAsia" w:ascii="仿宋" w:hAnsi="仿宋" w:eastAsia="仿宋" w:cs="仿宋"/>
          <w:b w:val="0"/>
          <w:bCs/>
          <w:color w:val="auto"/>
          <w:sz w:val="32"/>
          <w:szCs w:val="32"/>
          <w:highlight w:val="none"/>
          <w:lang w:val="en-US" w:eastAsia="zh-CN"/>
        </w:rPr>
        <w:t>线下门店使用范围必须达两家或以上且广深佛通用或广深通用，并可同时享受门店各类的优惠活动及其他特价服务；</w:t>
      </w:r>
      <w:r>
        <w:rPr>
          <w:rFonts w:hint="eastAsia" w:ascii="仿宋" w:hAnsi="仿宋" w:eastAsia="仿宋" w:cs="仿宋"/>
          <w:b/>
          <w:bCs w:val="0"/>
          <w:color w:val="auto"/>
          <w:sz w:val="32"/>
          <w:szCs w:val="32"/>
          <w:highlight w:val="none"/>
          <w:lang w:val="en-US" w:eastAsia="zh-CN"/>
        </w:rPr>
        <w:t>（适用于采购包2）</w:t>
      </w:r>
      <w:r>
        <w:rPr>
          <w:rFonts w:hint="eastAsia" w:ascii="仿宋" w:hAnsi="仿宋" w:eastAsia="仿宋" w:cs="仿宋"/>
          <w:b w:val="0"/>
          <w:bCs/>
          <w:color w:val="auto"/>
          <w:sz w:val="32"/>
          <w:szCs w:val="32"/>
          <w:highlight w:val="none"/>
          <w:lang w:val="en-US" w:eastAsia="zh-CN"/>
        </w:rPr>
        <w:t>线上商城须提供包邮快递服务（包邮限额与供应商平台条件一致，并可同时享受线上商城各类的优惠活动及其他特价服务）。</w:t>
      </w:r>
    </w:p>
    <w:p w14:paraId="1B07B496">
      <w:pPr>
        <w:bidi w:val="0"/>
        <w:ind w:firstLine="602"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供应商选定方式：本项目选定两个成交供应商。成交结果公告发布后，采购人将分别与各采购包成交供应商签订框架服务协议。春节、端午节、中秋节前，供应商应提供详细商品目录及优惠活动安排给采购人员工，供采购人员工自行决定该节日选择哪个供应商。每个采购人员工将在每个节日的选择截止日前选定本项目的其中一个成交供应商（采购包1或采购包2），然后由采购人统计数量，分别通知供应商；供应商据此发放虚拟提货券给到采购人员工手机账号。</w:t>
      </w:r>
    </w:p>
    <w:p w14:paraId="7DA71028">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3.发放时间：供应商虚拟提货券的发放时间大致分为春节、端午节、中秋节三个时段，每个时段的具体报名时间及发放时间以采购人要求为准。</w:t>
      </w:r>
    </w:p>
    <w:p w14:paraId="176A21FF">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▲4.</w:t>
      </w:r>
      <w:r>
        <w:rPr>
          <w:rFonts w:hint="eastAsia" w:ascii="仿宋" w:hAnsi="仿宋" w:eastAsia="仿宋" w:cs="仿宋"/>
          <w:bCs/>
          <w:color w:val="auto"/>
          <w:sz w:val="32"/>
          <w:szCs w:val="32"/>
          <w:highlight w:val="none"/>
          <w:lang w:val="en-US" w:eastAsia="zh-CN"/>
        </w:rPr>
        <w:t>虚拟提货券使用方式及使用期限：</w:t>
      </w:r>
      <w:r>
        <w:rPr>
          <w:rFonts w:hint="eastAsia" w:ascii="仿宋" w:hAnsi="仿宋" w:eastAsia="仿宋" w:cs="仿宋"/>
          <w:b w:val="0"/>
          <w:bCs/>
          <w:color w:val="auto"/>
          <w:sz w:val="32"/>
          <w:szCs w:val="32"/>
          <w:highlight w:val="none"/>
          <w:lang w:val="en-US" w:eastAsia="zh-CN"/>
        </w:rPr>
        <w:t>采购人员工在收到所选供应商发放的虚拟提货券之后，可在使用期限内，在对应的供应商商店自行选择限额内的商品。供应商所提供的虚拟提货券的使用有效期应自发放之日起不短于1.5年。（如使用有效期过期未使用完毕，供应商须</w:t>
      </w:r>
      <w:r>
        <w:rPr>
          <w:rFonts w:hint="eastAsia" w:ascii="仿宋" w:hAnsi="仿宋" w:eastAsia="仿宋" w:cs="仿宋"/>
          <w:i w:val="0"/>
          <w:iCs w:val="0"/>
          <w:caps w:val="0"/>
          <w:color w:val="0F1115"/>
          <w:spacing w:val="0"/>
          <w:sz w:val="32"/>
          <w:szCs w:val="32"/>
          <w:shd w:val="clear" w:fill="FFFFFF"/>
        </w:rPr>
        <w:t>在收到员工延期申请后5个工作日内完成延期操作，每次延期期限不少于一年，且不得收取任何费用</w:t>
      </w:r>
      <w:r>
        <w:rPr>
          <w:rFonts w:hint="eastAsia" w:ascii="仿宋" w:hAnsi="仿宋" w:eastAsia="仿宋" w:cs="仿宋"/>
          <w:b w:val="0"/>
          <w:bCs/>
          <w:color w:val="auto"/>
          <w:sz w:val="32"/>
          <w:szCs w:val="32"/>
          <w:highlight w:val="none"/>
          <w:lang w:val="en-US" w:eastAsia="zh-CN"/>
        </w:rPr>
        <w:t>）</w:t>
      </w:r>
      <w:r>
        <w:rPr>
          <w:rFonts w:hint="eastAsia" w:ascii="仿宋" w:hAnsi="仿宋" w:eastAsia="仿宋" w:cs="仿宋"/>
          <w:b/>
          <w:bCs w:val="0"/>
          <w:color w:val="auto"/>
          <w:sz w:val="32"/>
          <w:szCs w:val="32"/>
          <w:highlight w:val="none"/>
          <w:lang w:val="en-US" w:eastAsia="zh-CN"/>
        </w:rPr>
        <w:t>（须提供承诺，格式自拟或者使用采购文件提供的模板）</w:t>
      </w:r>
    </w:p>
    <w:p w14:paraId="32E086F1">
      <w:pPr>
        <w:bidi w:val="0"/>
        <w:ind w:firstLine="602" w:firstLineChars="200"/>
        <w:jc w:val="left"/>
        <w:rPr>
          <w:rFonts w:hint="eastAsia" w:ascii="仿宋" w:hAnsi="仿宋" w:eastAsia="仿宋" w:cs="仿宋"/>
          <w:b/>
          <w:bCs/>
          <w:sz w:val="32"/>
          <w:szCs w:val="32"/>
        </w:rPr>
      </w:pPr>
      <w:r>
        <w:rPr>
          <w:rFonts w:hint="eastAsia" w:ascii="仿宋" w:hAnsi="仿宋" w:eastAsia="仿宋" w:cs="仿宋"/>
          <w:b/>
          <w:bCs/>
          <w:sz w:val="32"/>
          <w:szCs w:val="32"/>
          <w:lang w:val="en-US" w:eastAsia="zh-CN"/>
        </w:rPr>
        <w:t>三、技术（服务）要求</w:t>
      </w:r>
    </w:p>
    <w:p w14:paraId="1F605E13">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bCs w:val="0"/>
          <w:color w:val="auto"/>
          <w:sz w:val="32"/>
          <w:szCs w:val="32"/>
          <w:highlight w:val="none"/>
          <w:lang w:val="en-US" w:eastAsia="zh-CN"/>
        </w:rPr>
        <w:t>（适用于采购包1）</w:t>
      </w:r>
      <w:r>
        <w:rPr>
          <w:rFonts w:hint="eastAsia" w:ascii="仿宋" w:hAnsi="仿宋" w:eastAsia="仿宋" w:cs="仿宋"/>
          <w:b w:val="0"/>
          <w:bCs/>
          <w:color w:val="auto"/>
          <w:sz w:val="32"/>
          <w:szCs w:val="32"/>
          <w:highlight w:val="none"/>
          <w:lang w:val="en-US" w:eastAsia="zh-CN"/>
        </w:rPr>
        <w:t>线下门店应允许采购人员工使用虚拟提货券采购所有门店产品，不得设置专门区域，以高于门店普通产品的价格对采购人员工区别对待。供应商提供的商品价格需合理，与京东、天猫超市等同类商品价格水平相当或更低。</w:t>
      </w:r>
      <w:r>
        <w:rPr>
          <w:rFonts w:hint="eastAsia" w:ascii="仿宋" w:hAnsi="仿宋" w:eastAsia="仿宋" w:cs="仿宋"/>
          <w:b/>
          <w:bCs w:val="0"/>
          <w:color w:val="auto"/>
          <w:sz w:val="32"/>
          <w:szCs w:val="32"/>
          <w:highlight w:val="none"/>
          <w:lang w:val="en-US" w:eastAsia="zh-CN"/>
        </w:rPr>
        <w:t>（适用于采购包2）</w:t>
      </w:r>
      <w:r>
        <w:rPr>
          <w:rFonts w:hint="eastAsia" w:ascii="仿宋" w:hAnsi="仿宋" w:eastAsia="仿宋" w:cs="仿宋"/>
          <w:b w:val="0"/>
          <w:bCs/>
          <w:color w:val="auto"/>
          <w:sz w:val="32"/>
          <w:szCs w:val="32"/>
          <w:highlight w:val="none"/>
          <w:lang w:val="en-US" w:eastAsia="zh-CN"/>
        </w:rPr>
        <w:t>线上领取平台供应商应使用所有消费者均可使用关键字搜索到，并可自由登录并购物的公众号或小程序作为线上慰问品领取平台，不得对采购人员工提供特定的公众号、小程序入口或供应商商城内企业商城等其他端口，以高于供应商日常销售平台的价格对采购人员工区别对待。供应商提供的商品价格需合理，与京东、天猫超市等同类商品价格水平相当或更低。</w:t>
      </w:r>
      <w:r>
        <w:rPr>
          <w:rFonts w:hint="eastAsia" w:ascii="仿宋" w:hAnsi="仿宋" w:eastAsia="仿宋" w:cs="仿宋"/>
          <w:b/>
          <w:bCs w:val="0"/>
          <w:color w:val="auto"/>
          <w:sz w:val="32"/>
          <w:szCs w:val="32"/>
          <w:highlight w:val="none"/>
          <w:lang w:val="en-US" w:eastAsia="zh-CN"/>
        </w:rPr>
        <w:t>（须提供承诺，格式自拟或者使用采购文件提供的模板）</w:t>
      </w:r>
    </w:p>
    <w:p w14:paraId="6DD6AE62">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w:t>
      </w:r>
      <w:r>
        <w:rPr>
          <w:rFonts w:hint="eastAsia" w:ascii="仿宋" w:hAnsi="仿宋" w:eastAsia="仿宋" w:cs="仿宋"/>
          <w:b w:val="0"/>
          <w:bCs/>
          <w:color w:val="auto"/>
          <w:sz w:val="32"/>
          <w:szCs w:val="32"/>
          <w:highlight w:val="none"/>
          <w:lang w:val="en-US" w:eastAsia="zh-CN"/>
        </w:rPr>
        <w:t>2.供应商所提供的采购平台须操作便捷，易于员工使用，具备稳定的系统性能，可承载采购人员工的访问量，避免出现卡顿、崩溃等情况，否则，采购人有权无条件终止合同。</w:t>
      </w:r>
    </w:p>
    <w:p w14:paraId="58E4BA6F">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▲3.虚拟提货券发放系统需准确无误地将信息发送至员工手机，确保每个员工都能及时收到，且相关信息清晰齐全，须包含慰问品领取方式（线下门店地址或线上领取链接）、卡券使用方法等内容。</w:t>
      </w:r>
    </w:p>
    <w:p w14:paraId="1DC25677">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4.产品涵盖多种类型，内容丰富、质量符合国家相关规定。慰问品以生活日用品和食品为主，包括米面粮油、厨房用品、调味料、床上用品、小家电、纸品家清、水果、坚果、节日糖果、干货类（茶烟酒化妆品高端补品除外）；品牌均须为市场上的大众品牌，且应对同类产品提供多个（不少于3个）品牌，以满足采购人员工的不同品牌、档次的消费偏好。</w:t>
      </w:r>
    </w:p>
    <w:p w14:paraId="3EBE60EB">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5.增值服务：供应商结合本项目可以提供的其他服务，由供应商在响应文件中明确，或由供应商授权代表在磋商环节提出，并书面确认于最终报价表上。</w:t>
      </w:r>
    </w:p>
    <w:p w14:paraId="20551427">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6.供应商应针对所投采购包的具体要求，在响应文件中提供整体服务方案，缺货、断货等情况的应急处理措施，以及售后服务方案；并就这些方案提供现场述标，并回答评审成员的疑问。方案和述标的内容可包括但不仅限于：</w:t>
      </w:r>
    </w:p>
    <w:p w14:paraId="7C7E7AF3">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bCs w:val="0"/>
          <w:color w:val="auto"/>
          <w:sz w:val="32"/>
          <w:szCs w:val="32"/>
          <w:highlight w:val="none"/>
          <w:lang w:val="en-US" w:eastAsia="zh-CN"/>
        </w:rPr>
        <w:t>（1）针对采购包1：</w:t>
      </w:r>
    </w:p>
    <w:p w14:paraId="3D40858A">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1）现场演示供应商的虚拟提货券的接收及使用流程，以考察使用上的简易、方便程度；</w:t>
      </w:r>
    </w:p>
    <w:p w14:paraId="7A34E145">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2）阐述可以使用拟供虚拟提货券的门店数量、位置等商店分布情况，以考察地理位置方便程度；</w:t>
      </w:r>
    </w:p>
    <w:p w14:paraId="7D9E9E99">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3）简述整体服务方案，并通过宣传彩页或者官网或者PPT或者图册展示商品种类的丰富程度、质量水平、价格水平；</w:t>
      </w:r>
    </w:p>
    <w:p w14:paraId="2C5924EA">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4）简述缺货、断货等情况的应急处理措施（例如建设库存管理系统、承诺补货时间、提供等价替代品），以及售后服务方案（例如退换货流程、仅退款服务、上门取件售后等），以展示供应商为保障顾客的良好购物体验所作的努力；</w:t>
      </w:r>
    </w:p>
    <w:p w14:paraId="76259771">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5）简述可为本项目提供的增值服务。</w:t>
      </w:r>
    </w:p>
    <w:p w14:paraId="7E07CE8E">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bCs w:val="0"/>
          <w:color w:val="auto"/>
          <w:sz w:val="32"/>
          <w:szCs w:val="32"/>
          <w:highlight w:val="none"/>
          <w:lang w:val="en-US" w:eastAsia="zh-CN"/>
        </w:rPr>
        <w:t>（2）针对采购包2：</w:t>
      </w:r>
    </w:p>
    <w:p w14:paraId="3433AF7B">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1）现场演示供应商的虚拟提货券的接收及使用流程，以考察使用上的简易、方便程度；</w:t>
      </w:r>
    </w:p>
    <w:p w14:paraId="53262F44">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2）简述整体服务方案，并通过现场演示可以使用拟供虚拟提货券的线上商城的搜索、购物流程，以体现易用性；通过展示线上商城的产品页面，以体现商品种类的丰富程度、质量水平、价格水平；</w:t>
      </w:r>
    </w:p>
    <w:p w14:paraId="58C3A0A1">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3）简述缺货、断货等情况的应急处理措施（例如建设库存管理系统、承诺补货时间、提供等价替代品），以及售后服务方案（例如退换货流程、仅退款服务、上门取件售后等），以展示供应商为保障顾客的良好购物体验所作的努力；</w:t>
      </w:r>
    </w:p>
    <w:p w14:paraId="0A2C7094">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4）简述可为本项目提供的增值服务。</w:t>
      </w:r>
    </w:p>
    <w:p w14:paraId="4957F52E">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bCs w:val="0"/>
          <w:color w:val="auto"/>
          <w:sz w:val="32"/>
          <w:szCs w:val="32"/>
          <w:highlight w:val="none"/>
          <w:lang w:val="en-US" w:eastAsia="zh-CN"/>
        </w:rPr>
      </w:pPr>
      <w:r>
        <w:rPr>
          <w:rFonts w:hint="eastAsia" w:ascii="仿宋" w:hAnsi="仿宋" w:eastAsia="仿宋" w:cs="仿宋"/>
          <w:b/>
          <w:bCs w:val="0"/>
          <w:color w:val="auto"/>
          <w:sz w:val="32"/>
          <w:szCs w:val="32"/>
          <w:highlight w:val="none"/>
          <w:lang w:val="en-US" w:eastAsia="zh-CN"/>
        </w:rPr>
        <w:t>备注（适用于所有采购包）：</w:t>
      </w:r>
    </w:p>
    <w:p w14:paraId="2BD3CC76">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1）述标时间：每个供应商就所投采购包提供的述标不得超过5分钟，因此请供应商注意扼要地阐述重点内容，展现实力；</w:t>
      </w:r>
    </w:p>
    <w:p w14:paraId="39CF8D14">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2）评审现场仅可提供220V电源、显示屏（HDMI接口）供述标供应商使用。如供应商的述标环节需要其他辅助设备，请供应商注意自备。</w:t>
      </w:r>
    </w:p>
    <w:p w14:paraId="450FCB2B">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3）述标在磋商过程中一并进行，顺序按照供应商签到顺序。</w:t>
      </w:r>
    </w:p>
    <w:p w14:paraId="204C3A73">
      <w:pPr>
        <w:keepNext w:val="0"/>
        <w:keepLines w:val="0"/>
        <w:pageBreakBefore w:val="0"/>
        <w:widowControl w:val="0"/>
        <w:numPr>
          <w:ilvl w:val="0"/>
          <w:numId w:val="0"/>
        </w:numPr>
        <w:kinsoku/>
        <w:wordWrap w:val="0"/>
        <w:overflowPunct/>
        <w:topLinePunct w:val="0"/>
        <w:autoSpaceDE/>
        <w:autoSpaceDN/>
        <w:bidi w:val="0"/>
        <w:adjustRightInd w:val="0"/>
        <w:snapToGrid/>
        <w:ind w:firstLine="602" w:firstLineChars="20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★7.产品质量保障</w:t>
      </w:r>
    </w:p>
    <w:p w14:paraId="6FB86C7E">
      <w:pPr>
        <w:numPr>
          <w:ilvl w:val="0"/>
          <w:numId w:val="0"/>
        </w:numPr>
        <w:wordWrap w:val="0"/>
        <w:bidi w:val="0"/>
        <w:adjustRightInd w:val="0"/>
        <w:ind w:firstLine="602" w:firstLineChars="200"/>
        <w:jc w:val="left"/>
        <w:rPr>
          <w:rFonts w:hint="default" w:ascii="仿宋" w:hAnsi="仿宋" w:eastAsia="仿宋" w:cs="仿宋"/>
          <w:b/>
          <w:bCs w:val="0"/>
          <w:color w:val="auto"/>
          <w:kern w:val="2"/>
          <w:sz w:val="32"/>
          <w:szCs w:val="32"/>
          <w:lang w:val="en-US" w:eastAsia="zh-CN" w:bidi="ar-SA"/>
        </w:rPr>
      </w:pPr>
      <w:r>
        <w:rPr>
          <w:rFonts w:hint="eastAsia" w:ascii="仿宋" w:hAnsi="仿宋" w:eastAsia="仿宋" w:cs="仿宋"/>
          <w:b w:val="0"/>
          <w:bCs/>
          <w:color w:val="auto"/>
          <w:sz w:val="32"/>
          <w:szCs w:val="32"/>
          <w:highlight w:val="none"/>
          <w:lang w:val="en-US" w:eastAsia="zh-CN"/>
        </w:rPr>
        <w:t>供应商提供的商品质量必须严格执行国家相关标准。</w:t>
      </w:r>
      <w:r>
        <w:rPr>
          <w:rFonts w:hint="eastAsia" w:ascii="仿宋" w:hAnsi="仿宋" w:eastAsia="仿宋" w:cs="仿宋"/>
          <w:b/>
          <w:bCs w:val="0"/>
          <w:color w:val="auto"/>
          <w:sz w:val="32"/>
          <w:szCs w:val="32"/>
          <w:highlight w:val="none"/>
          <w:lang w:val="en-US" w:eastAsia="zh-CN"/>
        </w:rPr>
        <w:t>（须提供承诺，格式自拟）</w:t>
      </w:r>
    </w:p>
    <w:p w14:paraId="37D028BF">
      <w:pPr>
        <w:bidi w:val="0"/>
        <w:ind w:firstLine="602" w:firstLineChars="200"/>
        <w:jc w:val="left"/>
        <w:rPr>
          <w:rFonts w:hint="eastAsia" w:ascii="仿宋" w:hAnsi="仿宋" w:eastAsia="仿宋" w:cs="仿宋"/>
          <w:b/>
          <w:bCs w:val="0"/>
          <w:color w:val="auto"/>
          <w:sz w:val="32"/>
          <w:szCs w:val="32"/>
          <w:highlight w:val="none"/>
          <w:lang w:val="en-US" w:eastAsia="zh-CN"/>
        </w:rPr>
      </w:pPr>
      <w:r>
        <w:rPr>
          <w:rFonts w:hint="default" w:ascii="仿宋" w:hAnsi="仿宋" w:eastAsia="仿宋" w:cs="仿宋"/>
          <w:b/>
          <w:bCs w:val="0"/>
          <w:color w:val="auto"/>
          <w:kern w:val="2"/>
          <w:sz w:val="32"/>
          <w:szCs w:val="32"/>
          <w:lang w:val="en-US" w:eastAsia="zh-CN" w:bidi="ar-SA"/>
        </w:rPr>
        <w:t>四</w:t>
      </w:r>
      <w:r>
        <w:rPr>
          <w:rFonts w:hint="eastAsia" w:ascii="仿宋" w:hAnsi="仿宋" w:eastAsia="仿宋" w:cs="仿宋"/>
          <w:b/>
          <w:bCs w:val="0"/>
          <w:color w:val="auto"/>
          <w:kern w:val="2"/>
          <w:sz w:val="32"/>
          <w:szCs w:val="32"/>
          <w:lang w:val="en-US" w:eastAsia="zh-CN" w:bidi="ar-SA"/>
        </w:rPr>
        <w:t>、</w:t>
      </w:r>
      <w:r>
        <w:rPr>
          <w:rFonts w:hint="eastAsia" w:ascii="仿宋" w:hAnsi="仿宋" w:eastAsia="仿宋" w:cs="仿宋"/>
          <w:b/>
          <w:bCs w:val="0"/>
          <w:color w:val="auto"/>
          <w:sz w:val="32"/>
          <w:szCs w:val="32"/>
          <w:highlight w:val="none"/>
          <w:lang w:val="en-US" w:eastAsia="zh-CN"/>
        </w:rPr>
        <w:t>商务（服务）要求</w:t>
      </w:r>
    </w:p>
    <w:tbl>
      <w:tblPr>
        <w:tblStyle w:val="22"/>
        <w:tblW w:w="491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51"/>
        <w:gridCol w:w="7247"/>
      </w:tblGrid>
      <w:tr w14:paraId="4D402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483" w:hRule="atLeast"/>
          <w:jc w:val="center"/>
        </w:trPr>
        <w:tc>
          <w:tcPr>
            <w:tcW w:w="1144" w:type="pct"/>
            <w:noWrap w:val="0"/>
            <w:vAlign w:val="center"/>
          </w:tcPr>
          <w:p w14:paraId="63B26046">
            <w:pPr>
              <w:keepNext w:val="0"/>
              <w:keepLines w:val="0"/>
              <w:suppressLineNumbers w:val="0"/>
              <w:spacing w:before="0" w:beforeAutospacing="0" w:after="0" w:afterAutospacing="0" w:line="240" w:lineRule="auto"/>
              <w:ind w:left="0" w:right="0"/>
              <w:jc w:val="both"/>
              <w:rPr>
                <w:rFonts w:hint="eastAsia" w:ascii="仿宋" w:hAnsi="仿宋" w:eastAsia="仿宋" w:cs="仿宋"/>
                <w:color w:val="auto"/>
                <w:highlight w:val="none"/>
              </w:rPr>
            </w:pPr>
            <w:r>
              <w:rPr>
                <w:rFonts w:hint="eastAsia" w:ascii="仿宋" w:hAnsi="仿宋" w:eastAsia="仿宋" w:cs="仿宋"/>
                <w:color w:val="auto"/>
                <w:highlight w:val="none"/>
              </w:rPr>
              <w:t>★服务期限</w:t>
            </w:r>
          </w:p>
        </w:tc>
        <w:tc>
          <w:tcPr>
            <w:tcW w:w="3855" w:type="pct"/>
            <w:noWrap w:val="0"/>
            <w:vAlign w:val="center"/>
          </w:tcPr>
          <w:p w14:paraId="0390AE28">
            <w:pPr>
              <w:keepNext w:val="0"/>
              <w:keepLines w:val="0"/>
              <w:suppressLineNumbers w:val="0"/>
              <w:spacing w:before="0" w:beforeAutospacing="0" w:after="0" w:afterAutospacing="0" w:line="240" w:lineRule="auto"/>
              <w:ind w:left="0" w:right="0"/>
              <w:jc w:val="both"/>
              <w:rPr>
                <w:rFonts w:hint="default" w:ascii="仿宋" w:hAnsi="仿宋" w:eastAsia="宋体" w:cs="仿宋"/>
                <w:color w:val="auto"/>
                <w:highlight w:val="none"/>
                <w:lang w:val="en-US" w:eastAsia="zh-CN"/>
              </w:rPr>
            </w:pPr>
            <w:r>
              <w:rPr>
                <w:rFonts w:hint="eastAsia" w:ascii="仿宋" w:hAnsi="仿宋" w:eastAsia="仿宋" w:cs="仿宋"/>
                <w:color w:val="auto"/>
                <w:highlight w:val="none"/>
                <w:lang w:val="en-US" w:eastAsia="zh-CN"/>
              </w:rPr>
              <w:t>合同签订之日起，至2027年中秋节后两年止。</w:t>
            </w:r>
          </w:p>
        </w:tc>
      </w:tr>
      <w:tr w14:paraId="09EA02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3" w:hRule="atLeast"/>
          <w:jc w:val="center"/>
        </w:trPr>
        <w:tc>
          <w:tcPr>
            <w:tcW w:w="1144" w:type="pct"/>
            <w:noWrap w:val="0"/>
            <w:vAlign w:val="center"/>
          </w:tcPr>
          <w:p w14:paraId="19B088DE">
            <w:pPr>
              <w:keepNext w:val="0"/>
              <w:keepLines w:val="0"/>
              <w:suppressLineNumbers w:val="0"/>
              <w:spacing w:before="0" w:beforeAutospacing="0" w:after="0" w:afterAutospacing="0" w:line="240" w:lineRule="auto"/>
              <w:ind w:left="0" w:right="0"/>
              <w:jc w:val="both"/>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交货地点</w:t>
            </w:r>
          </w:p>
        </w:tc>
        <w:tc>
          <w:tcPr>
            <w:tcW w:w="3855" w:type="pct"/>
            <w:noWrap w:val="0"/>
            <w:vAlign w:val="center"/>
          </w:tcPr>
          <w:p w14:paraId="2888A18D">
            <w:pPr>
              <w:keepNext w:val="0"/>
              <w:keepLines w:val="0"/>
              <w:suppressLineNumbers w:val="0"/>
              <w:spacing w:before="0" w:beforeAutospacing="0" w:after="0" w:afterAutospacing="0" w:line="240" w:lineRule="auto"/>
              <w:ind w:left="0" w:right="0"/>
              <w:jc w:val="both"/>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采购人指定地点。</w:t>
            </w:r>
          </w:p>
        </w:tc>
      </w:tr>
      <w:tr w14:paraId="05F9A2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44" w:type="pct"/>
            <w:noWrap w:val="0"/>
            <w:vAlign w:val="top"/>
          </w:tcPr>
          <w:p w14:paraId="11D9362C">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rPr>
            </w:pPr>
            <w:r>
              <w:rPr>
                <w:rFonts w:hint="eastAsia" w:ascii="仿宋" w:hAnsi="仿宋" w:eastAsia="仿宋" w:cs="仿宋"/>
                <w:color w:val="auto"/>
                <w:highlight w:val="none"/>
              </w:rPr>
              <w:t>★报价要求</w:t>
            </w:r>
          </w:p>
        </w:tc>
        <w:tc>
          <w:tcPr>
            <w:tcW w:w="3855" w:type="pct"/>
            <w:noWrap w:val="0"/>
            <w:vAlign w:val="top"/>
          </w:tcPr>
          <w:p w14:paraId="287EAB5D">
            <w:pPr>
              <w:keepNext w:val="0"/>
              <w:keepLines w:val="0"/>
              <w:suppressLineNumbers w:val="0"/>
              <w:spacing w:before="0" w:beforeAutospacing="0" w:after="0" w:afterAutospacing="0" w:line="240" w:lineRule="auto"/>
              <w:ind w:left="0" w:right="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供应商应对每个采购人员工提供可在其商店购买1200元或以上商品的虚拟提货券（每个节日的面值要求详见《响应文件格式》之《首次报价一览表》），且虚拟提货券的面值应在其商店按1:1使用，并可同时享受商店同期优惠。供应商须对每个采购人员工的虚拟提货券报每个节日各自的面值，且面值总金额应不低于1200元。</w:t>
            </w:r>
          </w:p>
          <w:p w14:paraId="01A595FF">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kern w:val="2"/>
                <w:sz w:val="24"/>
                <w:szCs w:val="22"/>
                <w:highlight w:val="none"/>
                <w:lang w:val="en-US" w:eastAsia="zh-CN" w:bidi="ar-SA"/>
              </w:rPr>
              <w:t>2.对</w:t>
            </w:r>
            <w:r>
              <w:rPr>
                <w:rFonts w:hint="eastAsia" w:ascii="仿宋" w:hAnsi="仿宋" w:eastAsia="仿宋" w:cs="仿宋"/>
                <w:color w:val="auto"/>
                <w:highlight w:val="none"/>
                <w:lang w:val="en-US" w:eastAsia="zh-CN"/>
              </w:rPr>
              <w:t>每个采购人员工三个节日的虚拟提货券的结算价合计为人民币1200元（每个节日的结算金额详见《响应文件格式》之《首次报价一览表》），具体按实结算。</w:t>
            </w:r>
          </w:p>
          <w:p w14:paraId="6E69D874">
            <w:pPr>
              <w:keepNext w:val="0"/>
              <w:keepLines w:val="0"/>
              <w:suppressLineNumbers w:val="0"/>
              <w:spacing w:before="0" w:beforeAutospacing="0" w:after="0" w:afterAutospacing="0" w:line="240" w:lineRule="auto"/>
              <w:ind w:left="0" w:right="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采购人员工可对三个节日分别选择供应商，因此采购人对各采购包供应商在各节日能获得的结算数量无法预计，也不作承诺，供应商应谨慎评估投标风险，或者考虑在履约过程中注意及时调整销售策略，提供更实惠、丰富的产品品类，以在下一个节日吸引更多采购人员工选择。</w:t>
            </w:r>
          </w:p>
          <w:p w14:paraId="070D616F">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4.供应商应对所投采购包内的所有采购内容进行报价，不允许只对部分内容进行报价。</w:t>
            </w:r>
          </w:p>
          <w:p w14:paraId="19C3ADE6">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报价须包含商品成本、快递费用（如有）、服务费、利润等为完成本项目所需的一切费用。如供应商在成交或履行合同过程中出现任何遗漏性内容需产生额外费用，均由供应商自行承担，采购人不再支付结算价之外的任何其他费用。</w:t>
            </w:r>
          </w:p>
        </w:tc>
      </w:tr>
      <w:tr w14:paraId="7392C7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44" w:type="pct"/>
            <w:noWrap w:val="0"/>
            <w:vAlign w:val="top"/>
          </w:tcPr>
          <w:p w14:paraId="7D6823F4">
            <w:pPr>
              <w:keepNext w:val="0"/>
              <w:keepLines w:val="0"/>
              <w:suppressLineNumbers w:val="0"/>
              <w:spacing w:before="0" w:beforeAutospacing="0" w:after="0" w:afterAutospacing="0" w:line="240" w:lineRule="auto"/>
              <w:ind w:left="0" w:right="0"/>
              <w:rPr>
                <w:rFonts w:hint="default" w:ascii="仿宋" w:hAnsi="仿宋" w:eastAsia="仿宋" w:cs="仿宋"/>
                <w:color w:val="auto"/>
                <w:highlight w:val="none"/>
                <w:lang w:val="en-US" w:eastAsia="zh-CN"/>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合同签订要求</w:t>
            </w:r>
          </w:p>
        </w:tc>
        <w:tc>
          <w:tcPr>
            <w:tcW w:w="3855" w:type="pct"/>
            <w:noWrap w:val="0"/>
            <w:vAlign w:val="top"/>
          </w:tcPr>
          <w:p w14:paraId="514DEB71">
            <w:pPr>
              <w:keepNext w:val="0"/>
              <w:keepLines w:val="0"/>
              <w:suppressLineNumbers w:val="0"/>
              <w:spacing w:before="0" w:beforeAutospacing="0" w:after="0" w:afterAutospacing="0" w:line="240" w:lineRule="auto"/>
              <w:ind w:left="0" w:right="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成交</w:t>
            </w:r>
            <w:r>
              <w:rPr>
                <w:rFonts w:hint="default" w:ascii="仿宋" w:hAnsi="仿宋" w:eastAsia="仿宋" w:cs="仿宋"/>
                <w:color w:val="auto"/>
                <w:highlight w:val="none"/>
                <w:lang w:val="en-US" w:eastAsia="zh-CN"/>
              </w:rPr>
              <w:t>后合同附承诺书（承诺包含所</w:t>
            </w:r>
            <w:r>
              <w:rPr>
                <w:rFonts w:hint="eastAsia" w:ascii="仿宋" w:hAnsi="仿宋" w:eastAsia="仿宋" w:cs="仿宋"/>
                <w:color w:val="auto"/>
                <w:highlight w:val="none"/>
                <w:lang w:val="en-US" w:eastAsia="zh-CN"/>
              </w:rPr>
              <w:t>提供</w:t>
            </w:r>
            <w:r>
              <w:rPr>
                <w:rFonts w:hint="default" w:ascii="仿宋" w:hAnsi="仿宋" w:eastAsia="仿宋" w:cs="仿宋"/>
                <w:color w:val="auto"/>
                <w:highlight w:val="none"/>
                <w:lang w:val="en-US" w:eastAsia="zh-CN"/>
              </w:rPr>
              <w:t>的服务、质量、售后处理</w:t>
            </w:r>
            <w:r>
              <w:rPr>
                <w:rFonts w:hint="eastAsia" w:ascii="仿宋" w:hAnsi="仿宋" w:eastAsia="仿宋" w:cs="仿宋"/>
                <w:color w:val="auto"/>
                <w:highlight w:val="none"/>
                <w:lang w:val="en-US" w:eastAsia="zh-CN"/>
              </w:rPr>
              <w:t>符合磋商文件要求，</w:t>
            </w:r>
            <w:r>
              <w:rPr>
                <w:rFonts w:hint="default" w:ascii="仿宋" w:hAnsi="仿宋" w:eastAsia="仿宋" w:cs="仿宋"/>
                <w:color w:val="auto"/>
                <w:highlight w:val="none"/>
                <w:lang w:val="en-US" w:eastAsia="zh-CN"/>
              </w:rPr>
              <w:t>及如发现与承诺书不符的事项</w:t>
            </w:r>
            <w:r>
              <w:rPr>
                <w:rFonts w:hint="eastAsia" w:ascii="仿宋" w:hAnsi="仿宋" w:eastAsia="仿宋" w:cs="仿宋"/>
                <w:color w:val="auto"/>
                <w:highlight w:val="none"/>
                <w:lang w:val="en-US" w:eastAsia="zh-CN"/>
              </w:rPr>
              <w:t>，供应商同意</w:t>
            </w:r>
            <w:r>
              <w:rPr>
                <w:rFonts w:hint="default" w:ascii="仿宋" w:hAnsi="仿宋" w:eastAsia="仿宋" w:cs="仿宋"/>
                <w:color w:val="auto"/>
                <w:highlight w:val="none"/>
                <w:lang w:val="en-US" w:eastAsia="zh-CN"/>
              </w:rPr>
              <w:t>按照</w:t>
            </w:r>
            <w:r>
              <w:rPr>
                <w:rFonts w:hint="eastAsia" w:ascii="仿宋" w:hAnsi="仿宋" w:eastAsia="仿宋" w:cs="仿宋"/>
                <w:color w:val="auto"/>
                <w:highlight w:val="none"/>
                <w:lang w:val="en-US" w:eastAsia="zh-CN"/>
              </w:rPr>
              <w:t>合同甲方</w:t>
            </w:r>
            <w:r>
              <w:rPr>
                <w:rFonts w:hint="default" w:ascii="仿宋" w:hAnsi="仿宋" w:eastAsia="仿宋" w:cs="仿宋"/>
                <w:color w:val="auto"/>
                <w:highlight w:val="none"/>
                <w:lang w:val="en-US" w:eastAsia="zh-CN"/>
              </w:rPr>
              <w:t>要求接受相应处罚）</w:t>
            </w:r>
          </w:p>
        </w:tc>
      </w:tr>
      <w:tr w14:paraId="2A627B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44" w:type="pct"/>
            <w:noWrap w:val="0"/>
            <w:vAlign w:val="top"/>
          </w:tcPr>
          <w:p w14:paraId="2CC41CC6">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结算方式</w:t>
            </w:r>
          </w:p>
        </w:tc>
        <w:tc>
          <w:tcPr>
            <w:tcW w:w="3855" w:type="pct"/>
            <w:noWrap w:val="0"/>
            <w:vAlign w:val="top"/>
          </w:tcPr>
          <w:p w14:paraId="75678543">
            <w:pPr>
              <w:keepNext w:val="0"/>
              <w:keepLines w:val="0"/>
              <w:suppressLineNumbers w:val="0"/>
              <w:spacing w:before="0" w:beforeAutospacing="0" w:after="0" w:afterAutospacing="0" w:line="240" w:lineRule="auto"/>
              <w:ind w:left="0" w:right="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结算时间：每个节日前供应商根据采购人通知的数量发放虚拟提货券且实际到达采购人员工手机账号之后一个月后，供应商提供结算金额的等额增值税普通发票及发放清单等结算文件给采购人，采购人按医院流程安排付款。</w:t>
            </w:r>
          </w:p>
          <w:p w14:paraId="2954E766">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2.结算金额：以对应节日的结算金额为结算单价，供应商实际发放该节日虚拟提货券的数量为结算数量，计算该期结算金额。计算公式为：结算金额=结算单价×结算数量。具体按签署合同执行。</w:t>
            </w:r>
          </w:p>
        </w:tc>
      </w:tr>
      <w:tr w14:paraId="2D61D4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44" w:type="pct"/>
            <w:noWrap w:val="0"/>
            <w:vAlign w:val="top"/>
          </w:tcPr>
          <w:p w14:paraId="7C4AEAC8">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★付款方式</w:t>
            </w:r>
          </w:p>
        </w:tc>
        <w:tc>
          <w:tcPr>
            <w:tcW w:w="3855" w:type="pct"/>
            <w:noWrap w:val="0"/>
            <w:vAlign w:val="top"/>
          </w:tcPr>
          <w:p w14:paraId="072F14E0">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款项结算货币为人民币，支付方式为银行转账或电汇。</w:t>
            </w:r>
          </w:p>
        </w:tc>
      </w:tr>
      <w:tr w14:paraId="171A41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44" w:type="pct"/>
            <w:noWrap w:val="0"/>
            <w:vAlign w:val="top"/>
          </w:tcPr>
          <w:p w14:paraId="33E79F77">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rPr>
            </w:pPr>
            <w:r>
              <w:rPr>
                <w:rFonts w:hint="eastAsia" w:ascii="仿宋" w:hAnsi="仿宋" w:eastAsia="仿宋" w:cs="仿宋"/>
                <w:color w:val="auto"/>
                <w:highlight w:val="none"/>
              </w:rPr>
              <w:t>验收要求</w:t>
            </w:r>
          </w:p>
        </w:tc>
        <w:tc>
          <w:tcPr>
            <w:tcW w:w="3855" w:type="pct"/>
            <w:noWrap w:val="0"/>
            <w:vAlign w:val="top"/>
          </w:tcPr>
          <w:p w14:paraId="1C1ACCC4">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1.供应商按照磋商文件要求提供虚拟提货券发放、商品销售及配送、售后、购物券过期后延长时限等节日慰问品供应的全过程服务。</w:t>
            </w:r>
          </w:p>
          <w:p w14:paraId="16BEDB9B">
            <w:pPr>
              <w:bidi w:val="0"/>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依照磋商文件的要求和响应文件的承诺选择质量最佳的商品供货，并依照磋商文件的要求和响应文件的承诺提供所有相关服务。</w:t>
            </w:r>
          </w:p>
          <w:p w14:paraId="4C54FF78">
            <w:pPr>
              <w:bidi w:val="0"/>
              <w:rPr>
                <w:rFonts w:hint="eastAsia" w:ascii="仿宋" w:hAnsi="仿宋" w:eastAsia="仿宋" w:cs="仿宋"/>
                <w:snapToGrid w:val="0"/>
                <w:color w:val="000000"/>
                <w:kern w:val="0"/>
                <w:sz w:val="21"/>
                <w:szCs w:val="21"/>
                <w:highlight w:val="none"/>
              </w:rPr>
            </w:pPr>
            <w:r>
              <w:rPr>
                <w:rFonts w:hint="eastAsia" w:ascii="仿宋" w:hAnsi="仿宋" w:eastAsia="仿宋" w:cs="仿宋"/>
                <w:sz w:val="21"/>
                <w:szCs w:val="21"/>
                <w:lang w:val="en-US" w:eastAsia="zh-CN"/>
              </w:rPr>
              <w:t>3.</w:t>
            </w:r>
            <w:r>
              <w:rPr>
                <w:rFonts w:hint="eastAsia" w:ascii="仿宋" w:hAnsi="仿宋" w:eastAsia="仿宋" w:cs="仿宋"/>
                <w:sz w:val="21"/>
                <w:szCs w:val="21"/>
              </w:rPr>
              <w:t>货物若有国家标准按照国家标准验收，若无国家标准按行业或</w:t>
            </w:r>
            <w:r>
              <w:rPr>
                <w:rFonts w:hint="eastAsia" w:ascii="仿宋" w:hAnsi="仿宋" w:eastAsia="仿宋" w:cs="仿宋"/>
                <w:sz w:val="21"/>
                <w:szCs w:val="21"/>
                <w:lang w:val="en-US" w:eastAsia="zh-CN"/>
              </w:rPr>
              <w:t>采购</w:t>
            </w:r>
            <w:r>
              <w:rPr>
                <w:rFonts w:hint="eastAsia" w:ascii="仿宋" w:hAnsi="仿宋" w:eastAsia="仿宋" w:cs="仿宋"/>
                <w:sz w:val="21"/>
                <w:szCs w:val="21"/>
              </w:rPr>
              <w:t>方标准验</w:t>
            </w:r>
            <w:r>
              <w:rPr>
                <w:rFonts w:hint="eastAsia" w:ascii="仿宋" w:hAnsi="仿宋" w:eastAsia="仿宋" w:cs="仿宋"/>
                <w:snapToGrid w:val="0"/>
                <w:color w:val="000000"/>
                <w:kern w:val="0"/>
                <w:sz w:val="21"/>
                <w:szCs w:val="21"/>
                <w:highlight w:val="none"/>
              </w:rPr>
              <w:t>收。</w:t>
            </w:r>
          </w:p>
          <w:p w14:paraId="14FAA842">
            <w:pPr>
              <w:keepNext w:val="0"/>
              <w:keepLines w:val="0"/>
              <w:suppressLineNumbers w:val="0"/>
              <w:spacing w:before="0" w:beforeAutospacing="0" w:after="0" w:afterAutospacing="0" w:line="240" w:lineRule="auto"/>
              <w:ind w:left="0" w:right="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3.未尽事宜，按磋商文件合同文本约定。</w:t>
            </w:r>
          </w:p>
        </w:tc>
      </w:tr>
      <w:tr w14:paraId="63CCC2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44" w:type="pct"/>
            <w:noWrap w:val="0"/>
            <w:vAlign w:val="top"/>
          </w:tcPr>
          <w:p w14:paraId="1EA003FB">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rPr>
            </w:pPr>
            <w:r>
              <w:rPr>
                <w:rFonts w:hint="eastAsia" w:ascii="仿宋" w:hAnsi="仿宋" w:eastAsia="仿宋" w:cs="仿宋"/>
                <w:color w:val="auto"/>
                <w:highlight w:val="none"/>
              </w:rPr>
              <w:t>履约保证金</w:t>
            </w:r>
          </w:p>
        </w:tc>
        <w:tc>
          <w:tcPr>
            <w:tcW w:w="3855" w:type="pct"/>
            <w:noWrap w:val="0"/>
            <w:vAlign w:val="top"/>
          </w:tcPr>
          <w:p w14:paraId="22C4B803">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rPr>
            </w:pPr>
            <w:r>
              <w:rPr>
                <w:rFonts w:hint="eastAsia" w:ascii="仿宋" w:hAnsi="仿宋" w:eastAsia="仿宋" w:cs="仿宋"/>
                <w:color w:val="auto"/>
                <w:highlight w:val="none"/>
              </w:rPr>
              <w:t>不收取。</w:t>
            </w:r>
          </w:p>
        </w:tc>
      </w:tr>
      <w:tr w14:paraId="7EF868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44" w:type="pct"/>
            <w:noWrap w:val="0"/>
            <w:vAlign w:val="top"/>
          </w:tcPr>
          <w:p w14:paraId="51F5459B">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同类项目经验</w:t>
            </w:r>
          </w:p>
        </w:tc>
        <w:tc>
          <w:tcPr>
            <w:tcW w:w="3855" w:type="pct"/>
            <w:noWrap w:val="0"/>
            <w:vAlign w:val="top"/>
          </w:tcPr>
          <w:p w14:paraId="508254E4">
            <w:pPr>
              <w:keepNext w:val="0"/>
              <w:keepLines w:val="0"/>
              <w:suppressLineNumbers w:val="0"/>
              <w:spacing w:before="0" w:beforeAutospacing="0" w:after="0" w:afterAutospacing="0" w:line="240" w:lineRule="auto"/>
              <w:ind w:left="0" w:right="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供应商应具备同类项目经验，并在以往的项目中获得客户的好评，以体现履约能力。</w:t>
            </w:r>
          </w:p>
          <w:p w14:paraId="44E2F8D5">
            <w:pPr>
              <w:keepNext w:val="0"/>
              <w:keepLines w:val="0"/>
              <w:suppressLineNumbers w:val="0"/>
              <w:spacing w:before="0" w:beforeAutospacing="0" w:after="0" w:afterAutospacing="0" w:line="240" w:lineRule="auto"/>
              <w:ind w:left="0" w:right="0"/>
              <w:rPr>
                <w:rFonts w:hint="default" w:ascii="仿宋" w:hAnsi="仿宋" w:eastAsia="仿宋" w:cs="仿宋"/>
                <w:color w:val="auto"/>
                <w:highlight w:val="none"/>
                <w:lang w:val="en-US" w:eastAsia="zh-CN"/>
              </w:rPr>
            </w:pPr>
          </w:p>
        </w:tc>
      </w:tr>
      <w:tr w14:paraId="16AB0C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44" w:type="pct"/>
            <w:noWrap w:val="0"/>
            <w:vAlign w:val="top"/>
          </w:tcPr>
          <w:p w14:paraId="0C255465">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其他服务要求</w:t>
            </w:r>
          </w:p>
        </w:tc>
        <w:tc>
          <w:tcPr>
            <w:tcW w:w="3855" w:type="pct"/>
            <w:noWrap w:val="0"/>
            <w:vAlign w:val="top"/>
          </w:tcPr>
          <w:p w14:paraId="61DCCC71">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1.合同签订后，供应商应按照约定的时间和方式提供服务。需明确节日前慰问品领取或邮寄的时间节点，例如：可提前[15]天发放或邮寄，以保证节日慰问品的“节日属性”及时效性。</w:t>
            </w:r>
          </w:p>
          <w:p w14:paraId="18589224">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2.对于线下门店，供应商应合理安排门店的营业时间、服务人员、库存等，预判并确保满足采购人员工可能节前扎堆领取的需求。对于线上商店，要保证物流配送的及时性和准确性，并须提供物流信息查询渠道。</w:t>
            </w:r>
          </w:p>
          <w:p w14:paraId="65612C15">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供应商需建立售后服务机制，员工领取的商品售后由商家一站式服务，不得要求员工自行联系生产厂家。对于商品物流配送问题、质量问题、使用问题等各类售后问题，能够及时响应并妥善处理，响应时间不超过[2]个工作日。</w:t>
            </w:r>
          </w:p>
          <w:p w14:paraId="014067BB">
            <w:pPr>
              <w:keepNext w:val="0"/>
              <w:keepLines w:val="0"/>
              <w:suppressLineNumbers w:val="0"/>
              <w:spacing w:before="0" w:beforeAutospacing="0" w:after="0" w:afterAutospacing="0" w:line="240" w:lineRule="auto"/>
              <w:ind w:left="0" w:right="0"/>
              <w:rPr>
                <w:rFonts w:hint="default" w:ascii="仿宋" w:hAnsi="仿宋" w:eastAsia="宋体" w:cs="仿宋"/>
                <w:color w:val="auto"/>
                <w:highlight w:val="none"/>
                <w:lang w:val="en-US" w:eastAsia="zh-CN"/>
              </w:rPr>
            </w:pPr>
            <w:r>
              <w:rPr>
                <w:rFonts w:hint="eastAsia" w:ascii="仿宋" w:hAnsi="仿宋" w:eastAsia="仿宋" w:cs="仿宋"/>
                <w:color w:val="auto"/>
                <w:highlight w:val="none"/>
                <w:lang w:val="en-US" w:eastAsia="zh-CN"/>
              </w:rPr>
              <w:t>★4.价格要求：供应商提供的商品价格需合理，与京东、天猫超市等同类商品价格水平相当或更低。</w:t>
            </w:r>
            <w:r>
              <w:rPr>
                <w:rFonts w:hint="eastAsia" w:ascii="仿宋" w:hAnsi="仿宋" w:eastAsia="仿宋" w:cs="仿宋"/>
                <w:strike w:val="0"/>
                <w:color w:val="auto"/>
                <w:highlight w:val="none"/>
                <w:lang w:val="en-US" w:eastAsia="zh-CN"/>
              </w:rPr>
              <w:t>供应商应在响应文件中提供承诺函，承诺服务期内所供商品价格不高于同期京东、天猫超市同品牌同型号商品价格（特价产品除外。特价产品如京东“百亿补贴”产品等），否则供应商须向该采购人员工退差价。</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lang w:val="en-US" w:eastAsia="zh-CN"/>
              </w:rPr>
              <w:t>须提供承诺函，格式见《响应文件格式》）</w:t>
            </w:r>
          </w:p>
          <w:p w14:paraId="7A996656">
            <w:pPr>
              <w:keepNext w:val="0"/>
              <w:keepLines w:val="0"/>
              <w:suppressLineNumbers w:val="0"/>
              <w:spacing w:before="0" w:beforeAutospacing="0" w:after="0" w:afterAutospacing="0" w:line="240" w:lineRule="auto"/>
              <w:ind w:left="0" w:right="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5.违约责任：若供应商出现违约情况，如未按时提供、商品质量不合格、供应不足或售后推诿等，须按照合同约定承担相应的违约责任，同时，采购人有权根据违约情况解除合同。</w:t>
            </w:r>
          </w:p>
        </w:tc>
      </w:tr>
    </w:tbl>
    <w:p w14:paraId="31BEEFD0">
      <w:pPr>
        <w:numPr>
          <w:ilvl w:val="0"/>
          <w:numId w:val="0"/>
        </w:numPr>
        <w:bidi w:val="0"/>
        <w:ind w:firstLine="602" w:firstLineChars="200"/>
        <w:jc w:val="left"/>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sz w:val="32"/>
          <w:szCs w:val="32"/>
          <w:highlight w:val="none"/>
          <w:lang w:eastAsia="zh-CN"/>
        </w:rPr>
        <w:t>五</w:t>
      </w:r>
      <w:r>
        <w:rPr>
          <w:rFonts w:hint="eastAsia" w:ascii="仿宋" w:hAnsi="仿宋" w:eastAsia="仿宋" w:cs="仿宋"/>
          <w:b/>
          <w:bCs/>
          <w:color w:val="auto"/>
          <w:kern w:val="2"/>
          <w:sz w:val="32"/>
          <w:szCs w:val="32"/>
          <w:lang w:val="en-US" w:eastAsia="zh-CN" w:bidi="ar-SA"/>
        </w:rPr>
        <w:t>、供应商资格条件</w:t>
      </w:r>
    </w:p>
    <w:p w14:paraId="3990BC0C">
      <w:pPr>
        <w:numPr>
          <w:ilvl w:val="-1"/>
          <w:numId w:val="0"/>
        </w:numPr>
        <w:bidi w:val="0"/>
        <w:ind w:firstLine="602" w:firstLineChars="200"/>
        <w:jc w:val="left"/>
        <w:rPr>
          <w:rFonts w:hint="default" w:ascii="仿宋" w:hAnsi="仿宋" w:eastAsia="仿宋" w:cs="仿宋"/>
          <w:b w:val="0"/>
          <w:bCs w:val="0"/>
          <w:color w:val="auto"/>
          <w:sz w:val="32"/>
          <w:szCs w:val="32"/>
        </w:rPr>
      </w:pPr>
      <w:r>
        <w:rPr>
          <w:rFonts w:hint="default" w:ascii="仿宋" w:hAnsi="仿宋" w:eastAsia="仿宋" w:cs="仿宋"/>
          <w:b w:val="0"/>
          <w:bCs w:val="0"/>
          <w:color w:val="auto"/>
          <w:sz w:val="32"/>
          <w:szCs w:val="32"/>
        </w:rPr>
        <w:t>1.供应商应具备资格条件，并提供下列材料：</w:t>
      </w:r>
    </w:p>
    <w:p w14:paraId="4EF94573">
      <w:pPr>
        <w:numPr>
          <w:ilvl w:val="-1"/>
          <w:numId w:val="0"/>
        </w:numPr>
        <w:bidi w:val="0"/>
        <w:ind w:firstLine="602" w:firstLineChars="200"/>
        <w:jc w:val="left"/>
        <w:rPr>
          <w:rFonts w:hint="default" w:ascii="仿宋" w:hAnsi="仿宋" w:eastAsia="仿宋" w:cs="仿宋"/>
          <w:b w:val="0"/>
          <w:bCs w:val="0"/>
          <w:color w:val="auto"/>
          <w:sz w:val="32"/>
          <w:szCs w:val="32"/>
        </w:rPr>
      </w:pPr>
      <w:r>
        <w:rPr>
          <w:rFonts w:hint="default" w:ascii="仿宋" w:hAnsi="仿宋" w:eastAsia="仿宋" w:cs="仿宋"/>
          <w:b w:val="0"/>
          <w:bCs w:val="0"/>
          <w:color w:val="auto"/>
          <w:sz w:val="32"/>
          <w:szCs w:val="32"/>
        </w:rPr>
        <w:t>1）具有独立承担民事责任的能力：是在中华人民共和国境内注册的法人或其他组织，投标时提交有效的营业执照（或事业法人登记证或社会团体登记证或民办非企业单位登记证等相关证明）副本复印件。（如国家另有规定的，则从其规定。如供应商为分支机构，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07694023">
      <w:pPr>
        <w:numPr>
          <w:ilvl w:val="-1"/>
          <w:numId w:val="0"/>
        </w:numPr>
        <w:bidi w:val="0"/>
        <w:ind w:firstLine="602" w:firstLineChars="200"/>
        <w:jc w:val="left"/>
        <w:rPr>
          <w:rFonts w:hint="default" w:ascii="仿宋" w:hAnsi="仿宋" w:eastAsia="仿宋" w:cs="仿宋"/>
          <w:b w:val="0"/>
          <w:bCs w:val="0"/>
          <w:color w:val="auto"/>
          <w:sz w:val="32"/>
          <w:szCs w:val="32"/>
        </w:rPr>
      </w:pPr>
      <w:r>
        <w:rPr>
          <w:rFonts w:hint="default" w:ascii="仿宋" w:hAnsi="仿宋" w:eastAsia="仿宋" w:cs="仿宋"/>
          <w:b w:val="0"/>
          <w:bCs w:val="0"/>
          <w:color w:val="auto"/>
          <w:sz w:val="32"/>
          <w:szCs w:val="32"/>
        </w:rPr>
        <w:t>2）具有良好的商业信誉和健全的财务会计制度：提供《供应商资格声明函》。</w:t>
      </w:r>
    </w:p>
    <w:p w14:paraId="22F05F2C">
      <w:pPr>
        <w:numPr>
          <w:ilvl w:val="-1"/>
          <w:numId w:val="0"/>
        </w:numPr>
        <w:bidi w:val="0"/>
        <w:ind w:firstLine="602" w:firstLineChars="200"/>
        <w:jc w:val="left"/>
        <w:rPr>
          <w:rFonts w:hint="default" w:ascii="仿宋" w:hAnsi="仿宋" w:eastAsia="仿宋" w:cs="仿宋"/>
          <w:b w:val="0"/>
          <w:bCs w:val="0"/>
          <w:color w:val="auto"/>
          <w:sz w:val="32"/>
          <w:szCs w:val="32"/>
        </w:rPr>
      </w:pPr>
      <w:r>
        <w:rPr>
          <w:rFonts w:hint="default" w:ascii="仿宋" w:hAnsi="仿宋" w:eastAsia="仿宋" w:cs="仿宋"/>
          <w:b w:val="0"/>
          <w:bCs w:val="0"/>
          <w:color w:val="auto"/>
          <w:sz w:val="32"/>
          <w:szCs w:val="32"/>
        </w:rPr>
        <w:t>3）有依法缴纳税收和社会保障资金的良好记录：提供《供应商资格声明函》。</w:t>
      </w:r>
    </w:p>
    <w:p w14:paraId="6CC400EC">
      <w:pPr>
        <w:numPr>
          <w:ilvl w:val="-1"/>
          <w:numId w:val="0"/>
        </w:numPr>
        <w:bidi w:val="0"/>
        <w:ind w:firstLine="602" w:firstLineChars="200"/>
        <w:jc w:val="left"/>
        <w:rPr>
          <w:rFonts w:hint="default" w:ascii="仿宋" w:hAnsi="仿宋" w:eastAsia="仿宋" w:cs="仿宋"/>
          <w:b w:val="0"/>
          <w:bCs w:val="0"/>
          <w:color w:val="auto"/>
          <w:sz w:val="32"/>
          <w:szCs w:val="32"/>
        </w:rPr>
      </w:pPr>
      <w:r>
        <w:rPr>
          <w:rFonts w:hint="default" w:ascii="仿宋" w:hAnsi="仿宋" w:eastAsia="仿宋" w:cs="仿宋"/>
          <w:b w:val="0"/>
          <w:bCs w:val="0"/>
          <w:color w:val="auto"/>
          <w:sz w:val="32"/>
          <w:szCs w:val="32"/>
        </w:rPr>
        <w:t>4）具有履行合同所必须的设备和专业技术能力：提供《供应商资格声明函》。</w:t>
      </w:r>
    </w:p>
    <w:p w14:paraId="3CFD54BF">
      <w:pPr>
        <w:numPr>
          <w:ilvl w:val="-1"/>
          <w:numId w:val="0"/>
        </w:numPr>
        <w:bidi w:val="0"/>
        <w:ind w:firstLine="602" w:firstLineChars="200"/>
        <w:jc w:val="left"/>
        <w:rPr>
          <w:rFonts w:hint="default" w:ascii="仿宋" w:hAnsi="仿宋" w:eastAsia="仿宋" w:cs="仿宋"/>
          <w:b w:val="0"/>
          <w:bCs w:val="0"/>
          <w:color w:val="auto"/>
          <w:sz w:val="32"/>
          <w:szCs w:val="32"/>
        </w:rPr>
      </w:pPr>
      <w:r>
        <w:rPr>
          <w:rFonts w:hint="default" w:ascii="仿宋" w:hAnsi="仿宋" w:eastAsia="仿宋" w:cs="仿宋"/>
          <w:b w:val="0"/>
          <w:bCs w:val="0"/>
          <w:color w:val="auto"/>
          <w:sz w:val="32"/>
          <w:szCs w:val="32"/>
        </w:rPr>
        <w:t>5）参加采购活动前三年内，在经营活动中没有重大违法记录：提供《供应商资格声明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078BCC9B">
      <w:pPr>
        <w:numPr>
          <w:ilvl w:val="-1"/>
          <w:numId w:val="0"/>
        </w:numPr>
        <w:bidi w:val="0"/>
        <w:ind w:firstLine="602" w:firstLineChars="200"/>
        <w:jc w:val="left"/>
        <w:rPr>
          <w:rFonts w:hint="default" w:ascii="仿宋" w:hAnsi="仿宋" w:eastAsia="仿宋" w:cs="仿宋"/>
          <w:b w:val="0"/>
          <w:bCs w:val="0"/>
          <w:color w:val="auto"/>
          <w:sz w:val="32"/>
          <w:szCs w:val="32"/>
        </w:rPr>
      </w:pPr>
      <w:r>
        <w:rPr>
          <w:rFonts w:hint="default" w:ascii="仿宋" w:hAnsi="仿宋" w:eastAsia="仿宋" w:cs="仿宋"/>
          <w:b w:val="0"/>
          <w:bCs w:val="0"/>
          <w:color w:val="auto"/>
          <w:sz w:val="32"/>
          <w:szCs w:val="32"/>
        </w:rPr>
        <w:t>2.落实采购政策需满足的资格要求：</w:t>
      </w:r>
    </w:p>
    <w:p w14:paraId="35C9457C">
      <w:pPr>
        <w:numPr>
          <w:ilvl w:val="-1"/>
          <w:numId w:val="0"/>
        </w:numPr>
        <w:bidi w:val="0"/>
        <w:ind w:firstLine="602" w:firstLineChars="200"/>
        <w:jc w:val="left"/>
        <w:rPr>
          <w:rFonts w:hint="default" w:ascii="仿宋" w:hAnsi="仿宋" w:eastAsia="仿宋" w:cs="仿宋"/>
          <w:b w:val="0"/>
          <w:bCs w:val="0"/>
          <w:color w:val="auto"/>
          <w:sz w:val="32"/>
          <w:szCs w:val="32"/>
        </w:rPr>
      </w:pPr>
      <w:r>
        <w:rPr>
          <w:rFonts w:hint="default" w:ascii="仿宋" w:hAnsi="仿宋" w:eastAsia="仿宋" w:cs="仿宋"/>
          <w:b w:val="0"/>
          <w:bCs w:val="0"/>
          <w:color w:val="auto"/>
          <w:sz w:val="32"/>
          <w:szCs w:val="32"/>
        </w:rPr>
        <w:t>本项目不专门面向中小企业。</w:t>
      </w:r>
    </w:p>
    <w:p w14:paraId="4DC69533">
      <w:pPr>
        <w:numPr>
          <w:ilvl w:val="-1"/>
          <w:numId w:val="0"/>
        </w:numPr>
        <w:bidi w:val="0"/>
        <w:ind w:firstLine="602" w:firstLineChars="200"/>
        <w:jc w:val="left"/>
        <w:rPr>
          <w:rFonts w:hint="default" w:ascii="仿宋" w:hAnsi="仿宋" w:eastAsia="仿宋" w:cs="仿宋"/>
          <w:b w:val="0"/>
          <w:bCs w:val="0"/>
          <w:color w:val="auto"/>
          <w:sz w:val="32"/>
          <w:szCs w:val="32"/>
        </w:rPr>
      </w:pPr>
      <w:r>
        <w:rPr>
          <w:rFonts w:hint="default" w:ascii="仿宋" w:hAnsi="仿宋" w:eastAsia="仿宋" w:cs="仿宋"/>
          <w:b w:val="0"/>
          <w:bCs w:val="0"/>
          <w:color w:val="auto"/>
          <w:sz w:val="32"/>
          <w:szCs w:val="32"/>
        </w:rPr>
        <w:t>3.本项目的特定资格要求：</w:t>
      </w:r>
    </w:p>
    <w:p w14:paraId="14C4892A">
      <w:pPr>
        <w:numPr>
          <w:ilvl w:val="-1"/>
          <w:numId w:val="0"/>
        </w:numPr>
        <w:bidi w:val="0"/>
        <w:ind w:firstLine="602" w:firstLineChars="200"/>
        <w:jc w:val="both"/>
        <w:rPr>
          <w:rFonts w:hint="eastAsia" w:ascii="仿宋" w:hAnsi="仿宋" w:eastAsia="仿宋" w:cs="仿宋"/>
          <w:b w:val="0"/>
          <w:color w:val="auto"/>
          <w:sz w:val="32"/>
          <w:szCs w:val="32"/>
        </w:rPr>
      </w:pPr>
      <w:r>
        <w:rPr>
          <w:rFonts w:hint="eastAsia" w:ascii="仿宋" w:hAnsi="仿宋" w:eastAsia="仿宋" w:cs="仿宋"/>
          <w:b w:val="0"/>
          <w:color w:val="auto"/>
          <w:sz w:val="32"/>
          <w:szCs w:val="32"/>
        </w:rPr>
        <w:t>（1）信用记录：供应商未被列入“信用中国”网站(www.creditchina.gov.cn)“失信被执行人”或“重大税收违法失信主体”或“政府采购严重违法失信行为”记录名单；不处于中国政府采购网(www.ccgp.gov.cn)“政府采购严重违法失信行为信息记录”中的禁止参加政府采购活动期间。（以采购代理机构于投标截止时间当天在“信用中国”网站（www.creditchina.gov.cn）及中国政府采购网（http://www.ccgp.gov.cn/）查询结果为准，如相关失信记录已失效，供应商需提供相关证明资料）。</w:t>
      </w:r>
    </w:p>
    <w:p w14:paraId="0425370F">
      <w:pPr>
        <w:numPr>
          <w:ilvl w:val="-1"/>
          <w:numId w:val="0"/>
        </w:numPr>
        <w:bidi w:val="0"/>
        <w:ind w:firstLine="602" w:firstLineChars="200"/>
        <w:jc w:val="left"/>
        <w:rPr>
          <w:rFonts w:hint="default" w:ascii="仿宋" w:hAnsi="仿宋" w:eastAsia="仿宋" w:cs="仿宋"/>
          <w:b w:val="0"/>
          <w:bCs w:val="0"/>
          <w:color w:val="auto"/>
          <w:sz w:val="32"/>
          <w:szCs w:val="32"/>
        </w:rPr>
      </w:pPr>
      <w:r>
        <w:rPr>
          <w:rFonts w:hint="default" w:ascii="仿宋" w:hAnsi="仿宋" w:eastAsia="仿宋" w:cs="仿宋"/>
          <w:b w:val="0"/>
          <w:bCs w:val="0"/>
          <w:color w:val="auto"/>
          <w:sz w:val="32"/>
          <w:szCs w:val="32"/>
        </w:rPr>
        <w:t>（2）供应商必须符合法律、行政法规规定的其他条件：单位负责人为同一人或者存在直接控股、管理关系的不同供应商，不得同时参加本采购项目（采购包）投标。为本项目提供整体设计、规范编制或者项目管理、监理、检测等服务的供应商，不得再参与本项目投标。（提供《供应商资格声明函》）。</w:t>
      </w:r>
    </w:p>
    <w:p w14:paraId="6898FBE2">
      <w:pPr>
        <w:numPr>
          <w:ilvl w:val="0"/>
          <w:numId w:val="0"/>
        </w:numPr>
        <w:ind w:firstLine="602" w:firstLineChars="200"/>
        <w:rPr>
          <w:rFonts w:hint="default" w:eastAsia="宋体"/>
          <w:lang w:val="en-US" w:eastAsia="zh-CN"/>
        </w:rPr>
      </w:pPr>
      <w:r>
        <w:rPr>
          <w:rFonts w:hint="default" w:ascii="仿宋" w:hAnsi="仿宋" w:eastAsia="仿宋" w:cs="仿宋"/>
          <w:b w:val="0"/>
          <w:bCs w:val="0"/>
          <w:color w:val="auto"/>
          <w:sz w:val="32"/>
          <w:szCs w:val="32"/>
        </w:rPr>
        <w:t>（</w:t>
      </w:r>
      <w:r>
        <w:rPr>
          <w:rFonts w:hint="eastAsia" w:ascii="仿宋" w:hAnsi="仿宋" w:eastAsia="仿宋" w:cs="仿宋"/>
          <w:b w:val="0"/>
          <w:bCs w:val="0"/>
          <w:color w:val="auto"/>
          <w:sz w:val="32"/>
          <w:szCs w:val="32"/>
          <w:lang w:eastAsia="zh-CN"/>
        </w:rPr>
        <w:t>3</w:t>
      </w:r>
      <w:r>
        <w:rPr>
          <w:rFonts w:hint="default" w:ascii="仿宋" w:hAnsi="仿宋" w:eastAsia="仿宋" w:cs="仿宋"/>
          <w:b w:val="0"/>
          <w:bCs w:val="0"/>
          <w:color w:val="auto"/>
          <w:sz w:val="32"/>
          <w:szCs w:val="32"/>
        </w:rPr>
        <w:t>）</w:t>
      </w:r>
      <w:r>
        <w:rPr>
          <w:rFonts w:hint="eastAsia" w:ascii="仿宋" w:hAnsi="仿宋" w:eastAsia="仿宋" w:cs="仿宋"/>
          <w:i w:val="0"/>
          <w:iCs w:val="0"/>
          <w:caps w:val="0"/>
          <w:color w:val="222222"/>
          <w:spacing w:val="0"/>
          <w:sz w:val="32"/>
          <w:szCs w:val="32"/>
          <w:shd w:val="clear" w:fill="FFFFFF"/>
        </w:rPr>
        <w:t>投标时提供有效期内的《食品经营许可证》或《销售预包装食品备案证明》；如在投标时未获得《食品经营许可证》或《销售预包装食品备案证明》，须承诺中标后，会提供销售预包装食品备案证明（提供证书或备案证明或提供承诺）</w:t>
      </w:r>
      <w:r>
        <w:rPr>
          <w:rFonts w:hint="eastAsia" w:ascii="仿宋" w:hAnsi="仿宋" w:eastAsia="仿宋" w:cs="仿宋"/>
          <w:i w:val="0"/>
          <w:iCs w:val="0"/>
          <w:caps w:val="0"/>
          <w:color w:val="222222"/>
          <w:spacing w:val="0"/>
          <w:sz w:val="32"/>
          <w:szCs w:val="32"/>
          <w:shd w:val="clear" w:fill="FFFFFF"/>
          <w:lang w:eastAsia="zh-CN"/>
        </w:rPr>
        <w:t>。</w:t>
      </w:r>
      <w:r>
        <w:rPr>
          <w:rFonts w:hint="default" w:ascii="仿宋" w:hAnsi="仿宋" w:eastAsia="仿宋" w:cs="仿宋"/>
          <w:b w:val="0"/>
          <w:bCs w:val="0"/>
          <w:color w:val="auto"/>
          <w:sz w:val="32"/>
          <w:szCs w:val="32"/>
        </w:rPr>
        <w:t>如国家或地方另有规定的，则适用其规定并由供应商出具相关说明材料。</w:t>
      </w:r>
    </w:p>
    <w:p w14:paraId="574CB03B">
      <w:pPr>
        <w:ind w:firstLine="602" w:firstLineChars="200"/>
        <w:outlineLvl w:val="0"/>
        <w:rPr>
          <w:rFonts w:hint="eastAsia" w:ascii="仿宋" w:hAnsi="仿宋" w:eastAsia="仿宋" w:cs="仿宋"/>
          <w:b w:val="0"/>
          <w:bCs w:val="0"/>
          <w:color w:val="auto"/>
          <w:spacing w:val="-8"/>
          <w:sz w:val="32"/>
          <w:szCs w:val="32"/>
          <w:lang w:val="en-US" w:eastAsia="zh-CN"/>
        </w:rPr>
      </w:pPr>
      <w:r>
        <w:rPr>
          <w:rFonts w:hint="default" w:ascii="仿宋" w:hAnsi="仿宋" w:eastAsia="仿宋" w:cs="仿宋"/>
          <w:b w:val="0"/>
          <w:bCs w:val="0"/>
          <w:color w:val="auto"/>
          <w:sz w:val="32"/>
          <w:szCs w:val="32"/>
        </w:rPr>
        <w:t>（</w:t>
      </w:r>
      <w:r>
        <w:rPr>
          <w:rFonts w:hint="eastAsia" w:ascii="仿宋" w:hAnsi="仿宋" w:eastAsia="仿宋" w:cs="仿宋"/>
          <w:b w:val="0"/>
          <w:bCs w:val="0"/>
          <w:color w:val="auto"/>
          <w:sz w:val="32"/>
          <w:szCs w:val="32"/>
          <w:lang w:eastAsia="zh-CN"/>
        </w:rPr>
        <w:t>4</w:t>
      </w:r>
      <w:r>
        <w:rPr>
          <w:rFonts w:hint="default" w:ascii="仿宋" w:hAnsi="仿宋" w:eastAsia="仿宋" w:cs="仿宋"/>
          <w:b w:val="0"/>
          <w:bCs w:val="0"/>
          <w:color w:val="auto"/>
          <w:sz w:val="32"/>
          <w:szCs w:val="32"/>
        </w:rPr>
        <w:t>）本项目不接受联合体投标、不允许挂靠、转包及分包。</w:t>
      </w:r>
    </w:p>
    <w:sectPr>
      <w:headerReference r:id="rId3" w:type="default"/>
      <w:footerReference r:id="rId5" w:type="default"/>
      <w:headerReference r:id="rId4" w:type="even"/>
      <w:footerReference r:id="rId6" w:type="even"/>
      <w:pgSz w:w="11906" w:h="16838"/>
      <w:pgMar w:top="1418" w:right="1134" w:bottom="1134" w:left="1418" w:header="851" w:footer="992" w:gutter="0"/>
      <w:pgNumType w:start="0"/>
      <w:cols w:space="720" w:num="1"/>
      <w:titlePg/>
      <w:docGrid w:type="linesAndChars" w:linePitch="291" w:charSpace="-39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29CDA">
    <w:pPr>
      <w:pStyle w:val="16"/>
      <w:framePr w:wrap="around" w:vAnchor="text" w:hAnchor="margin" w:xAlign="center" w:y="1"/>
      <w:rPr>
        <w:rStyle w:val="25"/>
      </w:rPr>
    </w:pPr>
    <w:r>
      <w:fldChar w:fldCharType="begin"/>
    </w:r>
    <w:r>
      <w:rPr>
        <w:rStyle w:val="25"/>
      </w:rPr>
      <w:instrText xml:space="preserve">PAGE  </w:instrText>
    </w:r>
    <w:r>
      <w:fldChar w:fldCharType="separate"/>
    </w:r>
    <w:r>
      <w:rPr>
        <w:rStyle w:val="25"/>
      </w:rPr>
      <w:t>1</w:t>
    </w:r>
    <w:r>
      <w:fldChar w:fldCharType="end"/>
    </w:r>
  </w:p>
  <w:p w14:paraId="059C8CD4">
    <w:pPr>
      <w:pStyle w:val="16"/>
      <w:jc w:val="right"/>
      <w:rPr>
        <w:rFonts w:hint="eastAsia"/>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59F4F">
    <w:pPr>
      <w:pStyle w:val="16"/>
      <w:framePr w:wrap="around" w:vAnchor="text" w:hAnchor="margin" w:xAlign="center" w:y="1"/>
      <w:rPr>
        <w:rStyle w:val="25"/>
      </w:rPr>
    </w:pPr>
    <w:r>
      <w:fldChar w:fldCharType="begin"/>
    </w:r>
    <w:r>
      <w:rPr>
        <w:rStyle w:val="25"/>
      </w:rPr>
      <w:instrText xml:space="preserve">PAGE  </w:instrText>
    </w:r>
    <w:r>
      <w:fldChar w:fldCharType="end"/>
    </w:r>
  </w:p>
  <w:p w14:paraId="5A289863">
    <w:pPr>
      <w:pStyle w:val="1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00FD1">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F78B0">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11300C"/>
    <w:multiLevelType w:val="singleLevel"/>
    <w:tmpl w:val="5911300C"/>
    <w:lvl w:ilvl="0" w:tentative="0">
      <w:start w:val="1"/>
      <w:numFmt w:val="upperLetter"/>
      <w:pStyle w:val="5"/>
      <w:lvlText w:val="%1."/>
      <w:lvlJc w:val="left"/>
      <w:pPr>
        <w:tabs>
          <w:tab w:val="left" w:pos="425"/>
        </w:tabs>
        <w:ind w:left="425" w:hanging="425"/>
      </w:pPr>
    </w:lvl>
  </w:abstractNum>
  <w:abstractNum w:abstractNumId="1">
    <w:nsid w:val="66B27DCD"/>
    <w:multiLevelType w:val="singleLevel"/>
    <w:tmpl w:val="66B27DCD"/>
    <w:lvl w:ilvl="0" w:tentative="0">
      <w:start w:val="1"/>
      <w:numFmt w:val="upperLetter"/>
      <w:pStyle w:val="7"/>
      <w:lvlText w:val="%1."/>
      <w:lvlJc w:val="left"/>
      <w:pPr>
        <w:tabs>
          <w:tab w:val="left" w:pos="405"/>
        </w:tabs>
        <w:ind w:left="405" w:hanging="3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HorizontalSpacing w:val="191"/>
  <w:drawingGridVerticalSpacing w:val="29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2ODM4ZGNlNGQ5NDc0N2ViYzQyOWI1N2M1Yzk5MTgifQ=="/>
  </w:docVars>
  <w:rsids>
    <w:rsidRoot w:val="004C3D73"/>
    <w:rsid w:val="000045E2"/>
    <w:rsid w:val="00004B57"/>
    <w:rsid w:val="00010B03"/>
    <w:rsid w:val="00016826"/>
    <w:rsid w:val="000210E2"/>
    <w:rsid w:val="00022C08"/>
    <w:rsid w:val="000262A6"/>
    <w:rsid w:val="000268A4"/>
    <w:rsid w:val="00026E2A"/>
    <w:rsid w:val="00027D4D"/>
    <w:rsid w:val="00032D57"/>
    <w:rsid w:val="00034FEB"/>
    <w:rsid w:val="0003512C"/>
    <w:rsid w:val="00035F9D"/>
    <w:rsid w:val="00036927"/>
    <w:rsid w:val="00037DAD"/>
    <w:rsid w:val="00040C6F"/>
    <w:rsid w:val="0004126F"/>
    <w:rsid w:val="00041617"/>
    <w:rsid w:val="00042CCD"/>
    <w:rsid w:val="0004613C"/>
    <w:rsid w:val="00047873"/>
    <w:rsid w:val="0005136E"/>
    <w:rsid w:val="000540C8"/>
    <w:rsid w:val="00054FB2"/>
    <w:rsid w:val="00064889"/>
    <w:rsid w:val="00066DEF"/>
    <w:rsid w:val="00074CDE"/>
    <w:rsid w:val="000848A0"/>
    <w:rsid w:val="000860E1"/>
    <w:rsid w:val="00086BF5"/>
    <w:rsid w:val="00090D56"/>
    <w:rsid w:val="00094541"/>
    <w:rsid w:val="000A2A93"/>
    <w:rsid w:val="000A2E2D"/>
    <w:rsid w:val="000A3DDA"/>
    <w:rsid w:val="000A45C2"/>
    <w:rsid w:val="000B4E0E"/>
    <w:rsid w:val="000B5D2A"/>
    <w:rsid w:val="000C2A50"/>
    <w:rsid w:val="000C3BA9"/>
    <w:rsid w:val="000C3D3B"/>
    <w:rsid w:val="000C6D2C"/>
    <w:rsid w:val="000D03C1"/>
    <w:rsid w:val="000D0B98"/>
    <w:rsid w:val="000D1030"/>
    <w:rsid w:val="000D3CA5"/>
    <w:rsid w:val="000E00A9"/>
    <w:rsid w:val="000E3F71"/>
    <w:rsid w:val="000E5E61"/>
    <w:rsid w:val="000F02C7"/>
    <w:rsid w:val="001001BC"/>
    <w:rsid w:val="001003C8"/>
    <w:rsid w:val="001021B9"/>
    <w:rsid w:val="001026D4"/>
    <w:rsid w:val="0010328B"/>
    <w:rsid w:val="00106E50"/>
    <w:rsid w:val="00106ECF"/>
    <w:rsid w:val="00110D1E"/>
    <w:rsid w:val="00110F1B"/>
    <w:rsid w:val="001114C8"/>
    <w:rsid w:val="0011307E"/>
    <w:rsid w:val="00123D11"/>
    <w:rsid w:val="00130DA6"/>
    <w:rsid w:val="00131E5F"/>
    <w:rsid w:val="00140BC8"/>
    <w:rsid w:val="001428E8"/>
    <w:rsid w:val="00144879"/>
    <w:rsid w:val="00145617"/>
    <w:rsid w:val="00145D29"/>
    <w:rsid w:val="0014773F"/>
    <w:rsid w:val="00157A2B"/>
    <w:rsid w:val="00174E89"/>
    <w:rsid w:val="0017671C"/>
    <w:rsid w:val="001847AF"/>
    <w:rsid w:val="00185B8F"/>
    <w:rsid w:val="00186384"/>
    <w:rsid w:val="00186577"/>
    <w:rsid w:val="00186D12"/>
    <w:rsid w:val="001915BC"/>
    <w:rsid w:val="00191EA4"/>
    <w:rsid w:val="00192FCA"/>
    <w:rsid w:val="001A3FBB"/>
    <w:rsid w:val="001A5AC1"/>
    <w:rsid w:val="001A7236"/>
    <w:rsid w:val="001B64A4"/>
    <w:rsid w:val="001B79CB"/>
    <w:rsid w:val="001C05B2"/>
    <w:rsid w:val="001C49DB"/>
    <w:rsid w:val="001C5F7F"/>
    <w:rsid w:val="001D47AA"/>
    <w:rsid w:val="001D5703"/>
    <w:rsid w:val="001D6962"/>
    <w:rsid w:val="001D7198"/>
    <w:rsid w:val="001E14E5"/>
    <w:rsid w:val="001E2A00"/>
    <w:rsid w:val="001F6695"/>
    <w:rsid w:val="00200EA7"/>
    <w:rsid w:val="002048DF"/>
    <w:rsid w:val="00204E56"/>
    <w:rsid w:val="002119A3"/>
    <w:rsid w:val="002164E0"/>
    <w:rsid w:val="002174EB"/>
    <w:rsid w:val="002242B3"/>
    <w:rsid w:val="00224C6A"/>
    <w:rsid w:val="00225DF5"/>
    <w:rsid w:val="002307F9"/>
    <w:rsid w:val="002327B9"/>
    <w:rsid w:val="0023631D"/>
    <w:rsid w:val="002418AD"/>
    <w:rsid w:val="0024604B"/>
    <w:rsid w:val="002502FC"/>
    <w:rsid w:val="00250A75"/>
    <w:rsid w:val="00251DA9"/>
    <w:rsid w:val="002529EB"/>
    <w:rsid w:val="002578FD"/>
    <w:rsid w:val="00264A37"/>
    <w:rsid w:val="00267F84"/>
    <w:rsid w:val="002723E2"/>
    <w:rsid w:val="00272A4E"/>
    <w:rsid w:val="00275F77"/>
    <w:rsid w:val="00281C8F"/>
    <w:rsid w:val="00284073"/>
    <w:rsid w:val="00284E6D"/>
    <w:rsid w:val="002854A9"/>
    <w:rsid w:val="0028678B"/>
    <w:rsid w:val="00286C0B"/>
    <w:rsid w:val="0029135C"/>
    <w:rsid w:val="00291C7C"/>
    <w:rsid w:val="00293A16"/>
    <w:rsid w:val="002947CB"/>
    <w:rsid w:val="002A08D6"/>
    <w:rsid w:val="002A0EC0"/>
    <w:rsid w:val="002A1749"/>
    <w:rsid w:val="002A1B06"/>
    <w:rsid w:val="002A24B3"/>
    <w:rsid w:val="002A3926"/>
    <w:rsid w:val="002A6DC4"/>
    <w:rsid w:val="002B2679"/>
    <w:rsid w:val="002B7A00"/>
    <w:rsid w:val="002C1B30"/>
    <w:rsid w:val="002C408F"/>
    <w:rsid w:val="002C5E06"/>
    <w:rsid w:val="002C6FC3"/>
    <w:rsid w:val="002D35B7"/>
    <w:rsid w:val="002D3894"/>
    <w:rsid w:val="002D63B6"/>
    <w:rsid w:val="002D736C"/>
    <w:rsid w:val="002D7412"/>
    <w:rsid w:val="002D7AAE"/>
    <w:rsid w:val="002F20AE"/>
    <w:rsid w:val="002F4880"/>
    <w:rsid w:val="002F5362"/>
    <w:rsid w:val="002F6668"/>
    <w:rsid w:val="00300D97"/>
    <w:rsid w:val="003053BC"/>
    <w:rsid w:val="00306586"/>
    <w:rsid w:val="0030799A"/>
    <w:rsid w:val="003112D9"/>
    <w:rsid w:val="00311DFC"/>
    <w:rsid w:val="0031274D"/>
    <w:rsid w:val="00312CA9"/>
    <w:rsid w:val="00316650"/>
    <w:rsid w:val="00316B14"/>
    <w:rsid w:val="003200B6"/>
    <w:rsid w:val="00322270"/>
    <w:rsid w:val="003239A7"/>
    <w:rsid w:val="003265BD"/>
    <w:rsid w:val="003270A0"/>
    <w:rsid w:val="00330696"/>
    <w:rsid w:val="00336F50"/>
    <w:rsid w:val="00337A5C"/>
    <w:rsid w:val="003420A8"/>
    <w:rsid w:val="003458BF"/>
    <w:rsid w:val="00346C94"/>
    <w:rsid w:val="00347227"/>
    <w:rsid w:val="00350336"/>
    <w:rsid w:val="00351471"/>
    <w:rsid w:val="00354146"/>
    <w:rsid w:val="00364018"/>
    <w:rsid w:val="003743FF"/>
    <w:rsid w:val="0037632E"/>
    <w:rsid w:val="0037633D"/>
    <w:rsid w:val="003778A0"/>
    <w:rsid w:val="003779CD"/>
    <w:rsid w:val="00381472"/>
    <w:rsid w:val="00382465"/>
    <w:rsid w:val="00383169"/>
    <w:rsid w:val="00387CB9"/>
    <w:rsid w:val="00387EF9"/>
    <w:rsid w:val="00391EF9"/>
    <w:rsid w:val="00392DA9"/>
    <w:rsid w:val="00394CEF"/>
    <w:rsid w:val="00397C85"/>
    <w:rsid w:val="003A335F"/>
    <w:rsid w:val="003A534C"/>
    <w:rsid w:val="003B450F"/>
    <w:rsid w:val="003B49F1"/>
    <w:rsid w:val="003B4CBC"/>
    <w:rsid w:val="003C01A5"/>
    <w:rsid w:val="003C064C"/>
    <w:rsid w:val="003C0B1D"/>
    <w:rsid w:val="003C5DDB"/>
    <w:rsid w:val="003C66ED"/>
    <w:rsid w:val="003C7C0A"/>
    <w:rsid w:val="003D2E13"/>
    <w:rsid w:val="003E0C58"/>
    <w:rsid w:val="003E1B33"/>
    <w:rsid w:val="003E431D"/>
    <w:rsid w:val="003E4E69"/>
    <w:rsid w:val="003F0B03"/>
    <w:rsid w:val="003F3B4B"/>
    <w:rsid w:val="003F64C2"/>
    <w:rsid w:val="00400593"/>
    <w:rsid w:val="004008A7"/>
    <w:rsid w:val="00400E8B"/>
    <w:rsid w:val="00407AD2"/>
    <w:rsid w:val="004140BB"/>
    <w:rsid w:val="00414B89"/>
    <w:rsid w:val="004154E5"/>
    <w:rsid w:val="00416040"/>
    <w:rsid w:val="00421590"/>
    <w:rsid w:val="00422586"/>
    <w:rsid w:val="00422CDB"/>
    <w:rsid w:val="00425406"/>
    <w:rsid w:val="00426167"/>
    <w:rsid w:val="004265CA"/>
    <w:rsid w:val="00427D92"/>
    <w:rsid w:val="00435082"/>
    <w:rsid w:val="004351EA"/>
    <w:rsid w:val="0043651A"/>
    <w:rsid w:val="004446E8"/>
    <w:rsid w:val="00445816"/>
    <w:rsid w:val="00445F86"/>
    <w:rsid w:val="00450F92"/>
    <w:rsid w:val="00451879"/>
    <w:rsid w:val="00453B9D"/>
    <w:rsid w:val="00457643"/>
    <w:rsid w:val="00460902"/>
    <w:rsid w:val="0046520F"/>
    <w:rsid w:val="00471260"/>
    <w:rsid w:val="004728F1"/>
    <w:rsid w:val="00472A5B"/>
    <w:rsid w:val="00473968"/>
    <w:rsid w:val="00481E07"/>
    <w:rsid w:val="00484751"/>
    <w:rsid w:val="00484A19"/>
    <w:rsid w:val="00493015"/>
    <w:rsid w:val="00493DA1"/>
    <w:rsid w:val="00494D82"/>
    <w:rsid w:val="0049762E"/>
    <w:rsid w:val="004A0222"/>
    <w:rsid w:val="004A7CB7"/>
    <w:rsid w:val="004B0EA2"/>
    <w:rsid w:val="004B21FA"/>
    <w:rsid w:val="004B35B7"/>
    <w:rsid w:val="004B4DAF"/>
    <w:rsid w:val="004C1B37"/>
    <w:rsid w:val="004C3D73"/>
    <w:rsid w:val="004C672E"/>
    <w:rsid w:val="004D5B89"/>
    <w:rsid w:val="004E3067"/>
    <w:rsid w:val="004F0FC7"/>
    <w:rsid w:val="004F3894"/>
    <w:rsid w:val="004F48A1"/>
    <w:rsid w:val="004F6517"/>
    <w:rsid w:val="004F696E"/>
    <w:rsid w:val="0050004D"/>
    <w:rsid w:val="00504223"/>
    <w:rsid w:val="00512126"/>
    <w:rsid w:val="005130F4"/>
    <w:rsid w:val="00523298"/>
    <w:rsid w:val="005243DC"/>
    <w:rsid w:val="0052678C"/>
    <w:rsid w:val="0053265B"/>
    <w:rsid w:val="00532F88"/>
    <w:rsid w:val="00533A94"/>
    <w:rsid w:val="00533E10"/>
    <w:rsid w:val="00535268"/>
    <w:rsid w:val="00537080"/>
    <w:rsid w:val="00543FFC"/>
    <w:rsid w:val="00564FF7"/>
    <w:rsid w:val="00565AF4"/>
    <w:rsid w:val="00566032"/>
    <w:rsid w:val="00570AA9"/>
    <w:rsid w:val="00571CB2"/>
    <w:rsid w:val="00576C2F"/>
    <w:rsid w:val="00576DB8"/>
    <w:rsid w:val="00582228"/>
    <w:rsid w:val="00583060"/>
    <w:rsid w:val="005837A2"/>
    <w:rsid w:val="00583B54"/>
    <w:rsid w:val="00583C07"/>
    <w:rsid w:val="00584341"/>
    <w:rsid w:val="005852FF"/>
    <w:rsid w:val="005874A9"/>
    <w:rsid w:val="005949B8"/>
    <w:rsid w:val="005955D0"/>
    <w:rsid w:val="005A194C"/>
    <w:rsid w:val="005A2D77"/>
    <w:rsid w:val="005A400A"/>
    <w:rsid w:val="005A4161"/>
    <w:rsid w:val="005A52DD"/>
    <w:rsid w:val="005A67F1"/>
    <w:rsid w:val="005B2F0F"/>
    <w:rsid w:val="005B3316"/>
    <w:rsid w:val="005B6C52"/>
    <w:rsid w:val="005D2B62"/>
    <w:rsid w:val="005D4F44"/>
    <w:rsid w:val="005D7604"/>
    <w:rsid w:val="005E1466"/>
    <w:rsid w:val="005E2350"/>
    <w:rsid w:val="005F071C"/>
    <w:rsid w:val="005F3037"/>
    <w:rsid w:val="006036A9"/>
    <w:rsid w:val="00604A7B"/>
    <w:rsid w:val="006063C3"/>
    <w:rsid w:val="0061196B"/>
    <w:rsid w:val="0061447F"/>
    <w:rsid w:val="00614703"/>
    <w:rsid w:val="006149DA"/>
    <w:rsid w:val="00617175"/>
    <w:rsid w:val="006225F4"/>
    <w:rsid w:val="0062610B"/>
    <w:rsid w:val="00631031"/>
    <w:rsid w:val="00632FB8"/>
    <w:rsid w:val="00640DEA"/>
    <w:rsid w:val="00642139"/>
    <w:rsid w:val="006427CB"/>
    <w:rsid w:val="00642A8E"/>
    <w:rsid w:val="0064390A"/>
    <w:rsid w:val="00643B5F"/>
    <w:rsid w:val="00646830"/>
    <w:rsid w:val="006522C1"/>
    <w:rsid w:val="006533D2"/>
    <w:rsid w:val="0066015F"/>
    <w:rsid w:val="00665817"/>
    <w:rsid w:val="00666E52"/>
    <w:rsid w:val="0067185A"/>
    <w:rsid w:val="00671C06"/>
    <w:rsid w:val="0067258D"/>
    <w:rsid w:val="006747BA"/>
    <w:rsid w:val="006751EB"/>
    <w:rsid w:val="00677E3A"/>
    <w:rsid w:val="00682EBF"/>
    <w:rsid w:val="0068331E"/>
    <w:rsid w:val="006849B4"/>
    <w:rsid w:val="006853E4"/>
    <w:rsid w:val="006874A1"/>
    <w:rsid w:val="006915CD"/>
    <w:rsid w:val="00692C8E"/>
    <w:rsid w:val="006A2778"/>
    <w:rsid w:val="006A3142"/>
    <w:rsid w:val="006A7C59"/>
    <w:rsid w:val="006B668B"/>
    <w:rsid w:val="006C4F51"/>
    <w:rsid w:val="006C6CA5"/>
    <w:rsid w:val="006C768B"/>
    <w:rsid w:val="006C7BB3"/>
    <w:rsid w:val="006D217B"/>
    <w:rsid w:val="006D5C1D"/>
    <w:rsid w:val="006F25D3"/>
    <w:rsid w:val="006F5757"/>
    <w:rsid w:val="006F7F83"/>
    <w:rsid w:val="007023A0"/>
    <w:rsid w:val="0070248D"/>
    <w:rsid w:val="00703D83"/>
    <w:rsid w:val="00704A09"/>
    <w:rsid w:val="0070532C"/>
    <w:rsid w:val="0070584F"/>
    <w:rsid w:val="00706169"/>
    <w:rsid w:val="00706AAB"/>
    <w:rsid w:val="00712956"/>
    <w:rsid w:val="00713665"/>
    <w:rsid w:val="00721777"/>
    <w:rsid w:val="00721AA5"/>
    <w:rsid w:val="007260C7"/>
    <w:rsid w:val="00735145"/>
    <w:rsid w:val="00737805"/>
    <w:rsid w:val="00737A9F"/>
    <w:rsid w:val="007412AE"/>
    <w:rsid w:val="0074402A"/>
    <w:rsid w:val="0074417B"/>
    <w:rsid w:val="0074741F"/>
    <w:rsid w:val="00750179"/>
    <w:rsid w:val="00750FC9"/>
    <w:rsid w:val="007536E4"/>
    <w:rsid w:val="00755AF7"/>
    <w:rsid w:val="007569E5"/>
    <w:rsid w:val="00757926"/>
    <w:rsid w:val="007579AB"/>
    <w:rsid w:val="00761488"/>
    <w:rsid w:val="007614F9"/>
    <w:rsid w:val="0076606C"/>
    <w:rsid w:val="00766F26"/>
    <w:rsid w:val="0077031E"/>
    <w:rsid w:val="00771A45"/>
    <w:rsid w:val="00772122"/>
    <w:rsid w:val="007830A2"/>
    <w:rsid w:val="007850EE"/>
    <w:rsid w:val="007857A2"/>
    <w:rsid w:val="0078695E"/>
    <w:rsid w:val="00786FF8"/>
    <w:rsid w:val="00790B9E"/>
    <w:rsid w:val="00794A63"/>
    <w:rsid w:val="00794E95"/>
    <w:rsid w:val="00796014"/>
    <w:rsid w:val="0079744D"/>
    <w:rsid w:val="00797F4E"/>
    <w:rsid w:val="007A0115"/>
    <w:rsid w:val="007A165B"/>
    <w:rsid w:val="007A22D8"/>
    <w:rsid w:val="007A34D2"/>
    <w:rsid w:val="007A41F6"/>
    <w:rsid w:val="007A5C19"/>
    <w:rsid w:val="007A7723"/>
    <w:rsid w:val="007B447D"/>
    <w:rsid w:val="007B5355"/>
    <w:rsid w:val="007C2AD5"/>
    <w:rsid w:val="007C4A1B"/>
    <w:rsid w:val="007D039C"/>
    <w:rsid w:val="007D1AAA"/>
    <w:rsid w:val="007D28D6"/>
    <w:rsid w:val="007D59DE"/>
    <w:rsid w:val="007E0BD6"/>
    <w:rsid w:val="007E17B5"/>
    <w:rsid w:val="007E2805"/>
    <w:rsid w:val="007E36B2"/>
    <w:rsid w:val="007E4E98"/>
    <w:rsid w:val="007E681B"/>
    <w:rsid w:val="007E7F1A"/>
    <w:rsid w:val="007F158F"/>
    <w:rsid w:val="007F1C75"/>
    <w:rsid w:val="007F61AE"/>
    <w:rsid w:val="008000EB"/>
    <w:rsid w:val="008017E7"/>
    <w:rsid w:val="00801B51"/>
    <w:rsid w:val="008026B3"/>
    <w:rsid w:val="00812515"/>
    <w:rsid w:val="00812947"/>
    <w:rsid w:val="0081361A"/>
    <w:rsid w:val="008149E2"/>
    <w:rsid w:val="0081731D"/>
    <w:rsid w:val="008203AC"/>
    <w:rsid w:val="00823BE6"/>
    <w:rsid w:val="00825A27"/>
    <w:rsid w:val="00837591"/>
    <w:rsid w:val="00840B66"/>
    <w:rsid w:val="00843CDB"/>
    <w:rsid w:val="00850F81"/>
    <w:rsid w:val="0085624C"/>
    <w:rsid w:val="00857EB0"/>
    <w:rsid w:val="00861867"/>
    <w:rsid w:val="00865101"/>
    <w:rsid w:val="00865516"/>
    <w:rsid w:val="00866384"/>
    <w:rsid w:val="0087257D"/>
    <w:rsid w:val="00886B3C"/>
    <w:rsid w:val="00891CEA"/>
    <w:rsid w:val="00894DEF"/>
    <w:rsid w:val="008A088E"/>
    <w:rsid w:val="008A1EC2"/>
    <w:rsid w:val="008A318D"/>
    <w:rsid w:val="008A6A8E"/>
    <w:rsid w:val="008A716F"/>
    <w:rsid w:val="008B036C"/>
    <w:rsid w:val="008B749F"/>
    <w:rsid w:val="008C0D7A"/>
    <w:rsid w:val="008C5DD0"/>
    <w:rsid w:val="008D4228"/>
    <w:rsid w:val="008D68F9"/>
    <w:rsid w:val="008E10D0"/>
    <w:rsid w:val="008E1A8D"/>
    <w:rsid w:val="008E2BE0"/>
    <w:rsid w:val="00901527"/>
    <w:rsid w:val="00907714"/>
    <w:rsid w:val="00907907"/>
    <w:rsid w:val="00910032"/>
    <w:rsid w:val="00910A9F"/>
    <w:rsid w:val="0091105A"/>
    <w:rsid w:val="00916CCE"/>
    <w:rsid w:val="00920D05"/>
    <w:rsid w:val="009237FC"/>
    <w:rsid w:val="00931817"/>
    <w:rsid w:val="00932456"/>
    <w:rsid w:val="00943B0B"/>
    <w:rsid w:val="0094605A"/>
    <w:rsid w:val="009468F2"/>
    <w:rsid w:val="0094785C"/>
    <w:rsid w:val="00947CC3"/>
    <w:rsid w:val="009528C6"/>
    <w:rsid w:val="009540BC"/>
    <w:rsid w:val="0095495A"/>
    <w:rsid w:val="00955313"/>
    <w:rsid w:val="00957C82"/>
    <w:rsid w:val="009646AA"/>
    <w:rsid w:val="009647A0"/>
    <w:rsid w:val="00965444"/>
    <w:rsid w:val="00965DB2"/>
    <w:rsid w:val="00966037"/>
    <w:rsid w:val="00966227"/>
    <w:rsid w:val="009670F5"/>
    <w:rsid w:val="00970245"/>
    <w:rsid w:val="00971346"/>
    <w:rsid w:val="009729F0"/>
    <w:rsid w:val="00972F41"/>
    <w:rsid w:val="0097326B"/>
    <w:rsid w:val="00973803"/>
    <w:rsid w:val="009801CC"/>
    <w:rsid w:val="009811BD"/>
    <w:rsid w:val="0098380A"/>
    <w:rsid w:val="00983F1A"/>
    <w:rsid w:val="00987A8D"/>
    <w:rsid w:val="00990D88"/>
    <w:rsid w:val="0099264C"/>
    <w:rsid w:val="00993A2A"/>
    <w:rsid w:val="00994417"/>
    <w:rsid w:val="00995DED"/>
    <w:rsid w:val="0099618B"/>
    <w:rsid w:val="009A15C3"/>
    <w:rsid w:val="009A1BB0"/>
    <w:rsid w:val="009A2C77"/>
    <w:rsid w:val="009B26B2"/>
    <w:rsid w:val="009B3111"/>
    <w:rsid w:val="009C3D4A"/>
    <w:rsid w:val="009C4632"/>
    <w:rsid w:val="009C55D8"/>
    <w:rsid w:val="009C6D56"/>
    <w:rsid w:val="009C7097"/>
    <w:rsid w:val="009D52D9"/>
    <w:rsid w:val="009E060D"/>
    <w:rsid w:val="009F5181"/>
    <w:rsid w:val="009F7CA1"/>
    <w:rsid w:val="00A00F68"/>
    <w:rsid w:val="00A04A1A"/>
    <w:rsid w:val="00A04F8D"/>
    <w:rsid w:val="00A124B3"/>
    <w:rsid w:val="00A12D43"/>
    <w:rsid w:val="00A17883"/>
    <w:rsid w:val="00A20C5E"/>
    <w:rsid w:val="00A20D6F"/>
    <w:rsid w:val="00A3090B"/>
    <w:rsid w:val="00A3214E"/>
    <w:rsid w:val="00A32215"/>
    <w:rsid w:val="00A3281E"/>
    <w:rsid w:val="00A349F3"/>
    <w:rsid w:val="00A40EED"/>
    <w:rsid w:val="00A411FD"/>
    <w:rsid w:val="00A46608"/>
    <w:rsid w:val="00A50D3E"/>
    <w:rsid w:val="00A61789"/>
    <w:rsid w:val="00A62BF5"/>
    <w:rsid w:val="00A640C6"/>
    <w:rsid w:val="00A65CFA"/>
    <w:rsid w:val="00A715C9"/>
    <w:rsid w:val="00A7498E"/>
    <w:rsid w:val="00A74DF4"/>
    <w:rsid w:val="00A7675E"/>
    <w:rsid w:val="00A77D09"/>
    <w:rsid w:val="00A80204"/>
    <w:rsid w:val="00A83A13"/>
    <w:rsid w:val="00A853EF"/>
    <w:rsid w:val="00A86177"/>
    <w:rsid w:val="00A867EB"/>
    <w:rsid w:val="00A95685"/>
    <w:rsid w:val="00A97E69"/>
    <w:rsid w:val="00AA2168"/>
    <w:rsid w:val="00AA34E2"/>
    <w:rsid w:val="00AC14E5"/>
    <w:rsid w:val="00AC415E"/>
    <w:rsid w:val="00AC5607"/>
    <w:rsid w:val="00AC5D7F"/>
    <w:rsid w:val="00AC6AFB"/>
    <w:rsid w:val="00AD4B91"/>
    <w:rsid w:val="00AE0065"/>
    <w:rsid w:val="00AE3AC6"/>
    <w:rsid w:val="00B00FD6"/>
    <w:rsid w:val="00B01992"/>
    <w:rsid w:val="00B02C96"/>
    <w:rsid w:val="00B06489"/>
    <w:rsid w:val="00B07CB7"/>
    <w:rsid w:val="00B13E0A"/>
    <w:rsid w:val="00B14352"/>
    <w:rsid w:val="00B205DE"/>
    <w:rsid w:val="00B22B6E"/>
    <w:rsid w:val="00B23180"/>
    <w:rsid w:val="00B248E5"/>
    <w:rsid w:val="00B25168"/>
    <w:rsid w:val="00B2609D"/>
    <w:rsid w:val="00B27215"/>
    <w:rsid w:val="00B27386"/>
    <w:rsid w:val="00B31C15"/>
    <w:rsid w:val="00B329A7"/>
    <w:rsid w:val="00B32B50"/>
    <w:rsid w:val="00B35C18"/>
    <w:rsid w:val="00B40903"/>
    <w:rsid w:val="00B461C8"/>
    <w:rsid w:val="00B46916"/>
    <w:rsid w:val="00B47009"/>
    <w:rsid w:val="00B47BFE"/>
    <w:rsid w:val="00B5306E"/>
    <w:rsid w:val="00B61438"/>
    <w:rsid w:val="00B61469"/>
    <w:rsid w:val="00B627CE"/>
    <w:rsid w:val="00B64509"/>
    <w:rsid w:val="00B66332"/>
    <w:rsid w:val="00B666CC"/>
    <w:rsid w:val="00B677EC"/>
    <w:rsid w:val="00B72B40"/>
    <w:rsid w:val="00B74E81"/>
    <w:rsid w:val="00B77DE8"/>
    <w:rsid w:val="00B8081D"/>
    <w:rsid w:val="00B85488"/>
    <w:rsid w:val="00B9074B"/>
    <w:rsid w:val="00B90F05"/>
    <w:rsid w:val="00B9532A"/>
    <w:rsid w:val="00B95DC5"/>
    <w:rsid w:val="00B9675E"/>
    <w:rsid w:val="00BA0055"/>
    <w:rsid w:val="00BA30F8"/>
    <w:rsid w:val="00BA5008"/>
    <w:rsid w:val="00BA5469"/>
    <w:rsid w:val="00BB5B40"/>
    <w:rsid w:val="00BB6BE6"/>
    <w:rsid w:val="00BC03DF"/>
    <w:rsid w:val="00BC09AC"/>
    <w:rsid w:val="00BC5AFD"/>
    <w:rsid w:val="00BC6C73"/>
    <w:rsid w:val="00BD5134"/>
    <w:rsid w:val="00BE267B"/>
    <w:rsid w:val="00BE3D52"/>
    <w:rsid w:val="00BF4743"/>
    <w:rsid w:val="00C032D8"/>
    <w:rsid w:val="00C0342E"/>
    <w:rsid w:val="00C0449B"/>
    <w:rsid w:val="00C06D9A"/>
    <w:rsid w:val="00C129C9"/>
    <w:rsid w:val="00C129E2"/>
    <w:rsid w:val="00C14FDB"/>
    <w:rsid w:val="00C20BB5"/>
    <w:rsid w:val="00C254EE"/>
    <w:rsid w:val="00C3098B"/>
    <w:rsid w:val="00C3118C"/>
    <w:rsid w:val="00C31A73"/>
    <w:rsid w:val="00C32AF1"/>
    <w:rsid w:val="00C35439"/>
    <w:rsid w:val="00C36098"/>
    <w:rsid w:val="00C40158"/>
    <w:rsid w:val="00C4027C"/>
    <w:rsid w:val="00C407A3"/>
    <w:rsid w:val="00C41A35"/>
    <w:rsid w:val="00C42BAD"/>
    <w:rsid w:val="00C461E6"/>
    <w:rsid w:val="00C47B29"/>
    <w:rsid w:val="00C525A9"/>
    <w:rsid w:val="00C607AB"/>
    <w:rsid w:val="00C6162F"/>
    <w:rsid w:val="00C650F7"/>
    <w:rsid w:val="00C66883"/>
    <w:rsid w:val="00C66FC7"/>
    <w:rsid w:val="00C73BD2"/>
    <w:rsid w:val="00C75CB3"/>
    <w:rsid w:val="00C818A3"/>
    <w:rsid w:val="00C83F49"/>
    <w:rsid w:val="00C9423E"/>
    <w:rsid w:val="00C950CD"/>
    <w:rsid w:val="00C95F8A"/>
    <w:rsid w:val="00CA414C"/>
    <w:rsid w:val="00CA4722"/>
    <w:rsid w:val="00CB292A"/>
    <w:rsid w:val="00CB3CAE"/>
    <w:rsid w:val="00CB58FC"/>
    <w:rsid w:val="00CC0C48"/>
    <w:rsid w:val="00CC6A92"/>
    <w:rsid w:val="00CC6CC8"/>
    <w:rsid w:val="00CC6D1E"/>
    <w:rsid w:val="00CD0094"/>
    <w:rsid w:val="00CD24B8"/>
    <w:rsid w:val="00CD4E12"/>
    <w:rsid w:val="00CD60EF"/>
    <w:rsid w:val="00CE4886"/>
    <w:rsid w:val="00CE5018"/>
    <w:rsid w:val="00CE530D"/>
    <w:rsid w:val="00CE742D"/>
    <w:rsid w:val="00CF469C"/>
    <w:rsid w:val="00D151A1"/>
    <w:rsid w:val="00D159A3"/>
    <w:rsid w:val="00D1651B"/>
    <w:rsid w:val="00D2012D"/>
    <w:rsid w:val="00D20D9C"/>
    <w:rsid w:val="00D21749"/>
    <w:rsid w:val="00D239D3"/>
    <w:rsid w:val="00D266BC"/>
    <w:rsid w:val="00D26840"/>
    <w:rsid w:val="00D31DCC"/>
    <w:rsid w:val="00D35256"/>
    <w:rsid w:val="00D40DD9"/>
    <w:rsid w:val="00D44645"/>
    <w:rsid w:val="00D45B00"/>
    <w:rsid w:val="00D50712"/>
    <w:rsid w:val="00D51F37"/>
    <w:rsid w:val="00D60E5E"/>
    <w:rsid w:val="00D65007"/>
    <w:rsid w:val="00D70AD6"/>
    <w:rsid w:val="00D7525B"/>
    <w:rsid w:val="00D87D33"/>
    <w:rsid w:val="00D963A6"/>
    <w:rsid w:val="00DA6667"/>
    <w:rsid w:val="00DA6956"/>
    <w:rsid w:val="00DB0FA7"/>
    <w:rsid w:val="00DB1717"/>
    <w:rsid w:val="00DB23A8"/>
    <w:rsid w:val="00DB5531"/>
    <w:rsid w:val="00DB7711"/>
    <w:rsid w:val="00DC04C3"/>
    <w:rsid w:val="00DC1090"/>
    <w:rsid w:val="00DC12C9"/>
    <w:rsid w:val="00DC2D69"/>
    <w:rsid w:val="00DC7518"/>
    <w:rsid w:val="00DE18D7"/>
    <w:rsid w:val="00DF1406"/>
    <w:rsid w:val="00DF16C7"/>
    <w:rsid w:val="00DF2752"/>
    <w:rsid w:val="00DF4920"/>
    <w:rsid w:val="00E00513"/>
    <w:rsid w:val="00E0148E"/>
    <w:rsid w:val="00E0252F"/>
    <w:rsid w:val="00E02F36"/>
    <w:rsid w:val="00E15939"/>
    <w:rsid w:val="00E23283"/>
    <w:rsid w:val="00E2435B"/>
    <w:rsid w:val="00E24A42"/>
    <w:rsid w:val="00E27DDC"/>
    <w:rsid w:val="00E35160"/>
    <w:rsid w:val="00E42690"/>
    <w:rsid w:val="00E4563C"/>
    <w:rsid w:val="00E46BAF"/>
    <w:rsid w:val="00E505EE"/>
    <w:rsid w:val="00E52A3E"/>
    <w:rsid w:val="00E52D68"/>
    <w:rsid w:val="00E574D6"/>
    <w:rsid w:val="00E61344"/>
    <w:rsid w:val="00E762F6"/>
    <w:rsid w:val="00E85585"/>
    <w:rsid w:val="00E91C95"/>
    <w:rsid w:val="00E9308E"/>
    <w:rsid w:val="00E93CCB"/>
    <w:rsid w:val="00E93D49"/>
    <w:rsid w:val="00EA4160"/>
    <w:rsid w:val="00EA6AFA"/>
    <w:rsid w:val="00EA6FF2"/>
    <w:rsid w:val="00EA710B"/>
    <w:rsid w:val="00EB037F"/>
    <w:rsid w:val="00EB056F"/>
    <w:rsid w:val="00EB107C"/>
    <w:rsid w:val="00EC01DB"/>
    <w:rsid w:val="00EC16B4"/>
    <w:rsid w:val="00ED6BFA"/>
    <w:rsid w:val="00ED700A"/>
    <w:rsid w:val="00ED7DA6"/>
    <w:rsid w:val="00EE0DF1"/>
    <w:rsid w:val="00EE276E"/>
    <w:rsid w:val="00EE3DAA"/>
    <w:rsid w:val="00EE441E"/>
    <w:rsid w:val="00EF2F02"/>
    <w:rsid w:val="00EF61BF"/>
    <w:rsid w:val="00F01174"/>
    <w:rsid w:val="00F0130E"/>
    <w:rsid w:val="00F051FC"/>
    <w:rsid w:val="00F05DBA"/>
    <w:rsid w:val="00F12643"/>
    <w:rsid w:val="00F15B6D"/>
    <w:rsid w:val="00F16B18"/>
    <w:rsid w:val="00F3282F"/>
    <w:rsid w:val="00F339BA"/>
    <w:rsid w:val="00F37C2C"/>
    <w:rsid w:val="00F45262"/>
    <w:rsid w:val="00F543AF"/>
    <w:rsid w:val="00F664C6"/>
    <w:rsid w:val="00F671BA"/>
    <w:rsid w:val="00F709B8"/>
    <w:rsid w:val="00F73B71"/>
    <w:rsid w:val="00F73BDA"/>
    <w:rsid w:val="00F81BCD"/>
    <w:rsid w:val="00F84382"/>
    <w:rsid w:val="00F91AA6"/>
    <w:rsid w:val="00F94734"/>
    <w:rsid w:val="00F960A4"/>
    <w:rsid w:val="00F966B2"/>
    <w:rsid w:val="00F9684F"/>
    <w:rsid w:val="00FA5F10"/>
    <w:rsid w:val="00FA74FE"/>
    <w:rsid w:val="00FB04E1"/>
    <w:rsid w:val="00FB1DAF"/>
    <w:rsid w:val="00FB2001"/>
    <w:rsid w:val="00FB392B"/>
    <w:rsid w:val="00FB5FFD"/>
    <w:rsid w:val="00FB7407"/>
    <w:rsid w:val="00FC0CF9"/>
    <w:rsid w:val="00FC23C1"/>
    <w:rsid w:val="00FC6048"/>
    <w:rsid w:val="00FD278A"/>
    <w:rsid w:val="00FD345A"/>
    <w:rsid w:val="00FD69FF"/>
    <w:rsid w:val="00FE0BA3"/>
    <w:rsid w:val="00FE27A0"/>
    <w:rsid w:val="00FE2BAC"/>
    <w:rsid w:val="00FE5942"/>
    <w:rsid w:val="00FE64E5"/>
    <w:rsid w:val="00FF2727"/>
    <w:rsid w:val="00FF53E7"/>
    <w:rsid w:val="015915B7"/>
    <w:rsid w:val="02F51D2F"/>
    <w:rsid w:val="054F3DAA"/>
    <w:rsid w:val="061E7D49"/>
    <w:rsid w:val="0BA951FE"/>
    <w:rsid w:val="0ECF6568"/>
    <w:rsid w:val="0ED24760"/>
    <w:rsid w:val="0F000D97"/>
    <w:rsid w:val="13E175FD"/>
    <w:rsid w:val="13F01F77"/>
    <w:rsid w:val="197766A6"/>
    <w:rsid w:val="1CDF1D55"/>
    <w:rsid w:val="1D4C3F24"/>
    <w:rsid w:val="1E092862"/>
    <w:rsid w:val="1E1161A8"/>
    <w:rsid w:val="271102F1"/>
    <w:rsid w:val="2DFD3E73"/>
    <w:rsid w:val="324778C8"/>
    <w:rsid w:val="32701299"/>
    <w:rsid w:val="32F0058F"/>
    <w:rsid w:val="33EC5C15"/>
    <w:rsid w:val="3975639B"/>
    <w:rsid w:val="3B81506E"/>
    <w:rsid w:val="3D2E37BD"/>
    <w:rsid w:val="41CF00FC"/>
    <w:rsid w:val="462A3E14"/>
    <w:rsid w:val="470460EE"/>
    <w:rsid w:val="4845249F"/>
    <w:rsid w:val="4E6B5A73"/>
    <w:rsid w:val="5B756E82"/>
    <w:rsid w:val="5BF42C40"/>
    <w:rsid w:val="5C464407"/>
    <w:rsid w:val="5D2F3F0F"/>
    <w:rsid w:val="5D7B1057"/>
    <w:rsid w:val="6338361F"/>
    <w:rsid w:val="66F56962"/>
    <w:rsid w:val="680C10D5"/>
    <w:rsid w:val="6B6272E5"/>
    <w:rsid w:val="6CFB1A30"/>
    <w:rsid w:val="6E503909"/>
    <w:rsid w:val="713D3063"/>
    <w:rsid w:val="74070CBC"/>
    <w:rsid w:val="791F549B"/>
    <w:rsid w:val="7D841E8C"/>
    <w:rsid w:val="7E457E8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spacing w:line="520" w:lineRule="exact"/>
      <w:outlineLvl w:val="0"/>
    </w:pPr>
    <w:rPr>
      <w:w w:val="66"/>
      <w:sz w:val="32"/>
    </w:rPr>
  </w:style>
  <w:style w:type="paragraph" w:styleId="3">
    <w:name w:val="heading 2"/>
    <w:basedOn w:val="1"/>
    <w:next w:val="1"/>
    <w:qFormat/>
    <w:uiPriority w:val="0"/>
    <w:pPr>
      <w:keepNext/>
      <w:adjustRightInd w:val="0"/>
      <w:snapToGrid w:val="0"/>
      <w:spacing w:line="440" w:lineRule="exact"/>
      <w:jc w:val="center"/>
      <w:outlineLvl w:val="1"/>
    </w:pPr>
    <w:rPr>
      <w:rFonts w:eastAsia="仿宋_GB2312"/>
      <w:sz w:val="32"/>
      <w:szCs w:val="32"/>
    </w:rPr>
  </w:style>
  <w:style w:type="paragraph" w:styleId="4">
    <w:name w:val="heading 3"/>
    <w:basedOn w:val="1"/>
    <w:next w:val="1"/>
    <w:qFormat/>
    <w:uiPriority w:val="0"/>
    <w:pPr>
      <w:keepNext/>
      <w:outlineLvl w:val="2"/>
    </w:pPr>
    <w:rPr>
      <w:sz w:val="30"/>
    </w:rPr>
  </w:style>
  <w:style w:type="paragraph" w:styleId="5">
    <w:name w:val="heading 5"/>
    <w:basedOn w:val="1"/>
    <w:next w:val="6"/>
    <w:qFormat/>
    <w:uiPriority w:val="0"/>
    <w:pPr>
      <w:keepNext/>
      <w:numPr>
        <w:ilvl w:val="0"/>
        <w:numId w:val="1"/>
      </w:numPr>
      <w:outlineLvl w:val="4"/>
    </w:pPr>
    <w:rPr>
      <w:rFonts w:ascii="宋体"/>
      <w:sz w:val="28"/>
      <w:szCs w:val="20"/>
    </w:rPr>
  </w:style>
  <w:style w:type="paragraph" w:styleId="7">
    <w:name w:val="heading 7"/>
    <w:basedOn w:val="1"/>
    <w:next w:val="6"/>
    <w:qFormat/>
    <w:uiPriority w:val="0"/>
    <w:pPr>
      <w:keepNext/>
      <w:numPr>
        <w:ilvl w:val="0"/>
        <w:numId w:val="2"/>
      </w:numPr>
      <w:outlineLvl w:val="6"/>
    </w:pPr>
    <w:rPr>
      <w:rFonts w:eastAsia="楷体_GB2312"/>
      <w:b/>
      <w:sz w:val="32"/>
      <w:szCs w:val="20"/>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8">
    <w:name w:val="annotation text"/>
    <w:basedOn w:val="1"/>
    <w:qFormat/>
    <w:uiPriority w:val="0"/>
    <w:pPr>
      <w:jc w:val="left"/>
    </w:pPr>
  </w:style>
  <w:style w:type="paragraph" w:styleId="9">
    <w:name w:val="Body Text 3"/>
    <w:basedOn w:val="1"/>
    <w:qFormat/>
    <w:uiPriority w:val="0"/>
    <w:rPr>
      <w:rFonts w:ascii="仿宋_GB2312" w:eastAsia="仿宋_GB2312"/>
      <w:sz w:val="28"/>
    </w:rPr>
  </w:style>
  <w:style w:type="paragraph" w:styleId="10">
    <w:name w:val="Body Text"/>
    <w:basedOn w:val="1"/>
    <w:next w:val="1"/>
    <w:qFormat/>
    <w:uiPriority w:val="0"/>
    <w:pPr>
      <w:adjustRightInd w:val="0"/>
      <w:snapToGrid w:val="0"/>
      <w:spacing w:line="440" w:lineRule="exact"/>
      <w:ind w:right="466" w:rightChars="244"/>
      <w:jc w:val="center"/>
    </w:pPr>
    <w:rPr>
      <w:rFonts w:ascii="仿宋_GB2312" w:eastAsia="仿宋_GB2312"/>
      <w:sz w:val="24"/>
      <w:szCs w:val="32"/>
    </w:rPr>
  </w:style>
  <w:style w:type="paragraph" w:styleId="11">
    <w:name w:val="Body Text Indent"/>
    <w:basedOn w:val="1"/>
    <w:qFormat/>
    <w:uiPriority w:val="0"/>
    <w:pPr>
      <w:ind w:firstLine="602" w:firstLineChars="200"/>
      <w:outlineLvl w:val="0"/>
    </w:pPr>
    <w:rPr>
      <w:rFonts w:ascii="仿宋_GB2312" w:eastAsia="仿宋_GB2312"/>
      <w:sz w:val="32"/>
    </w:rPr>
  </w:style>
  <w:style w:type="paragraph" w:styleId="12">
    <w:name w:val="Plain Text"/>
    <w:basedOn w:val="1"/>
    <w:link w:val="28"/>
    <w:qFormat/>
    <w:uiPriority w:val="0"/>
    <w:rPr>
      <w:rFonts w:ascii="宋体" w:hAnsi="Courier New"/>
      <w:szCs w:val="20"/>
    </w:rPr>
  </w:style>
  <w:style w:type="paragraph" w:styleId="13">
    <w:name w:val="Date"/>
    <w:basedOn w:val="1"/>
    <w:next w:val="1"/>
    <w:qFormat/>
    <w:uiPriority w:val="0"/>
    <w:pPr>
      <w:ind w:left="100" w:leftChars="2500"/>
    </w:pPr>
    <w:rPr>
      <w:rFonts w:ascii="仿宋_GB2312" w:eastAsia="仿宋_GB2312"/>
      <w:sz w:val="28"/>
    </w:rPr>
  </w:style>
  <w:style w:type="paragraph" w:styleId="14">
    <w:name w:val="Body Text Indent 2"/>
    <w:basedOn w:val="1"/>
    <w:qFormat/>
    <w:uiPriority w:val="0"/>
    <w:pPr>
      <w:spacing w:line="580" w:lineRule="exact"/>
      <w:ind w:firstLine="615"/>
      <w:jc w:val="left"/>
    </w:pPr>
    <w:rPr>
      <w:rFonts w:eastAsia="仿宋_GB2312"/>
      <w:sz w:val="30"/>
      <w:szCs w:val="20"/>
    </w:rPr>
  </w:style>
  <w:style w:type="paragraph" w:styleId="15">
    <w:name w:val="Balloon Text"/>
    <w:basedOn w:val="1"/>
    <w:link w:val="31"/>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Body Text Indent 3"/>
    <w:basedOn w:val="1"/>
    <w:qFormat/>
    <w:uiPriority w:val="0"/>
    <w:pPr>
      <w:spacing w:line="580" w:lineRule="exact"/>
      <w:ind w:firstLine="615"/>
    </w:pPr>
    <w:rPr>
      <w:rFonts w:eastAsia="仿宋_GB2312"/>
      <w:sz w:val="30"/>
      <w:szCs w:val="20"/>
    </w:rPr>
  </w:style>
  <w:style w:type="paragraph" w:styleId="19">
    <w:name w:val="Body Text 2"/>
    <w:basedOn w:val="1"/>
    <w:qFormat/>
    <w:uiPriority w:val="0"/>
    <w:pPr>
      <w:tabs>
        <w:tab w:val="left" w:pos="0"/>
        <w:tab w:val="left" w:pos="770"/>
        <w:tab w:val="left" w:pos="924"/>
        <w:tab w:val="left" w:pos="1078"/>
      </w:tabs>
      <w:spacing w:line="580" w:lineRule="exact"/>
      <w:jc w:val="left"/>
    </w:pPr>
    <w:rPr>
      <w:rFonts w:ascii="楷体_GB2312" w:eastAsia="楷体_GB2312"/>
      <w:sz w:val="30"/>
      <w:szCs w:val="20"/>
    </w:rPr>
  </w:style>
  <w:style w:type="paragraph" w:styleId="20">
    <w:name w:val="HTML Preformatted"/>
    <w:basedOn w:val="1"/>
    <w:link w:val="3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1">
    <w:name w:val="index 1"/>
    <w:basedOn w:val="1"/>
    <w:next w:val="1"/>
    <w:qFormat/>
    <w:uiPriority w:val="0"/>
  </w:style>
  <w:style w:type="table" w:styleId="23">
    <w:name w:val="Table Grid"/>
    <w:basedOn w:val="2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5">
    <w:name w:val="page number"/>
    <w:basedOn w:val="24"/>
    <w:qFormat/>
    <w:uiPriority w:val="0"/>
  </w:style>
  <w:style w:type="character" w:styleId="26">
    <w:name w:val="FollowedHyperlink"/>
    <w:basedOn w:val="24"/>
    <w:qFormat/>
    <w:uiPriority w:val="0"/>
    <w:rPr>
      <w:color w:val="0000FF"/>
      <w:u w:val="single"/>
    </w:rPr>
  </w:style>
  <w:style w:type="character" w:styleId="27">
    <w:name w:val="Hyperlink"/>
    <w:basedOn w:val="24"/>
    <w:qFormat/>
    <w:uiPriority w:val="0"/>
    <w:rPr>
      <w:color w:val="0000FF"/>
      <w:u w:val="single"/>
    </w:rPr>
  </w:style>
  <w:style w:type="character" w:customStyle="1" w:styleId="28">
    <w:name w:val="纯文本 Char"/>
    <w:basedOn w:val="24"/>
    <w:link w:val="12"/>
    <w:qFormat/>
    <w:uiPriority w:val="0"/>
    <w:rPr>
      <w:rFonts w:ascii="宋体" w:hAnsi="Courier New"/>
      <w:kern w:val="2"/>
      <w:sz w:val="21"/>
    </w:rPr>
  </w:style>
  <w:style w:type="paragraph" w:customStyle="1" w:styleId="29">
    <w:name w:val="Char"/>
    <w:basedOn w:val="1"/>
    <w:qFormat/>
    <w:uiPriority w:val="0"/>
    <w:rPr>
      <w:szCs w:val="20"/>
    </w:rPr>
  </w:style>
  <w:style w:type="character" w:customStyle="1" w:styleId="30">
    <w:name w:val="HTML 预设格式 Char"/>
    <w:basedOn w:val="24"/>
    <w:link w:val="20"/>
    <w:qFormat/>
    <w:uiPriority w:val="99"/>
    <w:rPr>
      <w:rFonts w:ascii="宋体" w:hAnsi="宋体" w:cs="宋体"/>
      <w:sz w:val="24"/>
      <w:szCs w:val="24"/>
    </w:rPr>
  </w:style>
  <w:style w:type="character" w:customStyle="1" w:styleId="31">
    <w:name w:val="批注框文本 Char"/>
    <w:basedOn w:val="24"/>
    <w:link w:val="15"/>
    <w:qFormat/>
    <w:uiPriority w:val="0"/>
    <w:rPr>
      <w:kern w:val="2"/>
      <w:sz w:val="18"/>
      <w:szCs w:val="18"/>
    </w:rPr>
  </w:style>
  <w:style w:type="character" w:customStyle="1" w:styleId="32">
    <w:name w:val="href"/>
    <w:basedOn w:val="24"/>
    <w:qFormat/>
    <w:uiPriority w:val="0"/>
    <w:rPr>
      <w:color w:val="0000FF"/>
      <w:u w:val="single"/>
    </w:rPr>
  </w:style>
  <w:style w:type="paragraph" w:customStyle="1" w:styleId="33">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采购中心</Company>
  <Pages>8</Pages>
  <Words>2517</Words>
  <Characters>2581</Characters>
  <Lines>73</Lines>
  <Paragraphs>20</Paragraphs>
  <TotalTime>8</TotalTime>
  <ScaleCrop>false</ScaleCrop>
  <LinksUpToDate>false</LinksUpToDate>
  <CharactersWithSpaces>2582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2018-06-25T09:57:00Z</dcterms:created>
  <dc:creator>采购招投标</dc:creator>
  <cp:lastModifiedBy>GC</cp:lastModifiedBy>
  <cp:lastPrinted>2024-10-12T02:42:00Z</cp:lastPrinted>
  <dcterms:modified xsi:type="dcterms:W3CDTF">2026-09-17T07:44:55Z</dcterms:modified>
  <dc:title>商洛市行政事业单位政府采购</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F61F11F201664DA8A94BE51E47C94BB2_13</vt:lpwstr>
  </property>
  <property fmtid="{D5CDD505-2E9C-101B-9397-08002B2CF9AE}" pid="4" name="KSOTemplateDocerSaveRecord">
    <vt:lpwstr>eyJoZGlkIjoiNzc4YWJhYjliZWE5MThiZTkzOTM2NTg5YWUwNGE0YTQiLCJ1c2VySWQiOiIxMTA0MDYxMDMwIn0=</vt:lpwstr>
  </property>
</Properties>
</file>