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2F7DEA">
      <w:pPr>
        <w:keepNext w:val="0"/>
        <w:keepLines w:val="0"/>
        <w:pageBreakBefore w:val="0"/>
        <w:widowControl w:val="0"/>
        <w:kinsoku/>
        <w:wordWrap/>
        <w:overflowPunct/>
        <w:topLinePunct w:val="0"/>
        <w:bidi w:val="0"/>
        <w:adjustRightInd w:val="0"/>
        <w:snapToGrid w:val="0"/>
        <w:spacing w:beforeLines="0" w:afterLines="0"/>
        <w:rPr>
          <w:rFonts w:hint="eastAsia"/>
          <w:color w:val="auto"/>
          <w:sz w:val="32"/>
          <w:szCs w:val="32"/>
          <w:highlight w:val="none"/>
          <w:lang w:val="en-GB"/>
        </w:rPr>
      </w:pPr>
      <w:bookmarkStart w:id="0" w:name="_Hlk75950588"/>
      <w:r>
        <w:rPr>
          <w:color w:val="auto"/>
          <w:sz w:val="32"/>
          <w:szCs w:val="32"/>
          <w:highlight w:val="none"/>
        </w:rPr>
        <w:drawing>
          <wp:inline distT="0" distB="0" distL="114300" distR="114300">
            <wp:extent cx="1390015" cy="667385"/>
            <wp:effectExtent l="0" t="0" r="635" b="184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1390015" cy="667385"/>
                    </a:xfrm>
                    <a:prstGeom prst="rect">
                      <a:avLst/>
                    </a:prstGeom>
                    <a:noFill/>
                    <a:ln>
                      <a:noFill/>
                    </a:ln>
                  </pic:spPr>
                </pic:pic>
              </a:graphicData>
            </a:graphic>
          </wp:inline>
        </w:drawing>
      </w:r>
    </w:p>
    <w:p w14:paraId="3AFFEE83">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376D1C94">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6FDCD2E7">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755638D5">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10D36B16">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17D68AA2">
      <w:pPr>
        <w:keepNext w:val="0"/>
        <w:keepLines w:val="0"/>
        <w:pageBreakBefore w:val="0"/>
        <w:widowControl w:val="0"/>
        <w:tabs>
          <w:tab w:val="center" w:pos="4156"/>
          <w:tab w:val="left" w:pos="6405"/>
        </w:tabs>
        <w:kinsoku/>
        <w:wordWrap/>
        <w:overflowPunct/>
        <w:topLinePunct w:val="0"/>
        <w:bidi w:val="0"/>
        <w:adjustRightInd w:val="0"/>
        <w:snapToGrid w:val="0"/>
        <w:spacing w:beforeLines="0" w:afterLines="0"/>
        <w:jc w:val="center"/>
        <w:rPr>
          <w:rFonts w:hint="eastAsia"/>
          <w:b/>
          <w:bCs/>
          <w:color w:val="auto"/>
          <w:sz w:val="72"/>
          <w:szCs w:val="72"/>
          <w:highlight w:val="none"/>
        </w:rPr>
      </w:pPr>
      <w:r>
        <w:rPr>
          <w:rFonts w:hint="eastAsia"/>
          <w:b/>
          <w:bCs/>
          <w:color w:val="auto"/>
          <w:sz w:val="72"/>
          <w:szCs w:val="72"/>
          <w:highlight w:val="none"/>
        </w:rPr>
        <w:t>竞争性磋商文件</w:t>
      </w:r>
    </w:p>
    <w:p w14:paraId="684CAD1D">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13AE7FC3">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328D7728">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68D2D0DE">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tbl>
      <w:tblPr>
        <w:tblStyle w:val="4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38"/>
        <w:gridCol w:w="6458"/>
      </w:tblGrid>
      <w:tr w14:paraId="44759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38" w:type="dxa"/>
            <w:vAlign w:val="top"/>
          </w:tcPr>
          <w:p w14:paraId="315294E9">
            <w:pPr>
              <w:keepNext w:val="0"/>
              <w:keepLines w:val="0"/>
              <w:pageBreakBefore w:val="0"/>
              <w:widowControl w:val="0"/>
              <w:kinsoku/>
              <w:wordWrap/>
              <w:overflowPunct/>
              <w:topLinePunct w:val="0"/>
              <w:bidi w:val="0"/>
              <w:adjustRightInd w:val="0"/>
              <w:snapToGrid w:val="0"/>
              <w:spacing w:beforeLines="0" w:afterLines="0"/>
              <w:jc w:val="right"/>
              <w:rPr>
                <w:rFonts w:hint="eastAsia"/>
                <w:color w:val="auto"/>
                <w:sz w:val="28"/>
                <w:szCs w:val="28"/>
                <w:highlight w:val="none"/>
              </w:rPr>
            </w:pPr>
            <w:r>
              <w:rPr>
                <w:rFonts w:hint="eastAsia"/>
                <w:b/>
                <w:color w:val="auto"/>
                <w:sz w:val="28"/>
                <w:szCs w:val="28"/>
                <w:highlight w:val="none"/>
              </w:rPr>
              <w:t>项目编号：</w:t>
            </w:r>
          </w:p>
        </w:tc>
        <w:tc>
          <w:tcPr>
            <w:tcW w:w="6458" w:type="dxa"/>
            <w:vAlign w:val="top"/>
          </w:tcPr>
          <w:p w14:paraId="2E882702">
            <w:pPr>
              <w:pStyle w:val="39"/>
              <w:keepNext w:val="0"/>
              <w:keepLines w:val="0"/>
              <w:pageBreakBefore w:val="0"/>
              <w:widowControl w:val="0"/>
              <w:kinsoku/>
              <w:wordWrap/>
              <w:overflowPunct/>
              <w:topLinePunct w:val="0"/>
              <w:bidi w:val="0"/>
              <w:spacing w:beforeLines="0" w:afterLines="0"/>
              <w:ind w:firstLine="0" w:firstLineChars="0"/>
              <w:jc w:val="both"/>
              <w:rPr>
                <w:rFonts w:hint="eastAsia" w:eastAsia="宋体"/>
                <w:b/>
                <w:bCs/>
                <w:color w:val="auto"/>
                <w:szCs w:val="28"/>
                <w:highlight w:val="none"/>
                <w:lang w:eastAsia="zh-CN"/>
              </w:rPr>
            </w:pPr>
            <w:r>
              <w:rPr>
                <w:rFonts w:hint="eastAsia"/>
                <w:b/>
                <w:bCs/>
                <w:color w:val="auto"/>
                <w:szCs w:val="28"/>
                <w:highlight w:val="none"/>
                <w:lang w:eastAsia="zh-CN"/>
              </w:rPr>
              <w:t>07-08-04F-2026-D-F-E15249</w:t>
            </w:r>
          </w:p>
        </w:tc>
      </w:tr>
      <w:tr w14:paraId="33351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838" w:type="dxa"/>
            <w:vAlign w:val="top"/>
          </w:tcPr>
          <w:p w14:paraId="37375624">
            <w:pPr>
              <w:keepNext w:val="0"/>
              <w:keepLines w:val="0"/>
              <w:pageBreakBefore w:val="0"/>
              <w:widowControl w:val="0"/>
              <w:kinsoku/>
              <w:wordWrap/>
              <w:overflowPunct/>
              <w:topLinePunct w:val="0"/>
              <w:bidi w:val="0"/>
              <w:adjustRightInd w:val="0"/>
              <w:snapToGrid w:val="0"/>
              <w:spacing w:beforeLines="0" w:afterLines="0"/>
              <w:jc w:val="right"/>
              <w:rPr>
                <w:rFonts w:hint="eastAsia"/>
                <w:b/>
                <w:color w:val="auto"/>
                <w:sz w:val="28"/>
                <w:szCs w:val="28"/>
                <w:highlight w:val="none"/>
              </w:rPr>
            </w:pPr>
            <w:r>
              <w:rPr>
                <w:rFonts w:hint="eastAsia"/>
                <w:b/>
                <w:color w:val="auto"/>
                <w:sz w:val="28"/>
                <w:szCs w:val="28"/>
                <w:highlight w:val="none"/>
              </w:rPr>
              <w:t>项目名称：</w:t>
            </w:r>
          </w:p>
        </w:tc>
        <w:tc>
          <w:tcPr>
            <w:tcW w:w="6458" w:type="dxa"/>
            <w:vAlign w:val="top"/>
          </w:tcPr>
          <w:p w14:paraId="2A6FC4AB">
            <w:pPr>
              <w:pStyle w:val="39"/>
              <w:keepNext w:val="0"/>
              <w:keepLines w:val="0"/>
              <w:pageBreakBefore w:val="0"/>
              <w:widowControl w:val="0"/>
              <w:kinsoku/>
              <w:wordWrap/>
              <w:overflowPunct/>
              <w:topLinePunct w:val="0"/>
              <w:bidi w:val="0"/>
              <w:spacing w:beforeLines="0" w:afterLines="0"/>
              <w:ind w:firstLine="0" w:firstLineChars="0"/>
              <w:jc w:val="both"/>
              <w:rPr>
                <w:rFonts w:hint="eastAsia" w:eastAsia="宋体"/>
                <w:b/>
                <w:bCs/>
                <w:color w:val="auto"/>
                <w:szCs w:val="28"/>
                <w:highlight w:val="none"/>
                <w:lang w:eastAsia="zh-CN"/>
              </w:rPr>
            </w:pPr>
            <w:r>
              <w:rPr>
                <w:rFonts w:hint="eastAsia"/>
                <w:b/>
                <w:bCs/>
                <w:color w:val="auto"/>
                <w:szCs w:val="28"/>
                <w:highlight w:val="none"/>
                <w:lang w:eastAsia="zh-CN"/>
              </w:rPr>
              <w:t>中华人民共和国横琴出入境边防检查站2026年政府采购限额标准以下零星修缮工程</w:t>
            </w:r>
          </w:p>
        </w:tc>
      </w:tr>
    </w:tbl>
    <w:p w14:paraId="4C566BE3">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2B00DB69">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1A4EFA46">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42753634">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6674D2E2">
      <w:pPr>
        <w:keepNext w:val="0"/>
        <w:keepLines w:val="0"/>
        <w:pageBreakBefore w:val="0"/>
        <w:widowControl w:val="0"/>
        <w:kinsoku/>
        <w:wordWrap/>
        <w:overflowPunct/>
        <w:topLinePunct w:val="0"/>
        <w:bidi w:val="0"/>
        <w:adjustRightInd w:val="0"/>
        <w:snapToGrid w:val="0"/>
        <w:spacing w:beforeLines="0" w:afterLines="0"/>
        <w:rPr>
          <w:rFonts w:hint="eastAsia"/>
          <w:color w:val="auto"/>
          <w:sz w:val="28"/>
          <w:szCs w:val="28"/>
          <w:highlight w:val="none"/>
        </w:rPr>
      </w:pPr>
    </w:p>
    <w:p w14:paraId="1BA34F2B">
      <w:pPr>
        <w:pStyle w:val="39"/>
        <w:keepNext w:val="0"/>
        <w:keepLines w:val="0"/>
        <w:pageBreakBefore w:val="0"/>
        <w:widowControl w:val="0"/>
        <w:kinsoku/>
        <w:wordWrap/>
        <w:overflowPunct/>
        <w:topLinePunct w:val="0"/>
        <w:bidi w:val="0"/>
        <w:spacing w:beforeLines="0" w:afterLines="0"/>
        <w:ind w:firstLine="0" w:firstLineChars="0"/>
        <w:jc w:val="center"/>
        <w:rPr>
          <w:rFonts w:hint="eastAsia" w:eastAsia="宋体"/>
          <w:b/>
          <w:color w:val="auto"/>
          <w:szCs w:val="28"/>
          <w:highlight w:val="none"/>
          <w:lang w:eastAsia="zh-CN"/>
        </w:rPr>
      </w:pPr>
      <w:r>
        <w:rPr>
          <w:rFonts w:hint="eastAsia"/>
          <w:b/>
          <w:color w:val="auto"/>
          <w:szCs w:val="28"/>
          <w:highlight w:val="none"/>
        </w:rPr>
        <w:t>采购人：</w:t>
      </w:r>
      <w:r>
        <w:rPr>
          <w:rFonts w:hint="eastAsia"/>
          <w:b/>
          <w:color w:val="auto"/>
          <w:szCs w:val="28"/>
          <w:highlight w:val="none"/>
          <w:lang w:eastAsia="zh-CN"/>
        </w:rPr>
        <w:t>中华人民共和国横琴出入境边防检查站</w:t>
      </w:r>
    </w:p>
    <w:p w14:paraId="4EE98BA0">
      <w:pPr>
        <w:pStyle w:val="39"/>
        <w:keepNext w:val="0"/>
        <w:keepLines w:val="0"/>
        <w:pageBreakBefore w:val="0"/>
        <w:widowControl w:val="0"/>
        <w:kinsoku/>
        <w:wordWrap/>
        <w:overflowPunct/>
        <w:topLinePunct w:val="0"/>
        <w:bidi w:val="0"/>
        <w:spacing w:beforeLines="0" w:afterLines="0"/>
        <w:ind w:firstLine="0" w:firstLineChars="0"/>
        <w:jc w:val="center"/>
        <w:rPr>
          <w:rFonts w:hint="eastAsia"/>
          <w:b/>
          <w:color w:val="auto"/>
          <w:szCs w:val="28"/>
          <w:highlight w:val="none"/>
        </w:rPr>
      </w:pPr>
      <w:r>
        <w:rPr>
          <w:rFonts w:hint="eastAsia"/>
          <w:b/>
          <w:color w:val="auto"/>
          <w:szCs w:val="28"/>
          <w:highlight w:val="none"/>
        </w:rPr>
        <w:t>采购代理机构：公诚管理咨询有限公司</w:t>
      </w:r>
    </w:p>
    <w:p w14:paraId="4E731A1B">
      <w:pPr>
        <w:pStyle w:val="39"/>
        <w:keepNext w:val="0"/>
        <w:keepLines w:val="0"/>
        <w:pageBreakBefore w:val="0"/>
        <w:widowControl w:val="0"/>
        <w:kinsoku/>
        <w:wordWrap/>
        <w:overflowPunct/>
        <w:topLinePunct w:val="0"/>
        <w:bidi w:val="0"/>
        <w:spacing w:beforeLines="0" w:afterLines="0"/>
        <w:ind w:firstLine="0" w:firstLineChars="0"/>
        <w:jc w:val="center"/>
        <w:rPr>
          <w:rFonts w:hint="eastAsia"/>
          <w:b/>
          <w:color w:val="auto"/>
          <w:szCs w:val="28"/>
          <w:highlight w:val="none"/>
        </w:rPr>
      </w:pPr>
      <w:r>
        <w:rPr>
          <w:rFonts w:hint="eastAsia"/>
          <w:b/>
          <w:color w:val="auto"/>
          <w:szCs w:val="28"/>
          <w:highlight w:val="none"/>
        </w:rPr>
        <w:t>日期：二○二</w:t>
      </w:r>
      <w:r>
        <w:rPr>
          <w:rFonts w:hint="eastAsia"/>
          <w:b/>
          <w:color w:val="auto"/>
          <w:szCs w:val="28"/>
          <w:highlight w:val="none"/>
          <w:lang w:val="en-US" w:eastAsia="zh-CN"/>
        </w:rPr>
        <w:t>六</w:t>
      </w:r>
      <w:r>
        <w:rPr>
          <w:rFonts w:hint="eastAsia"/>
          <w:b/>
          <w:color w:val="auto"/>
          <w:szCs w:val="28"/>
          <w:highlight w:val="none"/>
        </w:rPr>
        <w:t>年</w:t>
      </w:r>
      <w:r>
        <w:rPr>
          <w:rFonts w:hint="eastAsia"/>
          <w:b/>
          <w:color w:val="auto"/>
          <w:szCs w:val="28"/>
          <w:highlight w:val="none"/>
          <w:lang w:val="en-US" w:eastAsia="zh-CN"/>
        </w:rPr>
        <w:t>六</w:t>
      </w:r>
      <w:r>
        <w:rPr>
          <w:rFonts w:hint="eastAsia"/>
          <w:b/>
          <w:color w:val="auto"/>
          <w:szCs w:val="28"/>
          <w:highlight w:val="none"/>
        </w:rPr>
        <w:t>月</w:t>
      </w:r>
      <w:bookmarkEnd w:id="0"/>
    </w:p>
    <w:p w14:paraId="77F45B38">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712DD815">
      <w:pPr>
        <w:pStyle w:val="39"/>
        <w:keepNext w:val="0"/>
        <w:keepLines w:val="0"/>
        <w:pageBreakBefore w:val="0"/>
        <w:widowControl w:val="0"/>
        <w:kinsoku/>
        <w:wordWrap/>
        <w:overflowPunct/>
        <w:topLinePunct w:val="0"/>
        <w:bidi w:val="0"/>
        <w:spacing w:beforeLines="0" w:afterLines="0"/>
        <w:ind w:firstLine="0" w:firstLineChars="0"/>
        <w:jc w:val="center"/>
        <w:rPr>
          <w:rFonts w:hint="eastAsia"/>
          <w:b/>
          <w:bCs/>
          <w:color w:val="auto"/>
          <w:sz w:val="44"/>
          <w:szCs w:val="44"/>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134" w:right="1134" w:bottom="1134" w:left="1134" w:header="426" w:footer="992" w:gutter="0"/>
          <w:paperSrc w:first="7"/>
          <w:pgNumType w:fmt="decimal" w:start="1"/>
          <w:cols w:space="0" w:num="1"/>
          <w:titlePg/>
          <w:rtlGutter w:val="0"/>
          <w:docGrid w:linePitch="312" w:charSpace="0"/>
        </w:sectPr>
      </w:pPr>
    </w:p>
    <w:p w14:paraId="0D3A6679">
      <w:pPr>
        <w:pStyle w:val="39"/>
        <w:keepNext w:val="0"/>
        <w:keepLines w:val="0"/>
        <w:pageBreakBefore w:val="0"/>
        <w:widowControl w:val="0"/>
        <w:kinsoku/>
        <w:wordWrap/>
        <w:overflowPunct/>
        <w:topLinePunct w:val="0"/>
        <w:bidi w:val="0"/>
        <w:spacing w:beforeLines="0" w:afterLines="0"/>
        <w:ind w:firstLine="0" w:firstLineChars="0"/>
        <w:jc w:val="center"/>
        <w:rPr>
          <w:rFonts w:hint="eastAsia"/>
          <w:b/>
          <w:bCs/>
          <w:color w:val="auto"/>
          <w:sz w:val="44"/>
          <w:szCs w:val="44"/>
          <w:highlight w:val="none"/>
        </w:rPr>
      </w:pPr>
      <w:r>
        <w:rPr>
          <w:b/>
          <w:bCs/>
          <w:color w:val="auto"/>
          <w:sz w:val="44"/>
          <w:szCs w:val="44"/>
          <w:highlight w:val="none"/>
        </w:rPr>
        <w:t>温馨提示</w:t>
      </w:r>
    </w:p>
    <w:p w14:paraId="48584058">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“□”为选择项，采购人</w:t>
      </w:r>
      <w:r>
        <w:rPr>
          <w:color w:val="auto"/>
          <w:szCs w:val="21"/>
          <w:highlight w:val="none"/>
        </w:rPr>
        <w:t>/采购代理机构采用相应内容的以“■”</w:t>
      </w:r>
      <w:r>
        <w:rPr>
          <w:rFonts w:hint="eastAsia"/>
          <w:color w:val="auto"/>
          <w:szCs w:val="21"/>
          <w:highlight w:val="none"/>
        </w:rPr>
        <w:t>或“☑”</w:t>
      </w:r>
      <w:r>
        <w:rPr>
          <w:color w:val="auto"/>
          <w:szCs w:val="21"/>
          <w:highlight w:val="none"/>
        </w:rPr>
        <w:t>表示，不采用相应内容的仍然以“□”表示。</w:t>
      </w:r>
    </w:p>
    <w:p w14:paraId="6D7DAFAF">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color w:val="auto"/>
          <w:szCs w:val="21"/>
          <w:highlight w:val="none"/>
        </w:rPr>
        <w:t>本项目邀请</w:t>
      </w:r>
      <w:r>
        <w:rPr>
          <w:rFonts w:hint="eastAsia"/>
          <w:color w:val="auto"/>
          <w:szCs w:val="21"/>
          <w:highlight w:val="none"/>
        </w:rPr>
        <w:t>供应商</w:t>
      </w:r>
      <w:r>
        <w:rPr>
          <w:color w:val="auto"/>
          <w:szCs w:val="21"/>
          <w:highlight w:val="none"/>
        </w:rPr>
        <w:t>参加</w:t>
      </w:r>
      <w:r>
        <w:rPr>
          <w:rFonts w:hint="eastAsia"/>
          <w:color w:val="auto"/>
          <w:szCs w:val="21"/>
          <w:highlight w:val="none"/>
        </w:rPr>
        <w:t>开启</w:t>
      </w:r>
      <w:r>
        <w:rPr>
          <w:color w:val="auto"/>
          <w:szCs w:val="21"/>
          <w:highlight w:val="none"/>
        </w:rPr>
        <w:t>会议，</w:t>
      </w:r>
      <w:r>
        <w:rPr>
          <w:rFonts w:hint="eastAsia"/>
          <w:color w:val="auto"/>
          <w:szCs w:val="21"/>
          <w:highlight w:val="none"/>
        </w:rPr>
        <w:t>出席开启会议的人员应当为供应商法定代表人或其授权代表，并携带相关身份证件；响应</w:t>
      </w:r>
      <w:r>
        <w:rPr>
          <w:color w:val="auto"/>
          <w:szCs w:val="21"/>
          <w:highlight w:val="none"/>
        </w:rPr>
        <w:t>文件递交地址</w:t>
      </w:r>
      <w:r>
        <w:rPr>
          <w:rFonts w:hint="eastAsia"/>
          <w:color w:val="auto"/>
          <w:szCs w:val="21"/>
          <w:highlight w:val="none"/>
        </w:rPr>
        <w:t>/开启</w:t>
      </w:r>
      <w:r>
        <w:rPr>
          <w:color w:val="auto"/>
          <w:szCs w:val="21"/>
          <w:highlight w:val="none"/>
        </w:rPr>
        <w:t>地址详见第一</w:t>
      </w:r>
      <w:r>
        <w:rPr>
          <w:rFonts w:hint="eastAsia"/>
          <w:color w:val="auto"/>
          <w:szCs w:val="21"/>
          <w:highlight w:val="none"/>
        </w:rPr>
        <w:t>章磋商邀请；</w:t>
      </w:r>
      <w:r>
        <w:rPr>
          <w:color w:val="auto"/>
          <w:szCs w:val="21"/>
          <w:highlight w:val="none"/>
        </w:rPr>
        <w:t>请</w:t>
      </w:r>
      <w:r>
        <w:rPr>
          <w:rFonts w:hint="eastAsia"/>
          <w:color w:val="auto"/>
          <w:szCs w:val="21"/>
          <w:highlight w:val="none"/>
        </w:rPr>
        <w:t>供应商</w:t>
      </w:r>
      <w:r>
        <w:rPr>
          <w:color w:val="auto"/>
          <w:szCs w:val="21"/>
          <w:highlight w:val="none"/>
        </w:rPr>
        <w:t>适当提前到达</w:t>
      </w:r>
      <w:r>
        <w:rPr>
          <w:rFonts w:hint="eastAsia"/>
          <w:color w:val="auto"/>
          <w:szCs w:val="21"/>
          <w:highlight w:val="none"/>
        </w:rPr>
        <w:t>指定地点，建议</w:t>
      </w:r>
      <w:r>
        <w:rPr>
          <w:color w:val="auto"/>
          <w:szCs w:val="21"/>
          <w:highlight w:val="none"/>
        </w:rPr>
        <w:t>在</w:t>
      </w:r>
      <w:r>
        <w:rPr>
          <w:rFonts w:hint="eastAsia"/>
          <w:color w:val="auto"/>
          <w:szCs w:val="21"/>
          <w:highlight w:val="none"/>
        </w:rPr>
        <w:t>响应文件提交</w:t>
      </w:r>
      <w:r>
        <w:rPr>
          <w:color w:val="auto"/>
          <w:szCs w:val="21"/>
          <w:highlight w:val="none"/>
        </w:rPr>
        <w:t>截止时间前30分钟</w:t>
      </w:r>
      <w:r>
        <w:rPr>
          <w:rFonts w:hint="eastAsia"/>
          <w:color w:val="auto"/>
          <w:szCs w:val="21"/>
          <w:highlight w:val="none"/>
        </w:rPr>
        <w:t>到达</w:t>
      </w:r>
      <w:r>
        <w:rPr>
          <w:color w:val="auto"/>
          <w:szCs w:val="21"/>
          <w:highlight w:val="none"/>
        </w:rPr>
        <w:t>。</w:t>
      </w:r>
    </w:p>
    <w:p w14:paraId="0B844416">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响应</w:t>
      </w:r>
      <w:r>
        <w:rPr>
          <w:color w:val="auto"/>
          <w:szCs w:val="21"/>
          <w:highlight w:val="none"/>
        </w:rPr>
        <w:t>文件应按顺序编制页码</w:t>
      </w:r>
      <w:r>
        <w:rPr>
          <w:rFonts w:hint="eastAsia"/>
          <w:color w:val="auto"/>
          <w:szCs w:val="21"/>
          <w:highlight w:val="none"/>
        </w:rPr>
        <w:t>和目录，请仔细检查响应文件是否已按采购文件要求盖章、签名、签署日期；建议逐页盖章或者在骑缝位置盖章。</w:t>
      </w:r>
    </w:p>
    <w:p w14:paraId="565BD01A">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b/>
          <w:color w:val="auto"/>
          <w:szCs w:val="21"/>
          <w:highlight w:val="none"/>
        </w:rPr>
      </w:pPr>
      <w:r>
        <w:rPr>
          <w:rFonts w:hint="eastAsia"/>
          <w:color w:val="auto"/>
          <w:szCs w:val="21"/>
          <w:highlight w:val="none"/>
        </w:rPr>
        <w:t>请仔细</w:t>
      </w:r>
      <w:r>
        <w:rPr>
          <w:color w:val="auto"/>
          <w:szCs w:val="21"/>
          <w:highlight w:val="none"/>
        </w:rPr>
        <w:t>根据资格</w:t>
      </w:r>
      <w:r>
        <w:rPr>
          <w:rFonts w:hint="eastAsia"/>
          <w:color w:val="auto"/>
          <w:szCs w:val="21"/>
          <w:highlight w:val="none"/>
        </w:rPr>
        <w:t>性</w:t>
      </w:r>
      <w:r>
        <w:rPr>
          <w:color w:val="auto"/>
          <w:szCs w:val="21"/>
          <w:highlight w:val="none"/>
        </w:rPr>
        <w:t>审查</w:t>
      </w:r>
      <w:r>
        <w:rPr>
          <w:rFonts w:hint="eastAsia"/>
          <w:color w:val="auto"/>
          <w:szCs w:val="21"/>
          <w:highlight w:val="none"/>
        </w:rPr>
        <w:t>表</w:t>
      </w:r>
      <w:r>
        <w:rPr>
          <w:color w:val="auto"/>
          <w:szCs w:val="21"/>
          <w:highlight w:val="none"/>
        </w:rPr>
        <w:t>和符合性审查</w:t>
      </w:r>
      <w:r>
        <w:rPr>
          <w:rFonts w:hint="eastAsia"/>
          <w:color w:val="auto"/>
          <w:szCs w:val="21"/>
          <w:highlight w:val="none"/>
        </w:rPr>
        <w:t>表</w:t>
      </w:r>
      <w:r>
        <w:rPr>
          <w:color w:val="auto"/>
          <w:szCs w:val="21"/>
          <w:highlight w:val="none"/>
        </w:rPr>
        <w:t>逐条检查</w:t>
      </w:r>
      <w:r>
        <w:rPr>
          <w:rFonts w:hint="eastAsia"/>
          <w:color w:val="auto"/>
          <w:szCs w:val="21"/>
          <w:highlight w:val="none"/>
        </w:rPr>
        <w:t>响应</w:t>
      </w:r>
      <w:r>
        <w:rPr>
          <w:color w:val="auto"/>
          <w:szCs w:val="21"/>
          <w:highlight w:val="none"/>
        </w:rPr>
        <w:t>文件</w:t>
      </w:r>
      <w:r>
        <w:rPr>
          <w:rFonts w:hint="eastAsia"/>
          <w:color w:val="auto"/>
          <w:szCs w:val="21"/>
          <w:highlight w:val="none"/>
        </w:rPr>
        <w:t>对应内容</w:t>
      </w:r>
      <w:r>
        <w:rPr>
          <w:color w:val="auto"/>
          <w:szCs w:val="21"/>
          <w:highlight w:val="none"/>
        </w:rPr>
        <w:t>是否符合</w:t>
      </w:r>
      <w:r>
        <w:rPr>
          <w:rFonts w:hint="eastAsia"/>
          <w:color w:val="auto"/>
          <w:szCs w:val="21"/>
          <w:highlight w:val="none"/>
        </w:rPr>
        <w:t>采购</w:t>
      </w:r>
      <w:r>
        <w:rPr>
          <w:color w:val="auto"/>
          <w:szCs w:val="21"/>
          <w:highlight w:val="none"/>
        </w:rPr>
        <w:t>文件要求</w:t>
      </w:r>
      <w:r>
        <w:rPr>
          <w:rFonts w:hint="eastAsia"/>
          <w:color w:val="auto"/>
          <w:szCs w:val="21"/>
          <w:highlight w:val="none"/>
        </w:rPr>
        <w:t>，</w:t>
      </w:r>
      <w:r>
        <w:rPr>
          <w:color w:val="auto"/>
          <w:szCs w:val="21"/>
          <w:highlight w:val="none"/>
        </w:rPr>
        <w:t>检查相关</w:t>
      </w:r>
      <w:r>
        <w:rPr>
          <w:rFonts w:hint="eastAsia"/>
          <w:color w:val="auto"/>
          <w:szCs w:val="21"/>
          <w:highlight w:val="none"/>
        </w:rPr>
        <w:t>证照、</w:t>
      </w:r>
      <w:r>
        <w:rPr>
          <w:color w:val="auto"/>
          <w:szCs w:val="21"/>
          <w:highlight w:val="none"/>
        </w:rPr>
        <w:t>证书、人员身份证</w:t>
      </w:r>
      <w:r>
        <w:rPr>
          <w:rFonts w:hint="eastAsia"/>
          <w:color w:val="auto"/>
          <w:szCs w:val="21"/>
          <w:highlight w:val="none"/>
        </w:rPr>
        <w:t>等证明材料是否</w:t>
      </w:r>
      <w:r>
        <w:rPr>
          <w:color w:val="auto"/>
          <w:szCs w:val="21"/>
          <w:highlight w:val="none"/>
        </w:rPr>
        <w:t>在有效期内</w:t>
      </w:r>
      <w:r>
        <w:rPr>
          <w:rFonts w:hint="eastAsia"/>
          <w:color w:val="auto"/>
          <w:szCs w:val="21"/>
          <w:highlight w:val="none"/>
        </w:rPr>
        <w:t>，业绩合同是否有签订日期，是否在规定的时间范围内</w:t>
      </w:r>
      <w:r>
        <w:rPr>
          <w:color w:val="auto"/>
          <w:szCs w:val="21"/>
          <w:highlight w:val="none"/>
        </w:rPr>
        <w:t>。</w:t>
      </w:r>
    </w:p>
    <w:p w14:paraId="3D088540">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采购</w:t>
      </w:r>
      <w:r>
        <w:rPr>
          <w:color w:val="auto"/>
          <w:szCs w:val="21"/>
          <w:highlight w:val="none"/>
        </w:rPr>
        <w:t>文件中如有实质性条款要求，则</w:t>
      </w:r>
      <w:r>
        <w:rPr>
          <w:rFonts w:hint="eastAsia"/>
          <w:color w:val="auto"/>
          <w:szCs w:val="21"/>
          <w:highlight w:val="none"/>
        </w:rPr>
        <w:t>响应</w:t>
      </w:r>
      <w:r>
        <w:rPr>
          <w:color w:val="auto"/>
          <w:szCs w:val="21"/>
          <w:highlight w:val="none"/>
        </w:rPr>
        <w:t>文件格式中《</w:t>
      </w:r>
      <w:r>
        <w:rPr>
          <w:rFonts w:hint="eastAsia"/>
          <w:color w:val="auto"/>
          <w:szCs w:val="21"/>
          <w:highlight w:val="none"/>
        </w:rPr>
        <w:t>实质性条款响应表》</w:t>
      </w:r>
      <w:r>
        <w:rPr>
          <w:color w:val="auto"/>
          <w:szCs w:val="21"/>
          <w:highlight w:val="none"/>
        </w:rPr>
        <w:t>不能留空白，一定要按照</w:t>
      </w:r>
      <w:r>
        <w:rPr>
          <w:rFonts w:hint="eastAsia"/>
          <w:color w:val="auto"/>
          <w:szCs w:val="21"/>
          <w:highlight w:val="none"/>
        </w:rPr>
        <w:t>采购文件</w:t>
      </w:r>
      <w:r>
        <w:rPr>
          <w:color w:val="auto"/>
          <w:szCs w:val="21"/>
          <w:highlight w:val="none"/>
        </w:rPr>
        <w:t>要求填写</w:t>
      </w:r>
      <w:r>
        <w:rPr>
          <w:rFonts w:hint="eastAsia"/>
          <w:color w:val="auto"/>
          <w:szCs w:val="21"/>
          <w:highlight w:val="none"/>
        </w:rPr>
        <w:t>，若要求提供证明材料还须对应提供证明材料</w:t>
      </w:r>
      <w:r>
        <w:rPr>
          <w:color w:val="auto"/>
          <w:szCs w:val="21"/>
          <w:highlight w:val="none"/>
        </w:rPr>
        <w:t>。</w:t>
      </w:r>
    </w:p>
    <w:p w14:paraId="3E5C36CA">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请正确填写《报价一览表》（报价表）和《分项报价表》(如有)，注意大小写必须一致；《分项报价表》汇总金额必须与《报价一览表》总报价一致。</w:t>
      </w:r>
    </w:p>
    <w:p w14:paraId="25368A30">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多包组项目请仔细检查包组号，包组号与包组采购内容必须对应。</w:t>
      </w:r>
    </w:p>
    <w:p w14:paraId="37C7CEEB">
      <w:pPr>
        <w:keepNext w:val="0"/>
        <w:keepLines w:val="0"/>
        <w:pageBreakBefore w:val="0"/>
        <w:widowControl w:val="0"/>
        <w:numPr>
          <w:ilvl w:val="0"/>
          <w:numId w:val="4"/>
        </w:numPr>
        <w:tabs>
          <w:tab w:val="left" w:pos="502"/>
          <w:tab w:val="left" w:pos="2279"/>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为方便评审，提高评审效率和质量，建议供应商可根据评审标准要求，对照自己的响应文件，用显眼的方式标记出对应的响应内容。</w:t>
      </w:r>
    </w:p>
    <w:p w14:paraId="6C686597">
      <w:pPr>
        <w:keepNext w:val="0"/>
        <w:keepLines w:val="0"/>
        <w:pageBreakBefore w:val="0"/>
        <w:widowControl w:val="0"/>
        <w:numPr>
          <w:ilvl w:val="0"/>
          <w:numId w:val="4"/>
        </w:numPr>
        <w:tabs>
          <w:tab w:val="left" w:pos="502"/>
          <w:tab w:val="left" w:pos="1408"/>
          <w:tab w:val="left" w:pos="4769"/>
        </w:tabs>
        <w:kinsoku/>
        <w:wordWrap/>
        <w:overflowPunct/>
        <w:topLinePunct w:val="0"/>
        <w:bidi w:val="0"/>
        <w:spacing w:beforeLines="0" w:afterLines="0"/>
        <w:ind w:left="420" w:hanging="420" w:hangingChars="200"/>
        <w:rPr>
          <w:rFonts w:hint="eastAsia"/>
          <w:color w:val="auto"/>
          <w:szCs w:val="21"/>
          <w:highlight w:val="none"/>
        </w:rPr>
      </w:pPr>
      <w:r>
        <w:rPr>
          <w:rFonts w:hint="eastAsia"/>
          <w:color w:val="auto"/>
          <w:szCs w:val="21"/>
          <w:highlight w:val="none"/>
        </w:rPr>
        <w:t>为了提高采购效率，节约社会交易成本与时间，希望获取了采购文件的供应商如果决定放弃响应的，在响应文件提交</w:t>
      </w:r>
      <w:r>
        <w:rPr>
          <w:color w:val="auto"/>
          <w:szCs w:val="21"/>
          <w:highlight w:val="none"/>
        </w:rPr>
        <w:t>截止时间</w:t>
      </w:r>
      <w:r>
        <w:rPr>
          <w:rFonts w:hint="eastAsia"/>
          <w:color w:val="auto"/>
          <w:szCs w:val="21"/>
          <w:highlight w:val="none"/>
        </w:rPr>
        <w:t>前2日，以书面盖章形式告知采购代理机构：</w:t>
      </w:r>
      <w:bookmarkStart w:id="1" w:name="_Hlk111933718"/>
      <w:r>
        <w:rPr>
          <w:rFonts w:hint="eastAsia"/>
          <w:color w:val="auto"/>
          <w:szCs w:val="21"/>
          <w:highlight w:val="none"/>
          <w:lang w:eastAsia="zh-CN"/>
        </w:rPr>
        <w:t>yangshuwen</w:t>
      </w:r>
      <w:r>
        <w:rPr>
          <w:color w:val="auto"/>
          <w:szCs w:val="21"/>
          <w:highlight w:val="none"/>
        </w:rPr>
        <w:t>.gcmc.gd@chinaccs.cn</w:t>
      </w:r>
      <w:bookmarkEnd w:id="1"/>
      <w:r>
        <w:rPr>
          <w:color w:val="auto"/>
          <w:szCs w:val="21"/>
          <w:highlight w:val="none"/>
        </w:rPr>
        <w:t>。</w:t>
      </w:r>
    </w:p>
    <w:p w14:paraId="4BE27179">
      <w:pPr>
        <w:keepNext w:val="0"/>
        <w:keepLines w:val="0"/>
        <w:pageBreakBefore w:val="0"/>
        <w:widowControl w:val="0"/>
        <w:numPr>
          <w:ilvl w:val="0"/>
          <w:numId w:val="4"/>
        </w:numPr>
        <w:tabs>
          <w:tab w:val="left" w:pos="502"/>
          <w:tab w:val="left" w:pos="1408"/>
          <w:tab w:val="left" w:pos="4769"/>
        </w:tabs>
        <w:kinsoku/>
        <w:wordWrap/>
        <w:overflowPunct/>
        <w:topLinePunct w:val="0"/>
        <w:bidi w:val="0"/>
        <w:spacing w:beforeLines="0" w:afterLines="0"/>
        <w:ind w:left="420" w:hanging="420" w:hangingChars="200"/>
        <w:jc w:val="left"/>
        <w:rPr>
          <w:rFonts w:hint="eastAsia"/>
          <w:color w:val="auto"/>
          <w:szCs w:val="21"/>
          <w:highlight w:val="none"/>
        </w:rPr>
      </w:pPr>
      <w:r>
        <w:rPr>
          <w:rFonts w:hint="eastAsia"/>
          <w:color w:val="auto"/>
          <w:szCs w:val="21"/>
          <w:highlight w:val="none"/>
        </w:rPr>
        <w:t>根据“节约能源、保护环境”要求，建议供应商双面打印响应文件。</w:t>
      </w:r>
    </w:p>
    <w:p w14:paraId="72CCDDB6">
      <w:pPr>
        <w:keepNext w:val="0"/>
        <w:keepLines w:val="0"/>
        <w:pageBreakBefore w:val="0"/>
        <w:widowControl w:val="0"/>
        <w:numPr>
          <w:ilvl w:val="0"/>
          <w:numId w:val="4"/>
        </w:numPr>
        <w:tabs>
          <w:tab w:val="left" w:pos="502"/>
          <w:tab w:val="left" w:pos="1408"/>
          <w:tab w:val="left" w:pos="4769"/>
        </w:tabs>
        <w:kinsoku/>
        <w:wordWrap/>
        <w:overflowPunct/>
        <w:topLinePunct w:val="0"/>
        <w:bidi w:val="0"/>
        <w:spacing w:beforeLines="0" w:afterLines="0"/>
        <w:ind w:left="420" w:hanging="420" w:hangingChars="200"/>
        <w:jc w:val="left"/>
        <w:rPr>
          <w:rFonts w:hint="eastAsia"/>
          <w:color w:val="auto"/>
          <w:szCs w:val="21"/>
          <w:highlight w:val="none"/>
        </w:rPr>
      </w:pPr>
      <w:r>
        <w:rPr>
          <w:rFonts w:hint="eastAsia"/>
          <w:color w:val="auto"/>
          <w:szCs w:val="21"/>
          <w:highlight w:val="none"/>
        </w:rPr>
        <w:t>特别说明：本提示内容非采购文件的组成部分，仅为善意提醒；如有不一致的地方，以采购文件为准。</w:t>
      </w:r>
    </w:p>
    <w:p w14:paraId="40B1F818">
      <w:pPr>
        <w:keepNext w:val="0"/>
        <w:keepLines w:val="0"/>
        <w:pageBreakBefore w:val="0"/>
        <w:widowControl w:val="0"/>
        <w:kinsoku/>
        <w:wordWrap/>
        <w:overflowPunct/>
        <w:topLinePunct w:val="0"/>
        <w:bidi w:val="0"/>
        <w:spacing w:beforeLines="0" w:afterLines="0"/>
        <w:rPr>
          <w:rFonts w:hint="eastAsia"/>
          <w:b/>
          <w:color w:val="auto"/>
          <w:szCs w:val="21"/>
          <w:highlight w:val="none"/>
        </w:rPr>
      </w:pPr>
      <w:r>
        <w:rPr>
          <w:b/>
          <w:color w:val="auto"/>
          <w:szCs w:val="21"/>
          <w:highlight w:val="none"/>
        </w:rPr>
        <w:br w:type="page"/>
      </w:r>
    </w:p>
    <w:p w14:paraId="460612BF">
      <w:pPr>
        <w:keepNext w:val="0"/>
        <w:keepLines w:val="0"/>
        <w:pageBreakBefore w:val="0"/>
        <w:widowControl w:val="0"/>
        <w:kinsoku/>
        <w:wordWrap/>
        <w:overflowPunct/>
        <w:topLinePunct w:val="0"/>
        <w:bidi w:val="0"/>
        <w:spacing w:beforeLines="0" w:afterLines="0"/>
        <w:jc w:val="center"/>
        <w:rPr>
          <w:rFonts w:hint="eastAsia"/>
          <w:b/>
          <w:bCs/>
          <w:color w:val="auto"/>
          <w:sz w:val="32"/>
          <w:highlight w:val="none"/>
        </w:rPr>
      </w:pPr>
      <w:r>
        <w:rPr>
          <w:rFonts w:hint="eastAsia"/>
          <w:b/>
          <w:bCs/>
          <w:color w:val="auto"/>
          <w:sz w:val="32"/>
          <w:highlight w:val="none"/>
        </w:rPr>
        <w:t>目</w:t>
      </w:r>
      <w:r>
        <w:rPr>
          <w:rFonts w:hint="eastAsia"/>
          <w:b/>
          <w:bCs/>
          <w:color w:val="auto"/>
          <w:sz w:val="32"/>
          <w:highlight w:val="none"/>
        </w:rPr>
        <w:tab/>
      </w:r>
      <w:r>
        <w:rPr>
          <w:rFonts w:hint="eastAsia"/>
          <w:b/>
          <w:bCs/>
          <w:color w:val="auto"/>
          <w:sz w:val="32"/>
          <w:highlight w:val="none"/>
        </w:rPr>
        <w:t xml:space="preserve">  录</w:t>
      </w:r>
    </w:p>
    <w:p w14:paraId="4C55EFB9">
      <w:pPr>
        <w:pStyle w:val="32"/>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 w:val="0"/>
          <w:color w:val="auto"/>
          <w:sz w:val="21"/>
          <w:szCs w:val="21"/>
          <w:highlight w:val="none"/>
        </w:rPr>
        <w:fldChar w:fldCharType="begin"/>
      </w:r>
      <w:r>
        <w:rPr>
          <w:rFonts w:hint="eastAsia" w:ascii="宋体" w:hAnsi="宋体" w:eastAsia="宋体" w:cs="宋体"/>
          <w:b w:val="0"/>
          <w:color w:val="auto"/>
          <w:sz w:val="21"/>
          <w:szCs w:val="21"/>
          <w:highlight w:val="none"/>
        </w:rPr>
        <w:instrText xml:space="preserve"> TOC \o "1-2" \h \z \u </w:instrText>
      </w:r>
      <w:r>
        <w:rPr>
          <w:rFonts w:hint="eastAsia" w:ascii="宋体" w:hAnsi="宋体" w:eastAsia="宋体" w:cs="宋体"/>
          <w:b w:val="0"/>
          <w:color w:val="auto"/>
          <w:sz w:val="21"/>
          <w:szCs w:val="21"/>
          <w:highlight w:val="none"/>
        </w:rPr>
        <w:fldChar w:fldCharType="separate"/>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HYPERLINK \l _Toc14945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第一章 磋商邀请</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_Toc14945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color w:val="auto"/>
          <w:sz w:val="21"/>
          <w:szCs w:val="21"/>
          <w:highlight w:val="none"/>
        </w:rPr>
        <w:fldChar w:fldCharType="end"/>
      </w:r>
    </w:p>
    <w:p w14:paraId="77D88562">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_Toc7553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一、项目基本情况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_Toc7553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77C4BDA">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_Toc3346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二、申请人的资格要求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_Toc3346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A51FE3D">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_Toc11200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三、获取采购文件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_Toc11200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A556636">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_Toc7943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四、响应文件提交</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_Toc7943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F3497A1">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_Toc20714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五、开启</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_Toc20714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0D4ADB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_Toc27403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六、公告期限</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_Toc27403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A37B3D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_Toc21632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七、其他补充事宜</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_Toc21632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2F7950F">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_Toc23305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八、凡对本次采购提出询问，请按以下方式联系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_Toc23305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5FEED87">
      <w:pPr>
        <w:pStyle w:val="32"/>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_Toc32611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第二章 采购需求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_Toc32611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D5490BC">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_Toc10338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bCs/>
          <w:color w:val="auto"/>
          <w:sz w:val="21"/>
          <w:szCs w:val="21"/>
          <w:highlight w:val="none"/>
        </w:rPr>
        <w:t>一、项目概述</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_Toc10338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1F78D655">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_Toc29042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lang w:eastAsia="zh-CN"/>
        </w:rPr>
        <w:t>二、主要商务要求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_Toc29042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F860A4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_Toc30605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bCs/>
          <w:color w:val="auto"/>
          <w:sz w:val="21"/>
          <w:szCs w:val="21"/>
          <w:highlight w:val="none"/>
        </w:rPr>
        <w:t>三、技术标准与要求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_Toc30605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76B052C">
      <w:pPr>
        <w:pStyle w:val="32"/>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_Toc30988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第三章 供应商须知</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_Toc30988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4A88DFE">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_Toc21002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一、 名词解释</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_Toc21002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B119C6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_Toc9166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二、 须知前附表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_Toc9166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25402FE5">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_Toc30907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三、 说明</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_Toc30907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6EE3A00">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_Toc14843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四、 磋商文件的澄清和修改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_Toc14843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39C7B79">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_Toc6675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五、 响应要求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_Toc6675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48E92DD">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_Toc8820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六、 磋商、评审和结果确认</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_Toc8820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A91E2D0">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_Toc4804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七、 询问、质疑与投诉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_Toc4804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BD463AA">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_Toc23342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八、 合同签订和履行</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_Toc23342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BFB7A80">
      <w:pPr>
        <w:pStyle w:val="32"/>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_Toc21711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第四章 评审</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_Toc21711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E55041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_Toc21120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一、 评审要求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_Toc21120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12C9C392">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_Toc12323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二、 政府采购政策落实</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本项目不涉及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_Toc12323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A6620E0">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_Toc4036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三、 评审程序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_Toc4036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140DA28">
      <w:pPr>
        <w:pStyle w:val="32"/>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_Toc20787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第五章 合同文本</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_Toc20787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45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F5C2FFE">
      <w:pPr>
        <w:pStyle w:val="32"/>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_Toc621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第六章  响应文件格式与要求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_Toc621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2027EAB">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_Toc4223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bCs/>
          <w:color w:val="auto"/>
          <w:sz w:val="21"/>
          <w:szCs w:val="21"/>
          <w:highlight w:val="none"/>
        </w:rPr>
        <w:t>响应文件封面（参考）</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_Toc4223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15B94F16">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_Toc19874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格式一： 响应承诺函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_Toc19874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FCD47FA">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_Toc27809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 首轮报价表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_Toc27809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F69DF47">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_Toc10016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格式三： 法定代表人证明书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_Toc10016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314CFFA">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_Toc8482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格式四： 法定代表人授权书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_Toc8482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4AA17D6">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_Toc9937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格式五： 提供具有独立承担民事责任的能力的证明材料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_Toc9937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6B9D928">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_Toc10771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格式六： 提供有依法缴纳税收的良好记录的证明材料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_Toc10771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4519DB7">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_Toc21772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格式七： 提供有依法缴纳社会保障资金的良好记录的证明材料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_Toc21772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AFE802A">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_Toc8407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格式八： 提供具有良好的商业信誉和健全的财务会计制度的证明材料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_Toc8407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C21A315">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_Toc22146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格式九： 提供具有履行合同所必需的设备和专业技术能力的证明材料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_Toc22146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138BEBA">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_Toc15568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 其他资格要求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_Toc15568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ECB0758">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_Toc10773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格式十一： 需要采购人提供的附加条件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_Toc10773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0598323">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_Toc18538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格式十二： 实质性条款响应表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_Toc18538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2F96520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_Toc16499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格式十三： 商务条款响应表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_Toc16499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F960CF3">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_Toc3822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格式十四： 技术条款响应表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_Toc3822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14E95B0">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_Toc12454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格式十五： 承诺函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_Toc12454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76A638D8">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_Toc20786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格式十六： 类似项目业绩</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_Toc20786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68F2A22">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_Toc5860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格式十七： 管理体系认证</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_Toc5860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6B84F384">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_Toc26237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格式十八： 拟投入人员配置情况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_Toc26237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85960FB">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_Toc3789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格式十九： 项目总体实施方案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_Toc3789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BDD3578">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_Toc30485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 施工进度及工期保证措施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_Toc30485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5E5C374D">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_Toc19487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格式二十一： 工程质量保障措施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_Toc19487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427537E8">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_Toc23118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格式二十二： 售后服务及保修方案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_Toc23118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7DC75B8">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_Toc8970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格式二十三： 项目安全施工方案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_Toc8970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E9A9326">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_Toc23917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格式二十四： 应急抢修方案</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_Toc23917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39617E47">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_Toc25907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格式二十五： 其它重要事项说明及承诺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_Toc25907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111B3D0B">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_Toc2817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格式二十六： 采购代理服务费支付承诺书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_Toc2817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0F3DDD71">
      <w:pPr>
        <w:pStyle w:val="40"/>
        <w:tabs>
          <w:tab w:val="right" w:leader="dot" w:pos="9638"/>
        </w:tabs>
        <w:jc w:val="both"/>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fldChar w:fldCharType="begin"/>
      </w:r>
      <w:r>
        <w:rPr>
          <w:rFonts w:hint="eastAsia" w:ascii="宋体" w:hAnsi="宋体" w:eastAsia="宋体" w:cs="宋体"/>
          <w:bCs/>
          <w:color w:val="auto"/>
          <w:sz w:val="21"/>
          <w:szCs w:val="21"/>
          <w:highlight w:val="none"/>
        </w:rPr>
        <w:instrText xml:space="preserve"> HYPERLINK \l _Toc31845 </w:instrText>
      </w:r>
      <w:r>
        <w:rPr>
          <w:rFonts w:hint="eastAsia" w:ascii="宋体" w:hAnsi="宋体" w:eastAsia="宋体" w:cs="宋体"/>
          <w:bCs/>
          <w:color w:val="auto"/>
          <w:sz w:val="21"/>
          <w:szCs w:val="21"/>
          <w:highlight w:val="none"/>
        </w:rPr>
        <w:fldChar w:fldCharType="separate"/>
      </w:r>
      <w:r>
        <w:rPr>
          <w:rFonts w:hint="eastAsia" w:ascii="宋体" w:hAnsi="宋体" w:eastAsia="宋体" w:cs="宋体"/>
          <w:color w:val="auto"/>
          <w:sz w:val="21"/>
          <w:szCs w:val="21"/>
          <w:highlight w:val="none"/>
        </w:rPr>
        <w:t>格式二十七： 询问函、质疑函、投诉书格式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_Toc31845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rPr>
        <w:fldChar w:fldCharType="end"/>
      </w:r>
    </w:p>
    <w:p w14:paraId="25AFCE2B">
      <w:pPr>
        <w:pStyle w:val="39"/>
        <w:keepNext w:val="0"/>
        <w:keepLines w:val="0"/>
        <w:pageBreakBefore w:val="0"/>
        <w:widowControl w:val="0"/>
        <w:kinsoku/>
        <w:wordWrap/>
        <w:overflowPunct/>
        <w:topLinePunct w:val="0"/>
        <w:bidi w:val="0"/>
        <w:spacing w:beforeLines="0" w:afterLines="0" w:line="360" w:lineRule="auto"/>
        <w:ind w:left="1" w:hanging="1" w:firstLineChars="0"/>
        <w:jc w:val="both"/>
        <w:rPr>
          <w:rFonts w:hint="eastAsia"/>
          <w:bCs/>
          <w:color w:val="auto"/>
          <w:sz w:val="21"/>
          <w:szCs w:val="21"/>
          <w:highlight w:val="none"/>
        </w:rPr>
      </w:pPr>
      <w:r>
        <w:rPr>
          <w:rFonts w:hint="eastAsia" w:ascii="宋体" w:hAnsi="宋体" w:eastAsia="宋体" w:cs="宋体"/>
          <w:bCs/>
          <w:color w:val="auto"/>
          <w:sz w:val="21"/>
          <w:szCs w:val="21"/>
          <w:highlight w:val="none"/>
        </w:rPr>
        <w:fldChar w:fldCharType="end"/>
      </w:r>
    </w:p>
    <w:p w14:paraId="042C646C">
      <w:pPr>
        <w:pStyle w:val="39"/>
        <w:keepNext w:val="0"/>
        <w:keepLines w:val="0"/>
        <w:pageBreakBefore w:val="0"/>
        <w:widowControl w:val="0"/>
        <w:kinsoku/>
        <w:wordWrap/>
        <w:overflowPunct/>
        <w:topLinePunct w:val="0"/>
        <w:bidi w:val="0"/>
        <w:spacing w:beforeLines="0" w:afterLines="0"/>
        <w:ind w:firstLine="0" w:firstLineChars="0"/>
        <w:jc w:val="center"/>
        <w:rPr>
          <w:rFonts w:hint="eastAsia"/>
          <w:color w:val="auto"/>
          <w:highlight w:val="none"/>
        </w:rPr>
      </w:pPr>
      <w:r>
        <w:rPr>
          <w:color w:val="auto"/>
          <w:highlight w:val="none"/>
        </w:rPr>
        <w:br w:type="page"/>
      </w:r>
    </w:p>
    <w:p w14:paraId="770D59E4">
      <w:pPr>
        <w:keepNext w:val="0"/>
        <w:keepLines w:val="0"/>
        <w:pageBreakBefore w:val="0"/>
        <w:widowControl w:val="0"/>
        <w:tabs>
          <w:tab w:val="left" w:pos="502"/>
          <w:tab w:val="left" w:pos="1408"/>
          <w:tab w:val="left" w:pos="4769"/>
        </w:tabs>
        <w:kinsoku/>
        <w:wordWrap/>
        <w:overflowPunct/>
        <w:topLinePunct w:val="0"/>
        <w:bidi w:val="0"/>
        <w:spacing w:beforeLines="0" w:afterLines="0"/>
        <w:jc w:val="center"/>
        <w:rPr>
          <w:rFonts w:hint="eastAsia"/>
          <w:b/>
          <w:color w:val="auto"/>
          <w:sz w:val="22"/>
          <w:szCs w:val="21"/>
          <w:highlight w:val="none"/>
        </w:rPr>
        <w:sectPr>
          <w:headerReference r:id="rId11" w:type="first"/>
          <w:pgSz w:w="11906" w:h="16838"/>
          <w:pgMar w:top="1134" w:right="1134" w:bottom="1134" w:left="1134" w:header="426" w:footer="992" w:gutter="0"/>
          <w:paperSrc w:first="7"/>
          <w:pgNumType w:fmt="decimal"/>
          <w:cols w:space="0" w:num="1"/>
          <w:titlePg/>
          <w:rtlGutter w:val="0"/>
          <w:docGrid w:linePitch="312" w:charSpace="0"/>
        </w:sectPr>
      </w:pPr>
    </w:p>
    <w:p w14:paraId="47601B04">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pPr>
      <w:bookmarkStart w:id="2" w:name="_Toc14945"/>
      <w:bookmarkStart w:id="3" w:name="_Toc104040730"/>
      <w:bookmarkStart w:id="4" w:name="_Toc104040676"/>
      <w:bookmarkStart w:id="5" w:name="_Toc103216633"/>
      <w:r>
        <w:rPr>
          <w:rFonts w:hint="eastAsia" w:eastAsia="宋体"/>
          <w:color w:val="auto"/>
          <w:sz w:val="24"/>
          <w:szCs w:val="24"/>
          <w:highlight w:val="none"/>
        </w:rPr>
        <w:t>第一章 磋商邀请</w:t>
      </w:r>
      <w:bookmarkEnd w:id="2"/>
      <w:bookmarkEnd w:id="3"/>
      <w:bookmarkEnd w:id="4"/>
      <w:bookmarkEnd w:id="5"/>
    </w:p>
    <w:p w14:paraId="6D76F010">
      <w:pPr>
        <w:pStyle w:val="371"/>
        <w:keepNext w:val="0"/>
        <w:keepLines w:val="0"/>
        <w:pageBreakBefore w:val="0"/>
        <w:widowControl w:val="0"/>
        <w:kinsoku/>
        <w:wordWrap/>
        <w:overflowPunct/>
        <w:topLinePunct w:val="0"/>
        <w:autoSpaceDE/>
        <w:autoSpaceDN/>
        <w:bidi w:val="0"/>
        <w:spacing w:beforeLines="0" w:afterLines="0"/>
        <w:rPr>
          <w:rFonts w:hint="eastAsia"/>
          <w:color w:val="auto"/>
          <w:sz w:val="21"/>
          <w:szCs w:val="21"/>
          <w:highlight w:val="none"/>
          <w:lang w:eastAsia="zh-CN"/>
        </w:rPr>
      </w:pPr>
      <w:bookmarkStart w:id="6" w:name="_Toc35342045"/>
      <w:r>
        <w:rPr>
          <w:rFonts w:hint="eastAsia"/>
          <w:color w:val="auto"/>
          <w:sz w:val="21"/>
          <w:szCs w:val="21"/>
          <w:highlight w:val="none"/>
          <w:lang w:eastAsia="zh-CN"/>
        </w:rPr>
        <w:t>项目概况</w:t>
      </w:r>
    </w:p>
    <w:p w14:paraId="5F91B04D">
      <w:pPr>
        <w:pStyle w:val="371"/>
        <w:keepNext w:val="0"/>
        <w:keepLines w:val="0"/>
        <w:pageBreakBefore w:val="0"/>
        <w:widowControl w:val="0"/>
        <w:kinsoku/>
        <w:wordWrap/>
        <w:overflowPunct/>
        <w:topLinePunct w:val="0"/>
        <w:autoSpaceDE/>
        <w:autoSpaceDN/>
        <w:bidi w:val="0"/>
        <w:spacing w:beforeLines="0" w:afterLines="0"/>
        <w:ind w:firstLine="420" w:firstLineChars="200"/>
        <w:jc w:val="both"/>
        <w:rPr>
          <w:rFonts w:hint="eastAsia"/>
          <w:b w:val="0"/>
          <w:bCs w:val="0"/>
          <w:color w:val="auto"/>
          <w:sz w:val="21"/>
          <w:szCs w:val="21"/>
          <w:highlight w:val="none"/>
          <w:lang w:eastAsia="zh-CN"/>
        </w:rPr>
      </w:pPr>
      <w:r>
        <w:rPr>
          <w:rFonts w:hint="eastAsia"/>
          <w:b w:val="0"/>
          <w:bCs w:val="0"/>
          <w:color w:val="auto"/>
          <w:sz w:val="21"/>
          <w:szCs w:val="21"/>
          <w:highlight w:val="none"/>
          <w:u w:val="single"/>
          <w:lang w:eastAsia="zh-CN"/>
        </w:rPr>
        <w:t>中华人民共和国横琴出入境边防检查站2026年政府采购限额标准以下零星修缮工程</w:t>
      </w:r>
      <w:r>
        <w:rPr>
          <w:b w:val="0"/>
          <w:bCs w:val="0"/>
          <w:color w:val="auto"/>
          <w:sz w:val="21"/>
          <w:szCs w:val="21"/>
          <w:highlight w:val="none"/>
          <w:lang w:eastAsia="zh-CN"/>
        </w:rPr>
        <w:t>的潜在</w:t>
      </w:r>
      <w:r>
        <w:rPr>
          <w:rFonts w:hint="eastAsia"/>
          <w:b w:val="0"/>
          <w:bCs w:val="0"/>
          <w:color w:val="auto"/>
          <w:sz w:val="21"/>
          <w:szCs w:val="21"/>
          <w:highlight w:val="none"/>
          <w:lang w:eastAsia="zh-CN"/>
        </w:rPr>
        <w:t>供应商</w:t>
      </w:r>
      <w:r>
        <w:rPr>
          <w:b w:val="0"/>
          <w:bCs w:val="0"/>
          <w:color w:val="auto"/>
          <w:sz w:val="21"/>
          <w:szCs w:val="21"/>
          <w:highlight w:val="none"/>
          <w:lang w:eastAsia="zh-CN"/>
        </w:rPr>
        <w:t>应在</w:t>
      </w:r>
      <w:r>
        <w:rPr>
          <w:b w:val="0"/>
          <w:bCs w:val="0"/>
          <w:color w:val="auto"/>
          <w:sz w:val="21"/>
          <w:szCs w:val="21"/>
          <w:highlight w:val="none"/>
          <w:u w:val="single"/>
          <w:lang w:eastAsia="zh-CN"/>
        </w:rPr>
        <w:t>诚E招电子采购交易平台（https://www.chengezhao.com/）</w:t>
      </w:r>
      <w:r>
        <w:rPr>
          <w:rFonts w:hint="eastAsia"/>
          <w:b w:val="0"/>
          <w:bCs w:val="0"/>
          <w:color w:val="auto"/>
          <w:sz w:val="21"/>
          <w:szCs w:val="21"/>
          <w:highlight w:val="none"/>
          <w:u w:val="single"/>
          <w:lang w:eastAsia="zh-CN"/>
        </w:rPr>
        <w:t>或公诚管理咨询有限公司</w:t>
      </w:r>
      <w:r>
        <w:rPr>
          <w:b w:val="0"/>
          <w:bCs w:val="0"/>
          <w:color w:val="auto"/>
          <w:sz w:val="21"/>
          <w:szCs w:val="21"/>
          <w:highlight w:val="none"/>
          <w:lang w:eastAsia="zh-CN"/>
        </w:rPr>
        <w:t>获取</w:t>
      </w:r>
      <w:r>
        <w:rPr>
          <w:rFonts w:hint="eastAsia"/>
          <w:b w:val="0"/>
          <w:bCs w:val="0"/>
          <w:color w:val="auto"/>
          <w:sz w:val="21"/>
          <w:szCs w:val="21"/>
          <w:highlight w:val="none"/>
          <w:lang w:eastAsia="zh-CN"/>
        </w:rPr>
        <w:t>采购</w:t>
      </w:r>
      <w:r>
        <w:rPr>
          <w:b w:val="0"/>
          <w:bCs w:val="0"/>
          <w:color w:val="auto"/>
          <w:sz w:val="21"/>
          <w:szCs w:val="21"/>
          <w:highlight w:val="none"/>
          <w:lang w:eastAsia="zh-CN"/>
        </w:rPr>
        <w:t>文件，并于</w:t>
      </w:r>
      <w:r>
        <w:rPr>
          <w:b w:val="0"/>
          <w:bCs w:val="0"/>
          <w:color w:val="auto"/>
          <w:sz w:val="21"/>
          <w:szCs w:val="21"/>
          <w:highlight w:val="none"/>
          <w:u w:val="single"/>
          <w:lang w:eastAsia="zh-CN"/>
        </w:rPr>
        <w:t>20</w:t>
      </w:r>
      <w:r>
        <w:rPr>
          <w:rFonts w:hint="eastAsia"/>
          <w:b w:val="0"/>
          <w:bCs w:val="0"/>
          <w:color w:val="auto"/>
          <w:sz w:val="21"/>
          <w:szCs w:val="21"/>
          <w:highlight w:val="none"/>
          <w:u w:val="single"/>
          <w:lang w:eastAsia="zh-CN"/>
        </w:rPr>
        <w:t>26年06月2</w:t>
      </w:r>
      <w:r>
        <w:rPr>
          <w:rFonts w:hint="eastAsia"/>
          <w:b w:val="0"/>
          <w:bCs w:val="0"/>
          <w:color w:val="auto"/>
          <w:sz w:val="21"/>
          <w:szCs w:val="21"/>
          <w:highlight w:val="none"/>
          <w:u w:val="single"/>
          <w:lang w:val="en-US" w:eastAsia="zh-CN"/>
        </w:rPr>
        <w:t>3</w:t>
      </w:r>
      <w:r>
        <w:rPr>
          <w:rFonts w:hint="eastAsia"/>
          <w:b w:val="0"/>
          <w:bCs w:val="0"/>
          <w:color w:val="auto"/>
          <w:sz w:val="21"/>
          <w:szCs w:val="21"/>
          <w:highlight w:val="none"/>
          <w:u w:val="single"/>
          <w:lang w:eastAsia="zh-CN"/>
        </w:rPr>
        <w:t>日</w:t>
      </w:r>
      <w:r>
        <w:rPr>
          <w:rFonts w:hint="eastAsia"/>
          <w:b w:val="0"/>
          <w:bCs w:val="0"/>
          <w:color w:val="auto"/>
          <w:sz w:val="21"/>
          <w:szCs w:val="21"/>
          <w:highlight w:val="none"/>
          <w:u w:val="single"/>
          <w:lang w:val="en-US" w:eastAsia="zh-CN"/>
        </w:rPr>
        <w:t>14</w:t>
      </w:r>
      <w:r>
        <w:rPr>
          <w:rFonts w:hint="eastAsia"/>
          <w:b w:val="0"/>
          <w:bCs w:val="0"/>
          <w:color w:val="auto"/>
          <w:sz w:val="21"/>
          <w:szCs w:val="21"/>
          <w:highlight w:val="none"/>
          <w:u w:val="single"/>
          <w:lang w:eastAsia="zh-CN"/>
        </w:rPr>
        <w:t>点30</w:t>
      </w:r>
      <w:r>
        <w:rPr>
          <w:b w:val="0"/>
          <w:bCs w:val="0"/>
          <w:color w:val="auto"/>
          <w:sz w:val="21"/>
          <w:szCs w:val="21"/>
          <w:highlight w:val="none"/>
          <w:u w:val="single"/>
          <w:lang w:eastAsia="zh-CN"/>
        </w:rPr>
        <w:t>分（北京时间）</w:t>
      </w:r>
      <w:r>
        <w:rPr>
          <w:b w:val="0"/>
          <w:bCs w:val="0"/>
          <w:color w:val="auto"/>
          <w:sz w:val="21"/>
          <w:szCs w:val="21"/>
          <w:highlight w:val="none"/>
          <w:lang w:eastAsia="zh-CN"/>
        </w:rPr>
        <w:t>前递交</w:t>
      </w:r>
      <w:r>
        <w:rPr>
          <w:rFonts w:hint="eastAsia"/>
          <w:b w:val="0"/>
          <w:bCs w:val="0"/>
          <w:color w:val="auto"/>
          <w:sz w:val="21"/>
          <w:szCs w:val="21"/>
          <w:highlight w:val="none"/>
          <w:lang w:eastAsia="zh-CN"/>
        </w:rPr>
        <w:t>响应</w:t>
      </w:r>
      <w:r>
        <w:rPr>
          <w:b w:val="0"/>
          <w:bCs w:val="0"/>
          <w:color w:val="auto"/>
          <w:sz w:val="21"/>
          <w:szCs w:val="21"/>
          <w:highlight w:val="none"/>
          <w:lang w:eastAsia="zh-CN"/>
        </w:rPr>
        <w:t>文件。</w:t>
      </w:r>
    </w:p>
    <w:p w14:paraId="71E569E5">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7" w:name="_Toc112002500"/>
      <w:bookmarkStart w:id="8" w:name="_Toc7553"/>
      <w:bookmarkStart w:id="9" w:name="_Toc104131883"/>
      <w:r>
        <w:rPr>
          <w:rFonts w:hint="eastAsia"/>
          <w:color w:val="auto"/>
          <w:sz w:val="21"/>
          <w:szCs w:val="21"/>
          <w:highlight w:val="none"/>
          <w:lang w:eastAsia="zh-CN"/>
        </w:rPr>
        <w:t>一、项目基本情况</w:t>
      </w:r>
      <w:bookmarkEnd w:id="7"/>
      <w:bookmarkEnd w:id="8"/>
      <w:bookmarkEnd w:id="9"/>
    </w:p>
    <w:p w14:paraId="37877D43">
      <w:pPr>
        <w:keepNext w:val="0"/>
        <w:keepLines w:val="0"/>
        <w:pageBreakBefore w:val="0"/>
        <w:widowControl w:val="0"/>
        <w:kinsoku/>
        <w:wordWrap/>
        <w:overflowPunct/>
        <w:topLinePunct w:val="0"/>
        <w:bidi w:val="0"/>
        <w:spacing w:beforeLines="0" w:afterLines="0"/>
        <w:ind w:firstLine="420" w:firstLineChars="200"/>
        <w:rPr>
          <w:rFonts w:hint="eastAsia" w:eastAsia="宋体"/>
          <w:color w:val="auto"/>
          <w:szCs w:val="21"/>
          <w:highlight w:val="none"/>
          <w:lang w:eastAsia="zh-CN"/>
        </w:rPr>
      </w:pPr>
      <w:r>
        <w:rPr>
          <w:rFonts w:hint="eastAsia"/>
          <w:color w:val="auto"/>
          <w:szCs w:val="21"/>
          <w:highlight w:val="none"/>
        </w:rPr>
        <w:t>项目编号：</w:t>
      </w:r>
      <w:r>
        <w:rPr>
          <w:rFonts w:hint="eastAsia"/>
          <w:color w:val="auto"/>
          <w:szCs w:val="21"/>
          <w:highlight w:val="none"/>
          <w:lang w:eastAsia="zh-CN"/>
        </w:rPr>
        <w:t>07-08-04F-2026-D-F-E15249</w:t>
      </w:r>
    </w:p>
    <w:p w14:paraId="40C47906">
      <w:pPr>
        <w:keepNext w:val="0"/>
        <w:keepLines w:val="0"/>
        <w:pageBreakBefore w:val="0"/>
        <w:widowControl w:val="0"/>
        <w:kinsoku/>
        <w:wordWrap/>
        <w:overflowPunct/>
        <w:topLinePunct w:val="0"/>
        <w:bidi w:val="0"/>
        <w:spacing w:beforeLines="0" w:afterLines="0"/>
        <w:ind w:firstLine="420" w:firstLineChars="200"/>
        <w:rPr>
          <w:rFonts w:hint="eastAsia" w:eastAsia="宋体"/>
          <w:color w:val="auto"/>
          <w:szCs w:val="21"/>
          <w:highlight w:val="none"/>
          <w:lang w:eastAsia="zh-CN"/>
        </w:rPr>
      </w:pPr>
      <w:r>
        <w:rPr>
          <w:rFonts w:hint="eastAsia"/>
          <w:color w:val="auto"/>
          <w:szCs w:val="21"/>
          <w:highlight w:val="none"/>
        </w:rPr>
        <w:t>项目名称：</w:t>
      </w:r>
      <w:r>
        <w:rPr>
          <w:rFonts w:hint="eastAsia"/>
          <w:color w:val="auto"/>
          <w:szCs w:val="21"/>
          <w:highlight w:val="none"/>
          <w:lang w:eastAsia="zh-CN"/>
        </w:rPr>
        <w:t>中华人民共和国横琴出入境边防检查站2026年政府采购限额标准以下零星修缮工程</w:t>
      </w:r>
    </w:p>
    <w:p w14:paraId="72A2A4AB">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采购方式：竞争性磋商</w:t>
      </w:r>
    </w:p>
    <w:p w14:paraId="180A260E">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预算金额：</w:t>
      </w:r>
      <w:r>
        <w:rPr>
          <w:color w:val="auto"/>
          <w:szCs w:val="21"/>
          <w:highlight w:val="none"/>
        </w:rPr>
        <w:t>0.00元（人民币）</w:t>
      </w:r>
    </w:p>
    <w:p w14:paraId="5C1EB8FC">
      <w:pPr>
        <w:keepNext w:val="0"/>
        <w:keepLines w:val="0"/>
        <w:pageBreakBefore w:val="0"/>
        <w:widowControl w:val="0"/>
        <w:kinsoku/>
        <w:wordWrap/>
        <w:overflowPunct/>
        <w:topLinePunct w:val="0"/>
        <w:bidi w:val="0"/>
        <w:spacing w:beforeLines="0" w:afterLines="0"/>
        <w:ind w:firstLine="420" w:firstLineChars="200"/>
        <w:rPr>
          <w:rFonts w:hint="default" w:eastAsia="宋体"/>
          <w:color w:val="auto"/>
          <w:szCs w:val="21"/>
          <w:highlight w:val="none"/>
          <w:lang w:val="en-US" w:eastAsia="zh-CN"/>
        </w:rPr>
      </w:pPr>
      <w:r>
        <w:rPr>
          <w:rFonts w:hint="eastAsia"/>
          <w:color w:val="auto"/>
          <w:szCs w:val="21"/>
          <w:highlight w:val="none"/>
        </w:rPr>
        <w:t>最高限价：</w:t>
      </w:r>
      <w:r>
        <w:rPr>
          <w:rFonts w:hint="eastAsia"/>
          <w:color w:val="auto"/>
          <w:szCs w:val="21"/>
          <w:highlight w:val="none"/>
          <w:lang w:val="en-US" w:eastAsia="zh-CN"/>
        </w:rPr>
        <w:t>100%</w:t>
      </w:r>
    </w:p>
    <w:p w14:paraId="0CB1054B">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bookmarkStart w:id="10" w:name="_Hlk70530579"/>
      <w:r>
        <w:rPr>
          <w:rFonts w:hint="eastAsia"/>
          <w:color w:val="auto"/>
          <w:szCs w:val="21"/>
          <w:highlight w:val="none"/>
        </w:rPr>
        <w:t>采购需求</w:t>
      </w:r>
      <w:bookmarkEnd w:id="10"/>
      <w:r>
        <w:rPr>
          <w:rFonts w:hint="eastAsia"/>
          <w:color w:val="auto"/>
          <w:szCs w:val="21"/>
          <w:highlight w:val="none"/>
        </w:rPr>
        <w:t>：</w:t>
      </w:r>
    </w:p>
    <w:p w14:paraId="12F44763">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1</w:t>
      </w:r>
      <w:r>
        <w:rPr>
          <w:color w:val="auto"/>
          <w:szCs w:val="21"/>
          <w:highlight w:val="none"/>
        </w:rPr>
        <w:t>.</w:t>
      </w:r>
      <w:r>
        <w:rPr>
          <w:rFonts w:hint="eastAsia"/>
          <w:color w:val="auto"/>
          <w:szCs w:val="21"/>
          <w:highlight w:val="none"/>
        </w:rPr>
        <w:t>标的名称：</w:t>
      </w:r>
      <w:r>
        <w:rPr>
          <w:rFonts w:hint="eastAsia"/>
          <w:color w:val="auto"/>
          <w:szCs w:val="21"/>
          <w:highlight w:val="none"/>
          <w:lang w:eastAsia="zh-CN"/>
        </w:rPr>
        <w:t>2026年政府采购限额标准以下零星修缮工程</w:t>
      </w:r>
    </w:p>
    <w:p w14:paraId="267E986C">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2</w:t>
      </w:r>
      <w:r>
        <w:rPr>
          <w:color w:val="auto"/>
          <w:szCs w:val="21"/>
          <w:highlight w:val="none"/>
        </w:rPr>
        <w:t>.</w:t>
      </w:r>
      <w:r>
        <w:rPr>
          <w:rFonts w:hint="eastAsia"/>
          <w:color w:val="auto"/>
          <w:szCs w:val="21"/>
          <w:highlight w:val="none"/>
        </w:rPr>
        <w:t>标的数量：</w:t>
      </w:r>
      <w:r>
        <w:rPr>
          <w:rFonts w:hint="eastAsia"/>
          <w:color w:val="auto"/>
          <w:szCs w:val="21"/>
          <w:highlight w:val="none"/>
          <w:lang w:val="en-US" w:eastAsia="zh-CN"/>
        </w:rPr>
        <w:t>1</w:t>
      </w:r>
      <w:r>
        <w:rPr>
          <w:rFonts w:hint="eastAsia"/>
          <w:color w:val="auto"/>
          <w:szCs w:val="21"/>
          <w:highlight w:val="none"/>
          <w:lang w:eastAsia="zh-CN"/>
        </w:rPr>
        <w:t>项</w:t>
      </w:r>
    </w:p>
    <w:p w14:paraId="42F48361">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3</w:t>
      </w:r>
      <w:r>
        <w:rPr>
          <w:color w:val="auto"/>
          <w:szCs w:val="21"/>
          <w:highlight w:val="none"/>
        </w:rPr>
        <w:t>.</w:t>
      </w:r>
      <w:r>
        <w:rPr>
          <w:rFonts w:hint="eastAsia"/>
          <w:color w:val="auto"/>
          <w:szCs w:val="21"/>
          <w:highlight w:val="none"/>
        </w:rPr>
        <w:t>简要技术需求或服务要求：</w:t>
      </w:r>
      <w:r>
        <w:rPr>
          <w:rFonts w:hint="eastAsia" w:ascii="宋体" w:hAnsi="宋体" w:eastAsia="宋体" w:cs="宋体"/>
          <w:color w:val="auto"/>
          <w:szCs w:val="21"/>
          <w:highlight w:val="none"/>
          <w:lang w:eastAsia="zh-CN"/>
        </w:rPr>
        <w:t>采购一名供应商，</w:t>
      </w:r>
      <w:r>
        <w:rPr>
          <w:rFonts w:hint="eastAsia" w:ascii="宋体" w:hAnsi="宋体" w:eastAsia="宋体" w:cs="宋体"/>
          <w:color w:val="auto"/>
          <w:szCs w:val="21"/>
          <w:highlight w:val="none"/>
          <w:lang w:val="en-US" w:eastAsia="zh-CN"/>
        </w:rPr>
        <w:t>为</w:t>
      </w:r>
      <w:r>
        <w:rPr>
          <w:rFonts w:hint="eastAsia"/>
          <w:color w:val="auto"/>
          <w:szCs w:val="21"/>
          <w:highlight w:val="none"/>
          <w:lang w:eastAsia="zh-CN"/>
        </w:rPr>
        <w:t>横琴出入境边防检查站</w:t>
      </w:r>
      <w:r>
        <w:rPr>
          <w:rFonts w:hint="eastAsia" w:ascii="宋体" w:hAnsi="宋体" w:eastAsia="宋体" w:cs="宋体"/>
          <w:color w:val="auto"/>
          <w:szCs w:val="21"/>
          <w:highlight w:val="none"/>
          <w:lang w:val="en-US" w:eastAsia="zh-CN"/>
        </w:rPr>
        <w:t>提供限额标准以下零星修缮工程施工</w:t>
      </w:r>
      <w:r>
        <w:rPr>
          <w:rFonts w:hint="eastAsia" w:ascii="宋体" w:hAnsi="宋体" w:eastAsia="宋体" w:cs="宋体"/>
          <w:color w:val="auto"/>
          <w:szCs w:val="21"/>
          <w:highlight w:val="none"/>
          <w:lang w:eastAsia="zh-CN"/>
        </w:rPr>
        <w:t>，</w:t>
      </w:r>
      <w:r>
        <w:rPr>
          <w:rFonts w:hint="eastAsia"/>
          <w:color w:val="auto"/>
          <w:szCs w:val="21"/>
          <w:highlight w:val="none"/>
        </w:rPr>
        <w:t>详细要求见采购需求</w:t>
      </w:r>
      <w:r>
        <w:rPr>
          <w:color w:val="auto"/>
          <w:szCs w:val="21"/>
          <w:highlight w:val="none"/>
        </w:rPr>
        <w:t>。</w:t>
      </w:r>
    </w:p>
    <w:p w14:paraId="4E16E765">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合同履行期限：自合同签订生效之日起</w:t>
      </w:r>
      <w:r>
        <w:rPr>
          <w:rFonts w:hint="eastAsia"/>
          <w:color w:val="auto"/>
          <w:szCs w:val="21"/>
          <w:highlight w:val="none"/>
          <w:lang w:val="en-US" w:eastAsia="zh-CN"/>
        </w:rPr>
        <w:t>一年</w:t>
      </w:r>
      <w:r>
        <w:rPr>
          <w:rFonts w:hint="eastAsia"/>
          <w:color w:val="auto"/>
          <w:szCs w:val="21"/>
          <w:highlight w:val="none"/>
          <w:lang w:eastAsia="zh-CN"/>
        </w:rPr>
        <w:t>，</w:t>
      </w:r>
      <w:r>
        <w:rPr>
          <w:rFonts w:hint="eastAsia"/>
          <w:color w:val="auto"/>
          <w:szCs w:val="21"/>
          <w:highlight w:val="none"/>
          <w:lang w:val="en-US" w:eastAsia="zh-CN"/>
        </w:rPr>
        <w:t>或</w:t>
      </w:r>
      <w:r>
        <w:rPr>
          <w:rFonts w:hint="eastAsia" w:ascii="宋体" w:hAnsi="宋体" w:eastAsia="宋体" w:cs="宋体"/>
          <w:color w:val="auto"/>
          <w:szCs w:val="21"/>
          <w:highlight w:val="none"/>
          <w:lang w:val="en-US" w:eastAsia="zh-CN"/>
        </w:rPr>
        <w:t>达到采购额度</w:t>
      </w:r>
      <w:r>
        <w:rPr>
          <w:rFonts w:hint="eastAsia"/>
          <w:color w:val="auto"/>
          <w:szCs w:val="21"/>
          <w:highlight w:val="none"/>
          <w:lang w:eastAsia="zh-CN"/>
        </w:rPr>
        <w:t>；</w:t>
      </w:r>
      <w:r>
        <w:rPr>
          <w:rFonts w:hint="eastAsia"/>
          <w:color w:val="auto"/>
          <w:szCs w:val="21"/>
          <w:highlight w:val="none"/>
        </w:rPr>
        <w:t>若本合同项下的单项施工任务合同履行期限超出前述一年期限，则本合同有效期顺延至该单项施工任务合同履行完毕之日止。</w:t>
      </w:r>
    </w:p>
    <w:p w14:paraId="06075687">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本项目不接受联合体响应。</w:t>
      </w:r>
    </w:p>
    <w:p w14:paraId="2C555628">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11" w:name="_Toc104131884"/>
      <w:bookmarkStart w:id="12" w:name="_Toc3346"/>
      <w:bookmarkStart w:id="13" w:name="_Toc112002501"/>
      <w:r>
        <w:rPr>
          <w:rFonts w:hint="eastAsia"/>
          <w:color w:val="auto"/>
          <w:sz w:val="21"/>
          <w:szCs w:val="21"/>
          <w:highlight w:val="none"/>
          <w:lang w:eastAsia="zh-CN"/>
        </w:rPr>
        <w:t>二、申请人的资格要求</w:t>
      </w:r>
      <w:bookmarkEnd w:id="11"/>
      <w:bookmarkEnd w:id="12"/>
      <w:bookmarkEnd w:id="13"/>
    </w:p>
    <w:p w14:paraId="2186D11F">
      <w:pPr>
        <w:keepNext w:val="0"/>
        <w:keepLines w:val="0"/>
        <w:pageBreakBefore w:val="0"/>
        <w:widowControl w:val="0"/>
        <w:kinsoku/>
        <w:wordWrap/>
        <w:overflowPunct/>
        <w:topLinePunct w:val="0"/>
        <w:bidi w:val="0"/>
        <w:spacing w:beforeLines="0" w:afterLines="0"/>
        <w:ind w:firstLine="422" w:firstLineChars="200"/>
        <w:rPr>
          <w:rFonts w:hint="eastAsia"/>
          <w:b/>
          <w:bCs/>
          <w:color w:val="auto"/>
          <w:szCs w:val="21"/>
          <w:highlight w:val="none"/>
        </w:rPr>
      </w:pPr>
      <w:r>
        <w:rPr>
          <w:b/>
          <w:bCs/>
          <w:color w:val="auto"/>
          <w:szCs w:val="21"/>
          <w:highlight w:val="none"/>
        </w:rPr>
        <w:t>1.满足《中华人民共和国政府采购法》第二十二条规定</w:t>
      </w:r>
      <w:r>
        <w:rPr>
          <w:rFonts w:hint="eastAsia"/>
          <w:b/>
          <w:bCs/>
          <w:color w:val="auto"/>
          <w:szCs w:val="21"/>
          <w:highlight w:val="none"/>
        </w:rPr>
        <w:t>，提供下列材料</w:t>
      </w:r>
      <w:r>
        <w:rPr>
          <w:b/>
          <w:bCs/>
          <w:color w:val="auto"/>
          <w:szCs w:val="21"/>
          <w:highlight w:val="none"/>
        </w:rPr>
        <w:t>：</w:t>
      </w:r>
    </w:p>
    <w:p w14:paraId="270C08D2">
      <w:pPr>
        <w:pStyle w:val="129"/>
        <w:keepNext w:val="0"/>
        <w:keepLines w:val="0"/>
        <w:pageBreakBefore w:val="0"/>
        <w:widowControl w:val="0"/>
        <w:kinsoku/>
        <w:wordWrap/>
        <w:overflowPunct/>
        <w:topLinePunct w:val="0"/>
        <w:bidi w:val="0"/>
        <w:spacing w:beforeLines="0" w:afterLines="0"/>
        <w:jc w:val="both"/>
        <w:rPr>
          <w:rFonts w:hint="eastAsia" w:ascii="宋体" w:hAnsi="宋体"/>
          <w:color w:val="auto"/>
          <w:szCs w:val="21"/>
          <w:highlight w:val="none"/>
          <w:lang w:eastAsia="zh-CN"/>
        </w:rPr>
      </w:pPr>
      <w:r>
        <w:rPr>
          <w:rFonts w:hint="eastAsia" w:ascii="宋体" w:hAnsi="宋体"/>
          <w:color w:val="auto"/>
          <w:szCs w:val="21"/>
          <w:highlight w:val="none"/>
          <w:lang w:eastAsia="zh-CN"/>
        </w:rPr>
        <w:t>（1）具有独立承担民事责任的能力：</w:t>
      </w:r>
      <w:bookmarkStart w:id="14" w:name="_Hlk104022700"/>
      <w:r>
        <w:rPr>
          <w:rFonts w:hint="eastAsia" w:ascii="宋体" w:hAnsi="宋体"/>
          <w:color w:val="auto"/>
          <w:szCs w:val="21"/>
          <w:highlight w:val="none"/>
          <w:lang w:eastAsia="zh-CN"/>
        </w:rPr>
        <w:t>在中华人民共和国境内注册的法人或其他组织或自然人，</w:t>
      </w:r>
      <w:r>
        <w:rPr>
          <w:rFonts w:hint="eastAsia"/>
          <w:color w:val="auto"/>
          <w:szCs w:val="21"/>
          <w:highlight w:val="none"/>
          <w:lang w:eastAsia="zh-CN"/>
        </w:rPr>
        <w:t>响应文件中须提供</w:t>
      </w:r>
      <w:r>
        <w:rPr>
          <w:rFonts w:hint="eastAsia" w:ascii="宋体" w:hAnsi="宋体"/>
          <w:color w:val="auto"/>
          <w:szCs w:val="21"/>
          <w:highlight w:val="none"/>
          <w:lang w:eastAsia="zh-CN"/>
        </w:rPr>
        <w:t>有效的营业执照（或事业法人登记证或身份证等相关证明）</w:t>
      </w:r>
      <w:r>
        <w:rPr>
          <w:rFonts w:hint="eastAsia"/>
          <w:color w:val="auto"/>
          <w:szCs w:val="21"/>
          <w:highlight w:val="none"/>
          <w:lang w:eastAsia="zh-CN"/>
        </w:rPr>
        <w:t>复印件</w:t>
      </w:r>
      <w:r>
        <w:rPr>
          <w:rFonts w:hint="eastAsia" w:ascii="宋体" w:hAnsi="宋体"/>
          <w:color w:val="auto"/>
          <w:szCs w:val="21"/>
          <w:highlight w:val="none"/>
          <w:lang w:eastAsia="zh-CN"/>
        </w:rPr>
        <w:t>。分支机构响应的，</w:t>
      </w:r>
      <w:r>
        <w:rPr>
          <w:rFonts w:hint="eastAsia"/>
          <w:color w:val="auto"/>
          <w:szCs w:val="21"/>
          <w:highlight w:val="none"/>
          <w:lang w:eastAsia="zh-CN"/>
        </w:rPr>
        <w:t>响应文件中须</w:t>
      </w:r>
      <w:r>
        <w:rPr>
          <w:rFonts w:hint="eastAsia" w:ascii="宋体" w:hAnsi="宋体"/>
          <w:color w:val="auto"/>
          <w:szCs w:val="21"/>
          <w:highlight w:val="none"/>
          <w:lang w:eastAsia="zh-CN"/>
        </w:rPr>
        <w:t>提供总公司和分公司营业执照</w:t>
      </w:r>
      <w:r>
        <w:rPr>
          <w:rFonts w:hint="eastAsia"/>
          <w:color w:val="auto"/>
          <w:szCs w:val="21"/>
          <w:highlight w:val="none"/>
          <w:lang w:eastAsia="zh-CN"/>
        </w:rPr>
        <w:t>复印件</w:t>
      </w:r>
      <w:r>
        <w:rPr>
          <w:rFonts w:hint="eastAsia" w:ascii="宋体" w:hAnsi="宋体"/>
          <w:color w:val="auto"/>
          <w:szCs w:val="21"/>
          <w:highlight w:val="none"/>
          <w:lang w:eastAsia="zh-CN"/>
        </w:rPr>
        <w:t>，总公司出具给分支机构的授权书</w:t>
      </w:r>
      <w:bookmarkEnd w:id="14"/>
      <w:r>
        <w:rPr>
          <w:rFonts w:hint="eastAsia" w:ascii="宋体" w:hAnsi="宋体"/>
          <w:color w:val="auto"/>
          <w:szCs w:val="21"/>
          <w:highlight w:val="none"/>
          <w:lang w:eastAsia="zh-CN"/>
        </w:rPr>
        <w:t>。</w:t>
      </w:r>
    </w:p>
    <w:p w14:paraId="09BE8215">
      <w:pPr>
        <w:keepNext w:val="0"/>
        <w:keepLines w:val="0"/>
        <w:pageBreakBefore w:val="0"/>
        <w:widowControl w:val="0"/>
        <w:kinsoku/>
        <w:wordWrap/>
        <w:overflowPunct/>
        <w:topLinePunct w:val="0"/>
        <w:bidi w:val="0"/>
        <w:spacing w:beforeLines="0" w:afterLines="0"/>
        <w:ind w:firstLine="420" w:firstLineChars="200"/>
        <w:jc w:val="both"/>
        <w:rPr>
          <w:rFonts w:hint="eastAsia"/>
          <w:color w:val="auto"/>
          <w:szCs w:val="21"/>
          <w:highlight w:val="none"/>
        </w:rPr>
      </w:pPr>
      <w:r>
        <w:rPr>
          <w:rFonts w:hint="eastAsia"/>
          <w:color w:val="auto"/>
          <w:szCs w:val="21"/>
          <w:highlight w:val="none"/>
        </w:rPr>
        <w:t>（2）有依法缴纳税收和社会保障资金的良好记录：</w:t>
      </w:r>
      <w:bookmarkStart w:id="15" w:name="_Hlk104022718"/>
      <w:r>
        <w:rPr>
          <w:rFonts w:hint="eastAsia"/>
          <w:color w:val="auto"/>
          <w:szCs w:val="21"/>
          <w:highlight w:val="none"/>
        </w:rPr>
        <w:t>响应文件中须提供</w:t>
      </w:r>
      <w:r>
        <w:rPr>
          <w:color w:val="auto"/>
          <w:szCs w:val="21"/>
          <w:highlight w:val="none"/>
        </w:rPr>
        <w:t>20</w:t>
      </w:r>
      <w:r>
        <w:rPr>
          <w:rFonts w:hint="eastAsia"/>
          <w:color w:val="auto"/>
          <w:szCs w:val="21"/>
          <w:highlight w:val="none"/>
          <w:lang w:val="en-US" w:eastAsia="zh-CN"/>
        </w:rPr>
        <w:t>26</w:t>
      </w:r>
      <w:r>
        <w:rPr>
          <w:color w:val="auto"/>
          <w:szCs w:val="21"/>
          <w:highlight w:val="none"/>
        </w:rPr>
        <w:t>年</w:t>
      </w:r>
      <w:r>
        <w:rPr>
          <w:rFonts w:hint="eastAsia"/>
          <w:color w:val="auto"/>
          <w:szCs w:val="21"/>
          <w:highlight w:val="none"/>
          <w:lang w:val="en-US" w:eastAsia="zh-CN"/>
        </w:rPr>
        <w:t>01</w:t>
      </w:r>
      <w:r>
        <w:rPr>
          <w:color w:val="auto"/>
          <w:szCs w:val="21"/>
          <w:highlight w:val="none"/>
        </w:rPr>
        <w:t>月至今任意1个月依法缴纳税收和社会保障资金的相关材料。如依法免税或不需要缴纳社会保障资金的，提供相应证明材料</w:t>
      </w:r>
      <w:bookmarkEnd w:id="15"/>
      <w:r>
        <w:rPr>
          <w:rFonts w:hint="eastAsia"/>
          <w:color w:val="auto"/>
          <w:szCs w:val="21"/>
          <w:highlight w:val="none"/>
        </w:rPr>
        <w:t>。</w:t>
      </w:r>
    </w:p>
    <w:p w14:paraId="7794608E">
      <w:pPr>
        <w:keepNext w:val="0"/>
        <w:keepLines w:val="0"/>
        <w:pageBreakBefore w:val="0"/>
        <w:widowControl w:val="0"/>
        <w:kinsoku/>
        <w:wordWrap/>
        <w:overflowPunct/>
        <w:topLinePunct w:val="0"/>
        <w:bidi w:val="0"/>
        <w:spacing w:beforeLines="0" w:afterLines="0"/>
        <w:ind w:firstLine="420" w:firstLineChars="200"/>
        <w:jc w:val="both"/>
        <w:rPr>
          <w:rFonts w:hint="eastAsia"/>
          <w:color w:val="auto"/>
          <w:szCs w:val="21"/>
          <w:highlight w:val="none"/>
        </w:rPr>
      </w:pPr>
      <w:r>
        <w:rPr>
          <w:rFonts w:hint="eastAsia"/>
          <w:color w:val="auto"/>
          <w:szCs w:val="21"/>
          <w:highlight w:val="none"/>
        </w:rPr>
        <w:t>（3）具有良好的商业信誉和健全的财务会计制度：</w:t>
      </w:r>
      <w:bookmarkStart w:id="16" w:name="_Hlk131283906"/>
      <w:bookmarkStart w:id="17" w:name="_Hlk104022851"/>
      <w:r>
        <w:rPr>
          <w:rFonts w:hint="eastAsia"/>
          <w:color w:val="auto"/>
          <w:szCs w:val="21"/>
          <w:highlight w:val="none"/>
        </w:rPr>
        <w:t>响应文件中须提供</w:t>
      </w:r>
      <w:bookmarkEnd w:id="16"/>
      <w:r>
        <w:rPr>
          <w:rFonts w:hint="eastAsia"/>
          <w:color w:val="auto"/>
          <w:szCs w:val="21"/>
          <w:highlight w:val="none"/>
          <w:lang w:val="en-US" w:eastAsia="zh-CN"/>
        </w:rPr>
        <w:t>2024或</w:t>
      </w:r>
      <w:r>
        <w:rPr>
          <w:color w:val="auto"/>
          <w:szCs w:val="21"/>
          <w:highlight w:val="none"/>
        </w:rPr>
        <w:t>20</w:t>
      </w:r>
      <w:r>
        <w:rPr>
          <w:rFonts w:hint="eastAsia"/>
          <w:color w:val="auto"/>
          <w:szCs w:val="21"/>
          <w:highlight w:val="none"/>
          <w:lang w:val="en-US" w:eastAsia="zh-CN"/>
        </w:rPr>
        <w:t>25</w:t>
      </w:r>
      <w:r>
        <w:rPr>
          <w:color w:val="auto"/>
          <w:szCs w:val="21"/>
          <w:highlight w:val="none"/>
        </w:rPr>
        <w:t>年度经审计的财务状况报告，或20</w:t>
      </w:r>
      <w:r>
        <w:rPr>
          <w:rFonts w:hint="eastAsia"/>
          <w:color w:val="auto"/>
          <w:szCs w:val="21"/>
          <w:highlight w:val="none"/>
          <w:lang w:val="en-US" w:eastAsia="zh-CN"/>
        </w:rPr>
        <w:t>26</w:t>
      </w:r>
      <w:r>
        <w:rPr>
          <w:color w:val="auto"/>
          <w:szCs w:val="21"/>
          <w:highlight w:val="none"/>
        </w:rPr>
        <w:t>年</w:t>
      </w:r>
      <w:r>
        <w:rPr>
          <w:rFonts w:hint="eastAsia"/>
          <w:color w:val="auto"/>
          <w:szCs w:val="21"/>
          <w:highlight w:val="none"/>
          <w:lang w:val="en-US" w:eastAsia="zh-CN"/>
        </w:rPr>
        <w:t>01</w:t>
      </w:r>
      <w:r>
        <w:rPr>
          <w:color w:val="auto"/>
          <w:szCs w:val="21"/>
          <w:highlight w:val="none"/>
        </w:rPr>
        <w:t>月至今任意1个月的会计报表，或银行出具的资信证明</w:t>
      </w:r>
      <w:bookmarkEnd w:id="17"/>
      <w:r>
        <w:rPr>
          <w:rFonts w:hint="eastAsia"/>
          <w:color w:val="auto"/>
          <w:szCs w:val="21"/>
          <w:highlight w:val="none"/>
        </w:rPr>
        <w:t>（资信证明应在有效期内；未注明有效期的，银行出具时间至提交响应文件截止时间不超过一年）。</w:t>
      </w:r>
    </w:p>
    <w:p w14:paraId="0E9A43CC">
      <w:pPr>
        <w:keepNext w:val="0"/>
        <w:keepLines w:val="0"/>
        <w:pageBreakBefore w:val="0"/>
        <w:widowControl w:val="0"/>
        <w:kinsoku/>
        <w:wordWrap/>
        <w:overflowPunct/>
        <w:topLinePunct w:val="0"/>
        <w:bidi w:val="0"/>
        <w:spacing w:beforeLines="0" w:afterLines="0"/>
        <w:ind w:firstLine="420" w:firstLineChars="200"/>
        <w:jc w:val="both"/>
        <w:rPr>
          <w:rFonts w:hint="eastAsia"/>
          <w:color w:val="auto"/>
          <w:szCs w:val="21"/>
          <w:highlight w:val="none"/>
        </w:rPr>
      </w:pPr>
      <w:r>
        <w:rPr>
          <w:rFonts w:hint="eastAsia"/>
          <w:color w:val="auto"/>
          <w:szCs w:val="21"/>
          <w:highlight w:val="none"/>
        </w:rPr>
        <w:t>（4）履行合同所必需的设备和专业技术能力：</w:t>
      </w:r>
      <w:bookmarkStart w:id="18" w:name="_Hlk175757085"/>
      <w:r>
        <w:rPr>
          <w:rFonts w:hint="eastAsia"/>
          <w:color w:val="auto"/>
          <w:szCs w:val="21"/>
          <w:highlight w:val="none"/>
        </w:rPr>
        <w:t>响应文件中须</w:t>
      </w:r>
      <w:bookmarkEnd w:id="18"/>
      <w:r>
        <w:rPr>
          <w:rFonts w:hint="eastAsia"/>
          <w:color w:val="auto"/>
          <w:szCs w:val="21"/>
          <w:highlight w:val="none"/>
        </w:rPr>
        <w:t>提供设备和专业技术能力情况表。</w:t>
      </w:r>
    </w:p>
    <w:p w14:paraId="400EC940">
      <w:pPr>
        <w:keepNext w:val="0"/>
        <w:keepLines w:val="0"/>
        <w:pageBreakBefore w:val="0"/>
        <w:widowControl w:val="0"/>
        <w:kinsoku/>
        <w:wordWrap/>
        <w:overflowPunct/>
        <w:topLinePunct w:val="0"/>
        <w:bidi w:val="0"/>
        <w:spacing w:beforeLines="0" w:afterLines="0"/>
        <w:ind w:firstLine="420" w:firstLineChars="200"/>
        <w:jc w:val="both"/>
        <w:rPr>
          <w:rFonts w:hint="eastAsia"/>
          <w:color w:val="auto"/>
          <w:szCs w:val="21"/>
          <w:highlight w:val="none"/>
        </w:rPr>
      </w:pPr>
      <w:r>
        <w:rPr>
          <w:rFonts w:hint="eastAsia"/>
          <w:color w:val="auto"/>
          <w:szCs w:val="21"/>
          <w:highlight w:val="none"/>
        </w:rPr>
        <w:t>（5）参加采购活动前3年内，在经营活动中没有重大违法记录：在《响应承诺函》中进行相关申明。重大违法记录，是指供应商因违法经营受到刑事处罚或者责令停产停业、吊销许可证或者执照、较大数额罚款等行政处罚。（根据财库〔</w:t>
      </w:r>
      <w:r>
        <w:rPr>
          <w:color w:val="auto"/>
          <w:szCs w:val="21"/>
          <w:highlight w:val="none"/>
        </w:rPr>
        <w:t>2022〕3号文，“较大数额罚款”认定为200万元以上的罚款，法律、行政法规以及国务院有关部门明确规定相关领域“较大数额罚款”标准高于200万元的，从其规定。</w:t>
      </w:r>
      <w:r>
        <w:rPr>
          <w:rFonts w:hint="eastAsia"/>
          <w:color w:val="auto"/>
          <w:szCs w:val="21"/>
          <w:highlight w:val="none"/>
        </w:rPr>
        <w:t>）</w:t>
      </w:r>
    </w:p>
    <w:p w14:paraId="6423E976">
      <w:pPr>
        <w:keepNext w:val="0"/>
        <w:keepLines w:val="0"/>
        <w:pageBreakBefore w:val="0"/>
        <w:widowControl w:val="0"/>
        <w:kinsoku/>
        <w:wordWrap/>
        <w:overflowPunct/>
        <w:topLinePunct w:val="0"/>
        <w:bidi w:val="0"/>
        <w:spacing w:beforeLines="0" w:afterLines="0"/>
        <w:ind w:firstLine="422" w:firstLineChars="200"/>
        <w:jc w:val="both"/>
        <w:rPr>
          <w:rFonts w:hint="eastAsia"/>
          <w:b/>
          <w:bCs/>
          <w:color w:val="auto"/>
          <w:szCs w:val="21"/>
          <w:highlight w:val="none"/>
        </w:rPr>
      </w:pPr>
      <w:r>
        <w:rPr>
          <w:b/>
          <w:bCs/>
          <w:color w:val="auto"/>
          <w:szCs w:val="21"/>
          <w:highlight w:val="none"/>
        </w:rPr>
        <w:t>2.落实政府采购政策需满足的资格要求：</w:t>
      </w:r>
    </w:p>
    <w:p w14:paraId="0689F894">
      <w:pPr>
        <w:pStyle w:val="19"/>
        <w:keepNext w:val="0"/>
        <w:keepLines w:val="0"/>
        <w:pageBreakBefore w:val="0"/>
        <w:widowControl w:val="0"/>
        <w:kinsoku/>
        <w:wordWrap/>
        <w:overflowPunct/>
        <w:topLinePunct w:val="0"/>
        <w:bidi w:val="0"/>
        <w:spacing w:beforeLines="0" w:afterLines="0"/>
        <w:ind w:firstLine="420" w:firstLineChars="200"/>
        <w:jc w:val="both"/>
        <w:rPr>
          <w:rFonts w:hint="eastAsia"/>
          <w:color w:val="auto"/>
          <w:szCs w:val="21"/>
          <w:highlight w:val="none"/>
        </w:rPr>
      </w:pPr>
      <w:r>
        <w:rPr>
          <w:color w:val="auto"/>
          <w:highlight w:val="none"/>
        </w:rPr>
        <w:t>本项目整体专门面向中小企业采购，供应商应为中小微企业或监狱企业或残疾人福利性单位，须提供《中小企业声明函（工程、服务）》，或省级以上监狱管理局、戒毒管理局（含新疆生产建设兵团）出具的属于监狱企业的证明文件，或《残疾人福利性单位声明函》。</w:t>
      </w:r>
    </w:p>
    <w:p w14:paraId="4CF06C9B">
      <w:pPr>
        <w:keepNext w:val="0"/>
        <w:keepLines w:val="0"/>
        <w:pageBreakBefore w:val="0"/>
        <w:widowControl w:val="0"/>
        <w:shd w:val="clear" w:color="auto" w:fill="FFFFFF"/>
        <w:kinsoku/>
        <w:wordWrap/>
        <w:overflowPunct/>
        <w:topLinePunct w:val="0"/>
        <w:bidi w:val="0"/>
        <w:spacing w:beforeLines="0" w:afterLines="0"/>
        <w:ind w:firstLine="422" w:firstLineChars="200"/>
        <w:jc w:val="both"/>
        <w:rPr>
          <w:rFonts w:hint="eastAsia" w:cs="Futura-Heavy"/>
          <w:b/>
          <w:bCs/>
          <w:color w:val="auto"/>
          <w:szCs w:val="21"/>
          <w:highlight w:val="none"/>
          <w:shd w:val="clear" w:color="auto" w:fill="FFFFFF"/>
        </w:rPr>
      </w:pPr>
      <w:r>
        <w:rPr>
          <w:rFonts w:hint="eastAsia" w:cs="Futura-Heavy"/>
          <w:b/>
          <w:bCs/>
          <w:color w:val="auto"/>
          <w:szCs w:val="21"/>
          <w:highlight w:val="none"/>
          <w:shd w:val="clear" w:color="auto" w:fill="FFFFFF"/>
        </w:rPr>
        <w:t>3.本项目的特定资格要求：</w:t>
      </w:r>
    </w:p>
    <w:p w14:paraId="68780D66">
      <w:pPr>
        <w:keepNext w:val="0"/>
        <w:keepLines w:val="0"/>
        <w:pageBreakBefore w:val="0"/>
        <w:widowControl w:val="0"/>
        <w:kinsoku/>
        <w:wordWrap/>
        <w:overflowPunct/>
        <w:topLinePunct w:val="0"/>
        <w:autoSpaceDE/>
        <w:autoSpaceDN/>
        <w:bidi w:val="0"/>
        <w:spacing w:beforeLines="0" w:afterLines="0"/>
        <w:ind w:firstLine="420" w:firstLineChars="20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lang w:eastAsia="zh-CN"/>
        </w:rPr>
        <w:t>）供应商须具备建设行政主管部门颁发的</w:t>
      </w:r>
      <w:r>
        <w:rPr>
          <w:rFonts w:hint="eastAsia" w:ascii="宋体" w:hAnsi="宋体" w:eastAsia="宋体" w:cs="宋体"/>
          <w:b/>
          <w:bCs/>
          <w:color w:val="auto"/>
          <w:highlight w:val="none"/>
          <w:lang w:eastAsia="zh-CN"/>
        </w:rPr>
        <w:t>建筑工程施工总承包三级</w:t>
      </w:r>
      <w:r>
        <w:rPr>
          <w:rFonts w:hint="eastAsia" w:ascii="宋体" w:hAnsi="宋体" w:eastAsia="宋体" w:cs="宋体"/>
          <w:color w:val="auto"/>
          <w:highlight w:val="none"/>
          <w:lang w:eastAsia="zh-CN"/>
        </w:rPr>
        <w:t>（含）以上资质。</w:t>
      </w:r>
      <w:r>
        <w:rPr>
          <w:rFonts w:hint="eastAsia" w:ascii="宋体" w:hAnsi="宋体" w:eastAsia="宋体" w:cs="宋体"/>
          <w:color w:val="auto"/>
          <w:szCs w:val="21"/>
          <w:highlight w:val="none"/>
          <w:shd w:val="clear" w:color="auto" w:fill="FFFFFF"/>
        </w:rPr>
        <w:t>（提供资质证书</w:t>
      </w:r>
      <w:r>
        <w:rPr>
          <w:rFonts w:hint="eastAsia" w:ascii="宋体" w:hAnsi="宋体" w:eastAsia="宋体" w:cs="宋体"/>
          <w:color w:val="auto"/>
          <w:szCs w:val="21"/>
          <w:highlight w:val="none"/>
          <w:shd w:val="clear" w:color="auto" w:fill="FFFFFF"/>
          <w:lang w:val="en-US" w:eastAsia="zh-CN"/>
        </w:rPr>
        <w:t>复印件，</w:t>
      </w:r>
      <w:r>
        <w:rPr>
          <w:rFonts w:hint="eastAsia" w:ascii="宋体" w:hAnsi="宋体" w:eastAsia="宋体" w:cs="宋体"/>
          <w:color w:val="auto"/>
          <w:szCs w:val="21"/>
          <w:highlight w:val="none"/>
          <w:shd w:val="clear" w:color="auto" w:fill="FFFFFF"/>
        </w:rPr>
        <w:t>加盖公章）</w:t>
      </w:r>
    </w:p>
    <w:p w14:paraId="047BBB5F">
      <w:pPr>
        <w:keepNext w:val="0"/>
        <w:keepLines w:val="0"/>
        <w:pageBreakBefore w:val="0"/>
        <w:widowControl w:val="0"/>
        <w:shd w:val="clear" w:color="auto" w:fill="FFFFFF"/>
        <w:kinsoku/>
        <w:wordWrap/>
        <w:overflowPunct/>
        <w:topLinePunct w:val="0"/>
        <w:bidi w:val="0"/>
        <w:spacing w:beforeLines="0" w:afterLines="0"/>
        <w:ind w:firstLine="420" w:firstLineChars="200"/>
        <w:jc w:val="both"/>
        <w:rPr>
          <w:rFonts w:hint="eastAsia" w:ascii="宋体" w:hAnsi="宋体" w:eastAsia="宋体" w:cs="宋体"/>
          <w:color w:val="auto"/>
          <w:szCs w:val="21"/>
          <w:highlight w:val="none"/>
          <w:shd w:val="clear" w:color="auto" w:fill="FFFFFF"/>
        </w:rPr>
      </w:pP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lang w:eastAsia="zh-CN"/>
        </w:rPr>
        <w:t>供应商须具有有效的建设行政主管部门颁发的</w:t>
      </w:r>
      <w:r>
        <w:rPr>
          <w:rFonts w:hint="eastAsia" w:ascii="宋体" w:hAnsi="宋体" w:eastAsia="宋体" w:cs="宋体"/>
          <w:b/>
          <w:bCs/>
          <w:color w:val="auto"/>
          <w:highlight w:val="none"/>
          <w:lang w:eastAsia="zh-CN"/>
        </w:rPr>
        <w:t>安全生产许可证</w:t>
      </w:r>
      <w:r>
        <w:rPr>
          <w:rFonts w:hint="eastAsia" w:ascii="宋体" w:hAnsi="宋体" w:eastAsia="宋体" w:cs="宋体"/>
          <w:color w:val="auto"/>
          <w:highlight w:val="none"/>
          <w:lang w:eastAsia="zh-CN"/>
        </w:rPr>
        <w:t>。（</w:t>
      </w:r>
      <w:r>
        <w:rPr>
          <w:rFonts w:hint="eastAsia" w:ascii="宋体" w:hAnsi="宋体" w:eastAsia="宋体" w:cs="宋体"/>
          <w:color w:val="auto"/>
          <w:szCs w:val="21"/>
          <w:highlight w:val="none"/>
          <w:shd w:val="clear" w:color="auto" w:fill="FFFFFF"/>
        </w:rPr>
        <w:t>提供安全生产许可证复印件</w:t>
      </w:r>
      <w:r>
        <w:rPr>
          <w:rFonts w:hint="eastAsia" w:ascii="宋体" w:hAnsi="宋体" w:eastAsia="宋体" w:cs="宋体"/>
          <w:color w:val="auto"/>
          <w:szCs w:val="21"/>
          <w:highlight w:val="none"/>
          <w:shd w:val="clear" w:color="auto" w:fill="FFFFFF"/>
          <w:lang w:eastAsia="zh-CN"/>
        </w:rPr>
        <w:t>，</w:t>
      </w:r>
      <w:r>
        <w:rPr>
          <w:rFonts w:hint="eastAsia" w:ascii="宋体" w:hAnsi="宋体" w:eastAsia="宋体" w:cs="宋体"/>
          <w:color w:val="auto"/>
          <w:szCs w:val="21"/>
          <w:highlight w:val="none"/>
          <w:shd w:val="clear" w:color="auto" w:fill="FFFFFF"/>
        </w:rPr>
        <w:t>加盖公章）</w:t>
      </w:r>
    </w:p>
    <w:p w14:paraId="376E5CEE">
      <w:pPr>
        <w:keepNext w:val="0"/>
        <w:keepLines w:val="0"/>
        <w:pageBreakBefore w:val="0"/>
        <w:widowControl w:val="0"/>
        <w:shd w:val="clear" w:color="auto" w:fill="FFFFFF"/>
        <w:kinsoku/>
        <w:wordWrap/>
        <w:overflowPunct/>
        <w:topLinePunct w:val="0"/>
        <w:bidi w:val="0"/>
        <w:spacing w:beforeLines="0" w:afterLines="0"/>
        <w:ind w:firstLine="422" w:firstLineChars="200"/>
        <w:jc w:val="left"/>
        <w:rPr>
          <w:rFonts w:hint="eastAsia" w:cs="Futura-Heavy"/>
          <w:b/>
          <w:bCs/>
          <w:color w:val="auto"/>
          <w:szCs w:val="21"/>
          <w:highlight w:val="none"/>
          <w:shd w:val="clear" w:color="auto" w:fill="FFFFFF"/>
        </w:rPr>
      </w:pPr>
      <w:r>
        <w:rPr>
          <w:rFonts w:hint="eastAsia" w:cs="Futura-Heavy"/>
          <w:b/>
          <w:bCs/>
          <w:color w:val="auto"/>
          <w:szCs w:val="21"/>
          <w:highlight w:val="none"/>
          <w:shd w:val="clear" w:color="auto" w:fill="FFFFFF"/>
          <w:lang w:val="en-US" w:eastAsia="zh-CN"/>
        </w:rPr>
        <w:t>4</w:t>
      </w:r>
      <w:r>
        <w:rPr>
          <w:rFonts w:hint="eastAsia" w:cs="Futura-Heavy"/>
          <w:b/>
          <w:bCs/>
          <w:color w:val="auto"/>
          <w:szCs w:val="21"/>
          <w:highlight w:val="none"/>
          <w:shd w:val="clear" w:color="auto" w:fill="FFFFFF"/>
        </w:rPr>
        <w:t>.</w:t>
      </w:r>
      <w:r>
        <w:rPr>
          <w:rFonts w:hint="eastAsia" w:cs="Futura-Heavy"/>
          <w:b/>
          <w:bCs/>
          <w:color w:val="auto"/>
          <w:szCs w:val="21"/>
          <w:highlight w:val="none"/>
          <w:shd w:val="clear" w:color="auto" w:fill="FFFFFF"/>
          <w:lang w:val="en-US" w:eastAsia="zh-CN"/>
        </w:rPr>
        <w:t>其他要求</w:t>
      </w:r>
      <w:r>
        <w:rPr>
          <w:rFonts w:hint="eastAsia" w:cs="Futura-Heavy"/>
          <w:b/>
          <w:bCs/>
          <w:color w:val="auto"/>
          <w:szCs w:val="21"/>
          <w:highlight w:val="none"/>
          <w:shd w:val="clear" w:color="auto" w:fill="FFFFFF"/>
        </w:rPr>
        <w:t>：</w:t>
      </w:r>
    </w:p>
    <w:p w14:paraId="7C2F352D">
      <w:pPr>
        <w:keepNext w:val="0"/>
        <w:keepLines w:val="0"/>
        <w:pageBreakBefore w:val="0"/>
        <w:widowControl w:val="0"/>
        <w:shd w:val="clear" w:color="auto" w:fill="FFFFFF"/>
        <w:kinsoku/>
        <w:wordWrap/>
        <w:overflowPunct/>
        <w:topLinePunct w:val="0"/>
        <w:bidi w:val="0"/>
        <w:spacing w:beforeLines="0" w:afterLines="0"/>
        <w:ind w:firstLine="420" w:firstLineChars="200"/>
        <w:jc w:val="both"/>
        <w:rPr>
          <w:rFonts w:hint="eastAsia"/>
          <w:color w:val="auto"/>
          <w:szCs w:val="21"/>
          <w:highlight w:val="none"/>
        </w:rPr>
      </w:pPr>
      <w:r>
        <w:rPr>
          <w:rFonts w:hint="eastAsia"/>
          <w:color w:val="auto"/>
          <w:szCs w:val="21"/>
          <w:highlight w:val="none"/>
        </w:rPr>
        <w:t>（</w:t>
      </w:r>
      <w:r>
        <w:rPr>
          <w:color w:val="auto"/>
          <w:szCs w:val="21"/>
          <w:highlight w:val="none"/>
        </w:rPr>
        <w:t>1</w:t>
      </w:r>
      <w:r>
        <w:rPr>
          <w:rFonts w:hint="eastAsia"/>
          <w:color w:val="auto"/>
          <w:szCs w:val="21"/>
          <w:highlight w:val="none"/>
        </w:rPr>
        <w:t>）</w:t>
      </w:r>
      <w:r>
        <w:rPr>
          <w:color w:val="auto"/>
          <w:szCs w:val="21"/>
          <w:highlight w:val="none"/>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color w:val="auto"/>
          <w:szCs w:val="21"/>
          <w:highlight w:val="none"/>
        </w:rPr>
        <w:t>在《响应承诺函》中进行相关申明。</w:t>
      </w:r>
    </w:p>
    <w:p w14:paraId="42FBD39A">
      <w:pPr>
        <w:keepNext w:val="0"/>
        <w:keepLines w:val="0"/>
        <w:pageBreakBefore w:val="0"/>
        <w:widowControl w:val="0"/>
        <w:shd w:val="clear" w:color="auto" w:fill="FFFFFF"/>
        <w:kinsoku/>
        <w:wordWrap/>
        <w:overflowPunct/>
        <w:topLinePunct w:val="0"/>
        <w:bidi w:val="0"/>
        <w:spacing w:beforeLines="0" w:afterLines="0"/>
        <w:ind w:firstLine="420" w:firstLineChars="200"/>
        <w:jc w:val="both"/>
        <w:rPr>
          <w:rFonts w:hint="eastAsia"/>
          <w:b/>
          <w:bCs/>
          <w:color w:val="auto"/>
          <w:szCs w:val="21"/>
          <w:highlight w:val="none"/>
        </w:rPr>
      </w:pPr>
      <w:r>
        <w:rPr>
          <w:rFonts w:hint="eastAsia"/>
          <w:color w:val="auto"/>
          <w:szCs w:val="21"/>
          <w:highlight w:val="none"/>
        </w:rPr>
        <w:t>（</w:t>
      </w:r>
      <w:r>
        <w:rPr>
          <w:color w:val="auto"/>
          <w:szCs w:val="21"/>
          <w:highlight w:val="none"/>
        </w:rPr>
        <w:t>2</w:t>
      </w:r>
      <w:r>
        <w:rPr>
          <w:rFonts w:hint="eastAsia"/>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r>
        <w:rPr>
          <w:color w:val="auto"/>
          <w:szCs w:val="21"/>
          <w:highlight w:val="none"/>
        </w:rPr>
        <w:t>）</w:t>
      </w:r>
    </w:p>
    <w:p w14:paraId="51CEC4B5">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19" w:name="_Toc104131885"/>
      <w:bookmarkStart w:id="20" w:name="_Toc11200"/>
      <w:bookmarkStart w:id="21" w:name="_Toc112002502"/>
      <w:r>
        <w:rPr>
          <w:rFonts w:hint="eastAsia"/>
          <w:color w:val="auto"/>
          <w:sz w:val="21"/>
          <w:szCs w:val="21"/>
          <w:highlight w:val="none"/>
          <w:lang w:eastAsia="zh-CN"/>
        </w:rPr>
        <w:t>三、获取采购文件</w:t>
      </w:r>
      <w:bookmarkEnd w:id="19"/>
      <w:bookmarkEnd w:id="20"/>
      <w:bookmarkEnd w:id="21"/>
    </w:p>
    <w:p w14:paraId="38297C5C">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时间：20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13</w:t>
      </w:r>
      <w:r>
        <w:rPr>
          <w:rFonts w:hint="eastAsia"/>
          <w:color w:val="auto"/>
          <w:szCs w:val="21"/>
          <w:highlight w:val="none"/>
        </w:rPr>
        <w:t>日至20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22</w:t>
      </w:r>
      <w:r>
        <w:rPr>
          <w:rFonts w:hint="eastAsia"/>
          <w:color w:val="auto"/>
          <w:szCs w:val="21"/>
          <w:highlight w:val="none"/>
        </w:rPr>
        <w:t>日，每天上午</w:t>
      </w:r>
      <w:r>
        <w:rPr>
          <w:color w:val="auto"/>
          <w:szCs w:val="21"/>
          <w:highlight w:val="none"/>
        </w:rPr>
        <w:t>08:30:00至12:00:00，下午12:00:00至17:30:00。（北京时间，法定节假日除外）</w:t>
      </w:r>
    </w:p>
    <w:p w14:paraId="0DF5C401">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地点：诚E招电子采购交易平台（https://www.chengezhao.com/）或公诚管理咨询有限公司</w:t>
      </w:r>
    </w:p>
    <w:p w14:paraId="2A5B6B25">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方式：（</w:t>
      </w:r>
      <w:r>
        <w:rPr>
          <w:color w:val="auto"/>
          <w:szCs w:val="21"/>
          <w:highlight w:val="none"/>
        </w:rPr>
        <w:t>1）线上获取：供应商从诚E招电子采购交易平台（https://www.chengezhao.com/）上的【</w:t>
      </w:r>
      <w:r>
        <w:rPr>
          <w:rFonts w:hint="eastAsia"/>
          <w:color w:val="auto"/>
          <w:szCs w:val="21"/>
          <w:highlight w:val="none"/>
          <w:lang w:eastAsia="zh-CN"/>
        </w:rPr>
        <w:t>响应供应商</w:t>
      </w:r>
      <w:r>
        <w:rPr>
          <w:color w:val="auto"/>
          <w:szCs w:val="21"/>
          <w:highlight w:val="none"/>
        </w:rPr>
        <w:t>登录】入口进入平台，点击【商机发现】，通过项目名称或项目编号检索本项目后在线获取采购文件</w:t>
      </w:r>
      <w:r>
        <w:rPr>
          <w:rFonts w:hint="eastAsia"/>
          <w:color w:val="auto"/>
          <w:szCs w:val="21"/>
          <w:highlight w:val="none"/>
        </w:rPr>
        <w:t>（若涉及平台技术问题，可咨询平台客服020-89524219）</w:t>
      </w:r>
      <w:r>
        <w:rPr>
          <w:color w:val="auto"/>
          <w:szCs w:val="21"/>
          <w:highlight w:val="none"/>
        </w:rPr>
        <w:t>；供应商在网上成功获取采购文件后，可无需现场获取采购文件。（2）线下获取：供应商前往广东省珠海市香洲区兴华路192号2号楼4楼</w:t>
      </w:r>
      <w:bookmarkStart w:id="22" w:name="_Hlk156224234"/>
      <w:r>
        <w:rPr>
          <w:color w:val="auto"/>
          <w:szCs w:val="21"/>
          <w:highlight w:val="none"/>
        </w:rPr>
        <w:t>公诚管理咨询有限公司</w:t>
      </w:r>
      <w:bookmarkEnd w:id="22"/>
      <w:r>
        <w:rPr>
          <w:color w:val="auto"/>
          <w:szCs w:val="21"/>
          <w:highlight w:val="none"/>
        </w:rPr>
        <w:t>现场获取采购文件</w:t>
      </w:r>
      <w:r>
        <w:rPr>
          <w:rFonts w:hint="eastAsia"/>
          <w:color w:val="auto"/>
          <w:szCs w:val="21"/>
          <w:highlight w:val="none"/>
        </w:rPr>
        <w:t>。</w:t>
      </w:r>
      <w:r>
        <w:rPr>
          <w:color w:val="auto"/>
          <w:szCs w:val="21"/>
          <w:highlight w:val="none"/>
        </w:rPr>
        <w:t xml:space="preserve"> </w:t>
      </w:r>
      <w:r>
        <w:rPr>
          <w:rFonts w:hint="eastAsia"/>
          <w:color w:val="auto"/>
          <w:szCs w:val="21"/>
          <w:highlight w:val="none"/>
        </w:rPr>
        <w:t xml:space="preserve"> </w:t>
      </w:r>
    </w:p>
    <w:p w14:paraId="3C1C7AEF">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售价：0</w:t>
      </w:r>
      <w:r>
        <w:rPr>
          <w:color w:val="auto"/>
          <w:szCs w:val="21"/>
          <w:highlight w:val="none"/>
        </w:rPr>
        <w:t>.00</w:t>
      </w:r>
      <w:r>
        <w:rPr>
          <w:rFonts w:hint="eastAsia"/>
          <w:color w:val="auto"/>
          <w:szCs w:val="21"/>
          <w:highlight w:val="none"/>
        </w:rPr>
        <w:t>元</w:t>
      </w:r>
    </w:p>
    <w:p w14:paraId="60D4834B">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23" w:name="_Toc104131886"/>
      <w:bookmarkStart w:id="24" w:name="_Toc7943"/>
      <w:bookmarkStart w:id="25" w:name="_Toc112002503"/>
      <w:r>
        <w:rPr>
          <w:rFonts w:hint="eastAsia"/>
          <w:color w:val="auto"/>
          <w:sz w:val="21"/>
          <w:szCs w:val="21"/>
          <w:highlight w:val="none"/>
          <w:lang w:eastAsia="zh-CN"/>
        </w:rPr>
        <w:t>四、响应文件提交</w:t>
      </w:r>
      <w:bookmarkEnd w:id="23"/>
      <w:bookmarkEnd w:id="24"/>
      <w:bookmarkEnd w:id="25"/>
    </w:p>
    <w:p w14:paraId="290E1D3B">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截止时间：20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23</w:t>
      </w:r>
      <w:r>
        <w:rPr>
          <w:rFonts w:hint="eastAsia"/>
          <w:color w:val="auto"/>
          <w:szCs w:val="21"/>
          <w:highlight w:val="none"/>
        </w:rPr>
        <w:t>日</w:t>
      </w:r>
      <w:r>
        <w:rPr>
          <w:rFonts w:hint="eastAsia"/>
          <w:color w:val="auto"/>
          <w:szCs w:val="21"/>
          <w:highlight w:val="none"/>
          <w:lang w:val="en-US" w:eastAsia="zh-CN"/>
        </w:rPr>
        <w:t>14</w:t>
      </w:r>
      <w:r>
        <w:rPr>
          <w:rFonts w:hint="eastAsia"/>
          <w:color w:val="auto"/>
          <w:szCs w:val="21"/>
          <w:highlight w:val="none"/>
        </w:rPr>
        <w:t>点</w:t>
      </w:r>
      <w:r>
        <w:rPr>
          <w:rFonts w:hint="eastAsia"/>
          <w:color w:val="auto"/>
          <w:szCs w:val="21"/>
          <w:highlight w:val="none"/>
          <w:lang w:val="en-US" w:eastAsia="zh-CN"/>
        </w:rPr>
        <w:t>30</w:t>
      </w:r>
      <w:r>
        <w:rPr>
          <w:rFonts w:hint="eastAsia"/>
          <w:color w:val="auto"/>
          <w:szCs w:val="21"/>
          <w:highlight w:val="none"/>
        </w:rPr>
        <w:t>分00秒（北京时间）</w:t>
      </w:r>
    </w:p>
    <w:p w14:paraId="1C319699">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地点：广东省珠海市香洲区兴华路</w:t>
      </w:r>
      <w:r>
        <w:rPr>
          <w:color w:val="auto"/>
          <w:szCs w:val="21"/>
          <w:highlight w:val="none"/>
        </w:rPr>
        <w:t>192号2号楼3楼公诚管理咨询有限公司302会议室</w:t>
      </w:r>
    </w:p>
    <w:p w14:paraId="70390230">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26" w:name="_Toc20714"/>
      <w:r>
        <w:rPr>
          <w:rFonts w:hint="eastAsia"/>
          <w:color w:val="auto"/>
          <w:sz w:val="21"/>
          <w:szCs w:val="21"/>
          <w:highlight w:val="none"/>
          <w:lang w:eastAsia="zh-CN"/>
        </w:rPr>
        <w:t>五、开启</w:t>
      </w:r>
      <w:bookmarkEnd w:id="26"/>
    </w:p>
    <w:p w14:paraId="454E3D15">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时间：20</w:t>
      </w:r>
      <w:r>
        <w:rPr>
          <w:rFonts w:hint="eastAsia"/>
          <w:color w:val="auto"/>
          <w:szCs w:val="21"/>
          <w:highlight w:val="none"/>
          <w:lang w:val="en-US" w:eastAsia="zh-CN"/>
        </w:rPr>
        <w:t>26</w:t>
      </w:r>
      <w:r>
        <w:rPr>
          <w:rFonts w:hint="eastAsia"/>
          <w:color w:val="auto"/>
          <w:szCs w:val="21"/>
          <w:highlight w:val="none"/>
        </w:rPr>
        <w:t>年</w:t>
      </w:r>
      <w:r>
        <w:rPr>
          <w:rFonts w:hint="eastAsia"/>
          <w:color w:val="auto"/>
          <w:szCs w:val="21"/>
          <w:highlight w:val="none"/>
          <w:lang w:val="en-US" w:eastAsia="zh-CN"/>
        </w:rPr>
        <w:t>06</w:t>
      </w:r>
      <w:r>
        <w:rPr>
          <w:rFonts w:hint="eastAsia"/>
          <w:color w:val="auto"/>
          <w:szCs w:val="21"/>
          <w:highlight w:val="none"/>
        </w:rPr>
        <w:t>月</w:t>
      </w:r>
      <w:r>
        <w:rPr>
          <w:rFonts w:hint="eastAsia"/>
          <w:color w:val="auto"/>
          <w:szCs w:val="21"/>
          <w:highlight w:val="none"/>
          <w:lang w:val="en-US" w:eastAsia="zh-CN"/>
        </w:rPr>
        <w:t>23</w:t>
      </w:r>
      <w:r>
        <w:rPr>
          <w:rFonts w:hint="eastAsia"/>
          <w:color w:val="auto"/>
          <w:szCs w:val="21"/>
          <w:highlight w:val="none"/>
        </w:rPr>
        <w:t>日</w:t>
      </w:r>
      <w:r>
        <w:rPr>
          <w:rFonts w:hint="eastAsia"/>
          <w:color w:val="auto"/>
          <w:szCs w:val="21"/>
          <w:highlight w:val="none"/>
          <w:lang w:val="en-US" w:eastAsia="zh-CN"/>
        </w:rPr>
        <w:t>14</w:t>
      </w:r>
      <w:r>
        <w:rPr>
          <w:rFonts w:hint="eastAsia"/>
          <w:color w:val="auto"/>
          <w:szCs w:val="21"/>
          <w:highlight w:val="none"/>
        </w:rPr>
        <w:t>点</w:t>
      </w:r>
      <w:r>
        <w:rPr>
          <w:rFonts w:hint="eastAsia"/>
          <w:color w:val="auto"/>
          <w:szCs w:val="21"/>
          <w:highlight w:val="none"/>
          <w:lang w:val="en-US" w:eastAsia="zh-CN"/>
        </w:rPr>
        <w:t>30</w:t>
      </w:r>
      <w:r>
        <w:rPr>
          <w:rFonts w:hint="eastAsia"/>
          <w:color w:val="auto"/>
          <w:szCs w:val="21"/>
          <w:highlight w:val="none"/>
        </w:rPr>
        <w:t>分00秒（北京时间）</w:t>
      </w:r>
    </w:p>
    <w:p w14:paraId="224FBD18">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地点：广东省珠海市香洲区兴华路</w:t>
      </w:r>
      <w:r>
        <w:rPr>
          <w:color w:val="auto"/>
          <w:szCs w:val="21"/>
          <w:highlight w:val="none"/>
        </w:rPr>
        <w:t>192号2号楼3楼公诚管理咨询有限公司302会议室</w:t>
      </w:r>
    </w:p>
    <w:p w14:paraId="24B015D6">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27" w:name="_Toc27403"/>
      <w:bookmarkStart w:id="28" w:name="_Toc112002504"/>
      <w:bookmarkStart w:id="29" w:name="_Toc104131887"/>
      <w:r>
        <w:rPr>
          <w:rFonts w:hint="eastAsia"/>
          <w:color w:val="auto"/>
          <w:sz w:val="21"/>
          <w:szCs w:val="21"/>
          <w:highlight w:val="none"/>
          <w:lang w:eastAsia="zh-CN"/>
        </w:rPr>
        <w:t>六、公告期限</w:t>
      </w:r>
      <w:bookmarkEnd w:id="27"/>
      <w:bookmarkEnd w:id="28"/>
      <w:bookmarkEnd w:id="29"/>
    </w:p>
    <w:p w14:paraId="53C52C3F">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自本公告发布之日起</w:t>
      </w:r>
      <w:r>
        <w:rPr>
          <w:color w:val="auto"/>
          <w:szCs w:val="21"/>
          <w:highlight w:val="none"/>
        </w:rPr>
        <w:t>3</w:t>
      </w:r>
      <w:r>
        <w:rPr>
          <w:rFonts w:hint="eastAsia"/>
          <w:color w:val="auto"/>
          <w:szCs w:val="21"/>
          <w:highlight w:val="none"/>
        </w:rPr>
        <w:t>个工作日。</w:t>
      </w:r>
    </w:p>
    <w:p w14:paraId="4B89991D">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30" w:name="_Toc104131888"/>
      <w:bookmarkStart w:id="31" w:name="_Toc112002505"/>
      <w:bookmarkStart w:id="32" w:name="_Toc21632"/>
      <w:r>
        <w:rPr>
          <w:rFonts w:hint="eastAsia"/>
          <w:color w:val="auto"/>
          <w:sz w:val="21"/>
          <w:szCs w:val="21"/>
          <w:highlight w:val="none"/>
          <w:lang w:eastAsia="zh-CN"/>
        </w:rPr>
        <w:t>七、其他补充事宜</w:t>
      </w:r>
      <w:bookmarkEnd w:id="30"/>
      <w:bookmarkEnd w:id="31"/>
      <w:bookmarkEnd w:id="32"/>
    </w:p>
    <w:p w14:paraId="3550D1F3">
      <w:pPr>
        <w:keepNext w:val="0"/>
        <w:keepLines w:val="0"/>
        <w:pageBreakBefore w:val="0"/>
        <w:widowControl w:val="0"/>
        <w:kinsoku/>
        <w:wordWrap/>
        <w:overflowPunct/>
        <w:topLinePunct w:val="0"/>
        <w:bidi w:val="0"/>
        <w:adjustRightInd w:val="0"/>
        <w:snapToGrid w:val="0"/>
        <w:spacing w:beforeLines="0" w:afterLines="0"/>
        <w:ind w:firstLine="490"/>
        <w:rPr>
          <w:rFonts w:hint="eastAsia"/>
          <w:color w:val="auto"/>
          <w:szCs w:val="21"/>
          <w:highlight w:val="none"/>
        </w:rPr>
      </w:pPr>
      <w:r>
        <w:rPr>
          <w:rFonts w:hint="eastAsia"/>
          <w:color w:val="auto"/>
          <w:szCs w:val="21"/>
          <w:highlight w:val="none"/>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027BD6E3">
      <w:pPr>
        <w:pStyle w:val="371"/>
        <w:keepNext w:val="0"/>
        <w:keepLines w:val="0"/>
        <w:pageBreakBefore w:val="0"/>
        <w:widowControl w:val="0"/>
        <w:kinsoku/>
        <w:wordWrap/>
        <w:overflowPunct/>
        <w:topLinePunct w:val="0"/>
        <w:autoSpaceDE/>
        <w:autoSpaceDN/>
        <w:bidi w:val="0"/>
        <w:spacing w:beforeLines="0" w:afterLines="0"/>
        <w:outlineLvl w:val="1"/>
        <w:rPr>
          <w:rFonts w:hint="eastAsia"/>
          <w:color w:val="auto"/>
          <w:sz w:val="21"/>
          <w:szCs w:val="21"/>
          <w:highlight w:val="none"/>
          <w:lang w:eastAsia="zh-CN"/>
        </w:rPr>
      </w:pPr>
      <w:bookmarkStart w:id="33" w:name="_Toc104131889"/>
      <w:bookmarkStart w:id="34" w:name="_Toc23305"/>
      <w:bookmarkStart w:id="35" w:name="_Toc112002506"/>
      <w:r>
        <w:rPr>
          <w:rFonts w:hint="eastAsia"/>
          <w:color w:val="auto"/>
          <w:sz w:val="21"/>
          <w:szCs w:val="21"/>
          <w:highlight w:val="none"/>
          <w:lang w:eastAsia="zh-CN"/>
        </w:rPr>
        <w:t>八、凡对本次采购提出询问，请按以下方式联系</w:t>
      </w:r>
      <w:bookmarkEnd w:id="33"/>
      <w:bookmarkEnd w:id="34"/>
      <w:bookmarkEnd w:id="35"/>
    </w:p>
    <w:p w14:paraId="3412FA9A">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1.采购人信息</w:t>
      </w:r>
    </w:p>
    <w:p w14:paraId="23765676">
      <w:pPr>
        <w:keepNext w:val="0"/>
        <w:keepLines w:val="0"/>
        <w:pageBreakBefore w:val="0"/>
        <w:widowControl w:val="0"/>
        <w:kinsoku/>
        <w:wordWrap/>
        <w:overflowPunct/>
        <w:topLinePunct w:val="0"/>
        <w:bidi w:val="0"/>
        <w:spacing w:beforeLines="0" w:afterLines="0"/>
        <w:ind w:firstLine="707" w:firstLineChars="337"/>
        <w:rPr>
          <w:rFonts w:hint="eastAsia" w:eastAsia="宋体"/>
          <w:color w:val="auto"/>
          <w:szCs w:val="21"/>
          <w:highlight w:val="none"/>
          <w:lang w:eastAsia="zh-CN"/>
        </w:rPr>
      </w:pPr>
      <w:r>
        <w:rPr>
          <w:rFonts w:hint="eastAsia"/>
          <w:color w:val="auto"/>
          <w:szCs w:val="21"/>
          <w:highlight w:val="none"/>
        </w:rPr>
        <w:t xml:space="preserve">名 </w:t>
      </w:r>
      <w:r>
        <w:rPr>
          <w:color w:val="auto"/>
          <w:szCs w:val="21"/>
          <w:highlight w:val="none"/>
        </w:rPr>
        <w:t xml:space="preserve">   </w:t>
      </w:r>
      <w:r>
        <w:rPr>
          <w:rFonts w:hint="eastAsia"/>
          <w:color w:val="auto"/>
          <w:szCs w:val="21"/>
          <w:highlight w:val="none"/>
        </w:rPr>
        <w:t>称：</w:t>
      </w:r>
      <w:r>
        <w:rPr>
          <w:rFonts w:hint="eastAsia"/>
          <w:color w:val="auto"/>
          <w:szCs w:val="21"/>
          <w:highlight w:val="none"/>
          <w:lang w:eastAsia="zh-CN"/>
        </w:rPr>
        <w:t>中华人民共和国横琴出入境边防检查站</w:t>
      </w:r>
    </w:p>
    <w:p w14:paraId="01777CE2">
      <w:pPr>
        <w:keepNext w:val="0"/>
        <w:keepLines w:val="0"/>
        <w:pageBreakBefore w:val="0"/>
        <w:widowControl w:val="0"/>
        <w:kinsoku/>
        <w:wordWrap/>
        <w:overflowPunct/>
        <w:topLinePunct w:val="0"/>
        <w:bidi w:val="0"/>
        <w:spacing w:beforeLines="0" w:afterLines="0"/>
        <w:ind w:firstLine="707" w:firstLineChars="337"/>
        <w:rPr>
          <w:rFonts w:hint="eastAsia" w:ascii="宋体" w:hAnsi="宋体" w:eastAsia="宋体" w:cs="Times New Roman"/>
          <w:color w:val="auto"/>
          <w:szCs w:val="21"/>
          <w:highlight w:val="none"/>
        </w:rPr>
      </w:pPr>
      <w:r>
        <w:rPr>
          <w:rFonts w:hint="eastAsia"/>
          <w:color w:val="auto"/>
          <w:szCs w:val="21"/>
          <w:highlight w:val="none"/>
        </w:rPr>
        <w:t xml:space="preserve">地 </w:t>
      </w:r>
      <w:r>
        <w:rPr>
          <w:color w:val="auto"/>
          <w:szCs w:val="21"/>
          <w:highlight w:val="none"/>
        </w:rPr>
        <w:t xml:space="preserve">   </w:t>
      </w:r>
      <w:r>
        <w:rPr>
          <w:rFonts w:hint="eastAsia"/>
          <w:color w:val="auto"/>
          <w:szCs w:val="21"/>
          <w:highlight w:val="none"/>
        </w:rPr>
        <w:t>址：</w:t>
      </w:r>
      <w:r>
        <w:rPr>
          <w:rFonts w:hint="eastAsia" w:ascii="宋体" w:hAnsi="宋体" w:eastAsia="宋体" w:cs="Times New Roman"/>
          <w:color w:val="auto"/>
          <w:szCs w:val="21"/>
          <w:highlight w:val="none"/>
        </w:rPr>
        <w:t>广东省珠海市横琴粤澳深度合作区濠江路66号</w:t>
      </w:r>
    </w:p>
    <w:p w14:paraId="0EF55B2F">
      <w:pPr>
        <w:keepNext w:val="0"/>
        <w:keepLines w:val="0"/>
        <w:pageBreakBefore w:val="0"/>
        <w:widowControl w:val="0"/>
        <w:kinsoku/>
        <w:wordWrap/>
        <w:overflowPunct/>
        <w:topLinePunct w:val="0"/>
        <w:bidi w:val="0"/>
        <w:spacing w:beforeLines="0" w:afterLines="0"/>
        <w:ind w:firstLine="707" w:firstLineChars="337"/>
        <w:rPr>
          <w:rFonts w:hint="eastAsia"/>
          <w:color w:val="auto"/>
          <w:szCs w:val="21"/>
          <w:highlight w:val="none"/>
        </w:rPr>
      </w:pPr>
      <w:r>
        <w:rPr>
          <w:rFonts w:hint="eastAsia" w:ascii="宋体" w:hAnsi="宋体" w:eastAsia="宋体" w:cs="Times New Roman"/>
          <w:color w:val="auto"/>
          <w:szCs w:val="21"/>
          <w:highlight w:val="none"/>
        </w:rPr>
        <w:t>联系方式：张才德，0756-8167539</w:t>
      </w:r>
    </w:p>
    <w:p w14:paraId="0DA14C2C">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2.采购代理机构信息</w:t>
      </w:r>
    </w:p>
    <w:p w14:paraId="361557E4">
      <w:pPr>
        <w:keepNext w:val="0"/>
        <w:keepLines w:val="0"/>
        <w:pageBreakBefore w:val="0"/>
        <w:widowControl w:val="0"/>
        <w:kinsoku/>
        <w:wordWrap/>
        <w:overflowPunct/>
        <w:topLinePunct w:val="0"/>
        <w:bidi w:val="0"/>
        <w:spacing w:beforeLines="0" w:afterLines="0"/>
        <w:ind w:firstLine="707" w:firstLineChars="337"/>
        <w:rPr>
          <w:rFonts w:hint="eastAsia"/>
          <w:color w:val="auto"/>
          <w:szCs w:val="21"/>
          <w:highlight w:val="none"/>
        </w:rPr>
      </w:pPr>
      <w:r>
        <w:rPr>
          <w:rFonts w:hint="eastAsia"/>
          <w:color w:val="auto"/>
          <w:szCs w:val="21"/>
          <w:highlight w:val="none"/>
        </w:rPr>
        <w:t xml:space="preserve">名 </w:t>
      </w:r>
      <w:r>
        <w:rPr>
          <w:color w:val="auto"/>
          <w:szCs w:val="21"/>
          <w:highlight w:val="none"/>
        </w:rPr>
        <w:t xml:space="preserve">   </w:t>
      </w:r>
      <w:r>
        <w:rPr>
          <w:rFonts w:hint="eastAsia"/>
          <w:color w:val="auto"/>
          <w:szCs w:val="21"/>
          <w:highlight w:val="none"/>
        </w:rPr>
        <w:t>称：公诚管理咨询有限公司</w:t>
      </w:r>
    </w:p>
    <w:p w14:paraId="23AD16E9">
      <w:pPr>
        <w:keepNext w:val="0"/>
        <w:keepLines w:val="0"/>
        <w:pageBreakBefore w:val="0"/>
        <w:widowControl w:val="0"/>
        <w:kinsoku/>
        <w:wordWrap/>
        <w:overflowPunct/>
        <w:topLinePunct w:val="0"/>
        <w:bidi w:val="0"/>
        <w:spacing w:beforeLines="0" w:afterLines="0"/>
        <w:ind w:firstLine="707" w:firstLineChars="337"/>
        <w:rPr>
          <w:rFonts w:hint="eastAsia"/>
          <w:color w:val="auto"/>
          <w:szCs w:val="21"/>
          <w:highlight w:val="none"/>
        </w:rPr>
      </w:pPr>
      <w:r>
        <w:rPr>
          <w:rFonts w:hint="eastAsia"/>
          <w:color w:val="auto"/>
          <w:szCs w:val="21"/>
          <w:highlight w:val="none"/>
        </w:rPr>
        <w:t xml:space="preserve">地 </w:t>
      </w:r>
      <w:r>
        <w:rPr>
          <w:color w:val="auto"/>
          <w:szCs w:val="21"/>
          <w:highlight w:val="none"/>
        </w:rPr>
        <w:t xml:space="preserve">   </w:t>
      </w:r>
      <w:r>
        <w:rPr>
          <w:rFonts w:hint="eastAsia"/>
          <w:color w:val="auto"/>
          <w:szCs w:val="21"/>
          <w:highlight w:val="none"/>
        </w:rPr>
        <w:t>址：广东省珠海市香洲区兴华路1</w:t>
      </w:r>
      <w:r>
        <w:rPr>
          <w:color w:val="auto"/>
          <w:szCs w:val="21"/>
          <w:highlight w:val="none"/>
        </w:rPr>
        <w:t>92</w:t>
      </w:r>
      <w:r>
        <w:rPr>
          <w:rFonts w:hint="eastAsia"/>
          <w:color w:val="auto"/>
          <w:szCs w:val="21"/>
          <w:highlight w:val="none"/>
        </w:rPr>
        <w:t>号</w:t>
      </w:r>
    </w:p>
    <w:p w14:paraId="1B41827E">
      <w:pPr>
        <w:keepNext w:val="0"/>
        <w:keepLines w:val="0"/>
        <w:pageBreakBefore w:val="0"/>
        <w:widowControl w:val="0"/>
        <w:kinsoku/>
        <w:wordWrap/>
        <w:overflowPunct/>
        <w:topLinePunct w:val="0"/>
        <w:bidi w:val="0"/>
        <w:spacing w:beforeLines="0" w:afterLines="0"/>
        <w:ind w:firstLine="707" w:firstLineChars="337"/>
        <w:rPr>
          <w:rFonts w:hint="eastAsia"/>
          <w:color w:val="auto"/>
          <w:szCs w:val="21"/>
          <w:highlight w:val="none"/>
        </w:rPr>
      </w:pPr>
      <w:r>
        <w:rPr>
          <w:rFonts w:hint="eastAsia"/>
          <w:color w:val="auto"/>
          <w:szCs w:val="21"/>
          <w:highlight w:val="none"/>
        </w:rPr>
        <w:t>联系方式：</w:t>
      </w:r>
      <w:r>
        <w:rPr>
          <w:rFonts w:hint="eastAsia"/>
          <w:color w:val="auto"/>
          <w:szCs w:val="21"/>
          <w:highlight w:val="none"/>
          <w:lang w:val="en-US" w:eastAsia="zh-CN"/>
        </w:rPr>
        <w:t>杨述文</w:t>
      </w:r>
      <w:r>
        <w:rPr>
          <w:rFonts w:hint="eastAsia"/>
          <w:color w:val="auto"/>
          <w:szCs w:val="21"/>
          <w:highlight w:val="none"/>
        </w:rPr>
        <w:t>、郑凯存、</w:t>
      </w:r>
      <w:r>
        <w:rPr>
          <w:rFonts w:hint="eastAsia" w:cs="宋体"/>
          <w:color w:val="auto"/>
          <w:szCs w:val="21"/>
          <w:highlight w:val="none"/>
          <w:lang w:val="en-US" w:eastAsia="zh-CN"/>
        </w:rPr>
        <w:t>潘文辉</w:t>
      </w:r>
      <w:r>
        <w:rPr>
          <w:rFonts w:hint="eastAsia"/>
          <w:color w:val="auto"/>
          <w:szCs w:val="21"/>
          <w:highlight w:val="none"/>
        </w:rPr>
        <w:t>、秦晓波、盛菲、李涛，0756-2666861</w:t>
      </w:r>
    </w:p>
    <w:p w14:paraId="30A1A8F3">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3.项目联系方式</w:t>
      </w:r>
    </w:p>
    <w:p w14:paraId="0CB59E2B">
      <w:pPr>
        <w:keepNext w:val="0"/>
        <w:keepLines w:val="0"/>
        <w:pageBreakBefore w:val="0"/>
        <w:widowControl w:val="0"/>
        <w:kinsoku/>
        <w:wordWrap/>
        <w:overflowPunct/>
        <w:topLinePunct w:val="0"/>
        <w:bidi w:val="0"/>
        <w:spacing w:beforeLines="0" w:afterLines="0"/>
        <w:ind w:firstLine="707" w:firstLineChars="337"/>
        <w:rPr>
          <w:rFonts w:hint="eastAsia"/>
          <w:color w:val="auto"/>
          <w:szCs w:val="21"/>
          <w:highlight w:val="none"/>
        </w:rPr>
      </w:pPr>
      <w:r>
        <w:rPr>
          <w:rFonts w:hint="eastAsia"/>
          <w:color w:val="auto"/>
          <w:szCs w:val="21"/>
          <w:highlight w:val="none"/>
        </w:rPr>
        <w:t>项目联系人：</w:t>
      </w:r>
      <w:r>
        <w:rPr>
          <w:rFonts w:hint="eastAsia"/>
          <w:color w:val="auto"/>
          <w:szCs w:val="21"/>
          <w:highlight w:val="none"/>
          <w:lang w:val="en-US" w:eastAsia="zh-CN"/>
        </w:rPr>
        <w:t>杨述文</w:t>
      </w:r>
    </w:p>
    <w:p w14:paraId="11693874">
      <w:pPr>
        <w:keepNext w:val="0"/>
        <w:keepLines w:val="0"/>
        <w:pageBreakBefore w:val="0"/>
        <w:widowControl w:val="0"/>
        <w:kinsoku/>
        <w:wordWrap/>
        <w:overflowPunct/>
        <w:topLinePunct w:val="0"/>
        <w:bidi w:val="0"/>
        <w:spacing w:beforeLines="0" w:afterLines="0"/>
        <w:ind w:firstLine="707" w:firstLineChars="337"/>
        <w:rPr>
          <w:rFonts w:hint="eastAsia" w:cs="仿宋_GB2312"/>
          <w:color w:val="auto"/>
          <w:szCs w:val="21"/>
          <w:highlight w:val="none"/>
        </w:rPr>
      </w:pPr>
      <w:r>
        <w:rPr>
          <w:rFonts w:hint="eastAsia"/>
          <w:color w:val="auto"/>
          <w:szCs w:val="21"/>
          <w:highlight w:val="none"/>
        </w:rPr>
        <w:t xml:space="preserve">电 </w:t>
      </w:r>
      <w:r>
        <w:rPr>
          <w:color w:val="auto"/>
          <w:szCs w:val="21"/>
          <w:highlight w:val="none"/>
        </w:rPr>
        <w:t xml:space="preserve">   </w:t>
      </w:r>
      <w:r>
        <w:rPr>
          <w:rFonts w:hint="eastAsia"/>
          <w:color w:val="auto"/>
          <w:szCs w:val="21"/>
          <w:highlight w:val="none"/>
        </w:rPr>
        <w:t>话：0756-2666861</w:t>
      </w:r>
    </w:p>
    <w:p w14:paraId="0C4E8113">
      <w:pPr>
        <w:keepNext w:val="0"/>
        <w:keepLines w:val="0"/>
        <w:pageBreakBefore w:val="0"/>
        <w:widowControl w:val="0"/>
        <w:shd w:val="clear" w:color="auto" w:fill="FFFFFF"/>
        <w:kinsoku/>
        <w:wordWrap/>
        <w:overflowPunct/>
        <w:topLinePunct w:val="0"/>
        <w:bidi w:val="0"/>
        <w:spacing w:beforeLines="0" w:afterLines="0"/>
        <w:ind w:firstLine="1260"/>
        <w:jc w:val="right"/>
        <w:rPr>
          <w:rFonts w:hint="eastAsia" w:cs="仿宋_GB2312"/>
          <w:color w:val="auto"/>
          <w:szCs w:val="21"/>
          <w:highlight w:val="none"/>
        </w:rPr>
      </w:pPr>
      <w:r>
        <w:rPr>
          <w:rFonts w:hint="eastAsia" w:cs="Futura-Heavy"/>
          <w:color w:val="auto"/>
          <w:szCs w:val="21"/>
          <w:highlight w:val="none"/>
          <w:shd w:val="clear" w:color="auto" w:fill="FFFFFF"/>
          <w:lang w:bidi="ar"/>
        </w:rPr>
        <w:t> </w:t>
      </w:r>
      <w:r>
        <w:rPr>
          <w:rFonts w:cs="Futura-Heavy"/>
          <w:color w:val="auto"/>
          <w:szCs w:val="21"/>
          <w:highlight w:val="none"/>
          <w:shd w:val="clear" w:color="auto" w:fill="FFFFFF"/>
          <w:lang w:bidi="ar"/>
        </w:rPr>
        <w:t xml:space="preserve">                                     </w:t>
      </w:r>
      <w:r>
        <w:rPr>
          <w:rFonts w:hint="eastAsia" w:cs="Futura-Heavy"/>
          <w:color w:val="auto"/>
          <w:szCs w:val="21"/>
          <w:highlight w:val="none"/>
          <w:shd w:val="clear" w:color="auto" w:fill="FFFFFF"/>
          <w:lang w:bidi="ar"/>
        </w:rPr>
        <w:t>公诚管理咨询有限公司</w:t>
      </w:r>
    </w:p>
    <w:p w14:paraId="416859AC">
      <w:pPr>
        <w:pStyle w:val="358"/>
        <w:keepNext w:val="0"/>
        <w:keepLines w:val="0"/>
        <w:pageBreakBefore w:val="0"/>
        <w:widowControl w:val="0"/>
        <w:kinsoku/>
        <w:wordWrap/>
        <w:overflowPunct/>
        <w:topLinePunct w:val="0"/>
        <w:autoSpaceDE/>
        <w:autoSpaceDN/>
        <w:bidi w:val="0"/>
        <w:spacing w:beforeLines="0" w:afterLines="0"/>
        <w:ind w:firstLine="420"/>
        <w:jc w:val="right"/>
        <w:rPr>
          <w:rFonts w:hint="eastAsia"/>
          <w:color w:val="auto"/>
          <w:sz w:val="21"/>
          <w:szCs w:val="21"/>
          <w:highlight w:val="none"/>
          <w:lang w:eastAsia="zh-CN"/>
        </w:rPr>
      </w:pPr>
      <w:r>
        <w:rPr>
          <w:rFonts w:hint="eastAsia" w:cs="Futura-Heavy"/>
          <w:color w:val="auto"/>
          <w:sz w:val="21"/>
          <w:szCs w:val="21"/>
          <w:highlight w:val="none"/>
          <w:shd w:val="clear" w:color="auto" w:fill="FFFFFF"/>
          <w:lang w:eastAsia="zh-CN" w:bidi="ar"/>
        </w:rPr>
        <w:t>20</w:t>
      </w:r>
      <w:r>
        <w:rPr>
          <w:rFonts w:hint="eastAsia" w:cs="Futura-Heavy"/>
          <w:color w:val="auto"/>
          <w:sz w:val="21"/>
          <w:szCs w:val="21"/>
          <w:highlight w:val="none"/>
          <w:shd w:val="clear" w:color="auto" w:fill="FFFFFF"/>
          <w:lang w:val="en-US" w:eastAsia="zh-CN" w:bidi="ar"/>
        </w:rPr>
        <w:t>26</w:t>
      </w:r>
      <w:r>
        <w:rPr>
          <w:rFonts w:hint="eastAsia" w:cs="Futura-Heavy"/>
          <w:color w:val="auto"/>
          <w:sz w:val="21"/>
          <w:szCs w:val="21"/>
          <w:highlight w:val="none"/>
          <w:shd w:val="clear" w:color="auto" w:fill="FFFFFF"/>
          <w:lang w:eastAsia="zh-CN" w:bidi="ar"/>
        </w:rPr>
        <w:t>年</w:t>
      </w:r>
      <w:r>
        <w:rPr>
          <w:rFonts w:hint="eastAsia" w:cs="Futura-Heavy"/>
          <w:color w:val="auto"/>
          <w:sz w:val="21"/>
          <w:szCs w:val="21"/>
          <w:highlight w:val="none"/>
          <w:shd w:val="clear" w:color="auto" w:fill="FFFFFF"/>
          <w:lang w:val="en-US" w:eastAsia="zh-CN" w:bidi="ar"/>
        </w:rPr>
        <w:t>06</w:t>
      </w:r>
      <w:r>
        <w:rPr>
          <w:rFonts w:hint="eastAsia" w:cs="Futura-Heavy"/>
          <w:color w:val="auto"/>
          <w:sz w:val="21"/>
          <w:szCs w:val="21"/>
          <w:highlight w:val="none"/>
          <w:shd w:val="clear" w:color="auto" w:fill="FFFFFF"/>
          <w:lang w:eastAsia="zh-CN" w:bidi="ar"/>
        </w:rPr>
        <w:t>月</w:t>
      </w:r>
      <w:r>
        <w:rPr>
          <w:rFonts w:hint="eastAsia" w:cs="Futura-Heavy"/>
          <w:color w:val="auto"/>
          <w:sz w:val="21"/>
          <w:szCs w:val="21"/>
          <w:highlight w:val="none"/>
          <w:shd w:val="clear" w:color="auto" w:fill="FFFFFF"/>
          <w:lang w:val="en-US" w:eastAsia="zh-CN" w:bidi="ar"/>
        </w:rPr>
        <w:t>12</w:t>
      </w:r>
      <w:r>
        <w:rPr>
          <w:rFonts w:hint="eastAsia" w:cs="Futura-Heavy"/>
          <w:color w:val="auto"/>
          <w:sz w:val="21"/>
          <w:szCs w:val="21"/>
          <w:highlight w:val="none"/>
          <w:shd w:val="clear" w:color="auto" w:fill="FFFFFF"/>
          <w:lang w:eastAsia="zh-CN" w:bidi="ar"/>
        </w:rPr>
        <w:t>日</w:t>
      </w:r>
    </w:p>
    <w:p w14:paraId="25322F75">
      <w:pPr>
        <w:keepNext w:val="0"/>
        <w:keepLines w:val="0"/>
        <w:pageBreakBefore w:val="0"/>
        <w:widowControl w:val="0"/>
        <w:kinsoku/>
        <w:wordWrap/>
        <w:overflowPunct/>
        <w:topLinePunct w:val="0"/>
        <w:bidi w:val="0"/>
        <w:spacing w:beforeLines="0" w:afterLines="0"/>
        <w:jc w:val="left"/>
        <w:rPr>
          <w:rFonts w:hint="eastAsia"/>
          <w:color w:val="auto"/>
          <w:sz w:val="28"/>
          <w:highlight w:val="none"/>
        </w:rPr>
      </w:pPr>
      <w:r>
        <w:rPr>
          <w:color w:val="auto"/>
          <w:highlight w:val="none"/>
        </w:rPr>
        <w:br w:type="page"/>
      </w:r>
    </w:p>
    <w:p w14:paraId="0CEF119E">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pPr>
      <w:bookmarkStart w:id="36" w:name="_Toc101122290"/>
      <w:bookmarkStart w:id="37" w:name="_Toc32611"/>
      <w:bookmarkStart w:id="38" w:name="_Toc104040685"/>
      <w:bookmarkStart w:id="39" w:name="_Toc103033202"/>
      <w:bookmarkStart w:id="40" w:name="_Toc103216634"/>
      <w:bookmarkStart w:id="41" w:name="_Toc104040739"/>
      <w:bookmarkStart w:id="42" w:name="_Hlk103194593"/>
      <w:r>
        <w:rPr>
          <w:rFonts w:hint="eastAsia" w:eastAsia="宋体"/>
          <w:color w:val="auto"/>
          <w:sz w:val="24"/>
          <w:szCs w:val="24"/>
          <w:highlight w:val="none"/>
        </w:rPr>
        <w:t>第二章</w:t>
      </w:r>
      <w:r>
        <w:rPr>
          <w:rFonts w:eastAsia="宋体"/>
          <w:color w:val="auto"/>
          <w:sz w:val="24"/>
          <w:szCs w:val="24"/>
          <w:highlight w:val="none"/>
        </w:rPr>
        <w:t xml:space="preserve"> </w:t>
      </w:r>
      <w:r>
        <w:rPr>
          <w:rFonts w:hint="eastAsia" w:eastAsia="宋体"/>
          <w:color w:val="auto"/>
          <w:sz w:val="24"/>
          <w:szCs w:val="24"/>
          <w:highlight w:val="none"/>
        </w:rPr>
        <w:t>采购需求</w:t>
      </w:r>
      <w:bookmarkEnd w:id="36"/>
      <w:bookmarkEnd w:id="37"/>
      <w:bookmarkEnd w:id="38"/>
      <w:bookmarkEnd w:id="39"/>
      <w:bookmarkEnd w:id="40"/>
      <w:bookmarkEnd w:id="41"/>
    </w:p>
    <w:bookmarkEnd w:id="42"/>
    <w:p w14:paraId="09867DD1">
      <w:pPr>
        <w:pStyle w:val="47"/>
        <w:keepNext w:val="0"/>
        <w:keepLines w:val="0"/>
        <w:pageBreakBefore w:val="0"/>
        <w:widowControl w:val="0"/>
        <w:kinsoku/>
        <w:wordWrap/>
        <w:overflowPunct/>
        <w:topLinePunct w:val="0"/>
        <w:bidi w:val="0"/>
        <w:spacing w:beforeLines="0" w:after="0" w:afterLines="0" w:line="360" w:lineRule="auto"/>
        <w:ind w:left="0" w:leftChars="0" w:firstLine="0" w:firstLineChars="0"/>
        <w:rPr>
          <w:rFonts w:hint="eastAsia"/>
          <w:b/>
          <w:bCs/>
          <w:color w:val="auto"/>
          <w:szCs w:val="21"/>
          <w:highlight w:val="none"/>
        </w:rPr>
      </w:pPr>
      <w:bookmarkStart w:id="43" w:name="_Toc104040741"/>
      <w:bookmarkStart w:id="44" w:name="_Toc103033203"/>
      <w:bookmarkStart w:id="45" w:name="_Toc104040687"/>
      <w:bookmarkStart w:id="46" w:name="_Toc103216635"/>
      <w:bookmarkStart w:id="47" w:name="_Toc101122291"/>
      <w:r>
        <w:rPr>
          <w:rFonts w:hint="eastAsia"/>
          <w:b/>
          <w:bCs/>
          <w:color w:val="auto"/>
          <w:szCs w:val="21"/>
          <w:highlight w:val="none"/>
        </w:rPr>
        <w:t>说明：</w:t>
      </w:r>
    </w:p>
    <w:p w14:paraId="18BB9200">
      <w:pPr>
        <w:pStyle w:val="47"/>
        <w:keepNext w:val="0"/>
        <w:keepLines w:val="0"/>
        <w:pageBreakBefore w:val="0"/>
        <w:widowControl w:val="0"/>
        <w:kinsoku/>
        <w:wordWrap/>
        <w:overflowPunct/>
        <w:topLinePunct w:val="0"/>
        <w:bidi w:val="0"/>
        <w:spacing w:beforeLines="0" w:after="0" w:afterLines="0" w:line="360" w:lineRule="auto"/>
        <w:ind w:left="0" w:leftChars="0" w:firstLine="422"/>
        <w:rPr>
          <w:rFonts w:hint="eastAsia"/>
          <w:b/>
          <w:bCs/>
          <w:color w:val="auto"/>
          <w:szCs w:val="21"/>
          <w:highlight w:val="none"/>
        </w:rPr>
      </w:pPr>
      <w:r>
        <w:rPr>
          <w:b/>
          <w:bCs/>
          <w:color w:val="auto"/>
          <w:szCs w:val="21"/>
          <w:highlight w:val="none"/>
        </w:rPr>
        <w:t>1.</w:t>
      </w:r>
      <w:r>
        <w:rPr>
          <w:rFonts w:hint="eastAsia"/>
          <w:b/>
          <w:bCs/>
          <w:color w:val="auto"/>
          <w:szCs w:val="21"/>
          <w:highlight w:val="none"/>
        </w:rPr>
        <w:t>供应商须对本项目的采购标的进行整体响应，任何只对本项目采购标的其中一部分内容或数量进行响应的，将作无效投标（响应）处理</w:t>
      </w:r>
      <w:r>
        <w:rPr>
          <w:b/>
          <w:bCs/>
          <w:color w:val="auto"/>
          <w:szCs w:val="21"/>
          <w:highlight w:val="none"/>
        </w:rPr>
        <w:t>。</w:t>
      </w:r>
    </w:p>
    <w:p w14:paraId="1C29CD0B">
      <w:pPr>
        <w:pStyle w:val="47"/>
        <w:keepNext w:val="0"/>
        <w:keepLines w:val="0"/>
        <w:pageBreakBefore w:val="0"/>
        <w:widowControl w:val="0"/>
        <w:kinsoku/>
        <w:wordWrap/>
        <w:overflowPunct/>
        <w:topLinePunct w:val="0"/>
        <w:bidi w:val="0"/>
        <w:spacing w:beforeLines="0" w:after="0" w:afterLines="0" w:line="360" w:lineRule="auto"/>
        <w:ind w:left="0" w:leftChars="0" w:firstLine="422"/>
        <w:rPr>
          <w:rFonts w:hint="eastAsia"/>
          <w:color w:val="auto"/>
          <w:szCs w:val="21"/>
          <w:highlight w:val="none"/>
        </w:rPr>
      </w:pPr>
      <w:r>
        <w:rPr>
          <w:b/>
          <w:bCs/>
          <w:color w:val="auto"/>
          <w:szCs w:val="21"/>
          <w:highlight w:val="none"/>
        </w:rPr>
        <w:t>2.采购需求中标注“★”号条款为实质性条款，供应商须按要求对其进行逐条响应，当出现负偏离或未响应，将作无效</w:t>
      </w:r>
      <w:r>
        <w:rPr>
          <w:rFonts w:hint="eastAsia"/>
          <w:b/>
          <w:bCs/>
          <w:color w:val="auto"/>
          <w:szCs w:val="21"/>
          <w:highlight w:val="none"/>
        </w:rPr>
        <w:t>投标（响应）</w:t>
      </w:r>
      <w:r>
        <w:rPr>
          <w:b/>
          <w:bCs/>
          <w:color w:val="auto"/>
          <w:szCs w:val="21"/>
          <w:highlight w:val="none"/>
        </w:rPr>
        <w:t>处理；若要求提供证明材料，还须按要求提供证明材料，否则将作无效</w:t>
      </w:r>
      <w:r>
        <w:rPr>
          <w:rFonts w:hint="eastAsia"/>
          <w:b/>
          <w:bCs/>
          <w:color w:val="auto"/>
          <w:szCs w:val="21"/>
          <w:highlight w:val="none"/>
        </w:rPr>
        <w:t>投标（响应）</w:t>
      </w:r>
      <w:r>
        <w:rPr>
          <w:b/>
          <w:bCs/>
          <w:color w:val="auto"/>
          <w:szCs w:val="21"/>
          <w:highlight w:val="none"/>
        </w:rPr>
        <w:t>处理。</w:t>
      </w:r>
    </w:p>
    <w:p w14:paraId="4DC2BE04">
      <w:pPr>
        <w:keepNext w:val="0"/>
        <w:keepLines w:val="0"/>
        <w:pageBreakBefore w:val="0"/>
        <w:widowControl w:val="0"/>
        <w:kinsoku/>
        <w:wordWrap/>
        <w:overflowPunct/>
        <w:topLinePunct w:val="0"/>
        <w:bidi w:val="0"/>
        <w:adjustRightInd w:val="0"/>
        <w:snapToGrid w:val="0"/>
        <w:spacing w:beforeLines="0" w:afterLines="0"/>
        <w:rPr>
          <w:rFonts w:hint="eastAsia"/>
          <w:color w:val="auto"/>
          <w:szCs w:val="21"/>
          <w:highlight w:val="none"/>
        </w:rPr>
      </w:pPr>
    </w:p>
    <w:p w14:paraId="136B27CE">
      <w:pPr>
        <w:keepNext w:val="0"/>
        <w:keepLines w:val="0"/>
        <w:pageBreakBefore w:val="0"/>
        <w:widowControl w:val="0"/>
        <w:kinsoku/>
        <w:wordWrap/>
        <w:overflowPunct/>
        <w:topLinePunct w:val="0"/>
        <w:bidi w:val="0"/>
        <w:spacing w:beforeLines="0" w:afterLines="0"/>
        <w:outlineLvl w:val="1"/>
        <w:rPr>
          <w:rFonts w:hint="eastAsia"/>
          <w:b/>
          <w:bCs/>
          <w:color w:val="auto"/>
          <w:highlight w:val="none"/>
        </w:rPr>
      </w:pPr>
      <w:bookmarkStart w:id="48" w:name="_Toc171529101"/>
      <w:bookmarkStart w:id="49" w:name="_Toc10338"/>
      <w:bookmarkStart w:id="50" w:name="_Toc104160554"/>
      <w:bookmarkStart w:id="51" w:name="_Toc104040686"/>
      <w:r>
        <w:rPr>
          <w:rFonts w:hint="eastAsia"/>
          <w:b/>
          <w:bCs/>
          <w:color w:val="auto"/>
          <w:highlight w:val="none"/>
        </w:rPr>
        <w:t>一、项目概述</w:t>
      </w:r>
      <w:bookmarkEnd w:id="48"/>
      <w:bookmarkEnd w:id="49"/>
      <w:bookmarkEnd w:id="50"/>
      <w:bookmarkEnd w:id="51"/>
    </w:p>
    <w:p w14:paraId="7631F83A">
      <w:pPr>
        <w:pStyle w:val="358"/>
        <w:keepNext w:val="0"/>
        <w:keepLines w:val="0"/>
        <w:pageBreakBefore w:val="0"/>
        <w:widowControl w:val="0"/>
        <w:kinsoku/>
        <w:wordWrap/>
        <w:overflowPunct/>
        <w:topLinePunct w:val="0"/>
        <w:autoSpaceDE/>
        <w:autoSpaceDN/>
        <w:bidi w:val="0"/>
        <w:adjustRightInd/>
        <w:snapToGrid/>
        <w:spacing w:beforeLines="0" w:afterLines="0"/>
        <w:ind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本项目采购额度：1000000.00元。</w:t>
      </w:r>
      <w:r>
        <w:rPr>
          <w:rFonts w:hint="eastAsia"/>
          <w:color w:val="auto"/>
          <w:sz w:val="21"/>
          <w:szCs w:val="21"/>
          <w:highlight w:val="none"/>
        </w:rPr>
        <w:t>本采购额度为合同有效期内采购人计划用于零星修缮工程款项的累计预算最高限额，不构成对成交供应商的工程量承诺。项目按照100万元的规模来</w:t>
      </w:r>
      <w:r>
        <w:rPr>
          <w:rFonts w:hint="eastAsia"/>
          <w:color w:val="auto"/>
          <w:sz w:val="21"/>
          <w:szCs w:val="21"/>
          <w:highlight w:val="none"/>
          <w:lang w:val="en-US" w:eastAsia="zh-CN"/>
        </w:rPr>
        <w:t>签订</w:t>
      </w:r>
      <w:r>
        <w:rPr>
          <w:rFonts w:hint="eastAsia"/>
          <w:color w:val="auto"/>
          <w:sz w:val="21"/>
          <w:szCs w:val="21"/>
          <w:highlight w:val="none"/>
        </w:rPr>
        <w:t>框架协议，但不涉及具体预算支出。</w:t>
      </w:r>
    </w:p>
    <w:p w14:paraId="2F1670A5">
      <w:pPr>
        <w:pStyle w:val="358"/>
        <w:keepNext w:val="0"/>
        <w:keepLines w:val="0"/>
        <w:pageBreakBefore w:val="0"/>
        <w:widowControl w:val="0"/>
        <w:kinsoku/>
        <w:wordWrap/>
        <w:overflowPunct/>
        <w:topLinePunct w:val="0"/>
        <w:autoSpaceDE/>
        <w:autoSpaceDN/>
        <w:bidi w:val="0"/>
        <w:adjustRightInd/>
        <w:snapToGrid/>
        <w:spacing w:beforeLines="0" w:afterLines="0"/>
        <w:ind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施工范围</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包括</w:t>
      </w:r>
      <w:r>
        <w:rPr>
          <w:rFonts w:hint="eastAsia" w:ascii="宋体" w:hAnsi="宋体" w:eastAsia="宋体" w:cs="宋体"/>
          <w:color w:val="auto"/>
          <w:sz w:val="21"/>
          <w:szCs w:val="21"/>
          <w:highlight w:val="none"/>
          <w:lang w:val="en-US" w:eastAsia="zh-CN"/>
        </w:rPr>
        <w:t>但不限于</w:t>
      </w:r>
      <w:r>
        <w:rPr>
          <w:rFonts w:hint="eastAsia" w:ascii="宋体" w:hAnsi="宋体" w:eastAsia="宋体" w:cs="宋体"/>
          <w:color w:val="auto"/>
          <w:sz w:val="21"/>
          <w:szCs w:val="21"/>
          <w:highlight w:val="none"/>
        </w:rPr>
        <w:t>建筑地基与基础、主体结构、建筑屋面、装修装饰、建筑幕墙、附建人防工程以及给水排水、通风与空调、电气、消防、智能化、防雷等配套工程。</w:t>
      </w:r>
    </w:p>
    <w:p w14:paraId="115469AE">
      <w:pPr>
        <w:pStyle w:val="358"/>
        <w:keepNext w:val="0"/>
        <w:keepLines w:val="0"/>
        <w:pageBreakBefore w:val="0"/>
        <w:widowControl w:val="0"/>
        <w:kinsoku/>
        <w:wordWrap/>
        <w:overflowPunct/>
        <w:topLinePunct w:val="0"/>
        <w:autoSpaceDE/>
        <w:autoSpaceDN/>
        <w:bidi w:val="0"/>
        <w:adjustRightInd/>
        <w:snapToGrid/>
        <w:spacing w:beforeLines="0" w:afterLines="0"/>
        <w:ind w:firstLine="422" w:firstLineChars="200"/>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val="en-US" w:eastAsia="zh-CN"/>
        </w:rPr>
        <w:t>3.本项目报价采用</w:t>
      </w:r>
      <w:r>
        <w:rPr>
          <w:rFonts w:hint="eastAsia" w:cs="宋体"/>
          <w:b/>
          <w:bCs/>
          <w:color w:val="auto"/>
          <w:sz w:val="21"/>
          <w:szCs w:val="21"/>
          <w:highlight w:val="none"/>
          <w:lang w:val="en-US" w:eastAsia="zh-CN"/>
        </w:rPr>
        <w:t>费率</w:t>
      </w:r>
      <w:r>
        <w:rPr>
          <w:rFonts w:hint="eastAsia" w:ascii="宋体" w:hAnsi="宋体" w:eastAsia="宋体" w:cs="宋体"/>
          <w:b/>
          <w:bCs/>
          <w:color w:val="auto"/>
          <w:sz w:val="21"/>
          <w:szCs w:val="21"/>
          <w:highlight w:val="none"/>
          <w:lang w:val="en-US" w:eastAsia="zh-CN"/>
        </w:rPr>
        <w:t>的方式，最高限价为100%，响应供应商的</w:t>
      </w:r>
      <w:r>
        <w:rPr>
          <w:rFonts w:hint="eastAsia" w:cs="宋体"/>
          <w:b/>
          <w:bCs/>
          <w:color w:val="auto"/>
          <w:sz w:val="21"/>
          <w:szCs w:val="21"/>
          <w:highlight w:val="none"/>
          <w:lang w:val="en-US" w:eastAsia="zh-CN"/>
        </w:rPr>
        <w:t>响应费率</w:t>
      </w:r>
      <w:r>
        <w:rPr>
          <w:rFonts w:hint="eastAsia" w:ascii="宋体" w:hAnsi="宋体" w:eastAsia="宋体" w:cs="宋体"/>
          <w:b/>
          <w:bCs/>
          <w:color w:val="auto"/>
          <w:sz w:val="21"/>
          <w:szCs w:val="21"/>
          <w:highlight w:val="none"/>
          <w:lang w:val="en-US" w:eastAsia="zh-CN"/>
        </w:rPr>
        <w:t>不能高于最高限价且不能为负数</w:t>
      </w:r>
      <w:r>
        <w:rPr>
          <w:rFonts w:hint="eastAsia" w:cs="宋体"/>
          <w:b/>
          <w:bCs/>
          <w:color w:val="auto"/>
          <w:sz w:val="21"/>
          <w:szCs w:val="21"/>
          <w:highlight w:val="none"/>
          <w:lang w:val="en-US" w:eastAsia="zh-CN"/>
        </w:rPr>
        <w:t>或为0</w:t>
      </w:r>
      <w:r>
        <w:rPr>
          <w:rFonts w:hint="eastAsia" w:ascii="宋体" w:hAnsi="宋体" w:eastAsia="宋体" w:cs="宋体"/>
          <w:b/>
          <w:bCs/>
          <w:color w:val="auto"/>
          <w:sz w:val="21"/>
          <w:szCs w:val="21"/>
          <w:highlight w:val="none"/>
          <w:lang w:val="en-US" w:eastAsia="zh-CN"/>
        </w:rPr>
        <w:t>（即0.00%＜</w:t>
      </w:r>
      <w:r>
        <w:rPr>
          <w:rFonts w:hint="eastAsia" w:cs="宋体"/>
          <w:b/>
          <w:bCs/>
          <w:color w:val="auto"/>
          <w:sz w:val="21"/>
          <w:szCs w:val="21"/>
          <w:highlight w:val="none"/>
          <w:lang w:val="en-US" w:eastAsia="zh-CN"/>
        </w:rPr>
        <w:t>响应费率</w:t>
      </w:r>
      <w:r>
        <w:rPr>
          <w:rFonts w:hint="eastAsia" w:ascii="宋体" w:hAnsi="宋体" w:eastAsia="宋体" w:cs="宋体"/>
          <w:b/>
          <w:bCs/>
          <w:color w:val="auto"/>
          <w:sz w:val="21"/>
          <w:szCs w:val="21"/>
          <w:highlight w:val="none"/>
          <w:lang w:val="en-US" w:eastAsia="zh-CN"/>
        </w:rPr>
        <w:t>≤100.00%），否则按响应无效处理</w:t>
      </w:r>
      <w:r>
        <w:rPr>
          <w:rFonts w:hint="eastAsia" w:ascii="宋体" w:hAnsi="宋体" w:eastAsia="宋体" w:cs="宋体"/>
          <w:b/>
          <w:bCs/>
          <w:color w:val="auto"/>
          <w:sz w:val="21"/>
          <w:szCs w:val="21"/>
          <w:highlight w:val="none"/>
          <w:lang w:eastAsia="zh-CN"/>
        </w:rPr>
        <w:t>。</w:t>
      </w:r>
    </w:p>
    <w:p w14:paraId="4C7A6A70">
      <w:pPr>
        <w:pStyle w:val="358"/>
        <w:keepNext w:val="0"/>
        <w:keepLines w:val="0"/>
        <w:pageBreakBefore w:val="0"/>
        <w:widowControl w:val="0"/>
        <w:kinsoku/>
        <w:wordWrap/>
        <w:overflowPunct/>
        <w:topLinePunct w:val="0"/>
        <w:autoSpaceDE/>
        <w:autoSpaceDN/>
        <w:bidi w:val="0"/>
        <w:adjustRightInd/>
        <w:snapToGrid/>
        <w:spacing w:beforeLines="0" w:afterLines="0"/>
        <w:ind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4.</w:t>
      </w:r>
      <w:r>
        <w:rPr>
          <w:rFonts w:hint="eastAsia" w:ascii="宋体" w:hAnsi="宋体" w:eastAsia="宋体" w:cs="宋体"/>
          <w:b/>
          <w:bCs/>
          <w:color w:val="auto"/>
          <w:sz w:val="21"/>
          <w:szCs w:val="21"/>
          <w:highlight w:val="none"/>
        </w:rPr>
        <w:t>项目属性：</w:t>
      </w:r>
      <w:r>
        <w:rPr>
          <w:rFonts w:hint="eastAsia" w:cs="宋体"/>
          <w:color w:val="auto"/>
          <w:sz w:val="21"/>
          <w:szCs w:val="21"/>
          <w:highlight w:val="none"/>
          <w:lang w:val="en-US" w:eastAsia="zh-CN"/>
        </w:rPr>
        <w:t>工程</w:t>
      </w:r>
      <w:r>
        <w:rPr>
          <w:rFonts w:hint="eastAsia" w:ascii="宋体" w:hAnsi="宋体" w:eastAsia="宋体" w:cs="宋体"/>
          <w:color w:val="auto"/>
          <w:sz w:val="21"/>
          <w:szCs w:val="21"/>
          <w:highlight w:val="none"/>
        </w:rPr>
        <w:t>项目。</w:t>
      </w:r>
    </w:p>
    <w:p w14:paraId="64DE1972">
      <w:pPr>
        <w:pStyle w:val="358"/>
        <w:keepNext w:val="0"/>
        <w:keepLines w:val="0"/>
        <w:pageBreakBefore w:val="0"/>
        <w:widowControl w:val="0"/>
        <w:kinsoku/>
        <w:wordWrap/>
        <w:overflowPunct/>
        <w:topLinePunct w:val="0"/>
        <w:autoSpaceDE/>
        <w:autoSpaceDN/>
        <w:bidi w:val="0"/>
        <w:adjustRightInd/>
        <w:snapToGrid/>
        <w:spacing w:beforeLines="0" w:afterLines="0"/>
        <w:ind w:firstLine="420" w:firstLineChars="200"/>
        <w:jc w:val="both"/>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lang w:val="en-US" w:eastAsia="zh-CN"/>
        </w:rPr>
        <w:t>5</w:t>
      </w:r>
      <w:r>
        <w:rPr>
          <w:rFonts w:hint="eastAsia" w:cs="宋体"/>
          <w:color w:val="auto"/>
          <w:sz w:val="21"/>
          <w:szCs w:val="21"/>
          <w:highlight w:val="none"/>
          <w:lang w:val="en-US" w:eastAsia="zh-CN"/>
        </w:rPr>
        <w:t>.</w:t>
      </w:r>
      <w:r>
        <w:rPr>
          <w:rFonts w:hint="eastAsia" w:ascii="宋体" w:hAnsi="宋体" w:eastAsia="宋体" w:cs="宋体"/>
          <w:color w:val="auto"/>
          <w:sz w:val="21"/>
          <w:szCs w:val="21"/>
          <w:highlight w:val="none"/>
        </w:rPr>
        <w:t>本项目采购标的对应的中小微企业划分标准所属行业为：</w:t>
      </w:r>
      <w:r>
        <w:rPr>
          <w:rFonts w:hint="eastAsia" w:cs="宋体"/>
          <w:b/>
          <w:bCs/>
          <w:color w:val="auto"/>
          <w:sz w:val="21"/>
          <w:szCs w:val="21"/>
          <w:highlight w:val="none"/>
          <w:lang w:val="en-US" w:eastAsia="zh-CN"/>
        </w:rPr>
        <w:t>建筑</w:t>
      </w:r>
      <w:r>
        <w:rPr>
          <w:rFonts w:hint="eastAsia" w:ascii="宋体" w:hAnsi="宋体" w:eastAsia="宋体" w:cs="宋体"/>
          <w:b/>
          <w:bCs/>
          <w:color w:val="auto"/>
          <w:sz w:val="21"/>
          <w:szCs w:val="21"/>
          <w:highlight w:val="none"/>
        </w:rPr>
        <w:t>业</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为方便广大中小企业识别企业规模类型，供应商可通过中小企业规模类型自测小程序【https://baosong.miit.gov.cn/ScaleTest】进行查询。</w:t>
      </w:r>
    </w:p>
    <w:p w14:paraId="0E088B5E">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p>
    <w:p w14:paraId="6D31BD3E">
      <w:pPr>
        <w:pStyle w:val="366"/>
        <w:keepNext w:val="0"/>
        <w:keepLines w:val="0"/>
        <w:pageBreakBefore w:val="0"/>
        <w:widowControl w:val="0"/>
        <w:kinsoku/>
        <w:wordWrap/>
        <w:overflowPunct/>
        <w:topLinePunct w:val="0"/>
        <w:autoSpaceDE/>
        <w:autoSpaceDN/>
        <w:bidi w:val="0"/>
        <w:spacing w:beforeLines="0" w:afterLines="0"/>
        <w:rPr>
          <w:rFonts w:hint="eastAsia"/>
          <w:color w:val="auto"/>
          <w:sz w:val="21"/>
          <w:szCs w:val="21"/>
          <w:highlight w:val="none"/>
          <w:lang w:eastAsia="zh-CN"/>
        </w:rPr>
      </w:pPr>
      <w:bookmarkStart w:id="52" w:name="_Toc29042"/>
      <w:bookmarkStart w:id="53" w:name="_Toc171503946"/>
      <w:r>
        <w:rPr>
          <w:rFonts w:hint="eastAsia"/>
          <w:color w:val="auto"/>
          <w:sz w:val="21"/>
          <w:szCs w:val="21"/>
          <w:highlight w:val="none"/>
          <w:lang w:eastAsia="zh-CN"/>
        </w:rPr>
        <w:t>二、主要商务要求</w:t>
      </w:r>
      <w:bookmarkEnd w:id="52"/>
    </w:p>
    <w:p w14:paraId="0C5890D4">
      <w:pPr>
        <w:pStyle w:val="47"/>
        <w:keepNext w:val="0"/>
        <w:keepLines w:val="0"/>
        <w:pageBreakBefore w:val="0"/>
        <w:widowControl w:val="0"/>
        <w:numPr>
          <w:ilvl w:val="0"/>
          <w:numId w:val="5"/>
        </w:numPr>
        <w:kinsoku/>
        <w:wordWrap/>
        <w:overflowPunct/>
        <w:topLinePunct w:val="0"/>
        <w:bidi w:val="0"/>
        <w:spacing w:beforeLines="0" w:after="0" w:afterLines="0" w:line="360" w:lineRule="auto"/>
        <w:ind w:left="0" w:leftChars="0" w:firstLine="420"/>
        <w:jc w:val="left"/>
        <w:rPr>
          <w:rFonts w:hint="eastAsia"/>
          <w:color w:val="auto"/>
          <w:szCs w:val="21"/>
          <w:highlight w:val="none"/>
        </w:rPr>
      </w:pPr>
      <w:r>
        <w:rPr>
          <w:rFonts w:hint="eastAsia"/>
          <w:color w:val="auto"/>
          <w:szCs w:val="21"/>
          <w:highlight w:val="none"/>
        </w:rPr>
        <w:t>标的提供的时间：自合同签订生效之日起一年</w:t>
      </w:r>
      <w:r>
        <w:rPr>
          <w:rFonts w:hint="eastAsia"/>
          <w:color w:val="auto"/>
          <w:szCs w:val="21"/>
          <w:highlight w:val="none"/>
          <w:lang w:eastAsia="zh-CN"/>
        </w:rPr>
        <w:t>，</w:t>
      </w:r>
      <w:r>
        <w:rPr>
          <w:rFonts w:hint="eastAsia"/>
          <w:color w:val="auto"/>
          <w:szCs w:val="21"/>
          <w:highlight w:val="none"/>
          <w:lang w:val="en-US" w:eastAsia="zh-CN"/>
        </w:rPr>
        <w:t>或</w:t>
      </w:r>
      <w:r>
        <w:rPr>
          <w:rFonts w:hint="eastAsia" w:ascii="宋体" w:hAnsi="宋体" w:eastAsia="宋体" w:cs="宋体"/>
          <w:color w:val="auto"/>
          <w:szCs w:val="21"/>
          <w:highlight w:val="none"/>
          <w:lang w:val="en-US" w:eastAsia="zh-CN"/>
        </w:rPr>
        <w:t>达到采购额度</w:t>
      </w:r>
      <w:r>
        <w:rPr>
          <w:rFonts w:hint="eastAsia"/>
          <w:color w:val="auto"/>
          <w:szCs w:val="21"/>
          <w:highlight w:val="none"/>
          <w:lang w:eastAsia="zh-CN"/>
        </w:rPr>
        <w:t>；若本合同项下的单项施工任务合同履行期限超出前述一年期限，则本合同有效期顺延至该单项施工任务合同履行完毕之日止。</w:t>
      </w:r>
    </w:p>
    <w:p w14:paraId="170F0836">
      <w:pPr>
        <w:pStyle w:val="47"/>
        <w:keepNext w:val="0"/>
        <w:keepLines w:val="0"/>
        <w:pageBreakBefore w:val="0"/>
        <w:widowControl w:val="0"/>
        <w:numPr>
          <w:ilvl w:val="0"/>
          <w:numId w:val="5"/>
        </w:numPr>
        <w:kinsoku/>
        <w:wordWrap/>
        <w:overflowPunct/>
        <w:topLinePunct w:val="0"/>
        <w:bidi w:val="0"/>
        <w:spacing w:beforeLines="0" w:after="0" w:afterLines="0" w:line="360" w:lineRule="auto"/>
        <w:ind w:left="0" w:leftChars="0" w:firstLine="420"/>
        <w:jc w:val="left"/>
        <w:rPr>
          <w:rFonts w:hint="eastAsia"/>
          <w:color w:val="auto"/>
          <w:szCs w:val="21"/>
          <w:highlight w:val="none"/>
        </w:rPr>
      </w:pPr>
      <w:r>
        <w:rPr>
          <w:rFonts w:hint="eastAsia"/>
          <w:color w:val="auto"/>
          <w:szCs w:val="21"/>
          <w:highlight w:val="none"/>
        </w:rPr>
        <w:t>标的提供的地点：广东省横琴粤澳深度合作区濠江路66号及横琴出入境边防检查站所属区域。</w:t>
      </w:r>
    </w:p>
    <w:p w14:paraId="2612691F">
      <w:pPr>
        <w:pStyle w:val="47"/>
        <w:keepNext w:val="0"/>
        <w:keepLines w:val="0"/>
        <w:pageBreakBefore w:val="0"/>
        <w:widowControl w:val="0"/>
        <w:numPr>
          <w:ilvl w:val="0"/>
          <w:numId w:val="5"/>
        </w:numPr>
        <w:kinsoku/>
        <w:wordWrap/>
        <w:overflowPunct/>
        <w:topLinePunct w:val="0"/>
        <w:bidi w:val="0"/>
        <w:spacing w:beforeLines="0" w:after="0" w:afterLines="0" w:line="360" w:lineRule="auto"/>
        <w:ind w:left="0" w:leftChars="0" w:firstLine="420"/>
        <w:jc w:val="left"/>
        <w:rPr>
          <w:rFonts w:hint="eastAsia"/>
          <w:color w:val="auto"/>
          <w:szCs w:val="21"/>
          <w:highlight w:val="none"/>
        </w:rPr>
      </w:pPr>
      <w:r>
        <w:rPr>
          <w:rFonts w:hint="eastAsia"/>
          <w:color w:val="auto"/>
          <w:szCs w:val="21"/>
          <w:highlight w:val="none"/>
        </w:rPr>
        <w:t>付款方式：</w:t>
      </w:r>
    </w:p>
    <w:p w14:paraId="490A0856">
      <w:pPr>
        <w:pStyle w:val="47"/>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eastAsia"/>
          <w:color w:val="auto"/>
          <w:szCs w:val="21"/>
          <w:highlight w:val="none"/>
        </w:rPr>
      </w:pPr>
      <w:r>
        <w:rPr>
          <w:rFonts w:hint="eastAsia"/>
          <w:color w:val="auto"/>
          <w:szCs w:val="21"/>
          <w:highlight w:val="none"/>
        </w:rPr>
        <w:t>（</w:t>
      </w:r>
      <w:r>
        <w:rPr>
          <w:rFonts w:hint="eastAsia"/>
          <w:color w:val="auto"/>
          <w:szCs w:val="21"/>
          <w:highlight w:val="none"/>
          <w:lang w:val="en-US" w:eastAsia="zh-CN"/>
        </w:rPr>
        <w:t>1</w:t>
      </w:r>
      <w:r>
        <w:rPr>
          <w:rFonts w:hint="eastAsia"/>
          <w:color w:val="auto"/>
          <w:szCs w:val="21"/>
          <w:highlight w:val="none"/>
        </w:rPr>
        <w:t>）工程进度款</w:t>
      </w:r>
      <w:r>
        <w:rPr>
          <w:rFonts w:hint="eastAsia"/>
          <w:color w:val="auto"/>
          <w:szCs w:val="21"/>
          <w:highlight w:val="none"/>
          <w:lang w:eastAsia="zh-CN"/>
        </w:rPr>
        <w:t>：</w:t>
      </w:r>
      <w:r>
        <w:rPr>
          <w:rFonts w:hint="eastAsia"/>
          <w:color w:val="auto"/>
          <w:szCs w:val="21"/>
          <w:highlight w:val="none"/>
        </w:rPr>
        <w:t>单项施工任务合同中另行约定。</w:t>
      </w:r>
    </w:p>
    <w:p w14:paraId="5F7ECAF1">
      <w:pPr>
        <w:pStyle w:val="47"/>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eastAsia"/>
          <w:color w:val="auto"/>
          <w:szCs w:val="21"/>
          <w:highlight w:val="none"/>
        </w:rPr>
      </w:pPr>
      <w:r>
        <w:rPr>
          <w:rFonts w:hint="eastAsia"/>
          <w:color w:val="auto"/>
          <w:szCs w:val="21"/>
          <w:highlight w:val="none"/>
        </w:rPr>
        <w:t>（</w:t>
      </w:r>
      <w:r>
        <w:rPr>
          <w:rFonts w:hint="eastAsia"/>
          <w:color w:val="auto"/>
          <w:szCs w:val="21"/>
          <w:highlight w:val="none"/>
          <w:lang w:val="en-US" w:eastAsia="zh-CN"/>
        </w:rPr>
        <w:t>2</w:t>
      </w:r>
      <w:r>
        <w:rPr>
          <w:rFonts w:hint="eastAsia"/>
          <w:color w:val="auto"/>
          <w:szCs w:val="21"/>
          <w:highlight w:val="none"/>
        </w:rPr>
        <w:t>）工程结算款</w:t>
      </w:r>
      <w:r>
        <w:rPr>
          <w:rFonts w:hint="eastAsia"/>
          <w:color w:val="auto"/>
          <w:szCs w:val="21"/>
          <w:highlight w:val="none"/>
          <w:lang w:eastAsia="zh-CN"/>
        </w:rPr>
        <w:t>：</w:t>
      </w:r>
      <w:r>
        <w:rPr>
          <w:rFonts w:hint="eastAsia"/>
          <w:color w:val="auto"/>
          <w:szCs w:val="21"/>
          <w:highlight w:val="none"/>
          <w:lang w:val="en-US" w:eastAsia="zh-CN"/>
        </w:rPr>
        <w:t>①</w:t>
      </w:r>
      <w:r>
        <w:rPr>
          <w:rFonts w:hint="eastAsia"/>
          <w:color w:val="auto"/>
          <w:szCs w:val="21"/>
          <w:highlight w:val="none"/>
        </w:rPr>
        <w:t>采用固定总价的单项工程：结算价=单项合同固定总价×成交费率，验收合格后按约定支付；</w:t>
      </w:r>
      <w:r>
        <w:rPr>
          <w:rFonts w:hint="eastAsia"/>
          <w:color w:val="auto"/>
          <w:szCs w:val="21"/>
          <w:highlight w:val="none"/>
          <w:lang w:val="en-US" w:eastAsia="zh-CN"/>
        </w:rPr>
        <w:t>②</w:t>
      </w:r>
      <w:r>
        <w:rPr>
          <w:rFonts w:hint="eastAsia"/>
          <w:color w:val="auto"/>
          <w:szCs w:val="21"/>
          <w:highlight w:val="none"/>
        </w:rPr>
        <w:t>采用固定单价的单项工程：结算价=（实际完成工程量×固定单价）×成交费率，按核定工程量结算；</w:t>
      </w:r>
      <w:r>
        <w:rPr>
          <w:rFonts w:hint="eastAsia"/>
          <w:color w:val="auto"/>
          <w:szCs w:val="21"/>
          <w:highlight w:val="none"/>
          <w:lang w:val="en-US" w:eastAsia="zh-CN"/>
        </w:rPr>
        <w:t>③</w:t>
      </w:r>
      <w:r>
        <w:rPr>
          <w:rFonts w:hint="eastAsia"/>
          <w:color w:val="auto"/>
          <w:szCs w:val="21"/>
          <w:highlight w:val="none"/>
        </w:rPr>
        <w:t>单项施工任务通过竣工验收后，</w:t>
      </w:r>
      <w:r>
        <w:rPr>
          <w:rFonts w:hint="eastAsia"/>
          <w:color w:val="auto"/>
          <w:szCs w:val="21"/>
          <w:highlight w:val="none"/>
          <w:lang w:eastAsia="zh-CN"/>
        </w:rPr>
        <w:t>成交供应商</w:t>
      </w:r>
      <w:r>
        <w:rPr>
          <w:rFonts w:hint="eastAsia"/>
          <w:color w:val="auto"/>
          <w:szCs w:val="21"/>
          <w:highlight w:val="none"/>
        </w:rPr>
        <w:t>向</w:t>
      </w:r>
      <w:r>
        <w:rPr>
          <w:rFonts w:hint="eastAsia"/>
          <w:color w:val="auto"/>
          <w:szCs w:val="21"/>
          <w:highlight w:val="none"/>
          <w:lang w:eastAsia="zh-CN"/>
        </w:rPr>
        <w:t>采购人</w:t>
      </w:r>
      <w:r>
        <w:rPr>
          <w:rFonts w:hint="eastAsia"/>
          <w:color w:val="auto"/>
          <w:szCs w:val="21"/>
          <w:highlight w:val="none"/>
        </w:rPr>
        <w:t>递交工程结算书，由</w:t>
      </w:r>
      <w:r>
        <w:rPr>
          <w:rFonts w:hint="eastAsia"/>
          <w:color w:val="auto"/>
          <w:szCs w:val="21"/>
          <w:highlight w:val="none"/>
          <w:lang w:eastAsia="zh-CN"/>
        </w:rPr>
        <w:t>采购人</w:t>
      </w:r>
      <w:r>
        <w:rPr>
          <w:rFonts w:hint="eastAsia"/>
          <w:color w:val="auto"/>
          <w:szCs w:val="21"/>
          <w:highlight w:val="none"/>
        </w:rPr>
        <w:t>自行或委托中介造价咨询机构进行审核；在完成且双方确认结算造价、</w:t>
      </w:r>
      <w:r>
        <w:rPr>
          <w:rFonts w:hint="eastAsia"/>
          <w:color w:val="auto"/>
          <w:szCs w:val="21"/>
          <w:highlight w:val="none"/>
          <w:lang w:eastAsia="zh-CN"/>
        </w:rPr>
        <w:t>成交供应商</w:t>
      </w:r>
      <w:r>
        <w:rPr>
          <w:rFonts w:hint="eastAsia"/>
          <w:color w:val="auto"/>
          <w:szCs w:val="21"/>
          <w:highlight w:val="none"/>
        </w:rPr>
        <w:t>开具等额有效发票后，</w:t>
      </w:r>
      <w:r>
        <w:rPr>
          <w:rFonts w:hint="eastAsia"/>
          <w:color w:val="auto"/>
          <w:szCs w:val="21"/>
          <w:highlight w:val="none"/>
          <w:lang w:eastAsia="zh-CN"/>
        </w:rPr>
        <w:t>采购人</w:t>
      </w:r>
      <w:r>
        <w:rPr>
          <w:rFonts w:hint="eastAsia"/>
          <w:color w:val="auto"/>
          <w:szCs w:val="21"/>
          <w:highlight w:val="none"/>
        </w:rPr>
        <w:t>原则上在 10 个工作日内支付工程款至结算价的 100％。</w:t>
      </w:r>
      <w:r>
        <w:rPr>
          <w:rFonts w:hint="eastAsia"/>
          <w:color w:val="auto"/>
          <w:szCs w:val="21"/>
          <w:highlight w:val="none"/>
          <w:lang w:val="en-US" w:eastAsia="zh-CN"/>
        </w:rPr>
        <w:t>④</w:t>
      </w:r>
      <w:r>
        <w:rPr>
          <w:rFonts w:hint="eastAsia"/>
          <w:color w:val="auto"/>
          <w:szCs w:val="21"/>
          <w:highlight w:val="none"/>
        </w:rPr>
        <w:t>以上付款都以人民币支付。</w:t>
      </w:r>
      <w:r>
        <w:rPr>
          <w:rFonts w:hint="eastAsia"/>
          <w:color w:val="auto"/>
          <w:szCs w:val="21"/>
          <w:highlight w:val="none"/>
          <w:lang w:eastAsia="zh-CN"/>
        </w:rPr>
        <w:t>采购人</w:t>
      </w:r>
      <w:r>
        <w:rPr>
          <w:rFonts w:hint="eastAsia"/>
          <w:color w:val="auto"/>
          <w:szCs w:val="21"/>
          <w:highlight w:val="none"/>
        </w:rPr>
        <w:t>付款前，</w:t>
      </w:r>
      <w:r>
        <w:rPr>
          <w:rFonts w:hint="eastAsia"/>
          <w:color w:val="auto"/>
          <w:szCs w:val="21"/>
          <w:highlight w:val="none"/>
          <w:lang w:eastAsia="zh-CN"/>
        </w:rPr>
        <w:t>成交供应商</w:t>
      </w:r>
      <w:r>
        <w:rPr>
          <w:rFonts w:hint="eastAsia"/>
          <w:color w:val="auto"/>
          <w:szCs w:val="21"/>
          <w:highlight w:val="none"/>
        </w:rPr>
        <w:t>均需向</w:t>
      </w:r>
      <w:r>
        <w:rPr>
          <w:rFonts w:hint="eastAsia"/>
          <w:color w:val="auto"/>
          <w:szCs w:val="21"/>
          <w:highlight w:val="none"/>
          <w:lang w:eastAsia="zh-CN"/>
        </w:rPr>
        <w:t>采购人</w:t>
      </w:r>
      <w:r>
        <w:rPr>
          <w:rFonts w:hint="eastAsia"/>
          <w:color w:val="auto"/>
          <w:szCs w:val="21"/>
          <w:highlight w:val="none"/>
        </w:rPr>
        <w:t>开具符合国家规范要求的发票。</w:t>
      </w:r>
    </w:p>
    <w:p w14:paraId="45AF39BB">
      <w:pPr>
        <w:pStyle w:val="47"/>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leftChars="0" w:firstLine="420" w:firstLineChars="200"/>
        <w:jc w:val="both"/>
        <w:textAlignment w:val="auto"/>
        <w:rPr>
          <w:rFonts w:hint="default"/>
          <w:color w:val="auto"/>
          <w:szCs w:val="21"/>
          <w:highlight w:val="none"/>
          <w:lang w:val="en-US" w:eastAsia="zh-CN"/>
        </w:rPr>
      </w:pPr>
      <w:r>
        <w:rPr>
          <w:rFonts w:hint="eastAsia"/>
          <w:color w:val="auto"/>
          <w:szCs w:val="21"/>
          <w:highlight w:val="none"/>
          <w:lang w:eastAsia="zh-CN"/>
        </w:rPr>
        <w:t>（</w:t>
      </w:r>
      <w:r>
        <w:rPr>
          <w:rFonts w:hint="eastAsia"/>
          <w:color w:val="auto"/>
          <w:szCs w:val="21"/>
          <w:highlight w:val="none"/>
          <w:lang w:val="en-US" w:eastAsia="zh-CN"/>
        </w:rPr>
        <w:t>3</w:t>
      </w:r>
      <w:r>
        <w:rPr>
          <w:rFonts w:hint="eastAsia"/>
          <w:color w:val="auto"/>
          <w:szCs w:val="21"/>
          <w:highlight w:val="none"/>
          <w:lang w:eastAsia="zh-CN"/>
        </w:rPr>
        <w:t>）</w:t>
      </w:r>
      <w:r>
        <w:rPr>
          <w:rFonts w:hint="eastAsia"/>
          <w:color w:val="auto"/>
          <w:szCs w:val="21"/>
          <w:highlight w:val="none"/>
          <w:lang w:val="en-US" w:eastAsia="zh-CN"/>
        </w:rPr>
        <w:t>具体支付方式及时间以合同约定内容为准。</w:t>
      </w:r>
    </w:p>
    <w:p w14:paraId="2C8B07E9">
      <w:pPr>
        <w:pStyle w:val="47"/>
        <w:keepNext w:val="0"/>
        <w:keepLines w:val="0"/>
        <w:pageBreakBefore w:val="0"/>
        <w:widowControl w:val="0"/>
        <w:numPr>
          <w:ilvl w:val="0"/>
          <w:numId w:val="5"/>
        </w:numPr>
        <w:kinsoku/>
        <w:wordWrap/>
        <w:overflowPunct/>
        <w:topLinePunct w:val="0"/>
        <w:autoSpaceDE/>
        <w:autoSpaceDN/>
        <w:bidi w:val="0"/>
        <w:adjustRightInd/>
        <w:snapToGrid/>
        <w:spacing w:beforeLines="0" w:after="0" w:afterLines="0" w:line="360" w:lineRule="auto"/>
        <w:ind w:left="0" w:leftChars="0" w:firstLine="420"/>
        <w:textAlignment w:val="auto"/>
        <w:rPr>
          <w:rFonts w:hint="eastAsia"/>
          <w:color w:val="auto"/>
          <w:szCs w:val="21"/>
          <w:highlight w:val="none"/>
          <w:lang w:eastAsia="zh-CN"/>
        </w:rPr>
      </w:pPr>
      <w:r>
        <w:rPr>
          <w:rFonts w:hint="eastAsia"/>
          <w:color w:val="auto"/>
          <w:szCs w:val="21"/>
          <w:highlight w:val="none"/>
        </w:rPr>
        <w:t>验收要求</w:t>
      </w:r>
      <w:r>
        <w:rPr>
          <w:rFonts w:hint="eastAsia"/>
          <w:color w:val="auto"/>
          <w:szCs w:val="21"/>
          <w:highlight w:val="none"/>
          <w:lang w:eastAsia="zh-CN"/>
        </w:rPr>
        <w:t>：</w:t>
      </w:r>
    </w:p>
    <w:p w14:paraId="66E1C028">
      <w:pPr>
        <w:pStyle w:val="47"/>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60" w:lineRule="auto"/>
        <w:ind w:left="0" w:leftChars="0" w:right="0" w:rightChars="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（1）验收主体：</w:t>
      </w:r>
      <w:r>
        <w:rPr>
          <w:rFonts w:hint="eastAsia"/>
          <w:color w:val="auto"/>
          <w:szCs w:val="21"/>
          <w:highlight w:val="none"/>
          <w:lang w:eastAsia="zh-CN"/>
        </w:rPr>
        <w:t>中华人民共和国横琴出入境边防检查站</w:t>
      </w:r>
      <w:r>
        <w:rPr>
          <w:rFonts w:hint="eastAsia" w:ascii="宋体" w:hAnsi="宋体" w:eastAsia="宋体" w:cs="宋体"/>
          <w:color w:val="auto"/>
          <w:szCs w:val="21"/>
          <w:highlight w:val="none"/>
          <w:lang w:eastAsia="zh-CN"/>
        </w:rPr>
        <w:t>。</w:t>
      </w:r>
      <w:r>
        <w:rPr>
          <w:rFonts w:hint="eastAsia" w:cs="宋体"/>
          <w:color w:val="auto"/>
          <w:sz w:val="21"/>
          <w:szCs w:val="21"/>
          <w:highlight w:val="none"/>
          <w:lang w:val="en-US" w:eastAsia="zh-CN"/>
        </w:rPr>
        <w:t>如出现</w:t>
      </w:r>
      <w:r>
        <w:rPr>
          <w:rFonts w:hint="eastAsia" w:ascii="宋体" w:hAnsi="宋体" w:eastAsia="宋体" w:cs="宋体"/>
          <w:color w:val="auto"/>
          <w:sz w:val="21"/>
          <w:szCs w:val="21"/>
          <w:highlight w:val="none"/>
          <w:lang w:eastAsia="zh-CN"/>
        </w:rPr>
        <w:t>需要经行业主管部门验收的情况</w:t>
      </w:r>
      <w:r>
        <w:rPr>
          <w:rFonts w:hint="eastAsia" w:cs="宋体"/>
          <w:color w:val="auto"/>
          <w:sz w:val="21"/>
          <w:szCs w:val="21"/>
          <w:highlight w:val="none"/>
          <w:lang w:eastAsia="zh-CN"/>
        </w:rPr>
        <w:t>，</w:t>
      </w:r>
      <w:r>
        <w:rPr>
          <w:rFonts w:hint="eastAsia" w:cs="宋体"/>
          <w:color w:val="auto"/>
          <w:sz w:val="21"/>
          <w:szCs w:val="21"/>
          <w:highlight w:val="none"/>
          <w:lang w:val="en-US" w:eastAsia="zh-CN"/>
        </w:rPr>
        <w:t>则与</w:t>
      </w:r>
      <w:r>
        <w:rPr>
          <w:rFonts w:hint="eastAsia" w:ascii="宋体" w:hAnsi="宋体" w:eastAsia="宋体" w:cs="宋体"/>
          <w:color w:val="auto"/>
          <w:sz w:val="21"/>
          <w:szCs w:val="21"/>
          <w:highlight w:val="none"/>
          <w:lang w:eastAsia="zh-CN"/>
        </w:rPr>
        <w:t>行业主管部门</w:t>
      </w:r>
      <w:r>
        <w:rPr>
          <w:rFonts w:hint="eastAsia" w:cs="宋体"/>
          <w:color w:val="auto"/>
          <w:sz w:val="21"/>
          <w:szCs w:val="21"/>
          <w:highlight w:val="none"/>
          <w:lang w:val="en-US" w:eastAsia="zh-CN"/>
        </w:rPr>
        <w:t>共同进行验收</w:t>
      </w:r>
      <w:r>
        <w:rPr>
          <w:rFonts w:hint="eastAsia" w:ascii="宋体" w:hAnsi="宋体" w:eastAsia="宋体" w:cs="宋体"/>
          <w:color w:val="auto"/>
          <w:sz w:val="21"/>
          <w:szCs w:val="21"/>
          <w:highlight w:val="none"/>
          <w:lang w:eastAsia="zh-CN"/>
        </w:rPr>
        <w:t>。</w:t>
      </w:r>
    </w:p>
    <w:p w14:paraId="123176DD">
      <w:pPr>
        <w:pStyle w:val="47"/>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60" w:lineRule="auto"/>
        <w:ind w:left="0" w:leftChars="0" w:right="0" w:rightChars="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（2）验收时间：</w:t>
      </w:r>
      <w:r>
        <w:rPr>
          <w:rFonts w:hint="eastAsia" w:cs="宋体"/>
          <w:color w:val="auto"/>
          <w:szCs w:val="21"/>
          <w:highlight w:val="none"/>
          <w:lang w:val="en-US" w:eastAsia="zh-CN"/>
        </w:rPr>
        <w:t>每项施工履约完毕，供应商</w:t>
      </w:r>
      <w:r>
        <w:rPr>
          <w:rFonts w:hint="eastAsia" w:ascii="宋体" w:hAnsi="宋体" w:eastAsia="宋体" w:cs="宋体"/>
          <w:color w:val="auto"/>
          <w:szCs w:val="21"/>
          <w:highlight w:val="none"/>
          <w:lang w:eastAsia="zh-CN"/>
        </w:rPr>
        <w:t>提交</w:t>
      </w:r>
      <w:r>
        <w:rPr>
          <w:rFonts w:hint="eastAsia" w:cs="宋体"/>
          <w:color w:val="auto"/>
          <w:szCs w:val="21"/>
          <w:highlight w:val="none"/>
          <w:lang w:val="en-US" w:eastAsia="zh-CN"/>
        </w:rPr>
        <w:t>验收</w:t>
      </w:r>
      <w:r>
        <w:rPr>
          <w:rFonts w:hint="eastAsia" w:ascii="宋体" w:hAnsi="宋体" w:eastAsia="宋体" w:cs="宋体"/>
          <w:color w:val="auto"/>
          <w:szCs w:val="21"/>
          <w:highlight w:val="none"/>
          <w:lang w:eastAsia="zh-CN"/>
        </w:rPr>
        <w:t>申请及完整资料</w:t>
      </w:r>
      <w:r>
        <w:rPr>
          <w:rFonts w:hint="eastAsia" w:cs="宋体"/>
          <w:color w:val="auto"/>
          <w:szCs w:val="21"/>
          <w:highlight w:val="none"/>
          <w:lang w:val="en-US" w:eastAsia="zh-CN"/>
        </w:rPr>
        <w:t>后</w:t>
      </w:r>
      <w:r>
        <w:rPr>
          <w:rFonts w:hint="eastAsia" w:ascii="宋体" w:hAnsi="宋体" w:eastAsia="宋体" w:cs="宋体"/>
          <w:color w:val="auto"/>
          <w:szCs w:val="21"/>
          <w:highlight w:val="none"/>
          <w:lang w:eastAsia="zh-CN"/>
        </w:rPr>
        <w:t>，</w:t>
      </w:r>
      <w:r>
        <w:rPr>
          <w:rFonts w:hint="eastAsia" w:cs="宋体"/>
          <w:color w:val="auto"/>
          <w:szCs w:val="21"/>
          <w:highlight w:val="none"/>
          <w:lang w:val="en-US" w:eastAsia="zh-CN"/>
        </w:rPr>
        <w:t>采购人</w:t>
      </w:r>
      <w:r>
        <w:rPr>
          <w:rFonts w:hint="eastAsia" w:ascii="宋体" w:hAnsi="宋体" w:eastAsia="宋体" w:cs="宋体"/>
          <w:color w:val="auto"/>
          <w:szCs w:val="21"/>
          <w:highlight w:val="none"/>
          <w:lang w:eastAsia="zh-CN"/>
        </w:rPr>
        <w:t>7日内启动验收工作。</w:t>
      </w:r>
    </w:p>
    <w:p w14:paraId="6802C9FF">
      <w:pPr>
        <w:pStyle w:val="47"/>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60" w:lineRule="auto"/>
        <w:ind w:left="0" w:leftChars="0" w:right="0" w:rightChars="0" w:firstLine="420" w:firstLineChars="20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（3）验收方式：</w:t>
      </w:r>
      <w:r>
        <w:rPr>
          <w:rFonts w:hint="eastAsia" w:cs="宋体"/>
          <w:color w:val="auto"/>
          <w:szCs w:val="21"/>
          <w:highlight w:val="none"/>
          <w:lang w:val="en-US" w:eastAsia="zh-CN"/>
        </w:rPr>
        <w:t>本项目为框架合同，最终实施按</w:t>
      </w:r>
      <w:r>
        <w:rPr>
          <w:rFonts w:hint="eastAsia" w:ascii="宋体" w:hAnsi="宋体" w:eastAsia="宋体" w:cs="宋体"/>
          <w:color w:val="auto"/>
          <w:szCs w:val="21"/>
          <w:highlight w:val="none"/>
          <w:lang w:eastAsia="zh-CN"/>
        </w:rPr>
        <w:t>单项施工任务履约</w:t>
      </w:r>
      <w:r>
        <w:rPr>
          <w:rFonts w:hint="eastAsia" w:cs="宋体"/>
          <w:color w:val="auto"/>
          <w:szCs w:val="21"/>
          <w:highlight w:val="none"/>
          <w:lang w:eastAsia="zh-CN"/>
        </w:rPr>
        <w:t>，</w:t>
      </w:r>
      <w:r>
        <w:rPr>
          <w:rFonts w:hint="eastAsia" w:cs="宋体"/>
          <w:color w:val="auto"/>
          <w:szCs w:val="21"/>
          <w:highlight w:val="none"/>
          <w:lang w:val="en-US" w:eastAsia="zh-CN"/>
        </w:rPr>
        <w:t>验收按单项施工进行</w:t>
      </w:r>
      <w:r>
        <w:rPr>
          <w:rFonts w:hint="eastAsia" w:cs="宋体"/>
          <w:color w:val="auto"/>
          <w:szCs w:val="21"/>
          <w:highlight w:val="none"/>
          <w:lang w:eastAsia="zh-CN"/>
        </w:rPr>
        <w:t>。</w:t>
      </w:r>
      <w:r>
        <w:rPr>
          <w:rFonts w:hint="eastAsia" w:ascii="宋体" w:hAnsi="宋体" w:eastAsia="宋体" w:cs="宋体"/>
          <w:color w:val="auto"/>
          <w:szCs w:val="21"/>
          <w:highlight w:val="none"/>
          <w:lang w:eastAsia="zh-CN"/>
        </w:rPr>
        <w:t>单项施工任务竣工后，成交供应商</w:t>
      </w:r>
      <w:r>
        <w:rPr>
          <w:rFonts w:hint="eastAsia" w:cs="宋体"/>
          <w:color w:val="auto"/>
          <w:szCs w:val="21"/>
          <w:highlight w:val="none"/>
          <w:lang w:val="en-US" w:eastAsia="zh-CN"/>
        </w:rPr>
        <w:t>应</w:t>
      </w:r>
      <w:r>
        <w:rPr>
          <w:rFonts w:hint="eastAsia" w:ascii="宋体" w:hAnsi="宋体" w:eastAsia="宋体" w:cs="宋体"/>
          <w:color w:val="auto"/>
          <w:szCs w:val="21"/>
          <w:highlight w:val="none"/>
          <w:lang w:eastAsia="zh-CN"/>
        </w:rPr>
        <w:t>在工期期满后</w:t>
      </w:r>
      <w:r>
        <w:rPr>
          <w:rFonts w:hint="eastAsia" w:ascii="宋体" w:hAnsi="宋体" w:eastAsia="宋体" w:cs="宋体"/>
          <w:color w:val="auto"/>
          <w:szCs w:val="21"/>
          <w:highlight w:val="none"/>
          <w:lang w:val="en-US" w:eastAsia="zh-CN"/>
        </w:rPr>
        <w:t>15日</w:t>
      </w:r>
      <w:r>
        <w:rPr>
          <w:rFonts w:hint="eastAsia" w:ascii="宋体" w:hAnsi="宋体" w:eastAsia="宋体" w:cs="宋体"/>
          <w:color w:val="auto"/>
          <w:szCs w:val="21"/>
          <w:highlight w:val="none"/>
          <w:lang w:eastAsia="zh-CN"/>
        </w:rPr>
        <w:t>内向采购人申请验收，期限自</w:t>
      </w:r>
      <w:r>
        <w:rPr>
          <w:rFonts w:hint="eastAsia" w:ascii="宋体" w:hAnsi="宋体" w:eastAsia="宋体" w:cs="宋体"/>
          <w:color w:val="auto"/>
          <w:szCs w:val="21"/>
          <w:highlight w:val="none"/>
          <w:lang w:val="en-US" w:eastAsia="zh-CN"/>
        </w:rPr>
        <w:t>该单项施工任务</w:t>
      </w:r>
      <w:r>
        <w:rPr>
          <w:rFonts w:hint="eastAsia" w:ascii="宋体" w:hAnsi="宋体" w:eastAsia="宋体" w:cs="宋体"/>
          <w:color w:val="auto"/>
          <w:szCs w:val="21"/>
          <w:highlight w:val="none"/>
          <w:lang w:eastAsia="zh-CN"/>
        </w:rPr>
        <w:t>合同规定的工期结束之日起算；除非因采购人变更，该期限不受工期延误的影响。采购人在收到成交供应商的竣工报告及完整的工程文件</w:t>
      </w:r>
      <w:r>
        <w:rPr>
          <w:rFonts w:hint="eastAsia" w:cs="宋体"/>
          <w:color w:val="auto"/>
          <w:szCs w:val="21"/>
          <w:highlight w:val="none"/>
          <w:lang w:val="en-US" w:eastAsia="zh-CN"/>
        </w:rPr>
        <w:t>7</w:t>
      </w:r>
      <w:r>
        <w:rPr>
          <w:rFonts w:hint="eastAsia" w:ascii="宋体" w:hAnsi="宋体" w:eastAsia="宋体" w:cs="宋体"/>
          <w:color w:val="auto"/>
          <w:szCs w:val="21"/>
          <w:highlight w:val="none"/>
          <w:lang w:eastAsia="zh-CN"/>
        </w:rPr>
        <w:t>日内，组织人员对</w:t>
      </w:r>
      <w:r>
        <w:rPr>
          <w:rFonts w:hint="eastAsia" w:cs="宋体"/>
          <w:color w:val="auto"/>
          <w:szCs w:val="21"/>
          <w:highlight w:val="none"/>
          <w:lang w:val="en-US" w:eastAsia="zh-CN"/>
        </w:rPr>
        <w:t>该项</w:t>
      </w:r>
      <w:r>
        <w:rPr>
          <w:rFonts w:hint="eastAsia" w:ascii="宋体" w:hAnsi="宋体" w:eastAsia="宋体" w:cs="宋体"/>
          <w:color w:val="auto"/>
          <w:szCs w:val="21"/>
          <w:highlight w:val="none"/>
          <w:lang w:eastAsia="zh-CN"/>
        </w:rPr>
        <w:t>工程进行验收。工程验收合格</w:t>
      </w:r>
      <w:r>
        <w:rPr>
          <w:rFonts w:hint="eastAsia" w:cs="宋体"/>
          <w:color w:val="auto"/>
          <w:szCs w:val="21"/>
          <w:highlight w:val="none"/>
          <w:lang w:val="en-US" w:eastAsia="zh-CN"/>
        </w:rPr>
        <w:t>且</w:t>
      </w:r>
      <w:r>
        <w:rPr>
          <w:rFonts w:hint="eastAsia" w:ascii="宋体" w:hAnsi="宋体" w:eastAsia="宋体" w:cs="宋体"/>
          <w:color w:val="auto"/>
          <w:szCs w:val="21"/>
          <w:highlight w:val="none"/>
          <w:lang w:eastAsia="zh-CN"/>
        </w:rPr>
        <w:t>所有资料移交采购人后，采购人在</w:t>
      </w:r>
      <w:r>
        <w:rPr>
          <w:rFonts w:hint="eastAsia" w:cs="宋体"/>
          <w:color w:val="auto"/>
          <w:szCs w:val="21"/>
          <w:highlight w:val="none"/>
          <w:lang w:val="en-US" w:eastAsia="zh-CN"/>
        </w:rPr>
        <w:t>相关</w:t>
      </w:r>
      <w:r>
        <w:rPr>
          <w:rFonts w:hint="eastAsia" w:ascii="宋体" w:hAnsi="宋体" w:eastAsia="宋体" w:cs="宋体"/>
          <w:color w:val="auto"/>
          <w:szCs w:val="21"/>
          <w:highlight w:val="none"/>
          <w:lang w:eastAsia="zh-CN"/>
        </w:rPr>
        <w:t>验收</w:t>
      </w:r>
      <w:r>
        <w:rPr>
          <w:rFonts w:hint="eastAsia" w:cs="宋体"/>
          <w:color w:val="auto"/>
          <w:szCs w:val="21"/>
          <w:highlight w:val="none"/>
          <w:lang w:val="en-US" w:eastAsia="zh-CN"/>
        </w:rPr>
        <w:t>单据</w:t>
      </w:r>
      <w:r>
        <w:rPr>
          <w:rFonts w:hint="eastAsia" w:ascii="宋体" w:hAnsi="宋体" w:eastAsia="宋体" w:cs="宋体"/>
          <w:color w:val="auto"/>
          <w:szCs w:val="21"/>
          <w:highlight w:val="none"/>
          <w:lang w:eastAsia="zh-CN"/>
        </w:rPr>
        <w:t>上签字视为确认验收。</w:t>
      </w:r>
    </w:p>
    <w:p w14:paraId="46F9D3D2">
      <w:pPr>
        <w:pStyle w:val="47"/>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60" w:lineRule="auto"/>
        <w:ind w:left="0" w:leftChars="0" w:right="0" w:rightChars="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Cs w:val="21"/>
          <w:highlight w:val="none"/>
          <w:lang w:eastAsia="zh-CN"/>
        </w:rPr>
        <w:t>（4）验收程序：①供应商提交履约完工申请及全套验收资料；②采购人核对资料完整性、合规性及与采购要求的一致性；③现场核查服务执行过程、服务质量、落地成效，必要时开展服务对象满意度调查；④按需开</w:t>
      </w:r>
      <w:r>
        <w:rPr>
          <w:rFonts w:hint="eastAsia" w:ascii="宋体" w:hAnsi="宋体" w:eastAsia="宋体" w:cs="宋体"/>
          <w:color w:val="auto"/>
          <w:sz w:val="21"/>
          <w:szCs w:val="21"/>
          <w:highlight w:val="none"/>
          <w:lang w:eastAsia="zh-CN"/>
        </w:rPr>
        <w:t>展服务功能、服务标准实测核验；⑤汇总验收意见，判定合格或限期整改；⑥验收无异议签署验收单据归档。</w:t>
      </w:r>
    </w:p>
    <w:p w14:paraId="12E84A3A">
      <w:pPr>
        <w:pStyle w:val="47"/>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60" w:lineRule="auto"/>
        <w:ind w:left="0" w:leftChars="0" w:right="0" w:rightChars="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（5）验收内容：采购人对供应商提供的全部</w:t>
      </w:r>
      <w:r>
        <w:rPr>
          <w:rFonts w:hint="eastAsia" w:cs="宋体"/>
          <w:color w:val="auto"/>
          <w:sz w:val="21"/>
          <w:szCs w:val="21"/>
          <w:highlight w:val="none"/>
          <w:lang w:val="en-US" w:eastAsia="zh-CN"/>
        </w:rPr>
        <w:t>工程</w:t>
      </w:r>
      <w:r>
        <w:rPr>
          <w:rFonts w:hint="eastAsia" w:ascii="宋体" w:hAnsi="宋体" w:eastAsia="宋体" w:cs="宋体"/>
          <w:color w:val="auto"/>
          <w:sz w:val="21"/>
          <w:szCs w:val="21"/>
          <w:highlight w:val="none"/>
          <w:lang w:eastAsia="zh-CN"/>
        </w:rPr>
        <w:t>进行全面验收</w:t>
      </w:r>
      <w:r>
        <w:rPr>
          <w:rFonts w:hint="eastAsia" w:cs="宋体"/>
          <w:color w:val="auto"/>
          <w:sz w:val="21"/>
          <w:szCs w:val="21"/>
          <w:highlight w:val="none"/>
          <w:lang w:eastAsia="zh-CN"/>
        </w:rPr>
        <w:t>。</w:t>
      </w:r>
      <w:r>
        <w:rPr>
          <w:rFonts w:hint="eastAsia" w:ascii="宋体" w:hAnsi="宋体" w:eastAsia="宋体" w:cs="宋体"/>
          <w:color w:val="auto"/>
          <w:sz w:val="21"/>
          <w:szCs w:val="21"/>
          <w:highlight w:val="none"/>
          <w:lang w:eastAsia="zh-CN"/>
        </w:rPr>
        <w:t>验收不合格，由成交供应商在</w:t>
      </w:r>
      <w:r>
        <w:rPr>
          <w:rFonts w:hint="eastAsia" w:cs="宋体"/>
          <w:color w:val="auto"/>
          <w:sz w:val="21"/>
          <w:szCs w:val="21"/>
          <w:highlight w:val="none"/>
          <w:lang w:val="en-US" w:eastAsia="zh-CN"/>
        </w:rPr>
        <w:t>5</w:t>
      </w:r>
      <w:r>
        <w:rPr>
          <w:rFonts w:hint="eastAsia" w:ascii="宋体" w:hAnsi="宋体" w:eastAsia="宋体" w:cs="宋体"/>
          <w:color w:val="auto"/>
          <w:sz w:val="21"/>
          <w:szCs w:val="21"/>
          <w:highlight w:val="none"/>
          <w:lang w:eastAsia="zh-CN"/>
        </w:rPr>
        <w:t>个工作日内返工整改直至合格，逾期未整改或整改后仍不合格视为严重违约。连续两次项目验收不合格的，采购人有权单方解除合同，由此</w:t>
      </w:r>
      <w:r>
        <w:rPr>
          <w:rFonts w:hint="eastAsia" w:cs="宋体"/>
          <w:color w:val="auto"/>
          <w:sz w:val="21"/>
          <w:szCs w:val="21"/>
          <w:highlight w:val="none"/>
          <w:lang w:val="en-US" w:eastAsia="zh-CN"/>
        </w:rPr>
        <w:t>造成</w:t>
      </w:r>
      <w:r>
        <w:rPr>
          <w:rFonts w:hint="eastAsia" w:ascii="宋体" w:hAnsi="宋体" w:eastAsia="宋体" w:cs="宋体"/>
          <w:color w:val="auto"/>
          <w:sz w:val="21"/>
          <w:szCs w:val="21"/>
          <w:highlight w:val="none"/>
          <w:lang w:eastAsia="zh-CN"/>
        </w:rPr>
        <w:t>的一切损失由成交供应商承担。</w:t>
      </w:r>
    </w:p>
    <w:p w14:paraId="1478A805">
      <w:pPr>
        <w:pStyle w:val="47"/>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60" w:lineRule="auto"/>
        <w:ind w:left="0" w:leftChars="0" w:right="0" w:rightChars="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（6）验收标准：按广东省、珠海市以及行业现行验收评审标准执行，符合采购文件要求、响应文件承诺及合同要求。</w:t>
      </w:r>
    </w:p>
    <w:p w14:paraId="485D9B48">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ascii="宋体" w:hAnsi="宋体" w:eastAsia="宋体" w:cs="宋体"/>
          <w:color w:val="auto"/>
          <w:sz w:val="21"/>
          <w:szCs w:val="21"/>
          <w:highlight w:val="none"/>
          <w:lang w:eastAsia="zh-CN"/>
        </w:rPr>
        <w:t>（7）整改与费用：首次验收不合格，供应商须按采购人要求限期免费整改、返工，补充完善服务内容；有关返工、重新验收</w:t>
      </w:r>
      <w:r>
        <w:rPr>
          <w:rFonts w:hint="eastAsia" w:cs="宋体"/>
          <w:color w:val="auto"/>
          <w:sz w:val="21"/>
          <w:szCs w:val="21"/>
          <w:highlight w:val="none"/>
          <w:lang w:val="en-US" w:eastAsia="zh-CN"/>
        </w:rPr>
        <w:t>所</w:t>
      </w:r>
      <w:r>
        <w:rPr>
          <w:rFonts w:hint="eastAsia" w:ascii="宋体" w:hAnsi="宋体" w:eastAsia="宋体" w:cs="宋体"/>
          <w:color w:val="auto"/>
          <w:sz w:val="21"/>
          <w:szCs w:val="21"/>
          <w:highlight w:val="none"/>
          <w:lang w:eastAsia="zh-CN"/>
        </w:rPr>
        <w:t>产生的所有费用（检测费、评估费、人工费</w:t>
      </w:r>
      <w:r>
        <w:rPr>
          <w:rFonts w:hint="eastAsia" w:cs="宋体"/>
          <w:color w:val="auto"/>
          <w:sz w:val="21"/>
          <w:szCs w:val="21"/>
          <w:highlight w:val="none"/>
          <w:lang w:eastAsia="zh-CN"/>
        </w:rPr>
        <w:t>、</w:t>
      </w:r>
      <w:r>
        <w:rPr>
          <w:rFonts w:hint="eastAsia" w:cs="宋体"/>
          <w:color w:val="auto"/>
          <w:sz w:val="21"/>
          <w:szCs w:val="21"/>
          <w:highlight w:val="none"/>
          <w:lang w:val="en-US" w:eastAsia="zh-CN"/>
        </w:rPr>
        <w:t>非过错方的损失</w:t>
      </w:r>
      <w:r>
        <w:rPr>
          <w:rFonts w:hint="eastAsia" w:ascii="宋体" w:hAnsi="宋体" w:eastAsia="宋体" w:cs="宋体"/>
          <w:color w:val="auto"/>
          <w:sz w:val="21"/>
          <w:szCs w:val="21"/>
          <w:highlight w:val="none"/>
          <w:lang w:eastAsia="zh-CN"/>
        </w:rPr>
        <w:t>等）均由过错方承担</w:t>
      </w:r>
      <w:r>
        <w:rPr>
          <w:rFonts w:hint="eastAsia" w:cs="宋体"/>
          <w:color w:val="auto"/>
          <w:sz w:val="21"/>
          <w:szCs w:val="21"/>
          <w:highlight w:val="none"/>
          <w:lang w:eastAsia="zh-CN"/>
        </w:rPr>
        <w:t>。</w:t>
      </w:r>
    </w:p>
    <w:p w14:paraId="7948EC4A">
      <w:pPr>
        <w:pStyle w:val="47"/>
        <w:keepNext w:val="0"/>
        <w:keepLines w:val="0"/>
        <w:pageBreakBefore w:val="0"/>
        <w:widowControl w:val="0"/>
        <w:numPr>
          <w:ilvl w:val="0"/>
          <w:numId w:val="5"/>
        </w:numPr>
        <w:kinsoku/>
        <w:wordWrap/>
        <w:overflowPunct/>
        <w:topLinePunct w:val="0"/>
        <w:bidi w:val="0"/>
        <w:spacing w:beforeLines="0" w:after="0" w:afterLines="0" w:line="360" w:lineRule="auto"/>
        <w:ind w:left="0" w:leftChars="0" w:firstLine="420"/>
        <w:jc w:val="left"/>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质量要求：</w:t>
      </w:r>
    </w:p>
    <w:p w14:paraId="09BA8C07">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（1）工程质量必须达到合格（按照国家、广东省、工程所在地有管辖权的政府主管部门现行验收评审标准执行）。</w:t>
      </w:r>
    </w:p>
    <w:p w14:paraId="36EF1E29">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w:t>
      </w:r>
      <w:r>
        <w:rPr>
          <w:rFonts w:hint="eastAsia" w:ascii="宋体" w:hAnsi="宋体" w:eastAsia="宋体" w:cs="Times New Roman"/>
          <w:color w:val="auto"/>
          <w:szCs w:val="21"/>
          <w:highlight w:val="none"/>
          <w:lang w:val="en-US" w:eastAsia="zh-CN"/>
        </w:rPr>
        <w:t>2</w:t>
      </w:r>
      <w:r>
        <w:rPr>
          <w:rFonts w:hint="eastAsia" w:ascii="宋体" w:hAnsi="宋体" w:eastAsia="宋体" w:cs="Times New Roman"/>
          <w:color w:val="auto"/>
          <w:szCs w:val="21"/>
          <w:highlight w:val="none"/>
        </w:rPr>
        <w:t>）</w:t>
      </w:r>
      <w:r>
        <w:rPr>
          <w:rFonts w:hint="eastAsia" w:ascii="宋体" w:hAnsi="宋体" w:eastAsia="宋体" w:cs="Times New Roman"/>
          <w:color w:val="auto"/>
          <w:szCs w:val="21"/>
          <w:highlight w:val="none"/>
          <w:lang w:eastAsia="zh-CN"/>
        </w:rPr>
        <w:t>成交供应商</w:t>
      </w:r>
      <w:r>
        <w:rPr>
          <w:rFonts w:hint="eastAsia" w:ascii="宋体" w:hAnsi="宋体" w:eastAsia="宋体" w:cs="Times New Roman"/>
          <w:color w:val="auto"/>
          <w:szCs w:val="21"/>
          <w:highlight w:val="none"/>
        </w:rPr>
        <w:t>完工且自检合格后，应及时向</w:t>
      </w:r>
      <w:r>
        <w:rPr>
          <w:rFonts w:hint="eastAsia" w:ascii="宋体" w:hAnsi="宋体" w:eastAsia="宋体" w:cs="Times New Roman"/>
          <w:color w:val="auto"/>
          <w:szCs w:val="21"/>
          <w:highlight w:val="none"/>
          <w:lang w:eastAsia="zh-CN"/>
        </w:rPr>
        <w:t>采购人</w:t>
      </w:r>
      <w:r>
        <w:rPr>
          <w:rFonts w:hint="eastAsia" w:ascii="宋体" w:hAnsi="宋体" w:eastAsia="宋体" w:cs="Times New Roman"/>
          <w:color w:val="auto"/>
          <w:szCs w:val="21"/>
          <w:highlight w:val="none"/>
        </w:rPr>
        <w:t>递交竣工验收申请文件及完整竣工资料，由</w:t>
      </w:r>
      <w:r>
        <w:rPr>
          <w:rFonts w:hint="eastAsia" w:ascii="宋体" w:hAnsi="宋体" w:eastAsia="宋体" w:cs="Times New Roman"/>
          <w:color w:val="auto"/>
          <w:szCs w:val="21"/>
          <w:highlight w:val="none"/>
          <w:lang w:eastAsia="zh-CN"/>
        </w:rPr>
        <w:t>采购人</w:t>
      </w:r>
      <w:r>
        <w:rPr>
          <w:rFonts w:hint="eastAsia" w:ascii="宋体" w:hAnsi="宋体" w:eastAsia="宋体" w:cs="Times New Roman"/>
          <w:color w:val="auto"/>
          <w:szCs w:val="21"/>
          <w:highlight w:val="none"/>
        </w:rPr>
        <w:t>组织有关单位对工程质量进行评定，并在竣工验收文件进行签字盖章。</w:t>
      </w:r>
    </w:p>
    <w:p w14:paraId="7F2C9637">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rPr>
        <w:t>（</w:t>
      </w:r>
      <w:r>
        <w:rPr>
          <w:rFonts w:hint="eastAsia" w:ascii="宋体" w:hAnsi="宋体" w:eastAsia="宋体" w:cs="Times New Roman"/>
          <w:color w:val="auto"/>
          <w:szCs w:val="21"/>
          <w:highlight w:val="none"/>
          <w:lang w:val="en-US" w:eastAsia="zh-CN"/>
        </w:rPr>
        <w:t>3</w:t>
      </w:r>
      <w:r>
        <w:rPr>
          <w:rFonts w:hint="eastAsia" w:ascii="宋体" w:hAnsi="宋体" w:eastAsia="宋体" w:cs="Times New Roman"/>
          <w:color w:val="auto"/>
          <w:szCs w:val="21"/>
          <w:highlight w:val="none"/>
        </w:rPr>
        <w:t>）</w:t>
      </w:r>
      <w:r>
        <w:rPr>
          <w:rFonts w:hint="eastAsia" w:ascii="宋体" w:hAnsi="宋体" w:eastAsia="宋体" w:cs="Times New Roman"/>
          <w:color w:val="auto"/>
          <w:szCs w:val="21"/>
          <w:highlight w:val="none"/>
          <w:lang w:eastAsia="zh-CN"/>
        </w:rPr>
        <w:t>成交供应商</w:t>
      </w:r>
      <w:r>
        <w:rPr>
          <w:rFonts w:hint="eastAsia" w:ascii="宋体" w:hAnsi="宋体" w:eastAsia="宋体" w:cs="Times New Roman"/>
          <w:color w:val="auto"/>
          <w:szCs w:val="21"/>
          <w:highlight w:val="none"/>
        </w:rPr>
        <w:t>必须在工程通过竣工验收后或合同提前解除之日起7个日历天内拆除临时设施，撤离现场，向</w:t>
      </w:r>
      <w:r>
        <w:rPr>
          <w:rFonts w:hint="eastAsia" w:ascii="宋体" w:hAnsi="宋体" w:eastAsia="宋体" w:cs="Times New Roman"/>
          <w:color w:val="auto"/>
          <w:szCs w:val="21"/>
          <w:highlight w:val="none"/>
          <w:lang w:eastAsia="zh-CN"/>
        </w:rPr>
        <w:t>采购人</w:t>
      </w:r>
      <w:r>
        <w:rPr>
          <w:rFonts w:hint="eastAsia" w:ascii="宋体" w:hAnsi="宋体" w:eastAsia="宋体" w:cs="Times New Roman"/>
          <w:color w:val="auto"/>
          <w:szCs w:val="21"/>
          <w:highlight w:val="none"/>
        </w:rPr>
        <w:t>移交工程。</w:t>
      </w:r>
      <w:r>
        <w:rPr>
          <w:rFonts w:hint="eastAsia" w:ascii="宋体" w:hAnsi="宋体" w:eastAsia="宋体" w:cs="Times New Roman"/>
          <w:color w:val="auto"/>
          <w:szCs w:val="21"/>
          <w:highlight w:val="none"/>
          <w:lang w:eastAsia="zh-CN"/>
        </w:rPr>
        <w:t>成交供应商</w:t>
      </w:r>
      <w:r>
        <w:rPr>
          <w:rFonts w:hint="eastAsia" w:ascii="宋体" w:hAnsi="宋体" w:eastAsia="宋体" w:cs="Times New Roman"/>
          <w:color w:val="auto"/>
          <w:szCs w:val="21"/>
          <w:highlight w:val="none"/>
        </w:rPr>
        <w:t xml:space="preserve">逾期移交，每逾期一日，按照每日 </w:t>
      </w:r>
      <w:r>
        <w:rPr>
          <w:rFonts w:hint="eastAsia" w:cs="Times New Roman"/>
          <w:color w:val="auto"/>
          <w:szCs w:val="21"/>
          <w:highlight w:val="none"/>
          <w:lang w:val="en-US" w:eastAsia="zh-CN"/>
        </w:rPr>
        <w:t>5</w:t>
      </w:r>
      <w:r>
        <w:rPr>
          <w:rFonts w:hint="eastAsia" w:ascii="宋体" w:hAnsi="宋体" w:eastAsia="宋体" w:cs="Times New Roman"/>
          <w:color w:val="auto"/>
          <w:szCs w:val="21"/>
          <w:highlight w:val="none"/>
        </w:rPr>
        <w:t>00.00 元计算违约金支付给</w:t>
      </w:r>
      <w:r>
        <w:rPr>
          <w:rFonts w:hint="eastAsia" w:ascii="宋体" w:hAnsi="宋体" w:eastAsia="宋体" w:cs="Times New Roman"/>
          <w:color w:val="auto"/>
          <w:szCs w:val="21"/>
          <w:highlight w:val="none"/>
          <w:lang w:eastAsia="zh-CN"/>
        </w:rPr>
        <w:t>采购人</w:t>
      </w:r>
      <w:r>
        <w:rPr>
          <w:rFonts w:hint="eastAsia" w:ascii="宋体" w:hAnsi="宋体" w:eastAsia="宋体" w:cs="Times New Roman"/>
          <w:color w:val="auto"/>
          <w:szCs w:val="21"/>
          <w:highlight w:val="none"/>
        </w:rPr>
        <w:t>。</w:t>
      </w:r>
    </w:p>
    <w:p w14:paraId="5D94C6BD">
      <w:pPr>
        <w:pStyle w:val="47"/>
        <w:keepNext w:val="0"/>
        <w:keepLines w:val="0"/>
        <w:pageBreakBefore w:val="0"/>
        <w:widowControl w:val="0"/>
        <w:numPr>
          <w:ilvl w:val="0"/>
          <w:numId w:val="5"/>
        </w:numPr>
        <w:kinsoku/>
        <w:wordWrap/>
        <w:overflowPunct/>
        <w:topLinePunct w:val="0"/>
        <w:bidi w:val="0"/>
        <w:spacing w:beforeLines="0" w:after="0" w:afterLines="0" w:line="360" w:lineRule="auto"/>
        <w:ind w:left="0" w:leftChars="0" w:firstLine="420"/>
        <w:jc w:val="left"/>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不可抗力：</w:t>
      </w:r>
    </w:p>
    <w:p w14:paraId="6C494C9B">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ascii="宋体" w:hAnsi="宋体" w:eastAsia="宋体" w:cs="Times New Roman"/>
          <w:color w:val="auto"/>
          <w:szCs w:val="21"/>
          <w:highlight w:val="none"/>
          <w:lang w:eastAsia="zh-CN"/>
        </w:rPr>
      </w:pPr>
      <w:r>
        <w:rPr>
          <w:rFonts w:hint="eastAsia" w:ascii="宋体" w:hAnsi="宋体" w:eastAsia="宋体" w:cs="Times New Roman"/>
          <w:color w:val="auto"/>
          <w:szCs w:val="21"/>
          <w:highlight w:val="none"/>
          <w:lang w:eastAsia="zh-CN"/>
        </w:rPr>
        <w:t>（1）不可抗力指在本合同期限内发生的不可预见(或可预见，但其发生或后果 不可避免)、非任何一方所能控制且使任何一方无法完全履行本合同的国家政策、法律、法规的限制、地震、台风、火灾、水灾、战争、罢工、暴动、黑客攻击或任何其它社会、政治动荡造成的灾难。</w:t>
      </w:r>
    </w:p>
    <w:p w14:paraId="47E224E7">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ascii="宋体" w:hAnsi="宋体" w:eastAsia="宋体" w:cs="Times New Roman"/>
          <w:color w:val="auto"/>
          <w:szCs w:val="21"/>
          <w:highlight w:val="none"/>
        </w:rPr>
      </w:pPr>
      <w:r>
        <w:rPr>
          <w:rFonts w:hint="eastAsia" w:ascii="宋体" w:hAnsi="宋体" w:eastAsia="宋体" w:cs="Times New Roman"/>
          <w:color w:val="auto"/>
          <w:szCs w:val="21"/>
          <w:highlight w:val="none"/>
          <w:lang w:eastAsia="zh-CN"/>
        </w:rPr>
        <w:t>（2）任何一方由于不可抗力的原因而不能履行合同时，应在不可抗力发生后3 天内书面向对方通报不能履行或不能完全履行合同的理由，在取得不可抗力发生的市级以上政府相关部门证明以后，双方经友好协商之后，允许延期履行、部分履行或者不履行合同，并根据情况可免于承担部分或全部违约责任。</w:t>
      </w:r>
    </w:p>
    <w:p w14:paraId="1EF60E05">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ascii="宋体" w:hAnsi="宋体" w:eastAsia="宋体" w:cs="Times New Roman"/>
          <w:color w:val="auto"/>
          <w:szCs w:val="21"/>
          <w:highlight w:val="none"/>
        </w:rPr>
      </w:pPr>
    </w:p>
    <w:p w14:paraId="45306C61">
      <w:pPr>
        <w:keepNext w:val="0"/>
        <w:keepLines w:val="0"/>
        <w:pageBreakBefore w:val="0"/>
        <w:widowControl w:val="0"/>
        <w:kinsoku/>
        <w:wordWrap/>
        <w:overflowPunct/>
        <w:topLinePunct w:val="0"/>
        <w:bidi w:val="0"/>
        <w:spacing w:beforeLines="0" w:afterLines="0" w:line="360" w:lineRule="auto"/>
        <w:ind w:left="0" w:leftChars="0" w:right="0" w:rightChars="0"/>
        <w:outlineLvl w:val="1"/>
        <w:rPr>
          <w:rFonts w:hint="eastAsia"/>
          <w:color w:val="auto"/>
          <w:highlight w:val="none"/>
        </w:rPr>
      </w:pPr>
      <w:bookmarkStart w:id="54" w:name="_Toc6918"/>
      <w:bookmarkStart w:id="55" w:name="_Toc5419"/>
      <w:bookmarkStart w:id="56" w:name="_Toc28690"/>
      <w:bookmarkStart w:id="57" w:name="_Toc17322"/>
      <w:bookmarkStart w:id="58" w:name="_Toc30605"/>
      <w:r>
        <w:rPr>
          <w:rFonts w:hint="eastAsia" w:ascii="宋体" w:hAnsi="宋体" w:eastAsia="宋体" w:cs="宋体"/>
          <w:b/>
          <w:bCs/>
          <w:color w:val="auto"/>
          <w:highlight w:val="none"/>
        </w:rPr>
        <w:t>三、</w:t>
      </w:r>
      <w:bookmarkEnd w:id="54"/>
      <w:bookmarkEnd w:id="55"/>
      <w:bookmarkEnd w:id="56"/>
      <w:bookmarkEnd w:id="57"/>
      <w:r>
        <w:rPr>
          <w:rFonts w:hint="eastAsia" w:ascii="宋体" w:hAnsi="宋体" w:eastAsia="宋体" w:cs="宋体"/>
          <w:b/>
          <w:bCs/>
          <w:color w:val="auto"/>
          <w:highlight w:val="none"/>
        </w:rPr>
        <w:t>技术标准与要求</w:t>
      </w:r>
      <w:bookmarkEnd w:id="58"/>
    </w:p>
    <w:tbl>
      <w:tblPr>
        <w:tblStyle w:val="49"/>
        <w:tblW w:w="498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0"/>
        <w:gridCol w:w="1327"/>
        <w:gridCol w:w="7811"/>
      </w:tblGrid>
      <w:tr w14:paraId="0D4C8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1" w:type="pct"/>
            <w:vAlign w:val="center"/>
          </w:tcPr>
          <w:p w14:paraId="6ACDD6B1">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编号</w:t>
            </w:r>
          </w:p>
        </w:tc>
        <w:tc>
          <w:tcPr>
            <w:tcW w:w="675" w:type="pct"/>
            <w:vAlign w:val="center"/>
          </w:tcPr>
          <w:p w14:paraId="5C07D351">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内容明细</w:t>
            </w:r>
          </w:p>
        </w:tc>
        <w:tc>
          <w:tcPr>
            <w:tcW w:w="3972" w:type="pct"/>
            <w:vAlign w:val="center"/>
          </w:tcPr>
          <w:p w14:paraId="6E4B80B9">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内容说明</w:t>
            </w:r>
          </w:p>
        </w:tc>
      </w:tr>
      <w:tr w14:paraId="2C831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351" w:type="pct"/>
            <w:vAlign w:val="center"/>
          </w:tcPr>
          <w:p w14:paraId="61ED7E3C">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1</w:t>
            </w:r>
          </w:p>
        </w:tc>
        <w:tc>
          <w:tcPr>
            <w:tcW w:w="675" w:type="pct"/>
            <w:vAlign w:val="center"/>
          </w:tcPr>
          <w:p w14:paraId="3C643D77">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工程质保期</w:t>
            </w:r>
          </w:p>
        </w:tc>
        <w:tc>
          <w:tcPr>
            <w:tcW w:w="3972" w:type="pct"/>
            <w:vAlign w:val="center"/>
          </w:tcPr>
          <w:p w14:paraId="1A19415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一</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工程质保期</w:t>
            </w:r>
            <w:r>
              <w:rPr>
                <w:rFonts w:hint="eastAsia" w:ascii="宋体" w:hAnsi="宋体" w:eastAsia="宋体" w:cs="宋体"/>
                <w:color w:val="auto"/>
                <w:highlight w:val="none"/>
                <w:lang w:eastAsia="zh-CN"/>
              </w:rPr>
              <w:t>：</w:t>
            </w:r>
          </w:p>
          <w:p w14:paraId="02F92C13">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rPr>
              <w:t>自工程通过竣工验收之日起计算，按照《建设工程质量管理条例》的规定执行：</w:t>
            </w:r>
          </w:p>
          <w:p w14:paraId="64122634">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地基基础工程和主体结构工程，为设计文件规定的该工程的合理使用年限；</w:t>
            </w:r>
          </w:p>
          <w:p w14:paraId="487D5C8F">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屋面防水工程、有防水要求的卫生间、房间和外墙面的防渗漏，为 5 年；</w:t>
            </w:r>
          </w:p>
          <w:p w14:paraId="2230FC0D">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供热与供冷系统，为 2 个采暖期、供冷期；</w:t>
            </w:r>
          </w:p>
          <w:p w14:paraId="2F2C9368">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电气管线、给排水管道、设备安装和装修工程，为 2 年；</w:t>
            </w:r>
          </w:p>
          <w:p w14:paraId="0A777E3F">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lang w:eastAsia="zh-CN"/>
              </w:rPr>
              <w:t>）《建设工程质量管理条例》规定以外的内容质保期为</w:t>
            </w:r>
            <w:r>
              <w:rPr>
                <w:rFonts w:hint="eastAsia" w:ascii="宋体" w:hAnsi="宋体" w:eastAsia="宋体" w:cs="宋体"/>
                <w:color w:val="auto"/>
                <w:highlight w:val="none"/>
                <w:lang w:val="en-US" w:eastAsia="zh-CN"/>
              </w:rPr>
              <w:t>2年</w:t>
            </w:r>
            <w:r>
              <w:rPr>
                <w:rFonts w:hint="eastAsia" w:ascii="宋体" w:hAnsi="宋体" w:eastAsia="宋体" w:cs="宋体"/>
                <w:color w:val="auto"/>
                <w:highlight w:val="none"/>
              </w:rPr>
              <w:t>。</w:t>
            </w:r>
          </w:p>
          <w:p w14:paraId="226D7982">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2、质量质保责任：</w:t>
            </w:r>
          </w:p>
          <w:p w14:paraId="0EE0B117">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（1）属于质保范围的项目，成交供应商应在接到采购人通知后的</w:t>
            </w:r>
            <w:r>
              <w:rPr>
                <w:rFonts w:hint="eastAsia" w:cs="宋体"/>
                <w:color w:val="auto"/>
                <w:highlight w:val="none"/>
                <w:lang w:val="en-US" w:eastAsia="zh-CN"/>
              </w:rPr>
              <w:t>2个工作日</w:t>
            </w:r>
            <w:r>
              <w:rPr>
                <w:rFonts w:hint="eastAsia" w:ascii="宋体" w:hAnsi="宋体" w:eastAsia="宋体" w:cs="宋体"/>
                <w:color w:val="auto"/>
                <w:highlight w:val="none"/>
              </w:rPr>
              <w:t>内派人质保。成交供应商未能在规定时间内派人质保的，采购人可自行或委托第三方质保，费用由成交供应商支付。</w:t>
            </w:r>
          </w:p>
          <w:p w14:paraId="737220A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（2）发生紧急抢修事故的，成交供应商在接到通知后，应立即赶赴现场进行抢修。</w:t>
            </w:r>
          </w:p>
          <w:p w14:paraId="3EF7D037">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（3）供应商需要认真核查内容，如果在缺陷责任期出现质量导致破裂的由成交供应商负责。</w:t>
            </w:r>
          </w:p>
          <w:p w14:paraId="550688B3">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cs="宋体"/>
                <w:color w:val="auto"/>
                <w:highlight w:val="none"/>
                <w:lang w:eastAsia="zh-CN"/>
              </w:rPr>
            </w:pPr>
            <w:r>
              <w:rPr>
                <w:rFonts w:hint="eastAsia" w:cs="宋体"/>
                <w:color w:val="auto"/>
                <w:highlight w:val="none"/>
                <w:lang w:val="en-US" w:eastAsia="zh-CN"/>
              </w:rPr>
              <w:t>（二）</w:t>
            </w:r>
            <w:r>
              <w:rPr>
                <w:rFonts w:hint="eastAsia" w:ascii="宋体" w:hAnsi="宋体" w:eastAsia="宋体" w:cs="宋体"/>
                <w:color w:val="auto"/>
                <w:highlight w:val="none"/>
              </w:rPr>
              <w:t>保险要求</w:t>
            </w:r>
            <w:r>
              <w:rPr>
                <w:rFonts w:hint="eastAsia" w:cs="宋体"/>
                <w:color w:val="auto"/>
                <w:highlight w:val="none"/>
                <w:lang w:eastAsia="zh-CN"/>
              </w:rPr>
              <w:t>：</w:t>
            </w:r>
          </w:p>
          <w:p w14:paraId="0295A675">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cs="宋体"/>
                <w:color w:val="auto"/>
                <w:highlight w:val="none"/>
                <w:lang w:eastAsia="zh-CN"/>
              </w:rPr>
              <w:t>成交供应商</w:t>
            </w:r>
            <w:r>
              <w:rPr>
                <w:rFonts w:hint="eastAsia" w:cs="宋体"/>
                <w:color w:val="auto"/>
                <w:highlight w:val="none"/>
                <w:lang w:val="en-US" w:eastAsia="zh-CN"/>
              </w:rPr>
              <w:t>应</w:t>
            </w:r>
            <w:r>
              <w:rPr>
                <w:rFonts w:hint="eastAsia" w:ascii="宋体" w:hAnsi="宋体" w:eastAsia="宋体" w:cs="宋体"/>
                <w:color w:val="auto"/>
                <w:highlight w:val="none"/>
              </w:rPr>
              <w:t>自行于开工前为工程购买有效工程一切险、第三方责任险等必要保险，上述各保险必须于交工验收前仍然生效，费用含在合同价中。当发生不可抗力的破坏或意外事故时，由</w:t>
            </w:r>
            <w:r>
              <w:rPr>
                <w:rFonts w:hint="eastAsia" w:cs="宋体"/>
                <w:color w:val="auto"/>
                <w:highlight w:val="none"/>
                <w:lang w:eastAsia="zh-CN"/>
              </w:rPr>
              <w:t>成交供应商</w:t>
            </w:r>
            <w:r>
              <w:rPr>
                <w:rFonts w:hint="eastAsia" w:ascii="宋体" w:hAnsi="宋体" w:eastAsia="宋体" w:cs="宋体"/>
                <w:color w:val="auto"/>
                <w:highlight w:val="none"/>
              </w:rPr>
              <w:t>负责修复及向保险公司办理索赔事宜，</w:t>
            </w:r>
            <w:r>
              <w:rPr>
                <w:rFonts w:hint="eastAsia" w:cs="宋体"/>
                <w:color w:val="auto"/>
                <w:highlight w:val="none"/>
                <w:lang w:eastAsia="zh-CN"/>
              </w:rPr>
              <w:t>采购人</w:t>
            </w:r>
            <w:r>
              <w:rPr>
                <w:rFonts w:hint="eastAsia" w:ascii="宋体" w:hAnsi="宋体" w:eastAsia="宋体" w:cs="宋体"/>
                <w:color w:val="auto"/>
                <w:highlight w:val="none"/>
              </w:rPr>
              <w:t>不再承担索赔责任，但因不可抗力导致的延误可以顺延工期。如果</w:t>
            </w:r>
            <w:r>
              <w:rPr>
                <w:rFonts w:hint="eastAsia" w:cs="宋体"/>
                <w:color w:val="auto"/>
                <w:highlight w:val="none"/>
                <w:lang w:eastAsia="zh-CN"/>
              </w:rPr>
              <w:t>成交供应商</w:t>
            </w:r>
            <w:r>
              <w:rPr>
                <w:rFonts w:hint="eastAsia" w:ascii="宋体" w:hAnsi="宋体" w:eastAsia="宋体" w:cs="宋体"/>
                <w:color w:val="auto"/>
                <w:highlight w:val="none"/>
              </w:rPr>
              <w:t>未购买保险，</w:t>
            </w:r>
            <w:r>
              <w:rPr>
                <w:rFonts w:hint="eastAsia" w:cs="宋体"/>
                <w:color w:val="auto"/>
                <w:highlight w:val="none"/>
                <w:lang w:eastAsia="zh-CN"/>
              </w:rPr>
              <w:t>成交供应商</w:t>
            </w:r>
            <w:r>
              <w:rPr>
                <w:rFonts w:hint="eastAsia" w:ascii="宋体" w:hAnsi="宋体" w:eastAsia="宋体" w:cs="宋体"/>
                <w:color w:val="auto"/>
                <w:highlight w:val="none"/>
              </w:rPr>
              <w:t>承担和赔偿由此造成的直接、间接损失。</w:t>
            </w:r>
          </w:p>
          <w:p w14:paraId="4C6685EA">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lang w:eastAsia="zh-CN"/>
              </w:rPr>
            </w:pPr>
            <w:r>
              <w:rPr>
                <w:rFonts w:hint="eastAsia" w:cs="宋体"/>
                <w:color w:val="auto"/>
                <w:highlight w:val="none"/>
                <w:lang w:val="en-US" w:eastAsia="zh-CN"/>
              </w:rPr>
              <w:t>（三）</w:t>
            </w:r>
            <w:r>
              <w:rPr>
                <w:rFonts w:hint="eastAsia" w:ascii="宋体" w:hAnsi="宋体" w:eastAsia="宋体" w:cs="宋体"/>
                <w:color w:val="auto"/>
                <w:highlight w:val="none"/>
              </w:rPr>
              <w:t>安装调试</w:t>
            </w:r>
            <w:r>
              <w:rPr>
                <w:rFonts w:hint="eastAsia" w:cs="宋体"/>
                <w:color w:val="auto"/>
                <w:highlight w:val="none"/>
                <w:lang w:eastAsia="zh-CN"/>
              </w:rPr>
              <w:t>：</w:t>
            </w:r>
          </w:p>
          <w:p w14:paraId="1339E5AF">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cs="宋体"/>
                <w:color w:val="auto"/>
                <w:highlight w:val="none"/>
                <w:lang w:eastAsia="zh-CN"/>
              </w:rPr>
              <w:t>成交供应商</w:t>
            </w:r>
            <w:r>
              <w:rPr>
                <w:rFonts w:hint="eastAsia" w:ascii="宋体" w:hAnsi="宋体" w:eastAsia="宋体" w:cs="宋体"/>
                <w:color w:val="auto"/>
                <w:highlight w:val="none"/>
              </w:rPr>
              <w:t>提供的相关设备</w:t>
            </w:r>
            <w:r>
              <w:rPr>
                <w:rFonts w:hint="eastAsia" w:cs="宋体"/>
                <w:color w:val="auto"/>
                <w:highlight w:val="none"/>
                <w:lang w:eastAsia="zh-CN"/>
              </w:rPr>
              <w:t>（</w:t>
            </w:r>
            <w:r>
              <w:rPr>
                <w:rFonts w:hint="eastAsia" w:cs="宋体"/>
                <w:color w:val="auto"/>
                <w:highlight w:val="none"/>
                <w:lang w:val="en-US" w:eastAsia="zh-CN"/>
              </w:rPr>
              <w:t>如有</w:t>
            </w:r>
            <w:r>
              <w:rPr>
                <w:rFonts w:hint="eastAsia" w:cs="宋体"/>
                <w:color w:val="auto"/>
                <w:highlight w:val="none"/>
                <w:lang w:eastAsia="zh-CN"/>
              </w:rPr>
              <w:t>），</w:t>
            </w:r>
            <w:r>
              <w:rPr>
                <w:rFonts w:hint="eastAsia" w:ascii="宋体" w:hAnsi="宋体" w:eastAsia="宋体" w:cs="宋体"/>
                <w:color w:val="auto"/>
                <w:highlight w:val="none"/>
              </w:rPr>
              <w:t>必须全部安装调试合格并能正常运行。</w:t>
            </w:r>
          </w:p>
          <w:p w14:paraId="0AC89EF1">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cs="宋体"/>
                <w:color w:val="auto"/>
                <w:highlight w:val="none"/>
                <w:lang w:eastAsia="zh-CN"/>
              </w:rPr>
            </w:pPr>
            <w:r>
              <w:rPr>
                <w:rFonts w:hint="eastAsia" w:ascii="宋体" w:hAnsi="宋体" w:eastAsia="宋体" w:cs="宋体"/>
                <w:color w:val="auto"/>
                <w:highlight w:val="none"/>
              </w:rPr>
              <w:t>（</w:t>
            </w:r>
            <w:r>
              <w:rPr>
                <w:rFonts w:hint="eastAsia" w:cs="宋体"/>
                <w:color w:val="auto"/>
                <w:highlight w:val="none"/>
                <w:lang w:val="en-US" w:eastAsia="zh-CN"/>
              </w:rPr>
              <w:t>四</w:t>
            </w:r>
            <w:r>
              <w:rPr>
                <w:rFonts w:hint="eastAsia" w:ascii="宋体" w:hAnsi="宋体" w:eastAsia="宋体" w:cs="宋体"/>
                <w:color w:val="auto"/>
                <w:highlight w:val="none"/>
              </w:rPr>
              <w:t>）质量保证金</w:t>
            </w:r>
            <w:r>
              <w:rPr>
                <w:rFonts w:hint="eastAsia" w:cs="宋体"/>
                <w:color w:val="auto"/>
                <w:highlight w:val="none"/>
                <w:lang w:eastAsia="zh-CN"/>
              </w:rPr>
              <w:t>：</w:t>
            </w:r>
          </w:p>
          <w:p w14:paraId="49505995">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lang w:val="en-US" w:eastAsia="zh-CN"/>
              </w:rPr>
            </w:pPr>
            <w:r>
              <w:rPr>
                <w:rFonts w:hint="eastAsia" w:cs="宋体"/>
                <w:color w:val="auto"/>
                <w:highlight w:val="none"/>
                <w:lang w:val="en-US" w:eastAsia="zh-CN"/>
              </w:rPr>
              <w:t>本项目按照单项施工任务合同收取质量保证金。</w:t>
            </w:r>
            <w:r>
              <w:rPr>
                <w:rFonts w:hint="eastAsia" w:ascii="宋体" w:hAnsi="宋体" w:eastAsia="宋体" w:cs="宋体"/>
                <w:color w:val="auto"/>
                <w:highlight w:val="none"/>
                <w:lang w:val="en-US" w:eastAsia="zh-CN"/>
              </w:rPr>
              <w:t>单项施工任务的质量保证金金额为最终结算价款的（ 3 ）%。</w:t>
            </w:r>
            <w:r>
              <w:rPr>
                <w:rFonts w:hint="eastAsia" w:cs="宋体"/>
                <w:color w:val="auto"/>
                <w:highlight w:val="none"/>
                <w:lang w:val="en-US" w:eastAsia="zh-CN"/>
              </w:rPr>
              <w:t>供应商</w:t>
            </w:r>
            <w:r>
              <w:rPr>
                <w:rFonts w:hint="eastAsia" w:ascii="宋体" w:hAnsi="宋体" w:eastAsia="宋体" w:cs="宋体"/>
                <w:color w:val="auto"/>
                <w:highlight w:val="none"/>
                <w:lang w:val="en-US" w:eastAsia="zh-CN"/>
              </w:rPr>
              <w:t>应于竣工验收合格且结算审核完毕后10个日历日内，以非现金形式向</w:t>
            </w:r>
            <w:r>
              <w:rPr>
                <w:rFonts w:hint="eastAsia" w:cs="宋体"/>
                <w:color w:val="auto"/>
                <w:highlight w:val="none"/>
                <w:lang w:val="en-US" w:eastAsia="zh-CN"/>
              </w:rPr>
              <w:t>采购人</w:t>
            </w:r>
            <w:r>
              <w:rPr>
                <w:rFonts w:hint="eastAsia" w:ascii="宋体" w:hAnsi="宋体" w:eastAsia="宋体" w:cs="宋体"/>
                <w:color w:val="auto"/>
                <w:highlight w:val="none"/>
                <w:lang w:val="en-US" w:eastAsia="zh-CN"/>
              </w:rPr>
              <w:t>提交。若采用保函形式，则保函有效期应覆盖整个质保期及</w:t>
            </w:r>
            <w:r>
              <w:rPr>
                <w:rFonts w:hint="eastAsia" w:cs="宋体"/>
                <w:color w:val="auto"/>
                <w:highlight w:val="none"/>
                <w:lang w:val="en-US" w:eastAsia="zh-CN"/>
              </w:rPr>
              <w:t>采购人</w:t>
            </w:r>
            <w:r>
              <w:rPr>
                <w:rFonts w:hint="eastAsia" w:ascii="宋体" w:hAnsi="宋体" w:eastAsia="宋体" w:cs="宋体"/>
                <w:color w:val="auto"/>
                <w:highlight w:val="none"/>
                <w:lang w:val="en-US" w:eastAsia="zh-CN"/>
              </w:rPr>
              <w:t>收到退还申请后的合理处理期限。</w:t>
            </w:r>
          </w:p>
          <w:p w14:paraId="15CD37F9">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单项施工任务质保期届满且无质量问题后，</w:t>
            </w:r>
            <w:r>
              <w:rPr>
                <w:rFonts w:hint="eastAsia" w:cs="宋体"/>
                <w:color w:val="auto"/>
                <w:highlight w:val="none"/>
                <w:lang w:val="en-US" w:eastAsia="zh-CN"/>
              </w:rPr>
              <w:t>采购人</w:t>
            </w:r>
            <w:r>
              <w:rPr>
                <w:rFonts w:hint="eastAsia" w:ascii="宋体" w:hAnsi="宋体" w:eastAsia="宋体" w:cs="宋体"/>
                <w:color w:val="auto"/>
                <w:highlight w:val="none"/>
                <w:lang w:val="en-US" w:eastAsia="zh-CN"/>
              </w:rPr>
              <w:t>在10个工作日内将质量保证金无息退还给</w:t>
            </w:r>
            <w:r>
              <w:rPr>
                <w:rFonts w:hint="eastAsia" w:cs="宋体"/>
                <w:color w:val="auto"/>
                <w:highlight w:val="none"/>
                <w:lang w:val="en-US" w:eastAsia="zh-CN"/>
              </w:rPr>
              <w:t>供应商</w:t>
            </w:r>
            <w:r>
              <w:rPr>
                <w:rFonts w:hint="eastAsia" w:ascii="宋体" w:hAnsi="宋体" w:eastAsia="宋体" w:cs="宋体"/>
                <w:color w:val="auto"/>
                <w:highlight w:val="none"/>
                <w:lang w:val="en-US" w:eastAsia="zh-CN"/>
              </w:rPr>
              <w:t>。</w:t>
            </w:r>
          </w:p>
        </w:tc>
      </w:tr>
      <w:tr w14:paraId="581D1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1" w:type="pct"/>
            <w:vAlign w:val="center"/>
          </w:tcPr>
          <w:p w14:paraId="3491EFC4">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2</w:t>
            </w:r>
          </w:p>
        </w:tc>
        <w:tc>
          <w:tcPr>
            <w:tcW w:w="675" w:type="pct"/>
            <w:vAlign w:val="center"/>
          </w:tcPr>
          <w:p w14:paraId="1F0B6107">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单项施工任务合同造价调整条件及范围</w:t>
            </w:r>
            <w:r>
              <w:rPr>
                <w:rFonts w:hint="eastAsia" w:ascii="宋体" w:hAnsi="宋体" w:eastAsia="宋体" w:cs="宋体"/>
                <w:b w:val="0"/>
                <w:bCs w:val="0"/>
                <w:color w:val="auto"/>
                <w:szCs w:val="21"/>
                <w:highlight w:val="none"/>
                <w:lang w:eastAsia="zh-CN"/>
              </w:rPr>
              <w:t>（</w:t>
            </w:r>
            <w:r>
              <w:rPr>
                <w:rFonts w:hint="eastAsia" w:ascii="宋体" w:hAnsi="宋体" w:eastAsia="宋体" w:cs="宋体"/>
                <w:b w:val="0"/>
                <w:bCs w:val="0"/>
                <w:color w:val="auto"/>
                <w:szCs w:val="21"/>
                <w:highlight w:val="none"/>
                <w:lang w:val="en-US" w:eastAsia="zh-CN"/>
              </w:rPr>
              <w:t>实施时按照每次单项实施时的价格清单确定单项价格。</w:t>
            </w:r>
            <w:r>
              <w:rPr>
                <w:rFonts w:hint="eastAsia" w:ascii="宋体" w:hAnsi="宋体" w:eastAsia="宋体" w:cs="宋体"/>
                <w:b w:val="0"/>
                <w:bCs w:val="0"/>
                <w:color w:val="auto"/>
                <w:szCs w:val="21"/>
                <w:highlight w:val="none"/>
                <w:lang w:eastAsia="zh-CN"/>
              </w:rPr>
              <w:t>）</w:t>
            </w:r>
          </w:p>
        </w:tc>
        <w:tc>
          <w:tcPr>
            <w:tcW w:w="3972" w:type="pct"/>
          </w:tcPr>
          <w:p w14:paraId="6AAF3EF4">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（一）固定总价合同</w:t>
            </w:r>
          </w:p>
          <w:p w14:paraId="39E897A4">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cs="宋体"/>
                <w:color w:val="auto"/>
                <w:szCs w:val="21"/>
                <w:highlight w:val="none"/>
                <w:lang w:eastAsia="zh-CN"/>
              </w:rPr>
              <w:t>、</w:t>
            </w:r>
            <w:r>
              <w:rPr>
                <w:rFonts w:hint="eastAsia" w:ascii="宋体" w:hAnsi="宋体" w:eastAsia="宋体" w:cs="宋体"/>
                <w:color w:val="auto"/>
                <w:szCs w:val="21"/>
                <w:highlight w:val="none"/>
              </w:rPr>
              <w:t>不予调整情形</w:t>
            </w:r>
          </w:p>
          <w:p w14:paraId="44B934EA">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cs="宋体"/>
                <w:color w:val="auto"/>
                <w:szCs w:val="21"/>
                <w:highlight w:val="none"/>
                <w:lang w:eastAsia="zh-CN"/>
              </w:rPr>
              <w:t>采购人</w:t>
            </w:r>
            <w:r>
              <w:rPr>
                <w:rFonts w:hint="eastAsia" w:ascii="宋体" w:hAnsi="宋体" w:eastAsia="宋体" w:cs="宋体"/>
                <w:color w:val="auto"/>
                <w:szCs w:val="21"/>
                <w:highlight w:val="none"/>
              </w:rPr>
              <w:t>下达的单项施工任务工程量清单存在误差的，合同总价（含措施费）不予调整。</w:t>
            </w:r>
          </w:p>
          <w:p w14:paraId="59381B41">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（2）采购文件及本合同约定由</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承担的风险因素范围内（含施工期内物价上涨、材料设备价差、政策性调价、各级政府税收及相关费用变动等），合同总价（含措施费）不作调整。</w:t>
            </w:r>
          </w:p>
          <w:p w14:paraId="649E36C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确认后的材料价格，施工过程中保持固定，不因此调整合同总价（含措施费）。</w:t>
            </w:r>
          </w:p>
          <w:p w14:paraId="26FE1844">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（4）工程量清单中拆除项目的工程量与实际不符、或清单未列明拆除及修复工作的，相关费用（含对应措施费）已纳入合同总价，</w:t>
            </w:r>
            <w:r>
              <w:rPr>
                <w:rFonts w:hint="eastAsia" w:cs="宋体"/>
                <w:color w:val="auto"/>
                <w:szCs w:val="21"/>
                <w:highlight w:val="none"/>
                <w:lang w:eastAsia="zh-CN"/>
              </w:rPr>
              <w:t>采购人</w:t>
            </w:r>
            <w:r>
              <w:rPr>
                <w:rFonts w:hint="eastAsia" w:ascii="宋体" w:hAnsi="宋体" w:eastAsia="宋体" w:cs="宋体"/>
                <w:color w:val="auto"/>
                <w:szCs w:val="21"/>
                <w:highlight w:val="none"/>
              </w:rPr>
              <w:t>不另行签证增费，合同总价不予调整。</w:t>
            </w:r>
          </w:p>
          <w:p w14:paraId="5275B397">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（5）措施费已纳入总价包干范围，施工组织方案优化、常规工程量波动等非实质性变更情形，措施费不予单独调整。</w:t>
            </w:r>
          </w:p>
          <w:p w14:paraId="1080A35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cs="宋体"/>
                <w:color w:val="auto"/>
                <w:szCs w:val="21"/>
                <w:highlight w:val="none"/>
                <w:lang w:eastAsia="zh-CN"/>
              </w:rPr>
              <w:t>、</w:t>
            </w:r>
            <w:r>
              <w:rPr>
                <w:rFonts w:hint="eastAsia" w:ascii="宋体" w:hAnsi="宋体" w:eastAsia="宋体" w:cs="宋体"/>
                <w:color w:val="auto"/>
                <w:szCs w:val="21"/>
                <w:highlight w:val="none"/>
              </w:rPr>
              <w:t>可调整情形</w:t>
            </w:r>
          </w:p>
          <w:p w14:paraId="26D6ED93">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因设计变更造成工程量实质性增减，且该变更超出合同约定风险范围的，按变更后实际工程量及工程量清单计价原则调整总价；其中措施费若因变更导致施工工艺、施工范围发生重大变化（如新增大型机械进出场、额外搭设临时设施、安全防护措施升级等），按实际发生费用结合组价原则调整。</w:t>
            </w:r>
          </w:p>
          <w:p w14:paraId="3958D629">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（2）因工程商洽导致施工范围、工程量发生变化的，按商洽内容及工程量清单计价原则调整总价；其中措施费随工程内容变化产生额外支出或减少的，按实调整。</w:t>
            </w:r>
          </w:p>
          <w:p w14:paraId="76CD1949">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（二）固定单价合同</w:t>
            </w:r>
          </w:p>
          <w:p w14:paraId="6DEC118A">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cs="宋体"/>
                <w:color w:val="auto"/>
                <w:szCs w:val="21"/>
                <w:highlight w:val="none"/>
                <w:lang w:eastAsia="zh-CN"/>
              </w:rPr>
              <w:t>、</w:t>
            </w:r>
            <w:r>
              <w:rPr>
                <w:rFonts w:hint="eastAsia" w:ascii="宋体" w:hAnsi="宋体" w:eastAsia="宋体" w:cs="宋体"/>
                <w:color w:val="auto"/>
                <w:szCs w:val="21"/>
                <w:highlight w:val="none"/>
              </w:rPr>
              <w:t>不予调整情形</w:t>
            </w:r>
          </w:p>
          <w:p w14:paraId="5DC28C2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（1）各分项工程单价按预算清单计价原则确定后，除合同另有约定外，单价（含单价内关联措施费）不予调整。</w:t>
            </w:r>
          </w:p>
          <w:p w14:paraId="3B341AE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（2）采购文件及本合同约定由</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承担的风险因素范围内（含施工期内物价上涨、材料设备价差、政策性调价、各级政府税收及相关费用变动等），单价（含单价内关联措施费）不作调整。</w:t>
            </w:r>
          </w:p>
          <w:p w14:paraId="5B6250B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确认后的材料价格，施工过程中不因此调整对应分项工程的固定单价（含单价内关联措施费）。</w:t>
            </w:r>
          </w:p>
          <w:p w14:paraId="48D36D0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（4）总价包干类措施费，如安全文明施工费、二次搬运费、临时设施费等，若无特殊约定，不因工程量常规增减单独调整。</w:t>
            </w:r>
          </w:p>
          <w:p w14:paraId="754239E1">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cs="宋体"/>
                <w:color w:val="auto"/>
                <w:szCs w:val="21"/>
                <w:highlight w:val="none"/>
                <w:lang w:eastAsia="zh-CN"/>
              </w:rPr>
              <w:t>、</w:t>
            </w:r>
            <w:r>
              <w:rPr>
                <w:rFonts w:hint="eastAsia" w:ascii="宋体" w:hAnsi="宋体" w:eastAsia="宋体" w:cs="宋体"/>
                <w:color w:val="auto"/>
                <w:szCs w:val="21"/>
                <w:highlight w:val="none"/>
              </w:rPr>
              <w:t>可调整情形</w:t>
            </w:r>
          </w:p>
          <w:p w14:paraId="457B33C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（1）工程量偏差调整。因设计变更、工程洽商或</w:t>
            </w:r>
            <w:r>
              <w:rPr>
                <w:rFonts w:hint="eastAsia" w:cs="宋体"/>
                <w:color w:val="auto"/>
                <w:szCs w:val="21"/>
                <w:highlight w:val="none"/>
                <w:lang w:eastAsia="zh-CN"/>
              </w:rPr>
              <w:t>采购人</w:t>
            </w:r>
            <w:r>
              <w:rPr>
                <w:rFonts w:hint="eastAsia" w:ascii="宋体" w:hAnsi="宋体" w:eastAsia="宋体" w:cs="宋体"/>
                <w:color w:val="auto"/>
                <w:szCs w:val="21"/>
                <w:highlight w:val="none"/>
              </w:rPr>
              <w:t>提供的工程量清单存在误差，导致原工程量清单中已有项目的工程量发生增减的，结算时应按</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实际完成的工程量×固定单价计算，调整合同结算总价（单价保持不变）。与该分部分项工程相关联的、以工程量计价的单价关联类措施项目费（如模板、脚手架、垂直运输费等），随对应分项工程实际工程量增减同步调整。</w:t>
            </w:r>
          </w:p>
          <w:p w14:paraId="4DFCC2EC">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新增项目及漏项调整。出现下列情形之一时，应按本款约定的原则确定新单价并调整总价：a.工程量清单中存在漏项，且该工作内容属于施工图纸、技术规范及合同约定的施工范围；b.因设计变更或工程洽商，新增了原工程量清单中没有的项目；c.原清单项目因变更导致其工作内容、施工工艺或施工条件发生实质性变化，致使原单价已明显不适用。对于上述项目，按预算清单计价原则组价确定新单价（含对应关联措施费），结合实际完成工程量调整结算总价。</w:t>
            </w:r>
          </w:p>
          <w:p w14:paraId="15F957CC">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总价包干类措施费，若因设计变更或工程商洽导致工程规模、施工方案或施工环境发生重大变化，如建筑面积翻倍、施工场地迁移、施工工期大幅调整等，致使原包干费用显失公平时，应按实际清单重新核定并调整。</w:t>
            </w:r>
          </w:p>
          <w:p w14:paraId="3577E9F2">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（三）任何可能引起合同价款调整的变更、洽商，均须以</w:t>
            </w:r>
            <w:r>
              <w:rPr>
                <w:rFonts w:hint="eastAsia" w:cs="宋体"/>
                <w:color w:val="auto"/>
                <w:szCs w:val="21"/>
                <w:highlight w:val="none"/>
                <w:lang w:eastAsia="zh-CN"/>
              </w:rPr>
              <w:t>采购人</w:t>
            </w:r>
            <w:r>
              <w:rPr>
                <w:rFonts w:hint="eastAsia" w:ascii="宋体" w:hAnsi="宋体" w:eastAsia="宋体" w:cs="宋体"/>
                <w:color w:val="auto"/>
                <w:szCs w:val="21"/>
                <w:highlight w:val="none"/>
              </w:rPr>
              <w:t>或监理人（如有）出具的正式书面指令或经双方确认的书面文件为依据。</w:t>
            </w:r>
          </w:p>
        </w:tc>
      </w:tr>
      <w:tr w14:paraId="2E482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 w:type="pct"/>
            <w:vAlign w:val="center"/>
          </w:tcPr>
          <w:p w14:paraId="16FB4EF3">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3</w:t>
            </w:r>
          </w:p>
        </w:tc>
        <w:tc>
          <w:tcPr>
            <w:tcW w:w="675" w:type="pct"/>
            <w:vAlign w:val="center"/>
          </w:tcPr>
          <w:p w14:paraId="3658ED4A">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default" w:ascii="宋体" w:hAnsi="宋体" w:eastAsia="宋体" w:cs="宋体"/>
                <w:color w:val="auto"/>
                <w:szCs w:val="21"/>
                <w:highlight w:val="none"/>
                <w:lang w:val="en-US" w:eastAsia="zh-CN"/>
              </w:rPr>
            </w:pPr>
            <w:r>
              <w:rPr>
                <w:rFonts w:hint="eastAsia" w:cs="宋体"/>
                <w:color w:val="auto"/>
                <w:szCs w:val="21"/>
                <w:highlight w:val="none"/>
                <w:lang w:val="en-US" w:eastAsia="zh-CN"/>
              </w:rPr>
              <w:t>材料要求</w:t>
            </w:r>
          </w:p>
        </w:tc>
        <w:tc>
          <w:tcPr>
            <w:tcW w:w="3972" w:type="pct"/>
          </w:tcPr>
          <w:p w14:paraId="1A2BAA97">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（一）建筑材料应为国产产品，质量等级达到国家或行业优等品标准，市场定位为中高档，在确定主要材料之前，</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应将厂家、产地、品牌及材料的实物样本交</w:t>
            </w:r>
            <w:r>
              <w:rPr>
                <w:rFonts w:hint="eastAsia" w:cs="宋体"/>
                <w:color w:val="auto"/>
                <w:szCs w:val="21"/>
                <w:highlight w:val="none"/>
                <w:lang w:eastAsia="zh-CN"/>
              </w:rPr>
              <w:t>采购人</w:t>
            </w:r>
            <w:r>
              <w:rPr>
                <w:rFonts w:hint="eastAsia" w:ascii="宋体" w:hAnsi="宋体" w:eastAsia="宋体" w:cs="宋体"/>
                <w:color w:val="auto"/>
                <w:szCs w:val="21"/>
                <w:highlight w:val="none"/>
              </w:rPr>
              <w:t>检验并获得</w:t>
            </w:r>
            <w:r>
              <w:rPr>
                <w:rFonts w:hint="eastAsia" w:cs="宋体"/>
                <w:color w:val="auto"/>
                <w:szCs w:val="21"/>
                <w:highlight w:val="none"/>
                <w:lang w:eastAsia="zh-CN"/>
              </w:rPr>
              <w:t>采购人</w:t>
            </w:r>
            <w:r>
              <w:rPr>
                <w:rFonts w:hint="eastAsia" w:ascii="宋体" w:hAnsi="宋体" w:eastAsia="宋体" w:cs="宋体"/>
                <w:color w:val="auto"/>
                <w:szCs w:val="21"/>
                <w:highlight w:val="none"/>
              </w:rPr>
              <w:t>认可。</w:t>
            </w:r>
          </w:p>
          <w:p w14:paraId="1DA72B38">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（二）</w:t>
            </w:r>
            <w:r>
              <w:rPr>
                <w:rFonts w:hint="eastAsia" w:cs="宋体"/>
                <w:color w:val="auto"/>
                <w:szCs w:val="21"/>
                <w:highlight w:val="none"/>
                <w:lang w:eastAsia="zh-CN"/>
              </w:rPr>
              <w:t>采购人</w:t>
            </w:r>
            <w:r>
              <w:rPr>
                <w:rFonts w:hint="eastAsia" w:ascii="宋体" w:hAnsi="宋体" w:eastAsia="宋体" w:cs="宋体"/>
                <w:color w:val="auto"/>
                <w:szCs w:val="21"/>
                <w:highlight w:val="none"/>
              </w:rPr>
              <w:t>有权根据使用要求和工程需要对设计、主要材料及设备进行变更，有权根据变更以及合同约定的造价调整方式对造价进行调整，</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必须予以执行。</w:t>
            </w:r>
          </w:p>
          <w:p w14:paraId="3327DFC8">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（三）原则上</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必须按照图纸要求及采用经</w:t>
            </w:r>
            <w:r>
              <w:rPr>
                <w:rFonts w:hint="eastAsia" w:cs="宋体"/>
                <w:color w:val="auto"/>
                <w:szCs w:val="21"/>
                <w:highlight w:val="none"/>
                <w:lang w:eastAsia="zh-CN"/>
              </w:rPr>
              <w:t>采购人</w:t>
            </w:r>
            <w:r>
              <w:rPr>
                <w:rFonts w:hint="eastAsia" w:ascii="宋体" w:hAnsi="宋体" w:eastAsia="宋体" w:cs="宋体"/>
                <w:color w:val="auto"/>
                <w:szCs w:val="21"/>
                <w:highlight w:val="none"/>
              </w:rPr>
              <w:t>确认的材料，若确定在缺货、停产等不可预见的情况下，可提出替换。材料替换时按以下原则进行：</w:t>
            </w:r>
          </w:p>
          <w:p w14:paraId="6EFA100D">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cs="宋体"/>
                <w:color w:val="auto"/>
                <w:szCs w:val="21"/>
                <w:highlight w:val="none"/>
                <w:lang w:eastAsia="zh-CN"/>
              </w:rPr>
              <w:t>、</w:t>
            </w:r>
            <w:r>
              <w:rPr>
                <w:rFonts w:hint="eastAsia" w:ascii="宋体" w:hAnsi="宋体" w:eastAsia="宋体" w:cs="宋体"/>
                <w:color w:val="auto"/>
                <w:szCs w:val="21"/>
                <w:highlight w:val="none"/>
              </w:rPr>
              <w:t>材料性能和质量</w:t>
            </w:r>
            <w:r>
              <w:rPr>
                <w:rFonts w:hint="eastAsia" w:cs="宋体"/>
                <w:color w:val="auto"/>
                <w:szCs w:val="21"/>
                <w:highlight w:val="none"/>
                <w:lang w:eastAsia="zh-CN"/>
              </w:rPr>
              <w:t>不低于</w:t>
            </w:r>
            <w:r>
              <w:rPr>
                <w:rFonts w:hint="eastAsia" w:ascii="宋体" w:hAnsi="宋体" w:eastAsia="宋体" w:cs="宋体"/>
                <w:color w:val="auto"/>
                <w:szCs w:val="21"/>
                <w:highlight w:val="none"/>
              </w:rPr>
              <w:t>原定品牌；</w:t>
            </w:r>
          </w:p>
          <w:p w14:paraId="26CE376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cs="宋体"/>
                <w:color w:val="auto"/>
                <w:szCs w:val="21"/>
                <w:highlight w:val="none"/>
                <w:lang w:eastAsia="zh-CN"/>
              </w:rPr>
              <w:t>、</w:t>
            </w:r>
            <w:r>
              <w:rPr>
                <w:rFonts w:hint="eastAsia" w:ascii="宋体" w:hAnsi="宋体" w:eastAsia="宋体" w:cs="宋体"/>
                <w:color w:val="auto"/>
                <w:szCs w:val="21"/>
                <w:highlight w:val="none"/>
              </w:rPr>
              <w:t>需取得</w:t>
            </w:r>
            <w:r>
              <w:rPr>
                <w:rFonts w:hint="eastAsia" w:cs="宋体"/>
                <w:color w:val="auto"/>
                <w:szCs w:val="21"/>
                <w:highlight w:val="none"/>
                <w:lang w:eastAsia="zh-CN"/>
              </w:rPr>
              <w:t>采购人</w:t>
            </w:r>
            <w:r>
              <w:rPr>
                <w:rFonts w:hint="eastAsia" w:ascii="宋体" w:hAnsi="宋体" w:eastAsia="宋体" w:cs="宋体"/>
                <w:color w:val="auto"/>
                <w:szCs w:val="21"/>
                <w:highlight w:val="none"/>
              </w:rPr>
              <w:t>同意；</w:t>
            </w:r>
          </w:p>
          <w:p w14:paraId="5C3702FF">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3</w:t>
            </w:r>
            <w:r>
              <w:rPr>
                <w:rFonts w:hint="eastAsia" w:cs="宋体"/>
                <w:color w:val="auto"/>
                <w:szCs w:val="21"/>
                <w:highlight w:val="none"/>
                <w:lang w:eastAsia="zh-CN"/>
              </w:rPr>
              <w:t>、</w:t>
            </w:r>
            <w:r>
              <w:rPr>
                <w:rFonts w:hint="eastAsia" w:ascii="宋体" w:hAnsi="宋体" w:eastAsia="宋体" w:cs="宋体"/>
                <w:color w:val="auto"/>
                <w:szCs w:val="21"/>
                <w:highlight w:val="none"/>
              </w:rPr>
              <w:t>原则上不调价，取得</w:t>
            </w:r>
            <w:r>
              <w:rPr>
                <w:rFonts w:hint="eastAsia" w:cs="宋体"/>
                <w:color w:val="auto"/>
                <w:szCs w:val="21"/>
                <w:highlight w:val="none"/>
                <w:lang w:eastAsia="zh-CN"/>
              </w:rPr>
              <w:t>采购人</w:t>
            </w:r>
            <w:r>
              <w:rPr>
                <w:rFonts w:hint="eastAsia" w:ascii="宋体" w:hAnsi="宋体" w:eastAsia="宋体" w:cs="宋体"/>
                <w:color w:val="auto"/>
                <w:szCs w:val="21"/>
                <w:highlight w:val="none"/>
              </w:rPr>
              <w:t>书面意见或双方商务洽商协议的除外。</w:t>
            </w:r>
          </w:p>
        </w:tc>
      </w:tr>
      <w:tr w14:paraId="3CBF5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 w:type="pct"/>
            <w:vAlign w:val="center"/>
          </w:tcPr>
          <w:p w14:paraId="33798C0D">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4</w:t>
            </w:r>
          </w:p>
        </w:tc>
        <w:tc>
          <w:tcPr>
            <w:tcW w:w="675" w:type="pct"/>
            <w:vAlign w:val="center"/>
          </w:tcPr>
          <w:p w14:paraId="2D4AD6FE">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工期要求</w:t>
            </w:r>
          </w:p>
        </w:tc>
        <w:tc>
          <w:tcPr>
            <w:tcW w:w="3972" w:type="pct"/>
          </w:tcPr>
          <w:p w14:paraId="565151E7">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（一）单项施工任务工期：</w:t>
            </w:r>
            <w:r>
              <w:rPr>
                <w:rFonts w:hint="eastAsia" w:cs="宋体"/>
                <w:color w:val="auto"/>
                <w:highlight w:val="none"/>
                <w:lang w:val="en-US" w:eastAsia="zh-CN"/>
              </w:rPr>
              <w:t>采购人、成交供应商</w:t>
            </w:r>
            <w:r>
              <w:rPr>
                <w:rFonts w:hint="eastAsia" w:ascii="宋体" w:hAnsi="宋体" w:eastAsia="宋体" w:cs="宋体"/>
                <w:color w:val="auto"/>
                <w:highlight w:val="none"/>
              </w:rPr>
              <w:t>双方在下达施工任务时签订的单项合同中另行书面确定。</w:t>
            </w:r>
          </w:p>
          <w:p w14:paraId="26E25A95">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（二）竣工时间：</w:t>
            </w:r>
            <w:r>
              <w:rPr>
                <w:rFonts w:hint="eastAsia" w:cs="宋体"/>
                <w:color w:val="auto"/>
                <w:highlight w:val="none"/>
                <w:lang w:eastAsia="zh-CN"/>
              </w:rPr>
              <w:t>成交供应商</w:t>
            </w:r>
            <w:r>
              <w:rPr>
                <w:rFonts w:hint="eastAsia" w:ascii="宋体" w:hAnsi="宋体" w:eastAsia="宋体" w:cs="宋体"/>
                <w:color w:val="auto"/>
                <w:highlight w:val="none"/>
              </w:rPr>
              <w:t>单项施工任务完工且自检合格后，向</w:t>
            </w:r>
            <w:r>
              <w:rPr>
                <w:rFonts w:hint="eastAsia" w:cs="宋体"/>
                <w:color w:val="auto"/>
                <w:highlight w:val="none"/>
                <w:lang w:eastAsia="zh-CN"/>
              </w:rPr>
              <w:t>采购人</w:t>
            </w:r>
            <w:r>
              <w:rPr>
                <w:rFonts w:hint="eastAsia" w:ascii="宋体" w:hAnsi="宋体" w:eastAsia="宋体" w:cs="宋体"/>
                <w:color w:val="auto"/>
                <w:highlight w:val="none"/>
              </w:rPr>
              <w:t>递交竣工验收申请报告，</w:t>
            </w:r>
            <w:r>
              <w:rPr>
                <w:rFonts w:hint="eastAsia" w:cs="宋体"/>
                <w:color w:val="auto"/>
                <w:highlight w:val="none"/>
                <w:lang w:eastAsia="zh-CN"/>
              </w:rPr>
              <w:t>采购人</w:t>
            </w:r>
            <w:r>
              <w:rPr>
                <w:rFonts w:hint="eastAsia" w:ascii="宋体" w:hAnsi="宋体" w:eastAsia="宋体" w:cs="宋体"/>
                <w:color w:val="auto"/>
                <w:highlight w:val="none"/>
              </w:rPr>
              <w:t>收到</w:t>
            </w:r>
            <w:r>
              <w:rPr>
                <w:rFonts w:hint="eastAsia" w:cs="宋体"/>
                <w:color w:val="auto"/>
                <w:highlight w:val="none"/>
                <w:lang w:eastAsia="zh-CN"/>
              </w:rPr>
              <w:t>成交供应商</w:t>
            </w:r>
            <w:r>
              <w:rPr>
                <w:rFonts w:hint="eastAsia" w:ascii="宋体" w:hAnsi="宋体" w:eastAsia="宋体" w:cs="宋体"/>
                <w:color w:val="auto"/>
                <w:highlight w:val="none"/>
              </w:rPr>
              <w:t>递交的竣工验收申请后，10个日历天内，由</w:t>
            </w:r>
            <w:r>
              <w:rPr>
                <w:rFonts w:hint="eastAsia" w:cs="宋体"/>
                <w:color w:val="auto"/>
                <w:highlight w:val="none"/>
                <w:lang w:eastAsia="zh-CN"/>
              </w:rPr>
              <w:t>采购人</w:t>
            </w:r>
            <w:r>
              <w:rPr>
                <w:rFonts w:hint="eastAsia" w:ascii="宋体" w:hAnsi="宋体" w:eastAsia="宋体" w:cs="宋体"/>
                <w:color w:val="auto"/>
                <w:highlight w:val="none"/>
              </w:rPr>
              <w:t>组织对该工程进行竣工验收，如项目验收合格，则以</w:t>
            </w:r>
            <w:r>
              <w:rPr>
                <w:rFonts w:hint="eastAsia" w:cs="宋体"/>
                <w:color w:val="auto"/>
                <w:highlight w:val="none"/>
                <w:lang w:eastAsia="zh-CN"/>
              </w:rPr>
              <w:t>成交供应商</w:t>
            </w:r>
            <w:r>
              <w:rPr>
                <w:rFonts w:hint="eastAsia" w:ascii="宋体" w:hAnsi="宋体" w:eastAsia="宋体" w:cs="宋体"/>
                <w:color w:val="auto"/>
                <w:highlight w:val="none"/>
              </w:rPr>
              <w:t>递交竣工验收报告之日作为竣工日期；如工程需按</w:t>
            </w:r>
            <w:r>
              <w:rPr>
                <w:rFonts w:hint="eastAsia" w:cs="宋体"/>
                <w:color w:val="auto"/>
                <w:highlight w:val="none"/>
                <w:lang w:eastAsia="zh-CN"/>
              </w:rPr>
              <w:t>采购人</w:t>
            </w:r>
            <w:r>
              <w:rPr>
                <w:rFonts w:hint="eastAsia" w:ascii="宋体" w:hAnsi="宋体" w:eastAsia="宋体" w:cs="宋体"/>
                <w:color w:val="auto"/>
                <w:highlight w:val="none"/>
              </w:rPr>
              <w:t>要求整改后通过竣工验收的，则竣工日期为</w:t>
            </w:r>
            <w:r>
              <w:rPr>
                <w:rFonts w:hint="eastAsia" w:cs="宋体"/>
                <w:color w:val="auto"/>
                <w:highlight w:val="none"/>
                <w:lang w:eastAsia="zh-CN"/>
              </w:rPr>
              <w:t>成交供应商</w:t>
            </w:r>
            <w:r>
              <w:rPr>
                <w:rFonts w:hint="eastAsia" w:ascii="宋体" w:hAnsi="宋体" w:eastAsia="宋体" w:cs="宋体"/>
                <w:color w:val="auto"/>
                <w:highlight w:val="none"/>
              </w:rPr>
              <w:t>整改后重新递交竣工验收申请报告并经</w:t>
            </w:r>
            <w:r>
              <w:rPr>
                <w:rFonts w:hint="eastAsia" w:cs="宋体"/>
                <w:color w:val="auto"/>
                <w:highlight w:val="none"/>
                <w:lang w:eastAsia="zh-CN"/>
              </w:rPr>
              <w:t>采购人</w:t>
            </w:r>
            <w:r>
              <w:rPr>
                <w:rFonts w:hint="eastAsia" w:ascii="宋体" w:hAnsi="宋体" w:eastAsia="宋体" w:cs="宋体"/>
                <w:color w:val="auto"/>
                <w:highlight w:val="none"/>
              </w:rPr>
              <w:t>验收合格的日期。</w:t>
            </w:r>
          </w:p>
          <w:p w14:paraId="295C1861">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（三）如遇下列情况，</w:t>
            </w:r>
            <w:r>
              <w:rPr>
                <w:rFonts w:hint="eastAsia" w:cs="宋体"/>
                <w:color w:val="auto"/>
                <w:highlight w:val="none"/>
                <w:lang w:eastAsia="zh-CN"/>
              </w:rPr>
              <w:t>成交供应商</w:t>
            </w:r>
            <w:r>
              <w:rPr>
                <w:rFonts w:hint="eastAsia" w:ascii="宋体" w:hAnsi="宋体" w:eastAsia="宋体" w:cs="宋体"/>
                <w:color w:val="auto"/>
                <w:highlight w:val="none"/>
              </w:rPr>
              <w:t>须书面通知</w:t>
            </w:r>
            <w:r>
              <w:rPr>
                <w:rFonts w:hint="eastAsia" w:cs="宋体"/>
                <w:color w:val="auto"/>
                <w:highlight w:val="none"/>
                <w:lang w:eastAsia="zh-CN"/>
              </w:rPr>
              <w:t>采购人</w:t>
            </w:r>
            <w:r>
              <w:rPr>
                <w:rFonts w:hint="eastAsia" w:ascii="宋体" w:hAnsi="宋体" w:eastAsia="宋体" w:cs="宋体"/>
                <w:color w:val="auto"/>
                <w:highlight w:val="none"/>
              </w:rPr>
              <w:t>，经</w:t>
            </w:r>
            <w:r>
              <w:rPr>
                <w:rFonts w:hint="eastAsia" w:cs="宋体"/>
                <w:color w:val="auto"/>
                <w:highlight w:val="none"/>
                <w:lang w:eastAsia="zh-CN"/>
              </w:rPr>
              <w:t>采购人</w:t>
            </w:r>
            <w:r>
              <w:rPr>
                <w:rFonts w:hint="eastAsia" w:ascii="宋体" w:hAnsi="宋体" w:eastAsia="宋体" w:cs="宋体"/>
                <w:color w:val="auto"/>
                <w:highlight w:val="none"/>
              </w:rPr>
              <w:t>代表审核确认后，可以顺延工期。</w:t>
            </w:r>
          </w:p>
          <w:p w14:paraId="78AF0F6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1</w:t>
            </w:r>
            <w:r>
              <w:rPr>
                <w:rFonts w:hint="eastAsia" w:cs="宋体"/>
                <w:color w:val="auto"/>
                <w:highlight w:val="none"/>
                <w:lang w:eastAsia="zh-CN"/>
              </w:rPr>
              <w:t>、</w:t>
            </w:r>
            <w:r>
              <w:rPr>
                <w:rFonts w:hint="eastAsia" w:ascii="宋体" w:hAnsi="宋体" w:eastAsia="宋体" w:cs="宋体"/>
                <w:color w:val="auto"/>
                <w:highlight w:val="none"/>
              </w:rPr>
              <w:t>现场实际明确为</w:t>
            </w:r>
            <w:r>
              <w:rPr>
                <w:rFonts w:hint="eastAsia" w:cs="宋体"/>
                <w:color w:val="auto"/>
                <w:highlight w:val="none"/>
                <w:lang w:eastAsia="zh-CN"/>
              </w:rPr>
              <w:t>采购人</w:t>
            </w:r>
            <w:r>
              <w:rPr>
                <w:rFonts w:hint="eastAsia" w:ascii="宋体" w:hAnsi="宋体" w:eastAsia="宋体" w:cs="宋体"/>
                <w:color w:val="auto"/>
                <w:highlight w:val="none"/>
              </w:rPr>
              <w:t>原因（如</w:t>
            </w:r>
            <w:r>
              <w:rPr>
                <w:rFonts w:hint="eastAsia" w:cs="宋体"/>
                <w:color w:val="auto"/>
                <w:highlight w:val="none"/>
                <w:lang w:eastAsia="zh-CN"/>
              </w:rPr>
              <w:t>采购人</w:t>
            </w:r>
            <w:r>
              <w:rPr>
                <w:rFonts w:hint="eastAsia" w:ascii="宋体" w:hAnsi="宋体" w:eastAsia="宋体" w:cs="宋体"/>
                <w:color w:val="auto"/>
                <w:highlight w:val="none"/>
              </w:rPr>
              <w:t>不能按时提供施工场地和施工用水用电等）造成工期延误的。</w:t>
            </w:r>
          </w:p>
          <w:p w14:paraId="6EDB5AFF">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cs="宋体"/>
                <w:color w:val="auto"/>
                <w:highlight w:val="none"/>
                <w:lang w:val="en-US" w:eastAsia="zh-CN"/>
              </w:rPr>
              <w:t>2</w:t>
            </w:r>
            <w:r>
              <w:rPr>
                <w:rFonts w:hint="eastAsia" w:cs="宋体"/>
                <w:color w:val="auto"/>
                <w:highlight w:val="none"/>
                <w:lang w:eastAsia="zh-CN"/>
              </w:rPr>
              <w:t>、</w:t>
            </w:r>
            <w:r>
              <w:rPr>
                <w:rFonts w:hint="eastAsia" w:ascii="宋体" w:hAnsi="宋体" w:eastAsia="宋体" w:cs="宋体"/>
                <w:color w:val="auto"/>
                <w:highlight w:val="none"/>
              </w:rPr>
              <w:t>在施工区域内有不可抗拒的自然灾害，如暴雨、台风等，使施工受到影响的。</w:t>
            </w:r>
          </w:p>
          <w:p w14:paraId="2240D503">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3</w:t>
            </w:r>
            <w:r>
              <w:rPr>
                <w:rFonts w:hint="eastAsia" w:cs="宋体"/>
                <w:color w:val="auto"/>
                <w:highlight w:val="none"/>
                <w:lang w:eastAsia="zh-CN"/>
              </w:rPr>
              <w:t>、采购人</w:t>
            </w:r>
            <w:r>
              <w:rPr>
                <w:rFonts w:hint="eastAsia" w:ascii="宋体" w:hAnsi="宋体" w:eastAsia="宋体" w:cs="宋体"/>
                <w:color w:val="auto"/>
                <w:highlight w:val="none"/>
              </w:rPr>
              <w:t>提出的设计变更或工程量增加过大，影响工程进度的。</w:t>
            </w:r>
          </w:p>
          <w:p w14:paraId="38BE962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cs="宋体"/>
                <w:color w:val="auto"/>
                <w:highlight w:val="none"/>
                <w:lang w:eastAsia="zh-CN"/>
              </w:rPr>
              <w:t>、</w:t>
            </w:r>
            <w:r>
              <w:rPr>
                <w:rFonts w:hint="eastAsia" w:ascii="宋体" w:hAnsi="宋体" w:eastAsia="宋体" w:cs="宋体"/>
                <w:color w:val="auto"/>
                <w:highlight w:val="none"/>
              </w:rPr>
              <w:t>其他非</w:t>
            </w:r>
            <w:r>
              <w:rPr>
                <w:rFonts w:hint="eastAsia" w:cs="宋体"/>
                <w:color w:val="auto"/>
                <w:highlight w:val="none"/>
                <w:lang w:eastAsia="zh-CN"/>
              </w:rPr>
              <w:t>成交供应商</w:t>
            </w:r>
            <w:r>
              <w:rPr>
                <w:rFonts w:hint="eastAsia" w:ascii="宋体" w:hAnsi="宋体" w:eastAsia="宋体" w:cs="宋体"/>
                <w:color w:val="auto"/>
                <w:highlight w:val="none"/>
              </w:rPr>
              <w:t>原因造成对工期影响的。另外，因</w:t>
            </w:r>
            <w:r>
              <w:rPr>
                <w:rFonts w:hint="eastAsia" w:cs="宋体"/>
                <w:color w:val="auto"/>
                <w:highlight w:val="none"/>
                <w:lang w:eastAsia="zh-CN"/>
              </w:rPr>
              <w:t>成交供应商</w:t>
            </w:r>
            <w:r>
              <w:rPr>
                <w:rFonts w:hint="eastAsia" w:ascii="宋体" w:hAnsi="宋体" w:eastAsia="宋体" w:cs="宋体"/>
                <w:color w:val="auto"/>
                <w:highlight w:val="none"/>
              </w:rPr>
              <w:t>原因（如因自身管理不当、偷工减料等原因被责令停工等）导致工期延长的，工期不予顺延。</w:t>
            </w:r>
          </w:p>
          <w:p w14:paraId="24550579">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highlight w:val="none"/>
              </w:rPr>
            </w:pPr>
            <w:r>
              <w:rPr>
                <w:rFonts w:hint="eastAsia" w:ascii="宋体" w:hAnsi="宋体" w:eastAsia="宋体" w:cs="宋体"/>
                <w:color w:val="auto"/>
                <w:highlight w:val="none"/>
              </w:rPr>
              <w:t>（四）在施工过程中，若</w:t>
            </w:r>
            <w:r>
              <w:rPr>
                <w:rFonts w:hint="eastAsia" w:cs="宋体"/>
                <w:color w:val="auto"/>
                <w:highlight w:val="none"/>
                <w:lang w:eastAsia="zh-CN"/>
              </w:rPr>
              <w:t>采购人</w:t>
            </w:r>
            <w:r>
              <w:rPr>
                <w:rFonts w:hint="eastAsia" w:ascii="宋体" w:hAnsi="宋体" w:eastAsia="宋体" w:cs="宋体"/>
                <w:color w:val="auto"/>
                <w:highlight w:val="none"/>
              </w:rPr>
              <w:t>认为</w:t>
            </w:r>
            <w:r>
              <w:rPr>
                <w:rFonts w:hint="eastAsia" w:cs="宋体"/>
                <w:color w:val="auto"/>
                <w:highlight w:val="none"/>
                <w:lang w:eastAsia="zh-CN"/>
              </w:rPr>
              <w:t>成交供应商</w:t>
            </w:r>
            <w:r>
              <w:rPr>
                <w:rFonts w:hint="eastAsia" w:ascii="宋体" w:hAnsi="宋体" w:eastAsia="宋体" w:cs="宋体"/>
                <w:color w:val="auto"/>
                <w:highlight w:val="none"/>
              </w:rPr>
              <w:t>不能满足施工进度要求，有权根据实际情况要求</w:t>
            </w:r>
            <w:r>
              <w:rPr>
                <w:rFonts w:hint="eastAsia" w:cs="宋体"/>
                <w:color w:val="auto"/>
                <w:highlight w:val="none"/>
                <w:lang w:eastAsia="zh-CN"/>
              </w:rPr>
              <w:t>成交供应商</w:t>
            </w:r>
            <w:r>
              <w:rPr>
                <w:rFonts w:hint="eastAsia" w:ascii="宋体" w:hAnsi="宋体" w:eastAsia="宋体" w:cs="宋体"/>
                <w:color w:val="auto"/>
                <w:highlight w:val="none"/>
              </w:rPr>
              <w:t>采取赶工措施，由此造成的赶工费用由</w:t>
            </w:r>
            <w:r>
              <w:rPr>
                <w:rFonts w:hint="eastAsia" w:cs="宋体"/>
                <w:color w:val="auto"/>
                <w:highlight w:val="none"/>
                <w:lang w:eastAsia="zh-CN"/>
              </w:rPr>
              <w:t>成交供应商</w:t>
            </w:r>
            <w:r>
              <w:rPr>
                <w:rFonts w:hint="eastAsia" w:ascii="宋体" w:hAnsi="宋体" w:eastAsia="宋体" w:cs="宋体"/>
                <w:color w:val="auto"/>
                <w:highlight w:val="none"/>
              </w:rPr>
              <w:t>承担。</w:t>
            </w:r>
          </w:p>
        </w:tc>
      </w:tr>
      <w:tr w14:paraId="67CD6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 w:type="pct"/>
            <w:vAlign w:val="center"/>
          </w:tcPr>
          <w:p w14:paraId="19D21555">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szCs w:val="21"/>
                <w:highlight w:val="none"/>
              </w:rPr>
            </w:pPr>
            <w:r>
              <w:rPr>
                <w:rFonts w:hint="eastAsia" w:ascii="宋体" w:hAnsi="宋体" w:eastAsia="宋体" w:cs="宋体"/>
                <w:b/>
                <w:bCs/>
                <w:color w:val="auto"/>
                <w:highlight w:val="none"/>
              </w:rPr>
              <w:t>5</w:t>
            </w:r>
          </w:p>
        </w:tc>
        <w:tc>
          <w:tcPr>
            <w:tcW w:w="675" w:type="pct"/>
            <w:vAlign w:val="center"/>
          </w:tcPr>
          <w:p w14:paraId="6754F8EA">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b/>
                <w:bCs/>
                <w:color w:val="auto"/>
                <w:highlight w:val="none"/>
              </w:rPr>
              <w:t>★</w:t>
            </w:r>
            <w:r>
              <w:rPr>
                <w:rFonts w:hint="eastAsia" w:ascii="宋体" w:hAnsi="宋体" w:eastAsia="宋体" w:cs="宋体"/>
                <w:color w:val="auto"/>
                <w:szCs w:val="21"/>
                <w:highlight w:val="none"/>
              </w:rPr>
              <w:t>合同价</w:t>
            </w:r>
          </w:p>
        </w:tc>
        <w:tc>
          <w:tcPr>
            <w:tcW w:w="3972" w:type="pct"/>
          </w:tcPr>
          <w:p w14:paraId="32E20D09">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（一）本工程合同价为</w:t>
            </w:r>
            <w:r>
              <w:rPr>
                <w:rFonts w:hint="eastAsia" w:cs="宋体"/>
                <w:color w:val="auto"/>
                <w:szCs w:val="21"/>
                <w:highlight w:val="none"/>
                <w:lang w:val="en-US" w:eastAsia="zh-CN"/>
              </w:rPr>
              <w:t>项目采购额度，额度总额为人民币</w:t>
            </w:r>
            <w:r>
              <w:rPr>
                <w:rFonts w:hint="eastAsia" w:ascii="宋体" w:hAnsi="宋体" w:eastAsia="宋体" w:cs="宋体"/>
                <w:color w:val="auto"/>
                <w:szCs w:val="21"/>
                <w:highlight w:val="none"/>
              </w:rPr>
              <w:t>100万元整。</w:t>
            </w:r>
            <w:r>
              <w:rPr>
                <w:rFonts w:hint="eastAsia"/>
                <w:color w:val="auto"/>
                <w:highlight w:val="none"/>
              </w:rPr>
              <w:t>本</w:t>
            </w:r>
            <w:r>
              <w:rPr>
                <w:rFonts w:hint="eastAsia"/>
                <w:color w:val="auto"/>
                <w:highlight w:val="none"/>
                <w:lang w:val="en-US" w:eastAsia="zh-CN"/>
              </w:rPr>
              <w:t>合同价</w:t>
            </w:r>
            <w:r>
              <w:rPr>
                <w:rFonts w:hint="eastAsia"/>
                <w:color w:val="auto"/>
                <w:highlight w:val="none"/>
              </w:rPr>
              <w:t>为合同有效期内采购人计划用于零星修缮工程款项的累计预算最高限额，不构成对成交供应商的工程量承诺</w:t>
            </w:r>
            <w:r>
              <w:rPr>
                <w:rFonts w:hint="eastAsia"/>
                <w:color w:val="auto"/>
                <w:highlight w:val="none"/>
                <w:lang w:eastAsia="zh-CN"/>
              </w:rPr>
              <w:t>。</w:t>
            </w:r>
          </w:p>
          <w:p w14:paraId="05968208">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（二）本工程合同项下的单项施工任务采用固定结算费率方式结算。</w:t>
            </w:r>
          </w:p>
          <w:p w14:paraId="4BD60131">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（三）单项施工任务可选择以下定价方式：</w:t>
            </w:r>
          </w:p>
          <w:p w14:paraId="61028738">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val="en-US" w:eastAsia="zh-CN"/>
              </w:rPr>
              <w:t>1、</w:t>
            </w:r>
            <w:r>
              <w:rPr>
                <w:rFonts w:hint="eastAsia" w:ascii="宋体" w:hAnsi="宋体" w:eastAsia="宋体" w:cs="宋体"/>
                <w:color w:val="auto"/>
                <w:szCs w:val="21"/>
                <w:highlight w:val="none"/>
              </w:rPr>
              <w:t>固定总价方式，适用于施工内容明确、工程量确定的小型单项施工任务，实行总价包干，除约定调整情形外不作变更，结算时按成交费率折算。</w:t>
            </w:r>
          </w:p>
          <w:p w14:paraId="3CCE890F">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val="en-US" w:eastAsia="zh-CN"/>
              </w:rPr>
              <w:t>2、</w:t>
            </w:r>
            <w:r>
              <w:rPr>
                <w:rFonts w:hint="eastAsia" w:ascii="宋体" w:hAnsi="宋体" w:eastAsia="宋体" w:cs="宋体"/>
                <w:color w:val="auto"/>
                <w:szCs w:val="21"/>
                <w:highlight w:val="none"/>
              </w:rPr>
              <w:t>固定单价方式，适用于工程量可能存在波动的单项施工任务，各分项单价依据预算清单计价规范及相关计价原则核定，结算时按实际完成工程量乘以固定单价计算，再按成交费率折算。</w:t>
            </w:r>
          </w:p>
          <w:p w14:paraId="02F4A76E">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（四）合同价包含范围：完成图纸及预算工程量清单等要求的全部施工内容所需的所有设备费、备件备品费、运输费、货物装卸费、水电费、人工费、保险费、管理费、机械费及验收费等费用在内的全包价。</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负责包工、包料、包质量、包安全、包通过验收等。</w:t>
            </w:r>
          </w:p>
          <w:p w14:paraId="385F307B">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（五）单项施工任务合同签订前，</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应按行业规范对具体施工项目进行现场勘察，充分了解施工场地条件，并结合</w:t>
            </w:r>
            <w:r>
              <w:rPr>
                <w:rFonts w:hint="eastAsia" w:cs="宋体"/>
                <w:color w:val="auto"/>
                <w:szCs w:val="21"/>
                <w:highlight w:val="none"/>
                <w:lang w:eastAsia="zh-CN"/>
              </w:rPr>
              <w:t>采购人</w:t>
            </w:r>
            <w:r>
              <w:rPr>
                <w:rFonts w:hint="eastAsia" w:ascii="宋体" w:hAnsi="宋体" w:eastAsia="宋体" w:cs="宋体"/>
                <w:color w:val="auto"/>
                <w:szCs w:val="21"/>
                <w:highlight w:val="none"/>
              </w:rPr>
              <w:t>要求评估施工可行性及成本风险。</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确认已在合同价款中充分考虑可预见的施工风险，该风险包括但不限于设计深化、环境变化、隐蔽瑕疵、市场价格波动等，除本合同约定的价款调整情形外，不得以任何理由要求增加合同价款。</w:t>
            </w:r>
          </w:p>
        </w:tc>
      </w:tr>
      <w:tr w14:paraId="6AE68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 w:type="pct"/>
            <w:vAlign w:val="center"/>
          </w:tcPr>
          <w:p w14:paraId="06C62912">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b/>
                <w:bCs/>
                <w:color w:val="auto"/>
                <w:highlight w:val="none"/>
                <w:lang w:val="en-US" w:eastAsia="zh-CN"/>
              </w:rPr>
            </w:pPr>
            <w:r>
              <w:rPr>
                <w:rFonts w:hint="eastAsia" w:cs="宋体"/>
                <w:b/>
                <w:bCs/>
                <w:color w:val="auto"/>
                <w:highlight w:val="none"/>
                <w:lang w:val="en-US" w:eastAsia="zh-CN"/>
              </w:rPr>
              <w:t>6</w:t>
            </w:r>
          </w:p>
        </w:tc>
        <w:tc>
          <w:tcPr>
            <w:tcW w:w="675" w:type="pct"/>
            <w:vAlign w:val="center"/>
          </w:tcPr>
          <w:p w14:paraId="11F69BD8">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知识产权及保密</w:t>
            </w:r>
          </w:p>
          <w:p w14:paraId="07BD9C5C">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szCs w:val="21"/>
                <w:highlight w:val="none"/>
              </w:rPr>
            </w:pPr>
          </w:p>
        </w:tc>
        <w:tc>
          <w:tcPr>
            <w:tcW w:w="3972" w:type="pct"/>
          </w:tcPr>
          <w:p w14:paraId="52973257">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（一）</w:t>
            </w:r>
            <w:r>
              <w:rPr>
                <w:rFonts w:hint="eastAsia" w:cs="宋体"/>
                <w:color w:val="auto"/>
                <w:szCs w:val="21"/>
                <w:highlight w:val="none"/>
                <w:lang w:eastAsia="zh-CN"/>
              </w:rPr>
              <w:t>采购人</w:t>
            </w:r>
            <w:r>
              <w:rPr>
                <w:rFonts w:hint="eastAsia" w:ascii="宋体" w:hAnsi="宋体" w:eastAsia="宋体" w:cs="宋体"/>
                <w:color w:val="auto"/>
                <w:szCs w:val="21"/>
                <w:highlight w:val="none"/>
              </w:rPr>
              <w:t>知识产权归属。关于</w:t>
            </w:r>
            <w:r>
              <w:rPr>
                <w:rFonts w:hint="eastAsia" w:cs="宋体"/>
                <w:color w:val="auto"/>
                <w:szCs w:val="21"/>
                <w:highlight w:val="none"/>
                <w:lang w:eastAsia="zh-CN"/>
              </w:rPr>
              <w:t>采购人</w:t>
            </w:r>
            <w:r>
              <w:rPr>
                <w:rFonts w:hint="eastAsia" w:ascii="宋体" w:hAnsi="宋体" w:eastAsia="宋体" w:cs="宋体"/>
                <w:color w:val="auto"/>
                <w:szCs w:val="21"/>
                <w:highlight w:val="none"/>
              </w:rPr>
              <w:t>提供给</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的图纸、</w:t>
            </w:r>
            <w:r>
              <w:rPr>
                <w:rFonts w:hint="eastAsia" w:cs="宋体"/>
                <w:color w:val="auto"/>
                <w:szCs w:val="21"/>
                <w:highlight w:val="none"/>
                <w:lang w:eastAsia="zh-CN"/>
              </w:rPr>
              <w:t>采购人</w:t>
            </w:r>
            <w:r>
              <w:rPr>
                <w:rFonts w:hint="eastAsia" w:ascii="宋体" w:hAnsi="宋体" w:eastAsia="宋体" w:cs="宋体"/>
                <w:color w:val="auto"/>
                <w:szCs w:val="21"/>
                <w:highlight w:val="none"/>
              </w:rPr>
              <w:t>为实施工程自行编制或委托编制的技术规范以及反映</w:t>
            </w:r>
            <w:r>
              <w:rPr>
                <w:rFonts w:hint="eastAsia" w:cs="宋体"/>
                <w:color w:val="auto"/>
                <w:szCs w:val="21"/>
                <w:highlight w:val="none"/>
                <w:lang w:eastAsia="zh-CN"/>
              </w:rPr>
              <w:t>采购人</w:t>
            </w:r>
            <w:r>
              <w:rPr>
                <w:rFonts w:hint="eastAsia" w:ascii="宋体" w:hAnsi="宋体" w:eastAsia="宋体" w:cs="宋体"/>
                <w:color w:val="auto"/>
                <w:szCs w:val="21"/>
                <w:highlight w:val="none"/>
              </w:rPr>
              <w:t>关于合同要求或其他类似性质的文件的著作权的归属：</w:t>
            </w:r>
            <w:r>
              <w:rPr>
                <w:rFonts w:hint="eastAsia" w:cs="宋体"/>
                <w:color w:val="auto"/>
                <w:szCs w:val="21"/>
                <w:highlight w:val="none"/>
                <w:lang w:eastAsia="zh-CN"/>
              </w:rPr>
              <w:t>采购人</w:t>
            </w:r>
            <w:r>
              <w:rPr>
                <w:rFonts w:hint="eastAsia" w:ascii="宋体" w:hAnsi="宋体" w:eastAsia="宋体" w:cs="宋体"/>
                <w:color w:val="auto"/>
                <w:szCs w:val="21"/>
                <w:highlight w:val="none"/>
              </w:rPr>
              <w:t>提供给</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的图纸、技术规范等文件的著作权归属</w:t>
            </w:r>
            <w:r>
              <w:rPr>
                <w:rFonts w:hint="eastAsia" w:cs="宋体"/>
                <w:color w:val="auto"/>
                <w:szCs w:val="21"/>
                <w:highlight w:val="none"/>
                <w:lang w:eastAsia="zh-CN"/>
              </w:rPr>
              <w:t>采购人</w:t>
            </w:r>
            <w:r>
              <w:rPr>
                <w:rFonts w:hint="eastAsia" w:ascii="宋体" w:hAnsi="宋体" w:eastAsia="宋体" w:cs="宋体"/>
                <w:color w:val="auto"/>
                <w:szCs w:val="21"/>
                <w:highlight w:val="none"/>
              </w:rPr>
              <w:t>。</w:t>
            </w:r>
            <w:r>
              <w:rPr>
                <w:rFonts w:hint="eastAsia" w:cs="宋体"/>
                <w:color w:val="auto"/>
                <w:szCs w:val="21"/>
                <w:highlight w:val="none"/>
                <w:lang w:eastAsia="zh-CN"/>
              </w:rPr>
              <w:t>采购人</w:t>
            </w:r>
            <w:r>
              <w:rPr>
                <w:rFonts w:hint="eastAsia" w:ascii="宋体" w:hAnsi="宋体" w:eastAsia="宋体" w:cs="宋体"/>
                <w:color w:val="auto"/>
                <w:szCs w:val="21"/>
                <w:highlight w:val="none"/>
              </w:rPr>
              <w:t>提供的上述文件仅限于在本工程使用。</w:t>
            </w:r>
          </w:p>
          <w:p w14:paraId="29473E41">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（二）</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知识产权归属。</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为实施工程所编制的施工方案、竣工图、技术总结等文件的著作权由</w:t>
            </w:r>
            <w:r>
              <w:rPr>
                <w:rFonts w:hint="eastAsia" w:cs="宋体"/>
                <w:color w:val="auto"/>
                <w:szCs w:val="21"/>
                <w:highlight w:val="none"/>
                <w:lang w:eastAsia="zh-CN"/>
              </w:rPr>
              <w:t>采购人</w:t>
            </w:r>
            <w:r>
              <w:rPr>
                <w:rFonts w:hint="eastAsia" w:ascii="宋体" w:hAnsi="宋体" w:eastAsia="宋体" w:cs="宋体"/>
                <w:color w:val="auto"/>
                <w:szCs w:val="21"/>
                <w:highlight w:val="none"/>
              </w:rPr>
              <w:t>和</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共同享有。</w:t>
            </w:r>
            <w:r>
              <w:rPr>
                <w:rFonts w:hint="eastAsia" w:cs="宋体"/>
                <w:color w:val="auto"/>
                <w:szCs w:val="21"/>
                <w:highlight w:val="none"/>
                <w:lang w:eastAsia="zh-CN"/>
              </w:rPr>
              <w:t>采购人</w:t>
            </w:r>
            <w:r>
              <w:rPr>
                <w:rFonts w:hint="eastAsia" w:ascii="宋体" w:hAnsi="宋体" w:eastAsia="宋体" w:cs="宋体"/>
                <w:color w:val="auto"/>
                <w:szCs w:val="21"/>
                <w:highlight w:val="none"/>
              </w:rPr>
              <w:t>有权在本工程及</w:t>
            </w:r>
            <w:r>
              <w:rPr>
                <w:rFonts w:hint="eastAsia" w:cs="宋体"/>
                <w:color w:val="auto"/>
                <w:szCs w:val="21"/>
                <w:highlight w:val="none"/>
                <w:lang w:eastAsia="zh-CN"/>
              </w:rPr>
              <w:t>采购人</w:t>
            </w:r>
            <w:r>
              <w:rPr>
                <w:rFonts w:hint="eastAsia" w:ascii="宋体" w:hAnsi="宋体" w:eastAsia="宋体" w:cs="宋体"/>
                <w:color w:val="auto"/>
                <w:szCs w:val="21"/>
                <w:highlight w:val="none"/>
              </w:rPr>
              <w:t>管理的其他工程中无偿使用上述文件。</w:t>
            </w:r>
          </w:p>
          <w:p w14:paraId="6640423A">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（三）技术使用费承担。</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在施工过程中所使用的专利、专有技术、技术秘密的相关许可使用费，均已包含在合同价款中，由</w:t>
            </w:r>
            <w:r>
              <w:rPr>
                <w:rFonts w:hint="eastAsia" w:cs="宋体"/>
                <w:color w:val="auto"/>
                <w:szCs w:val="21"/>
                <w:highlight w:val="none"/>
                <w:lang w:eastAsia="zh-CN"/>
              </w:rPr>
              <w:t>成交供应商</w:t>
            </w:r>
            <w:r>
              <w:rPr>
                <w:rFonts w:hint="eastAsia" w:ascii="宋体" w:hAnsi="宋体" w:eastAsia="宋体" w:cs="宋体"/>
                <w:color w:val="auto"/>
                <w:szCs w:val="21"/>
                <w:highlight w:val="none"/>
              </w:rPr>
              <w:t>承担。</w:t>
            </w:r>
          </w:p>
          <w:p w14:paraId="134EDC80">
            <w:pPr>
              <w:keepNext w:val="0"/>
              <w:keepLines w:val="0"/>
              <w:pageBreakBefore w:val="0"/>
              <w:widowControl w:val="0"/>
              <w:kinsoku/>
              <w:wordWrap/>
              <w:overflowPunct/>
              <w:topLinePunct w:val="0"/>
              <w:bidi w:val="0"/>
              <w:spacing w:beforeLines="0" w:afterLines="0" w:line="360" w:lineRule="auto"/>
              <w:ind w:left="0" w:leftChars="0" w:right="0" w:rightChars="0"/>
              <w:rPr>
                <w:rFonts w:hint="eastAsia" w:ascii="宋体" w:hAnsi="宋体" w:eastAsia="宋体" w:cs="宋体"/>
                <w:color w:val="auto"/>
                <w:szCs w:val="21"/>
                <w:highlight w:val="none"/>
              </w:rPr>
            </w:pPr>
            <w:r>
              <w:rPr>
                <w:rFonts w:hint="eastAsia" w:cs="宋体"/>
                <w:color w:val="auto"/>
                <w:szCs w:val="21"/>
                <w:highlight w:val="none"/>
                <w:lang w:eastAsia="zh-CN"/>
              </w:rPr>
              <w:t>（</w:t>
            </w:r>
            <w:r>
              <w:rPr>
                <w:rFonts w:hint="eastAsia" w:cs="宋体"/>
                <w:color w:val="auto"/>
                <w:szCs w:val="21"/>
                <w:highlight w:val="none"/>
                <w:lang w:val="en-US" w:eastAsia="zh-CN"/>
              </w:rPr>
              <w:t>四</w:t>
            </w:r>
            <w:r>
              <w:rPr>
                <w:rFonts w:hint="eastAsia" w:cs="宋体"/>
                <w:color w:val="auto"/>
                <w:szCs w:val="21"/>
                <w:highlight w:val="none"/>
                <w:lang w:eastAsia="zh-CN"/>
              </w:rPr>
              <w:t>）</w:t>
            </w:r>
            <w:r>
              <w:rPr>
                <w:rFonts w:hint="eastAsia" w:ascii="宋体" w:hAnsi="宋体" w:eastAsia="宋体" w:cs="宋体"/>
                <w:color w:val="auto"/>
                <w:szCs w:val="21"/>
                <w:highlight w:val="none"/>
              </w:rPr>
              <w:t>保密义务。双方在本合同的签订、履行过程中获得或知悉的对方公开或未公开的任何国家秘密、警务秘密、技术信息和经营信息，双方均负有保密义务，不得向第三方披露。本合同协议的终止、无效、变更或者解除，均不影响本保密条款的效力。</w:t>
            </w:r>
          </w:p>
        </w:tc>
      </w:tr>
      <w:tr w14:paraId="53F47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 w:type="pct"/>
            <w:vAlign w:val="center"/>
          </w:tcPr>
          <w:p w14:paraId="7A068494">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cs="宋体"/>
                <w:b/>
                <w:bCs/>
                <w:color w:val="auto"/>
                <w:highlight w:val="none"/>
                <w:lang w:val="en-US" w:eastAsia="zh-CN"/>
              </w:rPr>
            </w:pPr>
            <w:r>
              <w:rPr>
                <w:rFonts w:hint="eastAsia" w:cs="宋体"/>
                <w:b/>
                <w:bCs/>
                <w:color w:val="auto"/>
                <w:highlight w:val="none"/>
                <w:lang w:val="en-US" w:eastAsia="zh-CN"/>
              </w:rPr>
              <w:t>7</w:t>
            </w:r>
          </w:p>
        </w:tc>
        <w:tc>
          <w:tcPr>
            <w:tcW w:w="675" w:type="pct"/>
            <w:vAlign w:val="center"/>
          </w:tcPr>
          <w:p w14:paraId="77A27837">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szCs w:val="21"/>
                <w:highlight w:val="none"/>
                <w:lang w:val="en-US" w:eastAsia="zh-CN"/>
              </w:rPr>
            </w:pPr>
            <w:r>
              <w:rPr>
                <w:rFonts w:hint="eastAsia" w:cs="宋体"/>
                <w:color w:val="auto"/>
                <w:szCs w:val="21"/>
                <w:highlight w:val="none"/>
                <w:lang w:val="en-US" w:eastAsia="zh-CN"/>
              </w:rPr>
              <w:t>人员要求</w:t>
            </w:r>
          </w:p>
        </w:tc>
        <w:tc>
          <w:tcPr>
            <w:tcW w:w="3972" w:type="pct"/>
          </w:tcPr>
          <w:p w14:paraId="393E0F05">
            <w:pPr>
              <w:keepNext w:val="0"/>
              <w:keepLines w:val="0"/>
              <w:pageBreakBefore w:val="0"/>
              <w:widowControl w:val="0"/>
              <w:kinsoku/>
              <w:wordWrap/>
              <w:overflowPunct/>
              <w:topLinePunct w:val="0"/>
              <w:bidi w:val="0"/>
              <w:spacing w:beforeLines="0" w:afterLines="0" w:line="360" w:lineRule="auto"/>
              <w:ind w:left="0" w:leftChars="0" w:right="0" w:rightChars="0"/>
              <w:rPr>
                <w:rFonts w:hint="default" w:ascii="宋体" w:hAnsi="宋体" w:eastAsia="宋体" w:cs="宋体"/>
                <w:color w:val="auto"/>
                <w:szCs w:val="21"/>
                <w:highlight w:val="none"/>
                <w:lang w:val="en-US" w:eastAsia="zh-CN"/>
              </w:rPr>
            </w:pPr>
            <w:r>
              <w:rPr>
                <w:rFonts w:hint="eastAsia" w:cs="宋体"/>
                <w:color w:val="auto"/>
                <w:szCs w:val="21"/>
                <w:highlight w:val="none"/>
                <w:lang w:val="en-US" w:eastAsia="zh-CN"/>
              </w:rPr>
              <w:t>响应供应商应为本项目设置专属团队，保证单项工程施工进度和质量。团队分工明确、岗位职责清晰，拟投入本项目的团队人员应当具备岗位所需的专业技术、必备证件及相关工作经验。</w:t>
            </w:r>
          </w:p>
        </w:tc>
      </w:tr>
      <w:tr w14:paraId="5F20E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 w:type="pct"/>
            <w:vAlign w:val="center"/>
          </w:tcPr>
          <w:p w14:paraId="6785B47E">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default" w:cs="宋体"/>
                <w:b/>
                <w:bCs/>
                <w:color w:val="auto"/>
                <w:highlight w:val="none"/>
                <w:lang w:val="en-US" w:eastAsia="zh-CN"/>
              </w:rPr>
            </w:pPr>
            <w:r>
              <w:rPr>
                <w:rFonts w:hint="eastAsia" w:cs="宋体"/>
                <w:b/>
                <w:bCs/>
                <w:color w:val="auto"/>
                <w:highlight w:val="none"/>
                <w:lang w:val="en-US" w:eastAsia="zh-CN"/>
              </w:rPr>
              <w:t>8</w:t>
            </w:r>
          </w:p>
        </w:tc>
        <w:tc>
          <w:tcPr>
            <w:tcW w:w="675" w:type="pct"/>
            <w:vAlign w:val="center"/>
          </w:tcPr>
          <w:p w14:paraId="73F8077B">
            <w:pPr>
              <w:keepNext w:val="0"/>
              <w:keepLines w:val="0"/>
              <w:pageBreakBefore w:val="0"/>
              <w:widowControl w:val="0"/>
              <w:kinsoku/>
              <w:wordWrap/>
              <w:overflowPunct/>
              <w:topLinePunct w:val="0"/>
              <w:bidi w:val="0"/>
              <w:spacing w:beforeLines="0" w:afterLines="0" w:line="360" w:lineRule="auto"/>
              <w:ind w:left="0" w:leftChars="0" w:right="0" w:rightChars="0"/>
              <w:jc w:val="center"/>
              <w:rPr>
                <w:rFonts w:hint="eastAsia" w:ascii="宋体" w:hAnsi="宋体" w:eastAsia="宋体" w:cs="宋体"/>
                <w:color w:val="auto"/>
                <w:szCs w:val="21"/>
                <w:highlight w:val="none"/>
                <w:lang w:val="en-US" w:eastAsia="zh-CN"/>
              </w:rPr>
            </w:pPr>
            <w:r>
              <w:rPr>
                <w:rFonts w:hint="eastAsia" w:cs="宋体"/>
                <w:color w:val="auto"/>
                <w:szCs w:val="21"/>
                <w:highlight w:val="none"/>
                <w:lang w:val="en-US" w:eastAsia="zh-CN"/>
              </w:rPr>
              <w:t>其他</w:t>
            </w:r>
          </w:p>
        </w:tc>
        <w:tc>
          <w:tcPr>
            <w:tcW w:w="3972" w:type="pct"/>
          </w:tcPr>
          <w:p w14:paraId="7E2F97D1">
            <w:pPr>
              <w:keepNext w:val="0"/>
              <w:keepLines w:val="0"/>
              <w:pageBreakBefore w:val="0"/>
              <w:widowControl w:val="0"/>
              <w:kinsoku/>
              <w:wordWrap/>
              <w:overflowPunct/>
              <w:topLinePunct w:val="0"/>
              <w:bidi w:val="0"/>
              <w:spacing w:beforeLines="0" w:afterLines="0" w:line="360" w:lineRule="auto"/>
              <w:ind w:left="0" w:leftChars="0" w:right="0" w:rightChars="0"/>
              <w:rPr>
                <w:rFonts w:hint="default" w:ascii="宋体" w:hAnsi="宋体" w:eastAsia="宋体" w:cs="宋体"/>
                <w:color w:val="auto"/>
                <w:szCs w:val="21"/>
                <w:highlight w:val="none"/>
                <w:lang w:val="en-US" w:eastAsia="zh-CN"/>
              </w:rPr>
            </w:pPr>
            <w:r>
              <w:rPr>
                <w:rFonts w:hint="eastAsia" w:cs="宋体"/>
                <w:color w:val="auto"/>
                <w:szCs w:val="21"/>
                <w:highlight w:val="none"/>
                <w:lang w:val="en-US" w:eastAsia="zh-CN"/>
              </w:rPr>
              <w:t>未尽事项以合同约定为准。</w:t>
            </w:r>
          </w:p>
        </w:tc>
      </w:tr>
    </w:tbl>
    <w:p w14:paraId="10B05DED">
      <w:pPr>
        <w:pStyle w:val="366"/>
        <w:keepNext w:val="0"/>
        <w:keepLines w:val="0"/>
        <w:pageBreakBefore w:val="0"/>
        <w:widowControl w:val="0"/>
        <w:kinsoku/>
        <w:wordWrap/>
        <w:overflowPunct/>
        <w:topLinePunct w:val="0"/>
        <w:autoSpaceDE/>
        <w:autoSpaceDN/>
        <w:bidi w:val="0"/>
        <w:spacing w:beforeLines="0" w:afterLines="0"/>
        <w:outlineLvl w:val="9"/>
        <w:rPr>
          <w:rFonts w:hint="eastAsia"/>
          <w:color w:val="auto"/>
          <w:sz w:val="21"/>
          <w:szCs w:val="21"/>
          <w:highlight w:val="none"/>
          <w:lang w:val="en-US" w:eastAsia="zh-CN"/>
        </w:rPr>
      </w:pPr>
    </w:p>
    <w:bookmarkEnd w:id="53"/>
    <w:p w14:paraId="2AA5E784">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sectPr>
          <w:footerReference r:id="rId13" w:type="first"/>
          <w:footerReference r:id="rId12" w:type="default"/>
          <w:pgSz w:w="11906" w:h="16838"/>
          <w:pgMar w:top="1134" w:right="1134" w:bottom="1134" w:left="1134" w:header="426" w:footer="751" w:gutter="0"/>
          <w:paperSrc w:first="7"/>
          <w:pgNumType w:fmt="decimal"/>
          <w:cols w:space="0" w:num="1"/>
          <w:titlePg/>
          <w:rtlGutter w:val="0"/>
          <w:docGrid w:linePitch="312" w:charSpace="0"/>
        </w:sectPr>
      </w:pPr>
    </w:p>
    <w:p w14:paraId="50ECE68E">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pPr>
      <w:bookmarkStart w:id="59" w:name="_Toc30988"/>
      <w:r>
        <w:rPr>
          <w:rFonts w:hint="eastAsia" w:eastAsia="宋体"/>
          <w:color w:val="auto"/>
          <w:sz w:val="24"/>
          <w:szCs w:val="24"/>
          <w:highlight w:val="none"/>
        </w:rPr>
        <w:t>第三章</w:t>
      </w:r>
      <w:r>
        <w:rPr>
          <w:rFonts w:eastAsia="宋体"/>
          <w:color w:val="auto"/>
          <w:sz w:val="24"/>
          <w:szCs w:val="24"/>
          <w:highlight w:val="none"/>
        </w:rPr>
        <w:t xml:space="preserve"> </w:t>
      </w:r>
      <w:r>
        <w:rPr>
          <w:rFonts w:hint="eastAsia" w:eastAsia="宋体"/>
          <w:color w:val="auto"/>
          <w:sz w:val="24"/>
          <w:szCs w:val="24"/>
          <w:highlight w:val="none"/>
        </w:rPr>
        <w:t>供应商须知</w:t>
      </w:r>
      <w:bookmarkEnd w:id="43"/>
      <w:bookmarkEnd w:id="44"/>
      <w:bookmarkEnd w:id="45"/>
      <w:bookmarkEnd w:id="46"/>
      <w:bookmarkEnd w:id="47"/>
      <w:bookmarkEnd w:id="59"/>
    </w:p>
    <w:p w14:paraId="564152B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供应商必须认真阅读磋商文件中所有的事项、格式、条款和采购需求等。供应商没有按照磋商文件要求提交全部资料，或者响应文件没有对磋商文件在各方面都做出实质性响应的可能导致其响应无效或被拒绝。</w:t>
      </w:r>
    </w:p>
    <w:p w14:paraId="301B42C2">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60" w:name="_Toc104040688"/>
      <w:bookmarkStart w:id="61" w:name="_Toc104040742"/>
      <w:bookmarkStart w:id="62" w:name="_Toc21002"/>
      <w:r>
        <w:rPr>
          <w:rFonts w:hint="eastAsia" w:ascii="宋体" w:hAnsi="宋体" w:eastAsia="宋体"/>
          <w:color w:val="auto"/>
          <w:sz w:val="21"/>
          <w:szCs w:val="21"/>
          <w:highlight w:val="none"/>
        </w:rPr>
        <w:t>名词解释</w:t>
      </w:r>
      <w:bookmarkEnd w:id="60"/>
      <w:bookmarkEnd w:id="61"/>
      <w:bookmarkEnd w:id="62"/>
    </w:p>
    <w:p w14:paraId="100E830F">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16" w:firstLineChars="200"/>
        <w:rPr>
          <w:rFonts w:hint="eastAsia"/>
          <w:color w:val="auto"/>
          <w:sz w:val="21"/>
          <w:szCs w:val="21"/>
          <w:highlight w:val="none"/>
        </w:rPr>
      </w:pPr>
      <w:r>
        <w:rPr>
          <w:rFonts w:hint="eastAsia"/>
          <w:color w:val="auto"/>
          <w:spacing w:val="-1"/>
          <w:sz w:val="21"/>
          <w:szCs w:val="21"/>
          <w:highlight w:val="none"/>
        </w:rPr>
        <w:t>采购代理机构：本项目是指公诚管理咨询有限公司，负责整个采购活动的组织，依法负责编制和发布磋商文件，对磋商文</w:t>
      </w:r>
      <w:r>
        <w:rPr>
          <w:rFonts w:hint="eastAsia"/>
          <w:color w:val="auto"/>
          <w:sz w:val="21"/>
          <w:szCs w:val="21"/>
          <w:highlight w:val="none"/>
        </w:rPr>
        <w:t>件拥有最终的解释权，不以任何身份出任磋商小组成员。</w:t>
      </w:r>
    </w:p>
    <w:p w14:paraId="40E073E2">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16" w:firstLineChars="200"/>
        <w:rPr>
          <w:rFonts w:hint="eastAsia"/>
          <w:color w:val="auto"/>
          <w:sz w:val="21"/>
          <w:szCs w:val="21"/>
          <w:highlight w:val="none"/>
        </w:rPr>
      </w:pPr>
      <w:r>
        <w:rPr>
          <w:rFonts w:hint="eastAsia"/>
          <w:color w:val="auto"/>
          <w:spacing w:val="-1"/>
          <w:sz w:val="21"/>
          <w:szCs w:val="21"/>
          <w:highlight w:val="none"/>
        </w:rPr>
        <w:t>采购人：本项目采购人详见采购公告，是采购活动当事人之一，负责项目的整体规划、技术方案可行性设</w:t>
      </w:r>
      <w:r>
        <w:rPr>
          <w:rFonts w:hint="eastAsia"/>
          <w:color w:val="auto"/>
          <w:sz w:val="21"/>
          <w:szCs w:val="21"/>
          <w:highlight w:val="none"/>
        </w:rPr>
        <w:t>计论证与实施，作为合同采购方（用户）的主体承担质疑回复、履行合同、验收与评价等义务。</w:t>
      </w:r>
    </w:p>
    <w:p w14:paraId="03934A62">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20" w:firstLineChars="200"/>
        <w:rPr>
          <w:rFonts w:hint="eastAsia"/>
          <w:color w:val="auto"/>
          <w:sz w:val="21"/>
          <w:szCs w:val="21"/>
          <w:highlight w:val="none"/>
        </w:rPr>
      </w:pPr>
      <w:r>
        <w:rPr>
          <w:rFonts w:hint="eastAsia"/>
          <w:color w:val="auto"/>
          <w:sz w:val="21"/>
          <w:szCs w:val="21"/>
          <w:highlight w:val="none"/>
        </w:rPr>
        <w:t>供应商：是指通过诚E招电子采购交易平台获取了采购文件，并提交响应文件的供应商。</w:t>
      </w:r>
    </w:p>
    <w:p w14:paraId="3E8A4E97">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磋商小组</w:t>
      </w:r>
      <w:r>
        <w:rPr>
          <w:rFonts w:hint="eastAsia"/>
          <w:color w:val="auto"/>
          <w:spacing w:val="-4"/>
          <w:sz w:val="21"/>
          <w:szCs w:val="21"/>
          <w:highlight w:val="none"/>
        </w:rPr>
        <w:t>”</w:t>
      </w:r>
      <w:r>
        <w:rPr>
          <w:rFonts w:hint="eastAsia"/>
          <w:color w:val="auto"/>
          <w:spacing w:val="-1"/>
          <w:sz w:val="21"/>
          <w:szCs w:val="21"/>
          <w:highlight w:val="none"/>
        </w:rPr>
        <w:t>是指根据《中华人民共和国政府采购法》等法律法规规定，由采购人代表和有关专家组成以确定成交供应商</w:t>
      </w:r>
      <w:r>
        <w:rPr>
          <w:rFonts w:hint="eastAsia"/>
          <w:color w:val="auto"/>
          <w:sz w:val="21"/>
          <w:szCs w:val="21"/>
          <w:highlight w:val="none"/>
        </w:rPr>
        <w:t>或者推荐成交候选供应商的临时组织。</w:t>
      </w:r>
    </w:p>
    <w:p w14:paraId="54177F90">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成交供应商</w:t>
      </w:r>
      <w:r>
        <w:rPr>
          <w:rFonts w:hint="eastAsia"/>
          <w:color w:val="auto"/>
          <w:spacing w:val="-4"/>
          <w:sz w:val="21"/>
          <w:szCs w:val="21"/>
          <w:highlight w:val="none"/>
        </w:rPr>
        <w:t>”</w:t>
      </w:r>
      <w:r>
        <w:rPr>
          <w:rFonts w:hint="eastAsia"/>
          <w:color w:val="auto"/>
          <w:spacing w:val="-1"/>
          <w:sz w:val="21"/>
          <w:szCs w:val="21"/>
          <w:highlight w:val="none"/>
        </w:rPr>
        <w:t>是指经磋商小组评审确定的对磋商文件做出实质性响应，经采购人按照规定在磋商小组推荐的成交候选供</w:t>
      </w:r>
      <w:r>
        <w:rPr>
          <w:rFonts w:hint="eastAsia"/>
          <w:color w:val="auto"/>
          <w:sz w:val="21"/>
          <w:szCs w:val="21"/>
          <w:highlight w:val="none"/>
        </w:rPr>
        <w:t>应商中确定的或磋商小组受采购人委托直接确认的供应商。</w:t>
      </w:r>
    </w:p>
    <w:p w14:paraId="1E9A29BA">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20" w:firstLineChars="200"/>
        <w:rPr>
          <w:rFonts w:hint="eastAsia"/>
          <w:color w:val="auto"/>
          <w:sz w:val="21"/>
          <w:szCs w:val="21"/>
          <w:highlight w:val="none"/>
        </w:rPr>
      </w:pPr>
      <w:r>
        <w:rPr>
          <w:rFonts w:hint="eastAsia"/>
          <w:color w:val="auto"/>
          <w:sz w:val="21"/>
          <w:szCs w:val="21"/>
          <w:highlight w:val="none"/>
        </w:rPr>
        <w:t>磋商文件：是指包括磋商公告和磋商文件及其补充、变更和澄清等一系列文件。</w:t>
      </w:r>
    </w:p>
    <w:p w14:paraId="64B76C96">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20" w:firstLineChars="200"/>
        <w:rPr>
          <w:rFonts w:hint="eastAsia"/>
          <w:color w:val="auto"/>
          <w:sz w:val="21"/>
          <w:szCs w:val="21"/>
          <w:highlight w:val="none"/>
        </w:rPr>
      </w:pPr>
      <w:r>
        <w:rPr>
          <w:rFonts w:hint="eastAsia"/>
          <w:color w:val="auto"/>
          <w:sz w:val="21"/>
          <w:szCs w:val="21"/>
          <w:highlight w:val="none"/>
        </w:rPr>
        <w:t>响应文件：是指供应商提交的响应文件。</w:t>
      </w:r>
    </w:p>
    <w:p w14:paraId="1DB0CA2D">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04" w:firstLineChars="200"/>
        <w:rPr>
          <w:rFonts w:hint="eastAsia"/>
          <w:color w:val="auto"/>
          <w:sz w:val="21"/>
          <w:szCs w:val="21"/>
          <w:highlight w:val="none"/>
        </w:rPr>
      </w:pPr>
      <w:r>
        <w:rPr>
          <w:rFonts w:hint="eastAsia"/>
          <w:color w:val="auto"/>
          <w:spacing w:val="-4"/>
          <w:sz w:val="21"/>
          <w:szCs w:val="21"/>
          <w:highlight w:val="none"/>
        </w:rPr>
        <w:t>“全称”、“公司全称”、“</w:t>
      </w:r>
      <w:r>
        <w:rPr>
          <w:rFonts w:hint="eastAsia"/>
          <w:color w:val="auto"/>
          <w:spacing w:val="-4"/>
          <w:sz w:val="21"/>
          <w:szCs w:val="21"/>
          <w:highlight w:val="none"/>
          <w:lang w:eastAsia="zh-CN"/>
        </w:rPr>
        <w:t>响应供应商</w:t>
      </w:r>
      <w:r>
        <w:rPr>
          <w:rFonts w:hint="eastAsia"/>
          <w:color w:val="auto"/>
          <w:spacing w:val="-4"/>
          <w:sz w:val="21"/>
          <w:szCs w:val="21"/>
          <w:highlight w:val="none"/>
        </w:rPr>
        <w:t>名称”、“加盖单位公章”、“加盖公章”及“公章”：在投标（响应）文件及相关的其他资料中，涉及“全称”或“公司全称”或“</w:t>
      </w:r>
      <w:r>
        <w:rPr>
          <w:rFonts w:hint="eastAsia"/>
          <w:color w:val="auto"/>
          <w:spacing w:val="-4"/>
          <w:sz w:val="21"/>
          <w:szCs w:val="21"/>
          <w:highlight w:val="none"/>
          <w:lang w:eastAsia="zh-CN"/>
        </w:rPr>
        <w:t>响应供应商</w:t>
      </w:r>
      <w:r>
        <w:rPr>
          <w:rFonts w:hint="eastAsia"/>
          <w:color w:val="auto"/>
          <w:spacing w:val="-4"/>
          <w:sz w:val="21"/>
          <w:szCs w:val="21"/>
          <w:highlight w:val="none"/>
        </w:rPr>
        <w:t>名称”的应在对应文件编辑时使用文本录入方式，或在纸质投标（响应）文件上进行填写，或直接盖单位公章；涉及“加盖单位公章”、“加盖公章”和“公章”应使用</w:t>
      </w:r>
      <w:r>
        <w:rPr>
          <w:rFonts w:hint="eastAsia"/>
          <w:color w:val="auto"/>
          <w:spacing w:val="-4"/>
          <w:sz w:val="21"/>
          <w:szCs w:val="21"/>
          <w:highlight w:val="none"/>
          <w:lang w:eastAsia="zh-CN"/>
        </w:rPr>
        <w:t>响应供应商</w:t>
      </w:r>
      <w:r>
        <w:rPr>
          <w:rFonts w:hint="eastAsia"/>
          <w:color w:val="auto"/>
          <w:spacing w:val="-4"/>
          <w:sz w:val="21"/>
          <w:szCs w:val="21"/>
          <w:highlight w:val="none"/>
        </w:rPr>
        <w:t>单位的公章进行盖章</w:t>
      </w:r>
      <w:r>
        <w:rPr>
          <w:rFonts w:hint="eastAsia"/>
          <w:color w:val="auto"/>
          <w:sz w:val="21"/>
          <w:szCs w:val="21"/>
          <w:highlight w:val="none"/>
        </w:rPr>
        <w:t>。</w:t>
      </w:r>
    </w:p>
    <w:p w14:paraId="6140E352">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供应商代表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”及“授权代表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”：在响应文件及相关的其他资料中，涉及“供应商代表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”或“授权代表</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”应在纸质响应文件上进行手写签名或加盖个人印章（签名章或方章）。</w:t>
      </w:r>
    </w:p>
    <w:p w14:paraId="6104F3DE">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04" w:firstLineChars="200"/>
        <w:rPr>
          <w:rFonts w:hint="eastAsia"/>
          <w:color w:val="auto"/>
          <w:sz w:val="21"/>
          <w:szCs w:val="21"/>
          <w:highlight w:val="none"/>
        </w:rPr>
      </w:pPr>
      <w:r>
        <w:rPr>
          <w:rFonts w:hint="eastAsia"/>
          <w:color w:val="auto"/>
          <w:spacing w:val="-4"/>
          <w:sz w:val="21"/>
          <w:szCs w:val="21"/>
          <w:highlight w:val="none"/>
        </w:rPr>
        <w:t>“</w:t>
      </w:r>
      <w:r>
        <w:rPr>
          <w:rFonts w:hint="eastAsia"/>
          <w:color w:val="auto"/>
          <w:sz w:val="21"/>
          <w:szCs w:val="21"/>
          <w:highlight w:val="none"/>
        </w:rPr>
        <w:t>法定代表人</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”：在响应文件及相关的其他资料中，涉及“法定代表人</w:t>
      </w:r>
      <w:r>
        <w:rPr>
          <w:rFonts w:hint="eastAsia"/>
          <w:color w:val="auto"/>
          <w:sz w:val="21"/>
          <w:szCs w:val="21"/>
          <w:highlight w:val="none"/>
          <w:lang w:eastAsia="zh-CN"/>
        </w:rPr>
        <w:t>（</w:t>
      </w:r>
      <w:r>
        <w:rPr>
          <w:rFonts w:hint="eastAsia"/>
          <w:color w:val="auto"/>
          <w:sz w:val="21"/>
          <w:szCs w:val="21"/>
          <w:highlight w:val="none"/>
        </w:rPr>
        <w:t>签字或盖章</w:t>
      </w:r>
      <w:r>
        <w:rPr>
          <w:rFonts w:hint="eastAsia"/>
          <w:color w:val="auto"/>
          <w:sz w:val="21"/>
          <w:szCs w:val="21"/>
          <w:highlight w:val="none"/>
          <w:lang w:eastAsia="zh-CN"/>
        </w:rPr>
        <w:t>）</w:t>
      </w:r>
      <w:r>
        <w:rPr>
          <w:rFonts w:hint="eastAsia"/>
          <w:color w:val="auto"/>
          <w:sz w:val="21"/>
          <w:szCs w:val="21"/>
          <w:highlight w:val="none"/>
        </w:rPr>
        <w:t>”应在纸质响应文件上进行手写签名或加盖个人印章（签名章或方章）。</w:t>
      </w:r>
    </w:p>
    <w:p w14:paraId="60156483">
      <w:pPr>
        <w:pStyle w:val="368"/>
        <w:keepNext w:val="0"/>
        <w:keepLines w:val="0"/>
        <w:pageBreakBefore w:val="0"/>
        <w:widowControl w:val="0"/>
        <w:numPr>
          <w:ilvl w:val="1"/>
          <w:numId w:val="6"/>
        </w:numPr>
        <w:kinsoku/>
        <w:wordWrap/>
        <w:overflowPunct/>
        <w:topLinePunct w:val="0"/>
        <w:autoSpaceDE/>
        <w:autoSpaceDN/>
        <w:bidi w:val="0"/>
        <w:spacing w:beforeLines="0" w:afterLines="0" w:line="360" w:lineRule="auto"/>
        <w:ind w:left="0" w:firstLine="420" w:firstLineChars="200"/>
        <w:rPr>
          <w:rFonts w:hint="eastAsia"/>
          <w:color w:val="auto"/>
          <w:sz w:val="21"/>
          <w:szCs w:val="21"/>
          <w:highlight w:val="none"/>
        </w:rPr>
      </w:pPr>
      <w:r>
        <w:rPr>
          <w:rFonts w:hint="eastAsia"/>
          <w:color w:val="auto"/>
          <w:sz w:val="21"/>
          <w:szCs w:val="21"/>
          <w:highlight w:val="none"/>
        </w:rPr>
        <w:t>日期、天数、时间：未有特别说明时，均为公历日（天）及北京时间。</w:t>
      </w:r>
    </w:p>
    <w:p w14:paraId="2324F3FB">
      <w:pPr>
        <w:pStyle w:val="368"/>
        <w:keepNext w:val="0"/>
        <w:keepLines w:val="0"/>
        <w:pageBreakBefore w:val="0"/>
        <w:widowControl w:val="0"/>
        <w:kinsoku/>
        <w:wordWrap/>
        <w:overflowPunct/>
        <w:topLinePunct w:val="0"/>
        <w:autoSpaceDE/>
        <w:autoSpaceDN/>
        <w:bidi w:val="0"/>
        <w:spacing w:beforeLines="0" w:afterLines="0" w:line="360" w:lineRule="auto"/>
        <w:ind w:left="0" w:firstLine="0"/>
        <w:rPr>
          <w:rFonts w:hint="eastAsia"/>
          <w:color w:val="auto"/>
          <w:sz w:val="21"/>
          <w:szCs w:val="21"/>
          <w:highlight w:val="none"/>
        </w:rPr>
      </w:pPr>
    </w:p>
    <w:p w14:paraId="2EE59F97">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63" w:name="_Toc104040689"/>
      <w:bookmarkStart w:id="64" w:name="_Toc9166"/>
      <w:bookmarkStart w:id="65" w:name="_Toc104040743"/>
      <w:r>
        <w:rPr>
          <w:rFonts w:hint="eastAsia" w:ascii="宋体" w:hAnsi="宋体" w:eastAsia="宋体"/>
          <w:color w:val="auto"/>
          <w:sz w:val="21"/>
          <w:szCs w:val="21"/>
          <w:highlight w:val="none"/>
        </w:rPr>
        <w:t>须知前附表</w:t>
      </w:r>
      <w:bookmarkEnd w:id="63"/>
      <w:bookmarkEnd w:id="64"/>
      <w:bookmarkEnd w:id="65"/>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985"/>
        <w:gridCol w:w="7047"/>
      </w:tblGrid>
      <w:tr w14:paraId="1DF7F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736" w:type="dxa"/>
            <w:gridSpan w:val="3"/>
            <w:vAlign w:val="center"/>
          </w:tcPr>
          <w:p w14:paraId="2E5171E3">
            <w:pPr>
              <w:pStyle w:val="19"/>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本表与磋商文件对应章节的内容若不一致，以本表为准。</w:t>
            </w:r>
          </w:p>
        </w:tc>
      </w:tr>
      <w:tr w14:paraId="35D00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5069106D">
            <w:pPr>
              <w:pStyle w:val="19"/>
              <w:keepNext w:val="0"/>
              <w:keepLines w:val="0"/>
              <w:pageBreakBefore w:val="0"/>
              <w:widowControl w:val="0"/>
              <w:kinsoku/>
              <w:wordWrap/>
              <w:overflowPunct/>
              <w:topLinePunct w:val="0"/>
              <w:bidi w:val="0"/>
              <w:spacing w:beforeLines="0" w:afterLines="0" w:line="360" w:lineRule="auto"/>
              <w:ind w:left="-111" w:leftChars="-53" w:right="-103" w:rightChars="-49"/>
              <w:jc w:val="center"/>
              <w:rPr>
                <w:rFonts w:hint="eastAsia"/>
                <w:b/>
                <w:bCs/>
                <w:color w:val="auto"/>
                <w:szCs w:val="21"/>
                <w:highlight w:val="none"/>
              </w:rPr>
            </w:pPr>
            <w:r>
              <w:rPr>
                <w:rFonts w:hint="eastAsia"/>
                <w:b/>
                <w:bCs/>
                <w:color w:val="auto"/>
                <w:szCs w:val="21"/>
                <w:highlight w:val="none"/>
              </w:rPr>
              <w:t>序号</w:t>
            </w:r>
          </w:p>
        </w:tc>
        <w:tc>
          <w:tcPr>
            <w:tcW w:w="1985" w:type="dxa"/>
            <w:vAlign w:val="center"/>
          </w:tcPr>
          <w:p w14:paraId="31FF9A2E">
            <w:pPr>
              <w:pStyle w:val="19"/>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条款名称</w:t>
            </w:r>
          </w:p>
        </w:tc>
        <w:tc>
          <w:tcPr>
            <w:tcW w:w="7047" w:type="dxa"/>
            <w:vAlign w:val="center"/>
          </w:tcPr>
          <w:p w14:paraId="44AA2302">
            <w:pPr>
              <w:pStyle w:val="19"/>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内容及要求</w:t>
            </w:r>
          </w:p>
        </w:tc>
      </w:tr>
      <w:tr w14:paraId="32B50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2969F745">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641BDBB1">
            <w:pPr>
              <w:pStyle w:val="19"/>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color w:val="auto"/>
                <w:szCs w:val="21"/>
                <w:highlight w:val="none"/>
              </w:rPr>
              <w:t>采购包情况</w:t>
            </w:r>
          </w:p>
        </w:tc>
        <w:tc>
          <w:tcPr>
            <w:tcW w:w="7047" w:type="dxa"/>
            <w:vAlign w:val="center"/>
          </w:tcPr>
          <w:p w14:paraId="2E55EECF">
            <w:pPr>
              <w:pStyle w:val="19"/>
              <w:keepNext w:val="0"/>
              <w:keepLines w:val="0"/>
              <w:pageBreakBefore w:val="0"/>
              <w:widowControl w:val="0"/>
              <w:kinsoku/>
              <w:wordWrap/>
              <w:overflowPunct/>
              <w:topLinePunct w:val="0"/>
              <w:bidi w:val="0"/>
              <w:spacing w:beforeLines="0" w:afterLines="0" w:line="360" w:lineRule="auto"/>
              <w:rPr>
                <w:rFonts w:hint="eastAsia"/>
                <w:b/>
                <w:bCs/>
                <w:color w:val="auto"/>
                <w:szCs w:val="21"/>
                <w:highlight w:val="none"/>
              </w:rPr>
            </w:pPr>
            <w:r>
              <w:rPr>
                <w:rFonts w:hint="eastAsia"/>
                <w:color w:val="auto"/>
                <w:szCs w:val="21"/>
                <w:highlight w:val="none"/>
              </w:rPr>
              <w:t>本项目共1个采购包</w:t>
            </w:r>
          </w:p>
        </w:tc>
      </w:tr>
      <w:tr w14:paraId="02DD1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36025705">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0504E14B">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资金来源</w:t>
            </w:r>
          </w:p>
        </w:tc>
        <w:tc>
          <w:tcPr>
            <w:tcW w:w="7047" w:type="dxa"/>
            <w:vAlign w:val="center"/>
          </w:tcPr>
          <w:p w14:paraId="2DFD1E00">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ascii="宋体" w:hAnsi="宋体" w:eastAsia="宋体"/>
                <w:color w:val="auto"/>
                <w:szCs w:val="21"/>
                <w:highlight w:val="none"/>
                <w:lang w:eastAsia="zh-CN"/>
              </w:rPr>
              <w:t>□</w:t>
            </w:r>
            <w:r>
              <w:rPr>
                <w:rFonts w:hint="eastAsia"/>
                <w:color w:val="auto"/>
                <w:szCs w:val="21"/>
                <w:highlight w:val="none"/>
                <w:lang w:eastAsia="zh-CN"/>
              </w:rPr>
              <w:t>国库集中支付</w:t>
            </w:r>
            <w:r>
              <w:rPr>
                <w:rFonts w:hint="eastAsia"/>
                <w:color w:val="auto"/>
                <w:szCs w:val="21"/>
                <w:highlight w:val="none"/>
                <w:lang w:val="en-US" w:eastAsia="zh-CN"/>
              </w:rPr>
              <w:t xml:space="preserve"> / </w:t>
            </w:r>
            <w:r>
              <w:rPr>
                <w:rFonts w:hint="eastAsia"/>
                <w:color w:val="auto"/>
                <w:szCs w:val="21"/>
                <w:highlight w:val="none"/>
                <w:lang w:eastAsia="zh-CN"/>
              </w:rPr>
              <w:t>□单位自行支付</w:t>
            </w:r>
            <w:r>
              <w:rPr>
                <w:rFonts w:hint="eastAsia"/>
                <w:color w:val="auto"/>
                <w:szCs w:val="21"/>
                <w:highlight w:val="none"/>
                <w:lang w:val="en-US" w:eastAsia="zh-CN"/>
              </w:rPr>
              <w:t xml:space="preserve"> / </w:t>
            </w:r>
            <w:r>
              <w:rPr>
                <w:color w:val="auto"/>
                <w:szCs w:val="21"/>
                <w:highlight w:val="none"/>
                <w:lang w:eastAsia="zh-CN"/>
              </w:rPr>
              <w:t>■</w:t>
            </w:r>
            <w:r>
              <w:rPr>
                <w:rFonts w:hint="eastAsia" w:ascii="宋体" w:hAnsi="宋体" w:eastAsia="宋体"/>
                <w:color w:val="auto"/>
                <w:szCs w:val="21"/>
                <w:highlight w:val="none"/>
                <w:lang w:val="en-US" w:eastAsia="zh-CN"/>
              </w:rPr>
              <w:t>其他</w:t>
            </w:r>
          </w:p>
        </w:tc>
      </w:tr>
      <w:tr w14:paraId="0B544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767CDAC">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B075C47">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公告发布媒介</w:t>
            </w:r>
          </w:p>
        </w:tc>
        <w:tc>
          <w:tcPr>
            <w:tcW w:w="7047" w:type="dxa"/>
            <w:vAlign w:val="center"/>
          </w:tcPr>
          <w:p w14:paraId="44ABC4B5">
            <w:pPr>
              <w:widowControl w:val="0"/>
              <w:spacing w:beforeLines="0" w:afterLines="0"/>
              <w:rPr>
                <w:rFonts w:hint="eastAsia"/>
                <w:color w:val="auto"/>
                <w:szCs w:val="21"/>
                <w:highlight w:val="none"/>
              </w:rPr>
            </w:pPr>
            <w:r>
              <w:rPr>
                <w:color w:val="auto"/>
                <w:szCs w:val="21"/>
                <w:highlight w:val="none"/>
              </w:rPr>
              <w:t>■</w:t>
            </w:r>
            <w:r>
              <w:rPr>
                <w:rFonts w:hint="eastAsia"/>
                <w:color w:val="auto"/>
                <w:szCs w:val="21"/>
                <w:highlight w:val="none"/>
              </w:rPr>
              <w:t>中国政府采购网（http://www.ccgp.gov.cn/）</w:t>
            </w:r>
          </w:p>
          <w:p w14:paraId="02069A78">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■诚E招电子采购交易平台（https://www.chengezhao.com/）</w:t>
            </w:r>
          </w:p>
          <w:p w14:paraId="5B0D216F">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相关公告在以上媒体上公布之日即视为有效送达，不再另行通知。</w:t>
            </w:r>
          </w:p>
        </w:tc>
      </w:tr>
      <w:tr w14:paraId="3DC94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23A35307">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6A03AE4">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开启方式</w:t>
            </w:r>
          </w:p>
        </w:tc>
        <w:tc>
          <w:tcPr>
            <w:tcW w:w="7047" w:type="dxa"/>
            <w:vAlign w:val="center"/>
          </w:tcPr>
          <w:p w14:paraId="43E69B84">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现场开启</w:t>
            </w:r>
          </w:p>
        </w:tc>
      </w:tr>
      <w:tr w14:paraId="2013D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0564BA58">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AC2E2D1">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评审方式</w:t>
            </w:r>
          </w:p>
        </w:tc>
        <w:tc>
          <w:tcPr>
            <w:tcW w:w="7047" w:type="dxa"/>
            <w:vAlign w:val="center"/>
          </w:tcPr>
          <w:p w14:paraId="6800A100">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现场评审</w:t>
            </w:r>
          </w:p>
        </w:tc>
      </w:tr>
      <w:tr w14:paraId="02641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3A87CC68">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29824877">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评审办法</w:t>
            </w:r>
          </w:p>
        </w:tc>
        <w:tc>
          <w:tcPr>
            <w:tcW w:w="7047" w:type="dxa"/>
            <w:vAlign w:val="center"/>
          </w:tcPr>
          <w:p w14:paraId="6E5251C2">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综合评分法</w:t>
            </w:r>
          </w:p>
        </w:tc>
      </w:tr>
      <w:tr w14:paraId="11F33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6DE39FE2">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5E0781FF">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报价形式</w:t>
            </w:r>
          </w:p>
        </w:tc>
        <w:tc>
          <w:tcPr>
            <w:tcW w:w="7047" w:type="dxa"/>
            <w:vAlign w:val="center"/>
          </w:tcPr>
          <w:p w14:paraId="4EB5D57F">
            <w:pPr>
              <w:pStyle w:val="19"/>
              <w:keepNext w:val="0"/>
              <w:keepLines w:val="0"/>
              <w:pageBreakBefore w:val="0"/>
              <w:widowControl w:val="0"/>
              <w:kinsoku/>
              <w:wordWrap/>
              <w:overflowPunct/>
              <w:topLinePunct w:val="0"/>
              <w:bidi w:val="0"/>
              <w:spacing w:beforeLines="0" w:afterLines="0" w:line="360" w:lineRule="auto"/>
              <w:rPr>
                <w:rFonts w:hint="eastAsia" w:eastAsia="宋体"/>
                <w:color w:val="auto"/>
                <w:szCs w:val="21"/>
                <w:highlight w:val="none"/>
                <w:lang w:eastAsia="zh-CN"/>
              </w:rPr>
            </w:pPr>
            <w:r>
              <w:rPr>
                <w:rFonts w:hint="eastAsia"/>
                <w:color w:val="auto"/>
                <w:szCs w:val="21"/>
                <w:highlight w:val="none"/>
                <w:lang w:eastAsia="zh-CN"/>
              </w:rPr>
              <w:t>费率</w:t>
            </w:r>
          </w:p>
        </w:tc>
      </w:tr>
      <w:tr w14:paraId="4B1A7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704" w:type="dxa"/>
            <w:vAlign w:val="center"/>
          </w:tcPr>
          <w:p w14:paraId="3FB50748">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318C058D">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报价要求</w:t>
            </w:r>
          </w:p>
        </w:tc>
        <w:tc>
          <w:tcPr>
            <w:tcW w:w="7047" w:type="dxa"/>
            <w:vAlign w:val="center"/>
          </w:tcPr>
          <w:p w14:paraId="21D516BF">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报价需包括但不限于完成图纸及预算工程量清单等要求的全部施工内容所需的所有设备费、备件备品费、运输费、货物装卸费、水电费、人工费、保险费、管理费、机械费及验收费等费用在内的全包价。</w:t>
            </w:r>
            <w:r>
              <w:rPr>
                <w:rFonts w:hint="eastAsia"/>
                <w:color w:val="auto"/>
                <w:szCs w:val="21"/>
                <w:highlight w:val="none"/>
                <w:lang w:val="en-US" w:eastAsia="zh-CN"/>
              </w:rPr>
              <w:t>成交供应商</w:t>
            </w:r>
            <w:r>
              <w:rPr>
                <w:rFonts w:hint="eastAsia"/>
                <w:color w:val="auto"/>
                <w:szCs w:val="21"/>
                <w:highlight w:val="none"/>
              </w:rPr>
              <w:t>负责包工、包料、包质量、包安全、包通过验收等。供应商漏报或不报，采购人将视为该漏报或不报部分的费用已包括在已报的报价中而不予支付。</w:t>
            </w:r>
            <w:r>
              <w:rPr>
                <w:rFonts w:hint="eastAsia"/>
                <w:b/>
                <w:bCs/>
                <w:color w:val="auto"/>
                <w:szCs w:val="21"/>
                <w:highlight w:val="none"/>
              </w:rPr>
              <w:t>供应商投标报价不得高于预算总金额或最高限价，否则作无效投标处理。</w:t>
            </w:r>
          </w:p>
        </w:tc>
      </w:tr>
      <w:tr w14:paraId="52D23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711BBC7C">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0F98FBC7">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核心产品</w:t>
            </w:r>
          </w:p>
        </w:tc>
        <w:tc>
          <w:tcPr>
            <w:tcW w:w="7047" w:type="dxa"/>
            <w:vAlign w:val="center"/>
          </w:tcPr>
          <w:p w14:paraId="749E2DFD">
            <w:pPr>
              <w:keepNext w:val="0"/>
              <w:keepLines w:val="0"/>
              <w:pageBreakBefore w:val="0"/>
              <w:widowControl w:val="0"/>
              <w:kinsoku/>
              <w:wordWrap/>
              <w:overflowPunct/>
              <w:topLinePunct w:val="0"/>
              <w:autoSpaceDE/>
              <w:autoSpaceDN/>
              <w:bidi w:val="0"/>
              <w:spacing w:beforeLines="0" w:afterLines="0"/>
              <w:rPr>
                <w:rFonts w:hint="eastAsia" w:ascii="宋体" w:hAnsi="宋体" w:eastAsia="宋体" w:cs="宋体"/>
                <w:color w:val="auto"/>
                <w:szCs w:val="21"/>
                <w:highlight w:val="none"/>
                <w:lang w:eastAsia="zh-CN"/>
              </w:rPr>
            </w:pPr>
            <w:r>
              <w:rPr>
                <w:rFonts w:ascii="宋体" w:hAnsi="宋体" w:eastAsia="宋体" w:cs="宋体"/>
                <w:color w:val="auto"/>
                <w:szCs w:val="21"/>
                <w:highlight w:val="none"/>
                <w:lang w:eastAsia="zh-CN"/>
              </w:rPr>
              <w:t>■</w:t>
            </w:r>
            <w:r>
              <w:rPr>
                <w:rFonts w:hint="eastAsia" w:ascii="宋体" w:hAnsi="宋体" w:eastAsia="宋体" w:cs="宋体"/>
                <w:color w:val="auto"/>
                <w:szCs w:val="21"/>
                <w:highlight w:val="none"/>
                <w:lang w:eastAsia="zh-CN"/>
              </w:rPr>
              <w:t>本项目不适用。</w:t>
            </w:r>
          </w:p>
          <w:p w14:paraId="2AB5ECB2">
            <w:pPr>
              <w:keepNext w:val="0"/>
              <w:keepLines w:val="0"/>
              <w:pageBreakBefore w:val="0"/>
              <w:widowControl w:val="0"/>
              <w:kinsoku/>
              <w:wordWrap/>
              <w:overflowPunct/>
              <w:topLinePunct w:val="0"/>
              <w:autoSpaceDE/>
              <w:autoSpaceDN/>
              <w:bidi w:val="0"/>
              <w:spacing w:beforeLines="0" w:afterLine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□本项目为单一产品采购项目。</w:t>
            </w:r>
          </w:p>
          <w:p w14:paraId="3DCFDC53">
            <w:pPr>
              <w:pStyle w:val="19"/>
              <w:keepNext w:val="0"/>
              <w:keepLines w:val="0"/>
              <w:pageBreakBefore w:val="0"/>
              <w:widowControl w:val="0"/>
              <w:kinsoku/>
              <w:wordWrap/>
              <w:overflowPunct/>
              <w:topLinePunct w:val="0"/>
              <w:bidi w:val="0"/>
              <w:spacing w:beforeLines="0" w:afterLines="0" w:line="360" w:lineRule="auto"/>
              <w:rPr>
                <w:rFonts w:hint="eastAsia"/>
                <w:b/>
                <w:bCs/>
                <w:color w:val="auto"/>
                <w:szCs w:val="21"/>
                <w:highlight w:val="none"/>
              </w:rPr>
            </w:pPr>
            <w:r>
              <w:rPr>
                <w:rFonts w:hint="eastAsia" w:ascii="宋体" w:hAnsi="宋体" w:eastAsia="宋体" w:cs="宋体"/>
                <w:color w:val="auto"/>
                <w:szCs w:val="21"/>
                <w:highlight w:val="none"/>
                <w:lang w:eastAsia="zh-CN"/>
              </w:rPr>
              <w:t>□本项目为非单一产品采购项目，核心产品为：</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eastAsia="zh-CN"/>
              </w:rPr>
              <w:t>。</w:t>
            </w:r>
          </w:p>
        </w:tc>
      </w:tr>
      <w:tr w14:paraId="0961D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230B584B">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65DA09A0">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现场踏勘</w:t>
            </w:r>
          </w:p>
        </w:tc>
        <w:tc>
          <w:tcPr>
            <w:tcW w:w="7047" w:type="dxa"/>
            <w:vAlign w:val="center"/>
          </w:tcPr>
          <w:p w14:paraId="28574999">
            <w:pPr>
              <w:pStyle w:val="19"/>
              <w:keepNext w:val="0"/>
              <w:keepLines w:val="0"/>
              <w:pageBreakBefore w:val="0"/>
              <w:widowControl w:val="0"/>
              <w:kinsoku/>
              <w:wordWrap/>
              <w:overflowPunct/>
              <w:topLinePunct w:val="0"/>
              <w:bidi w:val="0"/>
              <w:spacing w:beforeLines="0" w:afterLines="0"/>
              <w:rPr>
                <w:rFonts w:hint="eastAsia" w:eastAsia="宋体"/>
                <w:color w:val="auto"/>
                <w:szCs w:val="21"/>
                <w:highlight w:val="none"/>
                <w:lang w:eastAsia="zh-CN"/>
              </w:rPr>
            </w:pPr>
            <w:r>
              <w:rPr>
                <w:rFonts w:hint="eastAsia"/>
                <w:color w:val="auto"/>
                <w:szCs w:val="21"/>
                <w:highlight w:val="none"/>
                <w:lang w:val="en-US" w:eastAsia="zh-CN"/>
              </w:rPr>
              <w:t xml:space="preserve">本项目框架协议无需现场踏勘，但成交供应商须在单项施工开始前进行现场踏勘，具体时间地点以单项施工项目要求为准。  </w:t>
            </w:r>
          </w:p>
        </w:tc>
      </w:tr>
      <w:tr w14:paraId="4CA98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3FA03CAD">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51AEF119">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响应有效期</w:t>
            </w:r>
          </w:p>
        </w:tc>
        <w:tc>
          <w:tcPr>
            <w:tcW w:w="7047" w:type="dxa"/>
            <w:vAlign w:val="center"/>
          </w:tcPr>
          <w:p w14:paraId="48F6CBD4">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从提交投标（响应）文件的截止之日起90日历天</w:t>
            </w:r>
          </w:p>
        </w:tc>
      </w:tr>
      <w:tr w14:paraId="346E5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566DBF27">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01CEADB0">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响应保证金</w:t>
            </w:r>
          </w:p>
        </w:tc>
        <w:tc>
          <w:tcPr>
            <w:tcW w:w="7047" w:type="dxa"/>
          </w:tcPr>
          <w:p w14:paraId="3065195B">
            <w:pPr>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t>■</w:t>
            </w:r>
            <w:r>
              <w:rPr>
                <w:rFonts w:hint="eastAsia"/>
                <w:color w:val="auto"/>
                <w:szCs w:val="21"/>
                <w:highlight w:val="none"/>
              </w:rPr>
              <w:t>本项目无需递交响应保证金</w:t>
            </w:r>
          </w:p>
          <w:p w14:paraId="53110B35">
            <w:pPr>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t>□</w:t>
            </w:r>
            <w:r>
              <w:rPr>
                <w:rFonts w:hint="eastAsia"/>
                <w:color w:val="auto"/>
                <w:szCs w:val="21"/>
                <w:highlight w:val="none"/>
              </w:rPr>
              <w:t>本项目需要递交响应保证金，要求如下：</w:t>
            </w:r>
          </w:p>
          <w:p w14:paraId="0C185F92">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保证金人民币：</w:t>
            </w:r>
            <w:r>
              <w:rPr>
                <w:color w:val="auto"/>
                <w:szCs w:val="21"/>
                <w:highlight w:val="none"/>
              </w:rPr>
              <w:t>0.00元整</w:t>
            </w:r>
          </w:p>
          <w:p w14:paraId="1F2C9F33">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开户单位：公诚管理咨询有限公司</w:t>
            </w:r>
          </w:p>
          <w:p w14:paraId="1B072A74">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开户账号：/</w:t>
            </w:r>
          </w:p>
          <w:p w14:paraId="520FEAB4">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开户银行：中信银行广州花园支行</w:t>
            </w:r>
          </w:p>
          <w:p w14:paraId="184A8F1C">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提交方式：</w:t>
            </w:r>
            <w:r>
              <w:rPr>
                <w:rFonts w:hint="eastAsia" w:ascii="宋体" w:hAnsi="宋体" w:eastAsia="宋体"/>
                <w:color w:val="auto"/>
                <w:highlight w:val="none"/>
              </w:rPr>
              <w:t>转账、支票、汇票、本票或者金融机构、担保机构出具的保函等非现金形式</w:t>
            </w:r>
            <w:r>
              <w:rPr>
                <w:rFonts w:hint="eastAsia"/>
                <w:color w:val="auto"/>
                <w:highlight w:val="none"/>
                <w:lang w:val="en-US" w:eastAsia="zh-CN"/>
              </w:rPr>
              <w:t>提交</w:t>
            </w:r>
            <w:r>
              <w:rPr>
                <w:rFonts w:hint="eastAsia"/>
                <w:color w:val="auto"/>
                <w:szCs w:val="21"/>
                <w:highlight w:val="none"/>
              </w:rPr>
              <w:t>。</w:t>
            </w:r>
          </w:p>
          <w:p w14:paraId="4CD6BFDE">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响应保证金有效期：与响应有效期一致。</w:t>
            </w:r>
          </w:p>
          <w:p w14:paraId="58B10B38">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电子保函：供应商可以通过登录“诚</w:t>
            </w:r>
            <w:r>
              <w:rPr>
                <w:color w:val="auto"/>
                <w:szCs w:val="21"/>
                <w:highlight w:val="none"/>
              </w:rPr>
              <w:t>E招（www.chengezhao.com）”在线申请办理</w:t>
            </w:r>
            <w:r>
              <w:rPr>
                <w:rFonts w:hint="eastAsia" w:ascii="宋体" w:hAnsi="宋体" w:eastAsia="宋体"/>
                <w:color w:val="auto"/>
                <w:highlight w:val="none"/>
              </w:rPr>
              <w:t>金融机构</w:t>
            </w:r>
            <w:r>
              <w:rPr>
                <w:rFonts w:hint="eastAsia"/>
                <w:color w:val="auto"/>
                <w:highlight w:val="none"/>
                <w:lang w:val="en-US" w:eastAsia="zh-CN"/>
              </w:rPr>
              <w:t>或</w:t>
            </w:r>
            <w:r>
              <w:rPr>
                <w:rFonts w:hint="eastAsia" w:ascii="宋体" w:hAnsi="宋体" w:eastAsia="宋体"/>
                <w:color w:val="auto"/>
                <w:highlight w:val="none"/>
              </w:rPr>
              <w:t>担保机构出具的</w:t>
            </w:r>
            <w:r>
              <w:rPr>
                <w:color w:val="auto"/>
                <w:szCs w:val="21"/>
                <w:highlight w:val="none"/>
              </w:rPr>
              <w:t>电子保函</w:t>
            </w:r>
            <w:r>
              <w:rPr>
                <w:rFonts w:hint="eastAsia"/>
                <w:color w:val="auto"/>
                <w:szCs w:val="21"/>
                <w:highlight w:val="none"/>
                <w:lang w:eastAsia="zh-CN"/>
              </w:rPr>
              <w:t>（</w:t>
            </w:r>
            <w:r>
              <w:rPr>
                <w:rFonts w:hint="eastAsia"/>
                <w:color w:val="auto"/>
                <w:szCs w:val="21"/>
                <w:highlight w:val="none"/>
                <w:lang w:val="en-US" w:eastAsia="zh-CN"/>
              </w:rPr>
              <w:t>客服热线：020-89524219</w:t>
            </w:r>
            <w:r>
              <w:rPr>
                <w:rFonts w:hint="eastAsia"/>
                <w:color w:val="auto"/>
                <w:szCs w:val="21"/>
                <w:highlight w:val="none"/>
                <w:lang w:eastAsia="zh-CN"/>
              </w:rPr>
              <w:t>）</w:t>
            </w:r>
            <w:r>
              <w:rPr>
                <w:color w:val="auto"/>
                <w:szCs w:val="21"/>
                <w:highlight w:val="none"/>
              </w:rPr>
              <w:t>，成功出函并点击生效之后等效于缴纳了保证金；如选择其他具有电子投标保函资质的机构开具电子投标保函，电子投标保函中须载明线上查验方法，且保函查验结果为真，同时将电子保函上传至诚E招</w:t>
            </w:r>
            <w:r>
              <w:rPr>
                <w:rFonts w:hint="eastAsia"/>
                <w:color w:val="auto"/>
                <w:szCs w:val="21"/>
                <w:highlight w:val="none"/>
              </w:rPr>
              <w:t>，打印件制作在投标（响应）文件中</w:t>
            </w:r>
            <w:r>
              <w:rPr>
                <w:color w:val="auto"/>
                <w:szCs w:val="21"/>
                <w:highlight w:val="none"/>
              </w:rPr>
              <w:t>。（电子保函递交之后可致电采购代理机构核实）。</w:t>
            </w:r>
          </w:p>
          <w:p w14:paraId="599D3A8F">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纸质保函：通过金融机构</w:t>
            </w:r>
            <w:r>
              <w:rPr>
                <w:rFonts w:hint="eastAsia"/>
                <w:color w:val="auto"/>
                <w:szCs w:val="21"/>
                <w:highlight w:val="none"/>
                <w:lang w:val="en-US" w:eastAsia="zh-CN"/>
              </w:rPr>
              <w:t>或</w:t>
            </w:r>
            <w:r>
              <w:rPr>
                <w:rFonts w:hint="eastAsia"/>
                <w:color w:val="auto"/>
                <w:szCs w:val="21"/>
                <w:highlight w:val="none"/>
              </w:rPr>
              <w:t>担保机构开具的纸质保函，须密封递交原件。</w:t>
            </w:r>
          </w:p>
        </w:tc>
      </w:tr>
      <w:tr w14:paraId="0E762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704" w:type="dxa"/>
            <w:vAlign w:val="center"/>
          </w:tcPr>
          <w:p w14:paraId="319936BA">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20A50C43">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成交候选供应商推荐家数</w:t>
            </w:r>
          </w:p>
        </w:tc>
        <w:tc>
          <w:tcPr>
            <w:tcW w:w="7047" w:type="dxa"/>
            <w:vAlign w:val="center"/>
          </w:tcPr>
          <w:p w14:paraId="4FDC2D9C">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3家</w:t>
            </w:r>
          </w:p>
        </w:tc>
      </w:tr>
      <w:tr w14:paraId="5D9F3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14AF6FA5">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49D72604">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成交供应商家数</w:t>
            </w:r>
          </w:p>
        </w:tc>
        <w:tc>
          <w:tcPr>
            <w:tcW w:w="7047" w:type="dxa"/>
            <w:vAlign w:val="center"/>
          </w:tcPr>
          <w:p w14:paraId="751E9BCD">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1家</w:t>
            </w:r>
          </w:p>
        </w:tc>
      </w:tr>
      <w:tr w14:paraId="6A8C9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704" w:type="dxa"/>
            <w:vAlign w:val="center"/>
          </w:tcPr>
          <w:p w14:paraId="61E5762B">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B303A52">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有效供应商家数</w:t>
            </w:r>
          </w:p>
        </w:tc>
        <w:tc>
          <w:tcPr>
            <w:tcW w:w="7047" w:type="dxa"/>
            <w:vAlign w:val="center"/>
          </w:tcPr>
          <w:p w14:paraId="44110FE2">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3家。此人数约定了开启与评审过程中的最低有效供应商家数，当家数不足时项目将不得开启、不得评审或直接终止采购。</w:t>
            </w:r>
          </w:p>
        </w:tc>
      </w:tr>
      <w:tr w14:paraId="764F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704" w:type="dxa"/>
            <w:vAlign w:val="center"/>
          </w:tcPr>
          <w:p w14:paraId="21068005">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46A6008D">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项目兼投兼中（兼投不兼中）规则</w:t>
            </w:r>
          </w:p>
        </w:tc>
        <w:tc>
          <w:tcPr>
            <w:tcW w:w="7047" w:type="dxa"/>
            <w:vAlign w:val="center"/>
          </w:tcPr>
          <w:p w14:paraId="74A81695">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本项目不涉及</w:t>
            </w:r>
          </w:p>
        </w:tc>
      </w:tr>
      <w:tr w14:paraId="79BD9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704" w:type="dxa"/>
            <w:vAlign w:val="center"/>
          </w:tcPr>
          <w:p w14:paraId="7744DDC5">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620E5F49">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成交供应商确定方式</w:t>
            </w:r>
          </w:p>
        </w:tc>
        <w:tc>
          <w:tcPr>
            <w:tcW w:w="7047" w:type="dxa"/>
            <w:vAlign w:val="center"/>
          </w:tcPr>
          <w:p w14:paraId="0A2AB719">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t>■</w:t>
            </w:r>
            <w:r>
              <w:rPr>
                <w:rFonts w:hint="eastAsia"/>
                <w:color w:val="auto"/>
                <w:szCs w:val="21"/>
                <w:highlight w:val="none"/>
              </w:rPr>
              <w:t>采购人按照评</w:t>
            </w:r>
            <w:r>
              <w:rPr>
                <w:rFonts w:hint="eastAsia"/>
                <w:color w:val="auto"/>
                <w:szCs w:val="21"/>
                <w:highlight w:val="none"/>
                <w:lang w:val="en-US" w:eastAsia="zh-CN"/>
              </w:rPr>
              <w:t>审</w:t>
            </w:r>
            <w:r>
              <w:rPr>
                <w:rFonts w:hint="eastAsia"/>
                <w:color w:val="auto"/>
                <w:szCs w:val="21"/>
                <w:highlight w:val="none"/>
              </w:rPr>
              <w:t>报告中推荐的</w:t>
            </w:r>
            <w:r>
              <w:rPr>
                <w:rFonts w:hint="eastAsia"/>
                <w:color w:val="auto"/>
                <w:szCs w:val="21"/>
                <w:highlight w:val="none"/>
                <w:lang w:val="en-US" w:eastAsia="zh-CN"/>
              </w:rPr>
              <w:t>成交</w:t>
            </w:r>
            <w:r>
              <w:rPr>
                <w:rFonts w:hint="eastAsia"/>
                <w:color w:val="auto"/>
                <w:szCs w:val="21"/>
                <w:highlight w:val="none"/>
              </w:rPr>
              <w:t>候选人确定</w:t>
            </w:r>
            <w:r>
              <w:rPr>
                <w:rFonts w:hint="eastAsia"/>
                <w:color w:val="auto"/>
                <w:szCs w:val="21"/>
                <w:highlight w:val="none"/>
                <w:lang w:val="en-US" w:eastAsia="zh-CN"/>
              </w:rPr>
              <w:t>成交</w:t>
            </w:r>
            <w:r>
              <w:rPr>
                <w:rFonts w:hint="eastAsia"/>
                <w:color w:val="auto"/>
                <w:szCs w:val="21"/>
                <w:highlight w:val="none"/>
              </w:rPr>
              <w:t>人。 /</w:t>
            </w:r>
            <w:r>
              <w:rPr>
                <w:color w:val="auto"/>
                <w:szCs w:val="21"/>
                <w:highlight w:val="none"/>
              </w:rPr>
              <w:t xml:space="preserve"> □</w:t>
            </w:r>
            <w:r>
              <w:rPr>
                <w:rFonts w:hint="eastAsia"/>
                <w:color w:val="auto"/>
                <w:szCs w:val="21"/>
                <w:highlight w:val="none"/>
              </w:rPr>
              <w:t>采购人授权评</w:t>
            </w:r>
            <w:r>
              <w:rPr>
                <w:rFonts w:hint="eastAsia"/>
                <w:color w:val="auto"/>
                <w:szCs w:val="21"/>
                <w:highlight w:val="none"/>
                <w:lang w:val="en-US" w:eastAsia="zh-CN"/>
              </w:rPr>
              <w:t>审</w:t>
            </w:r>
            <w:r>
              <w:rPr>
                <w:rFonts w:hint="eastAsia"/>
                <w:color w:val="auto"/>
                <w:szCs w:val="21"/>
                <w:highlight w:val="none"/>
              </w:rPr>
              <w:t>委员会按照评审原则直接确定</w:t>
            </w:r>
            <w:r>
              <w:rPr>
                <w:rFonts w:hint="eastAsia"/>
                <w:color w:val="auto"/>
                <w:szCs w:val="21"/>
                <w:highlight w:val="none"/>
                <w:lang w:val="en-US" w:eastAsia="zh-CN"/>
              </w:rPr>
              <w:t>成交</w:t>
            </w:r>
            <w:r>
              <w:rPr>
                <w:rFonts w:hint="eastAsia"/>
                <w:color w:val="auto"/>
                <w:szCs w:val="21"/>
                <w:highlight w:val="none"/>
              </w:rPr>
              <w:t>人。</w:t>
            </w:r>
          </w:p>
        </w:tc>
      </w:tr>
      <w:tr w14:paraId="33F05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B55FF49">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02243F16">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代理服务费</w:t>
            </w:r>
          </w:p>
        </w:tc>
        <w:tc>
          <w:tcPr>
            <w:tcW w:w="7047" w:type="dxa"/>
            <w:vAlign w:val="center"/>
          </w:tcPr>
          <w:p w14:paraId="799C20ED">
            <w:pPr>
              <w:pStyle w:val="19"/>
              <w:keepNext w:val="0"/>
              <w:keepLines w:val="0"/>
              <w:pageBreakBefore w:val="0"/>
              <w:widowControl w:val="0"/>
              <w:kinsoku/>
              <w:wordWrap/>
              <w:overflowPunct/>
              <w:topLinePunct w:val="0"/>
              <w:bidi w:val="0"/>
              <w:spacing w:beforeLines="0" w:afterLines="0"/>
              <w:rPr>
                <w:rFonts w:hint="default" w:eastAsia="宋体"/>
                <w:color w:val="auto"/>
                <w:szCs w:val="21"/>
                <w:highlight w:val="none"/>
                <w:lang w:val="en-US" w:eastAsia="zh-CN"/>
              </w:rPr>
            </w:pPr>
            <w:r>
              <w:rPr>
                <w:rFonts w:hint="eastAsia"/>
                <w:color w:val="auto"/>
                <w:szCs w:val="21"/>
                <w:highlight w:val="none"/>
              </w:rPr>
              <w:t>收费标准：</w:t>
            </w:r>
            <w:r>
              <w:rPr>
                <w:rFonts w:hint="eastAsia"/>
                <w:color w:val="auto"/>
                <w:szCs w:val="21"/>
                <w:highlight w:val="none"/>
                <w:lang w:val="en-US" w:eastAsia="zh-CN"/>
              </w:rPr>
              <w:t>按固定金额4500.00元收取。</w:t>
            </w:r>
          </w:p>
        </w:tc>
      </w:tr>
      <w:tr w14:paraId="566E5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trPr>
        <w:tc>
          <w:tcPr>
            <w:tcW w:w="704" w:type="dxa"/>
            <w:vAlign w:val="center"/>
          </w:tcPr>
          <w:p w14:paraId="60D2CA08">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5978493D">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代理服务费收取方式</w:t>
            </w:r>
          </w:p>
        </w:tc>
        <w:tc>
          <w:tcPr>
            <w:tcW w:w="7047" w:type="dxa"/>
            <w:vAlign w:val="center"/>
          </w:tcPr>
          <w:p w14:paraId="6E3A8E25">
            <w:pPr>
              <w:pStyle w:val="19"/>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向中标/成交供应商收取</w:t>
            </w:r>
          </w:p>
        </w:tc>
      </w:tr>
      <w:tr w14:paraId="17733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74F80A65">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2E3225DA">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响应文件数量和要求</w:t>
            </w:r>
          </w:p>
        </w:tc>
        <w:tc>
          <w:tcPr>
            <w:tcW w:w="7047" w:type="dxa"/>
          </w:tcPr>
          <w:p w14:paraId="68968063">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1.正本1份，副本2份，电子文件1份。正本与副本不一致时，以正本为准。</w:t>
            </w:r>
          </w:p>
          <w:p w14:paraId="36AC4D26">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2.电子文件：应包含纸质响应文件全部内容，以U盘或者光盘形式存储；电子文件中应包含Word、Excel等可编辑文档和签字盖章版的PDF扫描件；响应文件包括的其他电子文档（如视频等）也应包含在内；若有分项报价表（非固定格式，自行提供的），需提供Excel版本。</w:t>
            </w:r>
          </w:p>
          <w:p w14:paraId="032C509E">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t>3.针对多个采购包项目，若在评审要求相同的情况下，供应商可以选择编制一份或者多份投标（响应）文件，但须明确适用于“采购包1、采购包2、…”，若某些投标（响应）内容不可同时适用于多个采购包，则需分别进行明确，如报价部分的内容等文件。</w:t>
            </w:r>
          </w:p>
        </w:tc>
      </w:tr>
      <w:tr w14:paraId="2DA6A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3644B9CD">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14EDCADE">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响应文件密封要求</w:t>
            </w:r>
          </w:p>
        </w:tc>
        <w:tc>
          <w:tcPr>
            <w:tcW w:w="7047" w:type="dxa"/>
            <w:vAlign w:val="center"/>
          </w:tcPr>
          <w:p w14:paraId="7C559E70">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响应文件正本与副本可以单独密封包装，也可以所有响应文件密封包装在一个密封袋内，密封袋的封口处应粘贴处理。</w:t>
            </w:r>
          </w:p>
        </w:tc>
      </w:tr>
      <w:tr w14:paraId="1DB5C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14:paraId="0E6959BC">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E1D3616">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合同签订</w:t>
            </w:r>
          </w:p>
        </w:tc>
        <w:tc>
          <w:tcPr>
            <w:tcW w:w="7047" w:type="dxa"/>
            <w:vAlign w:val="center"/>
          </w:tcPr>
          <w:p w14:paraId="57594E10">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本采购文件提供的合同文本具体条款内容</w:t>
            </w:r>
            <w:r>
              <w:rPr>
                <w:rFonts w:hint="eastAsia"/>
                <w:color w:val="auto"/>
                <w:szCs w:val="21"/>
                <w:highlight w:val="none"/>
                <w:lang w:val="en-US" w:eastAsia="zh-CN"/>
              </w:rPr>
              <w:t>可</w:t>
            </w:r>
            <w:r>
              <w:rPr>
                <w:rFonts w:hint="eastAsia"/>
                <w:color w:val="auto"/>
                <w:szCs w:val="21"/>
                <w:highlight w:val="none"/>
              </w:rPr>
              <w:t>由采购人和成交供应商协商确定，但不得对采购文件和响应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6F4F4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04A387A4">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3663EA5">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本项目采购标的对应的中小企业划分标准所属行业</w:t>
            </w:r>
          </w:p>
        </w:tc>
        <w:tc>
          <w:tcPr>
            <w:tcW w:w="7047" w:type="dxa"/>
            <w:vAlign w:val="center"/>
          </w:tcPr>
          <w:tbl>
            <w:tblPr>
              <w:tblStyle w:val="49"/>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3332"/>
              <w:gridCol w:w="2773"/>
            </w:tblGrid>
            <w:tr w14:paraId="6935A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4" w:type="pct"/>
                  <w:vAlign w:val="center"/>
                </w:tcPr>
                <w:p w14:paraId="38042F0A">
                  <w:pPr>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包号</w:t>
                  </w:r>
                </w:p>
              </w:tc>
              <w:tc>
                <w:tcPr>
                  <w:tcW w:w="2442" w:type="pct"/>
                  <w:vAlign w:val="center"/>
                </w:tcPr>
                <w:p w14:paraId="6D601B46">
                  <w:pPr>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标的名称</w:t>
                  </w:r>
                </w:p>
              </w:tc>
              <w:tc>
                <w:tcPr>
                  <w:tcW w:w="2032" w:type="pct"/>
                  <w:vAlign w:val="center"/>
                </w:tcPr>
                <w:p w14:paraId="79713452">
                  <w:pPr>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中小企业划分标准所属行业</w:t>
                  </w:r>
                </w:p>
              </w:tc>
            </w:tr>
            <w:tr w14:paraId="3D2A5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4" w:type="pct"/>
                  <w:vAlign w:val="center"/>
                </w:tcPr>
                <w:p w14:paraId="3124C146">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1</w:t>
                  </w:r>
                </w:p>
              </w:tc>
              <w:tc>
                <w:tcPr>
                  <w:tcW w:w="2442" w:type="pct"/>
                  <w:vAlign w:val="center"/>
                </w:tcPr>
                <w:p w14:paraId="3D6E1050">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2026年政府采购限额标准以下零星修缮工程</w:t>
                  </w:r>
                </w:p>
              </w:tc>
              <w:tc>
                <w:tcPr>
                  <w:tcW w:w="2032" w:type="pct"/>
                  <w:vAlign w:val="center"/>
                </w:tcPr>
                <w:p w14:paraId="3770FD60">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highlight w:val="none"/>
                    </w:rPr>
                    <w:t>建筑业</w:t>
                  </w:r>
                </w:p>
              </w:tc>
            </w:tr>
          </w:tbl>
          <w:p w14:paraId="729984AF">
            <w:pPr>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p>
        </w:tc>
      </w:tr>
      <w:tr w14:paraId="4301D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78D292DD">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2D8EE75F">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项目属性</w:t>
            </w:r>
          </w:p>
        </w:tc>
        <w:tc>
          <w:tcPr>
            <w:tcW w:w="7047" w:type="dxa"/>
            <w:vAlign w:val="center"/>
          </w:tcPr>
          <w:p w14:paraId="0D367EAB">
            <w:pPr>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工程项目</w:t>
            </w:r>
          </w:p>
        </w:tc>
      </w:tr>
      <w:tr w14:paraId="709A7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1BF673C0">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72E4D342">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是否允许进口产品</w:t>
            </w:r>
          </w:p>
        </w:tc>
        <w:tc>
          <w:tcPr>
            <w:tcW w:w="7047" w:type="dxa"/>
            <w:vAlign w:val="center"/>
          </w:tcPr>
          <w:p w14:paraId="10839940">
            <w:pPr>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color w:val="auto"/>
                <w:szCs w:val="21"/>
                <w:highlight w:val="none"/>
              </w:rPr>
              <w:t>□</w:t>
            </w:r>
            <w:r>
              <w:rPr>
                <w:rFonts w:hint="eastAsia"/>
                <w:color w:val="auto"/>
                <w:szCs w:val="21"/>
                <w:highlight w:val="none"/>
              </w:rPr>
              <w:t>是 /</w:t>
            </w:r>
            <w:r>
              <w:rPr>
                <w:color w:val="auto"/>
                <w:szCs w:val="21"/>
                <w:highlight w:val="none"/>
              </w:rPr>
              <w:t xml:space="preserve"> ■</w:t>
            </w:r>
            <w:r>
              <w:rPr>
                <w:rFonts w:hint="eastAsia"/>
                <w:color w:val="auto"/>
                <w:szCs w:val="21"/>
                <w:highlight w:val="none"/>
              </w:rPr>
              <w:t>否</w:t>
            </w:r>
          </w:p>
        </w:tc>
      </w:tr>
      <w:tr w14:paraId="48D2B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5D5D5074">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p>
        </w:tc>
        <w:tc>
          <w:tcPr>
            <w:tcW w:w="1985" w:type="dxa"/>
            <w:vAlign w:val="center"/>
          </w:tcPr>
          <w:p w14:paraId="30D90A89">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合同分包</w:t>
            </w:r>
          </w:p>
        </w:tc>
        <w:tc>
          <w:tcPr>
            <w:tcW w:w="7047" w:type="dxa"/>
            <w:vAlign w:val="center"/>
          </w:tcPr>
          <w:p w14:paraId="3176FD74">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r>
              <w:rPr>
                <w:rFonts w:hint="eastAsia"/>
                <w:color w:val="auto"/>
                <w:sz w:val="21"/>
                <w:szCs w:val="21"/>
                <w:highlight w:val="none"/>
                <w:lang w:eastAsia="zh-CN"/>
              </w:rPr>
              <w:t xml:space="preserve">本项目的非主体、非关键性工作是否允许分包： </w:t>
            </w:r>
          </w:p>
          <w:p w14:paraId="15DED740">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r>
              <w:rPr>
                <w:rFonts w:hint="eastAsia"/>
                <w:color w:val="auto"/>
                <w:sz w:val="21"/>
                <w:szCs w:val="21"/>
                <w:highlight w:val="none"/>
                <w:lang w:eastAsia="zh-CN"/>
              </w:rPr>
              <w:t>■不允许</w:t>
            </w:r>
          </w:p>
          <w:p w14:paraId="303937F8">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r>
              <w:rPr>
                <w:rFonts w:hint="eastAsia"/>
                <w:color w:val="auto"/>
                <w:sz w:val="21"/>
                <w:szCs w:val="21"/>
                <w:highlight w:val="none"/>
                <w:lang w:eastAsia="zh-CN"/>
              </w:rPr>
              <w:t>□允许，具体要求：</w:t>
            </w:r>
          </w:p>
          <w:p w14:paraId="212BB3F6">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r>
              <w:rPr>
                <w:rFonts w:hint="eastAsia"/>
                <w:color w:val="auto"/>
                <w:sz w:val="21"/>
                <w:szCs w:val="21"/>
                <w:highlight w:val="none"/>
                <w:lang w:eastAsia="zh-CN"/>
              </w:rPr>
              <w:t>（1）可以分包履行的具体内容：_____；</w:t>
            </w:r>
          </w:p>
          <w:p w14:paraId="7C7AAFF2">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r>
              <w:rPr>
                <w:rFonts w:hint="eastAsia"/>
                <w:color w:val="auto"/>
                <w:sz w:val="21"/>
                <w:szCs w:val="21"/>
                <w:highlight w:val="none"/>
                <w:lang w:eastAsia="zh-CN"/>
              </w:rPr>
              <w:t>（2）允许分包的金额或者比例：_____；</w:t>
            </w:r>
          </w:p>
          <w:p w14:paraId="0A7E486C">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r>
              <w:rPr>
                <w:rFonts w:hint="eastAsia"/>
                <w:color w:val="auto"/>
                <w:sz w:val="21"/>
                <w:szCs w:val="21"/>
                <w:highlight w:val="none"/>
                <w:lang w:eastAsia="zh-CN"/>
              </w:rPr>
              <w:t>（3）分包供应商必须具备的资质：_____；</w:t>
            </w:r>
          </w:p>
          <w:p w14:paraId="2D0F287E">
            <w:pPr>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（4）其他要求：_____。</w:t>
            </w:r>
          </w:p>
        </w:tc>
      </w:tr>
      <w:tr w14:paraId="4121D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4" w:type="dxa"/>
            <w:vAlign w:val="center"/>
          </w:tcPr>
          <w:p w14:paraId="25D49FA6">
            <w:pPr>
              <w:pStyle w:val="19"/>
              <w:keepNext w:val="0"/>
              <w:keepLines w:val="0"/>
              <w:pageBreakBefore w:val="0"/>
              <w:widowControl w:val="0"/>
              <w:numPr>
                <w:ilvl w:val="0"/>
                <w:numId w:val="7"/>
              </w:numPr>
              <w:kinsoku/>
              <w:wordWrap/>
              <w:overflowPunct/>
              <w:topLinePunct w:val="0"/>
              <w:bidi w:val="0"/>
              <w:spacing w:beforeLines="0" w:afterLines="0" w:line="360" w:lineRule="auto"/>
              <w:ind w:left="0" w:firstLine="0"/>
              <w:jc w:val="center"/>
              <w:rPr>
                <w:rFonts w:hint="eastAsia"/>
                <w:color w:val="auto"/>
                <w:szCs w:val="21"/>
                <w:highlight w:val="none"/>
              </w:rPr>
            </w:pPr>
            <w:bookmarkStart w:id="66" w:name="_Toc104040744"/>
            <w:bookmarkStart w:id="67" w:name="_Toc104040690"/>
          </w:p>
        </w:tc>
        <w:tc>
          <w:tcPr>
            <w:tcW w:w="1985" w:type="dxa"/>
            <w:vAlign w:val="center"/>
          </w:tcPr>
          <w:p w14:paraId="21D889EC">
            <w:pPr>
              <w:keepNext w:val="0"/>
              <w:keepLines w:val="0"/>
              <w:pageBreakBefore w:val="0"/>
              <w:widowControl w:val="0"/>
              <w:kinsoku/>
              <w:wordWrap/>
              <w:overflowPunct/>
              <w:topLinePunct w:val="0"/>
              <w:autoSpaceDE/>
              <w:autoSpaceDN/>
              <w:bidi w:val="0"/>
              <w:adjustRightInd/>
              <w:snapToGrid/>
              <w:spacing w:beforeLines="0" w:afterLines="0" w:line="360" w:lineRule="auto"/>
              <w:ind w:left="105" w:leftChars="50" w:right="105" w:rightChars="50"/>
              <w:jc w:val="center"/>
              <w:textAlignment w:val="auto"/>
              <w:rPr>
                <w:rFonts w:hint="eastAsia"/>
                <w:color w:val="auto"/>
                <w:szCs w:val="21"/>
                <w:highlight w:val="none"/>
              </w:rPr>
            </w:pPr>
            <w:r>
              <w:rPr>
                <w:rFonts w:hint="eastAsia"/>
                <w:color w:val="auto"/>
                <w:szCs w:val="21"/>
                <w:highlight w:val="none"/>
                <w:lang w:val="en-US" w:eastAsia="zh-CN"/>
              </w:rPr>
              <w:t>总公司与分公司投标注意事项</w:t>
            </w:r>
          </w:p>
        </w:tc>
        <w:tc>
          <w:tcPr>
            <w:tcW w:w="7047" w:type="dxa"/>
            <w:vAlign w:val="center"/>
          </w:tcPr>
          <w:p w14:paraId="0F47D1D5">
            <w:pPr>
              <w:pStyle w:val="358"/>
              <w:keepNext w:val="0"/>
              <w:keepLines w:val="0"/>
              <w:pageBreakBefore w:val="0"/>
              <w:widowControl w:val="0"/>
              <w:kinsoku/>
              <w:wordWrap/>
              <w:overflowPunct/>
              <w:topLinePunct w:val="0"/>
              <w:autoSpaceDE/>
              <w:autoSpaceDN/>
              <w:bidi w:val="0"/>
              <w:adjustRightInd/>
              <w:snapToGrid/>
              <w:spacing w:beforeLines="0" w:afterLines="0"/>
              <w:ind w:left="0" w:leftChars="0" w:right="0" w:rightChars="0" w:firstLine="0" w:firstLineChars="0"/>
              <w:textAlignment w:val="auto"/>
              <w:rPr>
                <w:rFonts w:hint="eastAsia"/>
                <w:color w:val="auto"/>
                <w:sz w:val="21"/>
                <w:szCs w:val="21"/>
                <w:highlight w:val="none"/>
                <w:lang w:val="en-US" w:eastAsia="zh-CN"/>
              </w:rPr>
            </w:pPr>
            <w:r>
              <w:rPr>
                <w:rFonts w:hint="eastAsia"/>
                <w:color w:val="auto"/>
                <w:sz w:val="21"/>
                <w:szCs w:val="21"/>
                <w:highlight w:val="none"/>
                <w:lang w:val="en-US" w:eastAsia="zh-CN"/>
              </w:rPr>
              <w:t>1.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21596582">
            <w:pPr>
              <w:pStyle w:val="358"/>
              <w:keepNext w:val="0"/>
              <w:keepLines w:val="0"/>
              <w:pageBreakBefore w:val="0"/>
              <w:widowControl w:val="0"/>
              <w:kinsoku/>
              <w:wordWrap/>
              <w:overflowPunct/>
              <w:topLinePunct w:val="0"/>
              <w:autoSpaceDE/>
              <w:autoSpaceDN/>
              <w:bidi w:val="0"/>
              <w:adjustRightInd/>
              <w:snapToGrid/>
              <w:spacing w:beforeLines="0" w:afterLines="0"/>
              <w:ind w:left="0" w:leftChars="0" w:right="0" w:rightChars="0" w:firstLine="0" w:firstLineChars="0"/>
              <w:textAlignment w:val="auto"/>
              <w:rPr>
                <w:rFonts w:hint="eastAsia"/>
                <w:color w:val="auto"/>
                <w:sz w:val="21"/>
                <w:szCs w:val="21"/>
                <w:highlight w:val="none"/>
                <w:lang w:val="en-US" w:eastAsia="zh-CN"/>
              </w:rPr>
            </w:pPr>
            <w:r>
              <w:rPr>
                <w:rFonts w:hint="eastAsia"/>
                <w:color w:val="auto"/>
                <w:sz w:val="21"/>
                <w:szCs w:val="21"/>
                <w:highlight w:val="none"/>
                <w:lang w:val="en-US" w:eastAsia="zh-CN"/>
              </w:rPr>
              <w:t>2.上述特殊行业的分支机构参与投标时，其总公司的资质、业绩、设备和人员证明等将予以认可，视为响应供应商提供的证明材料。</w:t>
            </w:r>
          </w:p>
          <w:p w14:paraId="727E70D7">
            <w:pPr>
              <w:pStyle w:val="358"/>
              <w:keepNext w:val="0"/>
              <w:keepLines w:val="0"/>
              <w:pageBreakBefore w:val="0"/>
              <w:widowControl w:val="0"/>
              <w:kinsoku/>
              <w:wordWrap/>
              <w:overflowPunct/>
              <w:topLinePunct w:val="0"/>
              <w:autoSpaceDE/>
              <w:autoSpaceDN/>
              <w:bidi w:val="0"/>
              <w:adjustRightInd/>
              <w:snapToGrid/>
              <w:spacing w:beforeLines="0" w:afterLines="0"/>
              <w:ind w:left="0" w:leftChars="0" w:right="0" w:rightChars="0" w:firstLine="0" w:firstLineChars="0"/>
              <w:textAlignment w:val="auto"/>
              <w:rPr>
                <w:rFonts w:hint="eastAsia"/>
                <w:color w:val="auto"/>
                <w:sz w:val="21"/>
                <w:szCs w:val="21"/>
                <w:highlight w:val="none"/>
                <w:lang w:val="en-US" w:eastAsia="zh-CN"/>
              </w:rPr>
            </w:pPr>
            <w:r>
              <w:rPr>
                <w:rFonts w:hint="eastAsia"/>
                <w:color w:val="auto"/>
                <w:sz w:val="21"/>
                <w:szCs w:val="21"/>
                <w:highlight w:val="none"/>
                <w:lang w:val="en-US" w:eastAsia="zh-CN"/>
              </w:rPr>
              <w:t>3.上述特殊行业的分支机构参与投标时，其同一总公司下的其他分支机构的资质、业绩、设备和人员证明等也将予以认可，视为响应供应商提供的证明材料。</w:t>
            </w:r>
          </w:p>
          <w:p w14:paraId="3D362ABE">
            <w:pPr>
              <w:pStyle w:val="358"/>
              <w:keepNext w:val="0"/>
              <w:keepLines w:val="0"/>
              <w:pageBreakBefore w:val="0"/>
              <w:widowControl w:val="0"/>
              <w:kinsoku/>
              <w:wordWrap/>
              <w:overflowPunct/>
              <w:topLinePunct w:val="0"/>
              <w:autoSpaceDE/>
              <w:autoSpaceDN/>
              <w:bidi w:val="0"/>
              <w:adjustRightInd/>
              <w:snapToGrid/>
              <w:spacing w:beforeLines="0" w:afterLines="0"/>
              <w:ind w:left="0" w:leftChars="0" w:right="0" w:rightChars="0" w:firstLine="0" w:firstLineChars="0"/>
              <w:textAlignment w:val="auto"/>
              <w:rPr>
                <w:rFonts w:hint="eastAsia"/>
                <w:color w:val="auto"/>
                <w:szCs w:val="21"/>
                <w:highlight w:val="none"/>
              </w:rPr>
            </w:pPr>
            <w:r>
              <w:rPr>
                <w:rFonts w:hint="eastAsia"/>
                <w:color w:val="auto"/>
                <w:sz w:val="21"/>
                <w:szCs w:val="21"/>
                <w:highlight w:val="none"/>
                <w:lang w:val="en-US" w:eastAsia="zh-CN"/>
              </w:rPr>
              <w:t>4.总公司参与投标时，可以使用分公司的资质、业绩、设备和人员证明等参与政府采购活动。</w:t>
            </w:r>
          </w:p>
        </w:tc>
      </w:tr>
    </w:tbl>
    <w:p w14:paraId="442032C7">
      <w:pPr>
        <w:keepNext w:val="0"/>
        <w:keepLines w:val="0"/>
        <w:pageBreakBefore w:val="0"/>
        <w:widowControl w:val="0"/>
        <w:kinsoku/>
        <w:wordWrap/>
        <w:overflowPunct/>
        <w:topLinePunct w:val="0"/>
        <w:bidi w:val="0"/>
        <w:spacing w:beforeLines="0" w:afterLines="0"/>
        <w:rPr>
          <w:rFonts w:hint="eastAsia"/>
          <w:color w:val="auto"/>
          <w:highlight w:val="none"/>
        </w:rPr>
      </w:pPr>
    </w:p>
    <w:p w14:paraId="2081EFC3">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68" w:name="_Toc30907"/>
      <w:r>
        <w:rPr>
          <w:rFonts w:hint="eastAsia" w:ascii="宋体" w:hAnsi="宋体" w:eastAsia="宋体"/>
          <w:color w:val="auto"/>
          <w:sz w:val="21"/>
          <w:szCs w:val="21"/>
          <w:highlight w:val="none"/>
        </w:rPr>
        <w:t>说明</w:t>
      </w:r>
      <w:bookmarkEnd w:id="66"/>
      <w:bookmarkEnd w:id="67"/>
      <w:bookmarkEnd w:id="68"/>
    </w:p>
    <w:p w14:paraId="28403CF9">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总则</w:t>
      </w:r>
    </w:p>
    <w:p w14:paraId="7771AAD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本磋商文件依据《中华人民共和国政府采购法》、《中华人民共和国政府采购法实施条例》（国务院令第658号）和《政府采购竞争性磋商采购方式管理暂行办法》（财库〔2014〕214号）及国家有关法律、法规、规章制度编制。</w:t>
      </w:r>
    </w:p>
    <w:p w14:paraId="7676F1C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供应商应仔细阅读本项目信息公告及磋商文件的所有内容（包括变更、补充、澄清以及修改等，且均为磋商文件的组成部分），按照磋商文件要求以及格式编制响应文件，并保证其真实性，否则一切后果自负。</w:t>
      </w:r>
    </w:p>
    <w:p w14:paraId="6E80686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本次竞争性磋商项目，是以磋商公告的方式邀请非特定的供应商参加磋商。</w:t>
      </w:r>
    </w:p>
    <w:p w14:paraId="25A9DE2F">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适用范围</w:t>
      </w:r>
    </w:p>
    <w:p w14:paraId="71FAC00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本磋商文件仅适用于本次磋商公告中所涉及的项目和内容。</w:t>
      </w:r>
    </w:p>
    <w:p w14:paraId="49A1EBF3">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进口产品</w:t>
      </w:r>
    </w:p>
    <w:p w14:paraId="29011D1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p w14:paraId="0ECDDF0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若本项目允许采购进口产品，供应商应保证所投产品可履行合法报通关手续进入中国关境内。</w:t>
      </w:r>
    </w:p>
    <w:p w14:paraId="3A7070F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若本项目不允许采购进口产品，如供应商所投产品为进口产品，其响应将被认定为响应无效。</w:t>
      </w:r>
    </w:p>
    <w:p w14:paraId="13F0905E">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磋商费用</w:t>
      </w:r>
    </w:p>
    <w:p w14:paraId="053F272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不论磋商结果如何，供应商应承担所有与准备和参加磋商有关的费用。采购代理机构和采购人均无义务和责任承担相关费用。</w:t>
      </w:r>
    </w:p>
    <w:p w14:paraId="46C7F65B">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以联合体形式磋商的，应符合以下规定：</w:t>
      </w:r>
    </w:p>
    <w:p w14:paraId="070D93A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5.1联合体各方均应当满足《</w:t>
      </w:r>
      <w:bookmarkStart w:id="69" w:name="_Hlk112002922"/>
      <w:r>
        <w:rPr>
          <w:rFonts w:hint="eastAsia"/>
          <w:color w:val="auto"/>
          <w:szCs w:val="20"/>
          <w:highlight w:val="none"/>
        </w:rPr>
        <w:t>中华人民共和国政府采购法</w:t>
      </w:r>
      <w:bookmarkEnd w:id="69"/>
      <w:r>
        <w:rPr>
          <w:rFonts w:hint="eastAsia"/>
          <w:color w:val="auto"/>
          <w:szCs w:val="20"/>
          <w:highlight w:val="none"/>
        </w:rPr>
        <w:t>》第二十二条规定的条件，并在响应文件中提供联合体各方的相关证明材料。</w:t>
      </w:r>
    </w:p>
    <w:p w14:paraId="4E51C95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5.2联合体各方之间应签订联合体协议书并在响应文件中提交，明确约定联合体各方承担的工作和相应的责任。联合体各方签订联合体协议书后，不得再以自己名义单独在同一项目中响应，也不得组成新的联合体参加同一项目响应，若违反规定则其参与的所有响应将视为无效响应。</w:t>
      </w:r>
    </w:p>
    <w:p w14:paraId="5A68253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5.3联合体名称需与联合体共同响应协议书签署方一致。对于需交响应保证金的，以牵头方名义缴纳。</w:t>
      </w:r>
    </w:p>
    <w:p w14:paraId="10DAD63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5.4联合体成员存在不良信用记录的，视同联合体存在不良信用记录。</w:t>
      </w:r>
    </w:p>
    <w:p w14:paraId="7EA9799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14:paraId="4A86CCB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5.6联合体各方应当共同与采购人签订采购合同，就合同约定的事项对采购人承担连带责任。</w:t>
      </w:r>
    </w:p>
    <w:p w14:paraId="49CD5D7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5.7大中型企业、其他自然人、法人或者非法人组织与小型、微型企业组成联合体共同参加投标（响应），共同响应协议中应写明小型、微型企业的协议合同金额占到共同响应协议投标</w:t>
      </w:r>
      <w:bookmarkStart w:id="70" w:name="_Hlk175748018"/>
      <w:r>
        <w:rPr>
          <w:rFonts w:hint="eastAsia"/>
          <w:color w:val="auto"/>
          <w:szCs w:val="20"/>
          <w:highlight w:val="none"/>
        </w:rPr>
        <w:t>（响应）</w:t>
      </w:r>
      <w:bookmarkEnd w:id="70"/>
      <w:r>
        <w:rPr>
          <w:rFonts w:hint="eastAsia"/>
          <w:color w:val="auto"/>
          <w:szCs w:val="20"/>
          <w:highlight w:val="none"/>
        </w:rPr>
        <w:t>总金额的比例。</w:t>
      </w:r>
    </w:p>
    <w:p w14:paraId="6A86ACA9">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关联企业响应说明</w:t>
      </w:r>
    </w:p>
    <w:p w14:paraId="1F6FCB4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6.1对于不接受联合体响应的采购项目（采购包）：法定代表人或单位负责人为同一个人或者存在直接控股、管理关系的不同供应商，不得同时参加同一项目或同一采购包的响应。如同时参加，则评审时将同时被拒绝。</w:t>
      </w:r>
    </w:p>
    <w:p w14:paraId="6F0D50B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w:t>
      </w:r>
      <w:r>
        <w:rPr>
          <w:color w:val="auto"/>
          <w:szCs w:val="20"/>
          <w:highlight w:val="none"/>
        </w:rPr>
        <w:t>.2</w:t>
      </w:r>
      <w:r>
        <w:rPr>
          <w:rFonts w:hint="eastAsia"/>
          <w:color w:val="auto"/>
          <w:szCs w:val="20"/>
          <w:highlight w:val="none"/>
        </w:rPr>
        <w:t>对于接受联合体响应的采购项目（采购包）：除联合体外，法定代表人或单位负责人为同一个人或者存在直接控股、管理关系的不同供应商，不得同时参加同一项目或同一采购包的响应。如同时参加，则评审时将同时被拒绝。</w:t>
      </w:r>
    </w:p>
    <w:p w14:paraId="7CE961CF">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关于中小微企业响应</w:t>
      </w:r>
    </w:p>
    <w:p w14:paraId="1C964FD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中小企业划分见《关于印发中小企业划型标准规定的通知》（工信部联企业〔2011〕300号) 和《金融业企业划型标准规定》（银发〔</w:t>
      </w:r>
      <w:r>
        <w:rPr>
          <w:color w:val="auto"/>
          <w:szCs w:val="20"/>
          <w:highlight w:val="none"/>
        </w:rPr>
        <w:t>2015〕309号）</w:t>
      </w:r>
      <w:r>
        <w:rPr>
          <w:rFonts w:hint="eastAsia"/>
          <w:color w:val="auto"/>
          <w:szCs w:val="20"/>
          <w:highlight w:val="none"/>
        </w:rPr>
        <w:t>。</w:t>
      </w:r>
    </w:p>
    <w:p w14:paraId="6B65DD9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根据财库〔2014〕68号《财政部</w:t>
      </w:r>
      <w:r>
        <w:rPr>
          <w:color w:val="auto"/>
          <w:szCs w:val="20"/>
          <w:highlight w:val="none"/>
        </w:rPr>
        <w:t xml:space="preserve"> </w:t>
      </w:r>
      <w:r>
        <w:rPr>
          <w:rFonts w:hint="eastAsia"/>
          <w:color w:val="auto"/>
          <w:szCs w:val="20"/>
          <w:highlight w:val="none"/>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响应时，提供由省级以上监狱管理局、戒毒管理局(含新疆生产建设兵团)出具的属于监狱企业的证明文件，不再提供《中小企业声明函》。</w:t>
      </w:r>
    </w:p>
    <w:p w14:paraId="155AF01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w:t>
      </w:r>
    </w:p>
    <w:p w14:paraId="3F65677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（1）安置的残疾人占本单位在职职工人数的比例不低于25%（含25%），并且安置的残疾人人数不少于10 人（含10 人）；</w:t>
      </w:r>
    </w:p>
    <w:p w14:paraId="4F15742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（2）依法与安置的每位残疾人签订了一年以上（含一年）的劳动合同或服务协议；</w:t>
      </w:r>
    </w:p>
    <w:p w14:paraId="334C557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（3）为安置的每位残疾人按月足额缴纳了基本养老保险、基本医疗保险、失业保险、工伤保险和生育保险等社会保险费；</w:t>
      </w:r>
    </w:p>
    <w:p w14:paraId="6545CAE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（4）通过银行等金融机构向安置的每位残疾人，按月支付了不低于单位所在区县适用的经省级人民政府批准的月最低工资标准的工资；</w:t>
      </w:r>
    </w:p>
    <w:p w14:paraId="6C522A2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（5）提供本单位制造的货物、承担的工程或者服务（以下简称产品），或者提供其他残疾人福利性单位制造的货物（不包括使用非残疾人福利性单位注册商标的货物）。</w:t>
      </w:r>
    </w:p>
    <w:p w14:paraId="4998A75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p w14:paraId="7F9DAC1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残疾人福利性单位属于小型、微型企业的，不重复享受政策。符合条件的残疾人福利性单位在参加政府采购活动时，应当提供《残疾人福利性单位声明函》，并对声明的真实性负责。</w:t>
      </w:r>
    </w:p>
    <w:p w14:paraId="7D1EF88E">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纪律与保密事项</w:t>
      </w:r>
    </w:p>
    <w:p w14:paraId="5ACB298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8.1供应商不得相互串通磋商报价，不得妨碍其他供应商的公平竞争，不得损害采购人或其他供应商的合法权益，供应商不得以向采购人、磋商小组成员行贿或者采取其他不正当手段谋取成交。</w:t>
      </w:r>
    </w:p>
    <w:p w14:paraId="2666B62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8.2供应商不得与采购人就响应价格、响应方案等实质性内容进行磋商，也不得私下接触磋商小组成员。</w:t>
      </w:r>
    </w:p>
    <w:p w14:paraId="5A67F25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8.3在确定成交供应商之前，供应商试图在响应文件审查、澄清、比较和评价时对磋商小组、采购人和采购代理机构施加任何影响都可能导致其响应无效。</w:t>
      </w:r>
    </w:p>
    <w:p w14:paraId="7327AB9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8.4获得本磋商文件者，须履行本磋商项目下保密义务，不得将因本次磋商获得的信息向第三人外传，不得将磋商文件用作本次响应以外的任何用途。</w:t>
      </w:r>
    </w:p>
    <w:p w14:paraId="75F7A45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8.5由采购人向供应商提供的图纸、详细资料、样品、模型、模件和所有其它资料，均为保密资料，仅被用于它所规定的用途。除非得到采购人的同意，不能向任何第三方透露。开启结束后，应采购人要求，供应商应归还所有从采购人处获得的保密资料。</w:t>
      </w:r>
    </w:p>
    <w:p w14:paraId="617D4AA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8.6采购人或采购代理机构有权将供应商提供的所有资料向有关政府部门或磋商小组披露。</w:t>
      </w:r>
    </w:p>
    <w:p w14:paraId="74EBA34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8</w:t>
      </w:r>
      <w:r>
        <w:rPr>
          <w:color w:val="auto"/>
          <w:szCs w:val="20"/>
          <w:highlight w:val="none"/>
        </w:rPr>
        <w:t>.7</w:t>
      </w:r>
      <w:r>
        <w:rPr>
          <w:rFonts w:hint="eastAsia"/>
          <w:color w:val="auto"/>
          <w:szCs w:val="20"/>
          <w:highlight w:val="none"/>
        </w:rPr>
        <w:t>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6C7B309B">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语言文字以及度量衡单位</w:t>
      </w:r>
    </w:p>
    <w:p w14:paraId="31F6655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9.1除磋商文件另有规定外，响应文件应使用中文文本，若有不同文本，以中文文本为准。响应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620DE18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9.2除非磋商文件的技术规格中另有规定，供应商在响应文件中及其与采购人和采购代理机构的所有往来文件中的计量单位均应采用中华人民共和国法定计量单位。</w:t>
      </w:r>
    </w:p>
    <w:p w14:paraId="2CDD81A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9.3供应商所提供的货物和服务均应以人民币报价，货币单位：元。</w:t>
      </w:r>
    </w:p>
    <w:p w14:paraId="230A1DED">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现场踏勘（如有）</w:t>
      </w:r>
    </w:p>
    <w:p w14:paraId="4F6F711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10.1磋商文件规定组织踏勘现场的，采购人按磋商文件规定的时间、地点组织供应商踏勘项目现场。</w:t>
      </w:r>
    </w:p>
    <w:p w14:paraId="772D286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10.2供应商自行承担踏勘现场发生的责任、风险和自身费用。</w:t>
      </w:r>
    </w:p>
    <w:p w14:paraId="2491419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10.3采购人在踏勘现场中介绍的资料和数据等，不构成对磋商文件的修改或不作为供应商编制响应文件的依据。</w:t>
      </w:r>
    </w:p>
    <w:p w14:paraId="5299DB50">
      <w:pPr>
        <w:pStyle w:val="129"/>
        <w:keepNext w:val="0"/>
        <w:keepLines w:val="0"/>
        <w:pageBreakBefore w:val="0"/>
        <w:widowControl w:val="0"/>
        <w:numPr>
          <w:ilvl w:val="1"/>
          <w:numId w:val="8"/>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转包与分包</w:t>
      </w:r>
    </w:p>
    <w:p w14:paraId="312D46F2">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color w:val="auto"/>
          <w:sz w:val="21"/>
          <w:szCs w:val="21"/>
          <w:highlight w:val="none"/>
          <w:lang w:eastAsia="zh-CN"/>
        </w:rPr>
        <w:t>11.1本项目不允许转包。</w:t>
      </w:r>
    </w:p>
    <w:p w14:paraId="58881DB3">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color w:val="auto"/>
          <w:sz w:val="21"/>
          <w:szCs w:val="21"/>
          <w:highlight w:val="none"/>
          <w:lang w:eastAsia="zh-CN"/>
        </w:rPr>
        <w:t>11.2本项目是否允许分包详见“须知前附表”，本项目不允许违法分包。允许分包的非主体、非关键性工作，根据法律法规规定承担该工作需要行政许可的，如该工作由</w:t>
      </w:r>
      <w:r>
        <w:rPr>
          <w:rFonts w:hint="eastAsia"/>
          <w:color w:val="auto"/>
          <w:sz w:val="21"/>
          <w:szCs w:val="21"/>
          <w:highlight w:val="none"/>
          <w:lang w:eastAsia="zh-CN"/>
        </w:rPr>
        <w:t>供应商</w:t>
      </w:r>
      <w:r>
        <w:rPr>
          <w:color w:val="auto"/>
          <w:sz w:val="21"/>
          <w:szCs w:val="21"/>
          <w:highlight w:val="none"/>
          <w:lang w:eastAsia="zh-CN"/>
        </w:rPr>
        <w:t>自行承担，</w:t>
      </w:r>
      <w:r>
        <w:rPr>
          <w:rFonts w:hint="eastAsia"/>
          <w:color w:val="auto"/>
          <w:sz w:val="21"/>
          <w:szCs w:val="21"/>
          <w:highlight w:val="none"/>
          <w:lang w:eastAsia="zh-CN"/>
        </w:rPr>
        <w:t>供应商</w:t>
      </w:r>
      <w:r>
        <w:rPr>
          <w:color w:val="auto"/>
          <w:sz w:val="21"/>
          <w:szCs w:val="21"/>
          <w:highlight w:val="none"/>
          <w:lang w:eastAsia="zh-CN"/>
        </w:rPr>
        <w:t>应具备相应的行政许可，如</w:t>
      </w:r>
      <w:r>
        <w:rPr>
          <w:rFonts w:hint="eastAsia"/>
          <w:color w:val="auto"/>
          <w:sz w:val="21"/>
          <w:szCs w:val="21"/>
          <w:highlight w:val="none"/>
          <w:lang w:eastAsia="zh-CN"/>
        </w:rPr>
        <w:t>供应商</w:t>
      </w:r>
      <w:r>
        <w:rPr>
          <w:color w:val="auto"/>
          <w:sz w:val="21"/>
          <w:szCs w:val="21"/>
          <w:highlight w:val="none"/>
          <w:lang w:eastAsia="zh-CN"/>
        </w:rPr>
        <w:t>不具备相应的行政许可必须采用分包的方式，但分包</w:t>
      </w:r>
      <w:r>
        <w:rPr>
          <w:rFonts w:hint="eastAsia"/>
          <w:color w:val="auto"/>
          <w:sz w:val="21"/>
          <w:szCs w:val="21"/>
          <w:highlight w:val="none"/>
          <w:lang w:eastAsia="zh-CN"/>
        </w:rPr>
        <w:t>供应商</w:t>
      </w:r>
      <w:r>
        <w:rPr>
          <w:color w:val="auto"/>
          <w:sz w:val="21"/>
          <w:szCs w:val="21"/>
          <w:highlight w:val="none"/>
          <w:lang w:eastAsia="zh-CN"/>
        </w:rPr>
        <w:t>应具备相应行政许可。</w:t>
      </w:r>
    </w:p>
    <w:p w14:paraId="62E14456">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color w:val="auto"/>
          <w:sz w:val="21"/>
          <w:szCs w:val="21"/>
          <w:highlight w:val="none"/>
          <w:lang w:eastAsia="zh-CN"/>
        </w:rPr>
        <w:t>11.3</w:t>
      </w:r>
      <w:r>
        <w:rPr>
          <w:rFonts w:hint="eastAsia"/>
          <w:color w:val="auto"/>
          <w:sz w:val="21"/>
          <w:szCs w:val="21"/>
          <w:highlight w:val="none"/>
          <w:lang w:eastAsia="zh-CN"/>
        </w:rPr>
        <w:t>供应商</w:t>
      </w:r>
      <w:r>
        <w:rPr>
          <w:color w:val="auto"/>
          <w:sz w:val="21"/>
          <w:szCs w:val="21"/>
          <w:highlight w:val="none"/>
          <w:lang w:eastAsia="zh-CN"/>
        </w:rPr>
        <w:t>根据</w:t>
      </w:r>
      <w:r>
        <w:rPr>
          <w:rFonts w:hint="eastAsia"/>
          <w:color w:val="auto"/>
          <w:sz w:val="21"/>
          <w:szCs w:val="21"/>
          <w:highlight w:val="none"/>
          <w:lang w:eastAsia="zh-CN"/>
        </w:rPr>
        <w:t>采购</w:t>
      </w:r>
      <w:r>
        <w:rPr>
          <w:color w:val="auto"/>
          <w:sz w:val="21"/>
          <w:szCs w:val="21"/>
          <w:highlight w:val="none"/>
          <w:lang w:eastAsia="zh-CN"/>
        </w:rPr>
        <w:t>文件的规定和采购项目的实际情况，拟在</w:t>
      </w:r>
      <w:r>
        <w:rPr>
          <w:rFonts w:hint="eastAsia"/>
          <w:color w:val="auto"/>
          <w:sz w:val="21"/>
          <w:szCs w:val="21"/>
          <w:highlight w:val="none"/>
          <w:lang w:eastAsia="zh-CN"/>
        </w:rPr>
        <w:t>成交</w:t>
      </w:r>
      <w:r>
        <w:rPr>
          <w:color w:val="auto"/>
          <w:sz w:val="21"/>
          <w:szCs w:val="21"/>
          <w:highlight w:val="none"/>
          <w:lang w:eastAsia="zh-CN"/>
        </w:rPr>
        <w:t>后将</w:t>
      </w:r>
      <w:r>
        <w:rPr>
          <w:rFonts w:hint="eastAsia"/>
          <w:color w:val="auto"/>
          <w:sz w:val="21"/>
          <w:szCs w:val="21"/>
          <w:highlight w:val="none"/>
          <w:lang w:eastAsia="zh-CN"/>
        </w:rPr>
        <w:t>成交</w:t>
      </w:r>
      <w:r>
        <w:rPr>
          <w:color w:val="auto"/>
          <w:sz w:val="21"/>
          <w:szCs w:val="21"/>
          <w:highlight w:val="none"/>
          <w:lang w:eastAsia="zh-CN"/>
        </w:rPr>
        <w:t>项目的非主体、非关键性工作分包的，应当在</w:t>
      </w:r>
      <w:r>
        <w:rPr>
          <w:rFonts w:hint="eastAsia"/>
          <w:color w:val="auto"/>
          <w:sz w:val="21"/>
          <w:szCs w:val="21"/>
          <w:highlight w:val="none"/>
          <w:lang w:eastAsia="zh-CN"/>
        </w:rPr>
        <w:t>响应</w:t>
      </w:r>
      <w:r>
        <w:rPr>
          <w:color w:val="auto"/>
          <w:sz w:val="21"/>
          <w:szCs w:val="21"/>
          <w:highlight w:val="none"/>
          <w:lang w:eastAsia="zh-CN"/>
        </w:rPr>
        <w:t>文件中载明分包承担主体，分包承担主体应当具备相应资质条件且不得再次分包。</w:t>
      </w:r>
    </w:p>
    <w:p w14:paraId="137F7681">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1.4</w:t>
      </w:r>
      <w:r>
        <w:rPr>
          <w:rFonts w:hint="eastAsia"/>
          <w:color w:val="auto"/>
          <w:sz w:val="21"/>
          <w:szCs w:val="21"/>
          <w:highlight w:val="none"/>
          <w:lang w:eastAsia="zh-CN"/>
        </w:rPr>
        <w:t>享受中小企业扶持政策获得政府采购合同的，小微企业不得将合同分包给大中型企业，中型企业不得将合同分包给大型企业。</w:t>
      </w:r>
    </w:p>
    <w:p w14:paraId="23F687D7">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1.5</w:t>
      </w:r>
      <w:r>
        <w:rPr>
          <w:rFonts w:hint="eastAsia"/>
          <w:color w:val="auto"/>
          <w:sz w:val="21"/>
          <w:szCs w:val="21"/>
          <w:highlight w:val="none"/>
          <w:lang w:eastAsia="zh-CN"/>
        </w:rPr>
        <w:t>供应商应在签订政府采购合同前向采购人提供分包合同，否则，采购人有权拒绝签订采购合同。</w:t>
      </w:r>
    </w:p>
    <w:p w14:paraId="62910BE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p w14:paraId="5F128D63">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71" w:name="_Toc104040691"/>
      <w:bookmarkStart w:id="72" w:name="_Toc14843"/>
      <w:bookmarkStart w:id="73" w:name="_Toc104040745"/>
      <w:r>
        <w:rPr>
          <w:rFonts w:hint="eastAsia" w:ascii="宋体" w:hAnsi="宋体" w:eastAsia="宋体"/>
          <w:color w:val="auto"/>
          <w:sz w:val="21"/>
          <w:szCs w:val="21"/>
          <w:highlight w:val="none"/>
        </w:rPr>
        <w:t>磋商文件的澄清和修改</w:t>
      </w:r>
      <w:bookmarkEnd w:id="71"/>
      <w:bookmarkEnd w:id="72"/>
      <w:bookmarkEnd w:id="73"/>
    </w:p>
    <w:p w14:paraId="7AB6B3A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采购代理机构对磋商文件进行必要的澄清或者修改的，在指定媒体上发布更正公告。澄清或者修改的内容可能影响响应文件编制的，更正公告在递交响应文件截止时间至少5日前发出；不足5日的，代理机构顺延提交响应文件截止时间。</w:t>
      </w:r>
    </w:p>
    <w:p w14:paraId="22E8CB0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更正公告及其所发布的内容或信息（包括但不限于：磋商文件的澄清或修改、现场考察或答疑会的有关事宜等）作为磋商文件的组成部分，对供应商具有约束力。一经在指定媒体上发布后，更正公告将作为通知所有磋商文件收受人的书面形式。</w:t>
      </w:r>
    </w:p>
    <w:p w14:paraId="17FFF73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3.如更正公告有重新发布磋商文件的，供应商应重新获取最新发布的磋商文件制作响应文件。</w:t>
      </w:r>
    </w:p>
    <w:p w14:paraId="3BFD200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4.供应商在规定的时间内未对磋商文件提出疑问、质疑或要求澄清的，将视其为无异议。对磋商文件中描述有歧义或前后不一致的地方，磋商小组有权进行评判，但对同一条款的评判应适用于每个供应商。</w:t>
      </w:r>
    </w:p>
    <w:p w14:paraId="0C64380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p w14:paraId="2710DF64">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74" w:name="_Toc104040746"/>
      <w:bookmarkStart w:id="75" w:name="_Toc104040692"/>
      <w:bookmarkStart w:id="76" w:name="_Toc6675"/>
      <w:r>
        <w:rPr>
          <w:rFonts w:hint="eastAsia" w:ascii="宋体" w:hAnsi="宋体" w:eastAsia="宋体"/>
          <w:color w:val="auto"/>
          <w:sz w:val="21"/>
          <w:szCs w:val="21"/>
          <w:highlight w:val="none"/>
        </w:rPr>
        <w:t>响应要求</w:t>
      </w:r>
      <w:bookmarkEnd w:id="74"/>
      <w:bookmarkEnd w:id="75"/>
      <w:bookmarkEnd w:id="76"/>
    </w:p>
    <w:p w14:paraId="4640D179">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响应</w:t>
      </w:r>
      <w:r>
        <w:rPr>
          <w:rFonts w:hint="eastAsia" w:ascii="宋体" w:hAnsi="宋体"/>
          <w:b/>
          <w:bCs/>
          <w:color w:val="auto"/>
          <w:highlight w:val="none"/>
          <w:lang w:eastAsia="zh-CN"/>
        </w:rPr>
        <w:t>登记</w:t>
      </w:r>
    </w:p>
    <w:p w14:paraId="66A0DFD5">
      <w:pPr>
        <w:keepNext w:val="0"/>
        <w:keepLines w:val="0"/>
        <w:pageBreakBefore w:val="0"/>
        <w:widowControl w:val="0"/>
        <w:kinsoku/>
        <w:wordWrap/>
        <w:overflowPunct/>
        <w:topLinePunct w:val="0"/>
        <w:autoSpaceDE/>
        <w:autoSpaceDN/>
        <w:bidi w:val="0"/>
        <w:adjustRightInd/>
        <w:snapToGrid/>
        <w:spacing w:beforeLines="0" w:afterLines="0"/>
        <w:ind w:firstLine="420" w:firstLineChars="200"/>
        <w:textAlignment w:val="auto"/>
        <w:rPr>
          <w:rFonts w:hint="eastAsia"/>
          <w:color w:val="auto"/>
          <w:highlight w:val="none"/>
        </w:rPr>
      </w:pPr>
      <w:r>
        <w:rPr>
          <w:rFonts w:hint="eastAsia"/>
          <w:color w:val="auto"/>
          <w:highlight w:val="none"/>
        </w:rPr>
        <w:t xml:space="preserve">供应商应按照本项目“第一章 </w:t>
      </w:r>
      <w:r>
        <w:rPr>
          <w:rFonts w:hint="eastAsia"/>
          <w:color w:val="auto"/>
          <w:highlight w:val="none"/>
          <w:lang w:val="en-US" w:eastAsia="zh-CN"/>
        </w:rPr>
        <w:t>磋商</w:t>
      </w:r>
      <w:r>
        <w:rPr>
          <w:rFonts w:hint="eastAsia"/>
          <w:color w:val="auto"/>
          <w:highlight w:val="none"/>
        </w:rPr>
        <w:t>邀请”中规定的“获取采购文件方式”去获取采购文件（未按上述方式获取采购文件的供应商，其响应资格将被视为无效）。</w:t>
      </w:r>
    </w:p>
    <w:p w14:paraId="1B336211">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响应文件的制作</w:t>
      </w:r>
    </w:p>
    <w:p w14:paraId="212D0D1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2.1响应文件格式要求详见第六章说明。</w:t>
      </w:r>
    </w:p>
    <w:p w14:paraId="2E455D1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2.2</w:t>
      </w:r>
      <w:r>
        <w:rPr>
          <w:rFonts w:hint="eastAsia"/>
          <w:color w:val="auto"/>
          <w:szCs w:val="20"/>
          <w:highlight w:val="none"/>
        </w:rPr>
        <w:t>关于磋商报价说明如下：</w:t>
      </w:r>
    </w:p>
    <w:p w14:paraId="16523E5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供应商应按照“第二章采购需求”的需求内容、责任范围以及合同条款进行报价。并按“首轮报价表”和“分项报价表（如有）”规定的格式报出总价和分项价格（如有）。磋商总价中不得包含磋商文件要求以外的内容，否则，在评审时不予核减。</w:t>
      </w:r>
    </w:p>
    <w:p w14:paraId="6995731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（2）供应商的报价应包括为完成本项目所发生的一切费用和税费，采购人将不再支付报价以外的任何费用。供应商的报价应包括但不限于下列内容，《须知前附表》中有特殊规定的，从其规定。</w:t>
      </w:r>
    </w:p>
    <w:p w14:paraId="17B9B7D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①投标（响应）货物及标准附件、备品备件、专用工具等的出厂价（包括已在中国国内的进口货物完税后的仓库交货价、展室交货价或货架交货价）和运至最终目的地的运输费和保险费，安装调试、检验、技术服务、培训、质量保证、售后服务、税费等按照采购文件要求完成本项目的全部相关服务费用；</w:t>
      </w:r>
    </w:p>
    <w:p w14:paraId="73EEA1D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②按照采购文件要求完成本项目的全部相关服务费用。</w:t>
      </w:r>
    </w:p>
    <w:p w14:paraId="5125238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（3）供应商不能提供任何有选择性或可调整</w:t>
      </w:r>
      <w:bookmarkStart w:id="77" w:name="_Hlk175727978"/>
      <w:r>
        <w:rPr>
          <w:rFonts w:hint="eastAsia"/>
          <w:color w:val="auto"/>
          <w:szCs w:val="20"/>
          <w:highlight w:val="none"/>
        </w:rPr>
        <w:t>或附有条件</w:t>
      </w:r>
      <w:bookmarkEnd w:id="77"/>
      <w:r>
        <w:rPr>
          <w:rFonts w:hint="eastAsia"/>
          <w:color w:val="auto"/>
          <w:szCs w:val="20"/>
          <w:highlight w:val="none"/>
        </w:rPr>
        <w:t>的报价，否则将导致响应无效。</w:t>
      </w:r>
    </w:p>
    <w:p w14:paraId="76F7A4F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2.3如有对多个采购包响应的，要对每个采购包独立制作响应文件，或者分别制作通用册和专用册的响应文件，且需在响应文件中明示对应采购包情况。</w:t>
      </w:r>
    </w:p>
    <w:p w14:paraId="350B659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2.4供应商不得将同一个项目或同一个采购包的内容拆开响应，否则其报价将被视为非实质性响应，</w:t>
      </w:r>
      <w:r>
        <w:rPr>
          <w:rFonts w:hint="eastAsia"/>
          <w:color w:val="auto"/>
          <w:szCs w:val="21"/>
          <w:highlight w:val="none"/>
        </w:rPr>
        <w:t>并作无效响应处理</w:t>
      </w:r>
      <w:r>
        <w:rPr>
          <w:rFonts w:hint="eastAsia"/>
          <w:color w:val="auto"/>
          <w:szCs w:val="20"/>
          <w:highlight w:val="none"/>
        </w:rPr>
        <w:t>。</w:t>
      </w:r>
    </w:p>
    <w:p w14:paraId="4489DE4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2.5供应商须对磋商文件的对应要求给予唯一的实质性响应，否则将视为不响应。</w:t>
      </w:r>
    </w:p>
    <w:p w14:paraId="4606EE3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2.6磋商文件中，凡标有“★”的地方均为实质性响应条款，供应商若有一项带“★”的条款未响应或不满足，将按无效响应处理。</w:t>
      </w:r>
    </w:p>
    <w:p w14:paraId="43D893E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2.7供应商必须按磋商文件指定的格式填写各种报价，各报价应计算正确。除在磋商文件另有规定外（如：报折扣、报优惠率等），计量单位应使用中华人民共和国法定计量单位，以人民币填报所有报价。</w:t>
      </w:r>
    </w:p>
    <w:p w14:paraId="48BA9B7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2.8响应文件以及供应商与采购人、代理机构就有关响应的往来函电均应使用中文。供应商提交的支持性文件和印制的文件可以用另一种语言，但相应内容应翻译成中文，在解释响应文件时以中文文本为准。</w:t>
      </w:r>
    </w:p>
    <w:p w14:paraId="2FF5D1E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.9</w:t>
      </w:r>
      <w:r>
        <w:rPr>
          <w:rFonts w:hint="eastAsia"/>
          <w:color w:val="auto"/>
          <w:szCs w:val="20"/>
          <w:highlight w:val="none"/>
        </w:rPr>
        <w:t>供应商应按磋商文件的规定及附件要求的内容和格式完整地填写和提供资料。供应商必须对响应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14:paraId="5A8C644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2.10供应商应按本采购文件规定的格式和顺序编制、装订响应文件并标注页码，响应文件内容不完整、编排混乱导致响应文件被误读、漏读或者查找不到相关内容的，由此引发的后果由供应商承担。</w:t>
      </w:r>
    </w:p>
    <w:p w14:paraId="6F57986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2.11响应文件的正本应用不褪色的材料书写或者打印，响应文件正本须按照采购文件明确的规定提供原件或复印件，副本可为正本签字、盖章后的复印件，当副本和正本不一致时，以正本为准。</w:t>
      </w:r>
    </w:p>
    <w:p w14:paraId="6A583A2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2.12响应文件须由供应商在规定位置盖公章并签字（具体以第六章响应文件格式与要求规定的为准） ，否则按无效响应处理。骑缝位置盖公章不视为在规定位置盖章。</w:t>
      </w:r>
    </w:p>
    <w:p w14:paraId="69D0578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2.13响应文件中标注的供应商名称应与主体资格证明（如营业执照、事业单位法人证书、执业许可证、自然人身份证等）及公章一致，否则按无效响应处理。</w:t>
      </w:r>
    </w:p>
    <w:p w14:paraId="6676B53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2.14响应文件应尽量避免涂改、行间插字或者删除。如果出现上述情况，改动之处应由供应商的法定代表人或者其委托代理人签字或者加盖公章。响应文件因字迹潦草或者表达不清所引起的后果由供应商承担。</w:t>
      </w:r>
    </w:p>
    <w:p w14:paraId="5440932B">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响应文件的提交</w:t>
      </w:r>
    </w:p>
    <w:p w14:paraId="38443EB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3.1在响应文件提交截止时间前，供应商须将响应文件提交至采购公告所示的提交响应文件地址。时间以北京时间为准，递交响应文件截止时间结束后，将不再接收响应文件。</w:t>
      </w:r>
    </w:p>
    <w:p w14:paraId="087DEA1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3.2</w:t>
      </w:r>
      <w:r>
        <w:rPr>
          <w:rFonts w:hint="eastAsia"/>
          <w:color w:val="auto"/>
          <w:szCs w:val="21"/>
          <w:highlight w:val="none"/>
        </w:rPr>
        <w:t xml:space="preserve">供应商须按照“须知前附表”规定的密封要求对响应文件进行密封包装，以保证自己的响应信息在开启前不被透露，否则代理机构应当拒收。 </w:t>
      </w:r>
    </w:p>
    <w:p w14:paraId="280D45C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3.3代理机构对因不可抗力事件造成的响应文件的损坏、丢失的，不承担责任。</w:t>
      </w:r>
    </w:p>
    <w:p w14:paraId="5D7D4339">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响应文件的修改、撤回与撤销</w:t>
      </w:r>
    </w:p>
    <w:p w14:paraId="65F77A4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4.1在提交响应文件截止时间前，供应商可以修改或撤回响应文件，并于提交响应文件截止时间前将修改后的响应文件送达至采购公告所示的提交响应文件地址，到达响应文件提交截止时间后，将不允许修改或撤回。</w:t>
      </w:r>
    </w:p>
    <w:p w14:paraId="4F49CEB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4.2在提交响应文件截止时间后，供应商不得补充、修改和更换响应文件。</w:t>
      </w:r>
    </w:p>
    <w:p w14:paraId="33F36EA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0"/>
          <w:highlight w:val="none"/>
        </w:rPr>
        <w:t>4.3</w:t>
      </w:r>
      <w:r>
        <w:rPr>
          <w:rFonts w:hint="eastAsia"/>
          <w:color w:val="auto"/>
          <w:szCs w:val="21"/>
          <w:highlight w:val="none"/>
        </w:rPr>
        <w:t>投标（响应）截止时间后，供应商在响应有效期内撤销投标（响应）的，其撤销投标（响应）的行为无效。</w:t>
      </w:r>
    </w:p>
    <w:p w14:paraId="48EB80F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1"/>
          <w:highlight w:val="none"/>
        </w:rPr>
        <w:t>4.4除供应商不足</w:t>
      </w:r>
      <w:r>
        <w:rPr>
          <w:color w:val="auto"/>
          <w:szCs w:val="21"/>
          <w:highlight w:val="none"/>
        </w:rPr>
        <w:t>3家未开</w:t>
      </w:r>
      <w:r>
        <w:rPr>
          <w:rFonts w:hint="eastAsia"/>
          <w:color w:val="auto"/>
          <w:szCs w:val="21"/>
          <w:highlight w:val="none"/>
        </w:rPr>
        <w:t>启</w:t>
      </w:r>
      <w:r>
        <w:rPr>
          <w:color w:val="auto"/>
          <w:szCs w:val="21"/>
          <w:highlight w:val="none"/>
        </w:rPr>
        <w:t>外，采购人和采购代理机构对所接收</w:t>
      </w:r>
      <w:r>
        <w:rPr>
          <w:rFonts w:hint="eastAsia"/>
          <w:color w:val="auto"/>
          <w:szCs w:val="21"/>
          <w:highlight w:val="none"/>
        </w:rPr>
        <w:t>响应</w:t>
      </w:r>
      <w:r>
        <w:rPr>
          <w:color w:val="auto"/>
          <w:szCs w:val="21"/>
          <w:highlight w:val="none"/>
        </w:rPr>
        <w:t>文件概不退回。</w:t>
      </w:r>
    </w:p>
    <w:p w14:paraId="65B11175">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响应保证金</w:t>
      </w:r>
    </w:p>
    <w:p w14:paraId="5A93E45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5.1响应保证金的缴纳</w:t>
      </w:r>
    </w:p>
    <w:p w14:paraId="75A3780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供应商在提交响应文件的同时，应按供应商须知前附表规定的金额和缴纳要求缴纳响应保证金，并作为其响应文件的组成部分。</w:t>
      </w:r>
    </w:p>
    <w:p w14:paraId="0EF4681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联合体投标（响应）的，可以由联合体中的一方或者共同提交响应保证金，以一方名义提交响应保证金的，对联合体各方均具有约束力。</w:t>
      </w:r>
    </w:p>
    <w:p w14:paraId="741618B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如采用转账、支票、本票、汇票形式提交的，响应保证金从供应商账户递交，由公诚管理咨询有限公司代收。具体操作要求详见公诚管理咨询有限公司有关指引，递交事宜请自行咨询公诚管理咨询有限公司；请各供应商在响应文件递交截止时间前按须知前附表规定的金额递交至公诚管理咨询有限公司，到账情况以开启时公诚管理咨询有限公司查询的信息为准。</w:t>
      </w:r>
    </w:p>
    <w:p w14:paraId="5E147B4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如采用金融机构、专业担保机构开具的投标（响应）担保函、投标（响应）保证保险函等形式提交响应保证金的，投标（响应）担保函或投标（响应）保证保险函须开具给采购人（保险受益人须为采购人），并与响应文件一同递交。</w:t>
      </w:r>
    </w:p>
    <w:p w14:paraId="5CB297D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供应商可登录"诚E招电子采购交易平台"（https://www.chengezhao.com/），申请办理电子保函，电子保函与纸质保函具有同样效力。</w:t>
      </w:r>
    </w:p>
    <w:p w14:paraId="090C4CB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注意事项：供应商通过线下方式缴纳保证金（转账、支票、汇票、本票、纸质保函）的，需准备缴纳凭证的扫描件作为核验凭证；通过电子保函形式缴纳保证金的，如遇开启或评审现场无法获取电子保函信息时，可提供电子保函打印件或购买凭证作为核验凭证。相关凭证应上传至诚E招电子采购交易平台归档保存。</w:t>
      </w:r>
    </w:p>
    <w:p w14:paraId="271323B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5.2响应保证金的退还：</w:t>
      </w:r>
    </w:p>
    <w:p w14:paraId="30EC07B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（1）供应商在投标（响应）截止时间前撤回已提交的响应文件的，自收到供应商书面撤回通知之日起5个工作日内退还已收取的响应保证金。</w:t>
      </w:r>
    </w:p>
    <w:p w14:paraId="2C6C2AF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（2）未成交的供应商保证金，在成交通知书发出后5个工作日内原额退还。</w:t>
      </w:r>
    </w:p>
    <w:p w14:paraId="365C7E1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（3）成交供应商的响应保证金,在成交供应商与采购人签订采购合同后5个工作日内原额退还。</w:t>
      </w:r>
    </w:p>
    <w:p w14:paraId="70B5571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（4）终止采购项目已经收取响应保证金的，自终止采购活动后5个工作日内退还已收取的响应保证金及其在银行产生的孳息。</w:t>
      </w:r>
    </w:p>
    <w:p w14:paraId="07752A7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（5）在满足退保条件的情况下，供应商应及时联系保证金收受单位办理退还响应保证金手续。</w:t>
      </w:r>
    </w:p>
    <w:p w14:paraId="2C9F111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备注：因供应商自身原因导致无法及时退还的，采购人或采购代理机构将不承担相应责任。</w:t>
      </w:r>
    </w:p>
    <w:p w14:paraId="078F412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5.3有下列情形之一的，响应保证金将不予退还：</w:t>
      </w:r>
    </w:p>
    <w:p w14:paraId="1EB99A9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（1）提供虚假材料谋取成交的；</w:t>
      </w:r>
    </w:p>
    <w:p w14:paraId="0CFFB56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（2）供应商在磋商文件规定的响应有效期内撤销其响应；</w:t>
      </w:r>
    </w:p>
    <w:p w14:paraId="508A92B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（3）成交后，无正当理由放弃成交资格；</w:t>
      </w:r>
    </w:p>
    <w:p w14:paraId="50D90D0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（4）成交后，无正当理由不与采购人签订合同；</w:t>
      </w:r>
    </w:p>
    <w:p w14:paraId="6937CE0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（5）在签订合同时，向采购人提出附加条件的；</w:t>
      </w:r>
    </w:p>
    <w:p w14:paraId="2E486A9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（6）不按照采购文件要求提交履约保证金的；</w:t>
      </w:r>
    </w:p>
    <w:p w14:paraId="738429F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（7）法律法规和磋商文件规定的其他情形。</w:t>
      </w:r>
    </w:p>
    <w:p w14:paraId="7706AF78">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响应有效期</w:t>
      </w:r>
    </w:p>
    <w:p w14:paraId="44EB8F0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6</w:t>
      </w:r>
      <w:r>
        <w:rPr>
          <w:rFonts w:hint="eastAsia"/>
          <w:color w:val="auto"/>
          <w:szCs w:val="20"/>
          <w:highlight w:val="none"/>
        </w:rPr>
        <w:t>.1响应有效期内供应商撤销响应文件的，采购人或者采购代理机构可以不退还响应保证金（如有）。采用响应保函方式替代保证金的，采购人或者采购代理机构可以向担保机构索赔保证金。</w:t>
      </w:r>
    </w:p>
    <w:p w14:paraId="56EE83C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6</w:t>
      </w:r>
      <w:r>
        <w:rPr>
          <w:rFonts w:hint="eastAsia"/>
          <w:color w:val="auto"/>
          <w:szCs w:val="20"/>
          <w:highlight w:val="none"/>
        </w:rPr>
        <w:t>.2出现特殊情况需延长响应有效期的，采购人或采购代理机构可于响应有效期满之前要求供应商同意延长有效期，要求与答复均以书面形式通知所有供应商。供应商同意延长的，应相应延长其响应保证金（如有）的有效期，但不得要求或被允许修改或撤销其响应文件；供应商可以拒绝延长有效期，但其响应将会被视为无效，拒绝延长有效期的供应商有权收回其响应保证金（如有）。采用响应保函方式替代保证金的，响应有效期超出保函有效期的，采购人或者采购代理机构应提示响应供应商重新开函，未获得有效保函的响应供应商其响应将会被视为无效。</w:t>
      </w:r>
    </w:p>
    <w:p w14:paraId="28B8E6BA">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样品（演示）</w:t>
      </w:r>
    </w:p>
    <w:p w14:paraId="159A2C4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7</w:t>
      </w:r>
      <w:r>
        <w:rPr>
          <w:rFonts w:hint="eastAsia"/>
          <w:color w:val="auto"/>
          <w:szCs w:val="20"/>
          <w:highlight w:val="none"/>
        </w:rPr>
        <w:t>.1磋商文件规定供应商提交样品的，样品属于响应文件的组成部分。样品的生产、运输、安装、保全等一切费用由供应商自理。</w:t>
      </w:r>
    </w:p>
    <w:p w14:paraId="195F949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7</w:t>
      </w:r>
      <w:r>
        <w:rPr>
          <w:rFonts w:hint="eastAsia"/>
          <w:color w:val="auto"/>
          <w:szCs w:val="20"/>
          <w:highlight w:val="none"/>
        </w:rPr>
        <w:t>.2递交响应文件截止时间前，供应商应将样品送达至指定地点</w:t>
      </w:r>
      <w:r>
        <w:rPr>
          <w:rFonts w:hint="eastAsia"/>
          <w:color w:val="auto"/>
          <w:szCs w:val="21"/>
          <w:highlight w:val="none"/>
        </w:rPr>
        <w:t>，按要求摆放并做好展示</w:t>
      </w:r>
      <w:r>
        <w:rPr>
          <w:rFonts w:hint="eastAsia"/>
          <w:color w:val="auto"/>
          <w:szCs w:val="20"/>
          <w:highlight w:val="none"/>
        </w:rPr>
        <w:t>。若需要现场演示的，供应商应提前做好演示准备（包括演示设备）。</w:t>
      </w:r>
    </w:p>
    <w:p w14:paraId="6390458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7</w:t>
      </w:r>
      <w:r>
        <w:rPr>
          <w:rFonts w:hint="eastAsia"/>
          <w:color w:val="auto"/>
          <w:szCs w:val="20"/>
          <w:highlight w:val="none"/>
        </w:rPr>
        <w:t>.3采购结果公告发布后，成交供应商的样品由采购人封存，作为履约验收的依据之一。未成交供应商在接到采购代理机构通知后，应按规定时间尽快自行取回样品，否则视同供应商不再认领，代理机构有权进行处理。</w:t>
      </w:r>
    </w:p>
    <w:p w14:paraId="773D2605">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lang w:eastAsia="zh-CN"/>
        </w:rPr>
      </w:pPr>
      <w:bookmarkStart w:id="78" w:name="_Hlk172149274"/>
      <w:r>
        <w:rPr>
          <w:rFonts w:hint="eastAsia" w:ascii="宋体" w:hAnsi="宋体"/>
          <w:b/>
          <w:bCs/>
          <w:color w:val="auto"/>
          <w:highlight w:val="none"/>
          <w:lang w:eastAsia="zh-CN"/>
        </w:rPr>
        <w:t>商品包装和快递包装（如有）</w:t>
      </w:r>
    </w:p>
    <w:p w14:paraId="1FFD0D33">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本项目中如涉及商品包装和快递包装的，其包装需求标准应不低于《关于印发〈商品包装政府采购需求标准（</w:t>
      </w:r>
      <w:r>
        <w:rPr>
          <w:color w:val="auto"/>
          <w:sz w:val="21"/>
          <w:szCs w:val="21"/>
          <w:highlight w:val="none"/>
          <w:lang w:eastAsia="zh-CN"/>
        </w:rPr>
        <w:t>试行</w:t>
      </w:r>
      <w:r>
        <w:rPr>
          <w:rFonts w:hint="eastAsia"/>
          <w:color w:val="auto"/>
          <w:sz w:val="21"/>
          <w:szCs w:val="21"/>
          <w:highlight w:val="none"/>
          <w:lang w:eastAsia="zh-CN"/>
        </w:rPr>
        <w:t>）</w:t>
      </w:r>
      <w:r>
        <w:rPr>
          <w:color w:val="auto"/>
          <w:sz w:val="21"/>
          <w:szCs w:val="21"/>
          <w:highlight w:val="none"/>
          <w:lang w:eastAsia="zh-CN"/>
        </w:rPr>
        <w:t>〉、〈快递包装政府采购需求标准</w:t>
      </w:r>
      <w:r>
        <w:rPr>
          <w:rFonts w:hint="eastAsia"/>
          <w:color w:val="auto"/>
          <w:sz w:val="21"/>
          <w:szCs w:val="21"/>
          <w:highlight w:val="none"/>
          <w:lang w:eastAsia="zh-CN"/>
        </w:rPr>
        <w:t>（</w:t>
      </w:r>
      <w:r>
        <w:rPr>
          <w:color w:val="auto"/>
          <w:sz w:val="21"/>
          <w:szCs w:val="21"/>
          <w:highlight w:val="none"/>
          <w:lang w:eastAsia="zh-CN"/>
        </w:rPr>
        <w:t>试行</w:t>
      </w:r>
      <w:r>
        <w:rPr>
          <w:rFonts w:hint="eastAsia"/>
          <w:color w:val="auto"/>
          <w:sz w:val="21"/>
          <w:szCs w:val="21"/>
          <w:highlight w:val="none"/>
          <w:lang w:eastAsia="zh-CN"/>
        </w:rPr>
        <w:t>）</w:t>
      </w:r>
      <w:r>
        <w:rPr>
          <w:color w:val="auto"/>
          <w:sz w:val="21"/>
          <w:szCs w:val="21"/>
          <w:highlight w:val="none"/>
          <w:lang w:eastAsia="zh-CN"/>
        </w:rPr>
        <w:t>〉的通知》（财办库〔2020〕123号）规定的包装要求，其他包装需求详见</w:t>
      </w:r>
      <w:r>
        <w:rPr>
          <w:rFonts w:hint="eastAsia"/>
          <w:color w:val="auto"/>
          <w:sz w:val="21"/>
          <w:szCs w:val="21"/>
          <w:highlight w:val="none"/>
          <w:lang w:eastAsia="zh-CN"/>
        </w:rPr>
        <w:t>采购</w:t>
      </w:r>
      <w:r>
        <w:rPr>
          <w:color w:val="auto"/>
          <w:sz w:val="21"/>
          <w:szCs w:val="21"/>
          <w:highlight w:val="none"/>
          <w:lang w:eastAsia="zh-CN"/>
        </w:rPr>
        <w:t>文件具体规定。</w:t>
      </w:r>
    </w:p>
    <w:bookmarkEnd w:id="78"/>
    <w:p w14:paraId="5DC2A214">
      <w:pPr>
        <w:pStyle w:val="129"/>
        <w:keepNext w:val="0"/>
        <w:keepLines w:val="0"/>
        <w:pageBreakBefore w:val="0"/>
        <w:widowControl w:val="0"/>
        <w:numPr>
          <w:ilvl w:val="0"/>
          <w:numId w:val="9"/>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除磋商文件另有规定外，有下列情形之一的，响应无效：</w:t>
      </w:r>
    </w:p>
    <w:p w14:paraId="56273C5D">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r>
        <w:rPr>
          <w:rFonts w:hint="eastAsia"/>
          <w:color w:val="auto"/>
          <w:szCs w:val="20"/>
          <w:highlight w:val="none"/>
        </w:rPr>
        <w:t>9.1未按采购文件的规定提交响应保证金的；</w:t>
      </w:r>
    </w:p>
    <w:p w14:paraId="5461AC0E">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r>
        <w:rPr>
          <w:rFonts w:hint="eastAsia"/>
          <w:color w:val="auto"/>
          <w:szCs w:val="20"/>
          <w:highlight w:val="none"/>
        </w:rPr>
        <w:t>9.2响应文件未按照采购文件要求签署、盖章；</w:t>
      </w:r>
    </w:p>
    <w:p w14:paraId="38ED41F9">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r>
        <w:rPr>
          <w:rFonts w:hint="eastAsia"/>
          <w:color w:val="auto"/>
          <w:szCs w:val="20"/>
          <w:highlight w:val="none"/>
        </w:rPr>
        <w:t>9.3不符合采购文件中规定的资格要求；</w:t>
      </w:r>
    </w:p>
    <w:p w14:paraId="08EBA9E3">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r>
        <w:rPr>
          <w:rFonts w:hint="eastAsia"/>
          <w:color w:val="auto"/>
          <w:szCs w:val="20"/>
          <w:highlight w:val="none"/>
        </w:rPr>
        <w:t>9.4响应报价超过采购文件中规定的预算金额或最高限价；</w:t>
      </w:r>
    </w:p>
    <w:p w14:paraId="2F68636D">
      <w:pPr>
        <w:pStyle w:val="19"/>
        <w:keepNext w:val="0"/>
        <w:keepLines w:val="0"/>
        <w:pageBreakBefore w:val="0"/>
        <w:widowControl w:val="0"/>
        <w:kinsoku/>
        <w:wordWrap/>
        <w:overflowPunct/>
        <w:topLinePunct w:val="0"/>
        <w:bidi w:val="0"/>
        <w:spacing w:beforeLines="0" w:afterLines="0"/>
        <w:ind w:firstLine="424" w:firstLineChars="202"/>
        <w:rPr>
          <w:rFonts w:hint="eastAsia"/>
          <w:color w:val="auto"/>
          <w:szCs w:val="20"/>
          <w:highlight w:val="none"/>
        </w:rPr>
      </w:pPr>
      <w:r>
        <w:rPr>
          <w:rFonts w:hint="eastAsia"/>
          <w:color w:val="auto"/>
          <w:szCs w:val="20"/>
          <w:highlight w:val="none"/>
        </w:rPr>
        <w:t>9.5磋商小组认为供应商的报价明显低于其他通过符合性审查供应商的报价，有可能影响履约的，且供应商未按照规定证明其报价合理性的；</w:t>
      </w:r>
    </w:p>
    <w:p w14:paraId="671C567C">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r>
        <w:rPr>
          <w:rFonts w:hint="eastAsia"/>
          <w:color w:val="auto"/>
          <w:szCs w:val="20"/>
          <w:highlight w:val="none"/>
        </w:rPr>
        <w:t>9.6响应文件含有采购人不能接受的附加条件；</w:t>
      </w:r>
    </w:p>
    <w:p w14:paraId="544991E3">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r>
        <w:rPr>
          <w:rFonts w:hint="eastAsia"/>
          <w:color w:val="auto"/>
          <w:szCs w:val="20"/>
          <w:highlight w:val="none"/>
        </w:rPr>
        <w:t>9</w:t>
      </w:r>
      <w:r>
        <w:rPr>
          <w:color w:val="auto"/>
          <w:szCs w:val="20"/>
          <w:highlight w:val="none"/>
        </w:rPr>
        <w:t>.</w:t>
      </w:r>
      <w:r>
        <w:rPr>
          <w:rFonts w:hint="eastAsia"/>
          <w:color w:val="auto"/>
          <w:szCs w:val="20"/>
          <w:highlight w:val="none"/>
        </w:rPr>
        <w:t>7有关法律、法规和规章及采购文件规定的其他无效情形。</w:t>
      </w:r>
    </w:p>
    <w:p w14:paraId="3B1E9D85">
      <w:pPr>
        <w:pStyle w:val="19"/>
        <w:keepNext w:val="0"/>
        <w:keepLines w:val="0"/>
        <w:pageBreakBefore w:val="0"/>
        <w:widowControl w:val="0"/>
        <w:kinsoku/>
        <w:wordWrap/>
        <w:overflowPunct/>
        <w:topLinePunct w:val="0"/>
        <w:bidi w:val="0"/>
        <w:spacing w:beforeLines="0" w:afterLines="0"/>
        <w:ind w:left="420"/>
        <w:rPr>
          <w:rFonts w:hint="eastAsia"/>
          <w:color w:val="auto"/>
          <w:szCs w:val="20"/>
          <w:highlight w:val="none"/>
        </w:rPr>
      </w:pPr>
    </w:p>
    <w:p w14:paraId="1E8992DE">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79" w:name="_Toc104040693"/>
      <w:bookmarkStart w:id="80" w:name="_Toc104040747"/>
      <w:bookmarkStart w:id="81" w:name="_Toc8820"/>
      <w:r>
        <w:rPr>
          <w:rFonts w:hint="eastAsia" w:ascii="宋体" w:hAnsi="宋体" w:eastAsia="宋体"/>
          <w:color w:val="auto"/>
          <w:sz w:val="21"/>
          <w:szCs w:val="21"/>
          <w:highlight w:val="none"/>
        </w:rPr>
        <w:t>磋商、评审和结果</w:t>
      </w:r>
      <w:bookmarkEnd w:id="79"/>
      <w:bookmarkEnd w:id="80"/>
      <w:r>
        <w:rPr>
          <w:rFonts w:hint="eastAsia" w:ascii="宋体" w:hAnsi="宋体" w:eastAsia="宋体"/>
          <w:color w:val="auto"/>
          <w:sz w:val="21"/>
          <w:szCs w:val="21"/>
          <w:highlight w:val="none"/>
        </w:rPr>
        <w:t>确认</w:t>
      </w:r>
      <w:bookmarkEnd w:id="81"/>
    </w:p>
    <w:p w14:paraId="32096AB3">
      <w:pPr>
        <w:pStyle w:val="129"/>
        <w:keepNext w:val="0"/>
        <w:keepLines w:val="0"/>
        <w:pageBreakBefore w:val="0"/>
        <w:widowControl w:val="0"/>
        <w:numPr>
          <w:ilvl w:val="0"/>
          <w:numId w:val="10"/>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响应文件的开启</w:t>
      </w:r>
    </w:p>
    <w:p w14:paraId="42C9393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1.1开启程序</w:t>
      </w:r>
    </w:p>
    <w:p w14:paraId="39BD35C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工作人员按磋商公告规定的时间进行开启，由采购人或者采购代理机构工作人员宣布供应商名称和采购文件规定的需要宣布的其他内容。</w:t>
      </w:r>
    </w:p>
    <w:p w14:paraId="5B38FDE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采用现场开启的：供应商的法定代表人或其委托代理人应当携带本人身份证等材料按照本采购公告载明的时间和地点前往参加现场开启会议。</w:t>
      </w:r>
    </w:p>
    <w:p w14:paraId="4241F09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1.2异议</w:t>
      </w:r>
    </w:p>
    <w:p w14:paraId="6B70196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供应商代表对开启过程和开启记录有疑义，以及认为采购人、采购代理机构相关工作人员有需要回避的情形的，应当场提出询问或者回避申请。供应商未参加开启的，视同认可开启结果。</w:t>
      </w:r>
    </w:p>
    <w:p w14:paraId="0552369C">
      <w:pPr>
        <w:pStyle w:val="129"/>
        <w:keepNext w:val="0"/>
        <w:keepLines w:val="0"/>
        <w:pageBreakBefore w:val="0"/>
        <w:widowControl w:val="0"/>
        <w:numPr>
          <w:ilvl w:val="0"/>
          <w:numId w:val="10"/>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评审（详见第四章）</w:t>
      </w:r>
    </w:p>
    <w:p w14:paraId="4F731886">
      <w:pPr>
        <w:pStyle w:val="129"/>
        <w:keepNext w:val="0"/>
        <w:keepLines w:val="0"/>
        <w:pageBreakBefore w:val="0"/>
        <w:widowControl w:val="0"/>
        <w:numPr>
          <w:ilvl w:val="0"/>
          <w:numId w:val="10"/>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成交</w:t>
      </w:r>
    </w:p>
    <w:p w14:paraId="2A09DCE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3.1成交结果公告：</w:t>
      </w:r>
    </w:p>
    <w:p w14:paraId="18482EE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成交供应商确定之日起2个工作日内，采购人或采购代理机构将在相关公告发布媒介（与采购公告发布媒介一致）上以公告的形式发布成交结果，结果公告的公告期限为1个工作日。结果公告同时作为采购代理机构通知除成交供应商外的其他供应商没有成交的书面形式，采购代理机构不再以其它方式另行通知。</w:t>
      </w:r>
    </w:p>
    <w:p w14:paraId="7BEA4F5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3.2成交通知书：</w:t>
      </w:r>
    </w:p>
    <w:p w14:paraId="37BECFF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采购人或采购代理机构在发布结果公告时，将给成交供应商发送《成交通知书》，《成交通知书》将作为授予合同资格的唯一合法依据。成交通知书发出后，采购人不得违法改变成交结果，成交供应商不得放弃成交。成交供应商放弃成交的，应当依法承担相应的法律责任。</w:t>
      </w:r>
    </w:p>
    <w:p w14:paraId="0CF1F24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3.3终止公告：</w:t>
      </w:r>
    </w:p>
    <w:p w14:paraId="604A22A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终止磋商采购活动后，采购人或采购代理机构将在相关公告发布媒介（与采购公告发布媒介一致）上发布终止公告，终止公告的公告期限为1个工作日。</w:t>
      </w:r>
    </w:p>
    <w:p w14:paraId="7D0A473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p w14:paraId="5D78B289">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82" w:name="_Toc104040748"/>
      <w:bookmarkStart w:id="83" w:name="_Toc4804"/>
      <w:bookmarkStart w:id="84" w:name="_Toc104040694"/>
      <w:r>
        <w:rPr>
          <w:rFonts w:hint="eastAsia" w:ascii="宋体" w:hAnsi="宋体" w:eastAsia="宋体"/>
          <w:color w:val="auto"/>
          <w:sz w:val="21"/>
          <w:szCs w:val="21"/>
          <w:highlight w:val="none"/>
        </w:rPr>
        <w:t>询问、质疑与投诉</w:t>
      </w:r>
      <w:bookmarkEnd w:id="82"/>
      <w:bookmarkEnd w:id="83"/>
      <w:bookmarkEnd w:id="84"/>
    </w:p>
    <w:p w14:paraId="68AAC9BF">
      <w:pPr>
        <w:pStyle w:val="129"/>
        <w:keepNext w:val="0"/>
        <w:keepLines w:val="0"/>
        <w:pageBreakBefore w:val="0"/>
        <w:widowControl w:val="0"/>
        <w:numPr>
          <w:ilvl w:val="0"/>
          <w:numId w:val="11"/>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询问</w:t>
      </w:r>
    </w:p>
    <w:p w14:paraId="1CDAA4E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对政府采购活动事项（磋商文件、采购过程和成交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响应邀请函》中“采购人、采购代理机构的名称、地址和联系方式”。</w:t>
      </w:r>
    </w:p>
    <w:p w14:paraId="59791D2F">
      <w:pPr>
        <w:pStyle w:val="129"/>
        <w:keepNext w:val="0"/>
        <w:keepLines w:val="0"/>
        <w:pageBreakBefore w:val="0"/>
        <w:widowControl w:val="0"/>
        <w:numPr>
          <w:ilvl w:val="0"/>
          <w:numId w:val="11"/>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质疑</w:t>
      </w:r>
    </w:p>
    <w:p w14:paraId="1C172E9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供应商认为磋商文件、采购过程和成交结果使自己的权益受到损害的，可以在知道或者应知其权益受到损害之日起七个工作日内，以书面原件形式向采购人或采购代理机构一次性提出针对同一采购程序环节的质疑，逾期质疑无效。</w:t>
      </w:r>
      <w:r>
        <w:rPr>
          <w:rFonts w:hint="eastAsia"/>
          <w:color w:val="auto"/>
          <w:szCs w:val="21"/>
          <w:highlight w:val="none"/>
        </w:rPr>
        <w:t>法定质疑期内针对同一采购程序环节再次提出的质疑，采购人、采购代理机构有权不予答复。</w:t>
      </w:r>
    </w:p>
    <w:p w14:paraId="336646F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供应商应知其权益受到损害之日是指：</w:t>
      </w:r>
    </w:p>
    <w:p w14:paraId="3505864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（1）对磋商文件提出质疑的，为获取磋商文件之日或者磋商文件公告期限届满之日；</w:t>
      </w:r>
    </w:p>
    <w:p w14:paraId="2E03BBD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（2）对采购过程提出质疑的，为各采购程序环节结束之日；</w:t>
      </w:r>
    </w:p>
    <w:p w14:paraId="791DF80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（3）对成交结果提出质疑的，为成交结果公告期限届满之日。</w:t>
      </w:r>
    </w:p>
    <w:p w14:paraId="71DAA87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2.2质疑函应当包括下列主要内容：</w:t>
      </w:r>
    </w:p>
    <w:p w14:paraId="0BBAE5E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（1）质疑供应商和相关供应商的名称、地址、邮编、联系人及联系电话等；</w:t>
      </w:r>
    </w:p>
    <w:p w14:paraId="528AAC3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（2）质疑项目名称及编号、具体明确的质疑事项和与质疑事项相关的请求；</w:t>
      </w:r>
    </w:p>
    <w:p w14:paraId="19D896E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（3）认为磋商文件、采购过程和成交结果使自己的合法权益受到损害的法律依据、事实依据、相关证明材料及证据来源；</w:t>
      </w:r>
    </w:p>
    <w:p w14:paraId="2EA0F74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（4）提出质疑的日期。</w:t>
      </w:r>
    </w:p>
    <w:p w14:paraId="23F64C4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2.3质疑函应当署名。质疑供应商为自然人的，应当由本人签字；质疑供应商为法人或者其他组织的，应当由法定代表人、主要负责人，或者其授权代表签字或者盖章，并加盖公章。</w:t>
      </w:r>
    </w:p>
    <w:p w14:paraId="547927A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2.4以联合体形式参加政府采购活动的，其质疑应当由联合体成员委托主体提出。</w:t>
      </w:r>
    </w:p>
    <w:p w14:paraId="5C6061F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14:paraId="4DE1DE6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.6</w:t>
      </w:r>
      <w:r>
        <w:rPr>
          <w:rFonts w:hint="eastAsia"/>
          <w:color w:val="auto"/>
          <w:szCs w:val="20"/>
          <w:highlight w:val="none"/>
        </w:rPr>
        <w:t xml:space="preserve">质疑联系方式如下： </w:t>
      </w:r>
    </w:p>
    <w:p w14:paraId="7F6DF46C">
      <w:pPr>
        <w:pStyle w:val="19"/>
        <w:keepNext w:val="0"/>
        <w:keepLines w:val="0"/>
        <w:pageBreakBefore w:val="0"/>
        <w:widowControl w:val="0"/>
        <w:kinsoku/>
        <w:wordWrap/>
        <w:overflowPunct/>
        <w:topLinePunct w:val="0"/>
        <w:bidi w:val="0"/>
        <w:spacing w:beforeLines="0" w:afterLines="0"/>
        <w:ind w:firstLine="420" w:firstLineChars="200"/>
        <w:rPr>
          <w:rFonts w:hint="eastAsia" w:eastAsia="宋体"/>
          <w:color w:val="auto"/>
          <w:szCs w:val="20"/>
          <w:highlight w:val="none"/>
          <w:lang w:eastAsia="zh-CN"/>
        </w:rPr>
      </w:pPr>
      <w:r>
        <w:rPr>
          <w:rFonts w:hint="eastAsia"/>
          <w:color w:val="auto"/>
          <w:szCs w:val="20"/>
          <w:highlight w:val="none"/>
        </w:rPr>
        <w:t>质疑联系人：</w:t>
      </w:r>
      <w:r>
        <w:rPr>
          <w:rFonts w:hint="eastAsia"/>
          <w:color w:val="auto"/>
          <w:szCs w:val="20"/>
          <w:highlight w:val="none"/>
          <w:lang w:val="en-US" w:eastAsia="zh-CN"/>
        </w:rPr>
        <w:t>杨述文</w:t>
      </w:r>
    </w:p>
    <w:p w14:paraId="014D58A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电话：0756-2666861</w:t>
      </w:r>
    </w:p>
    <w:p w14:paraId="661E7C5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0"/>
          <w:highlight w:val="none"/>
        </w:rPr>
        <w:t>地址：</w:t>
      </w:r>
      <w:bookmarkStart w:id="85" w:name="_Hlk111914743"/>
      <w:r>
        <w:rPr>
          <w:rFonts w:hint="eastAsia"/>
          <w:color w:val="auto"/>
          <w:szCs w:val="21"/>
          <w:highlight w:val="none"/>
        </w:rPr>
        <w:t>广东省珠海市香洲区兴华路</w:t>
      </w:r>
      <w:r>
        <w:rPr>
          <w:color w:val="auto"/>
          <w:szCs w:val="21"/>
          <w:highlight w:val="none"/>
        </w:rPr>
        <w:t>192号</w:t>
      </w:r>
      <w:r>
        <w:rPr>
          <w:rFonts w:hint="eastAsia"/>
          <w:color w:val="auto"/>
          <w:szCs w:val="21"/>
          <w:highlight w:val="none"/>
        </w:rPr>
        <w:t>2号楼4楼公诚管理咨询有限公司</w:t>
      </w:r>
      <w:bookmarkEnd w:id="85"/>
    </w:p>
    <w:p w14:paraId="2F7C4864">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邮箱：</w:t>
      </w:r>
      <w:r>
        <w:rPr>
          <w:rFonts w:hint="eastAsia"/>
          <w:color w:val="auto"/>
          <w:sz w:val="21"/>
          <w:szCs w:val="21"/>
          <w:highlight w:val="none"/>
          <w:lang w:eastAsia="zh-CN"/>
        </w:rPr>
        <w:t>yangshuwen</w:t>
      </w:r>
      <w:r>
        <w:rPr>
          <w:color w:val="auto"/>
          <w:sz w:val="21"/>
          <w:szCs w:val="21"/>
          <w:highlight w:val="none"/>
        </w:rPr>
        <w:t>.gcmc.gd@chinaccs.cn</w:t>
      </w:r>
    </w:p>
    <w:p w14:paraId="2E99BA5D">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邮编：5</w:t>
      </w:r>
      <w:r>
        <w:rPr>
          <w:color w:val="auto"/>
          <w:sz w:val="21"/>
          <w:szCs w:val="21"/>
          <w:highlight w:val="none"/>
        </w:rPr>
        <w:t>19000</w:t>
      </w:r>
    </w:p>
    <w:p w14:paraId="318BA2FF">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2</w:t>
      </w:r>
      <w:r>
        <w:rPr>
          <w:color w:val="auto"/>
          <w:sz w:val="21"/>
          <w:szCs w:val="21"/>
          <w:highlight w:val="none"/>
        </w:rPr>
        <w:t>.7</w:t>
      </w:r>
      <w:r>
        <w:rPr>
          <w:rFonts w:hint="eastAsia"/>
          <w:color w:val="auto"/>
          <w:sz w:val="21"/>
          <w:szCs w:val="21"/>
          <w:highlight w:val="none"/>
        </w:rPr>
        <w:t>质疑提交方式</w:t>
      </w:r>
    </w:p>
    <w:p w14:paraId="07ADD3A4">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在法定质疑期内</w:t>
      </w:r>
      <w:r>
        <w:rPr>
          <w:rFonts w:hint="eastAsia"/>
          <w:color w:val="auto"/>
          <w:sz w:val="21"/>
          <w:szCs w:val="21"/>
          <w:highlight w:val="none"/>
          <w:lang w:val="en-US" w:eastAsia="zh-CN"/>
        </w:rPr>
        <w:t>通过</w:t>
      </w:r>
      <w:r>
        <w:rPr>
          <w:rFonts w:hint="eastAsia"/>
          <w:color w:val="auto"/>
          <w:sz w:val="21"/>
          <w:szCs w:val="21"/>
          <w:highlight w:val="none"/>
          <w:lang w:eastAsia="zh-CN"/>
        </w:rPr>
        <w:t>“</w:t>
      </w:r>
      <w:r>
        <w:rPr>
          <w:rFonts w:hint="eastAsia"/>
          <w:color w:val="auto"/>
          <w:sz w:val="21"/>
          <w:szCs w:val="21"/>
          <w:highlight w:val="none"/>
        </w:rPr>
        <w:t>现场提交</w:t>
      </w:r>
      <w:r>
        <w:rPr>
          <w:rFonts w:hint="eastAsia"/>
          <w:color w:val="auto"/>
          <w:sz w:val="21"/>
          <w:szCs w:val="21"/>
          <w:highlight w:val="none"/>
          <w:lang w:eastAsia="zh-CN"/>
        </w:rPr>
        <w:t>”</w:t>
      </w:r>
      <w:r>
        <w:rPr>
          <w:rFonts w:hint="eastAsia"/>
          <w:color w:val="auto"/>
          <w:sz w:val="21"/>
          <w:szCs w:val="21"/>
          <w:highlight w:val="none"/>
          <w:lang w:val="en-US" w:eastAsia="zh-CN"/>
        </w:rPr>
        <w:t>或</w:t>
      </w:r>
      <w:r>
        <w:rPr>
          <w:rFonts w:hint="eastAsia"/>
          <w:color w:val="auto"/>
          <w:sz w:val="21"/>
          <w:szCs w:val="21"/>
          <w:highlight w:val="none"/>
          <w:lang w:eastAsia="zh-CN"/>
        </w:rPr>
        <w:t>“</w:t>
      </w:r>
      <w:r>
        <w:rPr>
          <w:rFonts w:hint="eastAsia"/>
          <w:color w:val="auto"/>
          <w:sz w:val="21"/>
          <w:szCs w:val="21"/>
          <w:highlight w:val="none"/>
        </w:rPr>
        <w:t>邮寄</w:t>
      </w:r>
      <w:r>
        <w:rPr>
          <w:rFonts w:hint="eastAsia"/>
          <w:color w:val="auto"/>
          <w:sz w:val="21"/>
          <w:szCs w:val="21"/>
          <w:highlight w:val="none"/>
          <w:lang w:eastAsia="zh-CN"/>
        </w:rPr>
        <w:t>”</w:t>
      </w:r>
      <w:r>
        <w:rPr>
          <w:rFonts w:hint="eastAsia"/>
          <w:color w:val="auto"/>
          <w:sz w:val="21"/>
          <w:szCs w:val="21"/>
          <w:highlight w:val="none"/>
          <w:lang w:val="en-US" w:eastAsia="zh-CN"/>
        </w:rPr>
        <w:t>或</w:t>
      </w:r>
      <w:r>
        <w:rPr>
          <w:rFonts w:hint="eastAsia"/>
          <w:color w:val="auto"/>
          <w:sz w:val="21"/>
          <w:szCs w:val="21"/>
          <w:highlight w:val="none"/>
          <w:lang w:eastAsia="zh-CN"/>
        </w:rPr>
        <w:t>“</w:t>
      </w:r>
      <w:r>
        <w:rPr>
          <w:rFonts w:hint="eastAsia"/>
          <w:color w:val="auto"/>
          <w:sz w:val="21"/>
          <w:szCs w:val="21"/>
          <w:highlight w:val="none"/>
        </w:rPr>
        <w:t>快递（不接收到付件）</w:t>
      </w:r>
      <w:r>
        <w:rPr>
          <w:rFonts w:hint="eastAsia"/>
          <w:color w:val="auto"/>
          <w:sz w:val="21"/>
          <w:szCs w:val="21"/>
          <w:highlight w:val="none"/>
          <w:lang w:eastAsia="zh-CN"/>
        </w:rPr>
        <w:t>”</w:t>
      </w:r>
      <w:r>
        <w:rPr>
          <w:rFonts w:hint="eastAsia"/>
          <w:color w:val="auto"/>
          <w:sz w:val="21"/>
          <w:szCs w:val="21"/>
          <w:highlight w:val="none"/>
          <w:lang w:val="en-US" w:eastAsia="zh-CN"/>
        </w:rPr>
        <w:t>的形式递交纸质质疑函</w:t>
      </w:r>
      <w:r>
        <w:rPr>
          <w:rFonts w:hint="eastAsia"/>
          <w:color w:val="auto"/>
          <w:sz w:val="21"/>
          <w:szCs w:val="21"/>
          <w:highlight w:val="none"/>
        </w:rPr>
        <w:t>。</w:t>
      </w:r>
    </w:p>
    <w:p w14:paraId="771F8439">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（1）</w:t>
      </w:r>
      <w:r>
        <w:rPr>
          <w:color w:val="auto"/>
          <w:sz w:val="21"/>
          <w:szCs w:val="21"/>
          <w:highlight w:val="none"/>
        </w:rPr>
        <w:t>以邮寄、快递方式递交的，质疑提起日期应当以邮寄件上的戳记日期、邮政快递件上的戳记日期或非邮政快递件上的签注日期，受理日期为</w:t>
      </w:r>
      <w:r>
        <w:rPr>
          <w:rFonts w:hint="eastAsia"/>
          <w:color w:val="auto"/>
          <w:sz w:val="21"/>
          <w:szCs w:val="21"/>
          <w:highlight w:val="none"/>
        </w:rPr>
        <w:t>公诚管理咨询有限公司</w:t>
      </w:r>
      <w:r>
        <w:rPr>
          <w:color w:val="auto"/>
          <w:sz w:val="21"/>
          <w:szCs w:val="21"/>
          <w:highlight w:val="none"/>
        </w:rPr>
        <w:t>收到符合规定的质疑材料之日。若质疑材料不符合受理条件的，</w:t>
      </w:r>
      <w:r>
        <w:rPr>
          <w:rFonts w:hint="eastAsia"/>
          <w:color w:val="auto"/>
          <w:sz w:val="21"/>
          <w:szCs w:val="21"/>
          <w:highlight w:val="none"/>
        </w:rPr>
        <w:t>公诚管理咨询有限公司</w:t>
      </w:r>
      <w:r>
        <w:rPr>
          <w:color w:val="auto"/>
          <w:sz w:val="21"/>
          <w:szCs w:val="21"/>
          <w:highlight w:val="none"/>
        </w:rPr>
        <w:t>向供应商出具</w:t>
      </w:r>
      <w:r>
        <w:rPr>
          <w:rFonts w:hint="eastAsia"/>
          <w:color w:val="auto"/>
          <w:sz w:val="21"/>
          <w:szCs w:val="21"/>
          <w:highlight w:val="none"/>
        </w:rPr>
        <w:t>质疑补正通知书或无效质疑告知书</w:t>
      </w:r>
      <w:r>
        <w:rPr>
          <w:color w:val="auto"/>
          <w:sz w:val="21"/>
          <w:szCs w:val="21"/>
          <w:highlight w:val="none"/>
        </w:rPr>
        <w:t>。</w:t>
      </w:r>
    </w:p>
    <w:p w14:paraId="3491F7F7">
      <w:pPr>
        <w:pStyle w:val="358"/>
        <w:keepNext w:val="0"/>
        <w:keepLines w:val="0"/>
        <w:pageBreakBefore w:val="0"/>
        <w:widowControl w:val="0"/>
        <w:kinsoku/>
        <w:wordWrap/>
        <w:overflowPunct/>
        <w:topLinePunct w:val="0"/>
        <w:autoSpaceDE/>
        <w:autoSpaceDN/>
        <w:bidi w:val="0"/>
        <w:spacing w:beforeLines="0" w:afterLines="0"/>
        <w:ind w:firstLine="420"/>
        <w:rPr>
          <w:color w:val="auto"/>
          <w:sz w:val="21"/>
          <w:szCs w:val="21"/>
          <w:highlight w:val="none"/>
        </w:rPr>
      </w:pPr>
      <w:r>
        <w:rPr>
          <w:rFonts w:hint="eastAsia"/>
          <w:color w:val="auto"/>
          <w:sz w:val="21"/>
          <w:szCs w:val="21"/>
          <w:highlight w:val="none"/>
          <w:lang w:eastAsia="zh-CN"/>
        </w:rPr>
        <w:t>（</w:t>
      </w:r>
      <w:r>
        <w:rPr>
          <w:rFonts w:hint="eastAsia"/>
          <w:color w:val="auto"/>
          <w:sz w:val="21"/>
          <w:szCs w:val="21"/>
          <w:highlight w:val="none"/>
          <w:lang w:val="en-US" w:eastAsia="zh-CN"/>
        </w:rPr>
        <w:t>2</w:t>
      </w:r>
      <w:r>
        <w:rPr>
          <w:rFonts w:hint="eastAsia"/>
          <w:color w:val="auto"/>
          <w:sz w:val="21"/>
          <w:szCs w:val="21"/>
          <w:highlight w:val="none"/>
          <w:lang w:eastAsia="zh-CN"/>
        </w:rPr>
        <w:t>）</w:t>
      </w:r>
      <w:r>
        <w:rPr>
          <w:color w:val="auto"/>
          <w:sz w:val="21"/>
          <w:szCs w:val="21"/>
          <w:highlight w:val="none"/>
        </w:rPr>
        <w:t>递交</w:t>
      </w:r>
      <w:r>
        <w:rPr>
          <w:rFonts w:hint="eastAsia"/>
          <w:color w:val="auto"/>
          <w:sz w:val="21"/>
          <w:szCs w:val="21"/>
          <w:highlight w:val="none"/>
          <w:lang w:val="en-US" w:eastAsia="zh-CN"/>
        </w:rPr>
        <w:t>纸质</w:t>
      </w:r>
      <w:r>
        <w:rPr>
          <w:color w:val="auto"/>
          <w:sz w:val="21"/>
          <w:szCs w:val="21"/>
          <w:highlight w:val="none"/>
        </w:rPr>
        <w:t>质疑函后，质疑人</w:t>
      </w:r>
      <w:r>
        <w:rPr>
          <w:rFonts w:hint="eastAsia"/>
          <w:color w:val="auto"/>
          <w:sz w:val="21"/>
          <w:szCs w:val="21"/>
          <w:highlight w:val="none"/>
          <w:lang w:val="en-US" w:eastAsia="zh-CN"/>
        </w:rPr>
        <w:t>需要</w:t>
      </w:r>
      <w:r>
        <w:rPr>
          <w:color w:val="auto"/>
          <w:sz w:val="21"/>
          <w:szCs w:val="21"/>
          <w:highlight w:val="none"/>
        </w:rPr>
        <w:t>通过</w:t>
      </w:r>
      <w:r>
        <w:rPr>
          <w:rFonts w:hint="eastAsia"/>
          <w:color w:val="auto"/>
          <w:sz w:val="21"/>
          <w:szCs w:val="21"/>
          <w:highlight w:val="none"/>
          <w:lang w:eastAsia="zh-CN"/>
        </w:rPr>
        <w:t>“</w:t>
      </w:r>
      <w:r>
        <w:rPr>
          <w:color w:val="auto"/>
          <w:sz w:val="21"/>
          <w:szCs w:val="21"/>
          <w:highlight w:val="none"/>
        </w:rPr>
        <w:t>电子邮件</w:t>
      </w:r>
      <w:r>
        <w:rPr>
          <w:rFonts w:hint="eastAsia"/>
          <w:color w:val="auto"/>
          <w:sz w:val="21"/>
          <w:szCs w:val="21"/>
          <w:highlight w:val="none"/>
          <w:lang w:eastAsia="zh-CN"/>
        </w:rPr>
        <w:t>”</w:t>
      </w:r>
      <w:r>
        <w:rPr>
          <w:rFonts w:hint="eastAsia"/>
          <w:color w:val="auto"/>
          <w:sz w:val="21"/>
          <w:szCs w:val="21"/>
          <w:highlight w:val="none"/>
          <w:lang w:val="en-US" w:eastAsia="zh-CN"/>
        </w:rPr>
        <w:t>等方式</w:t>
      </w:r>
      <w:r>
        <w:rPr>
          <w:color w:val="auto"/>
          <w:sz w:val="21"/>
          <w:szCs w:val="21"/>
          <w:highlight w:val="none"/>
        </w:rPr>
        <w:t>将</w:t>
      </w:r>
      <w:r>
        <w:rPr>
          <w:rFonts w:hint="eastAsia"/>
          <w:color w:val="auto"/>
          <w:sz w:val="21"/>
          <w:szCs w:val="21"/>
          <w:highlight w:val="none"/>
          <w:lang w:eastAsia="zh-CN"/>
        </w:rPr>
        <w:t>“</w:t>
      </w:r>
      <w:r>
        <w:rPr>
          <w:rFonts w:hint="eastAsia"/>
          <w:color w:val="auto"/>
          <w:sz w:val="21"/>
          <w:szCs w:val="21"/>
          <w:highlight w:val="none"/>
        </w:rPr>
        <w:t>签字盖章版</w:t>
      </w:r>
      <w:r>
        <w:rPr>
          <w:rFonts w:hint="eastAsia"/>
          <w:color w:val="auto"/>
          <w:sz w:val="21"/>
          <w:szCs w:val="21"/>
          <w:highlight w:val="none"/>
          <w:lang w:val="en-US" w:eastAsia="zh-CN"/>
        </w:rPr>
        <w:t>和</w:t>
      </w:r>
      <w:r>
        <w:rPr>
          <w:rFonts w:hint="eastAsia"/>
          <w:color w:val="auto"/>
          <w:sz w:val="21"/>
          <w:szCs w:val="21"/>
          <w:highlight w:val="none"/>
        </w:rPr>
        <w:t>WORD可编辑版的质疑函</w:t>
      </w:r>
      <w:r>
        <w:rPr>
          <w:rFonts w:hint="eastAsia"/>
          <w:color w:val="auto"/>
          <w:sz w:val="21"/>
          <w:szCs w:val="21"/>
          <w:highlight w:val="none"/>
          <w:lang w:val="en-US" w:eastAsia="zh-CN"/>
        </w:rPr>
        <w:t>以及快递单号（如有）</w:t>
      </w:r>
      <w:r>
        <w:rPr>
          <w:rFonts w:hint="eastAsia"/>
          <w:color w:val="auto"/>
          <w:sz w:val="21"/>
          <w:szCs w:val="21"/>
          <w:highlight w:val="none"/>
          <w:lang w:eastAsia="zh-CN"/>
        </w:rPr>
        <w:t>”</w:t>
      </w:r>
      <w:r>
        <w:rPr>
          <w:color w:val="auto"/>
          <w:sz w:val="21"/>
          <w:szCs w:val="21"/>
          <w:highlight w:val="none"/>
        </w:rPr>
        <w:t>发送至采购代理机构电子邮箱</w:t>
      </w:r>
      <w:r>
        <w:rPr>
          <w:rFonts w:hint="eastAsia"/>
          <w:color w:val="auto"/>
          <w:sz w:val="21"/>
          <w:szCs w:val="21"/>
          <w:highlight w:val="none"/>
        </w:rPr>
        <w:t>，并且在工作日时间（</w:t>
      </w:r>
      <w:r>
        <w:rPr>
          <w:color w:val="auto"/>
          <w:sz w:val="21"/>
          <w:szCs w:val="21"/>
          <w:highlight w:val="none"/>
        </w:rPr>
        <w:t>8:30-12:00和14:00-17:30）电话告知采购代理机构</w:t>
      </w:r>
      <w:r>
        <w:rPr>
          <w:rFonts w:hint="eastAsia"/>
          <w:color w:val="auto"/>
          <w:sz w:val="21"/>
          <w:szCs w:val="21"/>
          <w:highlight w:val="none"/>
        </w:rPr>
        <w:t>查收</w:t>
      </w:r>
      <w:r>
        <w:rPr>
          <w:color w:val="auto"/>
          <w:sz w:val="21"/>
          <w:szCs w:val="21"/>
          <w:highlight w:val="none"/>
        </w:rPr>
        <w:t>。</w:t>
      </w:r>
    </w:p>
    <w:p w14:paraId="19917641">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lang w:val="en-US" w:eastAsia="zh-CN"/>
        </w:rPr>
        <w:t>（3）质疑答复结果将通过“现场领取”或“邮寄”</w:t>
      </w:r>
      <w:r>
        <w:rPr>
          <w:rFonts w:hint="eastAsia"/>
          <w:color w:val="auto"/>
          <w:sz w:val="21"/>
          <w:szCs w:val="21"/>
          <w:highlight w:val="none"/>
        </w:rPr>
        <w:t>或</w:t>
      </w:r>
      <w:r>
        <w:rPr>
          <w:rFonts w:hint="eastAsia"/>
          <w:color w:val="auto"/>
          <w:sz w:val="21"/>
          <w:szCs w:val="21"/>
          <w:highlight w:val="none"/>
          <w:lang w:val="en-US" w:eastAsia="zh-CN"/>
        </w:rPr>
        <w:t>“</w:t>
      </w:r>
      <w:r>
        <w:rPr>
          <w:rFonts w:hint="eastAsia"/>
          <w:color w:val="auto"/>
          <w:sz w:val="21"/>
          <w:szCs w:val="21"/>
          <w:highlight w:val="none"/>
        </w:rPr>
        <w:t>快递</w:t>
      </w:r>
      <w:r>
        <w:rPr>
          <w:rFonts w:hint="default"/>
          <w:color w:val="auto"/>
          <w:sz w:val="21"/>
          <w:szCs w:val="21"/>
          <w:highlight w:val="none"/>
          <w:lang w:val="en-US" w:eastAsia="zh-CN"/>
        </w:rPr>
        <w:t>”</w:t>
      </w:r>
      <w:r>
        <w:rPr>
          <w:rFonts w:hint="eastAsia"/>
          <w:color w:val="auto"/>
          <w:sz w:val="21"/>
          <w:szCs w:val="21"/>
          <w:highlight w:val="none"/>
          <w:lang w:val="en-US" w:eastAsia="zh-CN"/>
        </w:rPr>
        <w:t>或“电子邮件</w:t>
      </w:r>
      <w:r>
        <w:rPr>
          <w:rFonts w:hint="default"/>
          <w:color w:val="auto"/>
          <w:sz w:val="21"/>
          <w:szCs w:val="21"/>
          <w:highlight w:val="none"/>
          <w:lang w:val="en-US" w:eastAsia="zh-CN"/>
        </w:rPr>
        <w:t>”</w:t>
      </w:r>
      <w:r>
        <w:rPr>
          <w:rFonts w:hint="eastAsia"/>
          <w:color w:val="auto"/>
          <w:sz w:val="21"/>
          <w:szCs w:val="21"/>
          <w:highlight w:val="none"/>
          <w:lang w:val="en-US" w:eastAsia="zh-CN"/>
        </w:rPr>
        <w:t>等书面形式送达至质疑人，请质疑人及时查收质疑答复结果。</w:t>
      </w:r>
    </w:p>
    <w:p w14:paraId="2A9BAB70">
      <w:pPr>
        <w:pStyle w:val="129"/>
        <w:keepNext w:val="0"/>
        <w:keepLines w:val="0"/>
        <w:pageBreakBefore w:val="0"/>
        <w:widowControl w:val="0"/>
        <w:numPr>
          <w:ilvl w:val="0"/>
          <w:numId w:val="11"/>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投诉</w:t>
      </w:r>
    </w:p>
    <w:p w14:paraId="3F0F088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质疑人对采购人或采购代理机构的质疑答复不满意或在规定时间内未得到答复的，可以在答复期满后15个工作日内，向本项目监督管理部门提起投诉。</w:t>
      </w:r>
    </w:p>
    <w:p w14:paraId="412248B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p w14:paraId="04097AA8">
      <w:pPr>
        <w:pStyle w:val="3"/>
        <w:keepNext w:val="0"/>
        <w:keepLines w:val="0"/>
        <w:pageBreakBefore w:val="0"/>
        <w:widowControl w:val="0"/>
        <w:numPr>
          <w:ilvl w:val="0"/>
          <w:numId w:val="6"/>
        </w:numPr>
        <w:kinsoku/>
        <w:wordWrap/>
        <w:overflowPunct/>
        <w:topLinePunct w:val="0"/>
        <w:bidi w:val="0"/>
        <w:spacing w:before="0" w:beforeLines="0" w:after="0" w:afterLines="0" w:line="360" w:lineRule="auto"/>
        <w:ind w:left="0" w:firstLine="0"/>
        <w:jc w:val="left"/>
        <w:rPr>
          <w:rFonts w:hint="eastAsia" w:ascii="宋体" w:hAnsi="宋体" w:eastAsia="宋体"/>
          <w:color w:val="auto"/>
          <w:sz w:val="21"/>
          <w:szCs w:val="21"/>
          <w:highlight w:val="none"/>
        </w:rPr>
      </w:pPr>
      <w:bookmarkStart w:id="86" w:name="_Toc104040749"/>
      <w:bookmarkStart w:id="87" w:name="_Toc104040695"/>
      <w:bookmarkStart w:id="88" w:name="_Toc23342"/>
      <w:r>
        <w:rPr>
          <w:rFonts w:hint="eastAsia" w:ascii="宋体" w:hAnsi="宋体" w:eastAsia="宋体"/>
          <w:color w:val="auto"/>
          <w:sz w:val="21"/>
          <w:szCs w:val="21"/>
          <w:highlight w:val="none"/>
        </w:rPr>
        <w:t>合同签订和履行</w:t>
      </w:r>
      <w:bookmarkEnd w:id="86"/>
      <w:bookmarkEnd w:id="87"/>
      <w:bookmarkEnd w:id="88"/>
    </w:p>
    <w:p w14:paraId="540C79BF">
      <w:pPr>
        <w:pStyle w:val="129"/>
        <w:keepNext w:val="0"/>
        <w:keepLines w:val="0"/>
        <w:pageBreakBefore w:val="0"/>
        <w:widowControl w:val="0"/>
        <w:numPr>
          <w:ilvl w:val="0"/>
          <w:numId w:val="12"/>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合同签订</w:t>
      </w:r>
    </w:p>
    <w:p w14:paraId="7A50654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1.1采购人应当自《成交通知书》发出之日起三十日内，按照磋商文件和成交供应商响应文件的约定，与成交供应商签订合同。所签订的合同不得对磋商文件和成交供应商响应文件作实质性修改。</w:t>
      </w:r>
    </w:p>
    <w:p w14:paraId="459D923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1.2采购人不得提出试用合格等任何不合理的要求作为签订合同的条件，且不得与成交供应商私下订立背离合同实质性内容的协议。</w:t>
      </w:r>
    </w:p>
    <w:p w14:paraId="1D815AEE">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bookmarkStart w:id="89" w:name="_Hlk175747511"/>
      <w:r>
        <w:rPr>
          <w:rFonts w:hint="eastAsia"/>
          <w:color w:val="auto"/>
          <w:sz w:val="21"/>
          <w:szCs w:val="21"/>
          <w:highlight w:val="none"/>
          <w:lang w:eastAsia="zh-CN"/>
        </w:rPr>
        <w:t>1.3合同条款中应规定，</w:t>
      </w:r>
      <w:bookmarkStart w:id="90" w:name="_Hlk175737978"/>
      <w:r>
        <w:rPr>
          <w:rFonts w:hint="eastAsia"/>
          <w:color w:val="auto"/>
          <w:sz w:val="21"/>
          <w:szCs w:val="21"/>
          <w:highlight w:val="none"/>
          <w:lang w:eastAsia="zh-CN"/>
        </w:rPr>
        <w:t>成交供应商完全遵守《中华人民共和国劳动合同法》有关规定和《中华人民共和国妇女权益保障法》中关于“劳动和社会保障权益”的有关要求。</w:t>
      </w:r>
      <w:bookmarkEnd w:id="90"/>
    </w:p>
    <w:p w14:paraId="17616763">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w:t>
      </w:r>
      <w:r>
        <w:rPr>
          <w:rFonts w:hint="eastAsia"/>
          <w:color w:val="auto"/>
          <w:sz w:val="21"/>
          <w:szCs w:val="21"/>
          <w:highlight w:val="none"/>
          <w:lang w:eastAsia="zh-CN"/>
        </w:rPr>
        <w:t>4成交人拒绝签订政府采购合同（包括但不限于放弃成交、因不可抗力不能履行合同而放弃签订合同），采购人可以按照评审报告推荐的成交候选人名单排序，确定下一候选人为成交供应商，也可以重新开展采购活动。</w:t>
      </w:r>
    </w:p>
    <w:p w14:paraId="188D409C">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 w:val="21"/>
          <w:szCs w:val="21"/>
          <w:highlight w:val="none"/>
          <w:lang w:eastAsia="zh-CN"/>
        </w:rPr>
      </w:pPr>
      <w:r>
        <w:rPr>
          <w:rFonts w:hint="eastAsia"/>
          <w:color w:val="auto"/>
          <w:sz w:val="21"/>
          <w:szCs w:val="21"/>
          <w:highlight w:val="none"/>
          <w:lang w:eastAsia="zh-CN"/>
        </w:rPr>
        <w:t>1</w:t>
      </w:r>
      <w:r>
        <w:rPr>
          <w:color w:val="auto"/>
          <w:sz w:val="21"/>
          <w:szCs w:val="21"/>
          <w:highlight w:val="none"/>
          <w:lang w:eastAsia="zh-CN"/>
        </w:rPr>
        <w:t>.</w:t>
      </w:r>
      <w:r>
        <w:rPr>
          <w:rFonts w:hint="eastAsia"/>
          <w:color w:val="auto"/>
          <w:sz w:val="21"/>
          <w:szCs w:val="21"/>
          <w:highlight w:val="none"/>
          <w:lang w:eastAsia="zh-CN"/>
        </w:rPr>
        <w:t>5签订合同后，成交人不得将货物及其他相关服务进行转包。未经采购人同意，成交人也不得采用分包的形式履行合同，否则采购人有权终止合同，成交人的履约保证金（如有）将不予退还。转包或分包造成采购人损失的，成交人应承担相应赔偿责任。</w:t>
      </w:r>
      <w:bookmarkEnd w:id="89"/>
      <w:bookmarkStart w:id="91" w:name="_Hlk112008176"/>
    </w:p>
    <w:p w14:paraId="5C1D64B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 w:val="21"/>
          <w:szCs w:val="21"/>
          <w:highlight w:val="none"/>
          <w:lang w:eastAsia="zh-CN"/>
        </w:rPr>
      </w:pPr>
    </w:p>
    <w:bookmarkEnd w:id="91"/>
    <w:p w14:paraId="3E059E22">
      <w:pPr>
        <w:pStyle w:val="129"/>
        <w:keepNext w:val="0"/>
        <w:keepLines w:val="0"/>
        <w:pageBreakBefore w:val="0"/>
        <w:widowControl w:val="0"/>
        <w:numPr>
          <w:ilvl w:val="0"/>
          <w:numId w:val="12"/>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合同的履行</w:t>
      </w:r>
    </w:p>
    <w:p w14:paraId="7FC5994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政府采购合同订立后，合同各方不得擅自变更、中止或者终止合同。政府采购合同需要变更的，采购人应将有关合同变更内容，以书面形式报政府采购监督管理机关备案；因特殊情况需要中止或终止合同的，采购人应将中止或终止合同的理由以及相应措施，以书面形式报政府采购监督管理机关备案。</w:t>
      </w:r>
    </w:p>
    <w:p w14:paraId="30338BB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w:t>
      </w:r>
      <w:r>
        <w:rPr>
          <w:color w:val="auto"/>
          <w:szCs w:val="20"/>
          <w:highlight w:val="none"/>
        </w:rPr>
        <w:t>.2</w:t>
      </w:r>
      <w:r>
        <w:rPr>
          <w:rFonts w:hint="eastAsia"/>
          <w:color w:val="auto"/>
          <w:szCs w:val="20"/>
          <w:highlight w:val="none"/>
        </w:rPr>
        <w:t>政府采购合同履行中，采购人需追加与合同标的相同的货物、工程或者服务的，在不改变合同其他条款的前提下，可以与成交供应商签订补充合同，但所补充合同的采购金额不得超过原采购金额的10%。</w:t>
      </w:r>
    </w:p>
    <w:p w14:paraId="2B7FA40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bookmarkEnd w:id="6"/>
    <w:p w14:paraId="4F8103A3">
      <w:pPr>
        <w:keepNext w:val="0"/>
        <w:keepLines w:val="0"/>
        <w:pageBreakBefore w:val="0"/>
        <w:widowControl w:val="0"/>
        <w:kinsoku/>
        <w:wordWrap/>
        <w:overflowPunct/>
        <w:topLinePunct w:val="0"/>
        <w:bidi w:val="0"/>
        <w:spacing w:beforeLines="0" w:afterLines="0"/>
        <w:rPr>
          <w:rFonts w:hint="eastAsia"/>
          <w:b/>
          <w:bCs/>
          <w:color w:val="auto"/>
          <w:kern w:val="44"/>
          <w:sz w:val="36"/>
          <w:szCs w:val="36"/>
          <w:highlight w:val="none"/>
        </w:rPr>
      </w:pPr>
      <w:bookmarkStart w:id="92" w:name="_Toc35342046"/>
      <w:bookmarkStart w:id="93" w:name="_Toc103033213"/>
      <w:bookmarkStart w:id="94" w:name="_Toc102936912"/>
      <w:bookmarkStart w:id="95" w:name="_Toc50864444"/>
      <w:bookmarkStart w:id="96" w:name="_Toc67046845"/>
      <w:r>
        <w:rPr>
          <w:color w:val="auto"/>
          <w:sz w:val="36"/>
          <w:szCs w:val="36"/>
          <w:highlight w:val="none"/>
        </w:rPr>
        <w:br w:type="page"/>
      </w:r>
    </w:p>
    <w:p w14:paraId="78E52FF7">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pPr>
      <w:bookmarkStart w:id="97" w:name="_Toc103216636"/>
      <w:bookmarkStart w:id="98" w:name="_Toc21711"/>
      <w:bookmarkStart w:id="99" w:name="_Toc104040750"/>
      <w:bookmarkStart w:id="100" w:name="_Toc104040696"/>
      <w:r>
        <w:rPr>
          <w:rFonts w:hint="eastAsia" w:eastAsia="宋体"/>
          <w:color w:val="auto"/>
          <w:sz w:val="24"/>
          <w:szCs w:val="24"/>
          <w:highlight w:val="none"/>
        </w:rPr>
        <w:t>第四章 评审</w:t>
      </w:r>
      <w:bookmarkEnd w:id="92"/>
      <w:bookmarkEnd w:id="93"/>
      <w:bookmarkEnd w:id="94"/>
      <w:bookmarkEnd w:id="95"/>
      <w:bookmarkEnd w:id="97"/>
      <w:bookmarkEnd w:id="98"/>
      <w:bookmarkEnd w:id="99"/>
      <w:bookmarkEnd w:id="100"/>
    </w:p>
    <w:p w14:paraId="31705B4F">
      <w:pPr>
        <w:pStyle w:val="3"/>
        <w:keepNext w:val="0"/>
        <w:keepLines w:val="0"/>
        <w:pageBreakBefore w:val="0"/>
        <w:widowControl w:val="0"/>
        <w:numPr>
          <w:ilvl w:val="0"/>
          <w:numId w:val="13"/>
        </w:numPr>
        <w:kinsoku/>
        <w:wordWrap/>
        <w:overflowPunct/>
        <w:topLinePunct w:val="0"/>
        <w:bidi w:val="0"/>
        <w:spacing w:before="0" w:beforeLines="0" w:after="0" w:afterLines="0" w:line="360" w:lineRule="auto"/>
        <w:jc w:val="left"/>
        <w:rPr>
          <w:rFonts w:hint="eastAsia" w:ascii="宋体" w:hAnsi="宋体" w:eastAsia="宋体"/>
          <w:color w:val="auto"/>
          <w:sz w:val="21"/>
          <w:szCs w:val="21"/>
          <w:highlight w:val="none"/>
        </w:rPr>
      </w:pPr>
      <w:bookmarkStart w:id="101" w:name="_Toc104040697"/>
      <w:bookmarkStart w:id="102" w:name="_Toc104040751"/>
      <w:bookmarkStart w:id="103" w:name="_Toc21120"/>
      <w:r>
        <w:rPr>
          <w:rFonts w:hint="eastAsia" w:ascii="宋体" w:hAnsi="宋体" w:eastAsia="宋体"/>
          <w:color w:val="auto"/>
          <w:sz w:val="21"/>
          <w:szCs w:val="21"/>
          <w:highlight w:val="none"/>
        </w:rPr>
        <w:t>评审要求</w:t>
      </w:r>
      <w:bookmarkEnd w:id="101"/>
      <w:bookmarkEnd w:id="102"/>
      <w:bookmarkEnd w:id="103"/>
    </w:p>
    <w:p w14:paraId="35C04848">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评审方法</w:t>
      </w:r>
    </w:p>
    <w:p w14:paraId="5EE9336F">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综合评分法,是指响应文件满足磋商文件全部实质性要求，且按照评审因素的量化指标评审得分最高的供应商为成交候选人的评标方法。（最低报价不是成交的唯一依据。）</w:t>
      </w:r>
    </w:p>
    <w:p w14:paraId="451776CD">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评审原则</w:t>
      </w:r>
    </w:p>
    <w:p w14:paraId="6EDF792C">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2.1评审活动遵循公平、公正、科学和择优的原则，以磋商文件和响应文件为评审的基本依据，并按照磋商文件规定的评审方法和评审标准进行评审。</w:t>
      </w:r>
    </w:p>
    <w:p w14:paraId="4A5E4468">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2</w:t>
      </w:r>
      <w:r>
        <w:rPr>
          <w:bCs/>
          <w:color w:val="auto"/>
          <w:szCs w:val="21"/>
          <w:highlight w:val="none"/>
        </w:rPr>
        <w:t>.2</w:t>
      </w:r>
      <w:r>
        <w:rPr>
          <w:rFonts w:hint="eastAsia"/>
          <w:bCs/>
          <w:color w:val="auto"/>
          <w:szCs w:val="21"/>
          <w:highlight w:val="none"/>
        </w:rPr>
        <w:t>具体评审事项由磋商小组负责，并按磋商文件的规定办法进行评审。对磋商文件中描述有歧义或前后不一致的地方，磋商小组有权按法律法规的规定进行评判，但对同一条款的评判应适用于每个响应供应商。</w:t>
      </w:r>
    </w:p>
    <w:p w14:paraId="01FDC37D">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磋商小组</w:t>
      </w:r>
    </w:p>
    <w:p w14:paraId="7C624C93">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3.1磋商小组由采购人代表和评审专家组成，成员人数应当为3人及以上单数，其中技术、经济等方面的评审专家不得少于成员总数的三分之二。</w:t>
      </w:r>
    </w:p>
    <w:p w14:paraId="080AC623">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3.2评审应遵守下列评审纪律：</w:t>
      </w:r>
    </w:p>
    <w:p w14:paraId="582E3C43">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（1）评审情况不得私自外泄，有关信息由公诚管理咨询有限公司统一对外发布。</w:t>
      </w:r>
    </w:p>
    <w:p w14:paraId="4EA21281">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（2）对公诚管理咨询有限公司或供应商提供的要求保密的资料，不得摘记翻印和外传。</w:t>
      </w:r>
    </w:p>
    <w:p w14:paraId="2AF556B4">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（3）不得收受响应供应商或有关人员的任何礼物，不得串联鼓动其他人袒护某供应商。若与供应商存在利害关系，则应主动声明并回避。</w:t>
      </w:r>
    </w:p>
    <w:p w14:paraId="0467604B">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（4）全体评委应按照磋商文件规定进行评审，一切认定事项应查有实据且不得弄虚作假。</w:t>
      </w:r>
    </w:p>
    <w:p w14:paraId="02070B12">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kern w:val="1"/>
          <w:szCs w:val="21"/>
          <w:highlight w:val="none"/>
        </w:rPr>
      </w:pPr>
      <w:r>
        <w:rPr>
          <w:rFonts w:hint="eastAsia"/>
          <w:bCs/>
          <w:color w:val="auto"/>
          <w:kern w:val="1"/>
          <w:szCs w:val="21"/>
          <w:highlight w:val="none"/>
        </w:rPr>
        <w:t>（5）磋商小组各成员应当独立对每个响应供应商的响应文件进行评价，并对评价意见承担个人责任。评审过程中，不得发表倾向性言论。</w:t>
      </w:r>
    </w:p>
    <w:p w14:paraId="31DA25D3">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kern w:val="1"/>
          <w:szCs w:val="21"/>
          <w:highlight w:val="none"/>
        </w:rPr>
        <w:t>对违反评审纪律的评委，将取消其评委资格，对评审工作造成严重损失者将予以通报批评乃至追究法律责任</w:t>
      </w:r>
      <w:r>
        <w:rPr>
          <w:rFonts w:hint="eastAsia"/>
          <w:bCs/>
          <w:color w:val="auto"/>
          <w:szCs w:val="21"/>
          <w:highlight w:val="none"/>
        </w:rPr>
        <w:t>。</w:t>
      </w:r>
    </w:p>
    <w:p w14:paraId="2A023538">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ascii="宋体" w:hAnsi="宋体"/>
          <w:b/>
          <w:bCs/>
          <w:color w:val="auto"/>
          <w:highlight w:val="none"/>
          <w:lang w:eastAsia="zh-CN"/>
        </w:rPr>
        <w:t>有下列情形之一的，属于恶意串通，对</w:t>
      </w:r>
      <w:r>
        <w:rPr>
          <w:rFonts w:hint="eastAsia" w:ascii="宋体" w:hAnsi="宋体"/>
          <w:b/>
          <w:bCs/>
          <w:color w:val="auto"/>
          <w:highlight w:val="none"/>
          <w:lang w:eastAsia="zh-CN"/>
        </w:rPr>
        <w:t>供应商依照</w:t>
      </w:r>
      <w:r>
        <w:rPr>
          <w:rFonts w:ascii="宋体" w:hAnsi="宋体"/>
          <w:b/>
          <w:bCs/>
          <w:color w:val="auto"/>
          <w:highlight w:val="none"/>
          <w:lang w:eastAsia="zh-CN"/>
        </w:rPr>
        <w:t>政府采购法第七十七条第一款的规定追究法律责任：</w:t>
      </w:r>
    </w:p>
    <w:p w14:paraId="58C579FA">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.1</w:t>
      </w:r>
      <w:r>
        <w:rPr>
          <w:rFonts w:hint="eastAsia"/>
          <w:color w:val="auto"/>
          <w:sz w:val="21"/>
          <w:szCs w:val="21"/>
          <w:highlight w:val="none"/>
          <w:lang w:eastAsia="zh-CN"/>
        </w:rPr>
        <w:t>供应商</w:t>
      </w:r>
      <w:r>
        <w:rPr>
          <w:color w:val="auto"/>
          <w:sz w:val="21"/>
          <w:szCs w:val="21"/>
          <w:highlight w:val="none"/>
          <w:lang w:eastAsia="zh-CN"/>
        </w:rPr>
        <w:t>直接或者间接从采购人或者采购代理机构处获得其他</w:t>
      </w:r>
      <w:r>
        <w:rPr>
          <w:rFonts w:hint="eastAsia"/>
          <w:color w:val="auto"/>
          <w:sz w:val="21"/>
          <w:szCs w:val="21"/>
          <w:highlight w:val="none"/>
          <w:lang w:eastAsia="zh-CN"/>
        </w:rPr>
        <w:t>供应商</w:t>
      </w:r>
      <w:r>
        <w:rPr>
          <w:color w:val="auto"/>
          <w:sz w:val="21"/>
          <w:szCs w:val="21"/>
          <w:highlight w:val="none"/>
          <w:lang w:eastAsia="zh-CN"/>
        </w:rPr>
        <w:t>的相关情况并修改其</w:t>
      </w:r>
      <w:r>
        <w:rPr>
          <w:rFonts w:hint="eastAsia"/>
          <w:color w:val="auto"/>
          <w:sz w:val="21"/>
          <w:szCs w:val="21"/>
          <w:highlight w:val="none"/>
          <w:lang w:eastAsia="zh-CN"/>
        </w:rPr>
        <w:t>响应</w:t>
      </w:r>
      <w:r>
        <w:rPr>
          <w:color w:val="auto"/>
          <w:sz w:val="21"/>
          <w:szCs w:val="21"/>
          <w:highlight w:val="none"/>
          <w:lang w:eastAsia="zh-CN"/>
        </w:rPr>
        <w:t>文件；</w:t>
      </w:r>
    </w:p>
    <w:p w14:paraId="04B69402">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.2</w:t>
      </w:r>
      <w:r>
        <w:rPr>
          <w:rFonts w:hint="eastAsia"/>
          <w:color w:val="auto"/>
          <w:sz w:val="21"/>
          <w:szCs w:val="21"/>
          <w:highlight w:val="none"/>
          <w:lang w:eastAsia="zh-CN"/>
        </w:rPr>
        <w:t>供应商</w:t>
      </w:r>
      <w:r>
        <w:rPr>
          <w:color w:val="auto"/>
          <w:sz w:val="21"/>
          <w:szCs w:val="21"/>
          <w:highlight w:val="none"/>
          <w:lang w:eastAsia="zh-CN"/>
        </w:rPr>
        <w:t>按照采购人或者采购代理机构的授意撤换、修改</w:t>
      </w:r>
      <w:r>
        <w:rPr>
          <w:rFonts w:hint="eastAsia"/>
          <w:color w:val="auto"/>
          <w:sz w:val="21"/>
          <w:szCs w:val="21"/>
          <w:highlight w:val="none"/>
          <w:lang w:eastAsia="zh-CN"/>
        </w:rPr>
        <w:t>响应</w:t>
      </w:r>
      <w:r>
        <w:rPr>
          <w:color w:val="auto"/>
          <w:sz w:val="21"/>
          <w:szCs w:val="21"/>
          <w:highlight w:val="none"/>
          <w:lang w:eastAsia="zh-CN"/>
        </w:rPr>
        <w:t>文件；</w:t>
      </w:r>
    </w:p>
    <w:p w14:paraId="33B736FA">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.3</w:t>
      </w:r>
      <w:r>
        <w:rPr>
          <w:rFonts w:hint="eastAsia"/>
          <w:color w:val="auto"/>
          <w:sz w:val="21"/>
          <w:szCs w:val="21"/>
          <w:highlight w:val="none"/>
          <w:lang w:eastAsia="zh-CN"/>
        </w:rPr>
        <w:t>供应商</w:t>
      </w:r>
      <w:r>
        <w:rPr>
          <w:color w:val="auto"/>
          <w:sz w:val="21"/>
          <w:szCs w:val="21"/>
          <w:highlight w:val="none"/>
          <w:lang w:eastAsia="zh-CN"/>
        </w:rPr>
        <w:t>之间协商报价、技术方案等</w:t>
      </w:r>
      <w:r>
        <w:rPr>
          <w:rFonts w:hint="eastAsia"/>
          <w:color w:val="auto"/>
          <w:sz w:val="21"/>
          <w:szCs w:val="21"/>
          <w:highlight w:val="none"/>
          <w:lang w:eastAsia="zh-CN"/>
        </w:rPr>
        <w:t>响应</w:t>
      </w:r>
      <w:r>
        <w:rPr>
          <w:color w:val="auto"/>
          <w:sz w:val="21"/>
          <w:szCs w:val="21"/>
          <w:highlight w:val="none"/>
          <w:lang w:eastAsia="zh-CN"/>
        </w:rPr>
        <w:t>文件的实质性内容；</w:t>
      </w:r>
    </w:p>
    <w:p w14:paraId="0E252EEB">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.4属于同一集团、协会、商会等组织成员的</w:t>
      </w:r>
      <w:r>
        <w:rPr>
          <w:rFonts w:hint="eastAsia"/>
          <w:color w:val="auto"/>
          <w:sz w:val="21"/>
          <w:szCs w:val="21"/>
          <w:highlight w:val="none"/>
          <w:lang w:eastAsia="zh-CN"/>
        </w:rPr>
        <w:t>供应商</w:t>
      </w:r>
      <w:r>
        <w:rPr>
          <w:color w:val="auto"/>
          <w:sz w:val="21"/>
          <w:szCs w:val="21"/>
          <w:highlight w:val="none"/>
          <w:lang w:eastAsia="zh-CN"/>
        </w:rPr>
        <w:t>按照该组织要求协同参加</w:t>
      </w:r>
      <w:r>
        <w:rPr>
          <w:rFonts w:hint="eastAsia"/>
          <w:color w:val="auto"/>
          <w:sz w:val="21"/>
          <w:szCs w:val="21"/>
          <w:highlight w:val="none"/>
          <w:lang w:eastAsia="zh-CN"/>
        </w:rPr>
        <w:t>政府</w:t>
      </w:r>
      <w:r>
        <w:rPr>
          <w:color w:val="auto"/>
          <w:sz w:val="21"/>
          <w:szCs w:val="21"/>
          <w:highlight w:val="none"/>
          <w:lang w:eastAsia="zh-CN"/>
        </w:rPr>
        <w:t>采购活动；</w:t>
      </w:r>
    </w:p>
    <w:p w14:paraId="05507BE5">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.5</w:t>
      </w:r>
      <w:r>
        <w:rPr>
          <w:rFonts w:hint="eastAsia"/>
          <w:color w:val="auto"/>
          <w:sz w:val="21"/>
          <w:szCs w:val="21"/>
          <w:highlight w:val="none"/>
          <w:lang w:eastAsia="zh-CN"/>
        </w:rPr>
        <w:t>供应商</w:t>
      </w:r>
      <w:r>
        <w:rPr>
          <w:color w:val="auto"/>
          <w:sz w:val="21"/>
          <w:szCs w:val="21"/>
          <w:highlight w:val="none"/>
          <w:lang w:eastAsia="zh-CN"/>
        </w:rPr>
        <w:t>之间事先约定由某一特定</w:t>
      </w:r>
      <w:r>
        <w:rPr>
          <w:rFonts w:hint="eastAsia"/>
          <w:color w:val="auto"/>
          <w:sz w:val="21"/>
          <w:szCs w:val="21"/>
          <w:highlight w:val="none"/>
          <w:lang w:eastAsia="zh-CN"/>
        </w:rPr>
        <w:t>供应商成交</w:t>
      </w:r>
      <w:r>
        <w:rPr>
          <w:color w:val="auto"/>
          <w:sz w:val="21"/>
          <w:szCs w:val="21"/>
          <w:highlight w:val="none"/>
          <w:lang w:eastAsia="zh-CN"/>
        </w:rPr>
        <w:t>；</w:t>
      </w:r>
    </w:p>
    <w:p w14:paraId="7CEDA733">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.6</w:t>
      </w:r>
      <w:r>
        <w:rPr>
          <w:rFonts w:hint="eastAsia"/>
          <w:color w:val="auto"/>
          <w:sz w:val="21"/>
          <w:szCs w:val="21"/>
          <w:highlight w:val="none"/>
          <w:lang w:eastAsia="zh-CN"/>
        </w:rPr>
        <w:t>供应商</w:t>
      </w:r>
      <w:r>
        <w:rPr>
          <w:color w:val="auto"/>
          <w:sz w:val="21"/>
          <w:szCs w:val="21"/>
          <w:highlight w:val="none"/>
          <w:lang w:eastAsia="zh-CN"/>
        </w:rPr>
        <w:t>之间商定部分</w:t>
      </w:r>
      <w:r>
        <w:rPr>
          <w:rFonts w:hint="eastAsia"/>
          <w:color w:val="auto"/>
          <w:sz w:val="21"/>
          <w:szCs w:val="21"/>
          <w:highlight w:val="none"/>
          <w:lang w:eastAsia="zh-CN"/>
        </w:rPr>
        <w:t>供应商</w:t>
      </w:r>
      <w:r>
        <w:rPr>
          <w:color w:val="auto"/>
          <w:sz w:val="21"/>
          <w:szCs w:val="21"/>
          <w:highlight w:val="none"/>
          <w:lang w:eastAsia="zh-CN"/>
        </w:rPr>
        <w:t>放弃参加</w:t>
      </w:r>
      <w:r>
        <w:rPr>
          <w:rFonts w:hint="eastAsia"/>
          <w:color w:val="auto"/>
          <w:sz w:val="21"/>
          <w:szCs w:val="21"/>
          <w:highlight w:val="none"/>
          <w:lang w:eastAsia="zh-CN"/>
        </w:rPr>
        <w:t>政府</w:t>
      </w:r>
      <w:r>
        <w:rPr>
          <w:color w:val="auto"/>
          <w:sz w:val="21"/>
          <w:szCs w:val="21"/>
          <w:highlight w:val="none"/>
          <w:lang w:eastAsia="zh-CN"/>
        </w:rPr>
        <w:t>采购活动或者放弃</w:t>
      </w:r>
      <w:r>
        <w:rPr>
          <w:rFonts w:hint="eastAsia"/>
          <w:color w:val="auto"/>
          <w:sz w:val="21"/>
          <w:szCs w:val="21"/>
          <w:highlight w:val="none"/>
          <w:lang w:eastAsia="zh-CN"/>
        </w:rPr>
        <w:t>成交</w:t>
      </w:r>
      <w:r>
        <w:rPr>
          <w:color w:val="auto"/>
          <w:sz w:val="21"/>
          <w:szCs w:val="21"/>
          <w:highlight w:val="none"/>
          <w:lang w:eastAsia="zh-CN"/>
        </w:rPr>
        <w:t>；</w:t>
      </w:r>
    </w:p>
    <w:p w14:paraId="57BEEF26">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lang w:eastAsia="zh-CN"/>
        </w:rPr>
      </w:pPr>
      <w:r>
        <w:rPr>
          <w:rFonts w:hint="eastAsia"/>
          <w:color w:val="auto"/>
          <w:sz w:val="21"/>
          <w:szCs w:val="21"/>
          <w:highlight w:val="none"/>
          <w:lang w:eastAsia="zh-CN"/>
        </w:rPr>
        <w:t>4</w:t>
      </w:r>
      <w:r>
        <w:rPr>
          <w:color w:val="auto"/>
          <w:sz w:val="21"/>
          <w:szCs w:val="21"/>
          <w:highlight w:val="none"/>
          <w:lang w:eastAsia="zh-CN"/>
        </w:rPr>
        <w:t>.7</w:t>
      </w:r>
      <w:r>
        <w:rPr>
          <w:rFonts w:hint="eastAsia"/>
          <w:color w:val="auto"/>
          <w:sz w:val="21"/>
          <w:szCs w:val="21"/>
          <w:highlight w:val="none"/>
          <w:lang w:eastAsia="zh-CN"/>
        </w:rPr>
        <w:t>供应商</w:t>
      </w:r>
      <w:r>
        <w:rPr>
          <w:color w:val="auto"/>
          <w:sz w:val="21"/>
          <w:szCs w:val="21"/>
          <w:highlight w:val="none"/>
          <w:lang w:eastAsia="zh-CN"/>
        </w:rPr>
        <w:t>与采购人或者采购代理机构之间、</w:t>
      </w:r>
      <w:r>
        <w:rPr>
          <w:rFonts w:hint="eastAsia"/>
          <w:color w:val="auto"/>
          <w:sz w:val="21"/>
          <w:szCs w:val="21"/>
          <w:highlight w:val="none"/>
          <w:lang w:eastAsia="zh-CN"/>
        </w:rPr>
        <w:t>供应商</w:t>
      </w:r>
      <w:r>
        <w:rPr>
          <w:color w:val="auto"/>
          <w:sz w:val="21"/>
          <w:szCs w:val="21"/>
          <w:highlight w:val="none"/>
          <w:lang w:eastAsia="zh-CN"/>
        </w:rPr>
        <w:t>相互之间，为谋求特定</w:t>
      </w:r>
      <w:r>
        <w:rPr>
          <w:rFonts w:hint="eastAsia"/>
          <w:color w:val="auto"/>
          <w:sz w:val="21"/>
          <w:szCs w:val="21"/>
          <w:highlight w:val="none"/>
          <w:lang w:eastAsia="zh-CN"/>
        </w:rPr>
        <w:t>供应商成交</w:t>
      </w:r>
      <w:r>
        <w:rPr>
          <w:color w:val="auto"/>
          <w:sz w:val="21"/>
          <w:szCs w:val="21"/>
          <w:highlight w:val="none"/>
          <w:lang w:eastAsia="zh-CN"/>
        </w:rPr>
        <w:t>或者排斥其他</w:t>
      </w:r>
      <w:r>
        <w:rPr>
          <w:rFonts w:hint="eastAsia"/>
          <w:color w:val="auto"/>
          <w:sz w:val="21"/>
          <w:szCs w:val="21"/>
          <w:highlight w:val="none"/>
          <w:lang w:eastAsia="zh-CN"/>
        </w:rPr>
        <w:t>供应商</w:t>
      </w:r>
      <w:r>
        <w:rPr>
          <w:color w:val="auto"/>
          <w:sz w:val="21"/>
          <w:szCs w:val="21"/>
          <w:highlight w:val="none"/>
          <w:lang w:eastAsia="zh-CN"/>
        </w:rPr>
        <w:t>的其他串通行为。</w:t>
      </w:r>
    </w:p>
    <w:p w14:paraId="41372DF1">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有下列情形之一的，视为供应商串通响应，其响应无效</w:t>
      </w:r>
    </w:p>
    <w:p w14:paraId="41F83EDE">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5.1不同供应商的响应文件由同一单位或者个人编制；</w:t>
      </w:r>
    </w:p>
    <w:p w14:paraId="36F005D4">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5.2不同供应商委托同一单位或者个人办理响应事宜；</w:t>
      </w:r>
    </w:p>
    <w:p w14:paraId="13C60858">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5.3不同供应商的响应文件载明的项目管理成员或者联系人员为同一人；</w:t>
      </w:r>
    </w:p>
    <w:p w14:paraId="0D02D855">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5.4不同供应商的响应文件异常一致或者响应报价呈规律性差异；</w:t>
      </w:r>
    </w:p>
    <w:p w14:paraId="2DC4A003">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5.5不同供应商的响应文件相互混装；</w:t>
      </w:r>
    </w:p>
    <w:p w14:paraId="17BFE867">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5.6不同供应商的响应保证金或购买电子保函支付款为从同一单位或个人的账户转出。</w:t>
      </w:r>
    </w:p>
    <w:p w14:paraId="697024B8">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说明：在评审过程中发现供应商有上述情形的，磋商小组应当认定其响应无效。同时，项目评审时被认定为串通响应的供应商不得参加该合同项下的采购活动。</w:t>
      </w:r>
    </w:p>
    <w:p w14:paraId="54A03DA3">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有下列情形之一的，属于恶意串通响应：</w:t>
      </w:r>
    </w:p>
    <w:p w14:paraId="326FFF8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6.1供应商直接或者间接从采购人或者采购代理机构处获得其他供应商的相关情况并修改其响应文件；</w:t>
      </w:r>
    </w:p>
    <w:p w14:paraId="50AEA0A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6.2供应商按照采购人或者采购代理机构的授意撤换、修改响应文件；</w:t>
      </w:r>
    </w:p>
    <w:p w14:paraId="7A277CD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6.3供应商之间协商报价、技术方案等响应文件的实质性内容；</w:t>
      </w:r>
    </w:p>
    <w:p w14:paraId="2D844EE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6.4属于同一集团、协会、商会等组织成员的供应商按照该组织要求协同参加政府采购活动；</w:t>
      </w:r>
    </w:p>
    <w:p w14:paraId="2007465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6.5供应商之间事先约定由某一特定供应商成交；</w:t>
      </w:r>
    </w:p>
    <w:p w14:paraId="530516E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6.6供应商之间商定部分供应商放弃参加政府采购活动或者放弃成交；</w:t>
      </w:r>
    </w:p>
    <w:p w14:paraId="35B03AF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6.7供应商与采购人或者采购代理机构之间、供应商相互之间，为谋求特定供应商成交或者排斥其他供应商的其他串通行为。</w:t>
      </w:r>
    </w:p>
    <w:p w14:paraId="45C63F60">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其他响应无效的情形</w:t>
      </w:r>
    </w:p>
    <w:p w14:paraId="36789CAD">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详见资格性审查、符合性审查和磋商文件其他响应无效条款。</w:t>
      </w:r>
    </w:p>
    <w:p w14:paraId="6088185A">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lang w:eastAsia="zh-CN"/>
        </w:rPr>
      </w:pPr>
      <w:r>
        <w:rPr>
          <w:rFonts w:hint="eastAsia" w:ascii="宋体" w:hAnsi="宋体"/>
          <w:b/>
          <w:bCs/>
          <w:color w:val="auto"/>
          <w:highlight w:val="none"/>
          <w:lang w:eastAsia="zh-CN"/>
        </w:rPr>
        <w:t>终止竞争性磋商采购活动的情形</w:t>
      </w:r>
    </w:p>
    <w:p w14:paraId="0AA59E7D">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出现下列情形之一的，采购人或者采购代理机构应当终止竞争性磋商采购活动，发布项目终止公告并说明原因，重新开展采购活动：</w:t>
      </w:r>
    </w:p>
    <w:p w14:paraId="58A3963A">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（1）因情况变化，不再符合规定的竞争性磋商采购方式适用情形的；</w:t>
      </w:r>
    </w:p>
    <w:p w14:paraId="075E1A9A">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（2）出现影响采购公正的违法、违规行为的；</w:t>
      </w:r>
    </w:p>
    <w:p w14:paraId="4095B19A">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3）除《政府采购竞争性磋商采购方式暂行办法》第二十一条第三款，《财政部关于政府采购竞争性磋商采购方式管理暂行办法有关问题的补充通知》（财库〔2015〕124号）规定的情形外，在采购过程中符合要求的供应商或者报价未超过采购预算的供应商不足3家的；</w:t>
      </w:r>
    </w:p>
    <w:p w14:paraId="55EC01AB">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（4）法律、法规以及磋商文件规定其他情形。</w:t>
      </w:r>
    </w:p>
    <w:p w14:paraId="40FA6673">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确定成交供应商</w:t>
      </w:r>
    </w:p>
    <w:p w14:paraId="0DAF9E05">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磋商小组按照磋商文件确定的评审方法、步骤、标准，对响应文件进行评审。评审结束后，对供应商的评审名次进行排序，确定成交供应商或者推荐成交候选供应商。</w:t>
      </w:r>
    </w:p>
    <w:p w14:paraId="69FEE8CD">
      <w:pPr>
        <w:pStyle w:val="129"/>
        <w:keepNext w:val="0"/>
        <w:keepLines w:val="0"/>
        <w:pageBreakBefore w:val="0"/>
        <w:widowControl w:val="0"/>
        <w:numPr>
          <w:ilvl w:val="0"/>
          <w:numId w:val="14"/>
        </w:numPr>
        <w:kinsoku/>
        <w:wordWrap/>
        <w:overflowPunct/>
        <w:topLinePunct w:val="0"/>
        <w:bidi w:val="0"/>
        <w:spacing w:before="0" w:beforeLines="0" w:after="0" w:afterLines="0"/>
        <w:outlineLvl w:val="2"/>
        <w:rPr>
          <w:rFonts w:hint="eastAsia" w:ascii="宋体" w:hAnsi="宋体"/>
          <w:b/>
          <w:bCs/>
          <w:color w:val="auto"/>
          <w:highlight w:val="none"/>
        </w:rPr>
      </w:pPr>
      <w:r>
        <w:rPr>
          <w:rFonts w:hint="eastAsia" w:ascii="宋体" w:hAnsi="宋体"/>
          <w:b/>
          <w:bCs/>
          <w:color w:val="auto"/>
          <w:highlight w:val="none"/>
        </w:rPr>
        <w:t>价格修正</w:t>
      </w:r>
    </w:p>
    <w:p w14:paraId="2AE455E6">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对报价的计算错误按以下原则修正：</w:t>
      </w:r>
    </w:p>
    <w:p w14:paraId="08E9302D">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（1）响应文件中首轮报价表（报价表）内容与响应文件中相应内容不一致的，以首轮报价表（报价表）为准；</w:t>
      </w:r>
    </w:p>
    <w:p w14:paraId="031779D8">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（2）大写金额和小写金额不一致的，以大写金额为准；</w:t>
      </w:r>
    </w:p>
    <w:p w14:paraId="00115A51">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（3）单价金额小数点或者百分比有明显错位的，以首轮报价表的总价为准，并修改单价；</w:t>
      </w:r>
    </w:p>
    <w:p w14:paraId="62FC3E3E">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（4）总价金额与按单价汇总金额不一致的，以单价金额计算结果为准。但是单价金额计算结果超过预算价的，对其按无效响应处理；</w:t>
      </w:r>
    </w:p>
    <w:p w14:paraId="07C80258">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注：同时出现两种以上不一致的，按照前款规定的顺序进行价格澄清。供应商澄清后的价格加盖供应商公章，或法定代表人签字或盖章，或法定代表人授权委托人签字或盖章确认后产生约束力，但不得超出响应文件的范围或者改变响应文件的实质性内容，供应商不确认的，其响应无效。</w:t>
      </w:r>
    </w:p>
    <w:p w14:paraId="0E953F2D">
      <w:pPr>
        <w:pStyle w:val="3"/>
        <w:keepNext w:val="0"/>
        <w:keepLines w:val="0"/>
        <w:pageBreakBefore w:val="0"/>
        <w:widowControl w:val="0"/>
        <w:numPr>
          <w:ilvl w:val="0"/>
          <w:numId w:val="13"/>
        </w:numPr>
        <w:kinsoku/>
        <w:wordWrap/>
        <w:overflowPunct/>
        <w:topLinePunct w:val="0"/>
        <w:bidi w:val="0"/>
        <w:spacing w:before="0" w:beforeLines="0" w:after="0" w:afterLines="0" w:line="360" w:lineRule="auto"/>
        <w:jc w:val="left"/>
        <w:rPr>
          <w:rFonts w:hint="eastAsia" w:ascii="宋体" w:hAnsi="宋体" w:eastAsia="宋体"/>
          <w:color w:val="auto"/>
          <w:sz w:val="21"/>
          <w:szCs w:val="21"/>
          <w:highlight w:val="none"/>
        </w:rPr>
      </w:pPr>
      <w:bookmarkStart w:id="104" w:name="_Toc104040752"/>
      <w:bookmarkStart w:id="105" w:name="_Toc104040698"/>
      <w:bookmarkStart w:id="106" w:name="_Toc12323"/>
      <w:r>
        <w:rPr>
          <w:rFonts w:hint="eastAsia" w:ascii="宋体" w:hAnsi="宋体" w:eastAsia="宋体"/>
          <w:color w:val="auto"/>
          <w:sz w:val="21"/>
          <w:szCs w:val="21"/>
          <w:highlight w:val="none"/>
        </w:rPr>
        <w:t>政府采购政策落实</w:t>
      </w:r>
      <w:bookmarkEnd w:id="104"/>
      <w:bookmarkEnd w:id="105"/>
      <w:r>
        <w:rPr>
          <w:rFonts w:hint="eastAsia" w:ascii="宋体" w:hAnsi="宋体" w:eastAsia="宋体"/>
          <w:color w:val="auto"/>
          <w:sz w:val="21"/>
          <w:szCs w:val="21"/>
          <w:highlight w:val="none"/>
          <w:lang w:eastAsia="zh-CN"/>
        </w:rPr>
        <w:t>（</w:t>
      </w:r>
      <w:r>
        <w:rPr>
          <w:rFonts w:hint="eastAsia" w:ascii="宋体" w:hAnsi="宋体" w:eastAsia="宋体"/>
          <w:color w:val="auto"/>
          <w:sz w:val="21"/>
          <w:szCs w:val="21"/>
          <w:highlight w:val="none"/>
          <w:lang w:val="en-US" w:eastAsia="zh-CN"/>
        </w:rPr>
        <w:t>本项目不涉及</w:t>
      </w:r>
      <w:r>
        <w:rPr>
          <w:rFonts w:hint="eastAsia" w:ascii="宋体" w:hAnsi="宋体" w:eastAsia="宋体"/>
          <w:color w:val="auto"/>
          <w:sz w:val="21"/>
          <w:szCs w:val="21"/>
          <w:highlight w:val="none"/>
          <w:lang w:eastAsia="zh-CN"/>
        </w:rPr>
        <w:t>）</w:t>
      </w:r>
      <w:bookmarkEnd w:id="106"/>
    </w:p>
    <w:p w14:paraId="042CB681">
      <w:pPr>
        <w:pStyle w:val="129"/>
        <w:keepNext w:val="0"/>
        <w:keepLines w:val="0"/>
        <w:pageBreakBefore w:val="0"/>
        <w:widowControl w:val="0"/>
        <w:numPr>
          <w:ilvl w:val="1"/>
          <w:numId w:val="15"/>
        </w:numPr>
        <w:kinsoku/>
        <w:wordWrap/>
        <w:overflowPunct/>
        <w:topLinePunct w:val="0"/>
        <w:bidi w:val="0"/>
        <w:spacing w:beforeLines="0" w:afterLines="0"/>
        <w:ind w:left="0" w:firstLine="0"/>
        <w:jc w:val="left"/>
        <w:outlineLvl w:val="2"/>
        <w:rPr>
          <w:rFonts w:hint="eastAsia" w:ascii="宋体" w:hAnsi="宋体"/>
          <w:b/>
          <w:color w:val="auto"/>
          <w:szCs w:val="21"/>
          <w:highlight w:val="none"/>
        </w:rPr>
      </w:pPr>
      <w:r>
        <w:rPr>
          <w:rFonts w:hint="eastAsia" w:ascii="宋体" w:hAnsi="宋体"/>
          <w:b/>
          <w:color w:val="auto"/>
          <w:szCs w:val="21"/>
          <w:highlight w:val="none"/>
        </w:rPr>
        <w:t>节能、环保要求</w:t>
      </w:r>
    </w:p>
    <w:p w14:paraId="436E45FD">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采购的产品属于品目清单范围的，将依据国家确定的认证机构出具的、处于有效期之内的节能产品、环境标志产品认证证书，对获得证书的产品实施政府优先采购或强制采购，具体按照本磋商文件相关要求执行。</w:t>
      </w:r>
    </w:p>
    <w:p w14:paraId="246126EB">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相关认证机构和获证产品信息以市场监管总局组织建立的节能产品、环境标志产品认证结果信息发布平台公布为准。</w:t>
      </w:r>
    </w:p>
    <w:p w14:paraId="39970332">
      <w:pPr>
        <w:pStyle w:val="129"/>
        <w:keepNext w:val="0"/>
        <w:keepLines w:val="0"/>
        <w:pageBreakBefore w:val="0"/>
        <w:widowControl w:val="0"/>
        <w:numPr>
          <w:ilvl w:val="1"/>
          <w:numId w:val="15"/>
        </w:numPr>
        <w:kinsoku/>
        <w:wordWrap/>
        <w:overflowPunct/>
        <w:topLinePunct w:val="0"/>
        <w:bidi w:val="0"/>
        <w:spacing w:beforeLines="0" w:afterLines="0"/>
        <w:ind w:left="0" w:firstLine="0"/>
        <w:jc w:val="left"/>
        <w:outlineLvl w:val="2"/>
        <w:rPr>
          <w:rFonts w:hint="eastAsia" w:ascii="宋体" w:hAnsi="宋体"/>
          <w:b/>
          <w:color w:val="auto"/>
          <w:szCs w:val="21"/>
          <w:highlight w:val="none"/>
        </w:rPr>
      </w:pPr>
      <w:r>
        <w:rPr>
          <w:rFonts w:hint="eastAsia" w:ascii="宋体" w:hAnsi="宋体"/>
          <w:b/>
          <w:color w:val="auto"/>
          <w:szCs w:val="21"/>
          <w:highlight w:val="none"/>
        </w:rPr>
        <w:t>对符合本国产品标准的产品给予价格扣除</w:t>
      </w:r>
    </w:p>
    <w:p w14:paraId="2AD5DDB7">
      <w:pPr>
        <w:pStyle w:val="374"/>
        <w:keepNext w:val="0"/>
        <w:keepLines w:val="0"/>
        <w:pageBreakBefore w:val="0"/>
        <w:widowControl w:val="0"/>
        <w:kinsoku/>
        <w:wordWrap/>
        <w:overflowPunct/>
        <w:topLinePunct w:val="0"/>
        <w:autoSpaceDE w:val="0"/>
        <w:autoSpaceDN w:val="0"/>
        <w:bidi w:val="0"/>
        <w:adjustRightInd/>
        <w:snapToGrid/>
        <w:spacing w:before="0" w:beforeLines="0" w:after="0" w:afterLines="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14:paraId="1871405F">
      <w:pPr>
        <w:pStyle w:val="374"/>
        <w:keepNext w:val="0"/>
        <w:keepLines w:val="0"/>
        <w:pageBreakBefore w:val="0"/>
        <w:widowControl w:val="0"/>
        <w:kinsoku/>
        <w:wordWrap/>
        <w:overflowPunct/>
        <w:topLinePunct w:val="0"/>
        <w:autoSpaceDE w:val="0"/>
        <w:autoSpaceDN w:val="0"/>
        <w:bidi w:val="0"/>
        <w:adjustRightInd/>
        <w:snapToGrid/>
        <w:spacing w:before="0" w:beforeLines="0" w:after="0" w:afterLines="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b/>
          <w:color w:val="auto"/>
          <w:sz w:val="21"/>
          <w:szCs w:val="21"/>
          <w:highlight w:val="none"/>
        </w:rPr>
        <w:t>本国产品标准的适用范围</w:t>
      </w:r>
      <w:r>
        <w:rPr>
          <w:rFonts w:hint="eastAsia" w:ascii="宋体" w:hAnsi="宋体" w:eastAsia="宋体" w:cs="宋体"/>
          <w:color w:val="auto"/>
          <w:sz w:val="21"/>
          <w:szCs w:val="21"/>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1FA4985">
      <w:pPr>
        <w:pStyle w:val="374"/>
        <w:keepNext w:val="0"/>
        <w:keepLines w:val="0"/>
        <w:pageBreakBefore w:val="0"/>
        <w:widowControl w:val="0"/>
        <w:kinsoku/>
        <w:wordWrap/>
        <w:overflowPunct/>
        <w:topLinePunct w:val="0"/>
        <w:autoSpaceDE w:val="0"/>
        <w:autoSpaceDN w:val="0"/>
        <w:bidi w:val="0"/>
        <w:adjustRightInd/>
        <w:snapToGrid/>
        <w:spacing w:before="0" w:beforeLines="0" w:after="0" w:afterLines="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b/>
          <w:color w:val="auto"/>
          <w:sz w:val="21"/>
          <w:szCs w:val="21"/>
          <w:highlight w:val="none"/>
        </w:rPr>
        <w:t>准确界定产品在中国境内生产</w:t>
      </w:r>
      <w:r>
        <w:rPr>
          <w:rFonts w:hint="eastAsia" w:ascii="宋体" w:hAnsi="宋体" w:eastAsia="宋体" w:cs="宋体"/>
          <w:color w:val="auto"/>
          <w:sz w:val="21"/>
          <w:szCs w:val="21"/>
          <w:highlight w:val="none"/>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14:paraId="1362F892">
      <w:pPr>
        <w:pStyle w:val="374"/>
        <w:keepNext w:val="0"/>
        <w:keepLines w:val="0"/>
        <w:pageBreakBefore w:val="0"/>
        <w:widowControl w:val="0"/>
        <w:kinsoku/>
        <w:wordWrap/>
        <w:overflowPunct/>
        <w:topLinePunct w:val="0"/>
        <w:autoSpaceDE w:val="0"/>
        <w:autoSpaceDN w:val="0"/>
        <w:bidi w:val="0"/>
        <w:adjustRightInd/>
        <w:snapToGrid/>
        <w:spacing w:before="0" w:beforeLines="0" w:after="0" w:afterLines="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b/>
          <w:color w:val="auto"/>
          <w:sz w:val="21"/>
          <w:szCs w:val="21"/>
          <w:highlight w:val="none"/>
        </w:rPr>
        <w:t>对本国产品的支持政策</w:t>
      </w:r>
      <w:r>
        <w:rPr>
          <w:rFonts w:hint="eastAsia" w:ascii="宋体" w:hAnsi="宋体" w:eastAsia="宋体" w:cs="宋体"/>
          <w:color w:val="auto"/>
          <w:sz w:val="21"/>
          <w:szCs w:val="21"/>
          <w:highlight w:val="none"/>
        </w:rPr>
        <w:t>。政府采购活动中既有本国产品又有非本国产品参与竞争的，依法对本国产品给予价格评审优惠，对本国产品的报价给予20%的价格扣除，用扣除后的价格参与评审。</w:t>
      </w:r>
    </w:p>
    <w:p w14:paraId="55F5CC4B">
      <w:pPr>
        <w:pStyle w:val="374"/>
        <w:keepNext w:val="0"/>
        <w:keepLines w:val="0"/>
        <w:pageBreakBefore w:val="0"/>
        <w:widowControl w:val="0"/>
        <w:kinsoku/>
        <w:wordWrap/>
        <w:overflowPunct/>
        <w:topLinePunct w:val="0"/>
        <w:autoSpaceDE w:val="0"/>
        <w:autoSpaceDN w:val="0"/>
        <w:bidi w:val="0"/>
        <w:adjustRightInd/>
        <w:snapToGrid/>
        <w:spacing w:before="0" w:beforeLines="0" w:after="0" w:afterLines="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4496DF0A">
      <w:pPr>
        <w:pStyle w:val="374"/>
        <w:keepNext w:val="0"/>
        <w:keepLines w:val="0"/>
        <w:pageBreakBefore w:val="0"/>
        <w:widowControl w:val="0"/>
        <w:kinsoku/>
        <w:wordWrap/>
        <w:overflowPunct/>
        <w:topLinePunct w:val="0"/>
        <w:autoSpaceDE w:val="0"/>
        <w:autoSpaceDN w:val="0"/>
        <w:bidi w:val="0"/>
        <w:adjustRightInd/>
        <w:snapToGrid/>
        <w:spacing w:before="0" w:beforeLines="0" w:after="0" w:afterLines="0" w:line="360" w:lineRule="auto"/>
        <w:ind w:firstLine="480"/>
        <w:textAlignment w:val="auto"/>
        <w:rPr>
          <w:rFonts w:hint="eastAsia"/>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b/>
          <w:color w:val="auto"/>
          <w:sz w:val="21"/>
          <w:szCs w:val="21"/>
          <w:highlight w:val="none"/>
        </w:rPr>
        <w:t>认真审查有关证明文件</w:t>
      </w:r>
      <w:r>
        <w:rPr>
          <w:rFonts w:hint="eastAsia" w:ascii="宋体" w:hAnsi="宋体" w:eastAsia="宋体" w:cs="宋体"/>
          <w:color w:val="auto"/>
          <w:sz w:val="21"/>
          <w:szCs w:val="21"/>
          <w:highlight w:val="none"/>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14:paraId="3B602399">
      <w:pPr>
        <w:pStyle w:val="129"/>
        <w:keepNext w:val="0"/>
        <w:keepLines w:val="0"/>
        <w:pageBreakBefore w:val="0"/>
        <w:widowControl w:val="0"/>
        <w:numPr>
          <w:ilvl w:val="1"/>
          <w:numId w:val="15"/>
        </w:numPr>
        <w:kinsoku/>
        <w:wordWrap/>
        <w:overflowPunct/>
        <w:topLinePunct w:val="0"/>
        <w:bidi w:val="0"/>
        <w:spacing w:beforeLines="0" w:afterLines="0"/>
        <w:ind w:left="0" w:firstLine="0"/>
        <w:jc w:val="left"/>
        <w:outlineLvl w:val="2"/>
        <w:rPr>
          <w:rFonts w:hint="eastAsia" w:ascii="宋体" w:hAnsi="宋体"/>
          <w:b/>
          <w:color w:val="auto"/>
          <w:szCs w:val="21"/>
          <w:highlight w:val="none"/>
          <w:lang w:eastAsia="zh-CN"/>
        </w:rPr>
      </w:pPr>
      <w:r>
        <w:rPr>
          <w:rFonts w:hint="eastAsia" w:ascii="宋体" w:hAnsi="宋体"/>
          <w:b/>
          <w:color w:val="auto"/>
          <w:szCs w:val="21"/>
          <w:highlight w:val="none"/>
          <w:lang w:eastAsia="zh-CN"/>
        </w:rPr>
        <w:t>对小型、微型企业、监狱企业或残疾人福利性单位给予价格扣除</w:t>
      </w:r>
    </w:p>
    <w:p w14:paraId="1C53CAB9">
      <w:pPr>
        <w:keepNext w:val="0"/>
        <w:keepLines w:val="0"/>
        <w:pageBreakBefore w:val="0"/>
        <w:widowControl w:val="0"/>
        <w:kinsoku/>
        <w:wordWrap/>
        <w:overflowPunct/>
        <w:topLinePunct w:val="0"/>
        <w:bidi w:val="0"/>
        <w:spacing w:beforeLines="0" w:afterLines="0"/>
        <w:ind w:firstLine="420" w:firstLineChars="200"/>
        <w:jc w:val="left"/>
        <w:rPr>
          <w:rFonts w:hint="eastAsia"/>
          <w:bCs/>
          <w:color w:val="auto"/>
          <w:szCs w:val="21"/>
          <w:highlight w:val="none"/>
        </w:rPr>
      </w:pPr>
      <w:r>
        <w:rPr>
          <w:rFonts w:hint="eastAsia"/>
          <w:bCs/>
          <w:color w:val="auto"/>
          <w:szCs w:val="21"/>
          <w:highlight w:val="none"/>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09B10663">
      <w:pPr>
        <w:pStyle w:val="129"/>
        <w:keepNext w:val="0"/>
        <w:keepLines w:val="0"/>
        <w:pageBreakBefore w:val="0"/>
        <w:widowControl w:val="0"/>
        <w:numPr>
          <w:ilvl w:val="1"/>
          <w:numId w:val="15"/>
        </w:numPr>
        <w:kinsoku/>
        <w:wordWrap/>
        <w:overflowPunct/>
        <w:topLinePunct w:val="0"/>
        <w:bidi w:val="0"/>
        <w:spacing w:beforeLines="0" w:afterLines="0"/>
        <w:ind w:left="0" w:firstLine="0"/>
        <w:jc w:val="left"/>
        <w:outlineLvl w:val="2"/>
        <w:rPr>
          <w:rFonts w:hint="eastAsia" w:ascii="宋体" w:hAnsi="宋体"/>
          <w:b/>
          <w:color w:val="auto"/>
          <w:szCs w:val="21"/>
          <w:highlight w:val="none"/>
        </w:rPr>
      </w:pPr>
      <w:r>
        <w:rPr>
          <w:rFonts w:hint="eastAsia" w:ascii="宋体" w:hAnsi="宋体"/>
          <w:b/>
          <w:color w:val="auto"/>
          <w:szCs w:val="21"/>
          <w:highlight w:val="none"/>
        </w:rPr>
        <w:t>价格扣除相关要求</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
        <w:gridCol w:w="1056"/>
        <w:gridCol w:w="4636"/>
        <w:gridCol w:w="906"/>
        <w:gridCol w:w="2308"/>
      </w:tblGrid>
      <w:tr w14:paraId="5AA34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 w:hRule="atLeast"/>
        </w:trPr>
        <w:tc>
          <w:tcPr>
            <w:tcW w:w="830" w:type="dxa"/>
            <w:vAlign w:val="center"/>
          </w:tcPr>
          <w:p w14:paraId="6E229E4D">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b/>
                <w:color w:val="auto"/>
                <w:szCs w:val="21"/>
                <w:highlight w:val="none"/>
              </w:rPr>
              <w:t>序号</w:t>
            </w:r>
          </w:p>
        </w:tc>
        <w:tc>
          <w:tcPr>
            <w:tcW w:w="1056" w:type="dxa"/>
            <w:vAlign w:val="center"/>
          </w:tcPr>
          <w:p w14:paraId="65C95734">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b/>
                <w:color w:val="auto"/>
                <w:szCs w:val="21"/>
                <w:highlight w:val="none"/>
              </w:rPr>
              <w:t>情形</w:t>
            </w:r>
          </w:p>
        </w:tc>
        <w:tc>
          <w:tcPr>
            <w:tcW w:w="4636" w:type="dxa"/>
            <w:vAlign w:val="center"/>
          </w:tcPr>
          <w:p w14:paraId="73BE232F">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b/>
                <w:color w:val="auto"/>
                <w:szCs w:val="21"/>
                <w:highlight w:val="none"/>
              </w:rPr>
              <w:t>适用对象</w:t>
            </w:r>
          </w:p>
        </w:tc>
        <w:tc>
          <w:tcPr>
            <w:tcW w:w="906" w:type="dxa"/>
            <w:vAlign w:val="center"/>
          </w:tcPr>
          <w:p w14:paraId="6C4F5AEA">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b/>
                <w:color w:val="auto"/>
                <w:szCs w:val="21"/>
                <w:highlight w:val="none"/>
              </w:rPr>
              <w:t>价格扣除比例</w:t>
            </w:r>
          </w:p>
        </w:tc>
        <w:tc>
          <w:tcPr>
            <w:tcW w:w="2308" w:type="dxa"/>
            <w:vAlign w:val="center"/>
          </w:tcPr>
          <w:p w14:paraId="05F49B76">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b/>
                <w:color w:val="auto"/>
                <w:szCs w:val="21"/>
                <w:highlight w:val="none"/>
              </w:rPr>
              <w:t>计算公式</w:t>
            </w:r>
          </w:p>
        </w:tc>
      </w:tr>
      <w:tr w14:paraId="13D55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36" w:type="dxa"/>
            <w:gridSpan w:val="5"/>
            <w:vAlign w:val="center"/>
          </w:tcPr>
          <w:p w14:paraId="38303FCF">
            <w:pPr>
              <w:pStyle w:val="19"/>
              <w:keepNext w:val="0"/>
              <w:keepLines w:val="0"/>
              <w:pageBreakBefore w:val="0"/>
              <w:widowControl w:val="0"/>
              <w:kinsoku/>
              <w:wordWrap/>
              <w:overflowPunct/>
              <w:topLinePunct w:val="0"/>
              <w:bidi w:val="0"/>
              <w:spacing w:beforeLines="0" w:afterLines="0"/>
              <w:rPr>
                <w:rFonts w:hint="eastAsia"/>
                <w:color w:val="auto"/>
                <w:szCs w:val="21"/>
                <w:highlight w:val="none"/>
                <w:lang w:eastAsia="zh-CN"/>
              </w:rPr>
            </w:pPr>
            <w:r>
              <w:rPr>
                <w:rFonts w:hint="eastAsia"/>
                <w:color w:val="auto"/>
                <w:szCs w:val="21"/>
                <w:highlight w:val="none"/>
              </w:rPr>
              <w:t>注</w:t>
            </w:r>
            <w:r>
              <w:rPr>
                <w:rFonts w:hint="eastAsia"/>
                <w:color w:val="auto"/>
                <w:szCs w:val="21"/>
                <w:highlight w:val="none"/>
                <w:lang w:eastAsia="zh-CN"/>
              </w:rPr>
              <w:t>：</w:t>
            </w:r>
          </w:p>
          <w:p w14:paraId="4CE73C03">
            <w:pPr>
              <w:pStyle w:val="19"/>
              <w:keepNext w:val="0"/>
              <w:keepLines w:val="0"/>
              <w:pageBreakBefore w:val="0"/>
              <w:widowControl w:val="0"/>
              <w:numPr>
                <w:ilvl w:val="0"/>
                <w:numId w:val="16"/>
              </w:numPr>
              <w:kinsoku/>
              <w:wordWrap/>
              <w:overflowPunct/>
              <w:topLinePunct w:val="0"/>
              <w:bidi w:val="0"/>
              <w:spacing w:beforeLines="0" w:afterLines="0"/>
              <w:rPr>
                <w:rFonts w:hint="eastAsia"/>
                <w:color w:val="auto"/>
                <w:szCs w:val="21"/>
                <w:highlight w:val="none"/>
              </w:rPr>
            </w:pPr>
            <w:r>
              <w:rPr>
                <w:rFonts w:hint="eastAsia"/>
                <w:color w:val="auto"/>
                <w:szCs w:val="21"/>
                <w:highlight w:val="none"/>
              </w:rPr>
              <w:t xml:space="preserve">上述评审价仅用于计算价格分，成交金额以实际响应价为准。 </w:t>
            </w:r>
          </w:p>
          <w:p w14:paraId="2BAA73BD">
            <w:pPr>
              <w:pStyle w:val="19"/>
              <w:keepNext w:val="0"/>
              <w:keepLines w:val="0"/>
              <w:pageBreakBefore w:val="0"/>
              <w:widowControl w:val="0"/>
              <w:numPr>
                <w:ilvl w:val="0"/>
                <w:numId w:val="16"/>
              </w:numPr>
              <w:kinsoku/>
              <w:wordWrap/>
              <w:overflowPunct/>
              <w:topLinePunct w:val="0"/>
              <w:bidi w:val="0"/>
              <w:spacing w:beforeLines="0" w:afterLines="0"/>
              <w:rPr>
                <w:rFonts w:hint="eastAsia"/>
                <w:color w:val="auto"/>
                <w:highlight w:val="none"/>
              </w:rPr>
            </w:pPr>
            <w:r>
              <w:rPr>
                <w:rFonts w:hint="eastAsia"/>
                <w:color w:val="auto"/>
                <w:szCs w:val="21"/>
                <w:highlight w:val="none"/>
              </w:rPr>
              <w:t>组成联合体的大中型企业和其他自然人、法人或者其他组织、与小型、微型企业之间不得存在投资关系。</w:t>
            </w:r>
          </w:p>
          <w:p w14:paraId="5747D44A">
            <w:pPr>
              <w:pStyle w:val="19"/>
              <w:keepNext w:val="0"/>
              <w:keepLines w:val="0"/>
              <w:pageBreakBefore w:val="0"/>
              <w:widowControl w:val="0"/>
              <w:numPr>
                <w:ilvl w:val="0"/>
                <w:numId w:val="16"/>
              </w:numPr>
              <w:kinsoku/>
              <w:wordWrap/>
              <w:overflowPunct/>
              <w:topLinePunct w:val="0"/>
              <w:bidi w:val="0"/>
              <w:spacing w:beforeLines="0" w:afterLines="0"/>
              <w:rPr>
                <w:rFonts w:hint="eastAsia"/>
                <w:color w:val="auto"/>
                <w:szCs w:val="21"/>
                <w:highlight w:val="none"/>
                <w:lang w:eastAsia="zh-CN"/>
              </w:rPr>
            </w:pPr>
            <w:r>
              <w:rPr>
                <w:rFonts w:hint="eastAsia"/>
                <w:color w:val="auto"/>
                <w:szCs w:val="21"/>
                <w:highlight w:val="none"/>
                <w:lang w:eastAsia="zh-CN"/>
              </w:rPr>
              <w:t>组成联合体或者接受分包的小微企业与联合体内其他企业、分包企业之间存在直接控股、管理关系的，不享受价格扣除优惠政策。</w:t>
            </w:r>
          </w:p>
          <w:p w14:paraId="528693C2">
            <w:pPr>
              <w:pStyle w:val="19"/>
              <w:keepNext w:val="0"/>
              <w:keepLines w:val="0"/>
              <w:pageBreakBefore w:val="0"/>
              <w:widowControl w:val="0"/>
              <w:numPr>
                <w:ilvl w:val="0"/>
                <w:numId w:val="16"/>
              </w:numPr>
              <w:kinsoku/>
              <w:wordWrap/>
              <w:overflowPunct/>
              <w:topLinePunct w:val="0"/>
              <w:bidi w:val="0"/>
              <w:spacing w:beforeLines="0" w:afterLines="0"/>
              <w:rPr>
                <w:rFonts w:hint="eastAsia"/>
                <w:color w:val="auto"/>
                <w:highlight w:val="none"/>
              </w:rPr>
            </w:pPr>
            <w:r>
              <w:rPr>
                <w:rFonts w:hint="default"/>
                <w:color w:val="auto"/>
                <w:szCs w:val="21"/>
                <w:highlight w:val="none"/>
                <w:lang w:val="en-US" w:eastAsia="zh-CN"/>
              </w:rPr>
              <w:t>当涉及政府采购政策叠加适用，统一在原投标报价的基础上进行价格扣除。</w:t>
            </w:r>
          </w:p>
        </w:tc>
      </w:tr>
    </w:tbl>
    <w:p w14:paraId="57D4DEA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（1）所称小型和微型企业应当符合以下条件：</w:t>
      </w:r>
    </w:p>
    <w:p w14:paraId="3C7B247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在中华人民共和国境内依法设立，依据国务院批准的中小企业划分标准确定的小型企业和微型企业，但与大企业的负责人为同一人，或者与大企业存在直接控股、管理关系的除外。符合中小企业划分标准的个体工商户，在政府采购活动中视同中小企业。提供本企业制造的货物或者提供其他小型或微型企业制造的货物。</w:t>
      </w:r>
    </w:p>
    <w:p w14:paraId="3CD5356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符合中小企业划分标准的个体工商户，在政府采购活动中视同中小企业。</w:t>
      </w:r>
    </w:p>
    <w:p w14:paraId="50608A0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提供本企业（属于小微企业）制造的货物或者提供其他小型或微型企业制造的货物/提供本企业（属于小微企业）承接的服务。</w:t>
      </w:r>
    </w:p>
    <w:p w14:paraId="188E4553">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2）符合中小企业扶持政策的供应商应填写《中小企业声明函》；监狱企业须供应商提供由监狱管理局、戒毒管理局（含新疆生产建设兵团）出具的属于监狱企业的证明文件；残疾人福利性单位应填写《残疾人福利性单位声明函》，否则不认定价格扣除。</w:t>
      </w:r>
    </w:p>
    <w:p w14:paraId="6ED1D07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说明：供应商应当对其出具的《中小企业声明函》真实性负责，供应商出具的《中小企业声明函》内容不实的，属于提供虚假材料谋取成交。</w:t>
      </w:r>
    </w:p>
    <w:p w14:paraId="14E95B7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3）联合体各方均为小型、微型企业的，各方均应提供《中小企业声明函》；中小微企业作为联合体一方参与政府采购活动，且联合体协议书中约定，小型、微型企业的协议合同金额占到联合体协议合同总金额30%以上的，应附中小微企业的《中小企业声明函》。</w:t>
      </w:r>
    </w:p>
    <w:p w14:paraId="4D1F7C07">
      <w:pPr>
        <w:pStyle w:val="3"/>
        <w:keepNext w:val="0"/>
        <w:keepLines w:val="0"/>
        <w:pageBreakBefore w:val="0"/>
        <w:widowControl w:val="0"/>
        <w:numPr>
          <w:ilvl w:val="0"/>
          <w:numId w:val="13"/>
        </w:numPr>
        <w:kinsoku/>
        <w:wordWrap/>
        <w:overflowPunct/>
        <w:topLinePunct w:val="0"/>
        <w:bidi w:val="0"/>
        <w:spacing w:before="0" w:beforeLines="0" w:after="0" w:afterLines="0" w:line="360" w:lineRule="auto"/>
        <w:jc w:val="left"/>
        <w:rPr>
          <w:rFonts w:hint="eastAsia" w:ascii="宋体" w:hAnsi="宋体" w:eastAsia="宋体"/>
          <w:color w:val="auto"/>
          <w:sz w:val="21"/>
          <w:szCs w:val="21"/>
          <w:highlight w:val="none"/>
        </w:rPr>
      </w:pPr>
      <w:bookmarkStart w:id="107" w:name="_Toc104040699"/>
      <w:bookmarkStart w:id="108" w:name="_Toc104040753"/>
      <w:bookmarkStart w:id="109" w:name="_Toc4036"/>
      <w:r>
        <w:rPr>
          <w:rFonts w:hint="eastAsia" w:ascii="宋体" w:hAnsi="宋体" w:eastAsia="宋体"/>
          <w:color w:val="auto"/>
          <w:sz w:val="21"/>
          <w:szCs w:val="21"/>
          <w:highlight w:val="none"/>
        </w:rPr>
        <w:t>评审程序</w:t>
      </w:r>
      <w:bookmarkEnd w:id="107"/>
      <w:bookmarkEnd w:id="108"/>
      <w:bookmarkEnd w:id="109"/>
    </w:p>
    <w:p w14:paraId="0716D874">
      <w:pPr>
        <w:pStyle w:val="358"/>
        <w:keepNext w:val="0"/>
        <w:keepLines w:val="0"/>
        <w:pageBreakBefore w:val="0"/>
        <w:widowControl w:val="0"/>
        <w:kinsoku/>
        <w:wordWrap/>
        <w:overflowPunct/>
        <w:topLinePunct w:val="0"/>
        <w:autoSpaceDE/>
        <w:autoSpaceDN/>
        <w:bidi w:val="0"/>
        <w:spacing w:beforeLines="0" w:afterLines="0"/>
        <w:ind w:firstLine="0" w:firstLineChars="0"/>
        <w:outlineLvl w:val="2"/>
        <w:rPr>
          <w:rFonts w:hint="eastAsia"/>
          <w:b/>
          <w:bCs/>
          <w:color w:val="auto"/>
          <w:sz w:val="21"/>
          <w:szCs w:val="21"/>
          <w:highlight w:val="none"/>
        </w:rPr>
      </w:pPr>
      <w:r>
        <w:rPr>
          <w:b/>
          <w:bCs/>
          <w:color w:val="auto"/>
          <w:sz w:val="21"/>
          <w:szCs w:val="21"/>
          <w:highlight w:val="none"/>
        </w:rPr>
        <w:t>1.资格性审查</w:t>
      </w:r>
      <w:r>
        <w:rPr>
          <w:rFonts w:hint="eastAsia"/>
          <w:b/>
          <w:bCs/>
          <w:color w:val="auto"/>
          <w:sz w:val="21"/>
          <w:szCs w:val="21"/>
          <w:highlight w:val="none"/>
          <w:lang w:eastAsia="zh-CN"/>
        </w:rPr>
        <w:t>、</w:t>
      </w:r>
      <w:r>
        <w:rPr>
          <w:b/>
          <w:bCs/>
          <w:color w:val="auto"/>
          <w:sz w:val="21"/>
          <w:szCs w:val="21"/>
          <w:highlight w:val="none"/>
        </w:rPr>
        <w:t>符合性审查</w:t>
      </w:r>
      <w:r>
        <w:rPr>
          <w:rFonts w:hint="eastAsia"/>
          <w:b/>
          <w:bCs/>
          <w:color w:val="auto"/>
          <w:sz w:val="21"/>
          <w:szCs w:val="21"/>
          <w:highlight w:val="none"/>
        </w:rPr>
        <w:t>和异常低价审查</w:t>
      </w:r>
    </w:p>
    <w:p w14:paraId="30D2D5DC">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资格性审查。</w:t>
      </w:r>
      <w:r>
        <w:rPr>
          <w:rFonts w:hint="eastAsia"/>
          <w:color w:val="auto"/>
          <w:sz w:val="21"/>
          <w:szCs w:val="21"/>
          <w:highlight w:val="none"/>
          <w:lang w:val="en-US" w:eastAsia="zh-CN"/>
        </w:rPr>
        <w:t>磋商</w:t>
      </w:r>
      <w:r>
        <w:rPr>
          <w:rFonts w:hint="eastAsia"/>
          <w:color w:val="auto"/>
          <w:sz w:val="21"/>
          <w:szCs w:val="21"/>
          <w:highlight w:val="none"/>
        </w:rPr>
        <w:t>小组应当依法对供应商的资格进行审查，以确定供应商是否具备响应资格。（详见后附表一资格性审查表）</w:t>
      </w:r>
    </w:p>
    <w:p w14:paraId="12541BB7">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符合性审查。</w:t>
      </w:r>
      <w:r>
        <w:rPr>
          <w:rFonts w:hint="eastAsia"/>
          <w:color w:val="auto"/>
          <w:sz w:val="21"/>
          <w:szCs w:val="21"/>
          <w:highlight w:val="none"/>
          <w:lang w:val="en-US" w:eastAsia="zh-CN"/>
        </w:rPr>
        <w:t>磋商</w:t>
      </w:r>
      <w:r>
        <w:rPr>
          <w:rFonts w:hint="eastAsia"/>
          <w:color w:val="auto"/>
          <w:sz w:val="21"/>
          <w:szCs w:val="21"/>
          <w:highlight w:val="none"/>
        </w:rPr>
        <w:t>小组依据</w:t>
      </w:r>
      <w:r>
        <w:rPr>
          <w:rFonts w:hint="eastAsia"/>
          <w:color w:val="auto"/>
          <w:sz w:val="21"/>
          <w:szCs w:val="21"/>
          <w:highlight w:val="none"/>
          <w:lang w:val="en-US" w:eastAsia="zh-CN"/>
        </w:rPr>
        <w:t>磋商文件</w:t>
      </w:r>
      <w:r>
        <w:rPr>
          <w:rFonts w:hint="eastAsia"/>
          <w:color w:val="auto"/>
          <w:sz w:val="21"/>
          <w:szCs w:val="21"/>
          <w:highlight w:val="none"/>
        </w:rPr>
        <w:t>的规定，从响应文件的有效性、完整性和对</w:t>
      </w:r>
      <w:r>
        <w:rPr>
          <w:rFonts w:hint="eastAsia"/>
          <w:color w:val="auto"/>
          <w:sz w:val="21"/>
          <w:szCs w:val="21"/>
          <w:highlight w:val="none"/>
          <w:lang w:val="en-US" w:eastAsia="zh-CN"/>
        </w:rPr>
        <w:t>采购文件</w:t>
      </w:r>
      <w:r>
        <w:rPr>
          <w:rFonts w:hint="eastAsia"/>
          <w:color w:val="auto"/>
          <w:sz w:val="21"/>
          <w:szCs w:val="21"/>
          <w:highlight w:val="none"/>
        </w:rPr>
        <w:t>的响应程度进行审查，以确定是否对</w:t>
      </w:r>
      <w:r>
        <w:rPr>
          <w:rFonts w:hint="eastAsia"/>
          <w:color w:val="auto"/>
          <w:sz w:val="21"/>
          <w:szCs w:val="21"/>
          <w:highlight w:val="none"/>
          <w:lang w:val="en-US" w:eastAsia="zh-CN"/>
        </w:rPr>
        <w:t>采购文件</w:t>
      </w:r>
      <w:r>
        <w:rPr>
          <w:rFonts w:hint="eastAsia"/>
          <w:color w:val="auto"/>
          <w:sz w:val="21"/>
          <w:szCs w:val="21"/>
          <w:highlight w:val="none"/>
        </w:rPr>
        <w:t>的实质性要求作出响应。（详见后附表二符合性审查表）</w:t>
      </w:r>
    </w:p>
    <w:p w14:paraId="49922716">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异常低价审查。采购评审中出现下列情形之一的，</w:t>
      </w:r>
      <w:r>
        <w:rPr>
          <w:rFonts w:hint="eastAsia"/>
          <w:color w:val="auto"/>
          <w:sz w:val="21"/>
          <w:szCs w:val="21"/>
          <w:highlight w:val="none"/>
          <w:lang w:val="en-US" w:eastAsia="zh-CN"/>
        </w:rPr>
        <w:t>谈判</w:t>
      </w:r>
      <w:r>
        <w:rPr>
          <w:rFonts w:hint="eastAsia"/>
          <w:color w:val="auto"/>
          <w:sz w:val="21"/>
          <w:szCs w:val="21"/>
          <w:highlight w:val="none"/>
        </w:rPr>
        <w:t>小组应当启动异常低价投标（响应）审查程序（详见后附表三异常低价审查表）：</w:t>
      </w:r>
    </w:p>
    <w:p w14:paraId="4CAE1EEE">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（1）投标（响应）报价低于全部通过符合性审查供应商投标（响应）报价平均值50%的，即投标（响应）报价&lt;全部通过符合性审查供应商投标（响应）报价平均值×50%；</w:t>
      </w:r>
    </w:p>
    <w:p w14:paraId="11AFEC1F">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（2）)投标（响应）报价低于通过符合性审查且报价次低供应商投标（响应）报价50%的，即投标（响应）报价&lt;通过符合性审查且报价次低供应商投标（响应）报价×50%；</w:t>
      </w:r>
    </w:p>
    <w:p w14:paraId="6E413FAD">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（3）投标（响应）报价低于采购项目最高限价45%的，即投标（响应）报价&lt;采购项目最高限价×45%；</w:t>
      </w:r>
    </w:p>
    <w:p w14:paraId="5F03EBFD">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（4）评审委员会基于专业判断，认为供应商报价过低，有可能影响产品质量或者不能诚信履约的其他情形。</w:t>
      </w:r>
    </w:p>
    <w:p w14:paraId="6BEE5B35">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如项目（包组）采用下浮率报价的，则所述的投标（响应）报价， 则为（1-下浮率报价）。</w:t>
      </w:r>
    </w:p>
    <w:p w14:paraId="3CD63D75">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相关法律法规对供应商报价有规定的，从其规定。</w:t>
      </w:r>
    </w:p>
    <w:p w14:paraId="085FB3DB">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lang w:val="en-US" w:eastAsia="zh-CN"/>
        </w:rPr>
        <w:t>磋商小组</w:t>
      </w:r>
      <w:r>
        <w:rPr>
          <w:rFonts w:hint="eastAsia"/>
          <w:color w:val="auto"/>
          <w:sz w:val="21"/>
          <w:szCs w:val="21"/>
          <w:highlight w:val="none"/>
        </w:rPr>
        <w:t>启动异常低价投标（响应）审查后，属于前述第1项至第4项情形的，应当要求相关供应商在评审现场合理的时间内对投标（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响应）文件一并提交相关书面说明及必要的证明材料的，在评审现场可不再重复提交。</w:t>
      </w:r>
    </w:p>
    <w:p w14:paraId="3C630D4E">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被启动异常低价审查的供应商，如果不提供书面说明、证明材料，或者提供的书面说明、证明材料不能证明其报价合理性的，</w:t>
      </w:r>
      <w:r>
        <w:rPr>
          <w:rFonts w:hint="eastAsia"/>
          <w:color w:val="auto"/>
          <w:sz w:val="21"/>
          <w:szCs w:val="21"/>
          <w:highlight w:val="none"/>
          <w:lang w:val="en-US" w:eastAsia="zh-CN"/>
        </w:rPr>
        <w:t>磋商小组</w:t>
      </w:r>
      <w:r>
        <w:rPr>
          <w:rFonts w:hint="eastAsia"/>
          <w:color w:val="auto"/>
          <w:sz w:val="21"/>
          <w:szCs w:val="21"/>
          <w:highlight w:val="none"/>
        </w:rPr>
        <w:t>应当将其作为无效投标（响应）处理。</w:t>
      </w:r>
    </w:p>
    <w:p w14:paraId="01F61A1E">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通过异常低价审查的不足3家，不得进入详细评审。</w:t>
      </w:r>
    </w:p>
    <w:p w14:paraId="6A5BE733">
      <w:pPr>
        <w:pStyle w:val="358"/>
        <w:keepNext w:val="0"/>
        <w:keepLines w:val="0"/>
        <w:pageBreakBefore w:val="0"/>
        <w:widowControl w:val="0"/>
        <w:kinsoku/>
        <w:wordWrap/>
        <w:overflowPunct/>
        <w:topLinePunct w:val="0"/>
        <w:autoSpaceDE/>
        <w:autoSpaceDN/>
        <w:bidi w:val="0"/>
        <w:spacing w:beforeLines="0" w:afterLines="0"/>
        <w:ind w:firstLine="420"/>
        <w:rPr>
          <w:rFonts w:hint="eastAsia"/>
          <w:color w:val="auto"/>
          <w:sz w:val="21"/>
          <w:szCs w:val="21"/>
          <w:highlight w:val="none"/>
        </w:rPr>
      </w:pPr>
      <w:r>
        <w:rPr>
          <w:rFonts w:hint="eastAsia"/>
          <w:color w:val="auto"/>
          <w:sz w:val="21"/>
          <w:szCs w:val="21"/>
          <w:highlight w:val="none"/>
        </w:rPr>
        <w:t>资格性审查、符合性审查、异常低价审查中凡有其中任意一项未通过的，评审结果为未通过，未通过资格性审查、符合性审查、异常低价审查的</w:t>
      </w:r>
      <w:r>
        <w:rPr>
          <w:rFonts w:hint="eastAsia"/>
          <w:color w:val="auto"/>
          <w:sz w:val="21"/>
          <w:szCs w:val="21"/>
          <w:highlight w:val="none"/>
          <w:lang w:val="en-US" w:eastAsia="zh-CN"/>
        </w:rPr>
        <w:t>供应商</w:t>
      </w:r>
      <w:r>
        <w:rPr>
          <w:rFonts w:hint="eastAsia"/>
          <w:color w:val="auto"/>
          <w:sz w:val="21"/>
          <w:szCs w:val="21"/>
          <w:highlight w:val="none"/>
        </w:rPr>
        <w:t>按无效投标</w:t>
      </w:r>
      <w:r>
        <w:rPr>
          <w:rFonts w:hint="eastAsia"/>
          <w:color w:val="auto"/>
          <w:szCs w:val="21"/>
          <w:highlight w:val="none"/>
          <w:lang w:eastAsia="zh-CN"/>
        </w:rPr>
        <w:t>（</w:t>
      </w:r>
      <w:r>
        <w:rPr>
          <w:rFonts w:hint="eastAsia"/>
          <w:color w:val="auto"/>
          <w:szCs w:val="21"/>
          <w:highlight w:val="none"/>
          <w:lang w:val="en-US" w:eastAsia="zh-CN"/>
        </w:rPr>
        <w:t>响应</w:t>
      </w:r>
      <w:r>
        <w:rPr>
          <w:rFonts w:hint="eastAsia"/>
          <w:color w:val="auto"/>
          <w:szCs w:val="21"/>
          <w:highlight w:val="none"/>
          <w:lang w:eastAsia="zh-CN"/>
        </w:rPr>
        <w:t>）</w:t>
      </w:r>
      <w:r>
        <w:rPr>
          <w:rFonts w:hint="eastAsia"/>
          <w:color w:val="auto"/>
          <w:sz w:val="21"/>
          <w:szCs w:val="21"/>
          <w:highlight w:val="none"/>
        </w:rPr>
        <w:t>处理。</w:t>
      </w:r>
    </w:p>
    <w:p w14:paraId="130B4145">
      <w:pPr>
        <w:pStyle w:val="358"/>
        <w:keepNext w:val="0"/>
        <w:keepLines w:val="0"/>
        <w:pageBreakBefore w:val="0"/>
        <w:widowControl w:val="0"/>
        <w:kinsoku/>
        <w:wordWrap/>
        <w:overflowPunct/>
        <w:topLinePunct w:val="0"/>
        <w:autoSpaceDE/>
        <w:autoSpaceDN/>
        <w:bidi w:val="0"/>
        <w:spacing w:beforeLines="0" w:afterLines="0"/>
        <w:ind w:firstLine="420"/>
        <w:rPr>
          <w:rFonts w:hint="eastAsia" w:eastAsia="宋体"/>
          <w:color w:val="auto"/>
          <w:sz w:val="21"/>
          <w:szCs w:val="21"/>
          <w:highlight w:val="none"/>
          <w:lang w:eastAsia="zh-CN"/>
        </w:rPr>
      </w:pPr>
      <w:r>
        <w:rPr>
          <w:rFonts w:hint="eastAsia"/>
          <w:color w:val="auto"/>
          <w:sz w:val="21"/>
          <w:szCs w:val="21"/>
          <w:highlight w:val="none"/>
        </w:rPr>
        <w:t>对各</w:t>
      </w:r>
      <w:r>
        <w:rPr>
          <w:rFonts w:hint="eastAsia"/>
          <w:color w:val="auto"/>
          <w:sz w:val="21"/>
          <w:szCs w:val="21"/>
          <w:highlight w:val="none"/>
          <w:lang w:val="en-US" w:eastAsia="zh-CN"/>
        </w:rPr>
        <w:t>供应商</w:t>
      </w:r>
      <w:r>
        <w:rPr>
          <w:rFonts w:hint="eastAsia"/>
          <w:color w:val="auto"/>
          <w:sz w:val="21"/>
          <w:szCs w:val="21"/>
          <w:highlight w:val="none"/>
        </w:rPr>
        <w:t>进行资格审查、符合性审查、异常低价审查过程中，对初步被认定为无效</w:t>
      </w:r>
      <w:r>
        <w:rPr>
          <w:rFonts w:hint="eastAsia"/>
          <w:color w:val="auto"/>
          <w:sz w:val="21"/>
          <w:szCs w:val="21"/>
          <w:highlight w:val="none"/>
          <w:lang w:val="en-US" w:eastAsia="zh-CN"/>
        </w:rPr>
        <w:t>响应</w:t>
      </w:r>
      <w:r>
        <w:rPr>
          <w:rFonts w:hint="eastAsia"/>
          <w:color w:val="auto"/>
          <w:sz w:val="21"/>
          <w:szCs w:val="21"/>
          <w:highlight w:val="none"/>
        </w:rPr>
        <w:t>者，由</w:t>
      </w:r>
      <w:r>
        <w:rPr>
          <w:rFonts w:hint="eastAsia"/>
          <w:color w:val="auto"/>
          <w:sz w:val="21"/>
          <w:szCs w:val="21"/>
          <w:highlight w:val="none"/>
          <w:lang w:val="en-US" w:eastAsia="zh-CN"/>
        </w:rPr>
        <w:t>询价小组</w:t>
      </w:r>
      <w:r>
        <w:rPr>
          <w:rFonts w:hint="eastAsia"/>
          <w:color w:val="auto"/>
          <w:sz w:val="21"/>
          <w:szCs w:val="21"/>
          <w:highlight w:val="none"/>
        </w:rPr>
        <w:t>组长或采购人代表将集体意见及时告知投标当事人。采购代理机构应在评</w:t>
      </w:r>
      <w:r>
        <w:rPr>
          <w:rFonts w:hint="eastAsia"/>
          <w:color w:val="auto"/>
          <w:sz w:val="21"/>
          <w:szCs w:val="21"/>
          <w:highlight w:val="none"/>
          <w:lang w:val="en-US" w:eastAsia="zh-CN"/>
        </w:rPr>
        <w:t>审</w:t>
      </w:r>
      <w:r>
        <w:rPr>
          <w:rFonts w:hint="eastAsia"/>
          <w:color w:val="auto"/>
          <w:sz w:val="21"/>
          <w:szCs w:val="21"/>
          <w:highlight w:val="none"/>
        </w:rPr>
        <w:t>报告中以书面形式解释其排除的具体原因</w:t>
      </w:r>
      <w:r>
        <w:rPr>
          <w:rFonts w:hint="eastAsia"/>
          <w:color w:val="auto"/>
          <w:sz w:val="21"/>
          <w:szCs w:val="21"/>
          <w:highlight w:val="none"/>
          <w:lang w:eastAsia="zh-CN"/>
        </w:rPr>
        <w:t>。</w:t>
      </w:r>
    </w:p>
    <w:p w14:paraId="74CA83B0">
      <w:pPr>
        <w:pStyle w:val="19"/>
        <w:keepNext w:val="0"/>
        <w:keepLines w:val="0"/>
        <w:pageBreakBefore w:val="0"/>
        <w:widowControl w:val="0"/>
        <w:kinsoku/>
        <w:wordWrap/>
        <w:overflowPunct/>
        <w:topLinePunct w:val="0"/>
        <w:bidi w:val="0"/>
        <w:spacing w:beforeLines="0" w:afterLines="0"/>
        <w:ind w:firstLine="420" w:firstLineChars="200"/>
        <w:rPr>
          <w:color w:val="auto"/>
          <w:sz w:val="21"/>
          <w:szCs w:val="21"/>
          <w:highlight w:val="none"/>
        </w:rPr>
      </w:pPr>
      <w:r>
        <w:rPr>
          <w:rFonts w:hint="eastAsia"/>
          <w:color w:val="auto"/>
          <w:sz w:val="21"/>
          <w:szCs w:val="21"/>
          <w:highlight w:val="none"/>
        </w:rPr>
        <w:t>合格</w:t>
      </w:r>
      <w:r>
        <w:rPr>
          <w:rFonts w:hint="eastAsia"/>
          <w:color w:val="auto"/>
          <w:sz w:val="21"/>
          <w:szCs w:val="21"/>
          <w:highlight w:val="none"/>
          <w:lang w:val="en-US" w:eastAsia="zh-CN"/>
        </w:rPr>
        <w:t>供应商</w:t>
      </w:r>
      <w:r>
        <w:rPr>
          <w:rFonts w:hint="eastAsia"/>
          <w:color w:val="auto"/>
          <w:sz w:val="21"/>
          <w:szCs w:val="21"/>
          <w:highlight w:val="none"/>
        </w:rPr>
        <w:t>不足</w:t>
      </w:r>
      <w:r>
        <w:rPr>
          <w:color w:val="auto"/>
          <w:sz w:val="21"/>
          <w:szCs w:val="21"/>
          <w:highlight w:val="none"/>
        </w:rPr>
        <w:t>3家的，不得</w:t>
      </w:r>
      <w:r>
        <w:rPr>
          <w:rFonts w:hint="eastAsia"/>
          <w:color w:val="auto"/>
          <w:sz w:val="21"/>
          <w:szCs w:val="21"/>
          <w:highlight w:val="none"/>
          <w:lang w:val="en-US" w:eastAsia="zh-CN"/>
        </w:rPr>
        <w:t>评审</w:t>
      </w:r>
      <w:r>
        <w:rPr>
          <w:color w:val="auto"/>
          <w:sz w:val="21"/>
          <w:szCs w:val="21"/>
          <w:highlight w:val="none"/>
        </w:rPr>
        <w:t>。</w:t>
      </w:r>
    </w:p>
    <w:p w14:paraId="638FAC0E">
      <w:pPr>
        <w:keepNext w:val="0"/>
        <w:keepLines w:val="0"/>
        <w:pageBreakBefore w:val="0"/>
        <w:widowControl w:val="0"/>
        <w:kinsoku/>
        <w:wordWrap/>
        <w:overflowPunct/>
        <w:topLinePunct w:val="0"/>
        <w:bidi w:val="0"/>
        <w:spacing w:beforeLines="0" w:afterLines="0"/>
        <w:rPr>
          <w:rFonts w:hint="eastAsia"/>
          <w:color w:val="auto"/>
          <w:highlight w:val="none"/>
        </w:rPr>
      </w:pPr>
    </w:p>
    <w:p w14:paraId="1EA35703">
      <w:pPr>
        <w:keepNext w:val="0"/>
        <w:keepLines w:val="0"/>
        <w:pageBreakBefore w:val="0"/>
        <w:widowControl w:val="0"/>
        <w:kinsoku/>
        <w:wordWrap/>
        <w:overflowPunct/>
        <w:topLinePunct w:val="0"/>
        <w:bidi w:val="0"/>
        <w:spacing w:beforeLines="0" w:afterLines="0"/>
        <w:ind w:firstLine="422" w:firstLineChars="200"/>
        <w:jc w:val="left"/>
        <w:outlineLvl w:val="3"/>
        <w:rPr>
          <w:rFonts w:hint="eastAsia" w:cs="Futura-Heavy"/>
          <w:b/>
          <w:bCs/>
          <w:color w:val="auto"/>
          <w:kern w:val="0"/>
          <w:szCs w:val="21"/>
          <w:highlight w:val="none"/>
        </w:rPr>
      </w:pPr>
      <w:r>
        <w:rPr>
          <w:rFonts w:hint="eastAsia" w:cs="Futura-Heavy"/>
          <w:b/>
          <w:bCs/>
          <w:color w:val="auto"/>
          <w:kern w:val="0"/>
          <w:szCs w:val="21"/>
          <w:highlight w:val="none"/>
        </w:rPr>
        <w:t>表一：资格性审查表</w:t>
      </w:r>
      <w:bookmarkEnd w:id="96"/>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3"/>
        <w:gridCol w:w="2440"/>
        <w:gridCol w:w="6701"/>
      </w:tblGrid>
      <w:tr w14:paraId="35664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216ED6C1">
            <w:pPr>
              <w:keepNext w:val="0"/>
              <w:keepLines w:val="0"/>
              <w:pageBreakBefore w:val="0"/>
              <w:widowControl w:val="0"/>
              <w:kinsoku/>
              <w:wordWrap/>
              <w:overflowPunct/>
              <w:topLinePunct w:val="0"/>
              <w:bidi w:val="0"/>
              <w:snapToGrid w:val="0"/>
              <w:spacing w:before="0" w:beforeLines="0" w:after="0" w:afterLines="0" w:line="360" w:lineRule="auto"/>
              <w:jc w:val="center"/>
              <w:rPr>
                <w:rFonts w:hint="eastAsia"/>
                <w:b/>
                <w:color w:val="auto"/>
                <w:szCs w:val="21"/>
                <w:highlight w:val="none"/>
              </w:rPr>
            </w:pPr>
            <w:r>
              <w:rPr>
                <w:b/>
                <w:color w:val="auto"/>
                <w:szCs w:val="21"/>
                <w:highlight w:val="none"/>
              </w:rPr>
              <w:t>序号</w:t>
            </w:r>
          </w:p>
        </w:tc>
        <w:tc>
          <w:tcPr>
            <w:tcW w:w="4638" w:type="pct"/>
            <w:gridSpan w:val="2"/>
            <w:vAlign w:val="center"/>
          </w:tcPr>
          <w:p w14:paraId="38D10B18">
            <w:pPr>
              <w:keepNext w:val="0"/>
              <w:keepLines w:val="0"/>
              <w:pageBreakBefore w:val="0"/>
              <w:widowControl w:val="0"/>
              <w:kinsoku/>
              <w:wordWrap/>
              <w:overflowPunct/>
              <w:topLinePunct w:val="0"/>
              <w:bidi w:val="0"/>
              <w:snapToGrid w:val="0"/>
              <w:spacing w:before="0" w:beforeLines="0" w:after="0" w:afterLines="0" w:line="360" w:lineRule="auto"/>
              <w:jc w:val="center"/>
              <w:rPr>
                <w:rFonts w:hint="eastAsia"/>
                <w:b/>
                <w:color w:val="auto"/>
                <w:szCs w:val="21"/>
                <w:highlight w:val="none"/>
              </w:rPr>
            </w:pPr>
            <w:r>
              <w:rPr>
                <w:rFonts w:hint="eastAsia"/>
                <w:b/>
                <w:color w:val="auto"/>
                <w:szCs w:val="21"/>
                <w:highlight w:val="none"/>
              </w:rPr>
              <w:t>资格审查内容</w:t>
            </w:r>
          </w:p>
        </w:tc>
      </w:tr>
      <w:tr w14:paraId="103D8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07EB9EDA">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rPr>
            </w:pPr>
          </w:p>
        </w:tc>
        <w:tc>
          <w:tcPr>
            <w:tcW w:w="1238" w:type="pct"/>
            <w:vAlign w:val="center"/>
          </w:tcPr>
          <w:p w14:paraId="02651999">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color w:val="auto"/>
                <w:szCs w:val="21"/>
                <w:highlight w:val="none"/>
              </w:rPr>
              <w:t>具有独立承担民事责任的能力</w:t>
            </w:r>
          </w:p>
        </w:tc>
        <w:tc>
          <w:tcPr>
            <w:tcW w:w="3400" w:type="pct"/>
            <w:vAlign w:val="center"/>
          </w:tcPr>
          <w:p w14:paraId="5D27C52A">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ascii="宋体" w:hAnsi="宋体"/>
                <w:color w:val="auto"/>
                <w:szCs w:val="21"/>
                <w:highlight w:val="none"/>
                <w:lang w:eastAsia="zh-CN"/>
              </w:rPr>
              <w:t>在中华人民共和国境内注册的法人或其他组织或自然人，</w:t>
            </w:r>
            <w:r>
              <w:rPr>
                <w:rFonts w:hint="eastAsia"/>
                <w:color w:val="auto"/>
                <w:szCs w:val="21"/>
                <w:highlight w:val="none"/>
                <w:lang w:eastAsia="zh-CN"/>
              </w:rPr>
              <w:t>响应文件中须提供</w:t>
            </w:r>
            <w:r>
              <w:rPr>
                <w:rFonts w:hint="eastAsia" w:ascii="宋体" w:hAnsi="宋体"/>
                <w:color w:val="auto"/>
                <w:szCs w:val="21"/>
                <w:highlight w:val="none"/>
                <w:lang w:eastAsia="zh-CN"/>
              </w:rPr>
              <w:t>有效的营业执照（或事业法人登记证或身份证等相关证明）</w:t>
            </w:r>
            <w:r>
              <w:rPr>
                <w:rFonts w:hint="eastAsia"/>
                <w:color w:val="auto"/>
                <w:szCs w:val="21"/>
                <w:highlight w:val="none"/>
                <w:lang w:eastAsia="zh-CN"/>
              </w:rPr>
              <w:t>复印件</w:t>
            </w:r>
            <w:r>
              <w:rPr>
                <w:rFonts w:hint="eastAsia" w:ascii="宋体" w:hAnsi="宋体"/>
                <w:color w:val="auto"/>
                <w:szCs w:val="21"/>
                <w:highlight w:val="none"/>
                <w:lang w:eastAsia="zh-CN"/>
              </w:rPr>
              <w:t>。分支机构响应的，</w:t>
            </w:r>
            <w:r>
              <w:rPr>
                <w:rFonts w:hint="eastAsia"/>
                <w:color w:val="auto"/>
                <w:szCs w:val="21"/>
                <w:highlight w:val="none"/>
                <w:lang w:eastAsia="zh-CN"/>
              </w:rPr>
              <w:t>响应文件中须</w:t>
            </w:r>
            <w:r>
              <w:rPr>
                <w:rFonts w:hint="eastAsia" w:ascii="宋体" w:hAnsi="宋体"/>
                <w:color w:val="auto"/>
                <w:szCs w:val="21"/>
                <w:highlight w:val="none"/>
                <w:lang w:eastAsia="zh-CN"/>
              </w:rPr>
              <w:t>提供总公司和分公司营业执照</w:t>
            </w:r>
            <w:r>
              <w:rPr>
                <w:rFonts w:hint="eastAsia"/>
                <w:color w:val="auto"/>
                <w:szCs w:val="21"/>
                <w:highlight w:val="none"/>
                <w:lang w:eastAsia="zh-CN"/>
              </w:rPr>
              <w:t>复印件</w:t>
            </w:r>
            <w:r>
              <w:rPr>
                <w:rFonts w:hint="eastAsia" w:ascii="宋体" w:hAnsi="宋体"/>
                <w:color w:val="auto"/>
                <w:szCs w:val="21"/>
                <w:highlight w:val="none"/>
                <w:lang w:eastAsia="zh-CN"/>
              </w:rPr>
              <w:t>，总公司出具给分支机构的授权书。</w:t>
            </w:r>
          </w:p>
        </w:tc>
      </w:tr>
      <w:tr w14:paraId="59041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20C40A5A">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lang w:eastAsia="zh-CN"/>
              </w:rPr>
            </w:pPr>
          </w:p>
        </w:tc>
        <w:tc>
          <w:tcPr>
            <w:tcW w:w="1238" w:type="pct"/>
            <w:vAlign w:val="center"/>
          </w:tcPr>
          <w:p w14:paraId="4CDF5087">
            <w:pPr>
              <w:keepNext w:val="0"/>
              <w:keepLines w:val="0"/>
              <w:pageBreakBefore w:val="0"/>
              <w:widowControl w:val="0"/>
              <w:kinsoku/>
              <w:wordWrap/>
              <w:overflowPunct/>
              <w:topLinePunct w:val="0"/>
              <w:bidi w:val="0"/>
              <w:snapToGrid w:val="0"/>
              <w:spacing w:beforeLines="0" w:afterLines="0"/>
              <w:jc w:val="center"/>
              <w:rPr>
                <w:rFonts w:hint="eastAsia"/>
                <w:color w:val="auto"/>
                <w:szCs w:val="21"/>
                <w:highlight w:val="none"/>
              </w:rPr>
            </w:pPr>
            <w:r>
              <w:rPr>
                <w:rFonts w:hint="eastAsia"/>
                <w:color w:val="auto"/>
                <w:szCs w:val="21"/>
                <w:highlight w:val="none"/>
              </w:rPr>
              <w:t>有依法缴纳税收和社会保障资金的良好记录</w:t>
            </w:r>
          </w:p>
        </w:tc>
        <w:tc>
          <w:tcPr>
            <w:tcW w:w="3400" w:type="pct"/>
            <w:vAlign w:val="center"/>
          </w:tcPr>
          <w:p w14:paraId="1E1FDFD9">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color w:val="auto"/>
                <w:szCs w:val="21"/>
                <w:highlight w:val="none"/>
              </w:rPr>
              <w:t>响应文件中须提供</w:t>
            </w:r>
            <w:r>
              <w:rPr>
                <w:color w:val="auto"/>
                <w:szCs w:val="21"/>
                <w:highlight w:val="none"/>
              </w:rPr>
              <w:t>20</w:t>
            </w:r>
            <w:r>
              <w:rPr>
                <w:rFonts w:hint="eastAsia"/>
                <w:color w:val="auto"/>
                <w:szCs w:val="21"/>
                <w:highlight w:val="none"/>
                <w:lang w:val="en-US" w:eastAsia="zh-CN"/>
              </w:rPr>
              <w:t>26</w:t>
            </w:r>
            <w:r>
              <w:rPr>
                <w:color w:val="auto"/>
                <w:szCs w:val="21"/>
                <w:highlight w:val="none"/>
              </w:rPr>
              <w:t>年</w:t>
            </w:r>
            <w:r>
              <w:rPr>
                <w:rFonts w:hint="eastAsia"/>
                <w:color w:val="auto"/>
                <w:szCs w:val="21"/>
                <w:highlight w:val="none"/>
                <w:lang w:val="en-US" w:eastAsia="zh-CN"/>
              </w:rPr>
              <w:t>01</w:t>
            </w:r>
            <w:r>
              <w:rPr>
                <w:color w:val="auto"/>
                <w:szCs w:val="21"/>
                <w:highlight w:val="none"/>
              </w:rPr>
              <w:t>月至今任意1个月依法缴纳税收和社会保障资金的相关材料。如依法免税或不需要缴纳社会保障资金的，提供相应证明材料</w:t>
            </w:r>
            <w:r>
              <w:rPr>
                <w:rFonts w:hint="eastAsia"/>
                <w:color w:val="auto"/>
                <w:szCs w:val="21"/>
                <w:highlight w:val="none"/>
              </w:rPr>
              <w:t>。</w:t>
            </w:r>
          </w:p>
        </w:tc>
      </w:tr>
      <w:tr w14:paraId="03F0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06571B04">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lang w:eastAsia="zh-CN"/>
              </w:rPr>
            </w:pPr>
          </w:p>
        </w:tc>
        <w:tc>
          <w:tcPr>
            <w:tcW w:w="1238" w:type="pct"/>
            <w:vAlign w:val="center"/>
          </w:tcPr>
          <w:p w14:paraId="65FBF0DA">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color w:val="auto"/>
                <w:szCs w:val="21"/>
                <w:highlight w:val="none"/>
              </w:rPr>
              <w:t>具有良好的商业信誉和健全的财务会计制度</w:t>
            </w:r>
          </w:p>
        </w:tc>
        <w:tc>
          <w:tcPr>
            <w:tcW w:w="3400" w:type="pct"/>
            <w:vAlign w:val="center"/>
          </w:tcPr>
          <w:p w14:paraId="66893128">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color w:val="auto"/>
                <w:szCs w:val="21"/>
                <w:highlight w:val="none"/>
              </w:rPr>
              <w:t>响应文件中须提供</w:t>
            </w:r>
            <w:r>
              <w:rPr>
                <w:rFonts w:hint="eastAsia"/>
                <w:color w:val="auto"/>
                <w:szCs w:val="21"/>
                <w:highlight w:val="none"/>
                <w:lang w:val="en-US" w:eastAsia="zh-CN"/>
              </w:rPr>
              <w:t>2024或</w:t>
            </w:r>
            <w:r>
              <w:rPr>
                <w:color w:val="auto"/>
                <w:szCs w:val="21"/>
                <w:highlight w:val="none"/>
              </w:rPr>
              <w:t>20</w:t>
            </w:r>
            <w:r>
              <w:rPr>
                <w:rFonts w:hint="eastAsia"/>
                <w:color w:val="auto"/>
                <w:szCs w:val="21"/>
                <w:highlight w:val="none"/>
                <w:lang w:val="en-US" w:eastAsia="zh-CN"/>
              </w:rPr>
              <w:t>25</w:t>
            </w:r>
            <w:r>
              <w:rPr>
                <w:color w:val="auto"/>
                <w:szCs w:val="21"/>
                <w:highlight w:val="none"/>
              </w:rPr>
              <w:t>年度经审计的财务状况报告，或20</w:t>
            </w:r>
            <w:r>
              <w:rPr>
                <w:rFonts w:hint="eastAsia"/>
                <w:color w:val="auto"/>
                <w:szCs w:val="21"/>
                <w:highlight w:val="none"/>
                <w:lang w:val="en-US" w:eastAsia="zh-CN"/>
              </w:rPr>
              <w:t>26</w:t>
            </w:r>
            <w:r>
              <w:rPr>
                <w:color w:val="auto"/>
                <w:szCs w:val="21"/>
                <w:highlight w:val="none"/>
              </w:rPr>
              <w:t>年</w:t>
            </w:r>
            <w:r>
              <w:rPr>
                <w:rFonts w:hint="eastAsia"/>
                <w:color w:val="auto"/>
                <w:szCs w:val="21"/>
                <w:highlight w:val="none"/>
                <w:lang w:val="en-US" w:eastAsia="zh-CN"/>
              </w:rPr>
              <w:t>01</w:t>
            </w:r>
            <w:r>
              <w:rPr>
                <w:color w:val="auto"/>
                <w:szCs w:val="21"/>
                <w:highlight w:val="none"/>
              </w:rPr>
              <w:t>月至今任意1个月的会计报表，或银行出具的资信证明</w:t>
            </w:r>
            <w:r>
              <w:rPr>
                <w:rFonts w:hint="eastAsia"/>
                <w:color w:val="auto"/>
                <w:szCs w:val="21"/>
                <w:highlight w:val="none"/>
              </w:rPr>
              <w:t>（资信证明应在有效期内；未注明有效期的，银行出具时间至提交响应文件截止时间不超过一年）。</w:t>
            </w:r>
          </w:p>
        </w:tc>
      </w:tr>
      <w:tr w14:paraId="415DE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43DA8939">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lang w:eastAsia="zh-CN"/>
              </w:rPr>
            </w:pPr>
          </w:p>
        </w:tc>
        <w:tc>
          <w:tcPr>
            <w:tcW w:w="1238" w:type="pct"/>
            <w:vAlign w:val="center"/>
          </w:tcPr>
          <w:p w14:paraId="407C5A0D">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color w:val="auto"/>
                <w:szCs w:val="21"/>
                <w:highlight w:val="none"/>
              </w:rPr>
              <w:t>履行合同所必需的设备和专业技术能力</w:t>
            </w:r>
          </w:p>
        </w:tc>
        <w:tc>
          <w:tcPr>
            <w:tcW w:w="3400" w:type="pct"/>
            <w:vAlign w:val="center"/>
          </w:tcPr>
          <w:p w14:paraId="7D80C33F">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color w:val="auto"/>
                <w:szCs w:val="21"/>
                <w:highlight w:val="none"/>
              </w:rPr>
              <w:t>响应文件中须提供设备和专业技术能力情况表。</w:t>
            </w:r>
          </w:p>
        </w:tc>
      </w:tr>
      <w:tr w14:paraId="2F4DD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449F1579">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lang w:eastAsia="zh-CN"/>
              </w:rPr>
            </w:pPr>
          </w:p>
        </w:tc>
        <w:tc>
          <w:tcPr>
            <w:tcW w:w="1238" w:type="pct"/>
            <w:vAlign w:val="center"/>
          </w:tcPr>
          <w:p w14:paraId="55A924A9">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color w:val="auto"/>
                <w:szCs w:val="21"/>
                <w:highlight w:val="none"/>
              </w:rPr>
              <w:t>参加采购活动前3年内，在经营活动中没有重大违法记录</w:t>
            </w:r>
          </w:p>
        </w:tc>
        <w:tc>
          <w:tcPr>
            <w:tcW w:w="3400" w:type="pct"/>
            <w:vAlign w:val="center"/>
          </w:tcPr>
          <w:p w14:paraId="5AF8D843">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color w:val="auto"/>
                <w:szCs w:val="21"/>
                <w:highlight w:val="none"/>
              </w:rPr>
              <w:t>在《响应承诺函》中进行相关申明。重大违法记录，是指供应商因违法经营受到刑事处罚或者责令停产停业、吊销许可证或者执照、较大数额罚款等行政处罚。（根据财库〔</w:t>
            </w:r>
            <w:r>
              <w:rPr>
                <w:color w:val="auto"/>
                <w:szCs w:val="21"/>
                <w:highlight w:val="none"/>
              </w:rPr>
              <w:t>2022〕3号文，“较大数额罚款”认定为200万元以上的罚款，法律、行政法规以及国务院有关部门明确规定相关领域“较大数额罚款”标准高于200万元的，从其规定。</w:t>
            </w:r>
            <w:r>
              <w:rPr>
                <w:rFonts w:hint="eastAsia"/>
                <w:color w:val="auto"/>
                <w:szCs w:val="21"/>
                <w:highlight w:val="none"/>
              </w:rPr>
              <w:t>）</w:t>
            </w:r>
          </w:p>
        </w:tc>
      </w:tr>
      <w:tr w14:paraId="6E256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20D959B6">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lang w:eastAsia="zh-CN"/>
              </w:rPr>
            </w:pPr>
          </w:p>
        </w:tc>
        <w:tc>
          <w:tcPr>
            <w:tcW w:w="1238" w:type="pct"/>
            <w:vAlign w:val="center"/>
          </w:tcPr>
          <w:p w14:paraId="0A21DDE1">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供应商符合法律、行政法规规定的其他条件</w:t>
            </w:r>
          </w:p>
        </w:tc>
        <w:tc>
          <w:tcPr>
            <w:tcW w:w="3400" w:type="pct"/>
            <w:vAlign w:val="center"/>
          </w:tcPr>
          <w:p w14:paraId="20E64065">
            <w:pPr>
              <w:keepNext w:val="0"/>
              <w:keepLines w:val="0"/>
              <w:pageBreakBefore w:val="0"/>
              <w:widowControl w:val="0"/>
              <w:kinsoku/>
              <w:wordWrap/>
              <w:overflowPunct/>
              <w:topLinePunct w:val="0"/>
              <w:bidi w:val="0"/>
              <w:snapToGrid w:val="0"/>
              <w:spacing w:beforeLines="0" w:afterLines="0"/>
              <w:rPr>
                <w:rFonts w:hint="eastAsia" w:eastAsia="宋体"/>
                <w:color w:val="auto"/>
                <w:highlight w:val="none"/>
                <w:lang w:eastAsia="zh-CN"/>
              </w:rPr>
            </w:pPr>
            <w:r>
              <w:rPr>
                <w:color w:val="auto"/>
                <w:szCs w:val="21"/>
                <w:highlight w:val="none"/>
              </w:rPr>
              <w:t>单位负责人为同一人或者存在直接控股、管理关系的不同供应商，不得同时参加本采购项目（或采购包）投标（响应）。为本项目提供整体设计、规范编制或者项目管理、监理、检测等服务的供应商，不得再参与本项目投标（响应）。</w:t>
            </w:r>
            <w:r>
              <w:rPr>
                <w:rFonts w:hint="eastAsia"/>
                <w:color w:val="auto"/>
                <w:szCs w:val="21"/>
                <w:highlight w:val="none"/>
              </w:rPr>
              <w:t>在《响应承诺函》中进行相关申明</w:t>
            </w:r>
            <w:r>
              <w:rPr>
                <w:rFonts w:hint="eastAsia"/>
                <w:color w:val="auto"/>
                <w:szCs w:val="21"/>
                <w:highlight w:val="none"/>
                <w:lang w:eastAsia="zh-CN"/>
              </w:rPr>
              <w:t>。</w:t>
            </w:r>
          </w:p>
        </w:tc>
      </w:tr>
      <w:tr w14:paraId="41FC0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15217335">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lang w:eastAsia="zh-CN"/>
              </w:rPr>
            </w:pPr>
          </w:p>
        </w:tc>
        <w:tc>
          <w:tcPr>
            <w:tcW w:w="1238" w:type="pct"/>
            <w:vAlign w:val="center"/>
          </w:tcPr>
          <w:p w14:paraId="7A68B1B7">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信用记录</w:t>
            </w:r>
          </w:p>
        </w:tc>
        <w:tc>
          <w:tcPr>
            <w:tcW w:w="3400" w:type="pct"/>
            <w:vAlign w:val="center"/>
          </w:tcPr>
          <w:p w14:paraId="46F520F4">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以采购代理机构于投标（响应）截止时间当天在上述网站查询结果为准，如在上述网站查询结果均显示没有相关记录，视为没有上述不良信用记录；如相关失信记录已失效，供应商须提供相关证明资料。</w:t>
            </w:r>
            <w:r>
              <w:rPr>
                <w:color w:val="auto"/>
                <w:szCs w:val="21"/>
                <w:highlight w:val="none"/>
              </w:rPr>
              <w:t>）</w:t>
            </w:r>
          </w:p>
        </w:tc>
      </w:tr>
      <w:tr w14:paraId="1DDED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38834A11">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rPr>
            </w:pPr>
          </w:p>
        </w:tc>
        <w:tc>
          <w:tcPr>
            <w:tcW w:w="1238" w:type="pct"/>
            <w:vAlign w:val="center"/>
          </w:tcPr>
          <w:p w14:paraId="0641E3F9">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color w:val="auto"/>
                <w:szCs w:val="21"/>
                <w:highlight w:val="none"/>
              </w:rPr>
              <w:t>落实政府采购政策需满足的资格要求</w:t>
            </w:r>
          </w:p>
        </w:tc>
        <w:tc>
          <w:tcPr>
            <w:tcW w:w="3400" w:type="pct"/>
          </w:tcPr>
          <w:p w14:paraId="16E74134">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color w:val="auto"/>
                <w:highlight w:val="none"/>
              </w:rPr>
              <w:t>本项目整体专门面向中小企业采购，供应商应为中小微企业或监狱企业或残疾人福利性单位，须提供《中小企业声明函（工程、服务）》，或省级以上监狱管理局、戒毒管理局（含新疆生产建设兵团）出具的属于监狱企业的证明文件，或《残疾人福利性单位声明函》。</w:t>
            </w:r>
          </w:p>
        </w:tc>
      </w:tr>
      <w:tr w14:paraId="7EBF7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61B402B0">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rPr>
            </w:pPr>
          </w:p>
        </w:tc>
        <w:tc>
          <w:tcPr>
            <w:tcW w:w="1238" w:type="pct"/>
            <w:vAlign w:val="center"/>
          </w:tcPr>
          <w:p w14:paraId="393A96ED">
            <w:pPr>
              <w:keepNext w:val="0"/>
              <w:keepLines w:val="0"/>
              <w:pageBreakBefore w:val="0"/>
              <w:widowControl w:val="0"/>
              <w:kinsoku/>
              <w:wordWrap/>
              <w:overflowPunct/>
              <w:topLinePunct w:val="0"/>
              <w:bidi w:val="0"/>
              <w:snapToGrid w:val="0"/>
              <w:spacing w:beforeLines="0" w:afterLines="0"/>
              <w:jc w:val="center"/>
              <w:rPr>
                <w:rFonts w:hint="eastAsia" w:eastAsia="宋体"/>
                <w:color w:val="auto"/>
                <w:szCs w:val="21"/>
                <w:highlight w:val="none"/>
                <w:lang w:val="en-US" w:eastAsia="zh-CN"/>
              </w:rPr>
            </w:pPr>
            <w:r>
              <w:rPr>
                <w:rFonts w:hint="eastAsia"/>
                <w:color w:val="auto"/>
                <w:szCs w:val="21"/>
                <w:highlight w:val="none"/>
                <w:lang w:val="en-US" w:eastAsia="zh-CN"/>
              </w:rPr>
              <w:t>企业资质</w:t>
            </w:r>
          </w:p>
        </w:tc>
        <w:tc>
          <w:tcPr>
            <w:tcW w:w="3400" w:type="pct"/>
          </w:tcPr>
          <w:p w14:paraId="45199F6A">
            <w:pPr>
              <w:keepNext w:val="0"/>
              <w:keepLines w:val="0"/>
              <w:pageBreakBefore w:val="0"/>
              <w:widowControl w:val="0"/>
              <w:kinsoku/>
              <w:wordWrap/>
              <w:overflowPunct/>
              <w:topLinePunct w:val="0"/>
              <w:bidi w:val="0"/>
              <w:snapToGrid w:val="0"/>
              <w:spacing w:beforeLines="0" w:afterLines="0"/>
              <w:rPr>
                <w:color w:val="auto"/>
                <w:highlight w:val="none"/>
              </w:rPr>
            </w:pPr>
            <w:r>
              <w:rPr>
                <w:rFonts w:hint="eastAsia"/>
                <w:color w:val="auto"/>
                <w:highlight w:val="none"/>
              </w:rPr>
              <w:t>供应商须具备建设行政主管部门颁发的建筑工程施工总承包三级（含）以上资质。（提供资质证书复印件，加盖公章）</w:t>
            </w:r>
          </w:p>
        </w:tc>
      </w:tr>
      <w:tr w14:paraId="25B5A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2" w:type="pct"/>
            <w:vAlign w:val="center"/>
          </w:tcPr>
          <w:p w14:paraId="250FBF58">
            <w:pPr>
              <w:pStyle w:val="129"/>
              <w:keepNext w:val="0"/>
              <w:keepLines w:val="0"/>
              <w:pageBreakBefore w:val="0"/>
              <w:widowControl w:val="0"/>
              <w:numPr>
                <w:ilvl w:val="0"/>
                <w:numId w:val="17"/>
              </w:numPr>
              <w:kinsoku/>
              <w:wordWrap/>
              <w:overflowPunct/>
              <w:topLinePunct w:val="0"/>
              <w:bidi w:val="0"/>
              <w:snapToGrid w:val="0"/>
              <w:spacing w:beforeLines="0" w:afterLines="0"/>
              <w:ind w:left="0" w:firstLine="0"/>
              <w:jc w:val="center"/>
              <w:rPr>
                <w:rFonts w:hint="eastAsia" w:ascii="宋体" w:hAnsi="宋体"/>
                <w:bCs/>
                <w:color w:val="auto"/>
                <w:szCs w:val="21"/>
                <w:highlight w:val="none"/>
              </w:rPr>
            </w:pPr>
          </w:p>
        </w:tc>
        <w:tc>
          <w:tcPr>
            <w:tcW w:w="1238" w:type="pct"/>
            <w:vAlign w:val="center"/>
          </w:tcPr>
          <w:p w14:paraId="75369AEF">
            <w:pPr>
              <w:keepNext w:val="0"/>
              <w:keepLines w:val="0"/>
              <w:pageBreakBefore w:val="0"/>
              <w:widowControl w:val="0"/>
              <w:kinsoku/>
              <w:wordWrap/>
              <w:overflowPunct/>
              <w:topLinePunct w:val="0"/>
              <w:bidi w:val="0"/>
              <w:snapToGrid w:val="0"/>
              <w:spacing w:beforeLines="0" w:afterLines="0"/>
              <w:jc w:val="center"/>
              <w:rPr>
                <w:rFonts w:hint="eastAsia" w:eastAsia="宋体"/>
                <w:color w:val="auto"/>
                <w:szCs w:val="21"/>
                <w:highlight w:val="none"/>
                <w:lang w:val="en-US" w:eastAsia="zh-CN"/>
              </w:rPr>
            </w:pPr>
            <w:r>
              <w:rPr>
                <w:rFonts w:hint="eastAsia"/>
                <w:color w:val="auto"/>
                <w:szCs w:val="21"/>
                <w:highlight w:val="none"/>
                <w:lang w:val="en-US" w:eastAsia="zh-CN"/>
              </w:rPr>
              <w:t>安全生产许可证</w:t>
            </w:r>
          </w:p>
        </w:tc>
        <w:tc>
          <w:tcPr>
            <w:tcW w:w="3400" w:type="pct"/>
          </w:tcPr>
          <w:p w14:paraId="670679E0">
            <w:pPr>
              <w:keepNext w:val="0"/>
              <w:keepLines w:val="0"/>
              <w:pageBreakBefore w:val="0"/>
              <w:widowControl w:val="0"/>
              <w:kinsoku/>
              <w:wordWrap/>
              <w:overflowPunct/>
              <w:topLinePunct w:val="0"/>
              <w:bidi w:val="0"/>
              <w:snapToGrid w:val="0"/>
              <w:spacing w:beforeLines="0" w:afterLines="0"/>
              <w:rPr>
                <w:color w:val="auto"/>
                <w:highlight w:val="none"/>
              </w:rPr>
            </w:pPr>
            <w:r>
              <w:rPr>
                <w:rFonts w:hint="eastAsia"/>
                <w:color w:val="auto"/>
                <w:highlight w:val="none"/>
              </w:rPr>
              <w:t>供应商须具有有效的建设行政主管部门颁发的安全生产许可证。（提供安全生产许可证复印件，加盖公章）</w:t>
            </w:r>
          </w:p>
        </w:tc>
      </w:tr>
      <w:tr w14:paraId="669D8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3"/>
            <w:vAlign w:val="center"/>
          </w:tcPr>
          <w:p w14:paraId="45F32BDA">
            <w:pPr>
              <w:keepNext w:val="0"/>
              <w:keepLines w:val="0"/>
              <w:pageBreakBefore w:val="0"/>
              <w:widowControl w:val="0"/>
              <w:kinsoku/>
              <w:wordWrap/>
              <w:overflowPunct/>
              <w:topLinePunct w:val="0"/>
              <w:bidi w:val="0"/>
              <w:snapToGrid w:val="0"/>
              <w:spacing w:beforeLines="0" w:afterLines="0"/>
              <w:jc w:val="center"/>
              <w:rPr>
                <w:rFonts w:hint="eastAsia"/>
                <w:b/>
                <w:color w:val="auto"/>
                <w:szCs w:val="21"/>
                <w:highlight w:val="none"/>
              </w:rPr>
            </w:pPr>
            <w:r>
              <w:rPr>
                <w:rFonts w:hint="eastAsia"/>
                <w:b/>
                <w:color w:val="auto"/>
                <w:szCs w:val="21"/>
                <w:highlight w:val="none"/>
              </w:rPr>
              <w:t>结论</w:t>
            </w:r>
          </w:p>
        </w:tc>
      </w:tr>
      <w:tr w14:paraId="66323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3"/>
            <w:vAlign w:val="center"/>
          </w:tcPr>
          <w:p w14:paraId="53460518">
            <w:pPr>
              <w:keepNext w:val="0"/>
              <w:keepLines w:val="0"/>
              <w:pageBreakBefore w:val="0"/>
              <w:widowControl w:val="0"/>
              <w:kinsoku/>
              <w:wordWrap/>
              <w:overflowPunct/>
              <w:topLinePunct w:val="0"/>
              <w:bidi w:val="0"/>
              <w:spacing w:beforeLines="0" w:afterLines="0"/>
              <w:jc w:val="left"/>
              <w:rPr>
                <w:rFonts w:hint="eastAsia"/>
                <w:bCs/>
                <w:color w:val="auto"/>
                <w:szCs w:val="21"/>
                <w:highlight w:val="none"/>
              </w:rPr>
            </w:pPr>
            <w:r>
              <w:rPr>
                <w:rFonts w:hint="eastAsia"/>
                <w:bCs/>
                <w:color w:val="auto"/>
                <w:szCs w:val="21"/>
                <w:highlight w:val="none"/>
              </w:rPr>
              <w:t>填表说明：</w:t>
            </w:r>
          </w:p>
          <w:p w14:paraId="02DBFD8B">
            <w:pPr>
              <w:keepNext w:val="0"/>
              <w:keepLines w:val="0"/>
              <w:pageBreakBefore w:val="0"/>
              <w:widowControl w:val="0"/>
              <w:kinsoku/>
              <w:wordWrap/>
              <w:overflowPunct/>
              <w:topLinePunct w:val="0"/>
              <w:bidi w:val="0"/>
              <w:spacing w:beforeLines="0" w:afterLines="0"/>
              <w:jc w:val="left"/>
              <w:rPr>
                <w:rFonts w:hint="eastAsia"/>
                <w:bCs/>
                <w:color w:val="auto"/>
                <w:szCs w:val="21"/>
                <w:highlight w:val="none"/>
              </w:rPr>
            </w:pPr>
            <w:r>
              <w:rPr>
                <w:rFonts w:hint="eastAsia"/>
                <w:bCs/>
                <w:color w:val="auto"/>
                <w:szCs w:val="21"/>
                <w:highlight w:val="none"/>
              </w:rPr>
              <w:t>1.“通过”打“√”，“未通过”打“×”；</w:t>
            </w:r>
          </w:p>
          <w:p w14:paraId="68701D03">
            <w:pPr>
              <w:keepNext w:val="0"/>
              <w:keepLines w:val="0"/>
              <w:pageBreakBefore w:val="0"/>
              <w:widowControl w:val="0"/>
              <w:kinsoku/>
              <w:wordWrap/>
              <w:overflowPunct/>
              <w:topLinePunct w:val="0"/>
              <w:bidi w:val="0"/>
              <w:spacing w:beforeLines="0" w:afterLines="0"/>
              <w:jc w:val="left"/>
              <w:rPr>
                <w:rFonts w:hint="eastAsia"/>
                <w:bCs/>
                <w:color w:val="auto"/>
                <w:szCs w:val="21"/>
                <w:highlight w:val="none"/>
              </w:rPr>
            </w:pPr>
            <w:r>
              <w:rPr>
                <w:rFonts w:hint="eastAsia"/>
                <w:bCs/>
                <w:color w:val="auto"/>
                <w:szCs w:val="21"/>
                <w:highlight w:val="none"/>
              </w:rPr>
              <w:t>2.在结论栏中填写“通过”或“未通过”；</w:t>
            </w:r>
          </w:p>
          <w:p w14:paraId="039D8AF0">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3.供应商有一个“未通过”，审查结论视为“未通过”。</w:t>
            </w:r>
          </w:p>
        </w:tc>
      </w:tr>
    </w:tbl>
    <w:p w14:paraId="13D65CD3">
      <w:pPr>
        <w:keepNext w:val="0"/>
        <w:keepLines w:val="0"/>
        <w:pageBreakBefore w:val="0"/>
        <w:widowControl w:val="0"/>
        <w:kinsoku/>
        <w:wordWrap/>
        <w:overflowPunct/>
        <w:topLinePunct w:val="0"/>
        <w:bidi w:val="0"/>
        <w:spacing w:beforeLines="0" w:afterLines="0"/>
        <w:jc w:val="left"/>
        <w:rPr>
          <w:rFonts w:hint="eastAsia"/>
          <w:color w:val="auto"/>
          <w:highlight w:val="none"/>
        </w:rPr>
      </w:pPr>
    </w:p>
    <w:p w14:paraId="72F9B16D">
      <w:pPr>
        <w:keepNext w:val="0"/>
        <w:keepLines w:val="0"/>
        <w:pageBreakBefore w:val="0"/>
        <w:widowControl w:val="0"/>
        <w:kinsoku/>
        <w:wordWrap/>
        <w:overflowPunct/>
        <w:topLinePunct w:val="0"/>
        <w:bidi w:val="0"/>
        <w:spacing w:beforeLines="0" w:afterLines="0"/>
        <w:ind w:firstLine="422" w:firstLineChars="200"/>
        <w:jc w:val="left"/>
        <w:outlineLvl w:val="3"/>
        <w:rPr>
          <w:rStyle w:val="61"/>
          <w:color w:val="auto"/>
          <w:highlight w:val="none"/>
        </w:rPr>
      </w:pPr>
      <w:r>
        <w:rPr>
          <w:rFonts w:hint="eastAsia" w:cs="Futura-Heavy"/>
          <w:b/>
          <w:bCs/>
          <w:color w:val="auto"/>
          <w:kern w:val="0"/>
          <w:szCs w:val="21"/>
          <w:highlight w:val="none"/>
        </w:rPr>
        <w:t>表二：符合性审查表</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3"/>
        <w:gridCol w:w="2294"/>
        <w:gridCol w:w="6847"/>
      </w:tblGrid>
      <w:tr w14:paraId="34852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40CC9C42">
            <w:pPr>
              <w:keepNext w:val="0"/>
              <w:keepLines w:val="0"/>
              <w:pageBreakBefore w:val="0"/>
              <w:widowControl w:val="0"/>
              <w:kinsoku/>
              <w:wordWrap/>
              <w:overflowPunct/>
              <w:topLinePunct w:val="0"/>
              <w:bidi w:val="0"/>
              <w:snapToGrid w:val="0"/>
              <w:spacing w:before="0" w:beforeLines="0" w:after="0" w:afterLines="0" w:line="360" w:lineRule="auto"/>
              <w:jc w:val="center"/>
              <w:rPr>
                <w:rFonts w:hint="eastAsia"/>
                <w:b/>
                <w:color w:val="auto"/>
                <w:szCs w:val="21"/>
                <w:highlight w:val="none"/>
              </w:rPr>
            </w:pPr>
            <w:r>
              <w:rPr>
                <w:b/>
                <w:color w:val="auto"/>
                <w:szCs w:val="21"/>
                <w:highlight w:val="none"/>
              </w:rPr>
              <w:t>序号</w:t>
            </w:r>
          </w:p>
        </w:tc>
        <w:tc>
          <w:tcPr>
            <w:tcW w:w="1164" w:type="pct"/>
            <w:vAlign w:val="center"/>
          </w:tcPr>
          <w:p w14:paraId="4102C373">
            <w:pPr>
              <w:keepNext w:val="0"/>
              <w:keepLines w:val="0"/>
              <w:pageBreakBefore w:val="0"/>
              <w:widowControl w:val="0"/>
              <w:kinsoku/>
              <w:wordWrap/>
              <w:overflowPunct/>
              <w:topLinePunct w:val="0"/>
              <w:bidi w:val="0"/>
              <w:snapToGrid w:val="0"/>
              <w:spacing w:before="0" w:beforeLines="0" w:after="0" w:afterLines="0" w:line="360" w:lineRule="auto"/>
              <w:jc w:val="center"/>
              <w:rPr>
                <w:rFonts w:hint="eastAsia"/>
                <w:b/>
                <w:color w:val="auto"/>
                <w:szCs w:val="21"/>
                <w:highlight w:val="none"/>
              </w:rPr>
            </w:pPr>
            <w:r>
              <w:rPr>
                <w:rFonts w:hint="eastAsia"/>
                <w:b/>
                <w:color w:val="auto"/>
                <w:szCs w:val="21"/>
                <w:highlight w:val="none"/>
              </w:rPr>
              <w:t>评审点要求概况</w:t>
            </w:r>
          </w:p>
        </w:tc>
        <w:tc>
          <w:tcPr>
            <w:tcW w:w="3474" w:type="pct"/>
            <w:vAlign w:val="center"/>
          </w:tcPr>
          <w:p w14:paraId="75D0816E">
            <w:pPr>
              <w:keepNext w:val="0"/>
              <w:keepLines w:val="0"/>
              <w:pageBreakBefore w:val="0"/>
              <w:widowControl w:val="0"/>
              <w:kinsoku/>
              <w:wordWrap/>
              <w:overflowPunct/>
              <w:topLinePunct w:val="0"/>
              <w:bidi w:val="0"/>
              <w:snapToGrid w:val="0"/>
              <w:spacing w:before="0" w:beforeLines="0" w:after="0" w:afterLines="0" w:line="360" w:lineRule="auto"/>
              <w:jc w:val="center"/>
              <w:rPr>
                <w:rFonts w:hint="eastAsia"/>
                <w:b/>
                <w:color w:val="auto"/>
                <w:szCs w:val="21"/>
                <w:highlight w:val="none"/>
              </w:rPr>
            </w:pPr>
            <w:r>
              <w:rPr>
                <w:rFonts w:hint="eastAsia"/>
                <w:b/>
                <w:color w:val="auto"/>
                <w:szCs w:val="21"/>
                <w:highlight w:val="none"/>
              </w:rPr>
              <w:t>评审点具体描述</w:t>
            </w:r>
          </w:p>
        </w:tc>
      </w:tr>
      <w:tr w14:paraId="65405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4BF12981">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rPr>
            </w:pPr>
          </w:p>
        </w:tc>
        <w:tc>
          <w:tcPr>
            <w:tcW w:w="1164" w:type="pct"/>
            <w:vAlign w:val="center"/>
          </w:tcPr>
          <w:p w14:paraId="0F4DD735">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响应承诺函</w:t>
            </w:r>
          </w:p>
        </w:tc>
        <w:tc>
          <w:tcPr>
            <w:tcW w:w="3474" w:type="pct"/>
            <w:vAlign w:val="center"/>
          </w:tcPr>
          <w:p w14:paraId="285F0AC1">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按采购文件要求提交响应承诺函，内容完整，无重大错漏，按对应格式文件签署和盖章。</w:t>
            </w:r>
          </w:p>
        </w:tc>
      </w:tr>
      <w:tr w14:paraId="5E027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10284516">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67281392">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响应</w:t>
            </w:r>
            <w:r>
              <w:rPr>
                <w:bCs/>
                <w:color w:val="auto"/>
                <w:szCs w:val="21"/>
                <w:highlight w:val="none"/>
              </w:rPr>
              <w:t>有效期</w:t>
            </w:r>
          </w:p>
        </w:tc>
        <w:tc>
          <w:tcPr>
            <w:tcW w:w="3474" w:type="pct"/>
            <w:vAlign w:val="center"/>
          </w:tcPr>
          <w:p w14:paraId="1DDF74CE">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响应有效期不少于采购文件中载明的响应有效期。</w:t>
            </w:r>
          </w:p>
        </w:tc>
      </w:tr>
      <w:tr w14:paraId="38657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2696C5F7">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58F27939">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响应</w:t>
            </w:r>
            <w:r>
              <w:rPr>
                <w:bCs/>
                <w:color w:val="auto"/>
                <w:szCs w:val="21"/>
                <w:highlight w:val="none"/>
              </w:rPr>
              <w:t>报价</w:t>
            </w:r>
          </w:p>
        </w:tc>
        <w:tc>
          <w:tcPr>
            <w:tcW w:w="3474" w:type="pct"/>
            <w:vAlign w:val="center"/>
          </w:tcPr>
          <w:p w14:paraId="59CD3D86">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1.响应报价是固定价且是唯一的，未超过项目最高限价的。</w:t>
            </w:r>
          </w:p>
          <w:p w14:paraId="21A84FA4">
            <w:pPr>
              <w:keepNext w:val="0"/>
              <w:keepLines w:val="0"/>
              <w:pageBreakBefore w:val="0"/>
              <w:widowControl w:val="0"/>
              <w:kinsoku/>
              <w:wordWrap/>
              <w:overflowPunct/>
              <w:topLinePunct w:val="0"/>
              <w:bidi w:val="0"/>
              <w:snapToGrid w:val="0"/>
              <w:spacing w:beforeLines="0" w:afterLines="0"/>
              <w:rPr>
                <w:rFonts w:hint="eastAsia"/>
                <w:color w:val="auto"/>
                <w:highlight w:val="none"/>
              </w:rPr>
            </w:pPr>
            <w:r>
              <w:rPr>
                <w:rFonts w:hint="eastAsia"/>
                <w:bCs/>
                <w:color w:val="auto"/>
                <w:szCs w:val="21"/>
                <w:highlight w:val="none"/>
              </w:rPr>
              <w:t>2.价格修正：若出现响应报价错误的，按采购文件规定的价格修正原则处理，供应商按规定书面确认报价。</w:t>
            </w:r>
          </w:p>
        </w:tc>
      </w:tr>
      <w:tr w14:paraId="04B42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4922F8D0">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4880C124">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bookmarkStart w:id="110" w:name="_Hlk69329880"/>
            <w:r>
              <w:rPr>
                <w:rFonts w:hint="eastAsia"/>
                <w:bCs/>
                <w:color w:val="auto"/>
                <w:szCs w:val="21"/>
                <w:highlight w:val="none"/>
              </w:rPr>
              <w:t>法定代表人证明书和</w:t>
            </w:r>
            <w:bookmarkEnd w:id="110"/>
            <w:r>
              <w:rPr>
                <w:rFonts w:hint="eastAsia"/>
                <w:bCs/>
                <w:color w:val="auto"/>
                <w:szCs w:val="21"/>
                <w:highlight w:val="none"/>
              </w:rPr>
              <w:t>法定代表人授权书</w:t>
            </w:r>
          </w:p>
        </w:tc>
        <w:tc>
          <w:tcPr>
            <w:tcW w:w="3474" w:type="pct"/>
            <w:vAlign w:val="center"/>
          </w:tcPr>
          <w:p w14:paraId="5587B340">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响应供应商提供的法定代表人证明书及法定代表人授权书原件</w:t>
            </w:r>
            <w:r>
              <w:rPr>
                <w:rFonts w:hint="eastAsia"/>
                <w:color w:val="auto"/>
                <w:szCs w:val="21"/>
                <w:highlight w:val="none"/>
              </w:rPr>
              <w:t>，</w:t>
            </w:r>
            <w:r>
              <w:rPr>
                <w:rFonts w:hint="eastAsia"/>
                <w:bCs/>
                <w:color w:val="auto"/>
                <w:szCs w:val="21"/>
                <w:highlight w:val="none"/>
              </w:rPr>
              <w:t>按格式要求签署并盖章；</w:t>
            </w:r>
            <w:r>
              <w:rPr>
                <w:rFonts w:hint="eastAsia"/>
                <w:color w:val="auto"/>
                <w:szCs w:val="21"/>
                <w:highlight w:val="none"/>
              </w:rPr>
              <w:t>若法定代表人作为供应商代表参加响应，则只需提供法定代表人证明书</w:t>
            </w:r>
            <w:r>
              <w:rPr>
                <w:rFonts w:hint="eastAsia"/>
                <w:bCs/>
                <w:color w:val="auto"/>
                <w:szCs w:val="21"/>
                <w:highlight w:val="none"/>
              </w:rPr>
              <w:t>。</w:t>
            </w:r>
          </w:p>
        </w:tc>
      </w:tr>
      <w:tr w14:paraId="4E4B8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2B792570">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34BC9B37">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附加条件</w:t>
            </w:r>
          </w:p>
        </w:tc>
        <w:tc>
          <w:tcPr>
            <w:tcW w:w="3474" w:type="pct"/>
            <w:vAlign w:val="center"/>
          </w:tcPr>
          <w:p w14:paraId="6AE18EC9">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响应文件中未含有采购人不能接受的附加条件。</w:t>
            </w:r>
          </w:p>
        </w:tc>
      </w:tr>
      <w:tr w14:paraId="727ED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47C88129">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578B6F7D">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color w:val="auto"/>
                <w:szCs w:val="21"/>
                <w:highlight w:val="none"/>
              </w:rPr>
              <w:t>“★”号条款要求</w:t>
            </w:r>
          </w:p>
        </w:tc>
        <w:tc>
          <w:tcPr>
            <w:tcW w:w="3474" w:type="pct"/>
            <w:vAlign w:val="center"/>
          </w:tcPr>
          <w:p w14:paraId="31965A06">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color w:val="auto"/>
                <w:szCs w:val="21"/>
                <w:highlight w:val="none"/>
              </w:rPr>
              <w:t>满足采购文件要求中标注“★”号条款的要求，提供《实质性条款响应表》，且不存在负偏离或不满足的情况。</w:t>
            </w:r>
          </w:p>
        </w:tc>
      </w:tr>
      <w:tr w14:paraId="2F431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2CD9B200">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46E45ECE">
            <w:pPr>
              <w:keepNext w:val="0"/>
              <w:keepLines w:val="0"/>
              <w:pageBreakBefore w:val="0"/>
              <w:widowControl w:val="0"/>
              <w:kinsoku/>
              <w:wordWrap/>
              <w:overflowPunct/>
              <w:topLinePunct w:val="0"/>
              <w:bidi w:val="0"/>
              <w:snapToGrid w:val="0"/>
              <w:spacing w:beforeLines="0" w:afterLines="0"/>
              <w:jc w:val="center"/>
              <w:rPr>
                <w:rFonts w:hint="eastAsia"/>
                <w:color w:val="auto"/>
                <w:szCs w:val="21"/>
                <w:highlight w:val="none"/>
              </w:rPr>
            </w:pPr>
            <w:r>
              <w:rPr>
                <w:color w:val="auto"/>
                <w:szCs w:val="21"/>
                <w:highlight w:val="none"/>
              </w:rPr>
              <w:t>商务条款响应情况</w:t>
            </w:r>
          </w:p>
        </w:tc>
        <w:tc>
          <w:tcPr>
            <w:tcW w:w="3474" w:type="pct"/>
            <w:vAlign w:val="center"/>
          </w:tcPr>
          <w:p w14:paraId="20DB31E1">
            <w:pPr>
              <w:keepNext w:val="0"/>
              <w:keepLines w:val="0"/>
              <w:pageBreakBefore w:val="0"/>
              <w:widowControl w:val="0"/>
              <w:kinsoku/>
              <w:wordWrap/>
              <w:overflowPunct/>
              <w:topLinePunct w:val="0"/>
              <w:bidi w:val="0"/>
              <w:snapToGrid w:val="0"/>
              <w:spacing w:beforeLines="0" w:afterLines="0"/>
              <w:rPr>
                <w:rFonts w:hint="eastAsia"/>
                <w:color w:val="auto"/>
                <w:szCs w:val="21"/>
                <w:highlight w:val="none"/>
              </w:rPr>
            </w:pPr>
            <w:r>
              <w:rPr>
                <w:rFonts w:hint="eastAsia"/>
                <w:color w:val="auto"/>
                <w:szCs w:val="21"/>
                <w:highlight w:val="none"/>
              </w:rPr>
              <w:t>满足采购文件中“采购需求”的“主要商务要求”，提供《商务条款响应表》，且不存在负偏离或不满足的情况。</w:t>
            </w:r>
          </w:p>
        </w:tc>
      </w:tr>
      <w:tr w14:paraId="47EDD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71DECCA3">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065127CA">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响应</w:t>
            </w:r>
            <w:r>
              <w:rPr>
                <w:bCs/>
                <w:color w:val="auto"/>
                <w:szCs w:val="21"/>
                <w:highlight w:val="none"/>
              </w:rPr>
              <w:t>文件</w:t>
            </w:r>
            <w:r>
              <w:rPr>
                <w:rFonts w:hint="eastAsia"/>
                <w:bCs/>
                <w:color w:val="auto"/>
                <w:szCs w:val="21"/>
                <w:highlight w:val="none"/>
              </w:rPr>
              <w:t>签署、</w:t>
            </w:r>
            <w:r>
              <w:rPr>
                <w:bCs/>
                <w:color w:val="auto"/>
                <w:szCs w:val="21"/>
                <w:highlight w:val="none"/>
              </w:rPr>
              <w:t>盖章</w:t>
            </w:r>
          </w:p>
        </w:tc>
        <w:tc>
          <w:tcPr>
            <w:tcW w:w="3474" w:type="pct"/>
            <w:vAlign w:val="center"/>
          </w:tcPr>
          <w:p w14:paraId="12DE9F19">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响应文件按照磋商文件要求签署、盖章。</w:t>
            </w:r>
          </w:p>
        </w:tc>
      </w:tr>
      <w:tr w14:paraId="30657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362" w:type="pct"/>
            <w:vAlign w:val="center"/>
          </w:tcPr>
          <w:p w14:paraId="2C5CED9F">
            <w:pPr>
              <w:pStyle w:val="129"/>
              <w:keepNext w:val="0"/>
              <w:keepLines w:val="0"/>
              <w:pageBreakBefore w:val="0"/>
              <w:widowControl w:val="0"/>
              <w:numPr>
                <w:ilvl w:val="0"/>
                <w:numId w:val="18"/>
              </w:numPr>
              <w:kinsoku/>
              <w:wordWrap/>
              <w:overflowPunct/>
              <w:topLinePunct w:val="0"/>
              <w:bidi w:val="0"/>
              <w:spacing w:beforeLines="0" w:afterLines="0"/>
              <w:ind w:left="0" w:firstLine="0"/>
              <w:jc w:val="center"/>
              <w:rPr>
                <w:rFonts w:hint="eastAsia" w:ascii="宋体" w:hAnsi="宋体"/>
                <w:color w:val="auto"/>
                <w:highlight w:val="none"/>
                <w:lang w:eastAsia="zh-CN"/>
              </w:rPr>
            </w:pPr>
          </w:p>
        </w:tc>
        <w:tc>
          <w:tcPr>
            <w:tcW w:w="1164" w:type="pct"/>
            <w:vAlign w:val="center"/>
          </w:tcPr>
          <w:p w14:paraId="2A78E305">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r>
              <w:rPr>
                <w:rFonts w:hint="eastAsia"/>
                <w:bCs/>
                <w:color w:val="auto"/>
                <w:szCs w:val="21"/>
                <w:highlight w:val="none"/>
              </w:rPr>
              <w:t>其他无效情形</w:t>
            </w:r>
          </w:p>
        </w:tc>
        <w:tc>
          <w:tcPr>
            <w:tcW w:w="3474" w:type="pct"/>
            <w:vAlign w:val="center"/>
          </w:tcPr>
          <w:p w14:paraId="68862C6D">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响应文件中不存在有关法律、法规和规章及采购文件规定的其他无效情形。</w:t>
            </w:r>
          </w:p>
        </w:tc>
      </w:tr>
      <w:tr w14:paraId="66F97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5000" w:type="pct"/>
            <w:gridSpan w:val="3"/>
            <w:vAlign w:val="center"/>
          </w:tcPr>
          <w:p w14:paraId="7EAB2505">
            <w:pPr>
              <w:keepNext w:val="0"/>
              <w:keepLines w:val="0"/>
              <w:pageBreakBefore w:val="0"/>
              <w:widowControl w:val="0"/>
              <w:kinsoku/>
              <w:wordWrap/>
              <w:overflowPunct/>
              <w:topLinePunct w:val="0"/>
              <w:bidi w:val="0"/>
              <w:snapToGrid w:val="0"/>
              <w:spacing w:beforeLines="0" w:afterLines="0"/>
              <w:jc w:val="center"/>
              <w:rPr>
                <w:rFonts w:hint="eastAsia"/>
                <w:bCs/>
                <w:color w:val="auto"/>
                <w:szCs w:val="21"/>
                <w:highlight w:val="none"/>
              </w:rPr>
            </w:pPr>
            <w:bookmarkStart w:id="111" w:name="_Toc496088680"/>
            <w:bookmarkStart w:id="112" w:name="_Toc67046846"/>
            <w:bookmarkStart w:id="113" w:name="_Toc70528437"/>
            <w:bookmarkStart w:id="114" w:name="_Toc68789512"/>
            <w:bookmarkStart w:id="115" w:name="_Toc76397748"/>
            <w:bookmarkStart w:id="116" w:name="_Toc276645572"/>
            <w:bookmarkStart w:id="117" w:name="_Toc462677180"/>
            <w:bookmarkStart w:id="118" w:name="_Hlk45712320"/>
            <w:r>
              <w:rPr>
                <w:rFonts w:hint="eastAsia"/>
                <w:b/>
                <w:color w:val="auto"/>
                <w:szCs w:val="21"/>
                <w:highlight w:val="none"/>
              </w:rPr>
              <w:t>结论</w:t>
            </w:r>
          </w:p>
        </w:tc>
      </w:tr>
      <w:tr w14:paraId="3DC0A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5000" w:type="pct"/>
            <w:gridSpan w:val="3"/>
            <w:vAlign w:val="center"/>
          </w:tcPr>
          <w:p w14:paraId="70D9A4BE">
            <w:pPr>
              <w:keepNext w:val="0"/>
              <w:keepLines w:val="0"/>
              <w:pageBreakBefore w:val="0"/>
              <w:widowControl w:val="0"/>
              <w:kinsoku/>
              <w:wordWrap/>
              <w:overflowPunct/>
              <w:topLinePunct w:val="0"/>
              <w:bidi w:val="0"/>
              <w:spacing w:beforeLines="0" w:afterLines="0"/>
              <w:jc w:val="left"/>
              <w:rPr>
                <w:rFonts w:hint="eastAsia"/>
                <w:bCs/>
                <w:color w:val="auto"/>
                <w:szCs w:val="21"/>
                <w:highlight w:val="none"/>
              </w:rPr>
            </w:pPr>
            <w:r>
              <w:rPr>
                <w:rFonts w:hint="eastAsia"/>
                <w:bCs/>
                <w:color w:val="auto"/>
                <w:szCs w:val="21"/>
                <w:highlight w:val="none"/>
              </w:rPr>
              <w:t>填表说明：</w:t>
            </w:r>
          </w:p>
          <w:p w14:paraId="6FD5169E">
            <w:pPr>
              <w:keepNext w:val="0"/>
              <w:keepLines w:val="0"/>
              <w:pageBreakBefore w:val="0"/>
              <w:widowControl w:val="0"/>
              <w:kinsoku/>
              <w:wordWrap/>
              <w:overflowPunct/>
              <w:topLinePunct w:val="0"/>
              <w:bidi w:val="0"/>
              <w:spacing w:beforeLines="0" w:afterLines="0"/>
              <w:jc w:val="left"/>
              <w:rPr>
                <w:rFonts w:hint="eastAsia"/>
                <w:bCs/>
                <w:color w:val="auto"/>
                <w:szCs w:val="21"/>
                <w:highlight w:val="none"/>
              </w:rPr>
            </w:pPr>
            <w:r>
              <w:rPr>
                <w:rFonts w:hint="eastAsia"/>
                <w:bCs/>
                <w:color w:val="auto"/>
                <w:szCs w:val="21"/>
                <w:highlight w:val="none"/>
              </w:rPr>
              <w:t>1.“通过”打“√”，“未通过”打“×”；</w:t>
            </w:r>
          </w:p>
          <w:p w14:paraId="76CC3913">
            <w:pPr>
              <w:keepNext w:val="0"/>
              <w:keepLines w:val="0"/>
              <w:pageBreakBefore w:val="0"/>
              <w:widowControl w:val="0"/>
              <w:kinsoku/>
              <w:wordWrap/>
              <w:overflowPunct/>
              <w:topLinePunct w:val="0"/>
              <w:bidi w:val="0"/>
              <w:spacing w:beforeLines="0" w:afterLines="0"/>
              <w:jc w:val="left"/>
              <w:rPr>
                <w:rFonts w:hint="eastAsia"/>
                <w:bCs/>
                <w:color w:val="auto"/>
                <w:szCs w:val="21"/>
                <w:highlight w:val="none"/>
              </w:rPr>
            </w:pPr>
            <w:r>
              <w:rPr>
                <w:rFonts w:hint="eastAsia"/>
                <w:bCs/>
                <w:color w:val="auto"/>
                <w:szCs w:val="21"/>
                <w:highlight w:val="none"/>
              </w:rPr>
              <w:t>2.在结论栏中填写“通过”或“未通过”；</w:t>
            </w:r>
          </w:p>
          <w:p w14:paraId="09340150">
            <w:pPr>
              <w:keepNext w:val="0"/>
              <w:keepLines w:val="0"/>
              <w:pageBreakBefore w:val="0"/>
              <w:widowControl w:val="0"/>
              <w:kinsoku/>
              <w:wordWrap/>
              <w:overflowPunct/>
              <w:topLinePunct w:val="0"/>
              <w:bidi w:val="0"/>
              <w:snapToGrid w:val="0"/>
              <w:spacing w:beforeLines="0" w:afterLines="0"/>
              <w:rPr>
                <w:rFonts w:hint="eastAsia"/>
                <w:bCs/>
                <w:color w:val="auto"/>
                <w:szCs w:val="21"/>
                <w:highlight w:val="none"/>
              </w:rPr>
            </w:pPr>
            <w:r>
              <w:rPr>
                <w:rFonts w:hint="eastAsia"/>
                <w:bCs/>
                <w:color w:val="auto"/>
                <w:szCs w:val="21"/>
                <w:highlight w:val="none"/>
              </w:rPr>
              <w:t>3.供应商有一个“未通过”，审查结论视为“未通过”。</w:t>
            </w:r>
          </w:p>
        </w:tc>
      </w:tr>
    </w:tbl>
    <w:p w14:paraId="711A1C3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p w14:paraId="20CB51DA">
      <w:pPr>
        <w:pStyle w:val="358"/>
        <w:keepNext w:val="0"/>
        <w:keepLines w:val="0"/>
        <w:pageBreakBefore w:val="0"/>
        <w:widowControl w:val="0"/>
        <w:kinsoku/>
        <w:wordWrap/>
        <w:overflowPunct/>
        <w:topLinePunct w:val="0"/>
        <w:autoSpaceDE/>
        <w:autoSpaceDN/>
        <w:bidi w:val="0"/>
        <w:spacing w:beforeLines="0" w:afterLines="0"/>
        <w:ind w:firstLine="422"/>
        <w:outlineLvl w:val="3"/>
        <w:rPr>
          <w:rFonts w:hint="eastAsia"/>
          <w:b/>
          <w:bCs/>
          <w:color w:val="auto"/>
          <w:sz w:val="21"/>
          <w:szCs w:val="21"/>
          <w:highlight w:val="none"/>
        </w:rPr>
      </w:pPr>
      <w:r>
        <w:rPr>
          <w:rFonts w:hint="eastAsia"/>
          <w:b/>
          <w:bCs/>
          <w:color w:val="auto"/>
          <w:sz w:val="21"/>
          <w:szCs w:val="21"/>
          <w:highlight w:val="none"/>
        </w:rPr>
        <w:t>表</w:t>
      </w:r>
      <w:r>
        <w:rPr>
          <w:rFonts w:hint="eastAsia"/>
          <w:b/>
          <w:bCs/>
          <w:color w:val="auto"/>
          <w:sz w:val="21"/>
          <w:szCs w:val="21"/>
          <w:highlight w:val="none"/>
          <w:lang w:val="en-US" w:eastAsia="zh-CN"/>
        </w:rPr>
        <w:t>三</w:t>
      </w:r>
      <w:r>
        <w:rPr>
          <w:rFonts w:hint="eastAsia"/>
          <w:b/>
          <w:bCs/>
          <w:color w:val="auto"/>
          <w:sz w:val="21"/>
          <w:szCs w:val="21"/>
          <w:highlight w:val="none"/>
        </w:rPr>
        <w:t>：异常低价审查表</w:t>
      </w:r>
    </w:p>
    <w:tbl>
      <w:tblPr>
        <w:tblStyle w:val="48"/>
        <w:tblW w:w="507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10"/>
        <w:gridCol w:w="1071"/>
        <w:gridCol w:w="5637"/>
        <w:gridCol w:w="2571"/>
      </w:tblGrid>
      <w:tr w14:paraId="1F2D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6" w:hRule="atLeast"/>
        </w:trPr>
        <w:tc>
          <w:tcPr>
            <w:tcW w:w="261" w:type="pct"/>
            <w:shd w:val="clear" w:color="auto" w:fill="F4F4F4"/>
            <w:vAlign w:val="center"/>
          </w:tcPr>
          <w:p w14:paraId="7ED68B0A">
            <w:pPr>
              <w:pStyle w:val="330"/>
              <w:keepNext w:val="0"/>
              <w:keepLines w:val="0"/>
              <w:pageBreakBefore w:val="0"/>
              <w:widowControl w:val="0"/>
              <w:kinsoku/>
              <w:wordWrap/>
              <w:overflowPunct/>
              <w:topLinePunct w:val="0"/>
              <w:autoSpaceDE/>
              <w:autoSpaceDN/>
              <w:bidi w:val="0"/>
              <w:adjustRightInd/>
              <w:snapToGrid/>
              <w:spacing w:before="0" w:beforeLines="0" w:afterLines="0"/>
              <w:jc w:val="center"/>
              <w:textAlignment w:val="auto"/>
              <w:outlineLvl w:val="9"/>
              <w:rPr>
                <w:rFonts w:hint="eastAsia"/>
                <w:b/>
                <w:color w:val="auto"/>
                <w:sz w:val="21"/>
                <w:szCs w:val="21"/>
                <w:highlight w:val="none"/>
              </w:rPr>
            </w:pPr>
            <w:r>
              <w:rPr>
                <w:b/>
                <w:color w:val="auto"/>
                <w:sz w:val="21"/>
                <w:szCs w:val="21"/>
                <w:highlight w:val="none"/>
              </w:rPr>
              <w:t>序号</w:t>
            </w:r>
          </w:p>
        </w:tc>
        <w:tc>
          <w:tcPr>
            <w:tcW w:w="547" w:type="pct"/>
            <w:shd w:val="clear" w:color="auto" w:fill="F4F4F4"/>
            <w:vAlign w:val="center"/>
          </w:tcPr>
          <w:p w14:paraId="396A5A60">
            <w:pPr>
              <w:pStyle w:val="330"/>
              <w:keepNext w:val="0"/>
              <w:keepLines w:val="0"/>
              <w:pageBreakBefore w:val="0"/>
              <w:widowControl w:val="0"/>
              <w:kinsoku/>
              <w:wordWrap/>
              <w:overflowPunct/>
              <w:topLinePunct w:val="0"/>
              <w:autoSpaceDE/>
              <w:autoSpaceDN/>
              <w:bidi w:val="0"/>
              <w:adjustRightInd/>
              <w:snapToGrid/>
              <w:spacing w:before="0" w:beforeLines="0" w:afterLines="0"/>
              <w:ind w:left="-3"/>
              <w:jc w:val="center"/>
              <w:textAlignment w:val="auto"/>
              <w:outlineLvl w:val="9"/>
              <w:rPr>
                <w:rFonts w:hint="default" w:eastAsia="宋体"/>
                <w:b/>
                <w:color w:val="auto"/>
                <w:sz w:val="21"/>
                <w:szCs w:val="21"/>
                <w:highlight w:val="none"/>
                <w:lang w:val="en-US" w:eastAsia="zh-CN"/>
              </w:rPr>
            </w:pPr>
            <w:r>
              <w:rPr>
                <w:rFonts w:hint="eastAsia"/>
                <w:b/>
                <w:color w:val="auto"/>
                <w:sz w:val="21"/>
                <w:szCs w:val="21"/>
                <w:highlight w:val="none"/>
                <w:lang w:val="en-US" w:eastAsia="zh-CN"/>
              </w:rPr>
              <w:t>评审点要求概况</w:t>
            </w:r>
          </w:p>
        </w:tc>
        <w:tc>
          <w:tcPr>
            <w:tcW w:w="2879" w:type="pct"/>
            <w:shd w:val="clear" w:color="auto" w:fill="F4F4F4"/>
            <w:vAlign w:val="center"/>
          </w:tcPr>
          <w:p w14:paraId="49A1A445">
            <w:pPr>
              <w:pStyle w:val="330"/>
              <w:keepNext w:val="0"/>
              <w:keepLines w:val="0"/>
              <w:pageBreakBefore w:val="0"/>
              <w:widowControl w:val="0"/>
              <w:kinsoku/>
              <w:wordWrap/>
              <w:overflowPunct/>
              <w:topLinePunct w:val="0"/>
              <w:autoSpaceDE/>
              <w:autoSpaceDN/>
              <w:bidi w:val="0"/>
              <w:adjustRightInd/>
              <w:snapToGrid/>
              <w:spacing w:before="0" w:beforeLines="0" w:afterLines="0"/>
              <w:ind w:left="-3"/>
              <w:jc w:val="center"/>
              <w:textAlignment w:val="auto"/>
              <w:outlineLvl w:val="9"/>
              <w:rPr>
                <w:rFonts w:hint="default" w:eastAsia="宋体"/>
                <w:b/>
                <w:color w:val="auto"/>
                <w:sz w:val="21"/>
                <w:szCs w:val="21"/>
                <w:highlight w:val="none"/>
                <w:lang w:val="en-US" w:eastAsia="zh-CN"/>
              </w:rPr>
            </w:pPr>
            <w:r>
              <w:rPr>
                <w:rFonts w:hint="eastAsia"/>
                <w:b/>
                <w:color w:val="auto"/>
                <w:sz w:val="21"/>
                <w:szCs w:val="21"/>
                <w:highlight w:val="none"/>
                <w:lang w:val="en-US" w:eastAsia="zh-CN"/>
              </w:rPr>
              <w:t>异常低价的情形</w:t>
            </w:r>
          </w:p>
        </w:tc>
        <w:tc>
          <w:tcPr>
            <w:tcW w:w="1311" w:type="pct"/>
            <w:shd w:val="clear" w:color="auto" w:fill="F4F4F4"/>
            <w:vAlign w:val="center"/>
          </w:tcPr>
          <w:p w14:paraId="36E82F6D">
            <w:pPr>
              <w:pStyle w:val="330"/>
              <w:keepNext w:val="0"/>
              <w:keepLines w:val="0"/>
              <w:pageBreakBefore w:val="0"/>
              <w:widowControl w:val="0"/>
              <w:kinsoku/>
              <w:wordWrap/>
              <w:overflowPunct/>
              <w:topLinePunct w:val="0"/>
              <w:autoSpaceDE/>
              <w:autoSpaceDN/>
              <w:bidi w:val="0"/>
              <w:adjustRightInd/>
              <w:snapToGrid/>
              <w:spacing w:before="0" w:beforeLines="0" w:afterLines="0"/>
              <w:jc w:val="center"/>
              <w:textAlignment w:val="auto"/>
              <w:outlineLvl w:val="9"/>
              <w:rPr>
                <w:rFonts w:hint="eastAsia"/>
                <w:b/>
                <w:color w:val="auto"/>
                <w:sz w:val="21"/>
                <w:szCs w:val="21"/>
                <w:highlight w:val="none"/>
              </w:rPr>
            </w:pPr>
            <w:r>
              <w:rPr>
                <w:b/>
                <w:color w:val="auto"/>
                <w:sz w:val="21"/>
                <w:szCs w:val="21"/>
                <w:highlight w:val="none"/>
              </w:rPr>
              <w:t>评审点具体描述</w:t>
            </w:r>
          </w:p>
        </w:tc>
      </w:tr>
      <w:tr w14:paraId="04E6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261" w:type="pct"/>
            <w:vAlign w:val="center"/>
          </w:tcPr>
          <w:p w14:paraId="39D41B7E">
            <w:pPr>
              <w:pStyle w:val="330"/>
              <w:keepNext w:val="0"/>
              <w:keepLines w:val="0"/>
              <w:pageBreakBefore w:val="0"/>
              <w:widowControl w:val="0"/>
              <w:numPr>
                <w:ilvl w:val="0"/>
                <w:numId w:val="0"/>
              </w:numPr>
              <w:kinsoku/>
              <w:wordWrap/>
              <w:overflowPunct/>
              <w:topLinePunct w:val="0"/>
              <w:autoSpaceDE/>
              <w:autoSpaceDN/>
              <w:bidi w:val="0"/>
              <w:adjustRightInd/>
              <w:snapToGrid/>
              <w:spacing w:before="0" w:beforeLines="0" w:afterLines="0"/>
              <w:ind w:leftChars="0"/>
              <w:jc w:val="center"/>
              <w:textAlignment w:val="auto"/>
              <w:outlineLvl w:val="9"/>
              <w:rPr>
                <w:rFonts w:hint="eastAsia" w:eastAsia="宋体"/>
                <w:color w:val="auto"/>
                <w:sz w:val="21"/>
                <w:szCs w:val="21"/>
                <w:highlight w:val="none"/>
                <w:lang w:val="en-US" w:eastAsia="zh-CN"/>
              </w:rPr>
            </w:pPr>
            <w:r>
              <w:rPr>
                <w:rFonts w:hint="eastAsia"/>
                <w:color w:val="auto"/>
                <w:sz w:val="21"/>
                <w:szCs w:val="21"/>
                <w:highlight w:val="none"/>
                <w:lang w:val="en-US" w:eastAsia="zh-CN"/>
              </w:rPr>
              <w:t>1</w:t>
            </w:r>
          </w:p>
        </w:tc>
        <w:tc>
          <w:tcPr>
            <w:tcW w:w="547" w:type="pct"/>
            <w:vAlign w:val="center"/>
          </w:tcPr>
          <w:p w14:paraId="2F996EC9">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jc w:val="center"/>
              <w:textAlignment w:val="auto"/>
              <w:outlineLvl w:val="9"/>
              <w:rPr>
                <w:rFonts w:hint="eastAsia"/>
                <w:color w:val="auto"/>
                <w:sz w:val="21"/>
                <w:szCs w:val="21"/>
                <w:highlight w:val="none"/>
                <w:lang w:eastAsia="zh-CN"/>
              </w:rPr>
            </w:pPr>
            <w:r>
              <w:rPr>
                <w:rFonts w:hint="eastAsia"/>
                <w:color w:val="auto"/>
                <w:sz w:val="21"/>
                <w:szCs w:val="21"/>
                <w:highlight w:val="none"/>
                <w:lang w:eastAsia="zh-CN"/>
              </w:rPr>
              <w:t>异常低价审查</w:t>
            </w:r>
          </w:p>
        </w:tc>
        <w:tc>
          <w:tcPr>
            <w:tcW w:w="2879" w:type="pct"/>
            <w:vAlign w:val="center"/>
          </w:tcPr>
          <w:p w14:paraId="584505AD">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1.</w:t>
            </w:r>
            <w:r>
              <w:rPr>
                <w:rFonts w:hint="eastAsia"/>
                <w:color w:val="auto"/>
                <w:sz w:val="21"/>
                <w:szCs w:val="21"/>
                <w:highlight w:val="none"/>
                <w:lang w:eastAsia="zh-CN"/>
              </w:rPr>
              <w:t>投标（响应）报价低于全部通过符合性审查供应商投标（响应）报价平均值×50%的，即投标（响应）报价&lt;全部通过符合性审查供应商投标（响应）报价平均值×50%。</w:t>
            </w:r>
          </w:p>
          <w:p w14:paraId="40B8DE02">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2.</w:t>
            </w:r>
            <w:r>
              <w:rPr>
                <w:rFonts w:hint="eastAsia"/>
                <w:color w:val="auto"/>
                <w:sz w:val="21"/>
                <w:szCs w:val="21"/>
                <w:highlight w:val="none"/>
                <w:lang w:eastAsia="zh-CN"/>
              </w:rPr>
              <w:t>投标（响应）报价低于通过符合性审查且报价次低供应商投标（响应）报价×50%的，即投标（响应）报价&lt;通过符合性审查且报价次低供应商投标（响应）报价×50%。</w:t>
            </w:r>
          </w:p>
          <w:p w14:paraId="3A142C10">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3.</w:t>
            </w:r>
            <w:r>
              <w:rPr>
                <w:rFonts w:hint="eastAsia"/>
                <w:color w:val="auto"/>
                <w:sz w:val="21"/>
                <w:szCs w:val="21"/>
                <w:highlight w:val="none"/>
                <w:lang w:eastAsia="zh-CN"/>
              </w:rPr>
              <w:t>投标（响应）报价低于采购项目最高限价45%的，即投标（响应）报价&lt;采购项目最高限价×45%。</w:t>
            </w:r>
          </w:p>
          <w:p w14:paraId="0A34B674">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rightChars="0"/>
              <w:jc w:val="both"/>
              <w:textAlignment w:val="auto"/>
              <w:outlineLvl w:val="9"/>
              <w:rPr>
                <w:rFonts w:hint="eastAsia"/>
                <w:color w:val="auto"/>
                <w:sz w:val="21"/>
                <w:szCs w:val="21"/>
                <w:highlight w:val="none"/>
                <w:lang w:eastAsia="zh-CN"/>
              </w:rPr>
            </w:pPr>
            <w:r>
              <w:rPr>
                <w:rFonts w:hint="eastAsia"/>
                <w:color w:val="auto"/>
                <w:sz w:val="21"/>
                <w:szCs w:val="21"/>
                <w:highlight w:val="none"/>
                <w:lang w:val="en-US" w:eastAsia="zh-CN"/>
              </w:rPr>
              <w:t>4.</w:t>
            </w:r>
            <w:r>
              <w:rPr>
                <w:rFonts w:hint="eastAsia"/>
                <w:color w:val="auto"/>
                <w:sz w:val="21"/>
                <w:szCs w:val="21"/>
                <w:highlight w:val="none"/>
                <w:lang w:eastAsia="zh-CN"/>
              </w:rPr>
              <w:t>评审委员会基于专业判断，认为供应商报价过低，有可能影响产品质量或者不能诚信履约的其他情形。</w:t>
            </w:r>
          </w:p>
        </w:tc>
        <w:tc>
          <w:tcPr>
            <w:tcW w:w="1311" w:type="pct"/>
            <w:vAlign w:val="center"/>
          </w:tcPr>
          <w:p w14:paraId="449CC442">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rightChars="0"/>
              <w:jc w:val="both"/>
              <w:textAlignment w:val="auto"/>
              <w:outlineLvl w:val="9"/>
              <w:rPr>
                <w:rFonts w:hint="eastAsia"/>
                <w:color w:val="auto"/>
                <w:sz w:val="21"/>
                <w:szCs w:val="21"/>
                <w:highlight w:val="none"/>
                <w:lang w:eastAsia="zh-CN"/>
              </w:rPr>
            </w:pPr>
            <w:r>
              <w:rPr>
                <w:rFonts w:hint="eastAsia"/>
                <w:color w:val="auto"/>
                <w:sz w:val="21"/>
                <w:szCs w:val="21"/>
                <w:highlight w:val="none"/>
                <w:lang w:eastAsia="zh-CN"/>
              </w:rPr>
              <w:t>投标（响应）报价出现异常低价的，供应商需在评审现场合理时间内对投标（响应）价格作出解释，提供项目具体成本测算等与报价合理性相关的书面说明及必要的证明材料，包括但不限于原材料成本、人工成本、制造费用等。</w:t>
            </w:r>
          </w:p>
        </w:tc>
      </w:tr>
      <w:tr w14:paraId="5630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44673F31">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rightChars="0"/>
              <w:jc w:val="center"/>
              <w:textAlignment w:val="auto"/>
              <w:outlineLvl w:val="9"/>
              <w:rPr>
                <w:rFonts w:hint="default"/>
                <w:color w:val="auto"/>
                <w:sz w:val="21"/>
                <w:szCs w:val="21"/>
                <w:highlight w:val="none"/>
                <w:lang w:val="en-US" w:eastAsia="zh-CN"/>
              </w:rPr>
            </w:pPr>
            <w:r>
              <w:rPr>
                <w:rFonts w:hint="eastAsia"/>
                <w:b/>
                <w:bCs/>
                <w:color w:val="auto"/>
                <w:sz w:val="21"/>
                <w:szCs w:val="21"/>
                <w:highlight w:val="none"/>
                <w:lang w:val="en-US" w:eastAsia="zh-CN"/>
              </w:rPr>
              <w:t>结论</w:t>
            </w:r>
          </w:p>
        </w:tc>
      </w:tr>
      <w:tr w14:paraId="7D72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146EC3DF">
            <w:pPr>
              <w:keepNext w:val="0"/>
              <w:keepLines w:val="0"/>
              <w:pageBreakBefore w:val="0"/>
              <w:widowControl w:val="0"/>
              <w:kinsoku/>
              <w:wordWrap/>
              <w:overflowPunct/>
              <w:topLinePunct w:val="0"/>
              <w:autoSpaceDE/>
              <w:autoSpaceDN/>
              <w:bidi w:val="0"/>
              <w:adjustRightInd/>
              <w:snapToGrid/>
              <w:spacing w:beforeLines="0" w:afterLines="0"/>
              <w:ind w:left="38" w:leftChars="18" w:right="102"/>
              <w:textAlignment w:val="auto"/>
              <w:rPr>
                <w:rFonts w:hint="eastAsia"/>
                <w:bCs/>
                <w:color w:val="auto"/>
                <w:sz w:val="21"/>
                <w:szCs w:val="21"/>
                <w:highlight w:val="none"/>
                <w:lang w:eastAsia="zh-CN"/>
              </w:rPr>
            </w:pPr>
            <w:r>
              <w:rPr>
                <w:rFonts w:hint="eastAsia"/>
                <w:bCs/>
                <w:color w:val="auto"/>
                <w:sz w:val="21"/>
                <w:szCs w:val="21"/>
                <w:highlight w:val="none"/>
                <w:lang w:eastAsia="zh-CN"/>
              </w:rPr>
              <w:t>填表说明：</w:t>
            </w:r>
          </w:p>
          <w:p w14:paraId="08E3AEF2">
            <w:pPr>
              <w:keepNext w:val="0"/>
              <w:keepLines w:val="0"/>
              <w:pageBreakBefore w:val="0"/>
              <w:widowControl w:val="0"/>
              <w:kinsoku/>
              <w:wordWrap/>
              <w:overflowPunct/>
              <w:topLinePunct w:val="0"/>
              <w:autoSpaceDE/>
              <w:autoSpaceDN/>
              <w:bidi w:val="0"/>
              <w:adjustRightInd/>
              <w:snapToGrid/>
              <w:spacing w:beforeLines="0" w:afterLines="0"/>
              <w:ind w:left="38" w:leftChars="18" w:right="102"/>
              <w:textAlignment w:val="auto"/>
              <w:rPr>
                <w:rFonts w:hint="eastAsia"/>
                <w:bCs/>
                <w:color w:val="auto"/>
                <w:sz w:val="21"/>
                <w:szCs w:val="21"/>
                <w:highlight w:val="none"/>
                <w:lang w:eastAsia="zh-CN"/>
              </w:rPr>
            </w:pPr>
            <w:r>
              <w:rPr>
                <w:bCs/>
                <w:color w:val="auto"/>
                <w:sz w:val="21"/>
                <w:szCs w:val="21"/>
                <w:highlight w:val="none"/>
                <w:lang w:eastAsia="zh-CN"/>
              </w:rPr>
              <w:t>1.“通过”打“√”，“未通过”打“×”；</w:t>
            </w:r>
          </w:p>
          <w:p w14:paraId="1993B311">
            <w:pPr>
              <w:keepNext w:val="0"/>
              <w:keepLines w:val="0"/>
              <w:pageBreakBefore w:val="0"/>
              <w:widowControl w:val="0"/>
              <w:kinsoku/>
              <w:wordWrap/>
              <w:overflowPunct/>
              <w:topLinePunct w:val="0"/>
              <w:autoSpaceDE/>
              <w:autoSpaceDN/>
              <w:bidi w:val="0"/>
              <w:adjustRightInd/>
              <w:snapToGrid/>
              <w:spacing w:beforeLines="0" w:afterLines="0"/>
              <w:ind w:left="38" w:leftChars="18" w:right="102"/>
              <w:textAlignment w:val="auto"/>
              <w:rPr>
                <w:rFonts w:hint="eastAsia"/>
                <w:bCs/>
                <w:color w:val="auto"/>
                <w:sz w:val="21"/>
                <w:szCs w:val="21"/>
                <w:highlight w:val="none"/>
                <w:lang w:eastAsia="zh-CN"/>
              </w:rPr>
            </w:pPr>
            <w:r>
              <w:rPr>
                <w:bCs/>
                <w:color w:val="auto"/>
                <w:sz w:val="21"/>
                <w:szCs w:val="21"/>
                <w:highlight w:val="none"/>
                <w:lang w:eastAsia="zh-CN"/>
              </w:rPr>
              <w:t>2.在结论栏中填写“通过”或“未通过”；</w:t>
            </w:r>
          </w:p>
          <w:p w14:paraId="58764AA1">
            <w:pPr>
              <w:pStyle w:val="330"/>
              <w:keepNext w:val="0"/>
              <w:keepLines w:val="0"/>
              <w:pageBreakBefore w:val="0"/>
              <w:widowControl w:val="0"/>
              <w:kinsoku/>
              <w:wordWrap/>
              <w:overflowPunct/>
              <w:topLinePunct w:val="0"/>
              <w:autoSpaceDE/>
              <w:autoSpaceDN/>
              <w:bidi w:val="0"/>
              <w:adjustRightInd/>
              <w:snapToGrid/>
              <w:spacing w:before="0" w:beforeLines="0" w:afterLines="0" w:line="360" w:lineRule="auto"/>
              <w:ind w:left="38" w:leftChars="18" w:right="102" w:rightChars="0"/>
              <w:jc w:val="both"/>
              <w:textAlignment w:val="auto"/>
              <w:outlineLvl w:val="9"/>
              <w:rPr>
                <w:rFonts w:hint="eastAsia"/>
                <w:color w:val="auto"/>
                <w:sz w:val="21"/>
                <w:szCs w:val="21"/>
                <w:highlight w:val="none"/>
                <w:lang w:eastAsia="zh-CN"/>
              </w:rPr>
            </w:pPr>
            <w:r>
              <w:rPr>
                <w:bCs/>
                <w:color w:val="auto"/>
                <w:sz w:val="21"/>
                <w:szCs w:val="21"/>
                <w:highlight w:val="none"/>
                <w:lang w:eastAsia="zh-CN"/>
              </w:rPr>
              <w:t>3.</w:t>
            </w:r>
            <w:r>
              <w:rPr>
                <w:rFonts w:hint="eastAsia"/>
                <w:bCs/>
                <w:color w:val="auto"/>
                <w:sz w:val="21"/>
                <w:szCs w:val="21"/>
                <w:highlight w:val="none"/>
                <w:lang w:val="en-US" w:eastAsia="zh-CN"/>
              </w:rPr>
              <w:t>供应商</w:t>
            </w:r>
            <w:r>
              <w:rPr>
                <w:bCs/>
                <w:color w:val="auto"/>
                <w:sz w:val="21"/>
                <w:szCs w:val="21"/>
                <w:highlight w:val="none"/>
                <w:lang w:eastAsia="zh-CN"/>
              </w:rPr>
              <w:t>有一个“未通过”，审查结论视为“未通过”。</w:t>
            </w:r>
          </w:p>
        </w:tc>
      </w:tr>
    </w:tbl>
    <w:p w14:paraId="6058D02D">
      <w:pPr>
        <w:pStyle w:val="358"/>
        <w:keepNext w:val="0"/>
        <w:keepLines w:val="0"/>
        <w:pageBreakBefore w:val="0"/>
        <w:widowControl w:val="0"/>
        <w:kinsoku/>
        <w:wordWrap/>
        <w:overflowPunct/>
        <w:topLinePunct w:val="0"/>
        <w:autoSpaceDE/>
        <w:autoSpaceDN/>
        <w:bidi w:val="0"/>
        <w:adjustRightInd/>
        <w:snapToGrid/>
        <w:spacing w:beforeLines="0" w:afterLines="0"/>
        <w:ind w:firstLine="422"/>
        <w:textAlignment w:val="auto"/>
        <w:outlineLvl w:val="9"/>
        <w:rPr>
          <w:rFonts w:hint="eastAsia"/>
          <w:b w:val="0"/>
          <w:bCs w:val="0"/>
          <w:color w:val="auto"/>
          <w:sz w:val="21"/>
          <w:szCs w:val="21"/>
          <w:highlight w:val="none"/>
        </w:rPr>
      </w:pPr>
      <w:r>
        <w:rPr>
          <w:rFonts w:hint="eastAsia"/>
          <w:b w:val="0"/>
          <w:bCs w:val="0"/>
          <w:color w:val="auto"/>
          <w:sz w:val="21"/>
          <w:szCs w:val="21"/>
          <w:highlight w:val="none"/>
        </w:rPr>
        <w:t>备注：</w:t>
      </w:r>
    </w:p>
    <w:p w14:paraId="20557493">
      <w:pPr>
        <w:pStyle w:val="358"/>
        <w:keepNext w:val="0"/>
        <w:keepLines w:val="0"/>
        <w:pageBreakBefore w:val="0"/>
        <w:widowControl w:val="0"/>
        <w:kinsoku/>
        <w:wordWrap/>
        <w:overflowPunct/>
        <w:topLinePunct w:val="0"/>
        <w:autoSpaceDE/>
        <w:autoSpaceDN/>
        <w:bidi w:val="0"/>
        <w:adjustRightInd/>
        <w:snapToGrid/>
        <w:spacing w:beforeLines="0" w:afterLines="0"/>
        <w:ind w:firstLine="422"/>
        <w:textAlignment w:val="auto"/>
        <w:outlineLvl w:val="9"/>
        <w:rPr>
          <w:rFonts w:hint="eastAsia"/>
          <w:b w:val="0"/>
          <w:bCs w:val="0"/>
          <w:color w:val="auto"/>
          <w:sz w:val="21"/>
          <w:szCs w:val="21"/>
          <w:highlight w:val="none"/>
        </w:rPr>
      </w:pPr>
      <w:r>
        <w:rPr>
          <w:rFonts w:hint="eastAsia"/>
          <w:b w:val="0"/>
          <w:bCs w:val="0"/>
          <w:color w:val="auto"/>
          <w:sz w:val="21"/>
          <w:szCs w:val="21"/>
          <w:highlight w:val="none"/>
        </w:rPr>
        <w:t>如项目（包组）采用下浮率报价，上述投标（响应）报价应为（1-下浮率报价）。</w:t>
      </w:r>
    </w:p>
    <w:p w14:paraId="694EE5E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p>
    <w:p w14:paraId="140388C8">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2</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响应文件澄清</w:t>
      </w:r>
    </w:p>
    <w:p w14:paraId="21B5433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2.1对于响应文件中含义不明确、同类问题表述不一致或者有明显文字和计算错误的内容，磋商小组可在评审过程中发起澄清，要求供应商针对价格或内容做出必要的澄清、说明或补正。代理机构可根据开启环节记录的授权代表人联系方式发送短信提醒或电话告知。</w:t>
      </w:r>
    </w:p>
    <w:p w14:paraId="1CB3C3D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供应商需在规定时间内完成澄清（响应），并加盖供应商公章，或法定代表人签字或盖章，或法定代表人授权委托人签字或盖章。</w:t>
      </w:r>
    </w:p>
    <w:p w14:paraId="025ECA9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若因供应商联系方式错误未接收短信、未接听电话或超时未进行澄清（响应）造成的不利后果由供应商自行承担。供应商的澄清、说明或者补正不得超出响应文件的范围或者改变响应文件的实质性内容。</w:t>
      </w:r>
    </w:p>
    <w:p w14:paraId="7508903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2.2磋商小组不接受供应商主动提出的澄清、说明或补正。</w:t>
      </w:r>
    </w:p>
    <w:p w14:paraId="682C687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2.3磋商小组对供应商提交的澄清、说明或补正有疑问的，可以要求供应商进一步澄清、说明或补正。</w:t>
      </w:r>
    </w:p>
    <w:p w14:paraId="492C16F9">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3</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磋商</w:t>
      </w:r>
    </w:p>
    <w:p w14:paraId="5EDD8482">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3.1磋商小组所有成员应当集中与单一供应商分别进行磋商，并给予所有参加磋商的供应商平等的磋商机会。</w:t>
      </w:r>
    </w:p>
    <w:p w14:paraId="55E7CFF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3.2在磋商过程中，磋商小组可以根据磋商文件和磋商情况实质性变动采购需求中的技术、服务要求以及合同草案条款，但不得变动磋商文件中的其他内容。实质性变动的内容，须经采购人代表确认。</w:t>
      </w:r>
    </w:p>
    <w:p w14:paraId="307973C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3.3对磋商文件作出的实质性变动是磋商文件的有效组成部分，磋商小组应当及时、同时通知所有参加磋商的供应商。</w:t>
      </w:r>
    </w:p>
    <w:p w14:paraId="5013B2A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w:t>
      </w:r>
      <w:r>
        <w:rPr>
          <w:color w:val="auto"/>
          <w:szCs w:val="20"/>
          <w:highlight w:val="none"/>
        </w:rPr>
        <w:t>.4</w:t>
      </w:r>
      <w:r>
        <w:rPr>
          <w:rFonts w:hint="eastAsia"/>
          <w:color w:val="auto"/>
          <w:szCs w:val="20"/>
          <w:highlight w:val="none"/>
        </w:rPr>
        <w:t>供应商应当按照磋商文件的变动情况和磋商小组的要求进行最终报价或重新提交响应文件，并由其法定代表人或授权代表签字(或盖私章)或者加盖公章。</w:t>
      </w:r>
    </w:p>
    <w:p w14:paraId="3BE0DD34">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4</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最后报价</w:t>
      </w:r>
    </w:p>
    <w:p w14:paraId="5835AC2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4.1磋商结束后，磋商小组应当要求所有实质性响应的供应商在规定时间内提交最后报价。最后报价是供应商响应文件的有效组成部分。</w:t>
      </w:r>
    </w:p>
    <w:p w14:paraId="40F910A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4.2已提交响应文件的供应商，在提交最后报价之前，可以根据磋商情况退出磋商。</w:t>
      </w:r>
    </w:p>
    <w:p w14:paraId="4292A03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color w:val="auto"/>
          <w:szCs w:val="20"/>
          <w:highlight w:val="none"/>
        </w:rPr>
        <w:t>4.3</w:t>
      </w:r>
      <w:r>
        <w:rPr>
          <w:rFonts w:hint="eastAsia"/>
          <w:color w:val="auto"/>
          <w:szCs w:val="20"/>
          <w:highlight w:val="none"/>
        </w:rPr>
        <w:t>除法规规定的特殊性情形外，提交最后报价的供应商不得少于3家。</w:t>
      </w:r>
    </w:p>
    <w:p w14:paraId="2D74DED8">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5</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详细评审</w:t>
      </w:r>
    </w:p>
    <w:bookmarkEnd w:id="111"/>
    <w:bookmarkEnd w:id="112"/>
    <w:bookmarkEnd w:id="113"/>
    <w:bookmarkEnd w:id="114"/>
    <w:bookmarkEnd w:id="115"/>
    <w:p w14:paraId="317DAE7C">
      <w:pPr>
        <w:widowControl w:val="0"/>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bookmarkStart w:id="119" w:name="_Toc67046848"/>
      <w:bookmarkStart w:id="120" w:name="_Toc6322232"/>
      <w:r>
        <w:rPr>
          <w:rFonts w:hint="eastAsia" w:ascii="宋体" w:hAnsi="宋体" w:eastAsia="宋体" w:cs="宋体"/>
          <w:b/>
          <w:bCs/>
          <w:color w:val="auto"/>
          <w:szCs w:val="21"/>
          <w:highlight w:val="none"/>
          <w:lang w:eastAsia="zh-CN"/>
        </w:rPr>
        <w:t>表三：商务评分细则表（</w:t>
      </w:r>
      <w:r>
        <w:rPr>
          <w:rFonts w:hint="eastAsia" w:cs="宋体"/>
          <w:b/>
          <w:bCs/>
          <w:color w:val="auto"/>
          <w:szCs w:val="21"/>
          <w:highlight w:val="none"/>
          <w:lang w:val="en-US" w:eastAsia="zh-CN"/>
        </w:rPr>
        <w:t>40</w:t>
      </w:r>
      <w:r>
        <w:rPr>
          <w:rFonts w:hint="eastAsia" w:ascii="宋体" w:hAnsi="宋体" w:eastAsia="宋体" w:cs="宋体"/>
          <w:b/>
          <w:bCs/>
          <w:color w:val="auto"/>
          <w:szCs w:val="21"/>
          <w:highlight w:val="none"/>
          <w:lang w:eastAsia="zh-CN"/>
        </w:rPr>
        <w:t>分）</w:t>
      </w:r>
      <w:bookmarkEnd w:id="119"/>
      <w:bookmarkEnd w:id="120"/>
      <w:r>
        <w:rPr>
          <w:rFonts w:hint="eastAsia" w:ascii="宋体" w:hAnsi="宋体" w:eastAsia="宋体" w:cs="宋体"/>
          <w:b/>
          <w:bCs/>
          <w:color w:val="auto"/>
          <w:szCs w:val="21"/>
          <w:highlight w:val="none"/>
          <w:lang w:eastAsia="zh-CN"/>
        </w:rPr>
        <w:t xml:space="preserve"> </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1244"/>
        <w:gridCol w:w="7010"/>
        <w:gridCol w:w="939"/>
      </w:tblGrid>
      <w:tr w14:paraId="15A4B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35" w:type="pct"/>
            <w:shd w:val="clear" w:color="auto" w:fill="F1F1F1" w:themeFill="background1" w:themeFillShade="F2"/>
            <w:vAlign w:val="center"/>
          </w:tcPr>
          <w:p w14:paraId="0C5EE1A5">
            <w:pPr>
              <w:pStyle w:val="330"/>
              <w:widowControl w:val="0"/>
              <w:spacing w:beforeLines="0" w:afterLines="0"/>
              <w:jc w:val="center"/>
              <w:rPr>
                <w:rFonts w:hint="eastAsia" w:ascii="宋体" w:hAnsi="宋体" w:eastAsia="宋体" w:cs="宋体"/>
                <w:b/>
                <w:color w:val="auto"/>
                <w:szCs w:val="21"/>
                <w:highlight w:val="none"/>
              </w:rPr>
            </w:pPr>
            <w:bookmarkStart w:id="121" w:name="_Hlk43300484"/>
            <w:r>
              <w:rPr>
                <w:rFonts w:hint="eastAsia" w:ascii="宋体" w:hAnsi="宋体" w:eastAsia="宋体" w:cs="宋体"/>
                <w:b/>
                <w:color w:val="auto"/>
                <w:szCs w:val="21"/>
                <w:highlight w:val="none"/>
              </w:rPr>
              <w:t>序号</w:t>
            </w:r>
          </w:p>
        </w:tc>
        <w:tc>
          <w:tcPr>
            <w:tcW w:w="631" w:type="pct"/>
            <w:shd w:val="clear" w:color="auto" w:fill="F1F1F1" w:themeFill="background1" w:themeFillShade="F2"/>
            <w:vAlign w:val="center"/>
          </w:tcPr>
          <w:p w14:paraId="6FEA3706">
            <w:pPr>
              <w:pStyle w:val="330"/>
              <w:widowControl w:val="0"/>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555" w:type="pct"/>
            <w:shd w:val="clear" w:color="auto" w:fill="F1F1F1" w:themeFill="background1" w:themeFillShade="F2"/>
            <w:vAlign w:val="center"/>
          </w:tcPr>
          <w:p w14:paraId="62A0BD57">
            <w:pPr>
              <w:pStyle w:val="330"/>
              <w:widowControl w:val="0"/>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76" w:type="pct"/>
            <w:shd w:val="clear" w:color="auto" w:fill="F1F1F1" w:themeFill="background1" w:themeFillShade="F2"/>
            <w:vAlign w:val="center"/>
          </w:tcPr>
          <w:p w14:paraId="4612A0DF">
            <w:pPr>
              <w:pStyle w:val="330"/>
              <w:widowControl w:val="0"/>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08200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5" w:type="pct"/>
            <w:vAlign w:val="center"/>
          </w:tcPr>
          <w:p w14:paraId="0D241B91">
            <w:pPr>
              <w:pStyle w:val="129"/>
              <w:widowControl w:val="0"/>
              <w:numPr>
                <w:ilvl w:val="0"/>
                <w:numId w:val="19"/>
              </w:numPr>
              <w:spacing w:beforeLines="0" w:afterLines="0"/>
              <w:ind w:left="0" w:firstLine="0" w:firstLineChars="0"/>
              <w:jc w:val="center"/>
              <w:rPr>
                <w:rFonts w:hint="eastAsia" w:ascii="宋体" w:hAnsi="宋体" w:eastAsia="宋体" w:cs="宋体"/>
                <w:color w:val="auto"/>
                <w:szCs w:val="21"/>
                <w:highlight w:val="none"/>
              </w:rPr>
            </w:pPr>
          </w:p>
        </w:tc>
        <w:tc>
          <w:tcPr>
            <w:tcW w:w="631" w:type="pct"/>
            <w:vAlign w:val="center"/>
          </w:tcPr>
          <w:p w14:paraId="747398CD">
            <w:pPr>
              <w:pStyle w:val="24"/>
              <w:widowControl w:val="0"/>
              <w:adjustRightInd w:val="0"/>
              <w:snapToGrid w:val="0"/>
              <w:spacing w:beforeLines="0" w:afterLines="0"/>
              <w:jc w:val="center"/>
              <w:rPr>
                <w:rFonts w:hint="eastAsia" w:ascii="宋体" w:hAnsi="宋体" w:eastAsia="宋体" w:cs="宋体"/>
                <w:b/>
                <w:color w:val="auto"/>
                <w:highlight w:val="none"/>
              </w:rPr>
            </w:pPr>
            <w:r>
              <w:rPr>
                <w:rFonts w:hint="eastAsia" w:ascii="宋体" w:hAnsi="宋体" w:eastAsia="宋体" w:cs="宋体"/>
                <w:bCs/>
                <w:color w:val="auto"/>
                <w:highlight w:val="none"/>
              </w:rPr>
              <w:t>类似项目业绩</w:t>
            </w:r>
          </w:p>
        </w:tc>
        <w:tc>
          <w:tcPr>
            <w:tcW w:w="3555" w:type="pct"/>
            <w:vAlign w:val="center"/>
          </w:tcPr>
          <w:p w14:paraId="534D9B19">
            <w:pPr>
              <w:pStyle w:val="377"/>
              <w:widowControl w:val="0"/>
              <w:autoSpaceDE/>
              <w:autoSpaceDN/>
              <w:adjustRightInd w:val="0"/>
              <w:spacing w:beforeLines="0" w:afterLines="0"/>
              <w:ind w:firstLine="0" w:firstLineChars="0"/>
              <w:jc w:val="both"/>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t>响应供应商202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年01月01日至今具有类似（零星装修</w:t>
            </w:r>
            <w:r>
              <w:rPr>
                <w:rFonts w:hint="eastAsia" w:ascii="宋体" w:hAnsi="宋体" w:eastAsia="宋体" w:cs="宋体"/>
                <w:bCs/>
                <w:color w:val="auto"/>
                <w:sz w:val="21"/>
                <w:szCs w:val="21"/>
                <w:highlight w:val="none"/>
                <w:lang w:val="en-US" w:eastAsia="zh-CN"/>
              </w:rPr>
              <w:t>或</w:t>
            </w:r>
            <w:r>
              <w:rPr>
                <w:rFonts w:hint="eastAsia" w:ascii="宋体" w:hAnsi="宋体" w:eastAsia="宋体" w:cs="宋体"/>
                <w:color w:val="auto"/>
                <w:spacing w:val="4"/>
                <w:sz w:val="21"/>
                <w:szCs w:val="21"/>
                <w:highlight w:val="none"/>
                <w:lang w:eastAsia="zh-CN"/>
              </w:rPr>
              <w:t>修缮</w:t>
            </w:r>
            <w:r>
              <w:rPr>
                <w:rFonts w:hint="eastAsia" w:ascii="宋体" w:hAnsi="宋体" w:eastAsia="宋体" w:cs="宋体"/>
                <w:bCs/>
                <w:color w:val="auto"/>
                <w:sz w:val="21"/>
                <w:szCs w:val="21"/>
                <w:highlight w:val="none"/>
                <w:lang w:eastAsia="zh-CN"/>
              </w:rPr>
              <w:t>）项目业绩，每提供一份得</w:t>
            </w:r>
            <w:r>
              <w:rPr>
                <w:rFonts w:hint="eastAsia" w:eastAsia="宋体" w:cs="宋体"/>
                <w:bCs/>
                <w:color w:val="auto"/>
                <w:sz w:val="21"/>
                <w:szCs w:val="21"/>
                <w:highlight w:val="none"/>
                <w:lang w:val="en-US" w:eastAsia="zh-CN"/>
              </w:rPr>
              <w:t>2</w:t>
            </w:r>
            <w:r>
              <w:rPr>
                <w:rFonts w:hint="eastAsia" w:ascii="宋体" w:hAnsi="宋体" w:eastAsia="宋体" w:cs="宋体"/>
                <w:bCs/>
                <w:color w:val="auto"/>
                <w:sz w:val="21"/>
                <w:szCs w:val="21"/>
                <w:highlight w:val="none"/>
                <w:lang w:eastAsia="zh-CN"/>
              </w:rPr>
              <w:t>分，共计</w:t>
            </w:r>
            <w:r>
              <w:rPr>
                <w:rFonts w:hint="eastAsia" w:eastAsia="宋体" w:cs="宋体"/>
                <w:bCs/>
                <w:color w:val="auto"/>
                <w:sz w:val="21"/>
                <w:szCs w:val="21"/>
                <w:highlight w:val="none"/>
                <w:lang w:val="en-US" w:eastAsia="zh-CN"/>
              </w:rPr>
              <w:t>8</w:t>
            </w:r>
            <w:r>
              <w:rPr>
                <w:rFonts w:hint="eastAsia" w:ascii="宋体" w:hAnsi="宋体" w:eastAsia="宋体" w:cs="宋体"/>
                <w:bCs/>
                <w:color w:val="auto"/>
                <w:sz w:val="21"/>
                <w:szCs w:val="21"/>
                <w:highlight w:val="none"/>
                <w:lang w:eastAsia="zh-CN"/>
              </w:rPr>
              <w:t>份业绩；本项满分</w:t>
            </w:r>
            <w:r>
              <w:rPr>
                <w:rFonts w:hint="eastAsia" w:eastAsia="宋体" w:cs="宋体"/>
                <w:bCs/>
                <w:color w:val="auto"/>
                <w:sz w:val="21"/>
                <w:szCs w:val="21"/>
                <w:highlight w:val="none"/>
                <w:lang w:val="en-US" w:eastAsia="zh-CN"/>
              </w:rPr>
              <w:t>16</w:t>
            </w:r>
            <w:r>
              <w:rPr>
                <w:rFonts w:hint="eastAsia" w:ascii="宋体" w:hAnsi="宋体" w:eastAsia="宋体" w:cs="宋体"/>
                <w:bCs/>
                <w:color w:val="auto"/>
                <w:sz w:val="21"/>
                <w:szCs w:val="21"/>
                <w:highlight w:val="none"/>
                <w:lang w:eastAsia="zh-CN"/>
              </w:rPr>
              <w:t>分。</w:t>
            </w:r>
          </w:p>
          <w:p w14:paraId="30A8384B">
            <w:pPr>
              <w:pStyle w:val="378"/>
              <w:widowControl w:val="0"/>
              <w:spacing w:beforeLines="0" w:after="0" w:afterLines="0"/>
              <w:jc w:val="both"/>
              <w:rPr>
                <w:rFonts w:hint="eastAsia" w:ascii="宋体" w:hAnsi="宋体" w:eastAsia="宋体" w:cs="宋体"/>
                <w:color w:val="auto"/>
                <w:spacing w:val="4"/>
                <w:highlight w:val="none"/>
                <w:lang w:eastAsia="zh-CN"/>
              </w:rPr>
            </w:pPr>
            <w:r>
              <w:rPr>
                <w:rFonts w:hint="eastAsia" w:ascii="宋体" w:hAnsi="宋体" w:eastAsia="宋体" w:cs="宋体"/>
                <w:b/>
                <w:color w:val="auto"/>
                <w:highlight w:val="none"/>
                <w:lang w:eastAsia="zh-CN"/>
              </w:rPr>
              <w:t>注：</w:t>
            </w:r>
            <w:r>
              <w:rPr>
                <w:rFonts w:hint="eastAsia" w:ascii="宋体" w:hAnsi="宋体" w:eastAsia="宋体" w:cs="宋体"/>
                <w:b/>
                <w:bCs/>
                <w:color w:val="auto"/>
                <w:highlight w:val="none"/>
                <w:lang w:eastAsia="zh-CN"/>
              </w:rPr>
              <w:t>响应文件中须提供合同关键页（包括但不限于合同名称页、合同主要内容页、合同签订日期页、合同双方签字盖章页）复印件加盖响应供应商公章，否则不得分。合同体现签订日期的，以合同签订日期为准；合同未体现签订日期的，但是合同履行期限能明显判断在202</w:t>
            </w:r>
            <w:r>
              <w:rPr>
                <w:rFonts w:hint="eastAsia" w:ascii="宋体" w:hAnsi="宋体" w:eastAsia="宋体" w:cs="宋体"/>
                <w:b/>
                <w:bCs/>
                <w:color w:val="auto"/>
                <w:highlight w:val="none"/>
                <w:lang w:val="en-US" w:eastAsia="zh-CN"/>
              </w:rPr>
              <w:t>3</w:t>
            </w:r>
            <w:r>
              <w:rPr>
                <w:rFonts w:hint="eastAsia" w:ascii="宋体" w:hAnsi="宋体" w:eastAsia="宋体" w:cs="宋体"/>
                <w:b/>
                <w:bCs/>
                <w:color w:val="auto"/>
                <w:highlight w:val="none"/>
                <w:lang w:eastAsia="zh-CN"/>
              </w:rPr>
              <w:t>年</w:t>
            </w:r>
            <w:r>
              <w:rPr>
                <w:rFonts w:hint="eastAsia" w:ascii="宋体" w:hAnsi="宋体" w:eastAsia="宋体" w:cs="宋体"/>
                <w:b/>
                <w:bCs/>
                <w:color w:val="auto"/>
                <w:highlight w:val="none"/>
                <w:lang w:val="en-US" w:eastAsia="zh-CN"/>
              </w:rPr>
              <w:t>0</w:t>
            </w:r>
            <w:r>
              <w:rPr>
                <w:rFonts w:hint="eastAsia" w:ascii="宋体" w:hAnsi="宋体" w:eastAsia="宋体" w:cs="宋体"/>
                <w:b/>
                <w:bCs/>
                <w:color w:val="auto"/>
                <w:highlight w:val="none"/>
                <w:lang w:eastAsia="zh-CN"/>
              </w:rPr>
              <w:t>1月</w:t>
            </w:r>
            <w:r>
              <w:rPr>
                <w:rFonts w:hint="eastAsia" w:ascii="宋体" w:hAnsi="宋体" w:eastAsia="宋体" w:cs="宋体"/>
                <w:b/>
                <w:bCs/>
                <w:color w:val="auto"/>
                <w:highlight w:val="none"/>
                <w:lang w:val="en-US" w:eastAsia="zh-CN"/>
              </w:rPr>
              <w:t>0</w:t>
            </w:r>
            <w:r>
              <w:rPr>
                <w:rFonts w:hint="eastAsia" w:ascii="宋体" w:hAnsi="宋体" w:eastAsia="宋体" w:cs="宋体"/>
                <w:b/>
                <w:bCs/>
                <w:color w:val="auto"/>
                <w:highlight w:val="none"/>
                <w:lang w:eastAsia="zh-CN"/>
              </w:rPr>
              <w:t>1日或之后开始实施的，该合同应予以认可。若合同无法体现具体内容的，可增加客户方提供的证明材料作为佐证材料，否则不得分。</w:t>
            </w:r>
          </w:p>
        </w:tc>
        <w:tc>
          <w:tcPr>
            <w:tcW w:w="476" w:type="pct"/>
            <w:vAlign w:val="center"/>
          </w:tcPr>
          <w:p w14:paraId="2495014C">
            <w:pPr>
              <w:pStyle w:val="24"/>
              <w:widowControl w:val="0"/>
              <w:adjustRightInd w:val="0"/>
              <w:snapToGrid w:val="0"/>
              <w:spacing w:beforeLines="0" w:afterLines="0"/>
              <w:jc w:val="center"/>
              <w:rPr>
                <w:rFonts w:hint="default" w:ascii="宋体" w:hAnsi="宋体" w:eastAsia="宋体" w:cs="宋体"/>
                <w:color w:val="auto"/>
                <w:highlight w:val="none"/>
                <w:lang w:val="en-US" w:eastAsia="zh-CN"/>
              </w:rPr>
            </w:pPr>
            <w:r>
              <w:rPr>
                <w:rFonts w:hint="eastAsia" w:hAnsi="宋体" w:eastAsia="宋体" w:cs="宋体"/>
                <w:color w:val="auto"/>
                <w:spacing w:val="4"/>
                <w:highlight w:val="none"/>
                <w:lang w:val="en-US" w:eastAsia="zh-CN"/>
              </w:rPr>
              <w:t>16</w:t>
            </w:r>
          </w:p>
        </w:tc>
      </w:tr>
      <w:tr w14:paraId="02D88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5" w:type="pct"/>
            <w:vAlign w:val="center"/>
          </w:tcPr>
          <w:p w14:paraId="2E33C4B3">
            <w:pPr>
              <w:pStyle w:val="129"/>
              <w:widowControl w:val="0"/>
              <w:numPr>
                <w:ilvl w:val="0"/>
                <w:numId w:val="19"/>
              </w:numPr>
              <w:spacing w:beforeLines="0" w:afterLines="0"/>
              <w:ind w:left="0" w:firstLine="0" w:firstLineChars="0"/>
              <w:jc w:val="center"/>
              <w:rPr>
                <w:rFonts w:hint="eastAsia" w:ascii="宋体" w:hAnsi="宋体" w:eastAsia="宋体" w:cs="宋体"/>
                <w:color w:val="auto"/>
                <w:szCs w:val="21"/>
                <w:highlight w:val="none"/>
              </w:rPr>
            </w:pPr>
          </w:p>
        </w:tc>
        <w:tc>
          <w:tcPr>
            <w:tcW w:w="631" w:type="pct"/>
            <w:vAlign w:val="center"/>
          </w:tcPr>
          <w:p w14:paraId="2541BB73">
            <w:pPr>
              <w:pStyle w:val="24"/>
              <w:widowControl w:val="0"/>
              <w:adjustRightInd w:val="0"/>
              <w:snapToGrid w:val="0"/>
              <w:spacing w:beforeLines="0" w:afterLines="0"/>
              <w:jc w:val="center"/>
              <w:rPr>
                <w:rFonts w:hint="eastAsia" w:ascii="宋体" w:hAnsi="宋体" w:eastAsia="宋体" w:cs="宋体"/>
                <w:b/>
                <w:color w:val="auto"/>
                <w:highlight w:val="none"/>
              </w:rPr>
            </w:pPr>
            <w:r>
              <w:rPr>
                <w:rFonts w:hint="eastAsia" w:ascii="宋体" w:hAnsi="宋体" w:eastAsia="宋体" w:cs="宋体"/>
                <w:color w:val="auto"/>
                <w:spacing w:val="4"/>
                <w:highlight w:val="none"/>
              </w:rPr>
              <w:t>管理体系认证</w:t>
            </w:r>
          </w:p>
        </w:tc>
        <w:tc>
          <w:tcPr>
            <w:tcW w:w="3555" w:type="pct"/>
            <w:vAlign w:val="center"/>
          </w:tcPr>
          <w:p w14:paraId="294B90FA">
            <w:pPr>
              <w:pStyle w:val="24"/>
              <w:widowControl w:val="0"/>
              <w:adjustRightInd w:val="0"/>
              <w:snapToGrid w:val="0"/>
              <w:spacing w:beforeLines="0" w:afterLines="0"/>
              <w:jc w:val="both"/>
              <w:rPr>
                <w:rFonts w:hint="eastAsia" w:ascii="宋体" w:hAnsi="宋体" w:eastAsia="宋体" w:cs="宋体"/>
                <w:color w:val="auto"/>
                <w:spacing w:val="4"/>
                <w:highlight w:val="none"/>
                <w:lang w:eastAsia="zh-CN"/>
              </w:rPr>
            </w:pPr>
            <w:r>
              <w:rPr>
                <w:rFonts w:hint="eastAsia" w:ascii="宋体" w:hAnsi="宋体" w:eastAsia="宋体" w:cs="宋体"/>
                <w:color w:val="auto"/>
                <w:spacing w:val="4"/>
                <w:highlight w:val="none"/>
                <w:lang w:eastAsia="zh-CN"/>
              </w:rPr>
              <w:t>响应供应商具有有效期内的下列体系认证证书，</w:t>
            </w:r>
            <w:r>
              <w:rPr>
                <w:rFonts w:hint="eastAsia" w:ascii="宋体" w:hAnsi="宋体" w:eastAsia="宋体" w:cs="宋体"/>
                <w:color w:val="auto"/>
                <w:spacing w:val="4"/>
                <w:highlight w:val="none"/>
                <w:lang w:val="en-US" w:eastAsia="zh-CN"/>
              </w:rPr>
              <w:t>认证范围包含“</w:t>
            </w:r>
            <w:r>
              <w:rPr>
                <w:rFonts w:hint="eastAsia" w:hAnsi="宋体" w:eastAsia="宋体" w:cs="宋体"/>
                <w:color w:val="auto"/>
                <w:spacing w:val="4"/>
                <w:highlight w:val="none"/>
                <w:lang w:val="en-US" w:eastAsia="zh-CN"/>
              </w:rPr>
              <w:t>施工或</w:t>
            </w:r>
            <w:r>
              <w:rPr>
                <w:rFonts w:hint="eastAsia" w:ascii="宋体" w:hAnsi="宋体" w:eastAsia="宋体" w:cs="宋体"/>
                <w:color w:val="auto"/>
                <w:spacing w:val="4"/>
                <w:highlight w:val="none"/>
                <w:lang w:val="en-US" w:eastAsia="zh-CN"/>
              </w:rPr>
              <w:t>装修或修缮”，</w:t>
            </w:r>
            <w:r>
              <w:rPr>
                <w:rFonts w:hint="eastAsia" w:ascii="宋体" w:hAnsi="宋体" w:eastAsia="宋体" w:cs="宋体"/>
                <w:color w:val="auto"/>
                <w:spacing w:val="4"/>
                <w:highlight w:val="none"/>
                <w:lang w:eastAsia="zh-CN"/>
              </w:rPr>
              <w:t>每提供1份有效证书得</w:t>
            </w:r>
            <w:r>
              <w:rPr>
                <w:rFonts w:hint="eastAsia" w:hAnsi="宋体" w:eastAsia="宋体" w:cs="宋体"/>
                <w:color w:val="auto"/>
                <w:spacing w:val="4"/>
                <w:highlight w:val="none"/>
                <w:lang w:val="en-US" w:eastAsia="zh-CN"/>
              </w:rPr>
              <w:t>3</w:t>
            </w:r>
            <w:r>
              <w:rPr>
                <w:rFonts w:hint="eastAsia" w:ascii="宋体" w:hAnsi="宋体" w:eastAsia="宋体" w:cs="宋体"/>
                <w:color w:val="auto"/>
                <w:spacing w:val="4"/>
                <w:highlight w:val="none"/>
                <w:lang w:eastAsia="zh-CN"/>
              </w:rPr>
              <w:t>分，满分</w:t>
            </w:r>
            <w:r>
              <w:rPr>
                <w:rFonts w:hint="eastAsia" w:hAnsi="宋体" w:eastAsia="宋体" w:cs="宋体"/>
                <w:color w:val="auto"/>
                <w:spacing w:val="4"/>
                <w:highlight w:val="none"/>
                <w:lang w:val="en-US" w:eastAsia="zh-CN"/>
              </w:rPr>
              <w:t>9</w:t>
            </w:r>
            <w:r>
              <w:rPr>
                <w:rFonts w:hint="eastAsia" w:ascii="宋体" w:hAnsi="宋体" w:eastAsia="宋体" w:cs="宋体"/>
                <w:color w:val="auto"/>
                <w:spacing w:val="4"/>
                <w:highlight w:val="none"/>
                <w:lang w:eastAsia="zh-CN"/>
              </w:rPr>
              <w:t>分。</w:t>
            </w:r>
          </w:p>
          <w:p w14:paraId="7284DC73">
            <w:pPr>
              <w:pStyle w:val="24"/>
              <w:widowControl w:val="0"/>
              <w:adjustRightInd w:val="0"/>
              <w:snapToGrid w:val="0"/>
              <w:spacing w:beforeLines="0" w:afterLines="0"/>
              <w:jc w:val="both"/>
              <w:rPr>
                <w:rFonts w:hint="eastAsia" w:ascii="宋体" w:hAnsi="宋体" w:eastAsia="宋体" w:cs="宋体"/>
                <w:color w:val="auto"/>
                <w:spacing w:val="4"/>
                <w:highlight w:val="none"/>
                <w:lang w:eastAsia="zh-CN"/>
              </w:rPr>
            </w:pPr>
            <w:r>
              <w:rPr>
                <w:rFonts w:hint="eastAsia" w:ascii="宋体" w:hAnsi="宋体" w:eastAsia="宋体" w:cs="宋体"/>
                <w:color w:val="auto"/>
                <w:spacing w:val="4"/>
                <w:highlight w:val="none"/>
                <w:lang w:eastAsia="zh-CN"/>
              </w:rPr>
              <w:t>1、质量管理体系认证证书；</w:t>
            </w:r>
          </w:p>
          <w:p w14:paraId="313AD71C">
            <w:pPr>
              <w:pStyle w:val="24"/>
              <w:widowControl w:val="0"/>
              <w:adjustRightInd w:val="0"/>
              <w:snapToGrid w:val="0"/>
              <w:spacing w:beforeLines="0" w:afterLines="0"/>
              <w:jc w:val="both"/>
              <w:rPr>
                <w:rFonts w:hint="eastAsia" w:ascii="宋体" w:hAnsi="宋体" w:eastAsia="宋体" w:cs="宋体"/>
                <w:color w:val="auto"/>
                <w:spacing w:val="4"/>
                <w:highlight w:val="none"/>
                <w:lang w:eastAsia="zh-CN"/>
              </w:rPr>
            </w:pPr>
            <w:r>
              <w:rPr>
                <w:rFonts w:hint="eastAsia" w:ascii="宋体" w:hAnsi="宋体" w:eastAsia="宋体" w:cs="宋体"/>
                <w:color w:val="auto"/>
                <w:spacing w:val="4"/>
                <w:highlight w:val="none"/>
                <w:lang w:eastAsia="zh-CN"/>
              </w:rPr>
              <w:t>2、环境管理体系认证证书；</w:t>
            </w:r>
          </w:p>
          <w:p w14:paraId="146542C6">
            <w:pPr>
              <w:pStyle w:val="24"/>
              <w:widowControl w:val="0"/>
              <w:adjustRightInd w:val="0"/>
              <w:snapToGrid w:val="0"/>
              <w:spacing w:beforeLines="0" w:afterLines="0"/>
              <w:jc w:val="both"/>
              <w:rPr>
                <w:rFonts w:hint="eastAsia" w:ascii="宋体" w:hAnsi="宋体" w:eastAsia="宋体" w:cs="宋体"/>
                <w:color w:val="auto"/>
                <w:spacing w:val="4"/>
                <w:highlight w:val="none"/>
                <w:lang w:eastAsia="zh-CN"/>
              </w:rPr>
            </w:pPr>
            <w:r>
              <w:rPr>
                <w:rFonts w:hint="eastAsia" w:ascii="宋体" w:hAnsi="宋体" w:eastAsia="宋体" w:cs="宋体"/>
                <w:color w:val="auto"/>
                <w:spacing w:val="4"/>
                <w:highlight w:val="none"/>
                <w:lang w:eastAsia="zh-CN"/>
              </w:rPr>
              <w:t>3、职业健康安全管理体系认证证书。</w:t>
            </w:r>
          </w:p>
          <w:p w14:paraId="1E20150B">
            <w:pPr>
              <w:pStyle w:val="24"/>
              <w:widowControl w:val="0"/>
              <w:adjustRightInd w:val="0"/>
              <w:snapToGrid w:val="0"/>
              <w:spacing w:beforeLines="0" w:afterLines="0"/>
              <w:jc w:val="both"/>
              <w:rPr>
                <w:rFonts w:hint="eastAsia" w:ascii="宋体" w:hAnsi="宋体" w:eastAsia="宋体" w:cs="宋体"/>
                <w:color w:val="auto"/>
                <w:highlight w:val="none"/>
                <w:lang w:eastAsia="zh-CN"/>
              </w:rPr>
            </w:pPr>
            <w:r>
              <w:rPr>
                <w:rFonts w:hint="eastAsia" w:ascii="宋体" w:hAnsi="宋体" w:eastAsia="宋体" w:cs="宋体"/>
                <w:b/>
                <w:bCs/>
                <w:color w:val="auto"/>
                <w:spacing w:val="4"/>
                <w:highlight w:val="none"/>
              </w:rPr>
              <w:t>注：①</w:t>
            </w:r>
            <w:r>
              <w:rPr>
                <w:rFonts w:hint="eastAsia" w:ascii="宋体" w:hAnsi="宋体" w:eastAsia="宋体" w:cs="宋体"/>
                <w:b/>
                <w:bCs/>
                <w:color w:val="auto"/>
                <w:spacing w:val="4"/>
                <w:highlight w:val="none"/>
                <w:lang w:eastAsia="zh-CN"/>
              </w:rPr>
              <w:t>响应文件</w:t>
            </w:r>
            <w:r>
              <w:rPr>
                <w:rFonts w:hint="eastAsia" w:ascii="宋体" w:hAnsi="宋体" w:eastAsia="宋体" w:cs="宋体"/>
                <w:b/>
                <w:bCs/>
                <w:color w:val="auto"/>
                <w:spacing w:val="4"/>
                <w:highlight w:val="none"/>
              </w:rPr>
              <w:t>中需提供上述证书复印件，以及全国认证认可信息公共服务平台（http://cx.cnca.cn/）查询截图加盖</w:t>
            </w:r>
            <w:r>
              <w:rPr>
                <w:rFonts w:hint="eastAsia" w:ascii="宋体" w:hAnsi="宋体" w:eastAsia="宋体" w:cs="宋体"/>
                <w:b/>
                <w:bCs/>
                <w:color w:val="auto"/>
                <w:spacing w:val="4"/>
                <w:highlight w:val="none"/>
                <w:lang w:eastAsia="zh-CN"/>
              </w:rPr>
              <w:t>响应供应商</w:t>
            </w:r>
            <w:r>
              <w:rPr>
                <w:rFonts w:hint="eastAsia" w:ascii="宋体" w:hAnsi="宋体" w:eastAsia="宋体" w:cs="宋体"/>
                <w:b/>
                <w:bCs/>
                <w:color w:val="auto"/>
                <w:spacing w:val="4"/>
                <w:highlight w:val="none"/>
              </w:rPr>
              <w:t>公章，否则不得分。</w:t>
            </w:r>
            <w:r>
              <w:rPr>
                <w:rFonts w:hint="eastAsia" w:ascii="宋体" w:hAnsi="宋体" w:eastAsia="宋体" w:cs="宋体"/>
                <w:b/>
                <w:bCs/>
                <w:color w:val="auto"/>
                <w:spacing w:val="4"/>
                <w:highlight w:val="none"/>
                <w:lang w:eastAsia="zh-CN"/>
              </w:rPr>
              <w:t>②公开信息中无法查询，或证书内容与公开信息不一致的，不得分。</w:t>
            </w:r>
          </w:p>
        </w:tc>
        <w:tc>
          <w:tcPr>
            <w:tcW w:w="476" w:type="pct"/>
            <w:vAlign w:val="center"/>
          </w:tcPr>
          <w:p w14:paraId="0E3A1A05">
            <w:pPr>
              <w:pStyle w:val="24"/>
              <w:widowControl w:val="0"/>
              <w:adjustRightInd w:val="0"/>
              <w:snapToGrid w:val="0"/>
              <w:spacing w:beforeLines="0" w:afterLines="0"/>
              <w:jc w:val="center"/>
              <w:rPr>
                <w:rFonts w:hint="eastAsia" w:ascii="宋体" w:hAnsi="宋体" w:eastAsia="宋体" w:cs="宋体"/>
                <w:color w:val="auto"/>
                <w:highlight w:val="none"/>
                <w:lang w:eastAsia="zh-CN"/>
              </w:rPr>
            </w:pPr>
            <w:r>
              <w:rPr>
                <w:rFonts w:hint="eastAsia" w:hAnsi="宋体" w:eastAsia="宋体" w:cs="宋体"/>
                <w:color w:val="auto"/>
                <w:spacing w:val="4"/>
                <w:highlight w:val="none"/>
                <w:lang w:val="en-US" w:eastAsia="zh-CN"/>
              </w:rPr>
              <w:t>9</w:t>
            </w:r>
          </w:p>
        </w:tc>
      </w:tr>
      <w:tr w14:paraId="37833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5" w:type="pct"/>
            <w:vAlign w:val="center"/>
          </w:tcPr>
          <w:p w14:paraId="5D81346C">
            <w:pPr>
              <w:pStyle w:val="129"/>
              <w:widowControl w:val="0"/>
              <w:numPr>
                <w:ilvl w:val="0"/>
                <w:numId w:val="19"/>
              </w:numPr>
              <w:spacing w:beforeLines="0" w:afterLines="0"/>
              <w:ind w:left="0" w:firstLine="0" w:firstLineChars="0"/>
              <w:jc w:val="center"/>
              <w:rPr>
                <w:rFonts w:hint="eastAsia" w:ascii="宋体" w:hAnsi="宋体" w:eastAsia="宋体" w:cs="宋体"/>
                <w:color w:val="auto"/>
                <w:szCs w:val="21"/>
                <w:highlight w:val="none"/>
              </w:rPr>
            </w:pPr>
          </w:p>
        </w:tc>
        <w:tc>
          <w:tcPr>
            <w:tcW w:w="631" w:type="pct"/>
            <w:vAlign w:val="center"/>
          </w:tcPr>
          <w:p w14:paraId="2D88C658">
            <w:pPr>
              <w:pStyle w:val="378"/>
              <w:widowControl w:val="0"/>
              <w:spacing w:beforeLines="0" w:after="0" w:afterLines="0"/>
              <w:jc w:val="center"/>
              <w:rPr>
                <w:rFonts w:hint="eastAsia" w:ascii="宋体" w:hAnsi="宋体" w:eastAsia="宋体" w:cs="宋体"/>
                <w:b/>
                <w:color w:val="auto"/>
                <w:highlight w:val="none"/>
                <w:lang w:eastAsia="zh-CN"/>
              </w:rPr>
            </w:pPr>
            <w:r>
              <w:rPr>
                <w:rFonts w:hint="eastAsia" w:ascii="宋体" w:hAnsi="宋体" w:eastAsia="宋体" w:cs="宋体"/>
                <w:color w:val="auto"/>
                <w:spacing w:val="4"/>
                <w:highlight w:val="none"/>
                <w:lang w:eastAsia="zh-CN"/>
              </w:rPr>
              <w:t>拟投入人员配置情况</w:t>
            </w:r>
          </w:p>
        </w:tc>
        <w:tc>
          <w:tcPr>
            <w:tcW w:w="3555" w:type="pct"/>
            <w:vAlign w:val="center"/>
          </w:tcPr>
          <w:p w14:paraId="3EB336B2">
            <w:pPr>
              <w:widowControl w:val="0"/>
              <w:spacing w:beforeLines="0" w:afterLine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根据拟派</w:t>
            </w:r>
            <w:r>
              <w:rPr>
                <w:rFonts w:hint="eastAsia" w:ascii="宋体" w:hAnsi="宋体" w:eastAsia="宋体" w:cs="宋体"/>
                <w:color w:val="auto"/>
                <w:spacing w:val="4"/>
                <w:szCs w:val="21"/>
                <w:highlight w:val="none"/>
                <w:lang w:eastAsia="zh-CN"/>
              </w:rPr>
              <w:t>驻</w:t>
            </w:r>
            <w:r>
              <w:rPr>
                <w:rFonts w:hint="eastAsia" w:ascii="宋体" w:hAnsi="宋体" w:eastAsia="宋体" w:cs="宋体"/>
                <w:color w:val="auto"/>
                <w:highlight w:val="none"/>
                <w:lang w:eastAsia="zh-CN"/>
              </w:rPr>
              <w:t>本项目团队成员</w:t>
            </w:r>
            <w:r>
              <w:rPr>
                <w:rFonts w:hint="eastAsia" w:ascii="宋体" w:hAnsi="宋体" w:eastAsia="宋体" w:cs="宋体"/>
                <w:color w:val="auto"/>
                <w:spacing w:val="4"/>
                <w:szCs w:val="21"/>
                <w:highlight w:val="none"/>
                <w:lang w:eastAsia="zh-CN"/>
              </w:rPr>
              <w:t>配置情况</w:t>
            </w:r>
            <w:r>
              <w:rPr>
                <w:rFonts w:hint="eastAsia" w:ascii="宋体" w:hAnsi="宋体" w:eastAsia="宋体" w:cs="宋体"/>
                <w:color w:val="auto"/>
                <w:highlight w:val="none"/>
                <w:lang w:eastAsia="zh-CN"/>
              </w:rPr>
              <w:t>进行评审：</w:t>
            </w:r>
          </w:p>
          <w:p w14:paraId="63F7785A">
            <w:pPr>
              <w:widowControl w:val="0"/>
              <w:spacing w:beforeLines="0" w:afterLine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1、</w:t>
            </w:r>
            <w:r>
              <w:rPr>
                <w:rFonts w:hint="eastAsia" w:ascii="宋体" w:hAnsi="宋体" w:eastAsia="宋体" w:cs="宋体"/>
                <w:color w:val="auto"/>
                <w:spacing w:val="4"/>
                <w:szCs w:val="21"/>
                <w:highlight w:val="none"/>
                <w:lang w:eastAsia="zh-CN"/>
              </w:rPr>
              <w:t>具有政府部门或事业单位颁发的二级或以上建筑工程专业注册建造师</w:t>
            </w:r>
            <w:r>
              <w:rPr>
                <w:rFonts w:hint="eastAsia" w:ascii="宋体" w:hAnsi="宋体" w:eastAsia="宋体" w:cs="宋体"/>
                <w:color w:val="auto"/>
                <w:highlight w:val="none"/>
                <w:lang w:eastAsia="zh-CN"/>
              </w:rPr>
              <w:t>，每</w:t>
            </w:r>
            <w:r>
              <w:rPr>
                <w:rFonts w:hint="eastAsia" w:ascii="宋体" w:hAnsi="宋体" w:eastAsia="宋体" w:cs="宋体"/>
                <w:color w:val="auto"/>
                <w:highlight w:val="none"/>
                <w:lang w:val="en-US" w:eastAsia="zh-CN"/>
              </w:rPr>
              <w:t>有</w:t>
            </w:r>
            <w:r>
              <w:rPr>
                <w:rFonts w:hint="eastAsia" w:ascii="宋体" w:hAnsi="宋体" w:eastAsia="宋体" w:cs="宋体"/>
                <w:color w:val="auto"/>
                <w:highlight w:val="none"/>
                <w:lang w:eastAsia="zh-CN"/>
              </w:rPr>
              <w:t>1人得2分，最多计</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lang w:eastAsia="zh-CN"/>
              </w:rPr>
              <w:t>人，本小项满分</w:t>
            </w:r>
            <w:r>
              <w:rPr>
                <w:rFonts w:hint="eastAsia" w:ascii="宋体" w:hAnsi="宋体" w:eastAsia="宋体" w:cs="宋体"/>
                <w:color w:val="auto"/>
                <w:highlight w:val="none"/>
                <w:lang w:val="en-US" w:eastAsia="zh-CN"/>
              </w:rPr>
              <w:t>6</w:t>
            </w:r>
            <w:r>
              <w:rPr>
                <w:rFonts w:hint="eastAsia" w:ascii="宋体" w:hAnsi="宋体" w:eastAsia="宋体" w:cs="宋体"/>
                <w:color w:val="auto"/>
                <w:highlight w:val="none"/>
                <w:lang w:eastAsia="zh-CN"/>
              </w:rPr>
              <w:t>分；</w:t>
            </w:r>
            <w:r>
              <w:rPr>
                <w:rFonts w:hint="eastAsia" w:cs="宋体"/>
                <w:b/>
                <w:bCs/>
                <w:color w:val="auto"/>
                <w:highlight w:val="none"/>
                <w:lang w:eastAsia="zh-CN"/>
              </w:rPr>
              <w:t>（</w:t>
            </w:r>
            <w:r>
              <w:rPr>
                <w:rFonts w:hint="eastAsia" w:cs="宋体"/>
                <w:b/>
                <w:bCs/>
                <w:color w:val="auto"/>
                <w:highlight w:val="none"/>
                <w:lang w:val="en-US" w:eastAsia="zh-CN"/>
              </w:rPr>
              <w:t>提供证书复印件</w:t>
            </w:r>
            <w:r>
              <w:rPr>
                <w:rFonts w:hint="eastAsia" w:cs="宋体"/>
                <w:b/>
                <w:bCs/>
                <w:color w:val="auto"/>
                <w:highlight w:val="none"/>
                <w:lang w:eastAsia="zh-CN"/>
              </w:rPr>
              <w:t>）</w:t>
            </w:r>
          </w:p>
          <w:p w14:paraId="3C121D46">
            <w:pPr>
              <w:widowControl w:val="0"/>
              <w:spacing w:beforeLines="0" w:afterLine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2、</w:t>
            </w:r>
            <w:r>
              <w:rPr>
                <w:rFonts w:hint="eastAsia" w:ascii="宋体" w:hAnsi="宋体" w:eastAsia="宋体" w:cs="宋体"/>
                <w:color w:val="auto"/>
                <w:spacing w:val="4"/>
                <w:szCs w:val="21"/>
                <w:highlight w:val="none"/>
                <w:lang w:eastAsia="zh-CN"/>
              </w:rPr>
              <w:t>具有政府部门或事业单位颁发的</w:t>
            </w:r>
            <w:r>
              <w:rPr>
                <w:rFonts w:hint="eastAsia" w:cs="宋体"/>
                <w:color w:val="auto"/>
                <w:spacing w:val="4"/>
                <w:szCs w:val="21"/>
                <w:highlight w:val="none"/>
                <w:lang w:val="en-US" w:eastAsia="zh-CN"/>
              </w:rPr>
              <w:t>安全员证书</w:t>
            </w:r>
            <w:r>
              <w:rPr>
                <w:rFonts w:hint="eastAsia" w:ascii="宋体" w:hAnsi="宋体" w:eastAsia="宋体" w:cs="宋体"/>
                <w:color w:val="auto"/>
                <w:highlight w:val="none"/>
                <w:lang w:eastAsia="zh-CN"/>
              </w:rPr>
              <w:t>，每</w:t>
            </w:r>
            <w:r>
              <w:rPr>
                <w:rFonts w:hint="eastAsia" w:ascii="宋体" w:hAnsi="宋体" w:eastAsia="宋体" w:cs="宋体"/>
                <w:color w:val="auto"/>
                <w:highlight w:val="none"/>
                <w:lang w:val="en-US" w:eastAsia="zh-CN"/>
              </w:rPr>
              <w:t>有</w:t>
            </w:r>
            <w:r>
              <w:rPr>
                <w:rFonts w:hint="eastAsia" w:ascii="宋体" w:hAnsi="宋体" w:eastAsia="宋体" w:cs="宋体"/>
                <w:color w:val="auto"/>
                <w:highlight w:val="none"/>
                <w:lang w:eastAsia="zh-CN"/>
              </w:rPr>
              <w:t>1人得2分，最多计</w:t>
            </w:r>
            <w:r>
              <w:rPr>
                <w:rFonts w:hint="eastAsia" w:cs="宋体"/>
                <w:color w:val="auto"/>
                <w:highlight w:val="none"/>
                <w:lang w:val="en-US" w:eastAsia="zh-CN"/>
              </w:rPr>
              <w:t>2</w:t>
            </w:r>
            <w:r>
              <w:rPr>
                <w:rFonts w:hint="eastAsia" w:ascii="宋体" w:hAnsi="宋体" w:eastAsia="宋体" w:cs="宋体"/>
                <w:color w:val="auto"/>
                <w:highlight w:val="none"/>
                <w:lang w:eastAsia="zh-CN"/>
              </w:rPr>
              <w:t>人，本小项满分</w:t>
            </w:r>
            <w:r>
              <w:rPr>
                <w:rFonts w:hint="eastAsia" w:cs="宋体"/>
                <w:color w:val="auto"/>
                <w:highlight w:val="none"/>
                <w:lang w:val="en-US" w:eastAsia="zh-CN"/>
              </w:rPr>
              <w:t>4</w:t>
            </w:r>
            <w:r>
              <w:rPr>
                <w:rFonts w:hint="eastAsia" w:ascii="宋体" w:hAnsi="宋体" w:eastAsia="宋体" w:cs="宋体"/>
                <w:color w:val="auto"/>
                <w:highlight w:val="none"/>
                <w:lang w:eastAsia="zh-CN"/>
              </w:rPr>
              <w:t>分；</w:t>
            </w:r>
            <w:r>
              <w:rPr>
                <w:rFonts w:hint="eastAsia" w:cs="宋体"/>
                <w:b/>
                <w:bCs/>
                <w:color w:val="auto"/>
                <w:highlight w:val="none"/>
                <w:lang w:eastAsia="zh-CN"/>
              </w:rPr>
              <w:t>（</w:t>
            </w:r>
            <w:r>
              <w:rPr>
                <w:rFonts w:hint="eastAsia" w:cs="宋体"/>
                <w:b/>
                <w:bCs/>
                <w:color w:val="auto"/>
                <w:highlight w:val="none"/>
                <w:lang w:val="en-US" w:eastAsia="zh-CN"/>
              </w:rPr>
              <w:t>提供证书复印件</w:t>
            </w:r>
            <w:r>
              <w:rPr>
                <w:rFonts w:hint="eastAsia" w:cs="宋体"/>
                <w:b/>
                <w:bCs/>
                <w:color w:val="auto"/>
                <w:highlight w:val="none"/>
                <w:lang w:eastAsia="zh-CN"/>
              </w:rPr>
              <w:t>）</w:t>
            </w:r>
          </w:p>
          <w:p w14:paraId="2376D4D9">
            <w:pPr>
              <w:widowControl w:val="0"/>
              <w:spacing w:beforeLines="0" w:afterLines="0"/>
              <w:jc w:val="both"/>
              <w:rPr>
                <w:rFonts w:hint="eastAsia" w:ascii="宋体" w:hAnsi="宋体" w:eastAsia="宋体" w:cs="宋体"/>
                <w:color w:val="auto"/>
                <w:highlight w:val="none"/>
                <w:lang w:eastAsia="zh-CN"/>
              </w:rPr>
            </w:pPr>
            <w:r>
              <w:rPr>
                <w:rFonts w:hint="eastAsia" w:cs="宋体"/>
                <w:color w:val="auto"/>
                <w:highlight w:val="none"/>
                <w:lang w:val="en-US" w:eastAsia="zh-CN"/>
              </w:rPr>
              <w:t>3、</w:t>
            </w:r>
            <w:r>
              <w:rPr>
                <w:rFonts w:hint="eastAsia" w:ascii="宋体" w:hAnsi="宋体" w:eastAsia="宋体" w:cs="宋体"/>
                <w:color w:val="auto"/>
                <w:spacing w:val="4"/>
                <w:szCs w:val="21"/>
                <w:highlight w:val="none"/>
                <w:lang w:val="en-US" w:eastAsia="zh-CN"/>
              </w:rPr>
              <w:t>拟投入本项目岗位专员包含：</w:t>
            </w:r>
            <w:r>
              <w:rPr>
                <w:rFonts w:hint="eastAsia" w:ascii="宋体" w:hAnsi="宋体" w:eastAsia="宋体" w:cs="宋体"/>
                <w:color w:val="auto"/>
                <w:spacing w:val="4"/>
                <w:szCs w:val="21"/>
                <w:highlight w:val="none"/>
                <w:lang w:eastAsia="zh-CN"/>
              </w:rPr>
              <w:t>施工员、造价员、质检员、材料员、资料员，每提供一人得</w:t>
            </w:r>
            <w:r>
              <w:rPr>
                <w:rFonts w:hint="eastAsia" w:cs="宋体"/>
                <w:color w:val="auto"/>
                <w:spacing w:val="4"/>
                <w:szCs w:val="21"/>
                <w:highlight w:val="none"/>
                <w:lang w:val="en-US" w:eastAsia="zh-CN"/>
              </w:rPr>
              <w:t>1</w:t>
            </w:r>
            <w:r>
              <w:rPr>
                <w:rFonts w:hint="eastAsia" w:ascii="宋体" w:hAnsi="宋体" w:eastAsia="宋体" w:cs="宋体"/>
                <w:color w:val="auto"/>
                <w:spacing w:val="4"/>
                <w:szCs w:val="21"/>
                <w:highlight w:val="none"/>
                <w:lang w:eastAsia="zh-CN"/>
              </w:rPr>
              <w:t>分，每种岗位最多计1人，本小项满分</w:t>
            </w:r>
            <w:r>
              <w:rPr>
                <w:rFonts w:hint="eastAsia" w:cs="宋体"/>
                <w:color w:val="auto"/>
                <w:spacing w:val="4"/>
                <w:szCs w:val="21"/>
                <w:highlight w:val="none"/>
                <w:lang w:val="en-US" w:eastAsia="zh-CN"/>
              </w:rPr>
              <w:t>5</w:t>
            </w:r>
            <w:r>
              <w:rPr>
                <w:rFonts w:hint="eastAsia" w:ascii="宋体" w:hAnsi="宋体" w:eastAsia="宋体" w:cs="宋体"/>
                <w:color w:val="auto"/>
                <w:spacing w:val="4"/>
                <w:szCs w:val="21"/>
                <w:highlight w:val="none"/>
                <w:lang w:eastAsia="zh-CN"/>
              </w:rPr>
              <w:t>分</w:t>
            </w:r>
            <w:r>
              <w:rPr>
                <w:rFonts w:hint="eastAsia" w:ascii="宋体" w:hAnsi="宋体" w:eastAsia="宋体" w:cs="宋体"/>
                <w:color w:val="auto"/>
                <w:highlight w:val="none"/>
                <w:lang w:eastAsia="zh-CN"/>
              </w:rPr>
              <w:t>。</w:t>
            </w:r>
            <w:r>
              <w:rPr>
                <w:rFonts w:hint="eastAsia" w:cs="宋体"/>
                <w:b/>
                <w:bCs/>
                <w:color w:val="auto"/>
                <w:highlight w:val="none"/>
                <w:lang w:eastAsia="zh-CN"/>
              </w:rPr>
              <w:t>（</w:t>
            </w:r>
            <w:r>
              <w:rPr>
                <w:rFonts w:hint="eastAsia" w:cs="宋体"/>
                <w:b/>
                <w:bCs/>
                <w:color w:val="auto"/>
                <w:highlight w:val="none"/>
                <w:lang w:val="en-US" w:eastAsia="zh-CN"/>
              </w:rPr>
              <w:t>提供岗位和人员清单，格式自拟</w:t>
            </w:r>
            <w:r>
              <w:rPr>
                <w:rFonts w:hint="eastAsia" w:cs="宋体"/>
                <w:b/>
                <w:bCs/>
                <w:color w:val="auto"/>
                <w:highlight w:val="none"/>
                <w:lang w:eastAsia="zh-CN"/>
              </w:rPr>
              <w:t>）</w:t>
            </w:r>
          </w:p>
          <w:p w14:paraId="0C41E2EB">
            <w:pPr>
              <w:pStyle w:val="24"/>
              <w:widowControl w:val="0"/>
              <w:adjustRightInd w:val="0"/>
              <w:snapToGrid w:val="0"/>
              <w:spacing w:beforeLines="0" w:afterLines="0"/>
              <w:jc w:val="both"/>
              <w:rPr>
                <w:rFonts w:hint="eastAsia" w:ascii="宋体" w:hAnsi="宋体" w:eastAsia="宋体" w:cs="宋体"/>
                <w:color w:val="auto"/>
                <w:spacing w:val="4"/>
                <w:highlight w:val="none"/>
                <w:lang w:eastAsia="zh-CN"/>
              </w:rPr>
            </w:pPr>
            <w:r>
              <w:rPr>
                <w:rFonts w:hint="eastAsia" w:ascii="宋体" w:hAnsi="宋体" w:eastAsia="宋体" w:cs="宋体"/>
                <w:b/>
                <w:bCs/>
                <w:color w:val="auto"/>
                <w:highlight w:val="none"/>
                <w:lang w:eastAsia="zh-CN"/>
              </w:rPr>
              <w:t>注：同一人获得多个证书的</w:t>
            </w:r>
            <w:r>
              <w:rPr>
                <w:rFonts w:hint="default" w:hAnsi="宋体" w:eastAsia="宋体" w:cs="宋体"/>
                <w:b/>
                <w:bCs/>
                <w:color w:val="auto"/>
                <w:highlight w:val="none"/>
                <w:lang w:val="en-US" w:eastAsia="zh-CN"/>
              </w:rPr>
              <w:t>可</w:t>
            </w:r>
            <w:r>
              <w:rPr>
                <w:rFonts w:hint="eastAsia" w:ascii="宋体" w:hAnsi="宋体" w:eastAsia="宋体" w:cs="宋体"/>
                <w:b/>
                <w:bCs/>
                <w:color w:val="auto"/>
                <w:highlight w:val="none"/>
                <w:lang w:eastAsia="zh-CN"/>
              </w:rPr>
              <w:t>重复计分。响应文件中须提供上述</w:t>
            </w:r>
            <w:r>
              <w:rPr>
                <w:rFonts w:hint="eastAsia" w:hAnsi="宋体" w:eastAsia="宋体" w:cs="宋体"/>
                <w:b/>
                <w:bCs/>
                <w:color w:val="auto"/>
                <w:highlight w:val="none"/>
                <w:lang w:val="en-US" w:eastAsia="zh-CN"/>
              </w:rPr>
              <w:t>证明材料，</w:t>
            </w:r>
            <w:r>
              <w:rPr>
                <w:rFonts w:hint="eastAsia" w:ascii="宋体" w:hAnsi="宋体" w:eastAsia="宋体" w:cs="宋体"/>
                <w:b/>
                <w:bCs/>
                <w:color w:val="auto"/>
                <w:highlight w:val="none"/>
                <w:lang w:eastAsia="zh-CN"/>
              </w:rPr>
              <w:t>以及202</w:t>
            </w:r>
            <w:r>
              <w:rPr>
                <w:rFonts w:hint="eastAsia" w:hAnsi="宋体" w:eastAsia="宋体" w:cs="宋体"/>
                <w:b/>
                <w:bCs/>
                <w:color w:val="auto"/>
                <w:highlight w:val="none"/>
                <w:lang w:val="en-US" w:eastAsia="zh-CN"/>
              </w:rPr>
              <w:t>6</w:t>
            </w:r>
            <w:r>
              <w:rPr>
                <w:rFonts w:hint="eastAsia" w:ascii="宋体" w:hAnsi="宋体" w:eastAsia="宋体" w:cs="宋体"/>
                <w:b/>
                <w:bCs/>
                <w:color w:val="auto"/>
                <w:highlight w:val="none"/>
                <w:lang w:eastAsia="zh-CN"/>
              </w:rPr>
              <w:t>年</w:t>
            </w:r>
            <w:r>
              <w:rPr>
                <w:rFonts w:hint="eastAsia" w:ascii="宋体" w:hAnsi="宋体" w:eastAsia="宋体" w:cs="宋体"/>
                <w:b/>
                <w:bCs/>
                <w:color w:val="auto"/>
                <w:highlight w:val="none"/>
                <w:lang w:val="en-US" w:eastAsia="zh-CN"/>
              </w:rPr>
              <w:t>01</w:t>
            </w:r>
            <w:r>
              <w:rPr>
                <w:rFonts w:hint="eastAsia" w:ascii="宋体" w:hAnsi="宋体" w:eastAsia="宋体" w:cs="宋体"/>
                <w:b/>
                <w:bCs/>
                <w:color w:val="auto"/>
                <w:highlight w:val="none"/>
                <w:lang w:eastAsia="zh-CN"/>
              </w:rPr>
              <w:t>月至开标当月</w:t>
            </w:r>
            <w:r>
              <w:rPr>
                <w:rFonts w:hint="eastAsia" w:ascii="宋体" w:hAnsi="宋体" w:eastAsia="宋体" w:cs="宋体"/>
                <w:b/>
                <w:bCs/>
                <w:color w:val="auto"/>
                <w:highlight w:val="none"/>
                <w:lang w:val="en-US" w:eastAsia="zh-CN"/>
              </w:rPr>
              <w:t>任意一</w:t>
            </w:r>
            <w:r>
              <w:rPr>
                <w:rFonts w:hint="eastAsia" w:ascii="宋体" w:hAnsi="宋体" w:eastAsia="宋体" w:cs="宋体"/>
                <w:b/>
                <w:bCs/>
                <w:color w:val="auto"/>
                <w:highlight w:val="none"/>
                <w:lang w:eastAsia="zh-CN"/>
              </w:rPr>
              <w:t>个月</w:t>
            </w:r>
            <w:r>
              <w:rPr>
                <w:rFonts w:hint="eastAsia" w:ascii="宋体" w:hAnsi="宋体" w:eastAsia="宋体" w:cs="宋体"/>
                <w:b/>
                <w:bCs/>
                <w:color w:val="auto"/>
                <w:highlight w:val="none"/>
                <w:lang w:val="en-US" w:eastAsia="zh-CN"/>
              </w:rPr>
              <w:t>响应供应商</w:t>
            </w:r>
            <w:r>
              <w:rPr>
                <w:rFonts w:hint="eastAsia" w:ascii="宋体" w:hAnsi="宋体" w:eastAsia="宋体" w:cs="宋体"/>
                <w:b/>
                <w:bCs/>
                <w:color w:val="auto"/>
                <w:highlight w:val="none"/>
                <w:lang w:eastAsia="zh-CN"/>
              </w:rPr>
              <w:t>为其缴纳社保的凭证，加盖供应商公章，否则不得分。</w:t>
            </w:r>
          </w:p>
        </w:tc>
        <w:tc>
          <w:tcPr>
            <w:tcW w:w="476" w:type="pct"/>
            <w:vAlign w:val="center"/>
          </w:tcPr>
          <w:p w14:paraId="3A4DA994">
            <w:pPr>
              <w:pStyle w:val="378"/>
              <w:widowControl w:val="0"/>
              <w:spacing w:beforeLines="0" w:after="0" w:afterLines="0"/>
              <w:jc w:val="center"/>
              <w:rPr>
                <w:rFonts w:hint="default" w:ascii="宋体" w:hAnsi="宋体" w:eastAsia="宋体" w:cs="宋体"/>
                <w:color w:val="auto"/>
                <w:highlight w:val="none"/>
                <w:lang w:val="en-US" w:eastAsia="zh-CN"/>
              </w:rPr>
            </w:pPr>
            <w:r>
              <w:rPr>
                <w:rFonts w:hint="eastAsia" w:cs="宋体"/>
                <w:color w:val="auto"/>
                <w:spacing w:val="4"/>
                <w:highlight w:val="none"/>
                <w:lang w:val="en-US" w:eastAsia="zh-CN"/>
              </w:rPr>
              <w:t>15</w:t>
            </w:r>
          </w:p>
        </w:tc>
      </w:tr>
      <w:bookmarkEnd w:id="121"/>
    </w:tbl>
    <w:p w14:paraId="412F02B2">
      <w:pPr>
        <w:widowControl w:val="0"/>
        <w:autoSpaceDE/>
        <w:autoSpaceDN/>
        <w:spacing w:beforeLines="0" w:afterLines="0"/>
        <w:ind w:firstLine="422" w:firstLineChars="200"/>
        <w:outlineLvl w:val="9"/>
        <w:rPr>
          <w:rFonts w:hint="eastAsia" w:ascii="宋体" w:hAnsi="宋体" w:eastAsia="宋体" w:cs="宋体"/>
          <w:b/>
          <w:bCs/>
          <w:color w:val="auto"/>
          <w:szCs w:val="21"/>
          <w:highlight w:val="none"/>
          <w:lang w:eastAsia="zh-CN"/>
        </w:rPr>
      </w:pPr>
      <w:bookmarkStart w:id="122" w:name="_Toc67046847"/>
      <w:bookmarkStart w:id="123" w:name="_Toc6322231"/>
    </w:p>
    <w:p w14:paraId="5C574DA0">
      <w:pPr>
        <w:widowControl w:val="0"/>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表四：技术评分细则表（</w:t>
      </w:r>
      <w:r>
        <w:rPr>
          <w:rFonts w:hint="eastAsia" w:cs="宋体"/>
          <w:b/>
          <w:bCs/>
          <w:color w:val="auto"/>
          <w:szCs w:val="21"/>
          <w:highlight w:val="none"/>
          <w:lang w:val="en-US" w:eastAsia="zh-CN"/>
        </w:rPr>
        <w:t>20</w:t>
      </w:r>
      <w:r>
        <w:rPr>
          <w:rFonts w:hint="eastAsia" w:ascii="宋体" w:hAnsi="宋体" w:eastAsia="宋体" w:cs="宋体"/>
          <w:b/>
          <w:bCs/>
          <w:color w:val="auto"/>
          <w:szCs w:val="21"/>
          <w:highlight w:val="none"/>
          <w:lang w:eastAsia="zh-CN"/>
        </w:rPr>
        <w:t>分）</w:t>
      </w:r>
      <w:bookmarkEnd w:id="122"/>
      <w:bookmarkEnd w:id="123"/>
    </w:p>
    <w:tbl>
      <w:tblPr>
        <w:tblStyle w:val="48"/>
        <w:tblW w:w="96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1"/>
        <w:gridCol w:w="1175"/>
        <w:gridCol w:w="6937"/>
        <w:gridCol w:w="900"/>
      </w:tblGrid>
      <w:tr w14:paraId="370EA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611" w:type="dxa"/>
            <w:vAlign w:val="center"/>
          </w:tcPr>
          <w:p w14:paraId="25EDBD7B">
            <w:pPr>
              <w:keepLines w:val="0"/>
              <w:pageBreakBefore w:val="0"/>
              <w:widowControl w:val="0"/>
              <w:kinsoku/>
              <w:wordWrap/>
              <w:overflowPunct/>
              <w:topLinePunct w:val="0"/>
              <w:bidi w:val="0"/>
              <w:spacing w:beforeLines="0" w:afterLines="0" w:line="360" w:lineRule="auto"/>
              <w:ind w:left="-78" w:leftChars="-37" w:right="-73" w:rightChars="-35"/>
              <w:jc w:val="center"/>
              <w:rPr>
                <w:rFonts w:hint="eastAsia" w:ascii="宋体" w:hAnsi="宋体" w:eastAsia="宋体" w:cs="宋体"/>
                <w:color w:val="auto"/>
                <w:highlight w:val="none"/>
              </w:rPr>
            </w:pPr>
            <w:r>
              <w:rPr>
                <w:rFonts w:hint="eastAsia" w:ascii="宋体" w:hAnsi="宋体" w:eastAsia="宋体" w:cs="宋体"/>
                <w:b/>
                <w:bCs/>
                <w:color w:val="auto"/>
                <w:highlight w:val="none"/>
              </w:rPr>
              <w:t>序号</w:t>
            </w:r>
          </w:p>
        </w:tc>
        <w:tc>
          <w:tcPr>
            <w:tcW w:w="1175" w:type="dxa"/>
            <w:vAlign w:val="center"/>
          </w:tcPr>
          <w:p w14:paraId="072DBE9F">
            <w:pPr>
              <w:keepLines w:val="0"/>
              <w:pageBreakBefore w:val="0"/>
              <w:widowControl w:val="0"/>
              <w:kinsoku/>
              <w:wordWrap/>
              <w:overflowPunct/>
              <w:topLinePunct w:val="0"/>
              <w:bidi w:val="0"/>
              <w:spacing w:before="0" w:beforeLines="0" w:after="0" w:afterLines="0" w:line="360" w:lineRule="auto"/>
              <w:jc w:val="center"/>
              <w:rPr>
                <w:rFonts w:hint="eastAsia" w:ascii="宋体" w:hAnsi="宋体" w:eastAsia="宋体" w:cs="宋体"/>
                <w:b/>
                <w:color w:val="auto"/>
                <w:highlight w:val="none"/>
              </w:rPr>
            </w:pPr>
            <w:r>
              <w:rPr>
                <w:rFonts w:hint="eastAsia" w:ascii="宋体" w:hAnsi="宋体" w:eastAsia="宋体" w:cs="宋体"/>
                <w:b/>
                <w:color w:val="auto"/>
                <w:highlight w:val="none"/>
              </w:rPr>
              <w:t>评审因素</w:t>
            </w:r>
          </w:p>
        </w:tc>
        <w:tc>
          <w:tcPr>
            <w:tcW w:w="6937" w:type="dxa"/>
            <w:vAlign w:val="center"/>
          </w:tcPr>
          <w:p w14:paraId="2724C78D">
            <w:pPr>
              <w:keepLines w:val="0"/>
              <w:pageBreakBefore w:val="0"/>
              <w:widowControl w:val="0"/>
              <w:kinsoku/>
              <w:wordWrap/>
              <w:overflowPunct/>
              <w:topLinePunct w:val="0"/>
              <w:bidi w:val="0"/>
              <w:spacing w:before="0" w:beforeLines="0" w:after="0" w:afterLines="0" w:line="360" w:lineRule="auto"/>
              <w:jc w:val="center"/>
              <w:rPr>
                <w:rFonts w:hint="eastAsia" w:ascii="宋体" w:hAnsi="宋体" w:eastAsia="宋体" w:cs="宋体"/>
                <w:b/>
                <w:color w:val="auto"/>
                <w:highlight w:val="none"/>
              </w:rPr>
            </w:pPr>
            <w:r>
              <w:rPr>
                <w:rFonts w:hint="eastAsia" w:ascii="宋体" w:hAnsi="宋体" w:eastAsia="宋体" w:cs="宋体"/>
                <w:b/>
                <w:color w:val="auto"/>
                <w:highlight w:val="none"/>
              </w:rPr>
              <w:t>评审标准</w:t>
            </w:r>
          </w:p>
        </w:tc>
        <w:tc>
          <w:tcPr>
            <w:tcW w:w="900" w:type="dxa"/>
            <w:vAlign w:val="center"/>
          </w:tcPr>
          <w:p w14:paraId="21BF50D8">
            <w:pPr>
              <w:keepLines w:val="0"/>
              <w:pageBreakBefore w:val="0"/>
              <w:widowControl w:val="0"/>
              <w:kinsoku/>
              <w:wordWrap/>
              <w:overflowPunct/>
              <w:topLinePunct w:val="0"/>
              <w:bidi w:val="0"/>
              <w:spacing w:before="0" w:beforeLines="0" w:after="0" w:afterLines="0" w:line="360" w:lineRule="auto"/>
              <w:jc w:val="center"/>
              <w:rPr>
                <w:rFonts w:hint="eastAsia" w:ascii="宋体" w:hAnsi="宋体" w:eastAsia="宋体" w:cs="宋体"/>
                <w:b/>
                <w:color w:val="auto"/>
                <w:highlight w:val="none"/>
              </w:rPr>
            </w:pPr>
            <w:r>
              <w:rPr>
                <w:rFonts w:hint="eastAsia" w:ascii="宋体" w:hAnsi="宋体" w:eastAsia="宋体" w:cs="宋体"/>
                <w:b/>
                <w:color w:val="auto"/>
                <w:highlight w:val="none"/>
              </w:rPr>
              <w:t>分值（分）</w:t>
            </w:r>
          </w:p>
        </w:tc>
      </w:tr>
      <w:tr w14:paraId="4C9AD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8" w:hRule="atLeast"/>
          <w:jc w:val="center"/>
        </w:trPr>
        <w:tc>
          <w:tcPr>
            <w:tcW w:w="611" w:type="dxa"/>
            <w:vAlign w:val="center"/>
          </w:tcPr>
          <w:p w14:paraId="0A047491">
            <w:pPr>
              <w:pStyle w:val="329"/>
              <w:keepLines w:val="0"/>
              <w:pageBreakBefore w:val="0"/>
              <w:widowControl w:val="0"/>
              <w:kinsoku/>
              <w:wordWrap/>
              <w:overflowPunct/>
              <w:topLinePunct w:val="0"/>
              <w:bidi w:val="0"/>
              <w:spacing w:beforeLines="0" w:afterLines="0" w:line="360" w:lineRule="auto"/>
              <w:ind w:firstLine="105" w:firstLineChars="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1175" w:type="dxa"/>
            <w:vAlign w:val="center"/>
          </w:tcPr>
          <w:p w14:paraId="08E2237B">
            <w:pPr>
              <w:keepLines w:val="0"/>
              <w:pageBreakBefore w:val="0"/>
              <w:widowControl w:val="0"/>
              <w:kinsoku/>
              <w:wordWrap/>
              <w:overflowPunct/>
              <w:topLinePunct w:val="0"/>
              <w:bidi w:val="0"/>
              <w:spacing w:beforeLines="0" w:afterLines="0"/>
              <w:jc w:val="center"/>
              <w:rPr>
                <w:rFonts w:hint="eastAsia" w:ascii="宋体" w:hAnsi="宋体" w:eastAsia="宋体" w:cs="宋体"/>
                <w:color w:val="auto"/>
                <w:highlight w:val="none"/>
              </w:rPr>
            </w:pPr>
            <w:r>
              <w:rPr>
                <w:rFonts w:hint="eastAsia" w:ascii="宋体" w:hAnsi="宋体" w:eastAsia="宋体" w:cs="宋体"/>
                <w:color w:val="auto"/>
                <w:highlight w:val="none"/>
              </w:rPr>
              <w:t>项目总体实施方案</w:t>
            </w:r>
          </w:p>
        </w:tc>
        <w:tc>
          <w:tcPr>
            <w:tcW w:w="6937" w:type="dxa"/>
            <w:vAlign w:val="center"/>
          </w:tcPr>
          <w:p w14:paraId="0835C615">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bidi="ar"/>
              </w:rPr>
            </w:pPr>
            <w:bookmarkStart w:id="124" w:name="OLE_LINK13"/>
            <w:r>
              <w:rPr>
                <w:rFonts w:hint="eastAsia" w:cs="宋体"/>
                <w:color w:val="auto"/>
                <w:szCs w:val="21"/>
                <w:highlight w:val="none"/>
                <w:lang w:val="en-US" w:eastAsia="zh-CN" w:bidi="ar"/>
              </w:rPr>
              <w:t>响应供应商应结合同类项目经验及本</w:t>
            </w:r>
            <w:r>
              <w:rPr>
                <w:rFonts w:hint="eastAsia" w:ascii="宋体" w:hAnsi="宋体" w:eastAsia="宋体" w:cs="宋体"/>
                <w:color w:val="auto"/>
                <w:szCs w:val="21"/>
                <w:highlight w:val="none"/>
                <w:lang w:bidi="ar"/>
              </w:rPr>
              <w:t>项目</w:t>
            </w:r>
            <w:r>
              <w:rPr>
                <w:rFonts w:hint="eastAsia" w:cs="宋体"/>
                <w:color w:val="auto"/>
                <w:szCs w:val="21"/>
                <w:highlight w:val="none"/>
                <w:lang w:val="en-US" w:eastAsia="zh-CN" w:bidi="ar"/>
              </w:rPr>
              <w:t>采购需求，编制</w:t>
            </w:r>
            <w:r>
              <w:rPr>
                <w:rFonts w:hint="eastAsia" w:ascii="宋体" w:hAnsi="宋体" w:eastAsia="宋体" w:cs="宋体"/>
                <w:color w:val="auto"/>
                <w:szCs w:val="21"/>
                <w:highlight w:val="none"/>
                <w:lang w:bidi="ar"/>
              </w:rPr>
              <w:t>总体实施方案</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包括</w:t>
            </w:r>
            <w:r>
              <w:rPr>
                <w:rFonts w:hint="eastAsia" w:cs="宋体"/>
                <w:color w:val="auto"/>
                <w:szCs w:val="21"/>
                <w:highlight w:val="none"/>
                <w:lang w:val="en-US" w:eastAsia="zh-CN" w:bidi="ar"/>
              </w:rPr>
              <w:t>但不限于</w:t>
            </w:r>
            <w:r>
              <w:rPr>
                <w:rFonts w:hint="eastAsia" w:ascii="宋体" w:hAnsi="宋体" w:eastAsia="宋体" w:cs="宋体"/>
                <w:color w:val="auto"/>
                <w:szCs w:val="21"/>
                <w:highlight w:val="none"/>
                <w:lang w:bidi="ar"/>
              </w:rPr>
              <w:t>：</w:t>
            </w:r>
          </w:p>
          <w:p w14:paraId="26594557">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eastAsia="zh-CN" w:bidi="ar"/>
              </w:rPr>
            </w:pPr>
            <w:r>
              <w:rPr>
                <w:rFonts w:hint="eastAsia" w:ascii="宋体" w:hAnsi="宋体" w:eastAsia="宋体" w:cs="宋体"/>
                <w:color w:val="auto"/>
                <w:szCs w:val="21"/>
                <w:highlight w:val="none"/>
                <w:lang w:bidi="ar"/>
              </w:rPr>
              <w:t>①对项目的理解和认识</w:t>
            </w:r>
            <w:r>
              <w:rPr>
                <w:rFonts w:hint="eastAsia" w:cs="宋体"/>
                <w:color w:val="auto"/>
                <w:szCs w:val="21"/>
                <w:highlight w:val="none"/>
                <w:lang w:eastAsia="zh-CN" w:bidi="ar"/>
              </w:rPr>
              <w:t>（</w:t>
            </w:r>
            <w:r>
              <w:rPr>
                <w:rFonts w:hint="eastAsia" w:cs="宋体"/>
                <w:color w:val="auto"/>
                <w:szCs w:val="21"/>
                <w:highlight w:val="none"/>
                <w:lang w:val="en-US" w:eastAsia="zh-CN" w:bidi="ar"/>
              </w:rPr>
              <w:t>含背景了解、采购人需求分析等</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w:t>
            </w:r>
          </w:p>
          <w:p w14:paraId="4AE5CEC3">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②项目总体实施方案</w:t>
            </w:r>
            <w:r>
              <w:rPr>
                <w:rFonts w:hint="eastAsia" w:cs="宋体"/>
                <w:color w:val="auto"/>
                <w:szCs w:val="21"/>
                <w:highlight w:val="none"/>
                <w:lang w:eastAsia="zh-CN" w:bidi="ar"/>
              </w:rPr>
              <w:t>（</w:t>
            </w:r>
            <w:r>
              <w:rPr>
                <w:rFonts w:hint="eastAsia" w:cs="宋体"/>
                <w:color w:val="auto"/>
                <w:szCs w:val="21"/>
                <w:highlight w:val="none"/>
                <w:lang w:val="en-US" w:eastAsia="zh-CN" w:bidi="ar"/>
              </w:rPr>
              <w:t>含同类项目施工流程、实施计划及预案等</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w:t>
            </w:r>
          </w:p>
          <w:p w14:paraId="2715C2EE">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bidi="ar"/>
              </w:rPr>
              <w:t>③工程重点难点分析</w:t>
            </w:r>
            <w:r>
              <w:rPr>
                <w:rFonts w:hint="eastAsia" w:cs="宋体"/>
                <w:color w:val="auto"/>
                <w:szCs w:val="21"/>
                <w:highlight w:val="none"/>
                <w:lang w:eastAsia="zh-CN" w:bidi="ar"/>
              </w:rPr>
              <w:t>（</w:t>
            </w:r>
            <w:r>
              <w:rPr>
                <w:rFonts w:hint="eastAsia" w:cs="宋体"/>
                <w:color w:val="auto"/>
                <w:szCs w:val="21"/>
                <w:highlight w:val="none"/>
                <w:lang w:val="en-US" w:eastAsia="zh-CN" w:bidi="ar"/>
              </w:rPr>
              <w:t>含零星修缮常见问题及相应处理措施等</w:t>
            </w:r>
            <w:r>
              <w:rPr>
                <w:rFonts w:hint="eastAsia" w:cs="宋体"/>
                <w:color w:val="auto"/>
                <w:szCs w:val="21"/>
                <w:highlight w:val="none"/>
                <w:lang w:eastAsia="zh-CN" w:bidi="ar"/>
              </w:rPr>
              <w:t>）</w:t>
            </w:r>
            <w:r>
              <w:rPr>
                <w:rFonts w:hint="eastAsia" w:ascii="宋体" w:hAnsi="宋体" w:eastAsia="宋体" w:cs="宋体"/>
                <w:color w:val="auto"/>
                <w:szCs w:val="21"/>
                <w:highlight w:val="none"/>
                <w:lang w:eastAsia="zh-CN" w:bidi="ar"/>
              </w:rPr>
              <w:t>。</w:t>
            </w:r>
          </w:p>
          <w:p w14:paraId="74603E13">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方案完整、有针对性，完全满足项目需求，得</w:t>
            </w:r>
            <w:r>
              <w:rPr>
                <w:rFonts w:hint="eastAsia" w:cs="宋体"/>
                <w:color w:val="auto"/>
                <w:szCs w:val="21"/>
                <w:highlight w:val="none"/>
                <w:lang w:val="en-US" w:eastAsia="zh-CN" w:bidi="ar"/>
              </w:rPr>
              <w:t>4.5</w:t>
            </w:r>
            <w:r>
              <w:rPr>
                <w:rFonts w:hint="eastAsia" w:ascii="宋体" w:hAnsi="宋体" w:eastAsia="宋体" w:cs="宋体"/>
                <w:color w:val="auto"/>
                <w:szCs w:val="21"/>
                <w:highlight w:val="none"/>
                <w:lang w:bidi="ar"/>
              </w:rPr>
              <w:t>分；</w:t>
            </w:r>
          </w:p>
          <w:p w14:paraId="2A62FC69">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每有1项内容存在缺陷，扣</w:t>
            </w:r>
            <w:r>
              <w:rPr>
                <w:rFonts w:hint="eastAsia" w:cs="宋体"/>
                <w:color w:val="auto"/>
                <w:szCs w:val="21"/>
                <w:highlight w:val="none"/>
                <w:lang w:val="en-US" w:eastAsia="zh-CN" w:bidi="ar"/>
              </w:rPr>
              <w:t>1</w:t>
            </w:r>
            <w:r>
              <w:rPr>
                <w:rFonts w:hint="eastAsia" w:ascii="宋体" w:hAnsi="宋体" w:eastAsia="宋体" w:cs="宋体"/>
                <w:color w:val="auto"/>
                <w:szCs w:val="21"/>
                <w:highlight w:val="none"/>
                <w:lang w:bidi="ar"/>
              </w:rPr>
              <w:t>分；</w:t>
            </w:r>
          </w:p>
          <w:p w14:paraId="34B53C69">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w:t>
            </w:r>
            <w:r>
              <w:rPr>
                <w:rFonts w:hint="eastAsia" w:cs="宋体"/>
                <w:color w:val="auto"/>
                <w:szCs w:val="21"/>
                <w:highlight w:val="none"/>
                <w:lang w:val="en-US" w:eastAsia="zh-CN" w:bidi="ar"/>
              </w:rPr>
              <w:t>未提供</w:t>
            </w:r>
            <w:r>
              <w:rPr>
                <w:rFonts w:hint="eastAsia" w:ascii="宋体" w:hAnsi="宋体" w:eastAsia="宋体" w:cs="宋体"/>
                <w:color w:val="auto"/>
                <w:szCs w:val="21"/>
                <w:highlight w:val="none"/>
                <w:lang w:bidi="ar"/>
              </w:rPr>
              <w:t>或完全无法满足项目需求，扣</w:t>
            </w:r>
            <w:r>
              <w:rPr>
                <w:rFonts w:hint="eastAsia" w:cs="宋体"/>
                <w:color w:val="auto"/>
                <w:szCs w:val="21"/>
                <w:highlight w:val="none"/>
                <w:lang w:val="en-US" w:eastAsia="zh-CN" w:bidi="ar"/>
              </w:rPr>
              <w:t>1.5</w:t>
            </w:r>
            <w:r>
              <w:rPr>
                <w:rFonts w:hint="eastAsia" w:ascii="宋体" w:hAnsi="宋体" w:eastAsia="宋体" w:cs="宋体"/>
                <w:color w:val="auto"/>
                <w:szCs w:val="21"/>
                <w:highlight w:val="none"/>
                <w:lang w:bidi="ar"/>
              </w:rPr>
              <w:t>分。</w:t>
            </w:r>
            <w:bookmarkEnd w:id="124"/>
            <w:r>
              <w:rPr>
                <w:rFonts w:hint="eastAsia" w:ascii="宋体" w:hAnsi="宋体" w:eastAsia="宋体" w:cs="宋体"/>
                <w:color w:val="auto"/>
                <w:szCs w:val="21"/>
                <w:highlight w:val="none"/>
                <w:lang w:bidi="ar"/>
              </w:rPr>
              <w:t>（共3项，最多扣</w:t>
            </w:r>
            <w:r>
              <w:rPr>
                <w:rFonts w:hint="eastAsia" w:cs="宋体"/>
                <w:color w:val="auto"/>
                <w:szCs w:val="21"/>
                <w:highlight w:val="none"/>
                <w:lang w:val="en-US" w:eastAsia="zh-CN" w:bidi="ar"/>
              </w:rPr>
              <w:t>4.5</w:t>
            </w:r>
            <w:r>
              <w:rPr>
                <w:rFonts w:hint="eastAsia" w:ascii="宋体" w:hAnsi="宋体" w:eastAsia="宋体" w:cs="宋体"/>
                <w:color w:val="auto"/>
                <w:szCs w:val="21"/>
                <w:highlight w:val="none"/>
                <w:lang w:bidi="ar"/>
              </w:rPr>
              <w:t>分）</w:t>
            </w:r>
          </w:p>
        </w:tc>
        <w:tc>
          <w:tcPr>
            <w:tcW w:w="900" w:type="dxa"/>
            <w:vAlign w:val="center"/>
          </w:tcPr>
          <w:p w14:paraId="609A1F72">
            <w:pPr>
              <w:keepLines w:val="0"/>
              <w:pageBreakBefore w:val="0"/>
              <w:widowControl w:val="0"/>
              <w:kinsoku/>
              <w:wordWrap/>
              <w:overflowPunct/>
              <w:topLinePunct w:val="0"/>
              <w:bidi w:val="0"/>
              <w:spacing w:beforeLines="0" w:afterLines="0"/>
              <w:jc w:val="center"/>
              <w:rPr>
                <w:rFonts w:hint="default" w:ascii="宋体" w:hAnsi="宋体" w:eastAsia="宋体" w:cs="宋体"/>
                <w:color w:val="auto"/>
                <w:highlight w:val="none"/>
                <w:lang w:val="en-US" w:eastAsia="zh-CN"/>
              </w:rPr>
            </w:pPr>
            <w:r>
              <w:rPr>
                <w:rFonts w:hint="eastAsia" w:cs="宋体"/>
                <w:color w:val="auto"/>
                <w:highlight w:val="none"/>
                <w:lang w:val="en-US" w:eastAsia="zh-CN"/>
              </w:rPr>
              <w:t>4.5</w:t>
            </w:r>
          </w:p>
        </w:tc>
      </w:tr>
      <w:tr w14:paraId="6DF41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jc w:val="center"/>
        </w:trPr>
        <w:tc>
          <w:tcPr>
            <w:tcW w:w="611" w:type="dxa"/>
            <w:shd w:val="clear" w:color="auto" w:fill="auto"/>
            <w:vAlign w:val="center"/>
          </w:tcPr>
          <w:p w14:paraId="7DB0F3C7">
            <w:pPr>
              <w:keepLines w:val="0"/>
              <w:pageBreakBefore w:val="0"/>
              <w:widowControl w:val="0"/>
              <w:kinsoku/>
              <w:wordWrap/>
              <w:overflowPunct/>
              <w:topLinePunct w:val="0"/>
              <w:bidi w:val="0"/>
              <w:spacing w:beforeLines="0" w:afterLines="0"/>
              <w:jc w:val="center"/>
              <w:rPr>
                <w:rFonts w:hint="eastAsia" w:ascii="宋体" w:hAnsi="宋体" w:eastAsia="宋体" w:cs="宋体"/>
                <w:color w:val="auto"/>
                <w:kern w:val="2"/>
                <w:sz w:val="21"/>
                <w:szCs w:val="24"/>
                <w:highlight w:val="none"/>
                <w:lang w:val="en-US" w:eastAsia="zh-CN" w:bidi="ar-SA"/>
              </w:rPr>
            </w:pPr>
            <w:r>
              <w:rPr>
                <w:rFonts w:hint="eastAsia" w:cs="宋体"/>
                <w:color w:val="auto"/>
                <w:highlight w:val="none"/>
                <w:lang w:val="en-US" w:eastAsia="zh-CN"/>
              </w:rPr>
              <w:t>2</w:t>
            </w:r>
          </w:p>
        </w:tc>
        <w:tc>
          <w:tcPr>
            <w:tcW w:w="1175" w:type="dxa"/>
            <w:vAlign w:val="center"/>
          </w:tcPr>
          <w:p w14:paraId="10C6B50D">
            <w:pPr>
              <w:keepLines w:val="0"/>
              <w:pageBreakBefore w:val="0"/>
              <w:widowControl w:val="0"/>
              <w:kinsoku/>
              <w:wordWrap/>
              <w:overflowPunct/>
              <w:topLinePunct w:val="0"/>
              <w:bidi w:val="0"/>
              <w:spacing w:beforeLines="0" w:afterLines="0"/>
              <w:ind w:left="-88" w:leftChars="-42" w:right="-15" w:rightChars="-7" w:firstLine="1"/>
              <w:jc w:val="center"/>
              <w:rPr>
                <w:rFonts w:hint="eastAsia" w:ascii="宋体" w:hAnsi="宋体" w:eastAsia="宋体" w:cs="宋体"/>
                <w:color w:val="auto"/>
                <w:highlight w:val="none"/>
              </w:rPr>
            </w:pPr>
            <w:r>
              <w:rPr>
                <w:rFonts w:hint="eastAsia" w:ascii="宋体" w:hAnsi="宋体" w:eastAsia="宋体" w:cs="宋体"/>
                <w:color w:val="auto"/>
                <w:spacing w:val="4"/>
                <w:highlight w:val="none"/>
                <w:lang w:val="en-US" w:eastAsia="zh-CN"/>
              </w:rPr>
              <w:t>工程质量</w:t>
            </w:r>
            <w:r>
              <w:rPr>
                <w:rFonts w:hint="eastAsia" w:ascii="宋体" w:hAnsi="宋体" w:eastAsia="宋体" w:cs="宋体"/>
                <w:color w:val="auto"/>
                <w:spacing w:val="4"/>
                <w:highlight w:val="none"/>
              </w:rPr>
              <w:t>保障措施</w:t>
            </w:r>
          </w:p>
        </w:tc>
        <w:tc>
          <w:tcPr>
            <w:tcW w:w="6937" w:type="dxa"/>
            <w:shd w:val="clear" w:color="auto" w:fill="auto"/>
            <w:vAlign w:val="center"/>
          </w:tcPr>
          <w:p w14:paraId="4307F409">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bidi="ar"/>
              </w:rPr>
            </w:pPr>
            <w:r>
              <w:rPr>
                <w:rFonts w:hint="eastAsia" w:cs="宋体"/>
                <w:color w:val="auto"/>
                <w:szCs w:val="21"/>
                <w:highlight w:val="none"/>
                <w:lang w:val="en-US" w:eastAsia="zh-CN" w:bidi="ar"/>
              </w:rPr>
              <w:t>响应供应商应结合同类项目经验及本</w:t>
            </w:r>
            <w:r>
              <w:rPr>
                <w:rFonts w:hint="eastAsia" w:ascii="宋体" w:hAnsi="宋体" w:eastAsia="宋体" w:cs="宋体"/>
                <w:color w:val="auto"/>
                <w:szCs w:val="21"/>
                <w:highlight w:val="none"/>
                <w:lang w:bidi="ar"/>
              </w:rPr>
              <w:t>项目</w:t>
            </w:r>
            <w:r>
              <w:rPr>
                <w:rFonts w:hint="eastAsia" w:cs="宋体"/>
                <w:color w:val="auto"/>
                <w:szCs w:val="21"/>
                <w:highlight w:val="none"/>
                <w:lang w:val="en-US" w:eastAsia="zh-CN" w:bidi="ar"/>
              </w:rPr>
              <w:t>采购需求，编制工程质量保障措施</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包括</w:t>
            </w:r>
            <w:r>
              <w:rPr>
                <w:rFonts w:hint="eastAsia" w:cs="宋体"/>
                <w:color w:val="auto"/>
                <w:szCs w:val="21"/>
                <w:highlight w:val="none"/>
                <w:lang w:val="en-US" w:eastAsia="zh-CN" w:bidi="ar"/>
              </w:rPr>
              <w:t>但不限于</w:t>
            </w:r>
            <w:r>
              <w:rPr>
                <w:rFonts w:hint="eastAsia" w:ascii="宋体" w:hAnsi="宋体" w:eastAsia="宋体" w:cs="宋体"/>
                <w:color w:val="auto"/>
                <w:szCs w:val="21"/>
                <w:highlight w:val="none"/>
                <w:lang w:bidi="ar"/>
              </w:rPr>
              <w:t>：</w:t>
            </w:r>
          </w:p>
          <w:p w14:paraId="70E18B1A">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eastAsia="zh-CN" w:bidi="ar"/>
              </w:rPr>
            </w:pPr>
            <w:r>
              <w:rPr>
                <w:rFonts w:hint="eastAsia" w:ascii="宋体" w:hAnsi="宋体" w:eastAsia="宋体" w:cs="宋体"/>
                <w:color w:val="auto"/>
                <w:szCs w:val="21"/>
                <w:highlight w:val="none"/>
                <w:lang w:bidi="ar"/>
              </w:rPr>
              <w:t>①</w:t>
            </w:r>
            <w:r>
              <w:rPr>
                <w:rFonts w:hint="eastAsia" w:cs="宋体"/>
                <w:color w:val="auto"/>
                <w:szCs w:val="21"/>
                <w:highlight w:val="none"/>
                <w:lang w:val="en-US" w:eastAsia="zh-CN" w:bidi="ar"/>
              </w:rPr>
              <w:t>工程</w:t>
            </w:r>
            <w:r>
              <w:rPr>
                <w:rFonts w:hint="eastAsia" w:ascii="宋体" w:hAnsi="宋体" w:eastAsia="宋体" w:cs="宋体"/>
                <w:color w:val="auto"/>
                <w:szCs w:val="21"/>
                <w:highlight w:val="none"/>
                <w:lang w:bidi="ar"/>
              </w:rPr>
              <w:t>质量标准</w:t>
            </w:r>
            <w:r>
              <w:rPr>
                <w:rFonts w:hint="eastAsia" w:cs="宋体"/>
                <w:color w:val="auto"/>
                <w:szCs w:val="21"/>
                <w:highlight w:val="none"/>
                <w:lang w:eastAsia="zh-CN" w:bidi="ar"/>
              </w:rPr>
              <w:t>（</w:t>
            </w:r>
            <w:r>
              <w:rPr>
                <w:rFonts w:hint="eastAsia" w:cs="宋体"/>
                <w:color w:val="auto"/>
                <w:szCs w:val="21"/>
                <w:highlight w:val="none"/>
                <w:lang w:val="en-US" w:eastAsia="zh-CN" w:bidi="ar"/>
              </w:rPr>
              <w:t>符合国家、广东省、珠海市及行业相关标准，并在此基础上制定施工单位的施工质量标准及考核</w:t>
            </w:r>
            <w:r>
              <w:rPr>
                <w:rFonts w:hint="eastAsia" w:cs="宋体"/>
                <w:color w:val="auto"/>
                <w:szCs w:val="21"/>
                <w:highlight w:val="none"/>
                <w:lang w:eastAsia="zh-CN" w:bidi="ar"/>
              </w:rPr>
              <w:t>）</w:t>
            </w:r>
            <w:r>
              <w:rPr>
                <w:rFonts w:hint="eastAsia" w:ascii="宋体" w:hAnsi="宋体" w:eastAsia="宋体" w:cs="宋体"/>
                <w:color w:val="auto"/>
                <w:szCs w:val="21"/>
                <w:highlight w:val="none"/>
                <w:lang w:eastAsia="zh-CN" w:bidi="ar"/>
              </w:rPr>
              <w:t>；</w:t>
            </w:r>
          </w:p>
          <w:p w14:paraId="2DE88E5D">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eastAsia="zh-CN" w:bidi="ar"/>
              </w:rPr>
            </w:pPr>
            <w:r>
              <w:rPr>
                <w:rFonts w:hint="eastAsia" w:ascii="宋体" w:hAnsi="宋体" w:eastAsia="宋体" w:cs="宋体"/>
                <w:color w:val="auto"/>
                <w:szCs w:val="21"/>
                <w:highlight w:val="none"/>
                <w:lang w:val="en-US" w:eastAsia="zh-CN" w:bidi="ar"/>
              </w:rPr>
              <w:t>②</w:t>
            </w:r>
            <w:r>
              <w:rPr>
                <w:rFonts w:hint="eastAsia" w:ascii="宋体" w:hAnsi="宋体" w:eastAsia="宋体" w:cs="宋体"/>
                <w:color w:val="auto"/>
                <w:szCs w:val="21"/>
                <w:highlight w:val="none"/>
                <w:lang w:bidi="ar"/>
              </w:rPr>
              <w:t>拟投入项目的资源配置</w:t>
            </w:r>
            <w:r>
              <w:rPr>
                <w:rFonts w:hint="eastAsia" w:cs="宋体"/>
                <w:color w:val="auto"/>
                <w:szCs w:val="21"/>
                <w:highlight w:val="none"/>
                <w:lang w:eastAsia="zh-CN" w:bidi="ar"/>
              </w:rPr>
              <w:t>（</w:t>
            </w:r>
            <w:r>
              <w:rPr>
                <w:rFonts w:hint="eastAsia" w:cs="宋体"/>
                <w:color w:val="auto"/>
                <w:szCs w:val="21"/>
                <w:highlight w:val="none"/>
                <w:lang w:val="en-US" w:eastAsia="zh-CN" w:bidi="ar"/>
              </w:rPr>
              <w:t>罗列协助保障施工质量的资源，如设备、材料、质检人员配置等</w:t>
            </w:r>
            <w:r>
              <w:rPr>
                <w:rFonts w:hint="eastAsia" w:cs="宋体"/>
                <w:color w:val="auto"/>
                <w:szCs w:val="21"/>
                <w:highlight w:val="none"/>
                <w:lang w:eastAsia="zh-CN" w:bidi="ar"/>
              </w:rPr>
              <w:t>）</w:t>
            </w:r>
            <w:r>
              <w:rPr>
                <w:rFonts w:hint="eastAsia" w:ascii="宋体" w:hAnsi="宋体" w:eastAsia="宋体" w:cs="宋体"/>
                <w:color w:val="auto"/>
                <w:szCs w:val="21"/>
                <w:highlight w:val="none"/>
                <w:lang w:eastAsia="zh-CN" w:bidi="ar"/>
              </w:rPr>
              <w:t>；</w:t>
            </w:r>
          </w:p>
          <w:p w14:paraId="11C02B5E">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bidi="ar"/>
              </w:rPr>
              <w:t>③</w:t>
            </w:r>
            <w:r>
              <w:rPr>
                <w:rFonts w:hint="eastAsia" w:ascii="宋体" w:hAnsi="宋体" w:eastAsia="宋体" w:cs="宋体"/>
                <w:color w:val="auto"/>
                <w:szCs w:val="21"/>
                <w:highlight w:val="none"/>
                <w:lang w:bidi="ar"/>
              </w:rPr>
              <w:t>施工质量保障措施等</w:t>
            </w:r>
            <w:r>
              <w:rPr>
                <w:rFonts w:hint="eastAsia" w:cs="宋体"/>
                <w:color w:val="auto"/>
                <w:szCs w:val="21"/>
                <w:highlight w:val="none"/>
                <w:lang w:eastAsia="zh-CN" w:bidi="ar"/>
              </w:rPr>
              <w:t>（</w:t>
            </w:r>
            <w:r>
              <w:rPr>
                <w:rFonts w:hint="eastAsia" w:cs="宋体"/>
                <w:color w:val="auto"/>
                <w:szCs w:val="21"/>
                <w:highlight w:val="none"/>
                <w:lang w:val="en-US" w:eastAsia="zh-CN" w:bidi="ar"/>
              </w:rPr>
              <w:t>能够保障工程质量的组织制度、风险应对措施、工期保证等</w:t>
            </w:r>
            <w:r>
              <w:rPr>
                <w:rFonts w:hint="eastAsia" w:cs="宋体"/>
                <w:color w:val="auto"/>
                <w:szCs w:val="21"/>
                <w:highlight w:val="none"/>
                <w:lang w:eastAsia="zh-CN" w:bidi="ar"/>
              </w:rPr>
              <w:t>）</w:t>
            </w:r>
            <w:r>
              <w:rPr>
                <w:rFonts w:hint="eastAsia" w:ascii="宋体" w:hAnsi="宋体" w:eastAsia="宋体" w:cs="宋体"/>
                <w:color w:val="auto"/>
                <w:szCs w:val="21"/>
                <w:highlight w:val="none"/>
                <w:lang w:eastAsia="zh-CN" w:bidi="ar"/>
              </w:rPr>
              <w:t>。</w:t>
            </w:r>
          </w:p>
          <w:p w14:paraId="18471525">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方案完整、有针对性，完全满足项目需求，得</w:t>
            </w:r>
            <w:r>
              <w:rPr>
                <w:rFonts w:hint="eastAsia" w:cs="宋体"/>
                <w:color w:val="auto"/>
                <w:szCs w:val="21"/>
                <w:highlight w:val="none"/>
                <w:lang w:val="en-US" w:eastAsia="zh-CN" w:bidi="ar"/>
              </w:rPr>
              <w:t>4.5</w:t>
            </w:r>
            <w:r>
              <w:rPr>
                <w:rFonts w:hint="eastAsia" w:ascii="宋体" w:hAnsi="宋体" w:eastAsia="宋体" w:cs="宋体"/>
                <w:color w:val="auto"/>
                <w:szCs w:val="21"/>
                <w:highlight w:val="none"/>
                <w:lang w:bidi="ar"/>
              </w:rPr>
              <w:t>分；</w:t>
            </w:r>
          </w:p>
          <w:p w14:paraId="0B4E910A">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每有1项内容存在缺陷，扣</w:t>
            </w:r>
            <w:r>
              <w:rPr>
                <w:rFonts w:hint="eastAsia" w:cs="宋体"/>
                <w:color w:val="auto"/>
                <w:szCs w:val="21"/>
                <w:highlight w:val="none"/>
                <w:lang w:val="en-US" w:eastAsia="zh-CN" w:bidi="ar"/>
              </w:rPr>
              <w:t>1</w:t>
            </w:r>
            <w:r>
              <w:rPr>
                <w:rFonts w:hint="eastAsia" w:ascii="宋体" w:hAnsi="宋体" w:eastAsia="宋体" w:cs="宋体"/>
                <w:color w:val="auto"/>
                <w:szCs w:val="21"/>
                <w:highlight w:val="none"/>
                <w:lang w:bidi="ar"/>
              </w:rPr>
              <w:t>分；</w:t>
            </w:r>
          </w:p>
          <w:p w14:paraId="4A490F97">
            <w:pPr>
              <w:keepLines w:val="0"/>
              <w:pageBreakBefore w:val="0"/>
              <w:widowControl w:val="0"/>
              <w:kinsoku/>
              <w:wordWrap/>
              <w:overflowPunct/>
              <w:topLinePunct w:val="0"/>
              <w:bidi w:val="0"/>
              <w:spacing w:beforeLines="0" w:afterLines="0"/>
              <w:jc w:val="left"/>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Cs w:val="21"/>
                <w:highlight w:val="none"/>
                <w:lang w:bidi="ar"/>
              </w:rPr>
              <w:t>每有1项内容</w:t>
            </w:r>
            <w:r>
              <w:rPr>
                <w:rFonts w:hint="eastAsia" w:cs="宋体"/>
                <w:color w:val="auto"/>
                <w:szCs w:val="21"/>
                <w:highlight w:val="none"/>
                <w:lang w:eastAsia="zh-CN" w:bidi="ar"/>
              </w:rPr>
              <w:t>未提供</w:t>
            </w:r>
            <w:r>
              <w:rPr>
                <w:rFonts w:hint="eastAsia" w:ascii="宋体" w:hAnsi="宋体" w:eastAsia="宋体" w:cs="宋体"/>
                <w:color w:val="auto"/>
                <w:szCs w:val="21"/>
                <w:highlight w:val="none"/>
                <w:lang w:bidi="ar"/>
              </w:rPr>
              <w:t>或完全无法满足项目需求，扣</w:t>
            </w:r>
            <w:r>
              <w:rPr>
                <w:rFonts w:hint="eastAsia" w:cs="宋体"/>
                <w:color w:val="auto"/>
                <w:szCs w:val="21"/>
                <w:highlight w:val="none"/>
                <w:lang w:val="en-US" w:eastAsia="zh-CN" w:bidi="ar"/>
              </w:rPr>
              <w:t>1.5</w:t>
            </w:r>
            <w:r>
              <w:rPr>
                <w:rFonts w:hint="eastAsia" w:ascii="宋体" w:hAnsi="宋体" w:eastAsia="宋体" w:cs="宋体"/>
                <w:color w:val="auto"/>
                <w:szCs w:val="21"/>
                <w:highlight w:val="none"/>
                <w:lang w:bidi="ar"/>
              </w:rPr>
              <w:t>分。（共3项，最多扣</w:t>
            </w:r>
            <w:r>
              <w:rPr>
                <w:rFonts w:hint="eastAsia" w:cs="宋体"/>
                <w:color w:val="auto"/>
                <w:szCs w:val="21"/>
                <w:highlight w:val="none"/>
                <w:lang w:val="en-US" w:eastAsia="zh-CN" w:bidi="ar"/>
              </w:rPr>
              <w:t>4.5</w:t>
            </w:r>
            <w:r>
              <w:rPr>
                <w:rFonts w:hint="eastAsia" w:ascii="宋体" w:hAnsi="宋体" w:eastAsia="宋体" w:cs="宋体"/>
                <w:color w:val="auto"/>
                <w:szCs w:val="21"/>
                <w:highlight w:val="none"/>
                <w:lang w:bidi="ar"/>
              </w:rPr>
              <w:t>分）</w:t>
            </w:r>
          </w:p>
        </w:tc>
        <w:tc>
          <w:tcPr>
            <w:tcW w:w="900" w:type="dxa"/>
            <w:shd w:val="clear" w:color="auto" w:fill="auto"/>
            <w:vAlign w:val="center"/>
          </w:tcPr>
          <w:p w14:paraId="0E51061C">
            <w:pPr>
              <w:keepLines w:val="0"/>
              <w:pageBreakBefore w:val="0"/>
              <w:widowControl w:val="0"/>
              <w:kinsoku/>
              <w:wordWrap/>
              <w:overflowPunct/>
              <w:topLinePunct w:val="0"/>
              <w:bidi w:val="0"/>
              <w:spacing w:beforeLines="0" w:afterLines="0"/>
              <w:jc w:val="center"/>
              <w:rPr>
                <w:rFonts w:hint="default" w:ascii="宋体" w:hAnsi="宋体" w:eastAsia="宋体" w:cs="宋体"/>
                <w:color w:val="auto"/>
                <w:kern w:val="2"/>
                <w:sz w:val="21"/>
                <w:szCs w:val="24"/>
                <w:highlight w:val="none"/>
                <w:lang w:val="en-US" w:eastAsia="zh-CN" w:bidi="ar-SA"/>
              </w:rPr>
            </w:pPr>
            <w:r>
              <w:rPr>
                <w:rFonts w:hint="eastAsia" w:cs="宋体"/>
                <w:color w:val="auto"/>
                <w:highlight w:val="none"/>
                <w:lang w:val="en-US" w:eastAsia="zh-CN"/>
              </w:rPr>
              <w:t>4.5</w:t>
            </w:r>
          </w:p>
        </w:tc>
      </w:tr>
      <w:tr w14:paraId="3F38C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611" w:type="dxa"/>
            <w:shd w:val="clear" w:color="auto" w:fill="auto"/>
            <w:vAlign w:val="center"/>
          </w:tcPr>
          <w:p w14:paraId="089DF4D6">
            <w:pPr>
              <w:keepLines w:val="0"/>
              <w:pageBreakBefore w:val="0"/>
              <w:widowControl w:val="0"/>
              <w:kinsoku/>
              <w:wordWrap/>
              <w:overflowPunct/>
              <w:topLinePunct w:val="0"/>
              <w:bidi w:val="0"/>
              <w:spacing w:beforeLines="0" w:afterLines="0"/>
              <w:jc w:val="center"/>
              <w:rPr>
                <w:rFonts w:hint="eastAsia" w:ascii="宋体" w:hAnsi="宋体" w:eastAsia="宋体" w:cs="宋体"/>
                <w:color w:val="auto"/>
                <w:kern w:val="2"/>
                <w:sz w:val="21"/>
                <w:szCs w:val="24"/>
                <w:highlight w:val="none"/>
                <w:lang w:val="en-US" w:eastAsia="zh-CN" w:bidi="ar-SA"/>
              </w:rPr>
            </w:pPr>
            <w:r>
              <w:rPr>
                <w:rFonts w:hint="eastAsia" w:cs="宋体"/>
                <w:color w:val="auto"/>
                <w:highlight w:val="none"/>
                <w:lang w:val="en-US" w:eastAsia="zh-CN"/>
              </w:rPr>
              <w:t>3</w:t>
            </w:r>
          </w:p>
        </w:tc>
        <w:tc>
          <w:tcPr>
            <w:tcW w:w="1175" w:type="dxa"/>
            <w:vAlign w:val="center"/>
          </w:tcPr>
          <w:p w14:paraId="2E64CB45">
            <w:pPr>
              <w:keepLines w:val="0"/>
              <w:pageBreakBefore w:val="0"/>
              <w:widowControl w:val="0"/>
              <w:kinsoku/>
              <w:wordWrap/>
              <w:overflowPunct/>
              <w:topLinePunct w:val="0"/>
              <w:bidi w:val="0"/>
              <w:spacing w:beforeLines="0" w:afterLines="0"/>
              <w:jc w:val="center"/>
              <w:rPr>
                <w:rFonts w:hint="eastAsia" w:ascii="宋体" w:hAnsi="宋体" w:eastAsia="宋体" w:cs="宋体"/>
                <w:color w:val="auto"/>
                <w:highlight w:val="none"/>
              </w:rPr>
            </w:pPr>
            <w:r>
              <w:rPr>
                <w:rFonts w:hint="eastAsia" w:ascii="宋体" w:hAnsi="宋体" w:eastAsia="宋体" w:cs="宋体"/>
                <w:color w:val="auto"/>
                <w:highlight w:val="none"/>
              </w:rPr>
              <w:t>售后服务及保修方案</w:t>
            </w:r>
          </w:p>
        </w:tc>
        <w:tc>
          <w:tcPr>
            <w:tcW w:w="6937" w:type="dxa"/>
            <w:vAlign w:val="center"/>
          </w:tcPr>
          <w:p w14:paraId="6240F48F">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bidi="ar"/>
              </w:rPr>
            </w:pPr>
            <w:bookmarkStart w:id="125" w:name="OLE_LINK8"/>
            <w:r>
              <w:rPr>
                <w:rFonts w:hint="eastAsia" w:cs="宋体"/>
                <w:color w:val="auto"/>
                <w:szCs w:val="21"/>
                <w:highlight w:val="none"/>
                <w:lang w:val="en-US" w:eastAsia="zh-CN" w:bidi="ar"/>
              </w:rPr>
              <w:t>响应供应商应结合同类项目经验及本</w:t>
            </w:r>
            <w:r>
              <w:rPr>
                <w:rFonts w:hint="eastAsia" w:ascii="宋体" w:hAnsi="宋体" w:eastAsia="宋体" w:cs="宋体"/>
                <w:color w:val="auto"/>
                <w:szCs w:val="21"/>
                <w:highlight w:val="none"/>
                <w:lang w:bidi="ar"/>
              </w:rPr>
              <w:t>项目</w:t>
            </w:r>
            <w:r>
              <w:rPr>
                <w:rFonts w:hint="eastAsia" w:cs="宋体"/>
                <w:color w:val="auto"/>
                <w:szCs w:val="21"/>
                <w:highlight w:val="none"/>
                <w:lang w:val="en-US" w:eastAsia="zh-CN" w:bidi="ar"/>
              </w:rPr>
              <w:t>采购需求，制定</w:t>
            </w:r>
            <w:r>
              <w:rPr>
                <w:rFonts w:hint="eastAsia" w:ascii="宋体" w:hAnsi="宋体" w:eastAsia="宋体" w:cs="宋体"/>
                <w:color w:val="auto"/>
                <w:highlight w:val="none"/>
              </w:rPr>
              <w:t>售后服务及保修方案</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包括</w:t>
            </w:r>
            <w:r>
              <w:rPr>
                <w:rFonts w:hint="eastAsia" w:cs="宋体"/>
                <w:color w:val="auto"/>
                <w:szCs w:val="21"/>
                <w:highlight w:val="none"/>
                <w:lang w:val="en-US" w:eastAsia="zh-CN" w:bidi="ar"/>
              </w:rPr>
              <w:t>但不限于</w:t>
            </w:r>
            <w:r>
              <w:rPr>
                <w:rFonts w:hint="eastAsia" w:ascii="宋体" w:hAnsi="宋体" w:eastAsia="宋体" w:cs="宋体"/>
                <w:color w:val="auto"/>
                <w:szCs w:val="21"/>
                <w:highlight w:val="none"/>
                <w:lang w:bidi="ar"/>
              </w:rPr>
              <w:t>：</w:t>
            </w:r>
          </w:p>
          <w:p w14:paraId="4FBD8C56">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①售后服务承诺</w:t>
            </w:r>
            <w:r>
              <w:rPr>
                <w:rFonts w:hint="eastAsia" w:cs="宋体"/>
                <w:color w:val="auto"/>
                <w:szCs w:val="21"/>
                <w:highlight w:val="none"/>
                <w:lang w:eastAsia="zh-CN" w:bidi="ar"/>
              </w:rPr>
              <w:t>（</w:t>
            </w:r>
            <w:r>
              <w:rPr>
                <w:rFonts w:hint="eastAsia" w:cs="宋体"/>
                <w:color w:val="auto"/>
                <w:szCs w:val="21"/>
                <w:highlight w:val="none"/>
                <w:lang w:val="en-US" w:eastAsia="zh-CN" w:bidi="ar"/>
              </w:rPr>
              <w:t>需包含响应时间、服务专员安排等</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w:t>
            </w:r>
          </w:p>
          <w:p w14:paraId="15BC4796">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bidi="ar"/>
              </w:rPr>
              <w:t>②售后服务具体保证措施</w:t>
            </w:r>
            <w:r>
              <w:rPr>
                <w:rFonts w:hint="eastAsia" w:cs="宋体"/>
                <w:color w:val="auto"/>
                <w:szCs w:val="21"/>
                <w:highlight w:val="none"/>
                <w:lang w:eastAsia="zh-CN" w:bidi="ar"/>
              </w:rPr>
              <w:t>（</w:t>
            </w:r>
            <w:r>
              <w:rPr>
                <w:rFonts w:hint="eastAsia" w:cs="宋体"/>
                <w:color w:val="auto"/>
                <w:szCs w:val="21"/>
                <w:highlight w:val="none"/>
                <w:lang w:val="en-US" w:eastAsia="zh-CN" w:bidi="ar"/>
              </w:rPr>
              <w:t>需包含针对整个项目和单项工程的售后服务安排</w:t>
            </w:r>
            <w:r>
              <w:rPr>
                <w:rFonts w:hint="eastAsia" w:cs="宋体"/>
                <w:color w:val="auto"/>
                <w:szCs w:val="21"/>
                <w:highlight w:val="none"/>
                <w:lang w:eastAsia="zh-CN" w:bidi="ar"/>
              </w:rPr>
              <w:t>）</w:t>
            </w:r>
            <w:r>
              <w:rPr>
                <w:rFonts w:hint="eastAsia" w:ascii="宋体" w:hAnsi="宋体" w:eastAsia="宋体" w:cs="宋体"/>
                <w:color w:val="auto"/>
                <w:szCs w:val="21"/>
                <w:highlight w:val="none"/>
                <w:lang w:eastAsia="zh-CN" w:bidi="ar"/>
              </w:rPr>
              <w:t>。</w:t>
            </w:r>
          </w:p>
          <w:p w14:paraId="7CE31AA6">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方案完整、有针对性，完全满足项目需求，得</w:t>
            </w:r>
            <w:r>
              <w:rPr>
                <w:rFonts w:hint="eastAsia" w:cs="宋体"/>
                <w:color w:val="auto"/>
                <w:szCs w:val="21"/>
                <w:highlight w:val="none"/>
                <w:lang w:val="en-US" w:eastAsia="zh-CN" w:bidi="ar"/>
              </w:rPr>
              <w:t>5</w:t>
            </w:r>
            <w:r>
              <w:rPr>
                <w:rFonts w:hint="eastAsia" w:ascii="宋体" w:hAnsi="宋体" w:eastAsia="宋体" w:cs="宋体"/>
                <w:color w:val="auto"/>
                <w:szCs w:val="21"/>
                <w:highlight w:val="none"/>
                <w:lang w:bidi="ar"/>
              </w:rPr>
              <w:t>分；</w:t>
            </w:r>
          </w:p>
          <w:p w14:paraId="2E71B00B">
            <w:pPr>
              <w:keepLines w:val="0"/>
              <w:pageBreakBefore w:val="0"/>
              <w:widowControl w:val="0"/>
              <w:kinsoku/>
              <w:wordWrap/>
              <w:overflowPunct/>
              <w:topLinePunct w:val="0"/>
              <w:bidi w:val="0"/>
              <w:spacing w:beforeLines="0" w:afterLine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每有1项内容存在缺陷，扣1</w:t>
            </w:r>
            <w:r>
              <w:rPr>
                <w:rFonts w:hint="eastAsia" w:cs="宋体"/>
                <w:color w:val="auto"/>
                <w:szCs w:val="21"/>
                <w:highlight w:val="none"/>
                <w:lang w:val="en-US" w:eastAsia="zh-CN" w:bidi="ar"/>
              </w:rPr>
              <w:t>.5</w:t>
            </w:r>
            <w:r>
              <w:rPr>
                <w:rFonts w:hint="eastAsia" w:ascii="宋体" w:hAnsi="宋体" w:eastAsia="宋体" w:cs="宋体"/>
                <w:color w:val="auto"/>
                <w:szCs w:val="21"/>
                <w:highlight w:val="none"/>
                <w:lang w:bidi="ar"/>
              </w:rPr>
              <w:t>分；</w:t>
            </w:r>
          </w:p>
          <w:p w14:paraId="2D67B5DA">
            <w:pPr>
              <w:keepLines w:val="0"/>
              <w:pageBreakBefore w:val="0"/>
              <w:widowControl w:val="0"/>
              <w:kinsoku/>
              <w:wordWrap/>
              <w:overflowPunct/>
              <w:topLinePunct w:val="0"/>
              <w:bidi w:val="0"/>
              <w:spacing w:beforeLines="0" w:afterLines="0"/>
              <w:jc w:val="left"/>
              <w:rPr>
                <w:rFonts w:hint="eastAsia" w:ascii="宋体" w:hAnsi="宋体" w:eastAsia="宋体" w:cs="宋体"/>
                <w:color w:val="auto"/>
                <w:highlight w:val="none"/>
              </w:rPr>
            </w:pPr>
            <w:r>
              <w:rPr>
                <w:rFonts w:hint="eastAsia" w:ascii="宋体" w:hAnsi="宋体" w:eastAsia="宋体" w:cs="宋体"/>
                <w:color w:val="auto"/>
                <w:szCs w:val="21"/>
                <w:highlight w:val="none"/>
                <w:lang w:bidi="ar"/>
              </w:rPr>
              <w:t>每有1项内容</w:t>
            </w:r>
            <w:r>
              <w:rPr>
                <w:rFonts w:hint="eastAsia" w:cs="宋体"/>
                <w:color w:val="auto"/>
                <w:szCs w:val="21"/>
                <w:highlight w:val="none"/>
                <w:lang w:eastAsia="zh-CN" w:bidi="ar"/>
              </w:rPr>
              <w:t>未提供</w:t>
            </w:r>
            <w:r>
              <w:rPr>
                <w:rFonts w:hint="eastAsia" w:ascii="宋体" w:hAnsi="宋体" w:eastAsia="宋体" w:cs="宋体"/>
                <w:color w:val="auto"/>
                <w:szCs w:val="21"/>
                <w:highlight w:val="none"/>
                <w:lang w:bidi="ar"/>
              </w:rPr>
              <w:t>或完全无法满足项目需求，扣</w:t>
            </w:r>
            <w:r>
              <w:rPr>
                <w:rFonts w:hint="eastAsia" w:cs="宋体"/>
                <w:color w:val="auto"/>
                <w:szCs w:val="21"/>
                <w:highlight w:val="none"/>
                <w:lang w:val="en-US" w:eastAsia="zh-CN" w:bidi="ar"/>
              </w:rPr>
              <w:t>2.5</w:t>
            </w:r>
            <w:r>
              <w:rPr>
                <w:rFonts w:hint="eastAsia" w:ascii="宋体" w:hAnsi="宋体" w:eastAsia="宋体" w:cs="宋体"/>
                <w:color w:val="auto"/>
                <w:szCs w:val="21"/>
                <w:highlight w:val="none"/>
                <w:lang w:bidi="ar"/>
              </w:rPr>
              <w:t>分。</w:t>
            </w:r>
            <w:bookmarkEnd w:id="125"/>
            <w:r>
              <w:rPr>
                <w:rFonts w:hint="eastAsia" w:ascii="宋体" w:hAnsi="宋体" w:eastAsia="宋体" w:cs="宋体"/>
                <w:color w:val="auto"/>
                <w:szCs w:val="21"/>
                <w:highlight w:val="none"/>
                <w:lang w:bidi="ar"/>
              </w:rPr>
              <w:t>（共</w:t>
            </w:r>
            <w:r>
              <w:rPr>
                <w:rFonts w:hint="eastAsia" w:cs="宋体"/>
                <w:color w:val="auto"/>
                <w:szCs w:val="21"/>
                <w:highlight w:val="none"/>
                <w:lang w:val="en-US" w:eastAsia="zh-CN" w:bidi="ar"/>
              </w:rPr>
              <w:t>2</w:t>
            </w:r>
            <w:r>
              <w:rPr>
                <w:rFonts w:hint="eastAsia" w:ascii="宋体" w:hAnsi="宋体" w:eastAsia="宋体" w:cs="宋体"/>
                <w:color w:val="auto"/>
                <w:szCs w:val="21"/>
                <w:highlight w:val="none"/>
                <w:lang w:bidi="ar"/>
              </w:rPr>
              <w:t>项，最多扣</w:t>
            </w:r>
            <w:r>
              <w:rPr>
                <w:rFonts w:hint="eastAsia" w:cs="宋体"/>
                <w:color w:val="auto"/>
                <w:szCs w:val="21"/>
                <w:highlight w:val="none"/>
                <w:lang w:val="en-US" w:eastAsia="zh-CN" w:bidi="ar"/>
              </w:rPr>
              <w:t>5</w:t>
            </w:r>
            <w:r>
              <w:rPr>
                <w:rFonts w:hint="eastAsia" w:ascii="宋体" w:hAnsi="宋体" w:eastAsia="宋体" w:cs="宋体"/>
                <w:color w:val="auto"/>
                <w:szCs w:val="21"/>
                <w:highlight w:val="none"/>
                <w:lang w:bidi="ar"/>
              </w:rPr>
              <w:t>分）</w:t>
            </w:r>
          </w:p>
        </w:tc>
        <w:tc>
          <w:tcPr>
            <w:tcW w:w="900" w:type="dxa"/>
            <w:vAlign w:val="center"/>
          </w:tcPr>
          <w:p w14:paraId="0B1FDABC">
            <w:pPr>
              <w:keepLines w:val="0"/>
              <w:pageBreakBefore w:val="0"/>
              <w:widowControl w:val="0"/>
              <w:kinsoku/>
              <w:wordWrap/>
              <w:overflowPunct/>
              <w:topLinePunct w:val="0"/>
              <w:bidi w:val="0"/>
              <w:spacing w:beforeLines="0" w:afterLines="0"/>
              <w:jc w:val="center"/>
              <w:rPr>
                <w:rFonts w:hint="eastAsia" w:ascii="宋体" w:hAnsi="宋体" w:eastAsia="宋体" w:cs="宋体"/>
                <w:color w:val="auto"/>
                <w:highlight w:val="none"/>
                <w:lang w:eastAsia="zh-CN"/>
              </w:rPr>
            </w:pPr>
            <w:r>
              <w:rPr>
                <w:rFonts w:hint="eastAsia" w:cs="宋体"/>
                <w:color w:val="auto"/>
                <w:highlight w:val="none"/>
                <w:lang w:val="en-US" w:eastAsia="zh-CN"/>
              </w:rPr>
              <w:t>5</w:t>
            </w:r>
          </w:p>
        </w:tc>
      </w:tr>
      <w:tr w14:paraId="76D85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7" w:hRule="atLeast"/>
          <w:jc w:val="center"/>
        </w:trPr>
        <w:tc>
          <w:tcPr>
            <w:tcW w:w="611" w:type="dxa"/>
            <w:shd w:val="clear" w:color="auto" w:fill="auto"/>
            <w:vAlign w:val="center"/>
          </w:tcPr>
          <w:p w14:paraId="6AD7A0F0">
            <w:pPr>
              <w:keepLines w:val="0"/>
              <w:pageBreakBefore w:val="0"/>
              <w:widowControl w:val="0"/>
              <w:kinsoku/>
              <w:wordWrap/>
              <w:overflowPunct/>
              <w:topLinePunct w:val="0"/>
              <w:bidi w:val="0"/>
              <w:spacing w:beforeLines="0" w:afterLines="0"/>
              <w:jc w:val="center"/>
              <w:rPr>
                <w:rFonts w:hint="eastAsia" w:ascii="宋体" w:hAnsi="宋体" w:eastAsia="宋体" w:cs="宋体"/>
                <w:color w:val="auto"/>
                <w:kern w:val="2"/>
                <w:sz w:val="21"/>
                <w:szCs w:val="24"/>
                <w:highlight w:val="none"/>
                <w:lang w:val="en-US" w:eastAsia="zh-CN" w:bidi="ar-SA"/>
              </w:rPr>
            </w:pPr>
            <w:r>
              <w:rPr>
                <w:rFonts w:hint="eastAsia" w:cs="宋体"/>
                <w:color w:val="auto"/>
                <w:highlight w:val="none"/>
                <w:lang w:val="en-US" w:eastAsia="zh-CN"/>
              </w:rPr>
              <w:t>4</w:t>
            </w:r>
          </w:p>
        </w:tc>
        <w:tc>
          <w:tcPr>
            <w:tcW w:w="1175" w:type="dxa"/>
            <w:vAlign w:val="center"/>
          </w:tcPr>
          <w:p w14:paraId="2DE3041C">
            <w:pPr>
              <w:keepLines w:val="0"/>
              <w:pageBreakBefore w:val="0"/>
              <w:widowControl w:val="0"/>
              <w:kinsoku/>
              <w:wordWrap/>
              <w:overflowPunct/>
              <w:topLinePunct w:val="0"/>
              <w:bidi w:val="0"/>
              <w:spacing w:beforeLines="0" w:afterLines="0"/>
              <w:jc w:val="center"/>
              <w:rPr>
                <w:rFonts w:hint="eastAsia" w:ascii="宋体" w:hAnsi="宋体" w:eastAsia="宋体" w:cs="宋体"/>
                <w:color w:val="auto"/>
                <w:highlight w:val="none"/>
              </w:rPr>
            </w:pPr>
            <w:r>
              <w:rPr>
                <w:rFonts w:hint="eastAsia" w:ascii="宋体" w:hAnsi="宋体" w:eastAsia="宋体" w:cs="宋体"/>
                <w:color w:val="auto"/>
                <w:highlight w:val="none"/>
              </w:rPr>
              <w:t>项目安全施工方案</w:t>
            </w:r>
          </w:p>
        </w:tc>
        <w:tc>
          <w:tcPr>
            <w:tcW w:w="6937" w:type="dxa"/>
            <w:vAlign w:val="center"/>
          </w:tcPr>
          <w:p w14:paraId="1AF944E3">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lang w:bidi="ar"/>
              </w:rPr>
            </w:pPr>
            <w:bookmarkStart w:id="126" w:name="OLE_LINK16"/>
            <w:r>
              <w:rPr>
                <w:rFonts w:hint="eastAsia" w:cs="宋体"/>
                <w:color w:val="auto"/>
                <w:szCs w:val="21"/>
                <w:highlight w:val="none"/>
                <w:lang w:val="en-US" w:eastAsia="zh-CN" w:bidi="ar"/>
              </w:rPr>
              <w:t>响应供应商应结合同类项目经验及本</w:t>
            </w:r>
            <w:r>
              <w:rPr>
                <w:rFonts w:hint="eastAsia" w:ascii="宋体" w:hAnsi="宋体" w:eastAsia="宋体" w:cs="宋体"/>
                <w:color w:val="auto"/>
                <w:szCs w:val="21"/>
                <w:highlight w:val="none"/>
                <w:lang w:bidi="ar"/>
              </w:rPr>
              <w:t>项目</w:t>
            </w:r>
            <w:r>
              <w:rPr>
                <w:rFonts w:hint="eastAsia" w:cs="宋体"/>
                <w:color w:val="auto"/>
                <w:szCs w:val="21"/>
                <w:highlight w:val="none"/>
                <w:lang w:val="en-US" w:eastAsia="zh-CN" w:bidi="ar"/>
              </w:rPr>
              <w:t>采购需求，制定</w:t>
            </w:r>
            <w:r>
              <w:rPr>
                <w:rFonts w:hint="eastAsia" w:ascii="宋体" w:hAnsi="宋体" w:eastAsia="宋体" w:cs="宋体"/>
                <w:color w:val="auto"/>
                <w:szCs w:val="21"/>
                <w:highlight w:val="none"/>
                <w:lang w:bidi="ar"/>
              </w:rPr>
              <w:t>安全施工方案</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包括</w:t>
            </w:r>
            <w:r>
              <w:rPr>
                <w:rFonts w:hint="eastAsia" w:cs="宋体"/>
                <w:color w:val="auto"/>
                <w:szCs w:val="21"/>
                <w:highlight w:val="none"/>
                <w:lang w:val="en-US" w:eastAsia="zh-CN" w:bidi="ar"/>
              </w:rPr>
              <w:t>但不限于</w:t>
            </w:r>
            <w:r>
              <w:rPr>
                <w:rFonts w:hint="eastAsia" w:ascii="宋体" w:hAnsi="宋体" w:eastAsia="宋体" w:cs="宋体"/>
                <w:color w:val="auto"/>
                <w:szCs w:val="21"/>
                <w:highlight w:val="none"/>
                <w:lang w:bidi="ar"/>
              </w:rPr>
              <w:t>：</w:t>
            </w:r>
          </w:p>
          <w:p w14:paraId="2DAAC75E">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①安全施工方案</w:t>
            </w:r>
            <w:r>
              <w:rPr>
                <w:rFonts w:hint="eastAsia" w:cs="宋体"/>
                <w:color w:val="auto"/>
                <w:szCs w:val="21"/>
                <w:highlight w:val="none"/>
                <w:lang w:eastAsia="zh-CN" w:bidi="ar"/>
              </w:rPr>
              <w:t>（</w:t>
            </w:r>
            <w:r>
              <w:rPr>
                <w:rFonts w:hint="eastAsia" w:cs="宋体"/>
                <w:color w:val="auto"/>
                <w:szCs w:val="21"/>
                <w:highlight w:val="none"/>
                <w:lang w:val="en-US" w:eastAsia="zh-CN" w:bidi="ar"/>
              </w:rPr>
              <w:t>罗列单项工程可能存在的安全隐患，及对应的解决措施</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w:t>
            </w:r>
          </w:p>
          <w:p w14:paraId="6262BEDF">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②安全防护保障措施</w:t>
            </w:r>
            <w:r>
              <w:rPr>
                <w:rFonts w:hint="eastAsia" w:cs="宋体"/>
                <w:color w:val="auto"/>
                <w:szCs w:val="21"/>
                <w:highlight w:val="none"/>
                <w:lang w:eastAsia="zh-CN" w:bidi="ar"/>
              </w:rPr>
              <w:t>（</w:t>
            </w:r>
            <w:r>
              <w:rPr>
                <w:rFonts w:hint="eastAsia" w:cs="宋体"/>
                <w:color w:val="auto"/>
                <w:szCs w:val="21"/>
                <w:highlight w:val="none"/>
                <w:lang w:val="en-US" w:eastAsia="zh-CN" w:bidi="ar"/>
              </w:rPr>
              <w:t>针对单项工程制定通用的、满足大部分情况的安全防护措施</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w:t>
            </w:r>
          </w:p>
          <w:p w14:paraId="068CE3BD">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bidi="ar"/>
              </w:rPr>
              <w:t>③施工人员的保险措施</w:t>
            </w:r>
            <w:r>
              <w:rPr>
                <w:rFonts w:hint="eastAsia" w:cs="宋体"/>
                <w:color w:val="auto"/>
                <w:szCs w:val="21"/>
                <w:highlight w:val="none"/>
                <w:lang w:eastAsia="zh-CN" w:bidi="ar"/>
              </w:rPr>
              <w:t>（</w:t>
            </w:r>
            <w:r>
              <w:rPr>
                <w:rFonts w:hint="eastAsia" w:cs="宋体"/>
                <w:color w:val="auto"/>
                <w:szCs w:val="21"/>
                <w:highlight w:val="none"/>
                <w:lang w:val="en-US" w:eastAsia="zh-CN" w:bidi="ar"/>
              </w:rPr>
              <w:t>含保险购买、工伤解决流程等</w:t>
            </w:r>
            <w:r>
              <w:rPr>
                <w:rFonts w:hint="eastAsia" w:cs="宋体"/>
                <w:color w:val="auto"/>
                <w:szCs w:val="21"/>
                <w:highlight w:val="none"/>
                <w:lang w:eastAsia="zh-CN" w:bidi="ar"/>
              </w:rPr>
              <w:t>）</w:t>
            </w:r>
            <w:r>
              <w:rPr>
                <w:rFonts w:hint="eastAsia" w:ascii="宋体" w:hAnsi="宋体" w:eastAsia="宋体" w:cs="宋体"/>
                <w:color w:val="auto"/>
                <w:szCs w:val="21"/>
                <w:highlight w:val="none"/>
                <w:lang w:eastAsia="zh-CN" w:bidi="ar"/>
              </w:rPr>
              <w:t>。</w:t>
            </w:r>
          </w:p>
          <w:p w14:paraId="1B2CEF8C">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方案完整、有针对性，完全满足项目需求，得</w:t>
            </w:r>
            <w:r>
              <w:rPr>
                <w:rFonts w:hint="eastAsia" w:cs="宋体"/>
                <w:color w:val="auto"/>
                <w:szCs w:val="21"/>
                <w:highlight w:val="none"/>
                <w:lang w:val="en-US" w:eastAsia="zh-CN" w:bidi="ar"/>
              </w:rPr>
              <w:t>3</w:t>
            </w:r>
            <w:r>
              <w:rPr>
                <w:rFonts w:hint="eastAsia" w:ascii="宋体" w:hAnsi="宋体" w:eastAsia="宋体" w:cs="宋体"/>
                <w:color w:val="auto"/>
                <w:szCs w:val="21"/>
                <w:highlight w:val="none"/>
                <w:lang w:bidi="ar"/>
              </w:rPr>
              <w:t>分；</w:t>
            </w:r>
          </w:p>
          <w:p w14:paraId="6C28D688">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每有1项内容存在缺陷，扣</w:t>
            </w:r>
            <w:r>
              <w:rPr>
                <w:rFonts w:hint="eastAsia" w:cs="宋体"/>
                <w:color w:val="auto"/>
                <w:szCs w:val="21"/>
                <w:highlight w:val="none"/>
                <w:lang w:val="en-US" w:eastAsia="zh-CN" w:bidi="ar"/>
              </w:rPr>
              <w:t>0</w:t>
            </w:r>
            <w:r>
              <w:rPr>
                <w:rFonts w:hint="eastAsia" w:ascii="宋体" w:hAnsi="宋体" w:eastAsia="宋体" w:cs="宋体"/>
                <w:color w:val="auto"/>
                <w:szCs w:val="21"/>
                <w:highlight w:val="none"/>
                <w:lang w:val="en-US" w:eastAsia="zh-CN" w:bidi="ar"/>
              </w:rPr>
              <w:t>.5</w:t>
            </w:r>
            <w:r>
              <w:rPr>
                <w:rFonts w:hint="eastAsia" w:ascii="宋体" w:hAnsi="宋体" w:eastAsia="宋体" w:cs="宋体"/>
                <w:color w:val="auto"/>
                <w:szCs w:val="21"/>
                <w:highlight w:val="none"/>
                <w:lang w:bidi="ar"/>
              </w:rPr>
              <w:t>分；</w:t>
            </w:r>
          </w:p>
          <w:p w14:paraId="50C6522F">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w:t>
            </w:r>
            <w:r>
              <w:rPr>
                <w:rFonts w:hint="eastAsia" w:cs="宋体"/>
                <w:color w:val="auto"/>
                <w:szCs w:val="21"/>
                <w:highlight w:val="none"/>
                <w:lang w:eastAsia="zh-CN" w:bidi="ar"/>
              </w:rPr>
              <w:t>未提供</w:t>
            </w:r>
            <w:r>
              <w:rPr>
                <w:rFonts w:hint="eastAsia" w:ascii="宋体" w:hAnsi="宋体" w:eastAsia="宋体" w:cs="宋体"/>
                <w:color w:val="auto"/>
                <w:szCs w:val="21"/>
                <w:highlight w:val="none"/>
                <w:lang w:bidi="ar"/>
              </w:rPr>
              <w:t>或完全无法满足项目需求，扣</w:t>
            </w:r>
            <w:r>
              <w:rPr>
                <w:rFonts w:hint="eastAsia" w:cs="宋体"/>
                <w:color w:val="auto"/>
                <w:szCs w:val="21"/>
                <w:highlight w:val="none"/>
                <w:lang w:val="en-US" w:eastAsia="zh-CN" w:bidi="ar"/>
              </w:rPr>
              <w:t>1</w:t>
            </w:r>
            <w:r>
              <w:rPr>
                <w:rFonts w:hint="eastAsia" w:ascii="宋体" w:hAnsi="宋体" w:eastAsia="宋体" w:cs="宋体"/>
                <w:color w:val="auto"/>
                <w:szCs w:val="21"/>
                <w:highlight w:val="none"/>
                <w:lang w:bidi="ar"/>
              </w:rPr>
              <w:t>分。</w:t>
            </w:r>
            <w:bookmarkEnd w:id="126"/>
            <w:r>
              <w:rPr>
                <w:rFonts w:hint="eastAsia" w:ascii="宋体" w:hAnsi="宋体" w:eastAsia="宋体" w:cs="宋体"/>
                <w:color w:val="auto"/>
                <w:szCs w:val="21"/>
                <w:highlight w:val="none"/>
                <w:lang w:bidi="ar"/>
              </w:rPr>
              <w:t>（共3项，最多扣</w:t>
            </w:r>
            <w:r>
              <w:rPr>
                <w:rFonts w:hint="eastAsia" w:cs="宋体"/>
                <w:color w:val="auto"/>
                <w:szCs w:val="21"/>
                <w:highlight w:val="none"/>
                <w:lang w:val="en-US" w:eastAsia="zh-CN" w:bidi="ar"/>
              </w:rPr>
              <w:t>3</w:t>
            </w:r>
            <w:r>
              <w:rPr>
                <w:rFonts w:hint="eastAsia" w:ascii="宋体" w:hAnsi="宋体" w:eastAsia="宋体" w:cs="宋体"/>
                <w:color w:val="auto"/>
                <w:szCs w:val="21"/>
                <w:highlight w:val="none"/>
                <w:lang w:bidi="ar"/>
              </w:rPr>
              <w:t>分）</w:t>
            </w:r>
          </w:p>
        </w:tc>
        <w:tc>
          <w:tcPr>
            <w:tcW w:w="900" w:type="dxa"/>
            <w:vAlign w:val="center"/>
          </w:tcPr>
          <w:p w14:paraId="33ABDD68">
            <w:pPr>
              <w:keepLines w:val="0"/>
              <w:pageBreakBefore w:val="0"/>
              <w:widowControl w:val="0"/>
              <w:kinsoku/>
              <w:wordWrap/>
              <w:overflowPunct/>
              <w:topLinePunct w:val="0"/>
              <w:bidi w:val="0"/>
              <w:spacing w:beforeLines="0" w:afterLines="0"/>
              <w:jc w:val="center"/>
              <w:rPr>
                <w:rFonts w:hint="eastAsia" w:ascii="宋体" w:hAnsi="宋体" w:eastAsia="宋体" w:cs="宋体"/>
                <w:color w:val="auto"/>
                <w:highlight w:val="none"/>
                <w:lang w:eastAsia="zh-CN"/>
              </w:rPr>
            </w:pPr>
            <w:r>
              <w:rPr>
                <w:rFonts w:hint="eastAsia" w:cs="宋体"/>
                <w:color w:val="auto"/>
                <w:highlight w:val="none"/>
                <w:lang w:val="en-US" w:eastAsia="zh-CN"/>
              </w:rPr>
              <w:t>3</w:t>
            </w:r>
          </w:p>
        </w:tc>
      </w:tr>
      <w:tr w14:paraId="73BBB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611" w:type="dxa"/>
            <w:vAlign w:val="center"/>
          </w:tcPr>
          <w:p w14:paraId="532C2D5B">
            <w:pPr>
              <w:keepLines w:val="0"/>
              <w:pageBreakBefore w:val="0"/>
              <w:widowControl w:val="0"/>
              <w:kinsoku/>
              <w:wordWrap/>
              <w:overflowPunct/>
              <w:topLinePunct w:val="0"/>
              <w:bidi w:val="0"/>
              <w:spacing w:beforeLines="0" w:afterLines="0"/>
              <w:jc w:val="center"/>
              <w:rPr>
                <w:rFonts w:hint="default" w:ascii="宋体" w:hAnsi="宋体" w:eastAsia="宋体" w:cs="宋体"/>
                <w:color w:val="auto"/>
                <w:highlight w:val="none"/>
                <w:lang w:val="en-US" w:eastAsia="zh-CN"/>
              </w:rPr>
            </w:pPr>
            <w:r>
              <w:rPr>
                <w:rFonts w:hint="eastAsia" w:cs="宋体"/>
                <w:color w:val="auto"/>
                <w:highlight w:val="none"/>
                <w:lang w:val="en-US" w:eastAsia="zh-CN"/>
              </w:rPr>
              <w:t>5</w:t>
            </w:r>
          </w:p>
        </w:tc>
        <w:tc>
          <w:tcPr>
            <w:tcW w:w="1175" w:type="dxa"/>
            <w:vAlign w:val="center"/>
          </w:tcPr>
          <w:p w14:paraId="0211552D">
            <w:pPr>
              <w:keepLines w:val="0"/>
              <w:pageBreakBefore w:val="0"/>
              <w:widowControl w:val="0"/>
              <w:kinsoku/>
              <w:wordWrap/>
              <w:overflowPunct/>
              <w:topLinePunct w:val="0"/>
              <w:bidi w:val="0"/>
              <w:spacing w:beforeLines="0" w:afterLines="0"/>
              <w:jc w:val="center"/>
              <w:rPr>
                <w:rFonts w:hint="eastAsia" w:ascii="宋体" w:hAnsi="宋体" w:eastAsia="宋体" w:cs="宋体"/>
                <w:color w:val="auto"/>
                <w:highlight w:val="none"/>
              </w:rPr>
            </w:pPr>
            <w:r>
              <w:rPr>
                <w:rFonts w:hint="eastAsia" w:ascii="宋体" w:hAnsi="宋体" w:eastAsia="宋体" w:cs="宋体"/>
                <w:color w:val="auto"/>
                <w:spacing w:val="4"/>
                <w:highlight w:val="none"/>
              </w:rPr>
              <w:t>应急抢修方案</w:t>
            </w:r>
          </w:p>
        </w:tc>
        <w:tc>
          <w:tcPr>
            <w:tcW w:w="6937" w:type="dxa"/>
            <w:vAlign w:val="center"/>
          </w:tcPr>
          <w:p w14:paraId="7174FADB">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lang w:bidi="ar"/>
              </w:rPr>
            </w:pPr>
            <w:r>
              <w:rPr>
                <w:rFonts w:hint="eastAsia" w:cs="宋体"/>
                <w:color w:val="auto"/>
                <w:szCs w:val="21"/>
                <w:highlight w:val="none"/>
                <w:lang w:val="en-US" w:eastAsia="zh-CN" w:bidi="ar"/>
              </w:rPr>
              <w:t>响应供应商应结合同类项目经验及本</w:t>
            </w:r>
            <w:r>
              <w:rPr>
                <w:rFonts w:hint="eastAsia" w:ascii="宋体" w:hAnsi="宋体" w:eastAsia="宋体" w:cs="宋体"/>
                <w:color w:val="auto"/>
                <w:szCs w:val="21"/>
                <w:highlight w:val="none"/>
                <w:lang w:bidi="ar"/>
              </w:rPr>
              <w:t>项目</w:t>
            </w:r>
            <w:r>
              <w:rPr>
                <w:rFonts w:hint="eastAsia" w:cs="宋体"/>
                <w:color w:val="auto"/>
                <w:szCs w:val="21"/>
                <w:highlight w:val="none"/>
                <w:lang w:val="en-US" w:eastAsia="zh-CN" w:bidi="ar"/>
              </w:rPr>
              <w:t>采购需求，制定应急抢修方案</w:t>
            </w:r>
            <w:r>
              <w:rPr>
                <w:rFonts w:hint="eastAsia" w:cs="宋体"/>
                <w:color w:val="auto"/>
                <w:szCs w:val="21"/>
                <w:highlight w:val="none"/>
                <w:lang w:eastAsia="zh-CN" w:bidi="ar"/>
              </w:rPr>
              <w:t>，</w:t>
            </w:r>
            <w:r>
              <w:rPr>
                <w:rFonts w:hint="eastAsia" w:ascii="宋体" w:hAnsi="宋体" w:eastAsia="宋体" w:cs="宋体"/>
                <w:color w:val="auto"/>
                <w:szCs w:val="21"/>
                <w:highlight w:val="none"/>
                <w:lang w:bidi="ar"/>
              </w:rPr>
              <w:t>包括</w:t>
            </w:r>
            <w:r>
              <w:rPr>
                <w:rFonts w:hint="eastAsia" w:cs="宋体"/>
                <w:color w:val="auto"/>
                <w:szCs w:val="21"/>
                <w:highlight w:val="none"/>
                <w:lang w:val="en-US" w:eastAsia="zh-CN" w:bidi="ar"/>
              </w:rPr>
              <w:t>但不限于</w:t>
            </w:r>
            <w:r>
              <w:rPr>
                <w:rFonts w:hint="eastAsia" w:ascii="宋体" w:hAnsi="宋体" w:eastAsia="宋体" w:cs="宋体"/>
                <w:color w:val="auto"/>
                <w:szCs w:val="21"/>
                <w:highlight w:val="none"/>
                <w:lang w:bidi="ar"/>
              </w:rPr>
              <w:t>：</w:t>
            </w:r>
          </w:p>
          <w:p w14:paraId="583C0F7D">
            <w:pPr>
              <w:keepLines w:val="0"/>
              <w:pageBreakBefore w:val="0"/>
              <w:widowControl w:val="0"/>
              <w:kinsoku/>
              <w:wordWrap/>
              <w:overflowPunct/>
              <w:topLinePunct w:val="0"/>
              <w:bidi w:val="0"/>
              <w:spacing w:beforeLines="0" w:afterLines="0"/>
              <w:jc w:val="both"/>
              <w:rPr>
                <w:rFonts w:hint="eastAsia" w:ascii="宋体" w:hAnsi="宋体" w:eastAsia="宋体" w:cs="宋体"/>
                <w:snapToGrid/>
                <w:color w:val="auto"/>
                <w:spacing w:val="4"/>
                <w:kern w:val="2"/>
                <w:highlight w:val="none"/>
                <w:lang w:eastAsia="zh-CN"/>
              </w:rPr>
            </w:pPr>
            <w:r>
              <w:rPr>
                <w:rFonts w:hint="eastAsia" w:ascii="宋体" w:hAnsi="宋体" w:eastAsia="宋体" w:cs="宋体"/>
                <w:color w:val="auto"/>
                <w:szCs w:val="21"/>
                <w:highlight w:val="none"/>
                <w:lang w:bidi="ar"/>
              </w:rPr>
              <w:t>①</w:t>
            </w:r>
            <w:r>
              <w:rPr>
                <w:rFonts w:hint="eastAsia" w:ascii="宋体" w:hAnsi="宋体" w:eastAsia="宋体" w:cs="宋体"/>
                <w:snapToGrid/>
                <w:color w:val="auto"/>
                <w:spacing w:val="4"/>
                <w:kern w:val="2"/>
                <w:highlight w:val="none"/>
                <w:lang w:eastAsia="zh-CN"/>
              </w:rPr>
              <w:t>列举可能出现的紧急状况</w:t>
            </w:r>
            <w:r>
              <w:rPr>
                <w:rFonts w:hint="eastAsia" w:cs="宋体"/>
                <w:snapToGrid/>
                <w:color w:val="auto"/>
                <w:spacing w:val="4"/>
                <w:kern w:val="2"/>
                <w:highlight w:val="none"/>
                <w:lang w:eastAsia="zh-CN"/>
              </w:rPr>
              <w:t>（</w:t>
            </w:r>
            <w:r>
              <w:rPr>
                <w:rFonts w:hint="eastAsia" w:cs="宋体"/>
                <w:snapToGrid/>
                <w:color w:val="auto"/>
                <w:spacing w:val="4"/>
                <w:kern w:val="2"/>
                <w:highlight w:val="none"/>
                <w:lang w:val="en-US" w:eastAsia="zh-CN"/>
              </w:rPr>
              <w:t>含火灾、操作不当、暴雨、台风等极端情况</w:t>
            </w:r>
            <w:r>
              <w:rPr>
                <w:rFonts w:hint="eastAsia" w:cs="宋体"/>
                <w:snapToGrid/>
                <w:color w:val="auto"/>
                <w:spacing w:val="4"/>
                <w:kern w:val="2"/>
                <w:highlight w:val="none"/>
                <w:lang w:eastAsia="zh-CN"/>
              </w:rPr>
              <w:t>）</w:t>
            </w:r>
            <w:r>
              <w:rPr>
                <w:rFonts w:hint="eastAsia" w:ascii="宋体" w:hAnsi="宋体" w:eastAsia="宋体" w:cs="宋体"/>
                <w:snapToGrid/>
                <w:color w:val="auto"/>
                <w:spacing w:val="4"/>
                <w:kern w:val="2"/>
                <w:highlight w:val="none"/>
                <w:lang w:eastAsia="zh-CN"/>
              </w:rPr>
              <w:t>；</w:t>
            </w:r>
          </w:p>
          <w:p w14:paraId="40D1EE25">
            <w:pPr>
              <w:keepLines w:val="0"/>
              <w:pageBreakBefore w:val="0"/>
              <w:widowControl w:val="0"/>
              <w:kinsoku/>
              <w:wordWrap/>
              <w:overflowPunct/>
              <w:topLinePunct w:val="0"/>
              <w:bidi w:val="0"/>
              <w:spacing w:beforeLines="0" w:afterLines="0"/>
              <w:jc w:val="both"/>
              <w:rPr>
                <w:rFonts w:hint="eastAsia" w:ascii="宋体" w:hAnsi="宋体" w:eastAsia="宋体" w:cs="宋体"/>
                <w:snapToGrid/>
                <w:color w:val="auto"/>
                <w:spacing w:val="4"/>
                <w:kern w:val="2"/>
                <w:highlight w:val="none"/>
                <w:lang w:eastAsia="zh-CN"/>
              </w:rPr>
            </w:pPr>
            <w:r>
              <w:rPr>
                <w:rFonts w:hint="eastAsia" w:ascii="宋体" w:hAnsi="宋体" w:eastAsia="宋体" w:cs="宋体"/>
                <w:snapToGrid/>
                <w:color w:val="auto"/>
                <w:spacing w:val="4"/>
                <w:kern w:val="2"/>
                <w:highlight w:val="none"/>
                <w:lang w:val="en-US" w:eastAsia="zh-CN"/>
              </w:rPr>
              <w:t>②</w:t>
            </w:r>
            <w:r>
              <w:rPr>
                <w:rFonts w:hint="eastAsia" w:ascii="宋体" w:hAnsi="宋体" w:eastAsia="宋体" w:cs="宋体"/>
                <w:snapToGrid/>
                <w:color w:val="auto"/>
                <w:spacing w:val="4"/>
                <w:kern w:val="2"/>
                <w:highlight w:val="none"/>
                <w:lang w:eastAsia="zh-CN"/>
              </w:rPr>
              <w:t>对不同的应急抢修状况拟定解决方案</w:t>
            </w:r>
            <w:r>
              <w:rPr>
                <w:rFonts w:hint="eastAsia" w:cs="宋体"/>
                <w:snapToGrid/>
                <w:color w:val="auto"/>
                <w:spacing w:val="4"/>
                <w:kern w:val="2"/>
                <w:highlight w:val="none"/>
                <w:lang w:eastAsia="zh-CN"/>
              </w:rPr>
              <w:t>（</w:t>
            </w:r>
            <w:r>
              <w:rPr>
                <w:rFonts w:hint="eastAsia" w:cs="宋体"/>
                <w:snapToGrid/>
                <w:color w:val="auto"/>
                <w:spacing w:val="4"/>
                <w:kern w:val="2"/>
                <w:highlight w:val="none"/>
                <w:lang w:val="en-US" w:eastAsia="zh-CN"/>
              </w:rPr>
              <w:t>针对不同情况分别拟定通用的处理措施</w:t>
            </w:r>
            <w:r>
              <w:rPr>
                <w:rFonts w:hint="eastAsia" w:cs="宋体"/>
                <w:snapToGrid/>
                <w:color w:val="auto"/>
                <w:spacing w:val="4"/>
                <w:kern w:val="2"/>
                <w:highlight w:val="none"/>
                <w:lang w:eastAsia="zh-CN"/>
              </w:rPr>
              <w:t>）</w:t>
            </w:r>
            <w:r>
              <w:rPr>
                <w:rFonts w:hint="eastAsia" w:ascii="宋体" w:hAnsi="宋体" w:eastAsia="宋体" w:cs="宋体"/>
                <w:snapToGrid/>
                <w:color w:val="auto"/>
                <w:spacing w:val="4"/>
                <w:kern w:val="2"/>
                <w:highlight w:val="none"/>
                <w:lang w:eastAsia="zh-CN"/>
              </w:rPr>
              <w:t>；</w:t>
            </w:r>
          </w:p>
          <w:p w14:paraId="036708B1">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lang w:eastAsia="zh-CN"/>
              </w:rPr>
            </w:pPr>
            <w:r>
              <w:rPr>
                <w:rFonts w:hint="eastAsia" w:ascii="宋体" w:hAnsi="宋体" w:eastAsia="宋体" w:cs="宋体"/>
                <w:snapToGrid/>
                <w:color w:val="auto"/>
                <w:spacing w:val="4"/>
                <w:kern w:val="2"/>
                <w:highlight w:val="none"/>
                <w:lang w:val="en-US" w:eastAsia="zh-CN"/>
              </w:rPr>
              <w:t>③</w:t>
            </w:r>
            <w:r>
              <w:rPr>
                <w:rFonts w:hint="eastAsia" w:ascii="宋体" w:hAnsi="宋体" w:eastAsia="宋体" w:cs="宋体"/>
                <w:snapToGrid/>
                <w:color w:val="auto"/>
                <w:spacing w:val="4"/>
                <w:kern w:val="2"/>
                <w:highlight w:val="none"/>
                <w:lang w:eastAsia="zh-CN"/>
              </w:rPr>
              <w:t>列举可能存在的无法解决或延时解决或解决困难的情况，并提出意见和措施等</w:t>
            </w:r>
            <w:r>
              <w:rPr>
                <w:rFonts w:hint="eastAsia" w:cs="宋体"/>
                <w:snapToGrid/>
                <w:color w:val="auto"/>
                <w:spacing w:val="4"/>
                <w:kern w:val="2"/>
                <w:highlight w:val="none"/>
                <w:lang w:eastAsia="zh-CN"/>
              </w:rPr>
              <w:t>（</w:t>
            </w:r>
            <w:r>
              <w:rPr>
                <w:rFonts w:hint="eastAsia" w:cs="宋体"/>
                <w:snapToGrid/>
                <w:color w:val="auto"/>
                <w:spacing w:val="4"/>
                <w:kern w:val="2"/>
                <w:highlight w:val="none"/>
                <w:lang w:val="en-US" w:eastAsia="zh-CN"/>
              </w:rPr>
              <w:t>针对单项工程，提出施工过程中的状况</w:t>
            </w:r>
            <w:r>
              <w:rPr>
                <w:rFonts w:hint="eastAsia" w:cs="宋体"/>
                <w:snapToGrid/>
                <w:color w:val="auto"/>
                <w:spacing w:val="4"/>
                <w:kern w:val="2"/>
                <w:highlight w:val="none"/>
                <w:lang w:eastAsia="zh-CN"/>
              </w:rPr>
              <w:t>）</w:t>
            </w:r>
            <w:r>
              <w:rPr>
                <w:rFonts w:hint="eastAsia" w:ascii="宋体" w:hAnsi="宋体" w:eastAsia="宋体" w:cs="宋体"/>
                <w:color w:val="auto"/>
                <w:szCs w:val="21"/>
                <w:highlight w:val="none"/>
                <w:lang w:eastAsia="zh-CN" w:bidi="ar"/>
              </w:rPr>
              <w:t>。</w:t>
            </w:r>
          </w:p>
          <w:p w14:paraId="7C178D9A">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方案完整、有针对性，完全满足项目需求，得</w:t>
            </w:r>
            <w:r>
              <w:rPr>
                <w:rFonts w:hint="eastAsia" w:cs="宋体"/>
                <w:color w:val="auto"/>
                <w:szCs w:val="21"/>
                <w:highlight w:val="none"/>
                <w:lang w:val="en-US" w:eastAsia="zh-CN" w:bidi="ar"/>
              </w:rPr>
              <w:t>3</w:t>
            </w:r>
            <w:r>
              <w:rPr>
                <w:rFonts w:hint="eastAsia" w:ascii="宋体" w:hAnsi="宋体" w:eastAsia="宋体" w:cs="宋体"/>
                <w:color w:val="auto"/>
                <w:szCs w:val="21"/>
                <w:highlight w:val="none"/>
                <w:lang w:bidi="ar"/>
              </w:rPr>
              <w:t>分；</w:t>
            </w:r>
          </w:p>
          <w:p w14:paraId="46211FD9">
            <w:pPr>
              <w:keepLines w:val="0"/>
              <w:pageBreakBefore w:val="0"/>
              <w:widowControl w:val="0"/>
              <w:kinsoku/>
              <w:wordWrap/>
              <w:overflowPunct/>
              <w:topLinePunct w:val="0"/>
              <w:bidi w:val="0"/>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每有1项内容存在缺陷，扣</w:t>
            </w:r>
            <w:r>
              <w:rPr>
                <w:rFonts w:hint="eastAsia" w:cs="宋体"/>
                <w:color w:val="auto"/>
                <w:szCs w:val="21"/>
                <w:highlight w:val="none"/>
                <w:lang w:val="en-US" w:eastAsia="zh-CN" w:bidi="ar"/>
              </w:rPr>
              <w:t>0</w:t>
            </w:r>
            <w:r>
              <w:rPr>
                <w:rFonts w:hint="eastAsia" w:ascii="宋体" w:hAnsi="宋体" w:eastAsia="宋体" w:cs="宋体"/>
                <w:color w:val="auto"/>
                <w:szCs w:val="21"/>
                <w:highlight w:val="none"/>
                <w:lang w:val="en-US" w:eastAsia="zh-CN" w:bidi="ar"/>
              </w:rPr>
              <w:t>.5</w:t>
            </w:r>
            <w:r>
              <w:rPr>
                <w:rFonts w:hint="eastAsia" w:ascii="宋体" w:hAnsi="宋体" w:eastAsia="宋体" w:cs="宋体"/>
                <w:color w:val="auto"/>
                <w:szCs w:val="21"/>
                <w:highlight w:val="none"/>
                <w:lang w:bidi="ar"/>
              </w:rPr>
              <w:t>分；</w:t>
            </w:r>
          </w:p>
          <w:p w14:paraId="262F1221">
            <w:pPr>
              <w:keepLines w:val="0"/>
              <w:pageBreakBefore w:val="0"/>
              <w:widowControl w:val="0"/>
              <w:kinsoku/>
              <w:wordWrap/>
              <w:overflowPunct/>
              <w:topLinePunct w:val="0"/>
              <w:bidi w:val="0"/>
              <w:spacing w:beforeLines="0" w:afterLines="0"/>
              <w:jc w:val="both"/>
              <w:rPr>
                <w:rFonts w:hint="eastAsia" w:ascii="宋体" w:hAnsi="宋体" w:eastAsia="宋体" w:cs="宋体"/>
                <w:i/>
                <w:iCs/>
                <w:color w:val="auto"/>
                <w:szCs w:val="21"/>
                <w:highlight w:val="none"/>
                <w:lang w:bidi="ar"/>
              </w:rPr>
            </w:pPr>
            <w:r>
              <w:rPr>
                <w:rFonts w:hint="eastAsia" w:ascii="宋体" w:hAnsi="宋体" w:eastAsia="宋体" w:cs="宋体"/>
                <w:color w:val="auto"/>
                <w:szCs w:val="21"/>
                <w:highlight w:val="none"/>
                <w:lang w:bidi="ar"/>
              </w:rPr>
              <w:t>每有1项内容</w:t>
            </w:r>
            <w:r>
              <w:rPr>
                <w:rFonts w:hint="eastAsia" w:cs="宋体"/>
                <w:color w:val="auto"/>
                <w:szCs w:val="21"/>
                <w:highlight w:val="none"/>
                <w:lang w:eastAsia="zh-CN" w:bidi="ar"/>
              </w:rPr>
              <w:t>未提供</w:t>
            </w:r>
            <w:r>
              <w:rPr>
                <w:rFonts w:hint="eastAsia" w:ascii="宋体" w:hAnsi="宋体" w:eastAsia="宋体" w:cs="宋体"/>
                <w:color w:val="auto"/>
                <w:szCs w:val="21"/>
                <w:highlight w:val="none"/>
                <w:lang w:bidi="ar"/>
              </w:rPr>
              <w:t>或完全无法满足项目需求，扣</w:t>
            </w:r>
            <w:r>
              <w:rPr>
                <w:rFonts w:hint="eastAsia" w:cs="宋体"/>
                <w:color w:val="auto"/>
                <w:szCs w:val="21"/>
                <w:highlight w:val="none"/>
                <w:lang w:val="en-US" w:eastAsia="zh-CN" w:bidi="ar"/>
              </w:rPr>
              <w:t>1</w:t>
            </w:r>
            <w:r>
              <w:rPr>
                <w:rFonts w:hint="eastAsia" w:ascii="宋体" w:hAnsi="宋体" w:eastAsia="宋体" w:cs="宋体"/>
                <w:color w:val="auto"/>
                <w:szCs w:val="21"/>
                <w:highlight w:val="none"/>
                <w:lang w:bidi="ar"/>
              </w:rPr>
              <w:t>分。（共3项，最多扣</w:t>
            </w:r>
            <w:r>
              <w:rPr>
                <w:rFonts w:hint="eastAsia" w:cs="宋体"/>
                <w:color w:val="auto"/>
                <w:szCs w:val="21"/>
                <w:highlight w:val="none"/>
                <w:lang w:val="en-US" w:eastAsia="zh-CN" w:bidi="ar"/>
              </w:rPr>
              <w:t>3</w:t>
            </w:r>
            <w:r>
              <w:rPr>
                <w:rFonts w:hint="eastAsia" w:ascii="宋体" w:hAnsi="宋体" w:eastAsia="宋体" w:cs="宋体"/>
                <w:color w:val="auto"/>
                <w:szCs w:val="21"/>
                <w:highlight w:val="none"/>
                <w:lang w:bidi="ar"/>
              </w:rPr>
              <w:t>分）</w:t>
            </w:r>
          </w:p>
        </w:tc>
        <w:tc>
          <w:tcPr>
            <w:tcW w:w="900" w:type="dxa"/>
            <w:vAlign w:val="center"/>
          </w:tcPr>
          <w:p w14:paraId="1F0E7057">
            <w:pPr>
              <w:keepLines w:val="0"/>
              <w:pageBreakBefore w:val="0"/>
              <w:widowControl w:val="0"/>
              <w:kinsoku/>
              <w:wordWrap/>
              <w:overflowPunct/>
              <w:topLinePunct w:val="0"/>
              <w:bidi w:val="0"/>
              <w:spacing w:beforeLines="0" w:afterLines="0"/>
              <w:jc w:val="center"/>
              <w:rPr>
                <w:rFonts w:hint="default" w:ascii="宋体" w:hAnsi="宋体" w:eastAsia="宋体" w:cs="宋体"/>
                <w:color w:val="auto"/>
                <w:highlight w:val="none"/>
                <w:lang w:val="en-US" w:eastAsia="zh-CN"/>
              </w:rPr>
            </w:pPr>
            <w:r>
              <w:rPr>
                <w:rFonts w:hint="eastAsia" w:cs="宋体"/>
                <w:color w:val="auto"/>
                <w:highlight w:val="none"/>
                <w:lang w:val="en-US" w:eastAsia="zh-CN"/>
              </w:rPr>
              <w:t>3</w:t>
            </w:r>
          </w:p>
        </w:tc>
      </w:tr>
      <w:tr w14:paraId="70EB4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623" w:type="dxa"/>
            <w:gridSpan w:val="4"/>
            <w:vAlign w:val="center"/>
          </w:tcPr>
          <w:p w14:paraId="29E18061">
            <w:pPr>
              <w:keepLines w:val="0"/>
              <w:pageBreakBefore w:val="0"/>
              <w:widowControl w:val="0"/>
              <w:kinsoku/>
              <w:wordWrap/>
              <w:overflowPunct/>
              <w:topLinePunct w:val="0"/>
              <w:bidi w:val="0"/>
              <w:spacing w:beforeLines="0" w:afterLines="0"/>
              <w:rPr>
                <w:rFonts w:hint="eastAsia" w:ascii="宋体" w:hAnsi="宋体" w:eastAsia="宋体" w:cs="宋体"/>
                <w:color w:val="auto"/>
                <w:highlight w:val="none"/>
              </w:rPr>
            </w:pPr>
            <w:r>
              <w:rPr>
                <w:rFonts w:hint="eastAsia" w:ascii="宋体" w:hAnsi="宋体" w:eastAsia="宋体" w:cs="宋体"/>
                <w:color w:val="auto"/>
                <w:highlight w:val="none"/>
              </w:rPr>
              <w:t>注：1.缺陷是指存在项目信息错误、内容与项目无关、内容表述错误、内容前后表述矛盾、不符合本项目涉及的相关规范或标准要求、技术环节或操作流程不规范、未结合项目实际需求表述、仅有框架或标题、明显套用其他项目内容的任意一种情形。</w:t>
            </w:r>
          </w:p>
          <w:p w14:paraId="26DB6917">
            <w:pPr>
              <w:keepLines w:val="0"/>
              <w:pageBreakBefore w:val="0"/>
              <w:widowControl w:val="0"/>
              <w:kinsoku/>
              <w:wordWrap/>
              <w:overflowPunct/>
              <w:topLinePunct w:val="0"/>
              <w:bidi w:val="0"/>
              <w:spacing w:beforeLines="0" w:afterLines="0"/>
              <w:rPr>
                <w:rFonts w:hint="eastAsia" w:ascii="宋体" w:hAnsi="宋体" w:eastAsia="宋体" w:cs="宋体"/>
                <w:color w:val="auto"/>
                <w:highlight w:val="none"/>
              </w:rPr>
            </w:pPr>
            <w:r>
              <w:rPr>
                <w:rFonts w:hint="eastAsia" w:ascii="宋体" w:hAnsi="宋体" w:eastAsia="宋体" w:cs="宋体"/>
                <w:color w:val="auto"/>
                <w:highlight w:val="none"/>
              </w:rPr>
              <w:t>2.技术部分页数不宜超过150页。</w:t>
            </w:r>
          </w:p>
        </w:tc>
      </w:tr>
    </w:tbl>
    <w:p w14:paraId="39A24153">
      <w:pPr>
        <w:widowControl w:val="0"/>
        <w:autoSpaceDE/>
        <w:autoSpaceDN/>
        <w:spacing w:beforeLines="0" w:afterLines="0"/>
        <w:ind w:firstLine="422" w:firstLineChars="200"/>
        <w:outlineLvl w:val="9"/>
        <w:rPr>
          <w:rFonts w:hint="eastAsia" w:ascii="宋体" w:hAnsi="宋体" w:eastAsia="宋体" w:cs="宋体"/>
          <w:b/>
          <w:bCs/>
          <w:color w:val="auto"/>
          <w:szCs w:val="21"/>
          <w:highlight w:val="none"/>
          <w:lang w:eastAsia="zh-CN"/>
        </w:rPr>
      </w:pPr>
    </w:p>
    <w:p w14:paraId="0FC3F64C">
      <w:pPr>
        <w:keepNext w:val="0"/>
        <w:keepLines w:val="0"/>
        <w:pageBreakBefore w:val="0"/>
        <w:widowControl w:val="0"/>
        <w:kinsoku/>
        <w:wordWrap/>
        <w:overflowPunct/>
        <w:topLinePunct w:val="0"/>
        <w:bidi w:val="0"/>
        <w:spacing w:beforeLines="0" w:afterLines="0"/>
        <w:ind w:firstLine="422" w:firstLineChars="200"/>
        <w:jc w:val="left"/>
        <w:outlineLvl w:val="3"/>
        <w:rPr>
          <w:rFonts w:hint="eastAsia" w:cs="Futura-Heavy"/>
          <w:b/>
          <w:bCs/>
          <w:color w:val="auto"/>
          <w:kern w:val="0"/>
          <w:szCs w:val="21"/>
          <w:highlight w:val="none"/>
        </w:rPr>
      </w:pPr>
      <w:bookmarkStart w:id="127" w:name="_Toc67046849"/>
      <w:r>
        <w:rPr>
          <w:rFonts w:hint="eastAsia" w:cs="Futura-Heavy"/>
          <w:b/>
          <w:bCs/>
          <w:color w:val="auto"/>
          <w:kern w:val="0"/>
          <w:szCs w:val="21"/>
          <w:highlight w:val="none"/>
        </w:rPr>
        <w:t>表</w:t>
      </w:r>
      <w:r>
        <w:rPr>
          <w:rFonts w:hint="eastAsia" w:cs="Futura-Heavy"/>
          <w:b/>
          <w:bCs/>
          <w:color w:val="auto"/>
          <w:kern w:val="0"/>
          <w:szCs w:val="21"/>
          <w:highlight w:val="none"/>
          <w:lang w:val="en-US" w:eastAsia="zh-CN"/>
        </w:rPr>
        <w:t>三</w:t>
      </w:r>
      <w:r>
        <w:rPr>
          <w:rFonts w:hint="eastAsia" w:cs="Futura-Heavy"/>
          <w:b/>
          <w:bCs/>
          <w:color w:val="auto"/>
          <w:kern w:val="0"/>
          <w:szCs w:val="21"/>
          <w:highlight w:val="none"/>
        </w:rPr>
        <w:t>：价格</w:t>
      </w:r>
      <w:r>
        <w:rPr>
          <w:rFonts w:cs="Futura-Heavy"/>
          <w:b/>
          <w:bCs/>
          <w:color w:val="auto"/>
          <w:kern w:val="0"/>
          <w:szCs w:val="21"/>
          <w:highlight w:val="none"/>
        </w:rPr>
        <w:t>评分细则</w:t>
      </w:r>
      <w:r>
        <w:rPr>
          <w:rFonts w:hint="eastAsia" w:cs="Futura-Heavy"/>
          <w:b/>
          <w:bCs/>
          <w:color w:val="auto"/>
          <w:kern w:val="0"/>
          <w:szCs w:val="21"/>
          <w:highlight w:val="none"/>
        </w:rPr>
        <w:t>表（</w:t>
      </w:r>
      <w:r>
        <w:rPr>
          <w:rFonts w:hint="eastAsia" w:cs="Futura-Heavy"/>
          <w:b/>
          <w:bCs/>
          <w:color w:val="auto"/>
          <w:kern w:val="0"/>
          <w:szCs w:val="21"/>
          <w:highlight w:val="none"/>
          <w:lang w:val="en-US" w:eastAsia="zh-CN"/>
        </w:rPr>
        <w:t>40</w:t>
      </w:r>
      <w:r>
        <w:rPr>
          <w:rFonts w:hint="eastAsia" w:cs="Futura-Heavy"/>
          <w:b/>
          <w:bCs/>
          <w:color w:val="auto"/>
          <w:kern w:val="0"/>
          <w:szCs w:val="21"/>
          <w:highlight w:val="none"/>
        </w:rPr>
        <w:t>分）</w:t>
      </w:r>
      <w:bookmarkEnd w:id="127"/>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6"/>
        <w:gridCol w:w="1139"/>
        <w:gridCol w:w="7020"/>
        <w:gridCol w:w="859"/>
      </w:tblGrid>
      <w:tr w14:paraId="2ACFE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424" w:type="pct"/>
            <w:vAlign w:val="center"/>
          </w:tcPr>
          <w:p w14:paraId="119FD7FF">
            <w:pPr>
              <w:keepNext w:val="0"/>
              <w:keepLines w:val="0"/>
              <w:pageBreakBefore w:val="0"/>
              <w:widowControl w:val="0"/>
              <w:kinsoku/>
              <w:wordWrap/>
              <w:overflowPunct/>
              <w:topLinePunct w:val="0"/>
              <w:bidi w:val="0"/>
              <w:spacing w:before="0" w:beforeLines="0" w:after="0" w:afterLines="0" w:line="360" w:lineRule="auto"/>
              <w:jc w:val="center"/>
              <w:rPr>
                <w:rFonts w:hint="eastAsia" w:cs="@文鼎CS中黑"/>
                <w:b/>
                <w:bCs/>
                <w:color w:val="auto"/>
                <w:szCs w:val="21"/>
                <w:highlight w:val="none"/>
              </w:rPr>
            </w:pPr>
            <w:r>
              <w:rPr>
                <w:rFonts w:hint="eastAsia" w:cs="@文鼎CS中黑"/>
                <w:b/>
                <w:bCs/>
                <w:color w:val="auto"/>
                <w:szCs w:val="21"/>
                <w:highlight w:val="none"/>
              </w:rPr>
              <w:t>序号</w:t>
            </w:r>
          </w:p>
        </w:tc>
        <w:tc>
          <w:tcPr>
            <w:tcW w:w="578" w:type="pct"/>
            <w:vAlign w:val="center"/>
          </w:tcPr>
          <w:p w14:paraId="2BC160EC">
            <w:pPr>
              <w:keepNext w:val="0"/>
              <w:keepLines w:val="0"/>
              <w:pageBreakBefore w:val="0"/>
              <w:widowControl w:val="0"/>
              <w:kinsoku/>
              <w:wordWrap/>
              <w:overflowPunct/>
              <w:topLinePunct w:val="0"/>
              <w:bidi w:val="0"/>
              <w:spacing w:before="0" w:beforeLines="0" w:after="0" w:afterLines="0" w:line="360" w:lineRule="auto"/>
              <w:jc w:val="center"/>
              <w:rPr>
                <w:rFonts w:hint="eastAsia" w:cs="等线"/>
                <w:b/>
                <w:color w:val="auto"/>
                <w:highlight w:val="none"/>
              </w:rPr>
            </w:pPr>
            <w:r>
              <w:rPr>
                <w:rFonts w:hint="eastAsia" w:cs="等线"/>
                <w:b/>
                <w:color w:val="auto"/>
                <w:highlight w:val="none"/>
              </w:rPr>
              <w:t>评审因素</w:t>
            </w:r>
          </w:p>
        </w:tc>
        <w:tc>
          <w:tcPr>
            <w:tcW w:w="3562" w:type="pct"/>
            <w:vAlign w:val="center"/>
          </w:tcPr>
          <w:p w14:paraId="70F0D8C8">
            <w:pPr>
              <w:keepNext w:val="0"/>
              <w:keepLines w:val="0"/>
              <w:pageBreakBefore w:val="0"/>
              <w:widowControl w:val="0"/>
              <w:kinsoku/>
              <w:wordWrap/>
              <w:overflowPunct/>
              <w:topLinePunct w:val="0"/>
              <w:bidi w:val="0"/>
              <w:spacing w:before="0" w:beforeLines="0" w:after="0" w:afterLines="0" w:line="360" w:lineRule="auto"/>
              <w:jc w:val="center"/>
              <w:rPr>
                <w:rFonts w:hint="eastAsia" w:cs="等线"/>
                <w:b/>
                <w:color w:val="auto"/>
                <w:highlight w:val="none"/>
              </w:rPr>
            </w:pPr>
            <w:r>
              <w:rPr>
                <w:rFonts w:hint="eastAsia" w:cs="等线"/>
                <w:b/>
                <w:color w:val="auto"/>
                <w:highlight w:val="none"/>
              </w:rPr>
              <w:t>评审标准</w:t>
            </w:r>
          </w:p>
        </w:tc>
        <w:tc>
          <w:tcPr>
            <w:tcW w:w="436" w:type="pct"/>
            <w:vAlign w:val="center"/>
          </w:tcPr>
          <w:p w14:paraId="41B9F4E7">
            <w:pPr>
              <w:keepNext w:val="0"/>
              <w:keepLines w:val="0"/>
              <w:pageBreakBefore w:val="0"/>
              <w:widowControl w:val="0"/>
              <w:kinsoku/>
              <w:wordWrap/>
              <w:overflowPunct/>
              <w:topLinePunct w:val="0"/>
              <w:bidi w:val="0"/>
              <w:spacing w:before="0" w:beforeLines="0" w:after="0" w:afterLines="0" w:line="360" w:lineRule="auto"/>
              <w:jc w:val="center"/>
              <w:rPr>
                <w:rFonts w:hint="eastAsia"/>
                <w:color w:val="auto"/>
                <w:szCs w:val="21"/>
                <w:highlight w:val="none"/>
              </w:rPr>
            </w:pPr>
            <w:r>
              <w:rPr>
                <w:rFonts w:hint="eastAsia" w:cs="@文鼎CS中黑"/>
                <w:b/>
                <w:bCs/>
                <w:color w:val="auto"/>
                <w:szCs w:val="21"/>
                <w:highlight w:val="none"/>
              </w:rPr>
              <w:t>分值（分）</w:t>
            </w:r>
          </w:p>
        </w:tc>
      </w:tr>
      <w:tr w14:paraId="48EB5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030C7B96">
            <w:pPr>
              <w:keepNext w:val="0"/>
              <w:keepLines w:val="0"/>
              <w:pageBreakBefore w:val="0"/>
              <w:widowControl w:val="0"/>
              <w:kinsoku/>
              <w:wordWrap/>
              <w:overflowPunct/>
              <w:topLinePunct w:val="0"/>
              <w:bidi w:val="0"/>
              <w:spacing w:before="0" w:beforeLines="0" w:after="0" w:afterLines="0" w:line="360" w:lineRule="auto"/>
              <w:jc w:val="center"/>
              <w:rPr>
                <w:rFonts w:hint="eastAsia" w:cs="Courier New"/>
                <w:color w:val="auto"/>
                <w:szCs w:val="21"/>
                <w:highlight w:val="none"/>
              </w:rPr>
            </w:pPr>
            <w:r>
              <w:rPr>
                <w:rFonts w:hint="eastAsia" w:cs="Courier New"/>
                <w:color w:val="auto"/>
                <w:szCs w:val="21"/>
                <w:highlight w:val="none"/>
              </w:rPr>
              <w:t>1</w:t>
            </w:r>
          </w:p>
        </w:tc>
        <w:tc>
          <w:tcPr>
            <w:tcW w:w="578" w:type="pct"/>
            <w:tcBorders>
              <w:bottom w:val="single" w:color="auto" w:sz="4" w:space="0"/>
            </w:tcBorders>
            <w:vAlign w:val="center"/>
          </w:tcPr>
          <w:p w14:paraId="35AE4A4D">
            <w:pPr>
              <w:keepNext w:val="0"/>
              <w:keepLines w:val="0"/>
              <w:pageBreakBefore w:val="0"/>
              <w:widowControl w:val="0"/>
              <w:kinsoku/>
              <w:wordWrap/>
              <w:overflowPunct/>
              <w:topLinePunct w:val="0"/>
              <w:bidi w:val="0"/>
              <w:spacing w:before="0" w:beforeLines="0" w:after="0" w:afterLines="0" w:line="360" w:lineRule="auto"/>
              <w:jc w:val="center"/>
              <w:rPr>
                <w:rFonts w:hint="eastAsia" w:cs="Courier New"/>
                <w:color w:val="auto"/>
                <w:szCs w:val="21"/>
                <w:highlight w:val="none"/>
              </w:rPr>
            </w:pPr>
            <w:r>
              <w:rPr>
                <w:rFonts w:hint="eastAsia" w:cs="Courier New"/>
                <w:color w:val="auto"/>
                <w:szCs w:val="21"/>
                <w:highlight w:val="none"/>
              </w:rPr>
              <w:t>价格</w:t>
            </w:r>
          </w:p>
        </w:tc>
        <w:tc>
          <w:tcPr>
            <w:tcW w:w="3562" w:type="pct"/>
            <w:tcBorders>
              <w:bottom w:val="single" w:color="auto" w:sz="4" w:space="0"/>
            </w:tcBorders>
            <w:vAlign w:val="center"/>
          </w:tcPr>
          <w:p w14:paraId="0AE5781B">
            <w:pPr>
              <w:keepNext w:val="0"/>
              <w:keepLines w:val="0"/>
              <w:pageBreakBefore w:val="0"/>
              <w:widowControl w:val="0"/>
              <w:kinsoku/>
              <w:wordWrap/>
              <w:overflowPunct/>
              <w:topLinePunct w:val="0"/>
              <w:bidi w:val="0"/>
              <w:spacing w:before="0" w:beforeLines="0" w:after="0" w:afterLines="0" w:line="360" w:lineRule="auto"/>
              <w:jc w:val="both"/>
              <w:rPr>
                <w:rFonts w:hint="eastAsia" w:cs="Wingdings"/>
                <w:color w:val="auto"/>
                <w:kern w:val="0"/>
                <w:szCs w:val="21"/>
                <w:highlight w:val="none"/>
              </w:rPr>
            </w:pPr>
            <w:r>
              <w:rPr>
                <w:color w:val="auto"/>
                <w:highlight w:val="none"/>
              </w:rPr>
              <w:t>投标（响应）报价得分＝（评标基准价/最终响应报价）×价格分值（注：满足采购文件要求且最终报价最低的响应报价为评审基准价。）最低报价不是成交的唯一依据。【注：满足采购文件要求且“XXXX”最终报价最低的为评审基准价。如：最终报价XXXX 20%为报价最低，评审基准价为20%，得满分 】。因落实政府采购政策进行价格调整的，以调整后的价格计算评审基准价和响应报价。</w:t>
            </w:r>
          </w:p>
        </w:tc>
        <w:tc>
          <w:tcPr>
            <w:tcW w:w="436" w:type="pct"/>
            <w:tcBorders>
              <w:bottom w:val="single" w:color="auto" w:sz="4" w:space="0"/>
            </w:tcBorders>
            <w:vAlign w:val="center"/>
          </w:tcPr>
          <w:p w14:paraId="00234F76">
            <w:pPr>
              <w:keepNext w:val="0"/>
              <w:keepLines w:val="0"/>
              <w:pageBreakBefore w:val="0"/>
              <w:widowControl w:val="0"/>
              <w:kinsoku/>
              <w:wordWrap/>
              <w:overflowPunct/>
              <w:topLinePunct w:val="0"/>
              <w:bidi w:val="0"/>
              <w:spacing w:before="0" w:beforeLines="0" w:after="0" w:afterLines="0" w:line="360" w:lineRule="auto"/>
              <w:jc w:val="center"/>
              <w:rPr>
                <w:rFonts w:hint="default" w:eastAsia="宋体"/>
                <w:color w:val="auto"/>
                <w:szCs w:val="21"/>
                <w:highlight w:val="none"/>
                <w:lang w:val="en-US" w:eastAsia="zh-CN"/>
              </w:rPr>
            </w:pPr>
            <w:r>
              <w:rPr>
                <w:rFonts w:hint="eastAsia"/>
                <w:color w:val="auto"/>
                <w:szCs w:val="21"/>
                <w:highlight w:val="none"/>
                <w:lang w:val="en-US" w:eastAsia="zh-CN"/>
              </w:rPr>
              <w:t>40</w:t>
            </w:r>
          </w:p>
        </w:tc>
      </w:tr>
    </w:tbl>
    <w:p w14:paraId="71D4C009">
      <w:pPr>
        <w:pStyle w:val="19"/>
        <w:keepNext w:val="0"/>
        <w:keepLines w:val="0"/>
        <w:pageBreakBefore w:val="0"/>
        <w:widowControl w:val="0"/>
        <w:kinsoku/>
        <w:wordWrap/>
        <w:overflowPunct/>
        <w:topLinePunct w:val="0"/>
        <w:bidi w:val="0"/>
        <w:spacing w:beforeLines="0" w:afterLines="0"/>
        <w:rPr>
          <w:rFonts w:hint="eastAsia"/>
          <w:color w:val="auto"/>
          <w:szCs w:val="20"/>
          <w:highlight w:val="none"/>
        </w:rPr>
      </w:pPr>
    </w:p>
    <w:p w14:paraId="00CFFD85">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6</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汇总、排序</w:t>
      </w:r>
    </w:p>
    <w:p w14:paraId="1A53A12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评审结果按评审后总得分由高到低顺序排列。评审得分相同的，按最终报价由低到高顺序排列。得分且最终报价相同的，由磋商小组采取随机抽取的方式确定。排名第一的磋商供应商为第一成交候选人，排名第二的磋商供应商为第二成交候选人，以此类推。</w:t>
      </w:r>
    </w:p>
    <w:p w14:paraId="17EE1131">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rPr>
      </w:pPr>
      <w:r>
        <w:rPr>
          <w:rFonts w:hint="eastAsia" w:ascii="宋体" w:hAnsi="宋体" w:cs="Times New Roman"/>
          <w:b/>
          <w:color w:val="auto"/>
          <w:kern w:val="1"/>
          <w:sz w:val="21"/>
          <w:szCs w:val="21"/>
          <w:highlight w:val="none"/>
          <w:lang w:val="en-US" w:eastAsia="zh-CN" w:bidi="ar-SA"/>
        </w:rPr>
        <w:t>7</w:t>
      </w:r>
      <w:r>
        <w:rPr>
          <w:rFonts w:hint="eastAsia" w:ascii="宋体" w:hAnsi="宋体" w:eastAsia="宋体" w:cs="Times New Roman"/>
          <w:b/>
          <w:color w:val="auto"/>
          <w:kern w:val="1"/>
          <w:sz w:val="21"/>
          <w:szCs w:val="21"/>
          <w:highlight w:val="none"/>
          <w:lang w:val="en-US" w:eastAsia="ar-SA" w:bidi="ar-SA"/>
        </w:rPr>
        <w:t>.</w:t>
      </w:r>
      <w:r>
        <w:rPr>
          <w:rFonts w:hint="eastAsia" w:ascii="宋体" w:hAnsi="宋体"/>
          <w:b/>
          <w:color w:val="auto"/>
          <w:szCs w:val="21"/>
          <w:highlight w:val="none"/>
        </w:rPr>
        <w:t>编写评审报告</w:t>
      </w:r>
    </w:p>
    <w:p w14:paraId="2EDE712A">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highlight w:val="none"/>
        </w:rPr>
        <w:t>7</w:t>
      </w:r>
      <w:r>
        <w:rPr>
          <w:color w:val="auto"/>
          <w:szCs w:val="21"/>
          <w:highlight w:val="none"/>
        </w:rPr>
        <w:t>.1</w:t>
      </w:r>
      <w:r>
        <w:rPr>
          <w:rFonts w:hint="eastAsia"/>
          <w:color w:val="auto"/>
          <w:szCs w:val="21"/>
          <w:highlight w:val="none"/>
        </w:rPr>
        <w:t>磋商小组</w:t>
      </w:r>
      <w:r>
        <w:rPr>
          <w:color w:val="auto"/>
          <w:szCs w:val="21"/>
          <w:highlight w:val="none"/>
        </w:rPr>
        <w:t>根据全体评</w:t>
      </w:r>
      <w:r>
        <w:rPr>
          <w:rFonts w:hint="eastAsia"/>
          <w:color w:val="auto"/>
          <w:highlight w:val="none"/>
        </w:rPr>
        <w:t>审</w:t>
      </w:r>
      <w:r>
        <w:rPr>
          <w:color w:val="auto"/>
          <w:szCs w:val="21"/>
          <w:highlight w:val="none"/>
        </w:rPr>
        <w:t>成员签字的原始评标记录和评</w:t>
      </w:r>
      <w:r>
        <w:rPr>
          <w:rFonts w:hint="eastAsia"/>
          <w:color w:val="auto"/>
          <w:szCs w:val="21"/>
          <w:highlight w:val="none"/>
        </w:rPr>
        <w:t>审</w:t>
      </w:r>
      <w:r>
        <w:rPr>
          <w:color w:val="auto"/>
          <w:szCs w:val="21"/>
          <w:highlight w:val="none"/>
        </w:rPr>
        <w:t>结果编写评</w:t>
      </w:r>
      <w:r>
        <w:rPr>
          <w:rFonts w:hint="eastAsia"/>
          <w:color w:val="auto"/>
          <w:szCs w:val="21"/>
          <w:highlight w:val="none"/>
        </w:rPr>
        <w:t>审</w:t>
      </w:r>
      <w:r>
        <w:rPr>
          <w:color w:val="auto"/>
          <w:szCs w:val="21"/>
          <w:highlight w:val="none"/>
        </w:rPr>
        <w:t>报告。</w:t>
      </w:r>
    </w:p>
    <w:p w14:paraId="76F11B0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highlight w:val="none"/>
        </w:rPr>
        <w:t>7</w:t>
      </w:r>
      <w:r>
        <w:rPr>
          <w:color w:val="auto"/>
          <w:szCs w:val="21"/>
          <w:highlight w:val="none"/>
        </w:rPr>
        <w:t>.2</w:t>
      </w:r>
      <w:r>
        <w:rPr>
          <w:rFonts w:hint="eastAsia"/>
          <w:color w:val="auto"/>
          <w:highlight w:val="none"/>
        </w:rPr>
        <w:t>磋商</w:t>
      </w:r>
      <w:r>
        <w:rPr>
          <w:rFonts w:hint="eastAsia"/>
          <w:color w:val="auto"/>
          <w:szCs w:val="21"/>
          <w:highlight w:val="none"/>
        </w:rPr>
        <w:t>小组</w:t>
      </w:r>
      <w:r>
        <w:rPr>
          <w:color w:val="auto"/>
          <w:szCs w:val="21"/>
          <w:highlight w:val="none"/>
        </w:rPr>
        <w:t>成员对需要共同认定的事项存在争议的，应当按照少数服从多数的原则</w:t>
      </w:r>
      <w:r>
        <w:rPr>
          <w:rFonts w:hint="eastAsia"/>
          <w:color w:val="auto"/>
          <w:szCs w:val="21"/>
          <w:highlight w:val="none"/>
        </w:rPr>
        <w:t>作出</w:t>
      </w:r>
      <w:r>
        <w:rPr>
          <w:color w:val="auto"/>
          <w:szCs w:val="21"/>
          <w:highlight w:val="none"/>
        </w:rPr>
        <w:t>结论。持不同意见的</w:t>
      </w:r>
      <w:r>
        <w:rPr>
          <w:rFonts w:hint="eastAsia"/>
          <w:color w:val="auto"/>
          <w:highlight w:val="none"/>
        </w:rPr>
        <w:t>协商</w:t>
      </w:r>
      <w:r>
        <w:rPr>
          <w:rFonts w:hint="eastAsia"/>
          <w:color w:val="auto"/>
          <w:szCs w:val="21"/>
          <w:highlight w:val="none"/>
        </w:rPr>
        <w:t>小组</w:t>
      </w:r>
      <w:r>
        <w:rPr>
          <w:color w:val="auto"/>
          <w:szCs w:val="21"/>
          <w:highlight w:val="none"/>
        </w:rPr>
        <w:t>成员应当在评</w:t>
      </w:r>
      <w:r>
        <w:rPr>
          <w:rFonts w:hint="eastAsia"/>
          <w:color w:val="auto"/>
          <w:szCs w:val="21"/>
          <w:highlight w:val="none"/>
        </w:rPr>
        <w:t>审</w:t>
      </w:r>
      <w:r>
        <w:rPr>
          <w:color w:val="auto"/>
          <w:szCs w:val="21"/>
          <w:highlight w:val="none"/>
        </w:rPr>
        <w:t>报告上签署不同意见及理由，否则视为同意评</w:t>
      </w:r>
      <w:r>
        <w:rPr>
          <w:rFonts w:hint="eastAsia"/>
          <w:color w:val="auto"/>
          <w:szCs w:val="21"/>
          <w:highlight w:val="none"/>
        </w:rPr>
        <w:t>审</w:t>
      </w:r>
      <w:r>
        <w:rPr>
          <w:color w:val="auto"/>
          <w:szCs w:val="21"/>
          <w:highlight w:val="none"/>
        </w:rPr>
        <w:t>报告。</w:t>
      </w:r>
    </w:p>
    <w:p w14:paraId="7EACF7BD">
      <w:pPr>
        <w:pStyle w:val="129"/>
        <w:keepNext w:val="0"/>
        <w:keepLines w:val="0"/>
        <w:pageBreakBefore w:val="0"/>
        <w:widowControl w:val="0"/>
        <w:numPr>
          <w:ilvl w:val="0"/>
          <w:numId w:val="0"/>
        </w:numPr>
        <w:kinsoku/>
        <w:wordWrap/>
        <w:overflowPunct/>
        <w:topLinePunct w:val="0"/>
        <w:bidi w:val="0"/>
        <w:spacing w:beforeLines="0" w:afterLines="0"/>
        <w:ind w:left="420" w:leftChars="0" w:hanging="420" w:firstLineChars="0"/>
        <w:jc w:val="left"/>
        <w:outlineLvl w:val="2"/>
        <w:rPr>
          <w:rFonts w:hint="eastAsia" w:ascii="宋体" w:hAnsi="宋体"/>
          <w:b/>
          <w:color w:val="auto"/>
          <w:szCs w:val="21"/>
          <w:highlight w:val="none"/>
          <w:lang w:eastAsia="zh-CN"/>
        </w:rPr>
      </w:pPr>
      <w:r>
        <w:rPr>
          <w:rFonts w:hint="eastAsia" w:ascii="宋体" w:hAnsi="宋体" w:cs="Times New Roman"/>
          <w:b/>
          <w:color w:val="auto"/>
          <w:kern w:val="1"/>
          <w:sz w:val="21"/>
          <w:szCs w:val="21"/>
          <w:highlight w:val="none"/>
          <w:lang w:val="en-US" w:eastAsia="zh-CN" w:bidi="ar-SA"/>
        </w:rPr>
        <w:t>8</w:t>
      </w:r>
      <w:r>
        <w:rPr>
          <w:rFonts w:hint="eastAsia" w:ascii="宋体" w:hAnsi="宋体" w:eastAsia="宋体" w:cs="Times New Roman"/>
          <w:b/>
          <w:color w:val="auto"/>
          <w:kern w:val="1"/>
          <w:sz w:val="21"/>
          <w:szCs w:val="21"/>
          <w:highlight w:val="none"/>
          <w:lang w:val="en-US" w:eastAsia="zh-CN" w:bidi="ar-SA"/>
        </w:rPr>
        <w:t>.</w:t>
      </w:r>
      <w:r>
        <w:rPr>
          <w:rFonts w:hint="eastAsia" w:ascii="宋体" w:hAnsi="宋体"/>
          <w:b/>
          <w:color w:val="auto"/>
          <w:szCs w:val="21"/>
          <w:highlight w:val="none"/>
          <w:lang w:eastAsia="zh-CN"/>
        </w:rPr>
        <w:t>其他无效响应的情形</w:t>
      </w:r>
    </w:p>
    <w:p w14:paraId="7C395294">
      <w:pPr>
        <w:keepNext w:val="0"/>
        <w:keepLines w:val="0"/>
        <w:pageBreakBefore w:val="0"/>
        <w:widowControl w:val="0"/>
        <w:kinsoku/>
        <w:wordWrap/>
        <w:overflowPunct/>
        <w:topLinePunct w:val="0"/>
        <w:bidi w:val="0"/>
        <w:spacing w:beforeLines="0" w:afterLines="0"/>
        <w:ind w:firstLine="420" w:firstLineChars="200"/>
        <w:jc w:val="left"/>
        <w:rPr>
          <w:rFonts w:hint="eastAsia"/>
          <w:color w:val="auto"/>
          <w:highlight w:val="none"/>
        </w:rPr>
      </w:pPr>
      <w:r>
        <w:rPr>
          <w:rFonts w:hint="eastAsia"/>
          <w:color w:val="auto"/>
          <w:highlight w:val="none"/>
        </w:rPr>
        <w:t>8.1评审期间，供应商没有按磋商小组的要求提交法定代表人或其委托代理人签字的澄清、说明、补正或改变了响应文件的实质性内容的。</w:t>
      </w:r>
    </w:p>
    <w:p w14:paraId="081C9527">
      <w:pPr>
        <w:keepNext w:val="0"/>
        <w:keepLines w:val="0"/>
        <w:pageBreakBefore w:val="0"/>
        <w:widowControl w:val="0"/>
        <w:kinsoku/>
        <w:wordWrap/>
        <w:overflowPunct/>
        <w:topLinePunct w:val="0"/>
        <w:bidi w:val="0"/>
        <w:spacing w:beforeLines="0" w:afterLines="0"/>
        <w:ind w:firstLine="420" w:firstLineChars="200"/>
        <w:jc w:val="left"/>
        <w:rPr>
          <w:rFonts w:hint="eastAsia"/>
          <w:color w:val="auto"/>
          <w:highlight w:val="none"/>
        </w:rPr>
      </w:pPr>
      <w:r>
        <w:rPr>
          <w:rFonts w:hint="eastAsia"/>
          <w:color w:val="auto"/>
          <w:highlight w:val="none"/>
        </w:rPr>
        <w:t>8.2响应文件提供虚假材料的。</w:t>
      </w:r>
    </w:p>
    <w:p w14:paraId="59215AB4">
      <w:pPr>
        <w:keepNext w:val="0"/>
        <w:keepLines w:val="0"/>
        <w:pageBreakBefore w:val="0"/>
        <w:widowControl w:val="0"/>
        <w:kinsoku/>
        <w:wordWrap/>
        <w:overflowPunct/>
        <w:topLinePunct w:val="0"/>
        <w:bidi w:val="0"/>
        <w:spacing w:beforeLines="0" w:afterLines="0"/>
        <w:ind w:firstLine="420" w:firstLineChars="200"/>
        <w:jc w:val="left"/>
        <w:rPr>
          <w:rFonts w:hint="eastAsia"/>
          <w:color w:val="auto"/>
          <w:highlight w:val="none"/>
        </w:rPr>
      </w:pPr>
      <w:r>
        <w:rPr>
          <w:rFonts w:hint="eastAsia"/>
          <w:color w:val="auto"/>
          <w:highlight w:val="none"/>
        </w:rPr>
        <w:t>8.3供应商以他人名义响应、串通响应、以行贿手段谋取成交或者以其他弄虚作假方式响应的。</w:t>
      </w:r>
    </w:p>
    <w:p w14:paraId="0959B0E7">
      <w:pPr>
        <w:keepNext w:val="0"/>
        <w:keepLines w:val="0"/>
        <w:pageBreakBefore w:val="0"/>
        <w:widowControl w:val="0"/>
        <w:kinsoku/>
        <w:wordWrap/>
        <w:overflowPunct/>
        <w:topLinePunct w:val="0"/>
        <w:bidi w:val="0"/>
        <w:spacing w:beforeLines="0" w:afterLines="0"/>
        <w:ind w:firstLine="420" w:firstLineChars="200"/>
        <w:jc w:val="left"/>
        <w:rPr>
          <w:rFonts w:hint="eastAsia"/>
          <w:color w:val="auto"/>
          <w:highlight w:val="none"/>
        </w:rPr>
      </w:pPr>
      <w:r>
        <w:rPr>
          <w:rFonts w:hint="eastAsia"/>
          <w:color w:val="auto"/>
          <w:highlight w:val="none"/>
        </w:rPr>
        <w:t>8.4供应商对采购人、采购代理机构、磋商小组及其工作人员施加影响，有碍招标公平、公正的。</w:t>
      </w:r>
    </w:p>
    <w:p w14:paraId="3CF4C62E">
      <w:pPr>
        <w:keepNext w:val="0"/>
        <w:keepLines w:val="0"/>
        <w:pageBreakBefore w:val="0"/>
        <w:widowControl w:val="0"/>
        <w:kinsoku/>
        <w:wordWrap/>
        <w:overflowPunct/>
        <w:topLinePunct w:val="0"/>
        <w:bidi w:val="0"/>
        <w:spacing w:beforeLines="0" w:afterLines="0"/>
        <w:ind w:firstLine="420" w:firstLineChars="200"/>
        <w:jc w:val="left"/>
        <w:rPr>
          <w:rFonts w:hint="eastAsia"/>
          <w:color w:val="auto"/>
          <w:highlight w:val="none"/>
        </w:rPr>
      </w:pPr>
      <w:r>
        <w:rPr>
          <w:rFonts w:hint="eastAsia"/>
          <w:color w:val="auto"/>
          <w:highlight w:val="none"/>
        </w:rPr>
        <w:t>8.5响应文件含有采购人不能接受的附加条件的。</w:t>
      </w:r>
    </w:p>
    <w:p w14:paraId="54E03566">
      <w:pPr>
        <w:keepNext w:val="0"/>
        <w:keepLines w:val="0"/>
        <w:pageBreakBefore w:val="0"/>
        <w:widowControl w:val="0"/>
        <w:kinsoku/>
        <w:wordWrap/>
        <w:overflowPunct/>
        <w:topLinePunct w:val="0"/>
        <w:bidi w:val="0"/>
        <w:spacing w:beforeLines="0" w:afterLines="0"/>
        <w:ind w:firstLine="420" w:firstLineChars="200"/>
        <w:jc w:val="left"/>
        <w:rPr>
          <w:rFonts w:hint="eastAsia"/>
          <w:color w:val="auto"/>
          <w:highlight w:val="none"/>
        </w:rPr>
      </w:pPr>
      <w:r>
        <w:rPr>
          <w:rFonts w:hint="eastAsia"/>
          <w:color w:val="auto"/>
          <w:highlight w:val="none"/>
        </w:rPr>
        <w:t>8.6法律、法规和磋商文件规定的其他无效情形。</w:t>
      </w:r>
    </w:p>
    <w:p w14:paraId="12FE35EC">
      <w:pPr>
        <w:keepNext w:val="0"/>
        <w:keepLines w:val="0"/>
        <w:pageBreakBefore w:val="0"/>
        <w:widowControl w:val="0"/>
        <w:kinsoku/>
        <w:wordWrap/>
        <w:overflowPunct/>
        <w:topLinePunct w:val="0"/>
        <w:bidi w:val="0"/>
        <w:spacing w:beforeLines="0" w:afterLines="0"/>
        <w:jc w:val="left"/>
        <w:rPr>
          <w:rFonts w:hint="eastAsia"/>
          <w:color w:val="auto"/>
          <w:highlight w:val="none"/>
        </w:rPr>
      </w:pPr>
    </w:p>
    <w:p w14:paraId="64CEEC95">
      <w:pPr>
        <w:keepNext w:val="0"/>
        <w:keepLines w:val="0"/>
        <w:pageBreakBefore w:val="0"/>
        <w:widowControl w:val="0"/>
        <w:kinsoku/>
        <w:wordWrap/>
        <w:overflowPunct/>
        <w:topLinePunct w:val="0"/>
        <w:bidi w:val="0"/>
        <w:spacing w:beforeLines="0" w:afterLines="0"/>
        <w:jc w:val="left"/>
        <w:rPr>
          <w:rFonts w:hint="eastAsia"/>
          <w:color w:val="auto"/>
          <w:sz w:val="28"/>
          <w:highlight w:val="none"/>
        </w:rPr>
      </w:pPr>
      <w:r>
        <w:rPr>
          <w:color w:val="auto"/>
          <w:highlight w:val="none"/>
        </w:rPr>
        <w:br w:type="page"/>
      </w:r>
    </w:p>
    <w:p w14:paraId="24F51C0C">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pPr>
      <w:bookmarkStart w:id="128" w:name="_Toc104040754"/>
      <w:bookmarkStart w:id="129" w:name="_Toc102936915"/>
      <w:bookmarkStart w:id="130" w:name="_Toc103216637"/>
      <w:bookmarkStart w:id="131" w:name="_Toc103033216"/>
      <w:bookmarkStart w:id="132" w:name="_Toc104040700"/>
      <w:bookmarkStart w:id="133" w:name="_Toc20787"/>
      <w:r>
        <w:rPr>
          <w:rFonts w:hint="eastAsia" w:eastAsia="宋体"/>
          <w:color w:val="auto"/>
          <w:sz w:val="24"/>
          <w:szCs w:val="24"/>
          <w:highlight w:val="none"/>
        </w:rPr>
        <w:t>第五章 合同文本</w:t>
      </w:r>
      <w:bookmarkEnd w:id="116"/>
      <w:bookmarkEnd w:id="117"/>
      <w:bookmarkEnd w:id="118"/>
      <w:bookmarkEnd w:id="128"/>
      <w:bookmarkEnd w:id="129"/>
      <w:bookmarkEnd w:id="130"/>
      <w:bookmarkEnd w:id="131"/>
      <w:bookmarkEnd w:id="132"/>
      <w:bookmarkEnd w:id="133"/>
      <w:bookmarkStart w:id="134" w:name="_Toc481009509"/>
      <w:bookmarkStart w:id="135" w:name="_Toc3387032"/>
      <w:bookmarkStart w:id="136" w:name="_Toc22308"/>
      <w:bookmarkStart w:id="137" w:name="_Toc496780387"/>
      <w:bookmarkStart w:id="138" w:name="_Toc20383"/>
      <w:bookmarkStart w:id="139" w:name="_Toc453663167"/>
      <w:bookmarkStart w:id="140" w:name="_Toc432067248"/>
      <w:bookmarkStart w:id="141" w:name="_Toc454979452"/>
      <w:bookmarkStart w:id="142" w:name="_Toc37919883"/>
      <w:bookmarkStart w:id="143" w:name="_Toc531617908"/>
      <w:bookmarkStart w:id="144" w:name="_Toc314746649"/>
      <w:bookmarkStart w:id="145" w:name="_Toc67046890"/>
      <w:bookmarkStart w:id="146" w:name="_Toc70528447"/>
      <w:bookmarkStart w:id="147" w:name="_Toc70528477"/>
      <w:bookmarkStart w:id="148" w:name="_Toc42923379"/>
      <w:bookmarkStart w:id="149" w:name="_Toc49508359"/>
      <w:bookmarkStart w:id="150" w:name="_Toc68789522"/>
      <w:bookmarkStart w:id="151" w:name="_Toc76397758"/>
    </w:p>
    <w:p w14:paraId="14021FA6">
      <w:pPr>
        <w:pStyle w:val="24"/>
        <w:keepNext w:val="0"/>
        <w:keepLines w:val="0"/>
        <w:pageBreakBefore w:val="0"/>
        <w:widowControl w:val="0"/>
        <w:kinsoku/>
        <w:wordWrap/>
        <w:overflowPunct/>
        <w:topLinePunct w:val="0"/>
        <w:bidi w:val="0"/>
        <w:spacing w:beforeLines="0" w:afterLines="0"/>
        <w:rPr>
          <w:rFonts w:hint="eastAsia" w:hAnsi="宋体" w:eastAsia="宋体" w:cs="仿宋"/>
          <w:color w:val="auto"/>
          <w:sz w:val="24"/>
          <w:szCs w:val="24"/>
          <w:highlight w:val="none"/>
        </w:rPr>
      </w:pPr>
    </w:p>
    <w:bookmarkEnd w:id="134"/>
    <w:bookmarkEnd w:id="135"/>
    <w:bookmarkEnd w:id="136"/>
    <w:bookmarkEnd w:id="137"/>
    <w:bookmarkEnd w:id="138"/>
    <w:bookmarkEnd w:id="139"/>
    <w:bookmarkEnd w:id="140"/>
    <w:bookmarkEnd w:id="141"/>
    <w:bookmarkEnd w:id="142"/>
    <w:bookmarkEnd w:id="143"/>
    <w:p w14:paraId="58B455DD">
      <w:pPr>
        <w:keepNext w:val="0"/>
        <w:keepLines w:val="0"/>
        <w:pageBreakBefore w:val="0"/>
        <w:widowControl w:val="0"/>
        <w:kinsoku/>
        <w:wordWrap/>
        <w:overflowPunct/>
        <w:topLinePunct w:val="0"/>
        <w:bidi w:val="0"/>
        <w:spacing w:beforeLines="0" w:afterLines="0"/>
        <w:jc w:val="left"/>
        <w:rPr>
          <w:rFonts w:hint="eastAsia" w:cs="仿宋"/>
          <w:color w:val="auto"/>
          <w:highlight w:val="none"/>
        </w:rPr>
      </w:pPr>
    </w:p>
    <w:p w14:paraId="4F55E901">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rPr>
          <w:rFonts w:hint="eastAsia" w:ascii="仿宋" w:hAnsi="仿宋" w:eastAsia="仿宋" w:cs="仿宋"/>
          <w:color w:val="auto"/>
          <w:highlight w:val="none"/>
        </w:rPr>
      </w:pPr>
    </w:p>
    <w:p w14:paraId="63A0A060">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rPr>
          <w:rFonts w:hint="eastAsia" w:ascii="仿宋" w:hAnsi="仿宋" w:eastAsia="仿宋" w:cs="仿宋"/>
          <w:color w:val="auto"/>
          <w:highlight w:val="none"/>
        </w:rPr>
      </w:pPr>
    </w:p>
    <w:p w14:paraId="18F2EC24">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仿宋" w:hAnsi="仿宋" w:eastAsia="仿宋" w:cs="仿宋"/>
          <w:b w:val="0"/>
          <w:bCs/>
          <w:color w:val="auto"/>
          <w:sz w:val="44"/>
          <w:szCs w:val="44"/>
          <w:highlight w:val="none"/>
          <w:lang w:val="en-US" w:eastAsia="zh-Hans"/>
        </w:rPr>
      </w:pPr>
    </w:p>
    <w:p w14:paraId="7D7A5A5D">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仿宋" w:hAnsi="仿宋" w:eastAsia="仿宋" w:cs="仿宋"/>
          <w:b w:val="0"/>
          <w:bCs/>
          <w:color w:val="auto"/>
          <w:sz w:val="44"/>
          <w:szCs w:val="44"/>
          <w:highlight w:val="none"/>
          <w:lang w:val="en-US" w:eastAsia="zh-Hans"/>
        </w:rPr>
      </w:pPr>
      <w:r>
        <w:rPr>
          <w:rFonts w:hint="eastAsia" w:ascii="仿宋" w:hAnsi="仿宋" w:eastAsia="仿宋" w:cs="仿宋"/>
          <w:b w:val="0"/>
          <w:bCs/>
          <w:color w:val="auto"/>
          <w:sz w:val="44"/>
          <w:szCs w:val="44"/>
          <w:highlight w:val="none"/>
          <w:lang w:val="en-US" w:eastAsia="zh-Hans"/>
        </w:rPr>
        <w:t>中华人民共和国横琴出入境边防检查站</w:t>
      </w:r>
    </w:p>
    <w:p w14:paraId="6B8637E8">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outlineLvl w:val="1"/>
        <w:rPr>
          <w:rFonts w:hint="eastAsia" w:ascii="仿宋" w:hAnsi="仿宋" w:eastAsia="仿宋" w:cs="仿宋"/>
          <w:b w:val="0"/>
          <w:bCs/>
          <w:color w:val="auto"/>
          <w:sz w:val="44"/>
          <w:szCs w:val="44"/>
          <w:highlight w:val="none"/>
          <w:lang w:val="en-US" w:eastAsia="zh-Hans"/>
        </w:rPr>
      </w:pPr>
      <w:bookmarkStart w:id="152" w:name="_Toc19999"/>
      <w:bookmarkStart w:id="153" w:name="_Toc2675"/>
      <w:r>
        <w:rPr>
          <w:rFonts w:hint="eastAsia" w:ascii="仿宋" w:hAnsi="仿宋" w:eastAsia="仿宋" w:cs="仿宋"/>
          <w:b w:val="0"/>
          <w:bCs/>
          <w:color w:val="auto"/>
          <w:sz w:val="44"/>
          <w:szCs w:val="44"/>
          <w:highlight w:val="none"/>
          <w:lang w:val="en-US" w:eastAsia="zh-Hans"/>
        </w:rPr>
        <w:t>2026年政府采购限额标准以下零星</w:t>
      </w:r>
      <w:bookmarkEnd w:id="152"/>
      <w:bookmarkEnd w:id="153"/>
    </w:p>
    <w:p w14:paraId="20A57F33">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rPr>
          <w:rFonts w:hint="eastAsia" w:ascii="仿宋" w:hAnsi="仿宋" w:eastAsia="仿宋" w:cs="仿宋"/>
          <w:b w:val="0"/>
          <w:bCs/>
          <w:color w:val="auto"/>
          <w:sz w:val="44"/>
          <w:szCs w:val="44"/>
          <w:highlight w:val="none"/>
          <w:lang w:eastAsia="zh-CN"/>
        </w:rPr>
      </w:pPr>
      <w:r>
        <w:rPr>
          <w:rFonts w:hint="eastAsia" w:ascii="仿宋" w:hAnsi="仿宋" w:eastAsia="仿宋" w:cs="仿宋"/>
          <w:b w:val="0"/>
          <w:bCs/>
          <w:color w:val="auto"/>
          <w:sz w:val="44"/>
          <w:szCs w:val="44"/>
          <w:highlight w:val="none"/>
          <w:lang w:val="en-US" w:eastAsia="zh-Hans"/>
        </w:rPr>
        <w:t>修缮工程框架合同</w:t>
      </w:r>
    </w:p>
    <w:p w14:paraId="29A18846">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outlineLvl w:val="9"/>
        <w:rPr>
          <w:rFonts w:hint="eastAsia" w:ascii="仿宋" w:hAnsi="仿宋" w:eastAsia="仿宋" w:cs="仿宋"/>
          <w:b w:val="0"/>
          <w:bCs/>
          <w:color w:val="auto"/>
          <w:sz w:val="44"/>
          <w:szCs w:val="44"/>
          <w:highlight w:val="none"/>
          <w:lang w:val="en-US" w:eastAsia="zh-CN"/>
        </w:rPr>
      </w:pPr>
    </w:p>
    <w:p w14:paraId="1D110B48">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highlight w:val="none"/>
        </w:rPr>
      </w:pPr>
    </w:p>
    <w:p w14:paraId="39515045">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highlight w:val="none"/>
        </w:rPr>
      </w:pPr>
    </w:p>
    <w:p w14:paraId="78A2EEAE">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highlight w:val="none"/>
        </w:rPr>
      </w:pPr>
    </w:p>
    <w:p w14:paraId="03D32CD4">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highlight w:val="none"/>
        </w:rPr>
      </w:pPr>
    </w:p>
    <w:p w14:paraId="38991DA6">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outlineLvl w:val="9"/>
        <w:rPr>
          <w:rFonts w:hint="eastAsia" w:ascii="仿宋" w:hAnsi="仿宋" w:eastAsia="仿宋" w:cs="仿宋"/>
          <w:color w:val="auto"/>
          <w:highlight w:val="none"/>
        </w:rPr>
      </w:pPr>
    </w:p>
    <w:p w14:paraId="400FA396">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highlight w:val="none"/>
        </w:rPr>
      </w:pPr>
    </w:p>
    <w:p w14:paraId="393347E2">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highlight w:val="none"/>
        </w:rPr>
      </w:pPr>
    </w:p>
    <w:p w14:paraId="25BBE422">
      <w:pPr>
        <w:keepNext w:val="0"/>
        <w:keepLines w:val="0"/>
        <w:pageBreakBefore w:val="0"/>
        <w:widowControl w:val="0"/>
        <w:kinsoku/>
        <w:wordWrap/>
        <w:overflowPunct/>
        <w:topLinePunct w:val="0"/>
        <w:autoSpaceDE/>
        <w:autoSpaceDN/>
        <w:bidi w:val="0"/>
        <w:adjustRightInd/>
        <w:snapToGrid/>
        <w:spacing w:beforeLines="0" w:afterLines="0" w:line="360" w:lineRule="auto"/>
        <w:ind w:firstLine="2800" w:firstLineChars="1000"/>
        <w:jc w:val="both"/>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合同编号：</w:t>
      </w:r>
      <w:r>
        <w:rPr>
          <w:rFonts w:hint="eastAsia" w:ascii="仿宋" w:hAnsi="仿宋" w:eastAsia="仿宋" w:cs="仿宋"/>
          <w:color w:val="auto"/>
          <w:sz w:val="28"/>
          <w:szCs w:val="28"/>
          <w:highlight w:val="none"/>
          <w:u w:val="single"/>
          <w:lang w:val="en-US" w:eastAsia="zh-CN"/>
        </w:rPr>
        <w:t>HQBJZ-006-1</w:t>
      </w:r>
    </w:p>
    <w:p w14:paraId="28C42FC3">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rPr>
        <w:sectPr>
          <w:footerReference r:id="rId14" w:type="default"/>
          <w:pgSz w:w="11906" w:h="16838"/>
          <w:pgMar w:top="1134" w:right="1134" w:bottom="1134" w:left="1134" w:header="851" w:footer="992" w:gutter="0"/>
          <w:pgNumType w:fmt="decimal"/>
          <w:cols w:space="0" w:num="1"/>
          <w:rtlGutter w:val="0"/>
          <w:docGrid w:type="lines" w:linePitch="312" w:charSpace="0"/>
        </w:sectPr>
      </w:pPr>
    </w:p>
    <w:p w14:paraId="75C81B61">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rPr>
        <w:t>甲方：</w:t>
      </w:r>
      <w:r>
        <w:rPr>
          <w:rFonts w:hint="eastAsia" w:ascii="仿宋" w:hAnsi="仿宋" w:eastAsia="仿宋" w:cs="仿宋"/>
          <w:b/>
          <w:bCs/>
          <w:color w:val="auto"/>
          <w:sz w:val="28"/>
          <w:szCs w:val="28"/>
          <w:highlight w:val="none"/>
          <w:lang w:eastAsia="zh-CN"/>
        </w:rPr>
        <w:t>中华人民共和国横琴出入境边防检查站</w:t>
      </w:r>
    </w:p>
    <w:p w14:paraId="780B1DBC">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法定代表人（负责人）：石柱</w:t>
      </w:r>
    </w:p>
    <w:p w14:paraId="3407DC23">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甲方代表：屈光照</w:t>
      </w:r>
      <w:r>
        <w:rPr>
          <w:rFonts w:hint="eastAsia" w:ascii="仿宋" w:hAnsi="仿宋" w:eastAsia="仿宋" w:cs="仿宋"/>
          <w:b/>
          <w:bCs/>
          <w:color w:val="auto"/>
          <w:sz w:val="28"/>
          <w:szCs w:val="28"/>
          <w:highlight w:val="none"/>
          <w:lang w:val="en-US" w:eastAsia="zh-CN"/>
        </w:rPr>
        <w:t xml:space="preserve">                    电话：0756-8167532</w:t>
      </w:r>
    </w:p>
    <w:p w14:paraId="50DC463A">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地址：</w:t>
      </w:r>
      <w:r>
        <w:rPr>
          <w:rFonts w:hint="eastAsia" w:ascii="仿宋" w:hAnsi="仿宋" w:eastAsia="仿宋" w:cs="仿宋"/>
          <w:b/>
          <w:bCs/>
          <w:color w:val="auto"/>
          <w:sz w:val="28"/>
          <w:szCs w:val="28"/>
          <w:highlight w:val="none"/>
          <w:lang w:val="en-US" w:eastAsia="zh-CN"/>
        </w:rPr>
        <w:t>广东省横琴粤澳深度合作区濠江路66号</w:t>
      </w:r>
    </w:p>
    <w:p w14:paraId="07B44A04">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rPr>
      </w:pPr>
    </w:p>
    <w:p w14:paraId="5176A46D">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rPr>
        <w:t>乙方：</w:t>
      </w:r>
    </w:p>
    <w:p w14:paraId="3503C3F2">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法定代表人（负责人）：</w:t>
      </w:r>
    </w:p>
    <w:p w14:paraId="2869A8E9">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项目经理（或工程现场负责人）：</w:t>
      </w:r>
      <w:r>
        <w:rPr>
          <w:rFonts w:hint="eastAsia" w:ascii="仿宋" w:hAnsi="仿宋" w:eastAsia="仿宋" w:cs="仿宋"/>
          <w:b/>
          <w:bCs/>
          <w:color w:val="auto"/>
          <w:sz w:val="28"/>
          <w:szCs w:val="28"/>
          <w:highlight w:val="none"/>
          <w:lang w:val="en-US" w:eastAsia="zh-CN"/>
        </w:rPr>
        <w:t xml:space="preserve">      电话：</w:t>
      </w:r>
    </w:p>
    <w:p w14:paraId="1DBEE659">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地址：</w:t>
      </w:r>
    </w:p>
    <w:p w14:paraId="7BFA7B7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p>
    <w:p w14:paraId="112F0AB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经履行</w:t>
      </w:r>
      <w:r>
        <w:rPr>
          <w:rFonts w:hint="eastAsia" w:ascii="仿宋" w:hAnsi="仿宋" w:eastAsia="仿宋" w:cs="仿宋"/>
          <w:color w:val="auto"/>
          <w:sz w:val="28"/>
          <w:szCs w:val="28"/>
          <w:highlight w:val="none"/>
          <w:lang w:eastAsia="zh-CN"/>
        </w:rPr>
        <w:t>采购</w:t>
      </w:r>
      <w:r>
        <w:rPr>
          <w:rFonts w:hint="eastAsia" w:ascii="仿宋" w:hAnsi="仿宋" w:eastAsia="仿宋" w:cs="仿宋"/>
          <w:color w:val="auto"/>
          <w:sz w:val="28"/>
          <w:szCs w:val="28"/>
          <w:highlight w:val="none"/>
        </w:rPr>
        <w:t>程序，乙方成交承接</w:t>
      </w:r>
      <w:r>
        <w:rPr>
          <w:rFonts w:hint="eastAsia" w:ascii="仿宋" w:hAnsi="仿宋" w:eastAsia="仿宋" w:cs="仿宋"/>
          <w:color w:val="auto"/>
          <w:sz w:val="28"/>
          <w:szCs w:val="28"/>
          <w:highlight w:val="none"/>
          <w:u w:val="single"/>
          <w:lang w:val="en-US" w:eastAsia="zh"/>
        </w:rPr>
        <w:t>中华人民共和国横琴出入境边防检查站2026年政府采购限额标准以下零星修缮工程</w:t>
      </w:r>
      <w:r>
        <w:rPr>
          <w:rFonts w:hint="eastAsia" w:ascii="仿宋" w:hAnsi="仿宋" w:eastAsia="仿宋" w:cs="仿宋"/>
          <w:color w:val="auto"/>
          <w:sz w:val="28"/>
          <w:szCs w:val="28"/>
          <w:highlight w:val="none"/>
        </w:rPr>
        <w:t>。</w:t>
      </w:r>
      <w:r>
        <w:rPr>
          <w:rFonts w:hint="eastAsia" w:ascii="仿宋" w:hAnsi="仿宋" w:eastAsia="仿宋" w:cs="仿宋"/>
          <w:color w:val="auto"/>
          <w:sz w:val="28"/>
          <w:szCs w:val="28"/>
          <w:highlight w:val="none"/>
          <w:lang w:val="en-US" w:eastAsia="zh-CN"/>
        </w:rPr>
        <w:t>现双方依据本项目采购文件、响应文件、成交公告等有关约定，按照《中华人民共和国民法典》《建设工程质量管理条例》《建设工程安全生产管理条例》及国家有关法律、法规的规定，在平等、自愿、等价有偿、公平、诚信的基础上，经友好协商达成一致意见，签订本合同以资信守。</w:t>
      </w:r>
    </w:p>
    <w:p w14:paraId="3D5D2577">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9"/>
        <w:rPr>
          <w:rFonts w:hint="eastAsia" w:ascii="仿宋" w:hAnsi="仿宋" w:eastAsia="仿宋" w:cs="仿宋"/>
          <w:b/>
          <w:bCs/>
          <w:color w:val="auto"/>
          <w:sz w:val="28"/>
          <w:szCs w:val="28"/>
          <w:highlight w:val="none"/>
          <w:lang w:eastAsia="zh-CN"/>
        </w:rPr>
      </w:pPr>
    </w:p>
    <w:p w14:paraId="1C57F26B">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一、</w:t>
      </w:r>
      <w:r>
        <w:rPr>
          <w:rFonts w:hint="eastAsia" w:ascii="仿宋" w:hAnsi="仿宋" w:eastAsia="仿宋" w:cs="仿宋"/>
          <w:b/>
          <w:bCs/>
          <w:color w:val="auto"/>
          <w:sz w:val="28"/>
          <w:szCs w:val="28"/>
          <w:highlight w:val="none"/>
        </w:rPr>
        <w:t>工程概况</w:t>
      </w:r>
    </w:p>
    <w:p w14:paraId="5CE209A1">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outlineLvl w:val="9"/>
        <w:rPr>
          <w:rFonts w:hint="eastAsia" w:ascii="仿宋" w:hAnsi="仿宋" w:eastAsia="仿宋" w:cs="仿宋"/>
          <w:color w:val="auto"/>
          <w:sz w:val="28"/>
          <w:szCs w:val="28"/>
          <w:highlight w:val="none"/>
          <w:u w:val="single"/>
          <w:lang w:val="en-US" w:eastAsia="zh-CN"/>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rPr>
        <w:t>工程名称：</w:t>
      </w:r>
      <w:r>
        <w:rPr>
          <w:rFonts w:hint="eastAsia" w:ascii="仿宋" w:hAnsi="仿宋" w:eastAsia="仿宋" w:cs="仿宋"/>
          <w:color w:val="auto"/>
          <w:sz w:val="28"/>
          <w:szCs w:val="28"/>
          <w:highlight w:val="none"/>
          <w:u w:val="single"/>
          <w:lang w:val="en-US" w:eastAsia="zh"/>
        </w:rPr>
        <w:t>中华人民共和国横琴出入境边防检查站2026年政府采购限额标准以下零星修缮工程</w:t>
      </w:r>
      <w:r>
        <w:rPr>
          <w:rFonts w:hint="eastAsia" w:ascii="仿宋" w:hAnsi="仿宋" w:eastAsia="仿宋" w:cs="仿宋"/>
          <w:color w:val="auto"/>
          <w:sz w:val="28"/>
          <w:szCs w:val="28"/>
          <w:highlight w:val="none"/>
          <w:u w:val="single"/>
          <w:lang w:val="en-US" w:eastAsia="zh-CN"/>
        </w:rPr>
        <w:t>。</w:t>
      </w:r>
    </w:p>
    <w:p w14:paraId="7E192263">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工程地点：</w:t>
      </w:r>
      <w:r>
        <w:rPr>
          <w:rFonts w:hint="eastAsia" w:ascii="仿宋" w:hAnsi="仿宋" w:eastAsia="仿宋" w:cs="仿宋"/>
          <w:color w:val="auto"/>
          <w:sz w:val="28"/>
          <w:szCs w:val="28"/>
          <w:highlight w:val="none"/>
          <w:lang w:eastAsia="zh-CN"/>
        </w:rPr>
        <w:t>广东省横琴粤澳深度合作区濠江路</w:t>
      </w:r>
      <w:r>
        <w:rPr>
          <w:rFonts w:hint="eastAsia" w:ascii="仿宋" w:hAnsi="仿宋" w:eastAsia="仿宋" w:cs="仿宋"/>
          <w:color w:val="auto"/>
          <w:sz w:val="28"/>
          <w:szCs w:val="28"/>
          <w:highlight w:val="none"/>
          <w:lang w:val="en-US" w:eastAsia="zh-CN"/>
        </w:rPr>
        <w:t>66号及</w:t>
      </w:r>
      <w:r>
        <w:rPr>
          <w:rFonts w:hint="eastAsia" w:ascii="仿宋" w:hAnsi="仿宋" w:eastAsia="仿宋" w:cs="仿宋"/>
          <w:color w:val="auto"/>
          <w:sz w:val="28"/>
          <w:szCs w:val="28"/>
          <w:highlight w:val="none"/>
          <w:lang w:val="en-US" w:eastAsia="zh"/>
        </w:rPr>
        <w:t>横琴出入境边防检查站</w:t>
      </w:r>
      <w:r>
        <w:rPr>
          <w:rFonts w:hint="eastAsia" w:ascii="仿宋" w:hAnsi="仿宋" w:eastAsia="仿宋" w:cs="仿宋"/>
          <w:color w:val="auto"/>
          <w:sz w:val="28"/>
          <w:szCs w:val="28"/>
          <w:highlight w:val="none"/>
          <w:lang w:val="en-US" w:eastAsia="zh-CN"/>
        </w:rPr>
        <w:t>所属区域。</w:t>
      </w:r>
    </w:p>
    <w:p w14:paraId="5A687320">
      <w:pPr>
        <w:pStyle w:val="375"/>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560" w:firstLineChars="200"/>
        <w:textAlignment w:val="auto"/>
        <w:outlineLvl w:val="9"/>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kern w:val="2"/>
          <w:sz w:val="28"/>
          <w:szCs w:val="28"/>
          <w:highlight w:val="none"/>
          <w:lang w:val="en-US" w:eastAsia="zh-CN" w:bidi="ar-SA"/>
        </w:rPr>
        <w:t>三）工程内容及承包范围：乙方根据甲方下达的单项施工任务（为常规修缮、维修、装修等非建设类），在限定工期内完成有关施工。</w:t>
      </w:r>
    </w:p>
    <w:p w14:paraId="278B24FA">
      <w:pPr>
        <w:pStyle w:val="375"/>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kern w:val="2"/>
          <w:sz w:val="28"/>
          <w:szCs w:val="28"/>
          <w:highlight w:val="none"/>
          <w:lang w:val="en-US" w:eastAsia="zh-CN" w:bidi="ar-SA"/>
        </w:rPr>
        <w:t>（四）合同有效期：</w:t>
      </w:r>
      <w:r>
        <w:rPr>
          <w:rFonts w:hint="eastAsia" w:ascii="仿宋" w:hAnsi="仿宋" w:eastAsia="仿宋" w:cs="仿宋"/>
          <w:color w:val="auto"/>
          <w:sz w:val="28"/>
          <w:szCs w:val="28"/>
          <w:highlight w:val="none"/>
          <w:lang w:val="en-US" w:eastAsia="zh-CN"/>
        </w:rPr>
        <w:t>本合同有效期为签订之日起1年。若本合同项下的单项施工任务合同履行期限超出前述一年期限，则本合同有效期顺延至该单项施工任务合同履行完毕之日止。</w:t>
      </w:r>
    </w:p>
    <w:p w14:paraId="722F633E">
      <w:pPr>
        <w:pStyle w:val="375"/>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0A66ABF0">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二、</w:t>
      </w:r>
      <w:r>
        <w:rPr>
          <w:rFonts w:hint="eastAsia" w:ascii="仿宋" w:hAnsi="仿宋" w:eastAsia="仿宋" w:cs="仿宋"/>
          <w:b/>
          <w:bCs/>
          <w:color w:val="auto"/>
          <w:sz w:val="28"/>
          <w:szCs w:val="28"/>
          <w:highlight w:val="none"/>
        </w:rPr>
        <w:t>合同价</w:t>
      </w:r>
    </w:p>
    <w:p w14:paraId="5214240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u w:val="single"/>
          <w:lang w:val="en-US" w:eastAsia="zh-CN"/>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u w:val="none"/>
        </w:rPr>
        <w:t>本工程合同价为</w:t>
      </w:r>
      <w:r>
        <w:rPr>
          <w:rFonts w:hint="eastAsia" w:ascii="仿宋" w:hAnsi="仿宋" w:eastAsia="仿宋" w:cs="仿宋"/>
          <w:color w:val="auto"/>
          <w:sz w:val="28"/>
          <w:szCs w:val="28"/>
          <w:highlight w:val="none"/>
          <w:u w:val="none"/>
          <w:lang w:val="en-US" w:eastAsia="zh-CN"/>
        </w:rPr>
        <w:t>项目采购额度，额度总额为人民币</w:t>
      </w:r>
      <w:r>
        <w:rPr>
          <w:rFonts w:hint="eastAsia" w:ascii="仿宋" w:hAnsi="仿宋" w:eastAsia="仿宋" w:cs="仿宋"/>
          <w:color w:val="auto"/>
          <w:sz w:val="28"/>
          <w:szCs w:val="28"/>
          <w:highlight w:val="none"/>
          <w:u w:val="single"/>
          <w:lang w:val="en-US" w:eastAsia="zh-CN"/>
        </w:rPr>
        <w:t xml:space="preserve"> 100万元整  </w:t>
      </w:r>
      <w:r>
        <w:rPr>
          <w:rFonts w:hint="eastAsia" w:ascii="仿宋" w:hAnsi="仿宋" w:eastAsia="仿宋" w:cs="仿宋"/>
          <w:color w:val="auto"/>
          <w:sz w:val="28"/>
          <w:szCs w:val="28"/>
          <w:highlight w:val="none"/>
          <w:u w:val="none"/>
          <w:lang w:val="en-US" w:eastAsia="zh-CN"/>
        </w:rPr>
        <w:t>。本合同价为合同有效期内甲方计划用于零星修缮工程款项的累计预算最高限额，不构成对乙方的工程量承诺。</w:t>
      </w:r>
    </w:p>
    <w:p w14:paraId="6CA1A4D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本</w:t>
      </w:r>
      <w:r>
        <w:rPr>
          <w:rFonts w:hint="eastAsia" w:ascii="仿宋" w:hAnsi="仿宋" w:eastAsia="仿宋" w:cs="仿宋"/>
          <w:color w:val="auto"/>
          <w:sz w:val="28"/>
          <w:szCs w:val="28"/>
          <w:highlight w:val="none"/>
          <w:lang w:eastAsia="zh-CN"/>
        </w:rPr>
        <w:t>工程合同项下的单项施工任务</w:t>
      </w:r>
      <w:r>
        <w:rPr>
          <w:rFonts w:hint="eastAsia" w:ascii="仿宋" w:hAnsi="仿宋" w:eastAsia="仿宋" w:cs="仿宋"/>
          <w:color w:val="auto"/>
          <w:sz w:val="28"/>
          <w:szCs w:val="28"/>
          <w:highlight w:val="none"/>
        </w:rPr>
        <w:t>采用固定</w:t>
      </w:r>
      <w:r>
        <w:rPr>
          <w:rFonts w:hint="eastAsia" w:ascii="仿宋" w:hAnsi="仿宋" w:eastAsia="仿宋" w:cs="仿宋"/>
          <w:color w:val="auto"/>
          <w:sz w:val="28"/>
          <w:szCs w:val="28"/>
          <w:highlight w:val="none"/>
          <w:lang w:eastAsia="zh-CN"/>
        </w:rPr>
        <w:t>结算费率方式结算，乙方成交费率</w:t>
      </w:r>
      <w:r>
        <w:rPr>
          <w:rFonts w:hint="eastAsia" w:ascii="仿宋" w:hAnsi="仿宋" w:eastAsia="仿宋" w:cs="仿宋"/>
          <w:color w:val="auto"/>
          <w:sz w:val="28"/>
          <w:szCs w:val="28"/>
          <w:highlight w:val="none"/>
          <w:u w:val="single"/>
          <w:lang w:val="en-US" w:eastAsia="zh-CN"/>
        </w:rPr>
        <w:t xml:space="preserve">xx     </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w:t>
      </w:r>
    </w:p>
    <w:p w14:paraId="079E0159">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（三）单项施工任务可选择以下定价方式：</w:t>
      </w:r>
    </w:p>
    <w:p w14:paraId="0E3F4BCA">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lang w:eastAsia="zh-CN"/>
        </w:rPr>
        <w:t>固定总价方式，适用于施工内容明确、工程量确定的小型单项施工任务，实行总价包干，除约定调整情形外不作变更，结算时按成交费率折算。</w:t>
      </w:r>
    </w:p>
    <w:p w14:paraId="6322A215">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2</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固定单价方式，适用于工程量可能存在波动的单项施工任务，各分项单价依据预算清单计价规范及相关计价原则核定，结算时按实际完成工程量乘以固定单价计算，再按成交费率折算。</w:t>
      </w:r>
    </w:p>
    <w:p w14:paraId="39CD097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（四）</w:t>
      </w:r>
      <w:r>
        <w:rPr>
          <w:rFonts w:hint="eastAsia" w:ascii="仿宋" w:hAnsi="仿宋" w:eastAsia="仿宋" w:cs="仿宋"/>
          <w:color w:val="auto"/>
          <w:sz w:val="28"/>
          <w:szCs w:val="28"/>
          <w:highlight w:val="none"/>
        </w:rPr>
        <w:t>合同价</w:t>
      </w:r>
      <w:r>
        <w:rPr>
          <w:rFonts w:hint="eastAsia" w:ascii="仿宋" w:hAnsi="仿宋" w:eastAsia="仿宋" w:cs="仿宋"/>
          <w:color w:val="auto"/>
          <w:sz w:val="28"/>
          <w:szCs w:val="28"/>
          <w:highlight w:val="none"/>
          <w:lang w:eastAsia="zh-CN"/>
        </w:rPr>
        <w:t>包含范围：</w:t>
      </w:r>
      <w:r>
        <w:rPr>
          <w:rFonts w:hint="eastAsia" w:ascii="仿宋" w:hAnsi="仿宋" w:eastAsia="仿宋" w:cs="仿宋"/>
          <w:color w:val="auto"/>
          <w:sz w:val="28"/>
          <w:szCs w:val="28"/>
          <w:highlight w:val="none"/>
        </w:rPr>
        <w:t>完成</w:t>
      </w:r>
      <w:r>
        <w:rPr>
          <w:rFonts w:hint="eastAsia" w:ascii="仿宋" w:hAnsi="仿宋" w:eastAsia="仿宋" w:cs="仿宋"/>
          <w:color w:val="auto"/>
          <w:sz w:val="28"/>
          <w:szCs w:val="28"/>
          <w:highlight w:val="none"/>
          <w:lang w:eastAsia="zh-CN"/>
        </w:rPr>
        <w:t>图纸及</w:t>
      </w:r>
      <w:r>
        <w:rPr>
          <w:rFonts w:hint="eastAsia" w:ascii="仿宋" w:hAnsi="仿宋" w:eastAsia="仿宋" w:cs="仿宋"/>
          <w:color w:val="auto"/>
          <w:sz w:val="28"/>
          <w:szCs w:val="28"/>
          <w:highlight w:val="none"/>
        </w:rPr>
        <w:t>预算工程量清单等要求的全部施工内容所需的所有设备费、备件备品费、运输费、货物装卸费、水电费、人工费、保险费、管理费、机械费及验收费等费用在内的全包价</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乙方负责包工、包料、包质量、包安全、包通过验收等。</w:t>
      </w:r>
    </w:p>
    <w:p w14:paraId="38DBBD4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五）单项施工任务合同签订前，乙方应按行业规范对具体施工项目进行现场勘察，充分了解施工场地条件，并结合甲方要求评估施工可行性及成本风险。乙方确认已在合同价款中充分考虑可预见的施工风险，该风险包括但不限于设计深化、环境变化、隐蔽瑕疵、市场价格波动等，除本合同约定的价款调整情形外，不得以任何理由要求增加合同价款。</w:t>
      </w:r>
    </w:p>
    <w:p w14:paraId="42923954">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p>
    <w:p w14:paraId="68BCB863">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三、工期</w:t>
      </w:r>
    </w:p>
    <w:p w14:paraId="5F52CA47">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lang w:val="en-US" w:eastAsia="zh-CN"/>
        </w:rPr>
        <w:t>单项施工任务</w:t>
      </w:r>
      <w:r>
        <w:rPr>
          <w:rFonts w:hint="eastAsia" w:ascii="仿宋" w:hAnsi="仿宋" w:eastAsia="仿宋" w:cs="仿宋"/>
          <w:color w:val="auto"/>
          <w:sz w:val="28"/>
          <w:szCs w:val="28"/>
          <w:highlight w:val="none"/>
        </w:rPr>
        <w:t>工期：</w:t>
      </w:r>
      <w:r>
        <w:rPr>
          <w:rFonts w:hint="eastAsia" w:ascii="仿宋" w:hAnsi="仿宋" w:eastAsia="仿宋" w:cs="仿宋"/>
          <w:color w:val="auto"/>
          <w:sz w:val="28"/>
          <w:szCs w:val="28"/>
          <w:highlight w:val="none"/>
          <w:lang w:eastAsia="zh-CN"/>
        </w:rPr>
        <w:t>甲、乙双方在下达施工任务时签订的单项合同中另行书面确定。</w:t>
      </w:r>
    </w:p>
    <w:p w14:paraId="65C77E0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highlight w:val="none"/>
          <w:lang w:eastAsia="zh-CN"/>
        </w:rPr>
      </w:pPr>
      <w:r>
        <w:rPr>
          <w:rFonts w:hint="eastAsia" w:ascii="仿宋" w:hAnsi="仿宋" w:eastAsia="仿宋" w:cs="仿宋"/>
          <w:color w:val="auto"/>
          <w:sz w:val="28"/>
          <w:szCs w:val="28"/>
          <w:highlight w:val="none"/>
          <w:lang w:val="en-US" w:eastAsia="zh-CN"/>
        </w:rPr>
        <w:t>（二）</w:t>
      </w:r>
      <w:r>
        <w:rPr>
          <w:rFonts w:hint="eastAsia" w:ascii="仿宋" w:hAnsi="仿宋" w:eastAsia="仿宋" w:cs="仿宋"/>
          <w:color w:val="auto"/>
          <w:sz w:val="28"/>
          <w:szCs w:val="28"/>
          <w:highlight w:val="none"/>
        </w:rPr>
        <w:t>竣工时间：乙方</w:t>
      </w:r>
      <w:r>
        <w:rPr>
          <w:rFonts w:hint="eastAsia" w:ascii="仿宋" w:hAnsi="仿宋" w:eastAsia="仿宋" w:cs="仿宋"/>
          <w:color w:val="auto"/>
          <w:sz w:val="28"/>
          <w:szCs w:val="28"/>
          <w:highlight w:val="none"/>
          <w:lang w:eastAsia="zh-CN"/>
        </w:rPr>
        <w:t>单项施工任务</w:t>
      </w:r>
      <w:r>
        <w:rPr>
          <w:rFonts w:hint="eastAsia" w:ascii="仿宋" w:hAnsi="仿宋" w:eastAsia="仿宋" w:cs="仿宋"/>
          <w:color w:val="auto"/>
          <w:sz w:val="28"/>
          <w:szCs w:val="28"/>
          <w:highlight w:val="none"/>
        </w:rPr>
        <w:t>完工且自检合格后，向甲方递交竣工验收申请报告，甲方收到乙方递交的竣工验收申请后</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10</w:t>
      </w:r>
      <w:r>
        <w:rPr>
          <w:rFonts w:hint="eastAsia" w:ascii="仿宋" w:hAnsi="仿宋" w:eastAsia="仿宋" w:cs="仿宋"/>
          <w:color w:val="auto"/>
          <w:sz w:val="28"/>
          <w:szCs w:val="28"/>
          <w:highlight w:val="none"/>
        </w:rPr>
        <w:t>个日历天内，由甲方组织对</w:t>
      </w:r>
      <w:r>
        <w:rPr>
          <w:rFonts w:hint="eastAsia" w:ascii="仿宋" w:hAnsi="仿宋" w:eastAsia="仿宋" w:cs="仿宋"/>
          <w:color w:val="auto"/>
          <w:sz w:val="28"/>
          <w:szCs w:val="28"/>
          <w:highlight w:val="none"/>
          <w:lang w:eastAsia="zh-CN"/>
        </w:rPr>
        <w:t>该</w:t>
      </w:r>
      <w:r>
        <w:rPr>
          <w:rFonts w:hint="eastAsia" w:ascii="仿宋" w:hAnsi="仿宋" w:eastAsia="仿宋" w:cs="仿宋"/>
          <w:color w:val="auto"/>
          <w:sz w:val="28"/>
          <w:szCs w:val="28"/>
          <w:highlight w:val="none"/>
        </w:rPr>
        <w:t>工程进行竣工验收，如项目验收合格，则以乙方递交竣工验收报告之日作为竣工日期</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如</w:t>
      </w:r>
      <w:r>
        <w:rPr>
          <w:rFonts w:hint="eastAsia" w:ascii="仿宋" w:hAnsi="仿宋" w:eastAsia="仿宋" w:cs="仿宋"/>
          <w:color w:val="auto"/>
          <w:sz w:val="28"/>
          <w:szCs w:val="28"/>
          <w:highlight w:val="none"/>
          <w:lang w:eastAsia="zh-CN"/>
        </w:rPr>
        <w:t>工程</w:t>
      </w:r>
      <w:r>
        <w:rPr>
          <w:rFonts w:hint="eastAsia" w:ascii="仿宋" w:hAnsi="仿宋" w:eastAsia="仿宋" w:cs="仿宋"/>
          <w:color w:val="auto"/>
          <w:sz w:val="28"/>
          <w:szCs w:val="28"/>
          <w:highlight w:val="none"/>
        </w:rPr>
        <w:t>需按甲方要求整改后通过竣工验收的，则竣工日期为乙方整改后重新递交竣工验收申请报告并经甲方验收合格的日期。</w:t>
      </w:r>
    </w:p>
    <w:p w14:paraId="45E9779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（三）</w:t>
      </w:r>
      <w:r>
        <w:rPr>
          <w:rFonts w:hint="eastAsia" w:ascii="仿宋" w:hAnsi="仿宋" w:eastAsia="仿宋" w:cs="仿宋"/>
          <w:color w:val="auto"/>
          <w:sz w:val="28"/>
          <w:szCs w:val="28"/>
          <w:highlight w:val="none"/>
        </w:rPr>
        <w:t>如遇下列情况，乙方须书面通知甲方，经甲方代表审核确认后，可以顺延工期。</w:t>
      </w:r>
    </w:p>
    <w:p w14:paraId="717EDC3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rPr>
        <w:t>现场实际明确为甲方原因（如甲方不能按时提供施工场地和施工用水用电等）造成工期延误的。</w:t>
      </w:r>
    </w:p>
    <w:p w14:paraId="1B53940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w:t>
      </w:r>
      <w:r>
        <w:rPr>
          <w:rFonts w:hint="eastAsia" w:ascii="仿宋" w:hAnsi="仿宋" w:eastAsia="仿宋" w:cs="仿宋"/>
          <w:color w:val="auto"/>
          <w:sz w:val="28"/>
          <w:szCs w:val="28"/>
          <w:highlight w:val="none"/>
        </w:rPr>
        <w:t>在施工区域内有不可抗拒的自然灾害，如暴雨、台风等，使施工受到影响的。</w:t>
      </w:r>
    </w:p>
    <w:p w14:paraId="6AB60394">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甲方提出的设计变更或工程量增加过大，影响工程进度的。</w:t>
      </w:r>
    </w:p>
    <w:p w14:paraId="418C6278">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rPr>
        <w:t>其他非乙方原因造成对工期影响的。另外，因乙方原因（如因自身管理不当、偷工减料等原因被责令停工等）导致工期延长的，工期不予顺延。</w:t>
      </w:r>
    </w:p>
    <w:p w14:paraId="3963F7A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（四）</w:t>
      </w:r>
      <w:r>
        <w:rPr>
          <w:rFonts w:hint="eastAsia" w:ascii="仿宋" w:hAnsi="仿宋" w:eastAsia="仿宋" w:cs="仿宋"/>
          <w:color w:val="auto"/>
          <w:sz w:val="28"/>
          <w:szCs w:val="28"/>
          <w:highlight w:val="none"/>
        </w:rPr>
        <w:t>在施工过程中，若甲方认为乙方不能满足施工进度要求，有权根据实际情况要求乙方采取赶工措施，由此造成的赶工费用由乙方承担。</w:t>
      </w:r>
    </w:p>
    <w:p w14:paraId="168954FB">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5B4DFE30">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四、</w:t>
      </w:r>
      <w:r>
        <w:rPr>
          <w:rFonts w:hint="eastAsia" w:ascii="仿宋" w:hAnsi="仿宋" w:eastAsia="仿宋" w:cs="仿宋"/>
          <w:b/>
          <w:bCs/>
          <w:color w:val="auto"/>
          <w:sz w:val="28"/>
          <w:szCs w:val="28"/>
          <w:highlight w:val="none"/>
        </w:rPr>
        <w:t>组成合同的文件</w:t>
      </w:r>
    </w:p>
    <w:p w14:paraId="5F8681B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下列组成本合同的文件是一个合同整体，彼此应能相互解释，互为说明。当出现相互矛盾时，组成本合同文件的优先解释顺序如下：</w:t>
      </w:r>
    </w:p>
    <w:p w14:paraId="722DB5B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rPr>
        <w:t>履行本合同过程中，双方另行协商签订的补充协议；</w:t>
      </w:r>
    </w:p>
    <w:p w14:paraId="7BA4826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本合同</w:t>
      </w:r>
      <w:r>
        <w:rPr>
          <w:rFonts w:hint="eastAsia" w:ascii="仿宋" w:hAnsi="仿宋" w:eastAsia="仿宋" w:cs="仿宋"/>
          <w:color w:val="auto"/>
          <w:sz w:val="28"/>
          <w:szCs w:val="28"/>
          <w:highlight w:val="none"/>
          <w:lang w:eastAsia="zh-CN"/>
        </w:rPr>
        <w:t>及单项施工任务合同</w:t>
      </w:r>
      <w:r>
        <w:rPr>
          <w:rFonts w:hint="eastAsia" w:ascii="仿宋" w:hAnsi="仿宋" w:eastAsia="仿宋" w:cs="仿宋"/>
          <w:color w:val="auto"/>
          <w:sz w:val="28"/>
          <w:szCs w:val="28"/>
          <w:highlight w:val="none"/>
        </w:rPr>
        <w:t>；</w:t>
      </w:r>
    </w:p>
    <w:p w14:paraId="1D5D499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（三）</w:t>
      </w:r>
      <w:r>
        <w:rPr>
          <w:rFonts w:hint="eastAsia" w:ascii="仿宋" w:hAnsi="仿宋" w:eastAsia="仿宋" w:cs="仿宋"/>
          <w:color w:val="auto"/>
          <w:sz w:val="28"/>
          <w:szCs w:val="28"/>
          <w:highlight w:val="none"/>
          <w:lang w:val="en-US" w:eastAsia="zh-CN"/>
        </w:rPr>
        <w:t>成交公告</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响应文件</w:t>
      </w:r>
      <w:r>
        <w:rPr>
          <w:rFonts w:hint="eastAsia" w:ascii="仿宋" w:hAnsi="仿宋" w:eastAsia="仿宋" w:cs="仿宋"/>
          <w:color w:val="auto"/>
          <w:sz w:val="28"/>
          <w:szCs w:val="28"/>
          <w:highlight w:val="none"/>
          <w:lang w:val="en-US" w:eastAsia="zh-Hans"/>
        </w:rPr>
        <w:t>及澄清文件</w:t>
      </w:r>
      <w:r>
        <w:rPr>
          <w:rFonts w:hint="eastAsia" w:ascii="仿宋" w:hAnsi="仿宋" w:eastAsia="仿宋" w:cs="仿宋"/>
          <w:color w:val="auto"/>
          <w:sz w:val="28"/>
          <w:szCs w:val="28"/>
          <w:highlight w:val="none"/>
          <w:lang w:val="en-US" w:eastAsia="zh-CN"/>
        </w:rPr>
        <w:t>、采购文件及其修改澄清等相关文件</w:t>
      </w:r>
      <w:r>
        <w:rPr>
          <w:rFonts w:hint="eastAsia" w:ascii="仿宋" w:hAnsi="仿宋" w:eastAsia="仿宋" w:cs="仿宋"/>
          <w:color w:val="auto"/>
          <w:sz w:val="28"/>
          <w:szCs w:val="28"/>
          <w:highlight w:val="none"/>
          <w:lang w:val="en-US" w:eastAsia="zh-Hans"/>
        </w:rPr>
        <w:t>；</w:t>
      </w:r>
      <w:r>
        <w:rPr>
          <w:rFonts w:hint="eastAsia" w:ascii="仿宋" w:hAnsi="仿宋" w:eastAsia="仿宋" w:cs="仿宋"/>
          <w:color w:val="auto"/>
          <w:sz w:val="28"/>
          <w:szCs w:val="28"/>
          <w:highlight w:val="none"/>
          <w:lang w:val="en-US" w:eastAsia="zh-CN"/>
        </w:rPr>
        <w:t>（如有）</w:t>
      </w:r>
    </w:p>
    <w:p w14:paraId="37861DE9">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（四）</w:t>
      </w:r>
      <w:r>
        <w:rPr>
          <w:rFonts w:hint="eastAsia" w:ascii="仿宋" w:hAnsi="仿宋" w:eastAsia="仿宋" w:cs="仿宋"/>
          <w:color w:val="auto"/>
          <w:sz w:val="28"/>
          <w:szCs w:val="28"/>
          <w:highlight w:val="none"/>
          <w:lang w:val="en-US" w:eastAsia="zh-CN"/>
        </w:rPr>
        <w:t>工程管辖地</w:t>
      </w:r>
      <w:r>
        <w:rPr>
          <w:rFonts w:hint="eastAsia" w:ascii="仿宋" w:hAnsi="仿宋" w:eastAsia="仿宋" w:cs="仿宋"/>
          <w:color w:val="auto"/>
          <w:sz w:val="28"/>
          <w:szCs w:val="28"/>
          <w:highlight w:val="none"/>
        </w:rPr>
        <w:t>现行相关的建设工程标准、规范及有关技术文件；</w:t>
      </w:r>
    </w:p>
    <w:p w14:paraId="20818A13">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（五）图纸、已标</w:t>
      </w:r>
      <w:r>
        <w:rPr>
          <w:rFonts w:hint="eastAsia" w:ascii="仿宋" w:hAnsi="仿宋" w:eastAsia="仿宋" w:cs="仿宋"/>
          <w:color w:val="auto"/>
          <w:sz w:val="28"/>
          <w:szCs w:val="28"/>
          <w:highlight w:val="none"/>
        </w:rPr>
        <w:t>工程量清单</w:t>
      </w:r>
      <w:r>
        <w:rPr>
          <w:rFonts w:hint="eastAsia" w:ascii="仿宋" w:hAnsi="仿宋" w:eastAsia="仿宋" w:cs="仿宋"/>
          <w:color w:val="auto"/>
          <w:sz w:val="28"/>
          <w:szCs w:val="28"/>
          <w:highlight w:val="none"/>
          <w:lang w:eastAsia="zh-CN"/>
        </w:rPr>
        <w:t>或预算书；（如有）</w:t>
      </w:r>
    </w:p>
    <w:p w14:paraId="0069E243">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在合同订立及履行过程中形成的与合同有关的文件均构成合同文件组成部分。上述各项合同文件包括合同当事人就该项合同文件所作出的补充和修改，属于同一类内容的文件，应以最新签署的为准。</w:t>
      </w:r>
    </w:p>
    <w:p w14:paraId="626F11F3">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02E88647">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五、</w:t>
      </w:r>
      <w:r>
        <w:rPr>
          <w:rFonts w:hint="eastAsia" w:ascii="仿宋" w:hAnsi="仿宋" w:eastAsia="仿宋" w:cs="仿宋"/>
          <w:b/>
          <w:bCs/>
          <w:color w:val="auto"/>
          <w:sz w:val="28"/>
          <w:szCs w:val="28"/>
          <w:highlight w:val="none"/>
        </w:rPr>
        <w:t>工程质量及验收标准</w:t>
      </w:r>
    </w:p>
    <w:p w14:paraId="7CB4153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rPr>
        <w:t>工程质量</w:t>
      </w:r>
    </w:p>
    <w:p w14:paraId="3EA9EA1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1.工程</w:t>
      </w:r>
      <w:r>
        <w:rPr>
          <w:rFonts w:hint="eastAsia" w:ascii="仿宋" w:hAnsi="仿宋" w:eastAsia="仿宋" w:cs="仿宋"/>
          <w:color w:val="auto"/>
          <w:sz w:val="28"/>
          <w:szCs w:val="28"/>
          <w:highlight w:val="none"/>
        </w:rPr>
        <w:t>必须达到合格（</w:t>
      </w:r>
      <w:r>
        <w:rPr>
          <w:rFonts w:hint="eastAsia" w:ascii="仿宋" w:hAnsi="仿宋" w:eastAsia="仿宋" w:cs="仿宋"/>
          <w:color w:val="auto"/>
          <w:sz w:val="28"/>
          <w:szCs w:val="28"/>
          <w:highlight w:val="none"/>
          <w:lang w:eastAsia="zh-CN"/>
        </w:rPr>
        <w:t>按照</w:t>
      </w:r>
      <w:r>
        <w:rPr>
          <w:rFonts w:hint="eastAsia" w:ascii="仿宋" w:hAnsi="仿宋" w:eastAsia="仿宋" w:cs="仿宋"/>
          <w:color w:val="auto"/>
          <w:sz w:val="28"/>
          <w:szCs w:val="28"/>
          <w:highlight w:val="none"/>
        </w:rPr>
        <w:t>国家、广东省、</w:t>
      </w:r>
      <w:r>
        <w:rPr>
          <w:rFonts w:hint="eastAsia" w:ascii="仿宋" w:hAnsi="仿宋" w:eastAsia="仿宋" w:cs="仿宋"/>
          <w:color w:val="auto"/>
          <w:sz w:val="28"/>
          <w:szCs w:val="28"/>
          <w:highlight w:val="none"/>
          <w:lang w:eastAsia="zh-CN"/>
        </w:rPr>
        <w:t>工程所在地有管辖权的政府主管部门</w:t>
      </w:r>
      <w:r>
        <w:rPr>
          <w:rFonts w:hint="eastAsia" w:ascii="仿宋" w:hAnsi="仿宋" w:eastAsia="仿宋" w:cs="仿宋"/>
          <w:color w:val="auto"/>
          <w:sz w:val="28"/>
          <w:szCs w:val="28"/>
          <w:highlight w:val="none"/>
        </w:rPr>
        <w:t>现行验收</w:t>
      </w:r>
      <w:r>
        <w:rPr>
          <w:rFonts w:hint="eastAsia" w:ascii="仿宋" w:hAnsi="仿宋" w:eastAsia="仿宋" w:cs="仿宋"/>
          <w:color w:val="auto"/>
          <w:sz w:val="28"/>
          <w:szCs w:val="28"/>
          <w:highlight w:val="none"/>
          <w:lang w:eastAsia="zh-CN"/>
        </w:rPr>
        <w:t>评审标准</w:t>
      </w:r>
      <w:r>
        <w:rPr>
          <w:rFonts w:hint="eastAsia" w:ascii="仿宋" w:hAnsi="仿宋" w:eastAsia="仿宋" w:cs="仿宋"/>
          <w:color w:val="auto"/>
          <w:sz w:val="28"/>
          <w:szCs w:val="28"/>
          <w:highlight w:val="none"/>
        </w:rPr>
        <w:t>执行）。</w:t>
      </w:r>
    </w:p>
    <w:p w14:paraId="54DCEDDD">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w:t>
      </w:r>
      <w:r>
        <w:rPr>
          <w:rFonts w:hint="eastAsia" w:ascii="仿宋" w:hAnsi="仿宋" w:eastAsia="仿宋" w:cs="仿宋"/>
          <w:color w:val="auto"/>
          <w:sz w:val="28"/>
          <w:szCs w:val="28"/>
          <w:highlight w:val="none"/>
        </w:rPr>
        <w:t>乙方完工且自检合格后，应及时向甲方递交竣工验收申请</w:t>
      </w:r>
      <w:r>
        <w:rPr>
          <w:rFonts w:hint="eastAsia" w:ascii="仿宋" w:hAnsi="仿宋" w:eastAsia="仿宋" w:cs="仿宋"/>
          <w:color w:val="auto"/>
          <w:sz w:val="28"/>
          <w:szCs w:val="28"/>
          <w:highlight w:val="none"/>
          <w:lang w:eastAsia="zh-CN"/>
        </w:rPr>
        <w:t>文件及完整竣工资料</w:t>
      </w:r>
      <w:r>
        <w:rPr>
          <w:rFonts w:hint="eastAsia" w:ascii="仿宋" w:hAnsi="仿宋" w:eastAsia="仿宋" w:cs="仿宋"/>
          <w:color w:val="auto"/>
          <w:sz w:val="28"/>
          <w:szCs w:val="28"/>
          <w:highlight w:val="none"/>
        </w:rPr>
        <w:t>，由甲方组织</w:t>
      </w:r>
      <w:r>
        <w:rPr>
          <w:rFonts w:hint="eastAsia" w:ascii="仿宋" w:hAnsi="仿宋" w:eastAsia="仿宋" w:cs="仿宋"/>
          <w:color w:val="auto"/>
          <w:sz w:val="28"/>
          <w:szCs w:val="28"/>
          <w:highlight w:val="none"/>
          <w:lang w:eastAsia="zh-CN"/>
        </w:rPr>
        <w:t>有关</w:t>
      </w:r>
      <w:r>
        <w:rPr>
          <w:rFonts w:hint="eastAsia" w:ascii="仿宋" w:hAnsi="仿宋" w:eastAsia="仿宋" w:cs="仿宋"/>
          <w:color w:val="auto"/>
          <w:sz w:val="28"/>
          <w:szCs w:val="28"/>
          <w:highlight w:val="none"/>
        </w:rPr>
        <w:t>单位对工程质量进行评定，并在竣工验收</w:t>
      </w:r>
      <w:r>
        <w:rPr>
          <w:rFonts w:hint="eastAsia" w:ascii="仿宋" w:hAnsi="仿宋" w:eastAsia="仿宋" w:cs="仿宋"/>
          <w:color w:val="auto"/>
          <w:sz w:val="28"/>
          <w:szCs w:val="28"/>
          <w:highlight w:val="none"/>
          <w:lang w:eastAsia="zh-CN"/>
        </w:rPr>
        <w:t>文件</w:t>
      </w:r>
      <w:r>
        <w:rPr>
          <w:rFonts w:hint="eastAsia" w:ascii="仿宋" w:hAnsi="仿宋" w:eastAsia="仿宋" w:cs="仿宋"/>
          <w:color w:val="auto"/>
          <w:sz w:val="28"/>
          <w:szCs w:val="28"/>
          <w:highlight w:val="none"/>
        </w:rPr>
        <w:t>进行</w:t>
      </w:r>
      <w:r>
        <w:rPr>
          <w:rFonts w:hint="eastAsia" w:ascii="仿宋" w:hAnsi="仿宋" w:eastAsia="仿宋" w:cs="仿宋"/>
          <w:color w:val="auto"/>
          <w:sz w:val="28"/>
          <w:szCs w:val="28"/>
          <w:highlight w:val="none"/>
          <w:lang w:eastAsia="zh-CN"/>
        </w:rPr>
        <w:t>签字盖章</w:t>
      </w:r>
      <w:r>
        <w:rPr>
          <w:rFonts w:hint="eastAsia" w:ascii="仿宋" w:hAnsi="仿宋" w:eastAsia="仿宋" w:cs="仿宋"/>
          <w:color w:val="auto"/>
          <w:sz w:val="28"/>
          <w:szCs w:val="28"/>
          <w:highlight w:val="none"/>
        </w:rPr>
        <w:t>。</w:t>
      </w:r>
    </w:p>
    <w:p w14:paraId="45807FB4">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乙方必须在工程通过竣工验收后或合同提前解除之日起7个日历天内拆除临时设施，撤离现场，向甲方移交工程。乙方逾期移交，每逾期一日，按照每日</w:t>
      </w:r>
      <w:r>
        <w:rPr>
          <w:rFonts w:hint="eastAsia" w:ascii="仿宋" w:hAnsi="仿宋" w:eastAsia="仿宋" w:cs="仿宋"/>
          <w:color w:val="auto"/>
          <w:sz w:val="28"/>
          <w:szCs w:val="28"/>
          <w:highlight w:val="none"/>
          <w:u w:val="single"/>
          <w:lang w:val="en-US" w:eastAsia="zh-CN"/>
        </w:rPr>
        <w:t xml:space="preserve"> 500.00 </w:t>
      </w:r>
      <w:r>
        <w:rPr>
          <w:rFonts w:hint="eastAsia" w:ascii="仿宋" w:hAnsi="仿宋" w:eastAsia="仿宋" w:cs="仿宋"/>
          <w:color w:val="auto"/>
          <w:sz w:val="28"/>
          <w:szCs w:val="28"/>
          <w:highlight w:val="none"/>
        </w:rPr>
        <w:t>元计算违约金支付给甲方。</w:t>
      </w:r>
    </w:p>
    <w:p w14:paraId="32F31ED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lang w:val="en-US" w:eastAsia="zh-CN"/>
        </w:rPr>
        <w:t>验收要求</w:t>
      </w:r>
    </w:p>
    <w:p w14:paraId="4761AE3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1</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验收主体：中华人民共和国横琴出入境边防检查站。</w:t>
      </w:r>
      <w:r>
        <w:rPr>
          <w:rFonts w:hint="eastAsia" w:ascii="仿宋" w:hAnsi="仿宋" w:eastAsia="仿宋" w:cs="仿宋"/>
          <w:color w:val="auto"/>
          <w:sz w:val="28"/>
          <w:szCs w:val="28"/>
          <w:highlight w:val="none"/>
          <w:lang w:val="en-US" w:eastAsia="zh-CN"/>
        </w:rPr>
        <w:t>如出现</w:t>
      </w:r>
      <w:r>
        <w:rPr>
          <w:rFonts w:hint="eastAsia" w:ascii="仿宋" w:hAnsi="仿宋" w:eastAsia="仿宋" w:cs="仿宋"/>
          <w:color w:val="auto"/>
          <w:sz w:val="28"/>
          <w:szCs w:val="28"/>
          <w:highlight w:val="none"/>
          <w:lang w:eastAsia="zh-CN"/>
        </w:rPr>
        <w:t>需要经行业主管部门验收的情况，</w:t>
      </w:r>
      <w:r>
        <w:rPr>
          <w:rFonts w:hint="eastAsia" w:ascii="仿宋" w:hAnsi="仿宋" w:eastAsia="仿宋" w:cs="仿宋"/>
          <w:color w:val="auto"/>
          <w:sz w:val="28"/>
          <w:szCs w:val="28"/>
          <w:highlight w:val="none"/>
          <w:lang w:val="en-US" w:eastAsia="zh-CN"/>
        </w:rPr>
        <w:t>则与</w:t>
      </w:r>
      <w:r>
        <w:rPr>
          <w:rFonts w:hint="eastAsia" w:ascii="仿宋" w:hAnsi="仿宋" w:eastAsia="仿宋" w:cs="仿宋"/>
          <w:color w:val="auto"/>
          <w:sz w:val="28"/>
          <w:szCs w:val="28"/>
          <w:highlight w:val="none"/>
          <w:lang w:eastAsia="zh-CN"/>
        </w:rPr>
        <w:t>行业主管部门</w:t>
      </w:r>
      <w:r>
        <w:rPr>
          <w:rFonts w:hint="eastAsia" w:ascii="仿宋" w:hAnsi="仿宋" w:eastAsia="仿宋" w:cs="仿宋"/>
          <w:color w:val="auto"/>
          <w:sz w:val="28"/>
          <w:szCs w:val="28"/>
          <w:highlight w:val="none"/>
          <w:lang w:val="en-US" w:eastAsia="zh-CN"/>
        </w:rPr>
        <w:t>共同进行验收</w:t>
      </w:r>
      <w:r>
        <w:rPr>
          <w:rFonts w:hint="eastAsia" w:ascii="仿宋" w:hAnsi="仿宋" w:eastAsia="仿宋" w:cs="仿宋"/>
          <w:color w:val="auto"/>
          <w:sz w:val="28"/>
          <w:szCs w:val="28"/>
          <w:highlight w:val="none"/>
          <w:lang w:eastAsia="zh-CN"/>
        </w:rPr>
        <w:t>。</w:t>
      </w:r>
    </w:p>
    <w:p w14:paraId="4B64ADD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2</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验收时间：</w:t>
      </w:r>
      <w:r>
        <w:rPr>
          <w:rFonts w:hint="eastAsia" w:ascii="仿宋" w:hAnsi="仿宋" w:eastAsia="仿宋" w:cs="仿宋"/>
          <w:color w:val="auto"/>
          <w:sz w:val="28"/>
          <w:szCs w:val="28"/>
          <w:highlight w:val="none"/>
          <w:lang w:val="en-US" w:eastAsia="zh-CN"/>
        </w:rPr>
        <w:t>每项施工履约完毕，乙方</w:t>
      </w:r>
      <w:r>
        <w:rPr>
          <w:rFonts w:hint="eastAsia" w:ascii="仿宋" w:hAnsi="仿宋" w:eastAsia="仿宋" w:cs="仿宋"/>
          <w:color w:val="auto"/>
          <w:sz w:val="28"/>
          <w:szCs w:val="28"/>
          <w:highlight w:val="none"/>
          <w:lang w:eastAsia="zh-CN"/>
        </w:rPr>
        <w:t>提交</w:t>
      </w:r>
      <w:r>
        <w:rPr>
          <w:rFonts w:hint="eastAsia" w:ascii="仿宋" w:hAnsi="仿宋" w:eastAsia="仿宋" w:cs="仿宋"/>
          <w:color w:val="auto"/>
          <w:sz w:val="28"/>
          <w:szCs w:val="28"/>
          <w:highlight w:val="none"/>
          <w:lang w:val="en-US" w:eastAsia="zh-CN"/>
        </w:rPr>
        <w:t>验收</w:t>
      </w:r>
      <w:r>
        <w:rPr>
          <w:rFonts w:hint="eastAsia" w:ascii="仿宋" w:hAnsi="仿宋" w:eastAsia="仿宋" w:cs="仿宋"/>
          <w:color w:val="auto"/>
          <w:sz w:val="28"/>
          <w:szCs w:val="28"/>
          <w:highlight w:val="none"/>
          <w:lang w:eastAsia="zh-CN"/>
        </w:rPr>
        <w:t>申请及完整资料</w:t>
      </w:r>
      <w:r>
        <w:rPr>
          <w:rFonts w:hint="eastAsia" w:ascii="仿宋" w:hAnsi="仿宋" w:eastAsia="仿宋" w:cs="仿宋"/>
          <w:color w:val="auto"/>
          <w:sz w:val="28"/>
          <w:szCs w:val="28"/>
          <w:highlight w:val="none"/>
          <w:lang w:val="en-US" w:eastAsia="zh-CN"/>
        </w:rPr>
        <w:t>后</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甲方</w:t>
      </w:r>
      <w:r>
        <w:rPr>
          <w:rFonts w:hint="eastAsia" w:ascii="仿宋" w:hAnsi="仿宋" w:eastAsia="仿宋" w:cs="仿宋"/>
          <w:color w:val="auto"/>
          <w:sz w:val="28"/>
          <w:szCs w:val="28"/>
          <w:highlight w:val="none"/>
          <w:lang w:eastAsia="zh-CN"/>
        </w:rPr>
        <w:t>7日内启动验收工作。</w:t>
      </w:r>
    </w:p>
    <w:p w14:paraId="3CE252A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3</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验收方式：</w:t>
      </w:r>
      <w:r>
        <w:rPr>
          <w:rFonts w:hint="eastAsia" w:ascii="仿宋" w:hAnsi="仿宋" w:eastAsia="仿宋" w:cs="仿宋"/>
          <w:color w:val="auto"/>
          <w:sz w:val="28"/>
          <w:szCs w:val="28"/>
          <w:highlight w:val="none"/>
          <w:lang w:val="en-US" w:eastAsia="zh-CN"/>
        </w:rPr>
        <w:t>本项目为框架合同，最终实施按</w:t>
      </w:r>
      <w:r>
        <w:rPr>
          <w:rFonts w:hint="eastAsia" w:ascii="仿宋" w:hAnsi="仿宋" w:eastAsia="仿宋" w:cs="仿宋"/>
          <w:color w:val="auto"/>
          <w:sz w:val="28"/>
          <w:szCs w:val="28"/>
          <w:highlight w:val="none"/>
          <w:lang w:eastAsia="zh-CN"/>
        </w:rPr>
        <w:t>单项施工任务履约，</w:t>
      </w:r>
      <w:r>
        <w:rPr>
          <w:rFonts w:hint="eastAsia" w:ascii="仿宋" w:hAnsi="仿宋" w:eastAsia="仿宋" w:cs="仿宋"/>
          <w:color w:val="auto"/>
          <w:sz w:val="28"/>
          <w:szCs w:val="28"/>
          <w:highlight w:val="none"/>
          <w:lang w:val="en-US" w:eastAsia="zh-CN"/>
        </w:rPr>
        <w:t>验收按单项施工进行</w:t>
      </w:r>
      <w:r>
        <w:rPr>
          <w:rFonts w:hint="eastAsia" w:ascii="仿宋" w:hAnsi="仿宋" w:eastAsia="仿宋" w:cs="仿宋"/>
          <w:color w:val="auto"/>
          <w:sz w:val="28"/>
          <w:szCs w:val="28"/>
          <w:highlight w:val="none"/>
          <w:lang w:eastAsia="zh-CN"/>
        </w:rPr>
        <w:t>。单项施工任务竣工后，乙方应在工期期满后15日内向甲方申请验收，期限自该单项施工任务合同规定的工期结束之日起算；除非因甲方变更，该期限不受工期延误的影响。甲方在收到乙方的竣工报告及完整的工程文件</w:t>
      </w:r>
      <w:r>
        <w:rPr>
          <w:rFonts w:hint="eastAsia" w:ascii="仿宋" w:hAnsi="仿宋" w:eastAsia="仿宋" w:cs="仿宋"/>
          <w:color w:val="auto"/>
          <w:sz w:val="28"/>
          <w:szCs w:val="28"/>
          <w:highlight w:val="none"/>
          <w:lang w:val="en-US" w:eastAsia="zh-CN"/>
        </w:rPr>
        <w:t>7</w:t>
      </w:r>
      <w:r>
        <w:rPr>
          <w:rFonts w:hint="eastAsia" w:ascii="仿宋" w:hAnsi="仿宋" w:eastAsia="仿宋" w:cs="仿宋"/>
          <w:color w:val="auto"/>
          <w:sz w:val="28"/>
          <w:szCs w:val="28"/>
          <w:highlight w:val="none"/>
          <w:lang w:eastAsia="zh-CN"/>
        </w:rPr>
        <w:t>日内，组织人员对该项工程进行验收。工程验收合格且所有资料移交甲方后，甲方在相关验收单据上签字视为确认验收。</w:t>
      </w:r>
    </w:p>
    <w:p w14:paraId="7133ADC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验收程序：①乙方提交履约完工申请及全套验收资料；②甲方核对资料完整性、合规性及与采购要求的一致性；③现场核查服务执行过程、服务质量、落地成效，必要时开展服务对象满意度调查；④按需开展服务功能、服务标准实测核验；⑤汇总验收意见，判定合格或限期整改；⑥验收无异议签署验收单据归档。</w:t>
      </w:r>
    </w:p>
    <w:p w14:paraId="5D83F394">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5</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验收内容：甲方对乙方提供的全部工程进行全面验收。验收不合格，由乙方在5个工作日内返工整改直至合格，逾期未整改或整改后仍不合格视为严重违约。连续两次项目验收不合格的，甲方有权单方解除合同，由此造成的一切损失由乙方承担。</w:t>
      </w:r>
    </w:p>
    <w:p w14:paraId="394DC37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6</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验收标准：按广东省、珠海市以及行业现行验收评审标准执行，符合采购文件要求、投标（响应）文件承诺及合同要求。</w:t>
      </w:r>
    </w:p>
    <w:p w14:paraId="62F3985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7</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lang w:eastAsia="zh-CN"/>
        </w:rPr>
        <w:t>整改与费用：首次验收不合格，乙方须按甲方要求限期免费整改、返工，补充完善服务内容；有关返工、重新验收所产生的所有费用（检测费、评估费、人工费、非过错方的损失等）均由过错方承担。</w:t>
      </w:r>
    </w:p>
    <w:p w14:paraId="13126BE7">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578D0CD0">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六、</w:t>
      </w:r>
      <w:r>
        <w:rPr>
          <w:rFonts w:hint="eastAsia" w:ascii="仿宋" w:hAnsi="仿宋" w:eastAsia="仿宋" w:cs="仿宋"/>
          <w:b/>
          <w:bCs/>
          <w:color w:val="auto"/>
          <w:sz w:val="28"/>
          <w:szCs w:val="28"/>
          <w:highlight w:val="none"/>
        </w:rPr>
        <w:t>工程质保期</w:t>
      </w:r>
    </w:p>
    <w:p w14:paraId="7F46442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（一）</w:t>
      </w:r>
      <w:r>
        <w:rPr>
          <w:rFonts w:hint="eastAsia" w:ascii="仿宋" w:hAnsi="仿宋" w:eastAsia="仿宋" w:cs="仿宋"/>
          <w:color w:val="auto"/>
          <w:sz w:val="28"/>
          <w:szCs w:val="28"/>
          <w:highlight w:val="none"/>
        </w:rPr>
        <w:t>工程质保期</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自工程通过竣工验收之日起计算，</w:t>
      </w:r>
      <w:r>
        <w:rPr>
          <w:rFonts w:hint="eastAsia" w:ascii="仿宋" w:hAnsi="仿宋" w:eastAsia="仿宋" w:cs="仿宋"/>
          <w:color w:val="auto"/>
          <w:sz w:val="28"/>
          <w:szCs w:val="28"/>
          <w:highlight w:val="none"/>
          <w:lang w:eastAsia="zh-CN"/>
        </w:rPr>
        <w:t>按照</w:t>
      </w:r>
      <w:r>
        <w:rPr>
          <w:rFonts w:hint="eastAsia" w:ascii="仿宋" w:hAnsi="仿宋" w:eastAsia="仿宋" w:cs="仿宋"/>
          <w:color w:val="auto"/>
          <w:sz w:val="28"/>
          <w:szCs w:val="28"/>
          <w:highlight w:val="none"/>
        </w:rPr>
        <w:t>《建设工程质量管理条例》的规定执行：</w:t>
      </w:r>
    </w:p>
    <w:p w14:paraId="59FEE82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rPr>
        <w:t>地基基础工程和主体结构工程，为设计文件规定的该工程的合理使用年限</w:t>
      </w:r>
      <w:r>
        <w:rPr>
          <w:rFonts w:hint="eastAsia" w:ascii="仿宋" w:hAnsi="仿宋" w:eastAsia="仿宋" w:cs="仿宋"/>
          <w:color w:val="auto"/>
          <w:sz w:val="28"/>
          <w:szCs w:val="28"/>
          <w:highlight w:val="none"/>
          <w:lang w:eastAsia="zh-CN"/>
        </w:rPr>
        <w:t>；</w:t>
      </w:r>
    </w:p>
    <w:p w14:paraId="5FDE392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w:t>
      </w:r>
      <w:r>
        <w:rPr>
          <w:rFonts w:hint="eastAsia" w:ascii="仿宋" w:hAnsi="仿宋" w:eastAsia="仿宋" w:cs="仿宋"/>
          <w:color w:val="auto"/>
          <w:sz w:val="28"/>
          <w:szCs w:val="28"/>
          <w:highlight w:val="none"/>
        </w:rPr>
        <w:t>屋面防水工程、有防水要求的卫生间、房间和外墙面的防渗漏，为 5 年；</w:t>
      </w:r>
    </w:p>
    <w:p w14:paraId="3C10405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供热与供冷系统，为 2 个采暖期、供冷期；</w:t>
      </w:r>
    </w:p>
    <w:p w14:paraId="13EEA16D">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lang w:val="en-US" w:eastAsia="zh"/>
        </w:rPr>
        <w:t>.</w:t>
      </w:r>
      <w:r>
        <w:rPr>
          <w:rFonts w:hint="eastAsia" w:ascii="仿宋" w:hAnsi="仿宋" w:eastAsia="仿宋" w:cs="仿宋"/>
          <w:color w:val="auto"/>
          <w:sz w:val="28"/>
          <w:szCs w:val="28"/>
          <w:highlight w:val="none"/>
        </w:rPr>
        <w:t>电气管线、给排水管道、设备安装和装修工程，为 2 年；</w:t>
      </w:r>
    </w:p>
    <w:p w14:paraId="1934C8C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5.《建设工程质量管理条例》规定以外的内容质保期为2年</w:t>
      </w:r>
      <w:r>
        <w:rPr>
          <w:rFonts w:hint="eastAsia" w:ascii="仿宋" w:hAnsi="仿宋" w:eastAsia="仿宋" w:cs="仿宋"/>
          <w:color w:val="auto"/>
          <w:sz w:val="28"/>
          <w:szCs w:val="28"/>
          <w:highlight w:val="none"/>
        </w:rPr>
        <w:t>。</w:t>
      </w:r>
    </w:p>
    <w:p w14:paraId="2B8A69C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6.</w:t>
      </w:r>
      <w:r>
        <w:rPr>
          <w:rFonts w:hint="eastAsia" w:ascii="仿宋" w:hAnsi="仿宋" w:eastAsia="仿宋" w:cs="仿宋"/>
          <w:color w:val="auto"/>
          <w:sz w:val="28"/>
          <w:szCs w:val="28"/>
          <w:highlight w:val="none"/>
        </w:rPr>
        <w:t>质量质保责任：</w:t>
      </w:r>
    </w:p>
    <w:p w14:paraId="4AC05B8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（1）属于质保范围的项目，</w:t>
      </w:r>
      <w:r>
        <w:rPr>
          <w:rFonts w:hint="eastAsia" w:ascii="仿宋" w:hAnsi="仿宋" w:eastAsia="仿宋" w:cs="仿宋"/>
          <w:color w:val="auto"/>
          <w:sz w:val="28"/>
          <w:szCs w:val="28"/>
          <w:highlight w:val="none"/>
          <w:lang w:val="en-US" w:eastAsia="zh-CN"/>
        </w:rPr>
        <w:t>乙方</w:t>
      </w:r>
      <w:r>
        <w:rPr>
          <w:rFonts w:hint="eastAsia" w:ascii="仿宋" w:hAnsi="仿宋" w:eastAsia="仿宋" w:cs="仿宋"/>
          <w:color w:val="auto"/>
          <w:sz w:val="28"/>
          <w:szCs w:val="28"/>
          <w:highlight w:val="none"/>
        </w:rPr>
        <w:t>应在接到</w:t>
      </w:r>
      <w:r>
        <w:rPr>
          <w:rFonts w:hint="eastAsia" w:ascii="仿宋" w:hAnsi="仿宋" w:eastAsia="仿宋" w:cs="仿宋"/>
          <w:color w:val="auto"/>
          <w:sz w:val="28"/>
          <w:szCs w:val="28"/>
          <w:highlight w:val="none"/>
          <w:lang w:val="en-US" w:eastAsia="zh-CN"/>
        </w:rPr>
        <w:t>甲方</w:t>
      </w:r>
      <w:r>
        <w:rPr>
          <w:rFonts w:hint="eastAsia" w:ascii="仿宋" w:hAnsi="仿宋" w:eastAsia="仿宋" w:cs="仿宋"/>
          <w:color w:val="auto"/>
          <w:sz w:val="28"/>
          <w:szCs w:val="28"/>
          <w:highlight w:val="none"/>
        </w:rPr>
        <w:t>通知后的2个工作日内派人质保。</w:t>
      </w:r>
      <w:r>
        <w:rPr>
          <w:rFonts w:hint="eastAsia" w:ascii="仿宋" w:hAnsi="仿宋" w:eastAsia="仿宋" w:cs="仿宋"/>
          <w:color w:val="auto"/>
          <w:sz w:val="28"/>
          <w:szCs w:val="28"/>
          <w:highlight w:val="none"/>
          <w:lang w:val="en-US" w:eastAsia="zh-CN"/>
        </w:rPr>
        <w:t>乙方</w:t>
      </w:r>
      <w:r>
        <w:rPr>
          <w:rFonts w:hint="eastAsia" w:ascii="仿宋" w:hAnsi="仿宋" w:eastAsia="仿宋" w:cs="仿宋"/>
          <w:color w:val="auto"/>
          <w:sz w:val="28"/>
          <w:szCs w:val="28"/>
          <w:highlight w:val="none"/>
        </w:rPr>
        <w:t>未能在规定时间内派人质保的，</w:t>
      </w:r>
      <w:r>
        <w:rPr>
          <w:rFonts w:hint="eastAsia" w:ascii="仿宋" w:hAnsi="仿宋" w:eastAsia="仿宋" w:cs="仿宋"/>
          <w:color w:val="auto"/>
          <w:sz w:val="28"/>
          <w:szCs w:val="28"/>
          <w:highlight w:val="none"/>
          <w:lang w:val="en-US" w:eastAsia="zh-CN"/>
        </w:rPr>
        <w:t>甲方</w:t>
      </w:r>
      <w:r>
        <w:rPr>
          <w:rFonts w:hint="eastAsia" w:ascii="仿宋" w:hAnsi="仿宋" w:eastAsia="仿宋" w:cs="仿宋"/>
          <w:color w:val="auto"/>
          <w:sz w:val="28"/>
          <w:szCs w:val="28"/>
          <w:highlight w:val="none"/>
        </w:rPr>
        <w:t>可自行或委托第三方质保，费用由</w:t>
      </w:r>
      <w:r>
        <w:rPr>
          <w:rFonts w:hint="eastAsia" w:ascii="仿宋" w:hAnsi="仿宋" w:eastAsia="仿宋" w:cs="仿宋"/>
          <w:color w:val="auto"/>
          <w:sz w:val="28"/>
          <w:szCs w:val="28"/>
          <w:highlight w:val="none"/>
          <w:lang w:val="en-US" w:eastAsia="zh-CN"/>
        </w:rPr>
        <w:t>乙方</w:t>
      </w:r>
      <w:r>
        <w:rPr>
          <w:rFonts w:hint="eastAsia" w:ascii="仿宋" w:hAnsi="仿宋" w:eastAsia="仿宋" w:cs="仿宋"/>
          <w:color w:val="auto"/>
          <w:sz w:val="28"/>
          <w:szCs w:val="28"/>
          <w:highlight w:val="none"/>
        </w:rPr>
        <w:t>支付。</w:t>
      </w:r>
    </w:p>
    <w:p w14:paraId="5DC689C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（2）发生紧急抢修事故的，</w:t>
      </w:r>
      <w:r>
        <w:rPr>
          <w:rFonts w:hint="eastAsia" w:ascii="仿宋" w:hAnsi="仿宋" w:eastAsia="仿宋" w:cs="仿宋"/>
          <w:color w:val="auto"/>
          <w:sz w:val="28"/>
          <w:szCs w:val="28"/>
          <w:highlight w:val="none"/>
          <w:lang w:val="en-US" w:eastAsia="zh-CN"/>
        </w:rPr>
        <w:t>乙方</w:t>
      </w:r>
      <w:r>
        <w:rPr>
          <w:rFonts w:hint="eastAsia" w:ascii="仿宋" w:hAnsi="仿宋" w:eastAsia="仿宋" w:cs="仿宋"/>
          <w:color w:val="auto"/>
          <w:sz w:val="28"/>
          <w:szCs w:val="28"/>
          <w:highlight w:val="none"/>
        </w:rPr>
        <w:t>在接到通知后，应立即赶赴现场进行抢修。</w:t>
      </w:r>
    </w:p>
    <w:p w14:paraId="39D2837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（3）</w:t>
      </w:r>
      <w:r>
        <w:rPr>
          <w:rFonts w:hint="eastAsia" w:ascii="仿宋" w:hAnsi="仿宋" w:eastAsia="仿宋" w:cs="仿宋"/>
          <w:color w:val="auto"/>
          <w:sz w:val="28"/>
          <w:szCs w:val="28"/>
          <w:highlight w:val="none"/>
          <w:lang w:val="en-US" w:eastAsia="zh-CN"/>
        </w:rPr>
        <w:t>乙方</w:t>
      </w:r>
      <w:r>
        <w:rPr>
          <w:rFonts w:hint="eastAsia" w:ascii="仿宋" w:hAnsi="仿宋" w:eastAsia="仿宋" w:cs="仿宋"/>
          <w:color w:val="auto"/>
          <w:sz w:val="28"/>
          <w:szCs w:val="28"/>
          <w:highlight w:val="none"/>
        </w:rPr>
        <w:t>需要认真核查内容，如果在缺陷责任期出现质量导致破裂的由</w:t>
      </w:r>
      <w:r>
        <w:rPr>
          <w:rFonts w:hint="eastAsia" w:ascii="仿宋" w:hAnsi="仿宋" w:eastAsia="仿宋" w:cs="仿宋"/>
          <w:color w:val="auto"/>
          <w:sz w:val="28"/>
          <w:szCs w:val="28"/>
          <w:highlight w:val="none"/>
          <w:lang w:val="en-US" w:eastAsia="zh-CN"/>
        </w:rPr>
        <w:t>乙方</w:t>
      </w:r>
      <w:r>
        <w:rPr>
          <w:rFonts w:hint="eastAsia" w:ascii="仿宋" w:hAnsi="仿宋" w:eastAsia="仿宋" w:cs="仿宋"/>
          <w:color w:val="auto"/>
          <w:sz w:val="28"/>
          <w:szCs w:val="28"/>
          <w:highlight w:val="none"/>
        </w:rPr>
        <w:t>负责。</w:t>
      </w:r>
    </w:p>
    <w:p w14:paraId="3C23FFFF">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0" w:leftChars="0" w:firstLine="560" w:firstLineChars="200"/>
        <w:jc w:val="left"/>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（二）保险要求。</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lang w:val="en-US" w:eastAsia="zh-CN"/>
        </w:rPr>
        <w:t>应</w:t>
      </w:r>
      <w:r>
        <w:rPr>
          <w:rFonts w:hint="eastAsia" w:ascii="仿宋" w:hAnsi="仿宋" w:eastAsia="仿宋" w:cs="仿宋"/>
          <w:color w:val="auto"/>
          <w:sz w:val="28"/>
          <w:szCs w:val="28"/>
          <w:highlight w:val="none"/>
        </w:rPr>
        <w:t>自行于开工前为工程购买有效工程一切险、第三方责任险等必要保险，上述各保险必须于交工验收前仍然生效，费用含在合同价中。当发生不可抗力的破坏或意外事故时，由</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负责修复及向保险公司办理索赔事宜，</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不再承担索赔责任，但因不可抗力导致的延误可以顺延工期。如果</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未购买保险，</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承担和赔偿由此造成的直接、间接损失</w:t>
      </w:r>
      <w:r>
        <w:rPr>
          <w:rFonts w:hint="eastAsia" w:ascii="仿宋" w:hAnsi="仿宋" w:eastAsia="仿宋" w:cs="仿宋"/>
          <w:color w:val="auto"/>
          <w:sz w:val="28"/>
          <w:szCs w:val="28"/>
          <w:highlight w:val="none"/>
          <w:lang w:eastAsia="zh-CN"/>
        </w:rPr>
        <w:t>。</w:t>
      </w:r>
    </w:p>
    <w:p w14:paraId="7C34AC6E">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0" w:leftChars="0" w:firstLine="560" w:firstLineChars="200"/>
        <w:jc w:val="left"/>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（三）安装调试。乙方提供的相关设备（如有），必须全部安装调试合格并能正常运行。</w:t>
      </w:r>
    </w:p>
    <w:p w14:paraId="46D8604B">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（四）质量保证金。本项目按照单项施工任务合同收取质量保证金。单项施工任务的质量保证金金额为最终结算价款的（ 3 ）%。乙方应于竣工验收合格且结算审核完毕后10个日历日内，以非现金形式向甲方提交。若采用保函形式，则保函有效期应覆盖整个质保期及甲方收到退还申请后的合理处理期限。</w:t>
      </w:r>
    </w:p>
    <w:p w14:paraId="4AD43FF0">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单项施工任务质保期届满且无质量问题后，甲方在10个工作日内将质量保证金无息退还给乙方。</w:t>
      </w:r>
    </w:p>
    <w:p w14:paraId="0A903F31">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79ACCB5D">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七、</w:t>
      </w:r>
      <w:r>
        <w:rPr>
          <w:rFonts w:hint="eastAsia" w:ascii="仿宋" w:hAnsi="仿宋" w:eastAsia="仿宋" w:cs="仿宋"/>
          <w:b/>
          <w:bCs/>
          <w:color w:val="auto"/>
          <w:sz w:val="28"/>
          <w:szCs w:val="28"/>
          <w:highlight w:val="none"/>
        </w:rPr>
        <w:t>付款方式</w:t>
      </w:r>
    </w:p>
    <w:p w14:paraId="6738B339">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rPr>
          <w:rFonts w:hint="eastAsia" w:ascii="仿宋" w:hAnsi="仿宋" w:eastAsia="仿宋" w:cs="仿宋"/>
          <w:b w:val="0"/>
          <w:bCs/>
          <w:color w:val="auto"/>
          <w:sz w:val="28"/>
          <w:szCs w:val="28"/>
          <w:highlight w:val="none"/>
          <w:lang w:val="en-US" w:eastAsia="zh-CN"/>
        </w:rPr>
      </w:pPr>
      <w:r>
        <w:rPr>
          <w:rFonts w:hint="eastAsia" w:ascii="仿宋" w:hAnsi="仿宋" w:eastAsia="仿宋" w:cs="仿宋"/>
          <w:color w:val="auto"/>
          <w:sz w:val="28"/>
          <w:szCs w:val="28"/>
          <w:highlight w:val="none"/>
          <w:lang w:eastAsia="zh-CN"/>
        </w:rPr>
        <w:t>（一）</w:t>
      </w:r>
      <w:r>
        <w:rPr>
          <w:rFonts w:hint="eastAsia" w:ascii="仿宋" w:hAnsi="仿宋" w:eastAsia="仿宋" w:cs="仿宋"/>
          <w:b w:val="0"/>
          <w:bCs/>
          <w:color w:val="auto"/>
          <w:sz w:val="28"/>
          <w:szCs w:val="28"/>
          <w:highlight w:val="none"/>
          <w:lang w:val="en-US" w:eastAsia="zh-CN"/>
        </w:rPr>
        <w:t>工程进度款。单项施工任务合同中另行约定。</w:t>
      </w:r>
    </w:p>
    <w:p w14:paraId="390DEBA9">
      <w:pPr>
        <w:pStyle w:val="375"/>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kern w:val="2"/>
          <w:sz w:val="28"/>
          <w:szCs w:val="28"/>
          <w:highlight w:val="none"/>
          <w:lang w:val="en-US" w:eastAsia="zh-CN" w:bidi="ar-SA"/>
        </w:rPr>
        <w:t>（二）工程结算款。1.采用固定总价的单项工程：结算价=单项合同固定总价×成交费率，验收合格后按约定支付；2.采用固定单价的单项工程：结算价=（实际完成工程量×固定单价）×成交费率，按核定工程量结算；3.单项施工任务通过竣工验收后，乙方向甲方递交工程结算书，由甲方自行或委托中介造价咨询机构进行审核；在完成且双方确认结算造价、乙方开具等额有效发票后，甲方原则上在</w:t>
      </w:r>
      <w:r>
        <w:rPr>
          <w:rFonts w:hint="eastAsia" w:ascii="仿宋" w:hAnsi="仿宋" w:eastAsia="仿宋" w:cs="仿宋"/>
          <w:color w:val="auto"/>
          <w:kern w:val="2"/>
          <w:sz w:val="28"/>
          <w:szCs w:val="28"/>
          <w:highlight w:val="none"/>
          <w:u w:val="single"/>
          <w:lang w:val="en-US" w:eastAsia="zh-CN" w:bidi="ar-SA"/>
        </w:rPr>
        <w:t xml:space="preserve"> 10 </w:t>
      </w:r>
      <w:r>
        <w:rPr>
          <w:rFonts w:hint="eastAsia" w:ascii="仿宋" w:hAnsi="仿宋" w:eastAsia="仿宋" w:cs="仿宋"/>
          <w:color w:val="auto"/>
          <w:kern w:val="2"/>
          <w:sz w:val="28"/>
          <w:szCs w:val="28"/>
          <w:highlight w:val="none"/>
          <w:lang w:val="en-US" w:eastAsia="zh-CN" w:bidi="ar-SA"/>
        </w:rPr>
        <w:t>个工作日内支付工程款至结算价的 100％。</w:t>
      </w: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rPr>
        <w:t>以上付款都以人民币支付。甲方付款前，乙方均需向甲方开具符合</w:t>
      </w:r>
      <w:r>
        <w:rPr>
          <w:rFonts w:hint="eastAsia" w:ascii="仿宋" w:hAnsi="仿宋" w:eastAsia="仿宋" w:cs="仿宋"/>
          <w:color w:val="auto"/>
          <w:sz w:val="28"/>
          <w:szCs w:val="28"/>
          <w:highlight w:val="none"/>
          <w:lang w:eastAsia="zh-CN"/>
        </w:rPr>
        <w:t>国家规范</w:t>
      </w:r>
      <w:r>
        <w:rPr>
          <w:rFonts w:hint="eastAsia" w:ascii="仿宋" w:hAnsi="仿宋" w:eastAsia="仿宋" w:cs="仿宋"/>
          <w:color w:val="auto"/>
          <w:sz w:val="28"/>
          <w:szCs w:val="28"/>
          <w:highlight w:val="none"/>
        </w:rPr>
        <w:t>要求的发票。</w:t>
      </w:r>
    </w:p>
    <w:p w14:paraId="3B3B06B7">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left="0" w:leftChars="0" w:right="0" w:rightChars="0" w:firstLine="560" w:firstLineChars="200"/>
        <w:textAlignment w:val="auto"/>
        <w:outlineLvl w:val="9"/>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（三）乙方往来款账号信息。</w:t>
      </w:r>
    </w:p>
    <w:p w14:paraId="55AAE89A">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left="0" w:leftChars="0" w:right="0" w:rightChars="0" w:firstLine="560" w:firstLineChars="200"/>
        <w:textAlignment w:val="auto"/>
        <w:outlineLvl w:val="9"/>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开户名：</w:t>
      </w:r>
    </w:p>
    <w:p w14:paraId="6E445707">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left="0" w:leftChars="0" w:right="0" w:rightChars="0" w:firstLine="560" w:firstLineChars="200"/>
        <w:textAlignment w:val="auto"/>
        <w:outlineLvl w:val="9"/>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账号：</w:t>
      </w:r>
    </w:p>
    <w:p w14:paraId="14642BDB">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t>开户银行：</w:t>
      </w:r>
    </w:p>
    <w:p w14:paraId="006A4A1D">
      <w:pPr>
        <w:pStyle w:val="19"/>
        <w:keepNext w:val="0"/>
        <w:keepLines w:val="0"/>
        <w:pageBreakBefore w:val="0"/>
        <w:widowControl w:val="0"/>
        <w:kinsoku/>
        <w:wordWrap/>
        <w:overflowPunct/>
        <w:topLinePunct w:val="0"/>
        <w:autoSpaceDE/>
        <w:autoSpaceDN/>
        <w:bidi w:val="0"/>
        <w:adjustRightInd/>
        <w:snapToGrid/>
        <w:spacing w:beforeLines="0" w:after="0" w:afterLines="0" w:line="360" w:lineRule="auto"/>
        <w:ind w:firstLine="560" w:firstLineChars="200"/>
        <w:textAlignment w:val="auto"/>
        <w:rPr>
          <w:rFonts w:hint="eastAsia" w:ascii="仿宋" w:hAnsi="仿宋" w:eastAsia="仿宋" w:cs="仿宋"/>
          <w:color w:val="auto"/>
          <w:kern w:val="2"/>
          <w:sz w:val="28"/>
          <w:szCs w:val="28"/>
          <w:highlight w:val="none"/>
          <w:lang w:val="en-US" w:eastAsia="zh-CN" w:bidi="ar-SA"/>
        </w:rPr>
      </w:pPr>
    </w:p>
    <w:p w14:paraId="1733BF7C">
      <w:pPr>
        <w:keepNext w:val="0"/>
        <w:keepLines w:val="0"/>
        <w:pageBreakBefore w:val="0"/>
        <w:widowControl w:val="0"/>
        <w:kinsoku/>
        <w:wordWrap/>
        <w:overflowPunct/>
        <w:topLinePunct w:val="0"/>
        <w:autoSpaceDE/>
        <w:autoSpaceDN/>
        <w:bidi w:val="0"/>
        <w:adjustRightInd/>
        <w:snapToGrid/>
        <w:spacing w:beforeLines="0" w:afterLines="0" w:line="240" w:lineRule="auto"/>
        <w:ind w:firstLine="562" w:firstLineChars="200"/>
        <w:jc w:val="left"/>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bCs/>
          <w:color w:val="auto"/>
          <w:sz w:val="28"/>
          <w:szCs w:val="28"/>
          <w:highlight w:val="none"/>
          <w:lang w:eastAsia="zh-CN"/>
        </w:rPr>
        <w:t>八、单项施工任务合同造价调整条件及范围</w:t>
      </w: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kern w:val="2"/>
          <w:sz w:val="28"/>
          <w:szCs w:val="28"/>
          <w:highlight w:val="none"/>
          <w:lang w:val="en-US" w:eastAsia="zh-CN" w:bidi="ar"/>
        </w:rPr>
        <w:t>实施时按照每次单项实施时的价格清单确定单项价格。</w:t>
      </w:r>
      <w:r>
        <w:rPr>
          <w:rFonts w:hint="eastAsia" w:ascii="仿宋" w:hAnsi="仿宋" w:eastAsia="仿宋" w:cs="仿宋"/>
          <w:b w:val="0"/>
          <w:bCs w:val="0"/>
          <w:color w:val="auto"/>
          <w:sz w:val="28"/>
          <w:szCs w:val="28"/>
          <w:highlight w:val="none"/>
          <w:lang w:eastAsia="zh-CN"/>
        </w:rPr>
        <w:t>）</w:t>
      </w:r>
    </w:p>
    <w:p w14:paraId="2F099D5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（一）固定总价合同</w:t>
      </w:r>
    </w:p>
    <w:p w14:paraId="2C6EF607">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1.不予调整情形</w:t>
      </w:r>
    </w:p>
    <w:p w14:paraId="1FEA0B08">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1</w:t>
      </w:r>
      <w:r>
        <w:rPr>
          <w:rFonts w:hint="eastAsia" w:ascii="仿宋" w:hAnsi="仿宋" w:eastAsia="仿宋" w:cs="仿宋"/>
          <w:b w:val="0"/>
          <w:bCs w:val="0"/>
          <w:color w:val="auto"/>
          <w:sz w:val="28"/>
          <w:szCs w:val="28"/>
          <w:highlight w:val="none"/>
          <w:lang w:eastAsia="zh-CN"/>
        </w:rPr>
        <w:t>）甲方下达的单项施工任务工程量清单存在误差的，合同总价（含措施费）不予调整。</w:t>
      </w:r>
    </w:p>
    <w:p w14:paraId="1B105FE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2</w:t>
      </w:r>
      <w:r>
        <w:rPr>
          <w:rFonts w:hint="eastAsia" w:ascii="仿宋" w:hAnsi="仿宋" w:eastAsia="仿宋" w:cs="仿宋"/>
          <w:b w:val="0"/>
          <w:bCs w:val="0"/>
          <w:color w:val="auto"/>
          <w:sz w:val="28"/>
          <w:szCs w:val="28"/>
          <w:highlight w:val="none"/>
          <w:lang w:eastAsia="zh-CN"/>
        </w:rPr>
        <w:t>）采购文件及本合同约定由乙方承担的风险因素范围内（含施工期内物价上涨、材料设备价差、政策性调价、各级政府税收及相关费用变动等），合同总价（含措施费）不作调整。</w:t>
      </w:r>
    </w:p>
    <w:p w14:paraId="27BF505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3</w:t>
      </w:r>
      <w:r>
        <w:rPr>
          <w:rFonts w:hint="eastAsia" w:ascii="仿宋" w:hAnsi="仿宋" w:eastAsia="仿宋" w:cs="仿宋"/>
          <w:b w:val="0"/>
          <w:bCs w:val="0"/>
          <w:color w:val="auto"/>
          <w:sz w:val="28"/>
          <w:szCs w:val="28"/>
          <w:highlight w:val="none"/>
          <w:lang w:eastAsia="zh-CN"/>
        </w:rPr>
        <w:t>）乙方确认后的材料价格，施工过程中保持固定，不因此调整合同总价（含措施费）。</w:t>
      </w:r>
    </w:p>
    <w:p w14:paraId="7E185FD8">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4</w:t>
      </w:r>
      <w:r>
        <w:rPr>
          <w:rFonts w:hint="eastAsia" w:ascii="仿宋" w:hAnsi="仿宋" w:eastAsia="仿宋" w:cs="仿宋"/>
          <w:b w:val="0"/>
          <w:bCs w:val="0"/>
          <w:color w:val="auto"/>
          <w:sz w:val="28"/>
          <w:szCs w:val="28"/>
          <w:highlight w:val="none"/>
          <w:lang w:eastAsia="zh-CN"/>
        </w:rPr>
        <w:t>）工程量清单中拆除项目的工程量与实际不符、或清单未列明拆除及修复工作的，相关费用（含对应措施费）已纳入合同总价，甲方不另行签证增费，合同总价不予调整。</w:t>
      </w:r>
    </w:p>
    <w:p w14:paraId="3AFED8A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5</w:t>
      </w:r>
      <w:r>
        <w:rPr>
          <w:rFonts w:hint="eastAsia" w:ascii="仿宋" w:hAnsi="仿宋" w:eastAsia="仿宋" w:cs="仿宋"/>
          <w:b w:val="0"/>
          <w:bCs w:val="0"/>
          <w:color w:val="auto"/>
          <w:sz w:val="28"/>
          <w:szCs w:val="28"/>
          <w:highlight w:val="none"/>
          <w:lang w:eastAsia="zh-CN"/>
        </w:rPr>
        <w:t>）措施费已纳入总价包干范围，施工组织方案优化、常规工程量波动等非实质性变更情形，措施费不予单独调整。</w:t>
      </w:r>
    </w:p>
    <w:p w14:paraId="1EE183DD">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2.可调整情形</w:t>
      </w:r>
    </w:p>
    <w:p w14:paraId="51B3E751">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因设计变更造成工程量实质性增减，且该变更超出合同约定风险范围的，按变更后实际工程量及工程量清单计价原则调整总价；其中措施费若因变更导致施工工艺、施工范围发生重大变化（如新增大型机械进出场、额外搭设临时设施、安全防护措施升级等），按实际发生费用结合组价原则调整。</w:t>
      </w:r>
    </w:p>
    <w:p w14:paraId="778797CF">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（2）因工程商洽导致施工范围、工程量发生变化的，按商洽内容及工程量清单计价原则调整总价；其中措施费随工程内容变化产生额外支出或减少的，按实调整。</w:t>
      </w:r>
    </w:p>
    <w:p w14:paraId="05021E4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（二）固定单价合同</w:t>
      </w:r>
    </w:p>
    <w:p w14:paraId="6EAB078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1.不予调整情形</w:t>
      </w:r>
    </w:p>
    <w:p w14:paraId="7E42B98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（1）各分项工程单价按预算清单计价原则确定后，除合同另有约定外，单价（含单价内关联措施费）不予调整。</w:t>
      </w:r>
    </w:p>
    <w:p w14:paraId="3B59B094">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2</w:t>
      </w:r>
      <w:r>
        <w:rPr>
          <w:rFonts w:hint="eastAsia" w:ascii="仿宋" w:hAnsi="仿宋" w:eastAsia="仿宋" w:cs="仿宋"/>
          <w:b w:val="0"/>
          <w:bCs w:val="0"/>
          <w:color w:val="auto"/>
          <w:sz w:val="28"/>
          <w:szCs w:val="28"/>
          <w:highlight w:val="none"/>
          <w:lang w:eastAsia="zh-CN"/>
        </w:rPr>
        <w:t>）采购文件及本合同约定由乙方承担的风险因素范围内（含施工期内物价上涨、材料设备价差、政策性调价、各级政府税收及相关费用变动等），单价（含单价内关联措施费）不作调整。</w:t>
      </w:r>
    </w:p>
    <w:p w14:paraId="18F4984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3</w:t>
      </w:r>
      <w:r>
        <w:rPr>
          <w:rFonts w:hint="eastAsia" w:ascii="仿宋" w:hAnsi="仿宋" w:eastAsia="仿宋" w:cs="仿宋"/>
          <w:b w:val="0"/>
          <w:bCs w:val="0"/>
          <w:color w:val="auto"/>
          <w:sz w:val="28"/>
          <w:szCs w:val="28"/>
          <w:highlight w:val="none"/>
          <w:lang w:eastAsia="zh-CN"/>
        </w:rPr>
        <w:t>）乙方确认后的材料价格，施工过程中不因此调整对应分项工程的固定单价（含单价内关联措施费）。</w:t>
      </w:r>
    </w:p>
    <w:p w14:paraId="6701B4C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4</w:t>
      </w:r>
      <w:r>
        <w:rPr>
          <w:rFonts w:hint="eastAsia" w:ascii="仿宋" w:hAnsi="仿宋" w:eastAsia="仿宋" w:cs="仿宋"/>
          <w:b w:val="0"/>
          <w:bCs w:val="0"/>
          <w:color w:val="auto"/>
          <w:sz w:val="28"/>
          <w:szCs w:val="28"/>
          <w:highlight w:val="none"/>
          <w:lang w:eastAsia="zh-CN"/>
        </w:rPr>
        <w:t>）总价包干类措施费，如安全文明施工费、二次搬运费、临时设施费等，若无特殊约定，不因工程量常规增减单独调整。</w:t>
      </w:r>
    </w:p>
    <w:p w14:paraId="24498B1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bCs w:val="0"/>
          <w:color w:val="auto"/>
          <w:sz w:val="28"/>
          <w:szCs w:val="28"/>
          <w:highlight w:val="none"/>
          <w:lang w:val="en-US" w:eastAsia="zh-CN"/>
        </w:rPr>
      </w:pPr>
      <w:r>
        <w:rPr>
          <w:rFonts w:hint="eastAsia" w:ascii="仿宋" w:hAnsi="仿宋" w:eastAsia="仿宋" w:cs="仿宋"/>
          <w:b w:val="0"/>
          <w:bCs w:val="0"/>
          <w:color w:val="auto"/>
          <w:sz w:val="28"/>
          <w:szCs w:val="28"/>
          <w:highlight w:val="none"/>
          <w:lang w:val="en-US" w:eastAsia="zh-CN"/>
        </w:rPr>
        <w:t>2.可调整情形</w:t>
      </w:r>
    </w:p>
    <w:p w14:paraId="182F39BC">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b w:val="0"/>
          <w:bCs/>
          <w:color w:val="auto"/>
          <w:kern w:val="2"/>
          <w:sz w:val="28"/>
          <w:szCs w:val="28"/>
          <w:highlight w:val="none"/>
          <w:lang w:val="en-US" w:eastAsia="zh-CN" w:bidi="ar-SA"/>
        </w:rPr>
      </w:pPr>
      <w:r>
        <w:rPr>
          <w:rFonts w:hint="eastAsia" w:ascii="仿宋" w:hAnsi="仿宋" w:eastAsia="仿宋" w:cs="仿宋"/>
          <w:b w:val="0"/>
          <w:bCs/>
          <w:color w:val="auto"/>
          <w:kern w:val="2"/>
          <w:sz w:val="28"/>
          <w:szCs w:val="28"/>
          <w:highlight w:val="none"/>
          <w:lang w:val="en-US" w:eastAsia="zh-CN" w:bidi="ar-SA"/>
        </w:rPr>
        <w:t>（1）工程量偏差调整。因设计变更、工程洽商或甲方提供的工程量清单存在误差，导致原工程量清单中已有项目的工程量发生增减的，结算时应</w:t>
      </w:r>
      <w:r>
        <w:rPr>
          <w:rFonts w:hint="eastAsia" w:ascii="仿宋" w:hAnsi="仿宋" w:eastAsia="仿宋" w:cs="仿宋"/>
          <w:b w:val="0"/>
          <w:bCs w:val="0"/>
          <w:color w:val="auto"/>
          <w:sz w:val="28"/>
          <w:szCs w:val="28"/>
          <w:highlight w:val="none"/>
          <w:lang w:val="en-US" w:eastAsia="zh-CN"/>
        </w:rPr>
        <w:t>按乙方实际完成的工程量</w:t>
      </w:r>
      <w:r>
        <w:rPr>
          <w:rFonts w:hint="eastAsia" w:ascii="仿宋" w:hAnsi="仿宋" w:eastAsia="仿宋" w:cs="仿宋"/>
          <w:b w:val="0"/>
          <w:bCs/>
          <w:color w:val="auto"/>
          <w:kern w:val="2"/>
          <w:sz w:val="28"/>
          <w:szCs w:val="28"/>
          <w:highlight w:val="none"/>
          <w:lang w:val="en-US" w:eastAsia="zh-CN" w:bidi="ar-SA"/>
        </w:rPr>
        <w:t>×固定单价计算，调整合同结算总价（单价保持不变）。与该分部分项工程相关联的、以工程量计价的单价关联类措施项目费（如模板、脚手架、垂直运输费等），随对应分项工程实际工程量增减同步调整。</w:t>
      </w:r>
    </w:p>
    <w:p w14:paraId="5912560C">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b w:val="0"/>
          <w:bCs/>
          <w:color w:val="auto"/>
          <w:kern w:val="2"/>
          <w:sz w:val="28"/>
          <w:szCs w:val="28"/>
          <w:highlight w:val="none"/>
          <w:lang w:val="en-US" w:eastAsia="zh-CN" w:bidi="ar-SA"/>
        </w:rPr>
      </w:pPr>
      <w:r>
        <w:rPr>
          <w:rFonts w:hint="eastAsia" w:ascii="仿宋" w:hAnsi="仿宋" w:eastAsia="仿宋" w:cs="仿宋"/>
          <w:b w:val="0"/>
          <w:bCs/>
          <w:color w:val="auto"/>
          <w:kern w:val="2"/>
          <w:sz w:val="28"/>
          <w:szCs w:val="28"/>
          <w:highlight w:val="none"/>
          <w:lang w:val="en-US" w:eastAsia="zh-CN" w:bidi="ar-SA"/>
        </w:rPr>
        <w:t>（2）新增项目及漏项调整。出现下列情形之一时，应按本款约定的原则确定新单价并调整总价：a.工程量清单中存在漏项，且该工作内容属于施工图纸、技术规范及合同约定的施工范围；b.因设计变更或工程洽商，新增了原工程量清单中没有的项目；c.原清单项目因变更导致其工作内容、施工工艺或施工条件发生实质性变化，致使原单价已明显不适用。对于上述项目，按预算清单计价原则组价确定新单价（含对应关联措施费），结合实际完成工程量调整结算总价。</w:t>
      </w:r>
    </w:p>
    <w:p w14:paraId="3F488131">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color w:val="auto"/>
          <w:kern w:val="2"/>
          <w:sz w:val="28"/>
          <w:szCs w:val="28"/>
          <w:highlight w:val="none"/>
          <w:lang w:val="en-US" w:eastAsia="zh-CN" w:bidi="ar-SA"/>
        </w:rPr>
        <w:t>（3）</w:t>
      </w:r>
      <w:r>
        <w:rPr>
          <w:rFonts w:hint="eastAsia" w:ascii="仿宋" w:hAnsi="仿宋" w:eastAsia="仿宋" w:cs="仿宋"/>
          <w:b w:val="0"/>
          <w:bCs w:val="0"/>
          <w:color w:val="auto"/>
          <w:sz w:val="28"/>
          <w:szCs w:val="28"/>
          <w:highlight w:val="none"/>
          <w:lang w:eastAsia="zh-CN"/>
        </w:rPr>
        <w:t>总价包干类措施费，若因设计变更或工程商洽导致工程规模、施工方案或施工环境发生重大变化，如建筑面积翻倍、施工场地迁移、施工工期大幅调整等，致使原包干费用显失公平时，应按实际清单重新核定并调整。</w:t>
      </w:r>
    </w:p>
    <w:p w14:paraId="2D997D1F">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firstLine="560" w:firstLineChars="200"/>
        <w:jc w:val="left"/>
        <w:textAlignment w:val="auto"/>
        <w:outlineLvl w:val="9"/>
        <w:rPr>
          <w:rFonts w:hint="eastAsia" w:ascii="仿宋" w:hAnsi="仿宋" w:eastAsia="仿宋" w:cs="仿宋"/>
          <w:b w:val="0"/>
          <w:bCs/>
          <w:color w:val="auto"/>
          <w:kern w:val="2"/>
          <w:sz w:val="28"/>
          <w:szCs w:val="28"/>
          <w:highlight w:val="none"/>
          <w:lang w:val="en-US" w:eastAsia="zh-CN" w:bidi="ar-SA"/>
        </w:rPr>
      </w:pPr>
      <w:r>
        <w:rPr>
          <w:rFonts w:hint="eastAsia" w:ascii="仿宋" w:hAnsi="仿宋" w:eastAsia="仿宋" w:cs="仿宋"/>
          <w:b w:val="0"/>
          <w:bCs/>
          <w:color w:val="auto"/>
          <w:kern w:val="2"/>
          <w:sz w:val="28"/>
          <w:szCs w:val="28"/>
          <w:highlight w:val="none"/>
          <w:lang w:val="en-US" w:eastAsia="zh-CN" w:bidi="ar-SA"/>
        </w:rPr>
        <w:t>（三）任何可能引起合同价款调整的变更、洽商，均须以甲方或监理人（如有）出具的正式书面指令或经双方确认的书面文件为依据。</w:t>
      </w:r>
    </w:p>
    <w:p w14:paraId="5C933DB4">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2EAA7A0E">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九、材料</w:t>
      </w:r>
      <w:r>
        <w:rPr>
          <w:rFonts w:hint="eastAsia" w:ascii="仿宋" w:hAnsi="仿宋" w:eastAsia="仿宋" w:cs="仿宋"/>
          <w:b/>
          <w:bCs/>
          <w:color w:val="auto"/>
          <w:sz w:val="28"/>
          <w:szCs w:val="28"/>
          <w:highlight w:val="none"/>
        </w:rPr>
        <w:t>要求</w:t>
      </w:r>
    </w:p>
    <w:p w14:paraId="5228B3A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（一）建筑材料应为国产产品，质量等级达到国家或行业优等品标准，市场定位为中高档，</w:t>
      </w:r>
      <w:r>
        <w:rPr>
          <w:rFonts w:hint="eastAsia" w:ascii="仿宋" w:hAnsi="仿宋" w:eastAsia="仿宋" w:cs="仿宋"/>
          <w:color w:val="auto"/>
          <w:sz w:val="28"/>
          <w:szCs w:val="28"/>
          <w:highlight w:val="none"/>
        </w:rPr>
        <w:t>在确定主要材料之前，</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应将厂家、产地、品牌及材料的实物样本交甲方检验并获得甲方认可。</w:t>
      </w:r>
    </w:p>
    <w:p w14:paraId="5815BFA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甲方有权根据使用要求和工程需要对设计、主要材料及设备进行变更，有权根据变更以及合同约定的造价调整方式对造价进行调整，乙方必须予以执行。</w:t>
      </w:r>
    </w:p>
    <w:p w14:paraId="6CC8336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（三）</w:t>
      </w:r>
      <w:r>
        <w:rPr>
          <w:rFonts w:hint="eastAsia" w:ascii="仿宋" w:hAnsi="仿宋" w:eastAsia="仿宋" w:cs="仿宋"/>
          <w:color w:val="auto"/>
          <w:sz w:val="28"/>
          <w:szCs w:val="28"/>
          <w:highlight w:val="none"/>
        </w:rPr>
        <w:t>原则上乙方必须按照图纸要求及采用经甲方确认</w:t>
      </w:r>
      <w:r>
        <w:rPr>
          <w:rFonts w:hint="eastAsia" w:ascii="仿宋" w:hAnsi="仿宋" w:eastAsia="仿宋" w:cs="仿宋"/>
          <w:color w:val="auto"/>
          <w:sz w:val="28"/>
          <w:szCs w:val="28"/>
          <w:highlight w:val="none"/>
          <w:lang w:eastAsia="zh-CN"/>
        </w:rPr>
        <w:t>的</w:t>
      </w:r>
      <w:r>
        <w:rPr>
          <w:rFonts w:hint="eastAsia" w:ascii="仿宋" w:hAnsi="仿宋" w:eastAsia="仿宋" w:cs="仿宋"/>
          <w:color w:val="auto"/>
          <w:sz w:val="28"/>
          <w:szCs w:val="28"/>
          <w:highlight w:val="none"/>
        </w:rPr>
        <w:t>材料，若确定在缺货、停产等不可预见的情况下，可提出替换。材料替换时按以下原则进行：</w:t>
      </w:r>
    </w:p>
    <w:p w14:paraId="2851FB1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rPr>
        <w:t>材料性能和质量</w:t>
      </w:r>
      <w:r>
        <w:rPr>
          <w:rFonts w:hint="eastAsia" w:ascii="仿宋" w:hAnsi="仿宋" w:eastAsia="仿宋" w:cs="仿宋"/>
          <w:color w:val="auto"/>
          <w:sz w:val="28"/>
          <w:szCs w:val="28"/>
          <w:highlight w:val="none"/>
          <w:lang w:eastAsia="zh-CN"/>
        </w:rPr>
        <w:t>不低于</w:t>
      </w:r>
      <w:r>
        <w:rPr>
          <w:rFonts w:hint="eastAsia" w:ascii="仿宋" w:hAnsi="仿宋" w:eastAsia="仿宋" w:cs="仿宋"/>
          <w:color w:val="auto"/>
          <w:sz w:val="28"/>
          <w:szCs w:val="28"/>
          <w:highlight w:val="none"/>
        </w:rPr>
        <w:t>原定品牌；</w:t>
      </w:r>
    </w:p>
    <w:p w14:paraId="27D1D2E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w:t>
      </w:r>
      <w:r>
        <w:rPr>
          <w:rFonts w:hint="eastAsia" w:ascii="仿宋" w:hAnsi="仿宋" w:eastAsia="仿宋" w:cs="仿宋"/>
          <w:color w:val="auto"/>
          <w:sz w:val="28"/>
          <w:szCs w:val="28"/>
          <w:highlight w:val="none"/>
        </w:rPr>
        <w:t>需取得甲方同意；</w:t>
      </w:r>
    </w:p>
    <w:p w14:paraId="531C985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原则上不调价，取得甲方书面意见或双方商务洽商协议的除外。</w:t>
      </w:r>
    </w:p>
    <w:p w14:paraId="4A7E737C">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422E0B70">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十、</w:t>
      </w:r>
      <w:r>
        <w:rPr>
          <w:rFonts w:hint="eastAsia" w:ascii="仿宋" w:hAnsi="仿宋" w:eastAsia="仿宋" w:cs="仿宋"/>
          <w:b/>
          <w:bCs/>
          <w:color w:val="auto"/>
          <w:sz w:val="28"/>
          <w:szCs w:val="28"/>
          <w:highlight w:val="none"/>
        </w:rPr>
        <w:t>双方责任</w:t>
      </w:r>
    </w:p>
    <w:p w14:paraId="35B96E0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rPr>
        <w:t>甲方责任</w:t>
      </w:r>
    </w:p>
    <w:p w14:paraId="3EA2ECF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highlight w:val="none"/>
          <w:lang w:val="en-US" w:eastAsia="zh-CN"/>
        </w:rPr>
      </w:pP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rPr>
        <w:t>委派甲方代表对</w:t>
      </w:r>
      <w:r>
        <w:rPr>
          <w:rFonts w:hint="eastAsia" w:ascii="仿宋" w:hAnsi="仿宋" w:eastAsia="仿宋" w:cs="仿宋"/>
          <w:color w:val="auto"/>
          <w:sz w:val="28"/>
          <w:szCs w:val="28"/>
          <w:highlight w:val="none"/>
          <w:lang w:eastAsia="zh-CN"/>
        </w:rPr>
        <w:t>本合同及单项施工任务</w:t>
      </w:r>
      <w:r>
        <w:rPr>
          <w:rFonts w:hint="eastAsia" w:ascii="仿宋" w:hAnsi="仿宋" w:eastAsia="仿宋" w:cs="仿宋"/>
          <w:color w:val="auto"/>
          <w:sz w:val="28"/>
          <w:szCs w:val="28"/>
          <w:highlight w:val="none"/>
        </w:rPr>
        <w:t>施工的质量、进度和安全等进行管理</w:t>
      </w:r>
      <w:r>
        <w:rPr>
          <w:rFonts w:hint="eastAsia" w:ascii="仿宋" w:hAnsi="仿宋" w:eastAsia="仿宋" w:cs="仿宋"/>
          <w:color w:val="auto"/>
          <w:sz w:val="28"/>
          <w:szCs w:val="28"/>
          <w:highlight w:val="none"/>
          <w:lang w:eastAsia="zh-CN"/>
        </w:rPr>
        <w:t>。</w:t>
      </w:r>
    </w:p>
    <w:p w14:paraId="2758FE1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w:t>
      </w:r>
      <w:r>
        <w:rPr>
          <w:rFonts w:hint="eastAsia" w:ascii="仿宋" w:hAnsi="仿宋" w:eastAsia="仿宋" w:cs="仿宋"/>
          <w:color w:val="auto"/>
          <w:sz w:val="28"/>
          <w:szCs w:val="28"/>
          <w:highlight w:val="none"/>
        </w:rPr>
        <w:t>向乙方提供施工场地，保证进出场地的道路畅通，同时提供施工用水、用电接驳点（水电费用由乙方承担）。</w:t>
      </w:r>
    </w:p>
    <w:p w14:paraId="1DC6791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协助乙方做好与工地现场相关单位的工作关系。</w:t>
      </w:r>
    </w:p>
    <w:p w14:paraId="43C9E93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rPr>
        <w:t>及时对乙方提交有关工程的联系单、工程签证、进度安排、进度款支付申请和开展结算审核等予以回复。</w:t>
      </w:r>
    </w:p>
    <w:p w14:paraId="735DE24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收到乙方所提交的完整竣工结算资料后，委托中介造价咨询公司办理结算审核，双方应相互配合争取在</w:t>
      </w:r>
      <w:r>
        <w:rPr>
          <w:rFonts w:hint="eastAsia" w:ascii="仿宋" w:hAnsi="仿宋" w:eastAsia="仿宋" w:cs="仿宋"/>
          <w:color w:val="auto"/>
          <w:sz w:val="28"/>
          <w:szCs w:val="28"/>
          <w:highlight w:val="none"/>
          <w:lang w:val="en-US" w:eastAsia="zh-CN"/>
        </w:rPr>
        <w:t>15</w:t>
      </w:r>
      <w:r>
        <w:rPr>
          <w:rFonts w:hint="eastAsia" w:ascii="仿宋" w:hAnsi="仿宋" w:eastAsia="仿宋" w:cs="仿宋"/>
          <w:color w:val="auto"/>
          <w:sz w:val="28"/>
          <w:szCs w:val="28"/>
          <w:highlight w:val="none"/>
        </w:rPr>
        <w:t>个日历天内完成审核、确认结算造价工作。</w:t>
      </w:r>
    </w:p>
    <w:p w14:paraId="1F6E787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6.</w:t>
      </w:r>
      <w:r>
        <w:rPr>
          <w:rFonts w:hint="eastAsia" w:ascii="仿宋" w:hAnsi="仿宋" w:eastAsia="仿宋" w:cs="仿宋"/>
          <w:color w:val="auto"/>
          <w:sz w:val="28"/>
          <w:szCs w:val="28"/>
          <w:highlight w:val="none"/>
        </w:rPr>
        <w:t>负责协调运输道路等工作，以免影响乙方正常施工。</w:t>
      </w:r>
    </w:p>
    <w:p w14:paraId="5D45C52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7.</w:t>
      </w:r>
      <w:r>
        <w:rPr>
          <w:rFonts w:hint="eastAsia" w:ascii="仿宋" w:hAnsi="仿宋" w:eastAsia="仿宋" w:cs="仿宋"/>
          <w:color w:val="auto"/>
          <w:sz w:val="28"/>
          <w:szCs w:val="28"/>
          <w:highlight w:val="none"/>
        </w:rPr>
        <w:t>若甲方未能按合同约定支付工程款的，按照</w:t>
      </w:r>
      <w:r>
        <w:rPr>
          <w:rFonts w:hint="eastAsia" w:ascii="仿宋" w:hAnsi="仿宋" w:eastAsia="仿宋" w:cs="仿宋"/>
          <w:color w:val="auto"/>
          <w:sz w:val="28"/>
          <w:szCs w:val="28"/>
          <w:highlight w:val="none"/>
          <w:lang w:eastAsia="zh-CN"/>
        </w:rPr>
        <w:t>“当期一年期</w:t>
      </w:r>
      <w:r>
        <w:rPr>
          <w:rFonts w:hint="eastAsia" w:ascii="仿宋" w:hAnsi="仿宋" w:eastAsia="仿宋" w:cs="仿宋"/>
          <w:color w:val="auto"/>
          <w:sz w:val="28"/>
          <w:szCs w:val="28"/>
          <w:highlight w:val="none"/>
        </w:rPr>
        <w:t>贷款市场报价利率</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（LPR）</w:t>
      </w:r>
      <w:r>
        <w:rPr>
          <w:rFonts w:hint="eastAsia" w:ascii="仿宋" w:hAnsi="仿宋" w:eastAsia="仿宋" w:cs="仿宋"/>
          <w:color w:val="auto"/>
          <w:sz w:val="28"/>
          <w:szCs w:val="28"/>
          <w:highlight w:val="none"/>
          <w:lang w:eastAsia="zh-CN"/>
        </w:rPr>
        <w:t>的</w:t>
      </w:r>
      <w:r>
        <w:rPr>
          <w:rFonts w:hint="eastAsia" w:ascii="仿宋" w:hAnsi="仿宋" w:eastAsia="仿宋" w:cs="仿宋"/>
          <w:color w:val="auto"/>
          <w:sz w:val="28"/>
          <w:szCs w:val="28"/>
          <w:highlight w:val="none"/>
          <w:lang w:val="en-US" w:eastAsia="zh-CN"/>
        </w:rPr>
        <w:t>1.5倍向乙方支付逾期付款违约金。</w:t>
      </w:r>
      <w:r>
        <w:rPr>
          <w:rFonts w:hint="eastAsia" w:ascii="仿宋" w:hAnsi="仿宋" w:eastAsia="仿宋" w:cs="仿宋"/>
          <w:color w:val="auto"/>
          <w:sz w:val="28"/>
          <w:szCs w:val="28"/>
          <w:highlight w:val="none"/>
        </w:rPr>
        <w:t>（双方经友好协商达成补充协议的除外）</w:t>
      </w:r>
    </w:p>
    <w:p w14:paraId="253B714D">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8.由于合同继续履行将损害国家利益和社会公共利益的，合同各方可变更、中止或者终止合同，有过错一方应当承担赔偿责任。</w:t>
      </w:r>
      <w:r>
        <w:rPr>
          <w:rFonts w:hint="eastAsia" w:ascii="仿宋" w:hAnsi="仿宋" w:eastAsia="仿宋" w:cs="仿宋"/>
          <w:color w:val="auto"/>
          <w:sz w:val="28"/>
          <w:szCs w:val="28"/>
          <w:highlight w:val="none"/>
        </w:rPr>
        <w:t>（双方经友好协商达成补充协议的除外）。</w:t>
      </w:r>
    </w:p>
    <w:p w14:paraId="63BD4C2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乙方责任</w:t>
      </w:r>
    </w:p>
    <w:p w14:paraId="35950A3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w:t>
      </w:r>
      <w:r>
        <w:rPr>
          <w:rFonts w:hint="eastAsia" w:ascii="仿宋" w:hAnsi="仿宋" w:eastAsia="仿宋" w:cs="仿宋"/>
          <w:color w:val="auto"/>
          <w:sz w:val="28"/>
          <w:szCs w:val="28"/>
          <w:highlight w:val="none"/>
        </w:rPr>
        <w:t>委派工程现场负责人负责对本工程施工期间的全面管理。</w:t>
      </w:r>
    </w:p>
    <w:p w14:paraId="7AF88DE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w:t>
      </w:r>
      <w:r>
        <w:rPr>
          <w:rFonts w:hint="eastAsia" w:ascii="仿宋" w:hAnsi="仿宋" w:eastAsia="仿宋" w:cs="仿宋"/>
          <w:color w:val="auto"/>
          <w:sz w:val="28"/>
          <w:szCs w:val="28"/>
          <w:highlight w:val="none"/>
          <w:lang w:val="en-US" w:eastAsia="zh"/>
        </w:rPr>
        <w:t>.</w:t>
      </w:r>
      <w:r>
        <w:rPr>
          <w:rFonts w:hint="eastAsia" w:ascii="仿宋" w:hAnsi="仿宋" w:eastAsia="仿宋" w:cs="仿宋"/>
          <w:color w:val="auto"/>
          <w:sz w:val="28"/>
          <w:szCs w:val="28"/>
          <w:highlight w:val="none"/>
        </w:rPr>
        <w:t>根据相关规范、图纸、预算工程量清单、采购文件、施工合同等的要求进行施工，完成承包范围内的施工工作。</w:t>
      </w:r>
    </w:p>
    <w:p w14:paraId="7E188D04">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rPr>
        <w:t>根据现场</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需要导致工程量增减的，乙方要做好施工过程资料记录，并通知甲方现场代表对现场发生工程量进行见证。乙方须考虑办理上述手续所需的合理时间，提前就施工中遇到的问题与甲方进行联系。</w:t>
      </w:r>
    </w:p>
    <w:p w14:paraId="0945CBF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rPr>
        <w:t>按合同规定及时组织能满足工程进度和质量要求的人力、施工机械和材料进场。</w:t>
      </w:r>
    </w:p>
    <w:p w14:paraId="21EB81F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按相关安全法规进行安全施工，遵守甲方对施工现场有关施工噪音、环境保护、安全生产、文明施工等管理规定，承担在施工过程中的防火、防盗、防止事故发生等安全责任。若出现安全问题，一切责任由乙方承担。</w:t>
      </w:r>
    </w:p>
    <w:p w14:paraId="5FA2BB7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6.</w:t>
      </w:r>
      <w:r>
        <w:rPr>
          <w:rFonts w:hint="eastAsia" w:ascii="仿宋" w:hAnsi="仿宋" w:eastAsia="仿宋" w:cs="仿宋"/>
          <w:color w:val="auto"/>
          <w:sz w:val="28"/>
          <w:szCs w:val="28"/>
          <w:highlight w:val="none"/>
        </w:rPr>
        <w:t>必须采购全新未使用过的材料、设备，其质量必须符合相关规范、采购文件、图纸等的要求。</w:t>
      </w:r>
    </w:p>
    <w:p w14:paraId="3E39846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7.</w:t>
      </w:r>
      <w:r>
        <w:rPr>
          <w:rFonts w:hint="eastAsia" w:ascii="仿宋" w:hAnsi="仿宋" w:eastAsia="仿宋" w:cs="仿宋"/>
          <w:color w:val="auto"/>
          <w:sz w:val="28"/>
          <w:szCs w:val="28"/>
          <w:highlight w:val="none"/>
        </w:rPr>
        <w:t>工程竣工验收合格后，应及时编制结算书，整理结算资料，送甲方审核。</w:t>
      </w:r>
    </w:p>
    <w:p w14:paraId="238387A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8.</w:t>
      </w:r>
      <w:r>
        <w:rPr>
          <w:rFonts w:hint="eastAsia" w:ascii="仿宋" w:hAnsi="仿宋" w:eastAsia="仿宋" w:cs="仿宋"/>
          <w:color w:val="auto"/>
          <w:sz w:val="28"/>
          <w:szCs w:val="28"/>
          <w:highlight w:val="none"/>
        </w:rPr>
        <w:t>认真做好质量自检、施工记录等，为甲方的检查监督提供便利条件。如工程质量不合格或达不到相关规范、采购文件和施工图纸的要求，甲方一经发现，有权要求乙方拆除和重新施工，由此产生的一切费用和工期延误由乙方承担。</w:t>
      </w:r>
    </w:p>
    <w:p w14:paraId="39EBDC7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9.</w:t>
      </w:r>
      <w:r>
        <w:rPr>
          <w:rFonts w:hint="eastAsia" w:ascii="仿宋" w:hAnsi="仿宋" w:eastAsia="仿宋" w:cs="仿宋"/>
          <w:color w:val="auto"/>
          <w:sz w:val="28"/>
          <w:szCs w:val="28"/>
          <w:highlight w:val="none"/>
        </w:rPr>
        <w:t>施工过程产生的垃圾由乙方自行清运出场，垃圾清运费用由乙方自行承担。</w:t>
      </w:r>
    </w:p>
    <w:p w14:paraId="57ED7C6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10.</w:t>
      </w:r>
      <w:r>
        <w:rPr>
          <w:rFonts w:hint="eastAsia" w:ascii="仿宋" w:hAnsi="仿宋" w:eastAsia="仿宋" w:cs="仿宋"/>
          <w:color w:val="auto"/>
          <w:sz w:val="28"/>
          <w:szCs w:val="28"/>
          <w:highlight w:val="none"/>
        </w:rPr>
        <w:t>工程交付甲方前，应负责已完工分部分项工程的成品保护工作（包括乙方及其他施工单位完成的内容），在此期间发生损坏的，由乙方自费修复原状。</w:t>
      </w:r>
    </w:p>
    <w:p w14:paraId="61D7FD6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11.</w:t>
      </w:r>
      <w:r>
        <w:rPr>
          <w:rFonts w:hint="eastAsia" w:ascii="仿宋" w:hAnsi="仿宋" w:eastAsia="仿宋" w:cs="仿宋"/>
          <w:color w:val="auto"/>
          <w:sz w:val="28"/>
          <w:szCs w:val="28"/>
          <w:highlight w:val="none"/>
        </w:rPr>
        <w:t>按约定工期完成承包施工内容，交付甲方使用；由于乙方原因出现工期延误，须支付违约金给甲方，每逾期一天，支付违约金人民币</w:t>
      </w:r>
      <w:r>
        <w:rPr>
          <w:rFonts w:hint="eastAsia" w:ascii="仿宋" w:hAnsi="仿宋" w:eastAsia="仿宋" w:cs="仿宋"/>
          <w:color w:val="auto"/>
          <w:sz w:val="28"/>
          <w:szCs w:val="28"/>
          <w:highlight w:val="none"/>
          <w:u w:val="single"/>
          <w:lang w:val="en-US" w:eastAsia="zh-CN"/>
        </w:rPr>
        <w:t xml:space="preserve"> 1000.00元 </w:t>
      </w:r>
      <w:r>
        <w:rPr>
          <w:rFonts w:hint="eastAsia" w:ascii="仿宋" w:hAnsi="仿宋" w:eastAsia="仿宋" w:cs="仿宋"/>
          <w:color w:val="auto"/>
          <w:sz w:val="28"/>
          <w:szCs w:val="28"/>
          <w:highlight w:val="none"/>
        </w:rPr>
        <w:t>，违约金由甲方在工程结算款中扣除。如工程进度出现明显滞后，甲方有权另行委托施工单位进场施工，所发生工程款在本项目合同工程款内扣除，乙方不得向甲方提起任何异议。</w:t>
      </w:r>
    </w:p>
    <w:p w14:paraId="2CC2A21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
        </w:rPr>
        <w:t>12.</w:t>
      </w:r>
      <w:r>
        <w:rPr>
          <w:rFonts w:hint="eastAsia" w:ascii="仿宋" w:hAnsi="仿宋" w:eastAsia="仿宋" w:cs="仿宋"/>
          <w:color w:val="auto"/>
          <w:sz w:val="28"/>
          <w:szCs w:val="28"/>
          <w:highlight w:val="none"/>
        </w:rPr>
        <w:t>乙方应确保工程质量达到合格的验收标准。</w:t>
      </w:r>
      <w:r>
        <w:rPr>
          <w:rFonts w:hint="eastAsia" w:ascii="仿宋" w:hAnsi="仿宋" w:eastAsia="仿宋" w:cs="仿宋"/>
          <w:color w:val="auto"/>
          <w:sz w:val="28"/>
          <w:szCs w:val="28"/>
          <w:highlight w:val="none"/>
          <w:lang w:eastAsia="zh-CN"/>
        </w:rPr>
        <w:t>因乙方原因导致工程质量不合格的，</w:t>
      </w:r>
      <w:r>
        <w:rPr>
          <w:rFonts w:hint="eastAsia" w:ascii="仿宋" w:hAnsi="仿宋" w:eastAsia="仿宋" w:cs="仿宋"/>
          <w:color w:val="auto"/>
          <w:sz w:val="28"/>
          <w:szCs w:val="28"/>
          <w:highlight w:val="none"/>
        </w:rPr>
        <w:t>甲方有权要求乙方整改，乙方拒不整改或逾期整改，甲方有权解除合同，要求乙方承担</w:t>
      </w:r>
      <w:r>
        <w:rPr>
          <w:rFonts w:hint="eastAsia" w:ascii="仿宋" w:hAnsi="仿宋" w:eastAsia="仿宋" w:cs="仿宋"/>
          <w:color w:val="auto"/>
          <w:sz w:val="28"/>
          <w:szCs w:val="28"/>
          <w:highlight w:val="none"/>
          <w:lang w:eastAsia="zh-CN"/>
        </w:rPr>
        <w:t>单项施工任务合同金额</w:t>
      </w:r>
      <w:r>
        <w:rPr>
          <w:rFonts w:hint="eastAsia" w:ascii="仿宋" w:hAnsi="仿宋" w:eastAsia="仿宋" w:cs="仿宋"/>
          <w:color w:val="auto"/>
          <w:sz w:val="28"/>
          <w:szCs w:val="28"/>
          <w:highlight w:val="none"/>
          <w:lang w:val="en-US" w:eastAsia="zh-CN"/>
        </w:rPr>
        <w:t>10%的</w:t>
      </w:r>
      <w:r>
        <w:rPr>
          <w:rFonts w:hint="eastAsia" w:ascii="仿宋" w:hAnsi="仿宋" w:eastAsia="仿宋" w:cs="仿宋"/>
          <w:color w:val="auto"/>
          <w:sz w:val="28"/>
          <w:szCs w:val="28"/>
          <w:highlight w:val="none"/>
        </w:rPr>
        <w:t>违约金。乙方整改，造成工期延误的，按照第十条第</w:t>
      </w:r>
      <w:r>
        <w:rPr>
          <w:rFonts w:hint="eastAsia" w:ascii="仿宋" w:hAnsi="仿宋" w:eastAsia="仿宋" w:cs="仿宋"/>
          <w:color w:val="auto"/>
          <w:sz w:val="28"/>
          <w:szCs w:val="28"/>
          <w:highlight w:val="none"/>
          <w:lang w:val="en-US" w:eastAsia="zh-CN"/>
        </w:rPr>
        <w:t>（二）</w:t>
      </w:r>
      <w:r>
        <w:rPr>
          <w:rFonts w:hint="eastAsia" w:ascii="仿宋" w:hAnsi="仿宋" w:eastAsia="仿宋" w:cs="仿宋"/>
          <w:color w:val="auto"/>
          <w:sz w:val="28"/>
          <w:szCs w:val="28"/>
          <w:highlight w:val="none"/>
        </w:rPr>
        <w:t>款第11项处理。</w:t>
      </w:r>
    </w:p>
    <w:p w14:paraId="2C7E3C5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13.</w:t>
      </w:r>
      <w:r>
        <w:rPr>
          <w:rFonts w:hint="eastAsia" w:ascii="仿宋" w:hAnsi="仿宋" w:eastAsia="仿宋" w:cs="仿宋"/>
          <w:color w:val="auto"/>
          <w:sz w:val="28"/>
          <w:szCs w:val="28"/>
          <w:highlight w:val="none"/>
        </w:rPr>
        <w:t>乙方应在工程竣工验收后1</w:t>
      </w: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个日历天内向甲方提交竣工</w:t>
      </w:r>
      <w:bookmarkStart w:id="279" w:name="_GoBack"/>
      <w:bookmarkEnd w:id="279"/>
      <w:r>
        <w:rPr>
          <w:rFonts w:hint="eastAsia" w:ascii="仿宋" w:hAnsi="仿宋" w:eastAsia="仿宋" w:cs="仿宋"/>
          <w:color w:val="auto"/>
          <w:sz w:val="28"/>
          <w:szCs w:val="28"/>
          <w:highlight w:val="none"/>
        </w:rPr>
        <w:t>结算书以及其他完整的竣工结算资料，并与甲方委托的造价咨询公司核对工程价款，双方应相互配合争取在</w:t>
      </w:r>
      <w:r>
        <w:rPr>
          <w:rFonts w:hint="eastAsia" w:ascii="仿宋" w:hAnsi="仿宋" w:eastAsia="仿宋" w:cs="仿宋"/>
          <w:color w:val="auto"/>
          <w:sz w:val="28"/>
          <w:szCs w:val="28"/>
          <w:highlight w:val="none"/>
          <w:lang w:val="en-US" w:eastAsia="zh-CN"/>
        </w:rPr>
        <w:t>15</w:t>
      </w:r>
      <w:r>
        <w:rPr>
          <w:rFonts w:hint="eastAsia" w:ascii="仿宋" w:hAnsi="仿宋" w:eastAsia="仿宋" w:cs="仿宋"/>
          <w:color w:val="auto"/>
          <w:sz w:val="28"/>
          <w:szCs w:val="28"/>
          <w:highlight w:val="none"/>
        </w:rPr>
        <w:t>个日历天内完成结算。</w:t>
      </w:r>
    </w:p>
    <w:p w14:paraId="1D628B13">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24CF023D">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十一、转包与分包</w:t>
      </w:r>
    </w:p>
    <w:p w14:paraId="0B3B0DF8">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未经合同双方共同书面同意，任何一方不得单方全部或部分转让其在本合同项下的权利和义务。乙方不得转包、违法分包、挂靠，否则甲方有权解除合同。</w:t>
      </w:r>
    </w:p>
    <w:p w14:paraId="2C9EB69B">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1FF7C15A">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十</w:t>
      </w:r>
      <w:r>
        <w:rPr>
          <w:rFonts w:hint="eastAsia" w:ascii="仿宋" w:hAnsi="仿宋" w:eastAsia="仿宋" w:cs="仿宋"/>
          <w:b/>
          <w:bCs/>
          <w:color w:val="auto"/>
          <w:sz w:val="28"/>
          <w:szCs w:val="28"/>
          <w:highlight w:val="none"/>
          <w:lang w:eastAsia="zh-CN"/>
        </w:rPr>
        <w:t>二、</w:t>
      </w:r>
      <w:r>
        <w:rPr>
          <w:rFonts w:hint="eastAsia" w:ascii="仿宋" w:hAnsi="仿宋" w:eastAsia="仿宋" w:cs="仿宋"/>
          <w:b/>
          <w:bCs/>
          <w:color w:val="auto"/>
          <w:sz w:val="28"/>
          <w:szCs w:val="28"/>
          <w:highlight w:val="none"/>
        </w:rPr>
        <w:t>合同终止</w:t>
      </w:r>
    </w:p>
    <w:p w14:paraId="48D9CC53">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    有下列情形之一的，合同权利义务终止：</w:t>
      </w:r>
    </w:p>
    <w:p w14:paraId="3090A3B1">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560" w:firstLine="0" w:firstLineChars="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rPr>
        <w:t>本合同按约定履行完毕；</w:t>
      </w:r>
    </w:p>
    <w:p w14:paraId="6C7BA1B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本合同经双方协商一致而终止；</w:t>
      </w:r>
    </w:p>
    <w:p w14:paraId="61C1403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highlight w:val="none"/>
        </w:rPr>
      </w:pPr>
      <w:r>
        <w:rPr>
          <w:rFonts w:hint="eastAsia" w:ascii="仿宋" w:hAnsi="仿宋" w:eastAsia="仿宋" w:cs="仿宋"/>
          <w:color w:val="auto"/>
          <w:sz w:val="28"/>
          <w:szCs w:val="28"/>
          <w:highlight w:val="none"/>
          <w:lang w:eastAsia="zh-CN"/>
        </w:rPr>
        <w:t>（三）单项施工任务合同，如乙方出现违约的情况，甲方有权单方面解除本合同，后续不再继续委托乙方施工，甲方有权对尚未完成时间部分的框架约定重新确定其他适格主体</w:t>
      </w:r>
      <w:r>
        <w:rPr>
          <w:rFonts w:hint="eastAsia" w:ascii="仿宋" w:hAnsi="仿宋" w:eastAsia="仿宋" w:cs="仿宋"/>
          <w:color w:val="auto"/>
          <w:sz w:val="28"/>
          <w:szCs w:val="28"/>
          <w:highlight w:val="none"/>
        </w:rPr>
        <w:t>；</w:t>
      </w:r>
    </w:p>
    <w:p w14:paraId="40101407">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（四）</w:t>
      </w:r>
      <w:r>
        <w:rPr>
          <w:rFonts w:hint="eastAsia" w:ascii="仿宋" w:hAnsi="仿宋" w:eastAsia="仿宋" w:cs="仿宋"/>
          <w:color w:val="auto"/>
          <w:sz w:val="28"/>
          <w:szCs w:val="28"/>
          <w:highlight w:val="none"/>
        </w:rPr>
        <w:t>本合同约定或法律法规规定终止的其他情形。如因乙方存在违反法律法规和各项规章制度、损害甲方合法权益、违反保密义务等严重违约行为，甲方有权终止合同，并追究其违约责任。</w:t>
      </w:r>
    </w:p>
    <w:p w14:paraId="1E08FC4C">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676B4839">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eastAsia="zh-CN"/>
        </w:rPr>
        <w:t>十三、</w:t>
      </w:r>
      <w:r>
        <w:rPr>
          <w:rFonts w:hint="eastAsia" w:ascii="仿宋" w:hAnsi="仿宋" w:eastAsia="仿宋" w:cs="仿宋"/>
          <w:b/>
          <w:bCs/>
          <w:color w:val="auto"/>
          <w:sz w:val="28"/>
          <w:szCs w:val="28"/>
          <w:highlight w:val="none"/>
        </w:rPr>
        <w:t>适用法律条款</w:t>
      </w:r>
    </w:p>
    <w:p w14:paraId="2C670F5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本合同的订立、效力、解释、履行和争议的解决均适用中华人民共和国</w:t>
      </w:r>
      <w:r>
        <w:rPr>
          <w:rFonts w:hint="eastAsia" w:ascii="仿宋" w:hAnsi="仿宋" w:eastAsia="仿宋" w:cs="仿宋"/>
          <w:color w:val="auto"/>
          <w:sz w:val="28"/>
          <w:szCs w:val="28"/>
          <w:highlight w:val="none"/>
          <w:lang w:eastAsia="zh-CN"/>
        </w:rPr>
        <w:t>大陆地区</w:t>
      </w:r>
      <w:r>
        <w:rPr>
          <w:rFonts w:hint="eastAsia" w:ascii="仿宋" w:hAnsi="仿宋" w:eastAsia="仿宋" w:cs="仿宋"/>
          <w:color w:val="auto"/>
          <w:sz w:val="28"/>
          <w:szCs w:val="28"/>
          <w:highlight w:val="none"/>
        </w:rPr>
        <w:t>法律规定。</w:t>
      </w:r>
    </w:p>
    <w:p w14:paraId="03467929">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550B5713">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十</w:t>
      </w:r>
      <w:r>
        <w:rPr>
          <w:rFonts w:hint="eastAsia" w:ascii="仿宋" w:hAnsi="仿宋" w:eastAsia="仿宋" w:cs="仿宋"/>
          <w:b/>
          <w:bCs/>
          <w:color w:val="auto"/>
          <w:sz w:val="28"/>
          <w:szCs w:val="28"/>
          <w:highlight w:val="none"/>
          <w:lang w:eastAsia="zh-CN"/>
        </w:rPr>
        <w:t>四、争议</w:t>
      </w:r>
      <w:r>
        <w:rPr>
          <w:rFonts w:hint="eastAsia" w:ascii="仿宋" w:hAnsi="仿宋" w:eastAsia="仿宋" w:cs="仿宋"/>
          <w:b/>
          <w:bCs/>
          <w:color w:val="auto"/>
          <w:sz w:val="28"/>
          <w:szCs w:val="28"/>
          <w:highlight w:val="none"/>
        </w:rPr>
        <w:t>的解决</w:t>
      </w:r>
    </w:p>
    <w:p w14:paraId="5923FA4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凡因执行本合同所发生的或与本合同有关的一切争议，合同双方应通过友好协商解决；如果协商不能解决的，任何一方均可向本合同建设工程所在地/甲方所在地有管辖权的人民法院提起诉讼。</w:t>
      </w:r>
    </w:p>
    <w:p w14:paraId="604629A9">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62B69966">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val="en-US" w:eastAsia="zh-CN"/>
        </w:rPr>
        <w:t>十五、知识产权</w:t>
      </w:r>
      <w:r>
        <w:rPr>
          <w:rFonts w:hint="eastAsia" w:ascii="仿宋" w:hAnsi="仿宋" w:eastAsia="仿宋" w:cs="仿宋"/>
          <w:b/>
          <w:bCs/>
          <w:color w:val="auto"/>
          <w:sz w:val="28"/>
          <w:szCs w:val="28"/>
          <w:highlight w:val="none"/>
          <w:lang w:val="en-US" w:eastAsia="zh-Hans"/>
        </w:rPr>
        <w:t>及保密</w:t>
      </w:r>
    </w:p>
    <w:p w14:paraId="39C4203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（一）甲方知识产权归属。</w:t>
      </w:r>
      <w:r>
        <w:rPr>
          <w:rFonts w:hint="eastAsia" w:ascii="仿宋" w:hAnsi="仿宋" w:eastAsia="仿宋" w:cs="仿宋"/>
          <w:color w:val="auto"/>
          <w:sz w:val="28"/>
          <w:szCs w:val="28"/>
          <w:highlight w:val="none"/>
        </w:rPr>
        <w:t>关于</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提供给</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的图纸、</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为实施工程自行编制或委托编制的技术规范以及反映</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关于合同要求或其他类似性质的文件的著作权的归属</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提供给</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的图纸、技术规范等文件的著作权归属</w:t>
      </w:r>
      <w:r>
        <w:rPr>
          <w:rFonts w:hint="eastAsia" w:ascii="仿宋" w:hAnsi="仿宋" w:eastAsia="仿宋" w:cs="仿宋"/>
          <w:color w:val="auto"/>
          <w:sz w:val="28"/>
          <w:szCs w:val="28"/>
          <w:highlight w:val="none"/>
          <w:lang w:eastAsia="zh-CN"/>
        </w:rPr>
        <w:t>甲方。甲方</w:t>
      </w:r>
      <w:r>
        <w:rPr>
          <w:rFonts w:hint="eastAsia" w:ascii="仿宋" w:hAnsi="仿宋" w:eastAsia="仿宋" w:cs="仿宋"/>
          <w:color w:val="auto"/>
          <w:sz w:val="28"/>
          <w:szCs w:val="28"/>
          <w:highlight w:val="none"/>
        </w:rPr>
        <w:t>提供的上述文件仅限于在本工程使用</w:t>
      </w:r>
      <w:r>
        <w:rPr>
          <w:rFonts w:hint="eastAsia" w:ascii="仿宋" w:hAnsi="仿宋" w:eastAsia="仿宋" w:cs="仿宋"/>
          <w:color w:val="auto"/>
          <w:sz w:val="28"/>
          <w:szCs w:val="28"/>
          <w:highlight w:val="none"/>
          <w:lang w:eastAsia="zh-CN"/>
        </w:rPr>
        <w:t>。</w:t>
      </w:r>
    </w:p>
    <w:p w14:paraId="4E464E7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（二）乙方知识产权</w:t>
      </w:r>
      <w:r>
        <w:rPr>
          <w:rFonts w:hint="eastAsia" w:ascii="仿宋" w:hAnsi="仿宋" w:eastAsia="仿宋" w:cs="仿宋"/>
          <w:color w:val="auto"/>
          <w:sz w:val="28"/>
          <w:szCs w:val="28"/>
          <w:highlight w:val="none"/>
        </w:rPr>
        <w:t>归属</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为实施工程所编制</w:t>
      </w:r>
      <w:r>
        <w:rPr>
          <w:rFonts w:hint="eastAsia" w:ascii="仿宋" w:hAnsi="仿宋" w:eastAsia="仿宋" w:cs="仿宋"/>
          <w:color w:val="auto"/>
          <w:sz w:val="28"/>
          <w:szCs w:val="28"/>
          <w:highlight w:val="none"/>
          <w:lang w:eastAsia="zh-CN"/>
        </w:rPr>
        <w:t>的施工方案、竣工图、技术总结等</w:t>
      </w:r>
      <w:r>
        <w:rPr>
          <w:rFonts w:hint="eastAsia" w:ascii="仿宋" w:hAnsi="仿宋" w:eastAsia="仿宋" w:cs="仿宋"/>
          <w:color w:val="auto"/>
          <w:sz w:val="28"/>
          <w:szCs w:val="28"/>
          <w:highlight w:val="none"/>
        </w:rPr>
        <w:t>文件的著作权</w:t>
      </w:r>
      <w:r>
        <w:rPr>
          <w:rFonts w:hint="eastAsia" w:ascii="仿宋" w:hAnsi="仿宋" w:eastAsia="仿宋" w:cs="仿宋"/>
          <w:color w:val="auto"/>
          <w:sz w:val="28"/>
          <w:szCs w:val="28"/>
          <w:highlight w:val="none"/>
          <w:lang w:eastAsia="zh-CN"/>
        </w:rPr>
        <w:t>由甲方</w:t>
      </w:r>
      <w:r>
        <w:rPr>
          <w:rFonts w:hint="eastAsia" w:ascii="仿宋" w:hAnsi="仿宋" w:eastAsia="仿宋" w:cs="仿宋"/>
          <w:color w:val="auto"/>
          <w:sz w:val="28"/>
          <w:szCs w:val="28"/>
          <w:highlight w:val="none"/>
        </w:rPr>
        <w:t>和</w:t>
      </w:r>
      <w:r>
        <w:rPr>
          <w:rFonts w:hint="eastAsia" w:ascii="仿宋" w:hAnsi="仿宋" w:eastAsia="仿宋" w:cs="仿宋"/>
          <w:color w:val="auto"/>
          <w:sz w:val="28"/>
          <w:szCs w:val="28"/>
          <w:highlight w:val="none"/>
          <w:lang w:eastAsia="zh-CN"/>
        </w:rPr>
        <w:t>乙方共同享有</w:t>
      </w:r>
      <w:r>
        <w:rPr>
          <w:rFonts w:hint="eastAsia" w:ascii="仿宋" w:hAnsi="仿宋" w:eastAsia="仿宋" w:cs="仿宋"/>
          <w:color w:val="auto"/>
          <w:sz w:val="28"/>
          <w:szCs w:val="28"/>
          <w:highlight w:val="none"/>
        </w:rPr>
        <w:t>。</w:t>
      </w:r>
      <w:r>
        <w:rPr>
          <w:rFonts w:hint="eastAsia" w:ascii="仿宋" w:hAnsi="仿宋" w:eastAsia="仿宋" w:cs="仿宋"/>
          <w:color w:val="auto"/>
          <w:sz w:val="28"/>
          <w:szCs w:val="28"/>
          <w:highlight w:val="none"/>
          <w:lang w:eastAsia="zh-CN"/>
        </w:rPr>
        <w:t>甲方有权在本工程及甲方管理的其他工程中无偿使用上述文件。</w:t>
      </w:r>
    </w:p>
    <w:p w14:paraId="130A22C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三</w:t>
      </w:r>
      <w:r>
        <w:rPr>
          <w:rFonts w:hint="eastAsia" w:ascii="仿宋" w:hAnsi="仿宋" w:eastAsia="仿宋" w:cs="仿宋"/>
          <w:color w:val="auto"/>
          <w:sz w:val="28"/>
          <w:szCs w:val="28"/>
          <w:highlight w:val="none"/>
          <w:lang w:eastAsia="zh-CN"/>
        </w:rPr>
        <w:t>）技术使用费承担。乙方</w:t>
      </w:r>
      <w:r>
        <w:rPr>
          <w:rFonts w:hint="eastAsia" w:ascii="仿宋" w:hAnsi="仿宋" w:eastAsia="仿宋" w:cs="仿宋"/>
          <w:color w:val="auto"/>
          <w:sz w:val="28"/>
          <w:szCs w:val="28"/>
          <w:highlight w:val="none"/>
        </w:rPr>
        <w:t>在施工过程中所</w:t>
      </w:r>
      <w:r>
        <w:rPr>
          <w:rFonts w:hint="eastAsia" w:ascii="仿宋" w:hAnsi="仿宋" w:eastAsia="仿宋" w:cs="仿宋"/>
          <w:color w:val="auto"/>
          <w:sz w:val="28"/>
          <w:szCs w:val="28"/>
          <w:highlight w:val="none"/>
          <w:lang w:eastAsia="zh-CN"/>
        </w:rPr>
        <w:t>使</w:t>
      </w:r>
      <w:r>
        <w:rPr>
          <w:rFonts w:hint="eastAsia" w:ascii="仿宋" w:hAnsi="仿宋" w:eastAsia="仿宋" w:cs="仿宋"/>
          <w:color w:val="auto"/>
          <w:sz w:val="28"/>
          <w:szCs w:val="28"/>
          <w:highlight w:val="none"/>
        </w:rPr>
        <w:t>用的专利、专有技术、技术秘密的</w:t>
      </w:r>
      <w:r>
        <w:rPr>
          <w:rFonts w:hint="eastAsia" w:ascii="仿宋" w:hAnsi="仿宋" w:eastAsia="仿宋" w:cs="仿宋"/>
          <w:color w:val="auto"/>
          <w:sz w:val="28"/>
          <w:szCs w:val="28"/>
          <w:highlight w:val="none"/>
          <w:lang w:eastAsia="zh-CN"/>
        </w:rPr>
        <w:t>相关许可</w:t>
      </w:r>
      <w:r>
        <w:rPr>
          <w:rFonts w:hint="eastAsia" w:ascii="仿宋" w:hAnsi="仿宋" w:eastAsia="仿宋" w:cs="仿宋"/>
          <w:color w:val="auto"/>
          <w:sz w:val="28"/>
          <w:szCs w:val="28"/>
          <w:highlight w:val="none"/>
        </w:rPr>
        <w:t>使用费</w:t>
      </w:r>
      <w:r>
        <w:rPr>
          <w:rFonts w:hint="eastAsia" w:ascii="仿宋" w:hAnsi="仿宋" w:eastAsia="仿宋" w:cs="仿宋"/>
          <w:color w:val="auto"/>
          <w:sz w:val="28"/>
          <w:szCs w:val="28"/>
          <w:highlight w:val="none"/>
          <w:lang w:eastAsia="zh-CN"/>
        </w:rPr>
        <w:t>，均已包含在合同价款中，</w:t>
      </w:r>
      <w:r>
        <w:rPr>
          <w:rFonts w:hint="eastAsia" w:ascii="仿宋" w:hAnsi="仿宋" w:eastAsia="仿宋" w:cs="仿宋"/>
          <w:color w:val="auto"/>
          <w:sz w:val="28"/>
          <w:szCs w:val="28"/>
          <w:highlight w:val="none"/>
        </w:rPr>
        <w:t>由</w:t>
      </w:r>
      <w:r>
        <w:rPr>
          <w:rFonts w:hint="eastAsia" w:ascii="仿宋" w:hAnsi="仿宋" w:eastAsia="仿宋" w:cs="仿宋"/>
          <w:color w:val="auto"/>
          <w:sz w:val="28"/>
          <w:szCs w:val="28"/>
          <w:highlight w:val="none"/>
          <w:lang w:eastAsia="zh-CN"/>
        </w:rPr>
        <w:t>乙方</w:t>
      </w:r>
      <w:r>
        <w:rPr>
          <w:rFonts w:hint="eastAsia" w:ascii="仿宋" w:hAnsi="仿宋" w:eastAsia="仿宋" w:cs="仿宋"/>
          <w:color w:val="auto"/>
          <w:sz w:val="28"/>
          <w:szCs w:val="28"/>
          <w:highlight w:val="none"/>
        </w:rPr>
        <w:t>承担。</w:t>
      </w:r>
    </w:p>
    <w:p w14:paraId="4C5229B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四</w:t>
      </w:r>
      <w:r>
        <w:rPr>
          <w:rFonts w:hint="eastAsia" w:ascii="仿宋" w:hAnsi="仿宋" w:eastAsia="仿宋" w:cs="仿宋"/>
          <w:color w:val="auto"/>
          <w:sz w:val="28"/>
          <w:szCs w:val="28"/>
          <w:highlight w:val="none"/>
          <w:lang w:eastAsia="zh-CN"/>
        </w:rPr>
        <w:t>）保密义务。</w:t>
      </w:r>
      <w:r>
        <w:rPr>
          <w:rFonts w:hint="eastAsia" w:ascii="仿宋" w:hAnsi="仿宋" w:eastAsia="仿宋" w:cs="仿宋"/>
          <w:color w:val="auto"/>
          <w:sz w:val="28"/>
          <w:szCs w:val="28"/>
          <w:highlight w:val="none"/>
        </w:rPr>
        <w:t>双方在本</w:t>
      </w:r>
      <w:r>
        <w:rPr>
          <w:rFonts w:hint="eastAsia" w:ascii="仿宋" w:hAnsi="仿宋" w:eastAsia="仿宋" w:cs="仿宋"/>
          <w:color w:val="auto"/>
          <w:sz w:val="28"/>
          <w:szCs w:val="28"/>
          <w:highlight w:val="none"/>
          <w:lang w:eastAsia="zh-CN"/>
        </w:rPr>
        <w:t>合同</w:t>
      </w:r>
      <w:r>
        <w:rPr>
          <w:rFonts w:hint="eastAsia" w:ascii="仿宋" w:hAnsi="仿宋" w:eastAsia="仿宋" w:cs="仿宋"/>
          <w:color w:val="auto"/>
          <w:sz w:val="28"/>
          <w:szCs w:val="28"/>
          <w:highlight w:val="none"/>
        </w:rPr>
        <w:t>的签订、履行过程中获得或知悉的对方公开或未公开的任何国家秘密、警务秘密、技术信息和经营信息，双方</w:t>
      </w:r>
      <w:r>
        <w:rPr>
          <w:rFonts w:hint="eastAsia" w:ascii="仿宋" w:hAnsi="仿宋" w:eastAsia="仿宋" w:cs="仿宋"/>
          <w:color w:val="auto"/>
          <w:sz w:val="28"/>
          <w:szCs w:val="28"/>
          <w:highlight w:val="none"/>
          <w:lang w:eastAsia="zh-CN"/>
        </w:rPr>
        <w:t>均</w:t>
      </w:r>
      <w:r>
        <w:rPr>
          <w:rFonts w:hint="eastAsia" w:ascii="仿宋" w:hAnsi="仿宋" w:eastAsia="仿宋" w:cs="仿宋"/>
          <w:color w:val="auto"/>
          <w:sz w:val="28"/>
          <w:szCs w:val="28"/>
          <w:highlight w:val="none"/>
        </w:rPr>
        <w:t>负有保密义务，不得向第三方披露。本</w:t>
      </w:r>
      <w:r>
        <w:rPr>
          <w:rFonts w:hint="eastAsia" w:ascii="仿宋" w:hAnsi="仿宋" w:eastAsia="仿宋" w:cs="仿宋"/>
          <w:color w:val="auto"/>
          <w:sz w:val="28"/>
          <w:szCs w:val="28"/>
          <w:highlight w:val="none"/>
          <w:lang w:eastAsia="zh-CN"/>
        </w:rPr>
        <w:t>合同</w:t>
      </w:r>
      <w:r>
        <w:rPr>
          <w:rFonts w:hint="eastAsia" w:ascii="仿宋" w:hAnsi="仿宋" w:eastAsia="仿宋" w:cs="仿宋"/>
          <w:color w:val="auto"/>
          <w:sz w:val="28"/>
          <w:szCs w:val="28"/>
          <w:highlight w:val="none"/>
        </w:rPr>
        <w:t>协议的终止、无效、变更或者解除，均不影响本保密条款的效力。</w:t>
      </w:r>
    </w:p>
    <w:p w14:paraId="1818D5B5">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49064B11">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十</w:t>
      </w:r>
      <w:r>
        <w:rPr>
          <w:rFonts w:hint="eastAsia" w:ascii="仿宋" w:hAnsi="仿宋" w:eastAsia="仿宋" w:cs="仿宋"/>
          <w:b/>
          <w:bCs/>
          <w:color w:val="auto"/>
          <w:sz w:val="28"/>
          <w:szCs w:val="28"/>
          <w:highlight w:val="none"/>
          <w:lang w:eastAsia="zh-CN"/>
        </w:rPr>
        <w:t>六、</w:t>
      </w:r>
      <w:r>
        <w:rPr>
          <w:rFonts w:hint="eastAsia" w:ascii="仿宋" w:hAnsi="仿宋" w:eastAsia="仿宋" w:cs="仿宋"/>
          <w:b/>
          <w:bCs/>
          <w:color w:val="auto"/>
          <w:sz w:val="28"/>
          <w:szCs w:val="28"/>
          <w:highlight w:val="none"/>
        </w:rPr>
        <w:t>其它</w:t>
      </w:r>
    </w:p>
    <w:p w14:paraId="6799984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（一）</w:t>
      </w:r>
      <w:r>
        <w:rPr>
          <w:rFonts w:hint="eastAsia" w:ascii="仿宋" w:hAnsi="仿宋" w:eastAsia="仿宋" w:cs="仿宋"/>
          <w:color w:val="auto"/>
          <w:sz w:val="28"/>
          <w:szCs w:val="28"/>
          <w:highlight w:val="none"/>
        </w:rPr>
        <w:t>本合同未尽事宜，由甲、乙双方友好协商，另签订补充协议。补充协议与本合同具有同等法律效力。</w:t>
      </w:r>
    </w:p>
    <w:p w14:paraId="4824C10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（二）</w:t>
      </w:r>
      <w:r>
        <w:rPr>
          <w:rFonts w:hint="eastAsia" w:ascii="仿宋" w:hAnsi="仿宋" w:eastAsia="仿宋" w:cs="仿宋"/>
          <w:color w:val="auto"/>
          <w:sz w:val="28"/>
          <w:szCs w:val="28"/>
          <w:highlight w:val="none"/>
        </w:rPr>
        <w:t>本合同</w:t>
      </w:r>
      <w:r>
        <w:rPr>
          <w:rFonts w:hint="eastAsia" w:ascii="仿宋" w:hAnsi="仿宋" w:eastAsia="仿宋" w:cs="仿宋"/>
          <w:color w:val="auto"/>
          <w:sz w:val="28"/>
          <w:szCs w:val="28"/>
          <w:highlight w:val="none"/>
          <w:lang w:eastAsia="zh-CN"/>
        </w:rPr>
        <w:t>自</w:t>
      </w:r>
      <w:r>
        <w:rPr>
          <w:rFonts w:hint="eastAsia" w:ascii="仿宋" w:hAnsi="仿宋" w:eastAsia="仿宋" w:cs="仿宋"/>
          <w:color w:val="auto"/>
          <w:sz w:val="28"/>
          <w:szCs w:val="28"/>
          <w:highlight w:val="none"/>
        </w:rPr>
        <w:t>双方签字、盖章之日起生效。</w:t>
      </w:r>
    </w:p>
    <w:p w14:paraId="6C6632D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（三）</w:t>
      </w:r>
      <w:r>
        <w:rPr>
          <w:rFonts w:hint="eastAsia" w:ascii="仿宋" w:hAnsi="仿宋" w:eastAsia="仿宋" w:cs="仿宋"/>
          <w:color w:val="auto"/>
          <w:sz w:val="28"/>
          <w:szCs w:val="28"/>
          <w:highlight w:val="none"/>
        </w:rPr>
        <w:t xml:space="preserve">任何一方违反本合同，除须承担违约责任外，还须赔偿给相对方由此造成的一切损失，包括但不限于资金占用费、利息、诉讼/仲裁费、律师费、维权交通食宿费、保全费、评估费、鉴定费及其他维权费用等。 </w:t>
      </w:r>
    </w:p>
    <w:p w14:paraId="3E7172D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（四）</w:t>
      </w:r>
      <w:r>
        <w:rPr>
          <w:rFonts w:hint="eastAsia" w:ascii="仿宋" w:hAnsi="仿宋" w:eastAsia="仿宋" w:cs="仿宋"/>
          <w:color w:val="auto"/>
          <w:sz w:val="28"/>
          <w:szCs w:val="28"/>
          <w:highlight w:val="none"/>
        </w:rPr>
        <w:t>本合同</w:t>
      </w:r>
      <w:r>
        <w:rPr>
          <w:rFonts w:hint="eastAsia" w:ascii="仿宋" w:hAnsi="仿宋" w:eastAsia="仿宋" w:cs="仿宋"/>
          <w:color w:val="auto"/>
          <w:sz w:val="28"/>
          <w:szCs w:val="28"/>
          <w:highlight w:val="none"/>
          <w:lang w:eastAsia="zh-CN"/>
        </w:rPr>
        <w:t>不属于《政府采购框架协议采购方式管理暂行办法》（财政部令第</w:t>
      </w:r>
      <w:r>
        <w:rPr>
          <w:rFonts w:hint="eastAsia" w:ascii="仿宋" w:hAnsi="仿宋" w:eastAsia="仿宋" w:cs="仿宋"/>
          <w:color w:val="auto"/>
          <w:sz w:val="28"/>
          <w:szCs w:val="28"/>
          <w:highlight w:val="none"/>
          <w:lang w:val="en-US" w:eastAsia="zh-CN"/>
        </w:rPr>
        <w:t>110号</w:t>
      </w:r>
      <w:r>
        <w:rPr>
          <w:rFonts w:hint="eastAsia" w:ascii="仿宋" w:hAnsi="仿宋" w:eastAsia="仿宋" w:cs="仿宋"/>
          <w:color w:val="auto"/>
          <w:sz w:val="28"/>
          <w:szCs w:val="28"/>
          <w:highlight w:val="none"/>
          <w:lang w:eastAsia="zh-CN"/>
        </w:rPr>
        <w:t>）规定的政府采购框架协议，不适用政府采购相关法律法规调整。</w:t>
      </w:r>
    </w:p>
    <w:p w14:paraId="1087CA8E">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（五）</w:t>
      </w:r>
      <w:r>
        <w:rPr>
          <w:rFonts w:hint="eastAsia" w:ascii="仿宋" w:hAnsi="仿宋" w:eastAsia="仿宋" w:cs="仿宋"/>
          <w:color w:val="auto"/>
          <w:sz w:val="28"/>
          <w:szCs w:val="28"/>
          <w:highlight w:val="none"/>
        </w:rPr>
        <w:t>本合同一式</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val="en-US" w:eastAsia="zh-CN"/>
        </w:rPr>
        <w:t xml:space="preserve"> 伍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份，甲方执</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val="en-US" w:eastAsia="zh-CN"/>
        </w:rPr>
        <w:t xml:space="preserve"> 肆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份、乙方执</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val="en-US" w:eastAsia="zh-CN"/>
        </w:rPr>
        <w:t xml:space="preserve"> 壹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份，具同等法律效力。</w:t>
      </w:r>
    </w:p>
    <w:p w14:paraId="0A82B88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（以下无正文）</w:t>
      </w:r>
    </w:p>
    <w:p w14:paraId="78683196">
      <w:pPr>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outlineLvl w:val="9"/>
        <w:rPr>
          <w:rFonts w:hint="eastAsia"/>
          <w:color w:val="auto"/>
          <w:sz w:val="28"/>
          <w:szCs w:val="28"/>
          <w:highlight w:val="none"/>
        </w:rPr>
      </w:pPr>
    </w:p>
    <w:p w14:paraId="1EEE05B6">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rPr>
          <w:rFonts w:hint="eastAsia" w:ascii="仿宋" w:hAnsi="仿宋" w:eastAsia="仿宋" w:cs="仿宋"/>
          <w:color w:val="auto"/>
          <w:highlight w:val="none"/>
        </w:rPr>
      </w:pPr>
    </w:p>
    <w:p w14:paraId="2474D97F">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甲方（盖章）：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乙方（盖章）：</w:t>
      </w:r>
    </w:p>
    <w:p w14:paraId="7FB29891">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中华人民共和国横琴出入境</w:t>
      </w:r>
    </w:p>
    <w:p w14:paraId="4F12B93C">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边防检查站</w:t>
      </w:r>
    </w:p>
    <w:p w14:paraId="576DC3EE">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p>
    <w:p w14:paraId="1CD19C55">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法定代表人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法定代表人</w:t>
      </w:r>
    </w:p>
    <w:p w14:paraId="25FA730B">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（或授权签约人）：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（或授权签约人）：   </w:t>
      </w:r>
    </w:p>
    <w:p w14:paraId="3AECE2E4">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rPr>
          <w:rFonts w:hint="eastAsia" w:ascii="仿宋" w:hAnsi="仿宋" w:eastAsia="仿宋" w:cs="仿宋"/>
          <w:color w:val="auto"/>
          <w:sz w:val="28"/>
          <w:szCs w:val="28"/>
          <w:highlight w:val="none"/>
        </w:rPr>
      </w:pPr>
    </w:p>
    <w:p w14:paraId="7592C41D">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rPr>
          <w:rFonts w:hint="eastAsia" w:ascii="仿宋" w:hAnsi="仿宋" w:eastAsia="仿宋" w:cs="仿宋"/>
          <w:color w:val="auto"/>
          <w:highlight w:val="none"/>
        </w:rPr>
      </w:pPr>
      <w:r>
        <w:rPr>
          <w:rFonts w:hint="eastAsia" w:ascii="仿宋" w:hAnsi="仿宋" w:eastAsia="仿宋" w:cs="仿宋"/>
          <w:color w:val="auto"/>
          <w:sz w:val="28"/>
          <w:szCs w:val="28"/>
          <w:highlight w:val="none"/>
        </w:rPr>
        <w:t xml:space="preserve">签订日期：    年   月   日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签订日期：    年   月   日</w:t>
      </w:r>
    </w:p>
    <w:bookmarkEnd w:id="144"/>
    <w:bookmarkEnd w:id="145"/>
    <w:bookmarkEnd w:id="146"/>
    <w:bookmarkEnd w:id="147"/>
    <w:bookmarkEnd w:id="148"/>
    <w:bookmarkEnd w:id="149"/>
    <w:bookmarkEnd w:id="150"/>
    <w:bookmarkEnd w:id="151"/>
    <w:p w14:paraId="06D778D9">
      <w:pPr>
        <w:pStyle w:val="19"/>
        <w:keepNext w:val="0"/>
        <w:keepLines w:val="0"/>
        <w:pageBreakBefore w:val="0"/>
        <w:widowControl w:val="0"/>
        <w:kinsoku/>
        <w:wordWrap/>
        <w:overflowPunct/>
        <w:topLinePunct w:val="0"/>
        <w:bidi w:val="0"/>
        <w:spacing w:beforeLines="0" w:afterLines="0"/>
        <w:rPr>
          <w:rFonts w:hint="eastAsia"/>
          <w:color w:val="auto"/>
          <w:highlight w:val="none"/>
        </w:rPr>
        <w:sectPr>
          <w:pgSz w:w="11906" w:h="16838"/>
          <w:pgMar w:top="1134" w:right="1134" w:bottom="1134" w:left="1134" w:header="426" w:footer="751" w:gutter="0"/>
          <w:paperSrc w:first="7"/>
          <w:pgNumType w:fmt="decimal"/>
          <w:cols w:space="0" w:num="1"/>
          <w:titlePg/>
          <w:rtlGutter w:val="0"/>
          <w:docGrid w:linePitch="312" w:charSpace="0"/>
        </w:sectPr>
      </w:pPr>
      <w:bookmarkStart w:id="154" w:name="_Toc68789539"/>
      <w:bookmarkStart w:id="155" w:name="_Toc103033233"/>
      <w:bookmarkStart w:id="156" w:name="_Toc276645578"/>
      <w:bookmarkStart w:id="157" w:name="_Toc70528467"/>
      <w:bookmarkStart w:id="158" w:name="_Toc67046893"/>
      <w:bookmarkStart w:id="159" w:name="_Toc76397761"/>
      <w:bookmarkStart w:id="160" w:name="_Toc201977165"/>
      <w:bookmarkStart w:id="161" w:name="_Toc199652098"/>
    </w:p>
    <w:p w14:paraId="66C49A09">
      <w:pPr>
        <w:widowControl w:val="0"/>
        <w:spacing w:beforeLines="0" w:afterLines="0"/>
        <w:jc w:val="center"/>
        <w:rPr>
          <w:rFonts w:hint="eastAsia" w:ascii="仿宋" w:hAnsi="仿宋" w:eastAsia="仿宋" w:cs="仿宋"/>
          <w:b w:val="0"/>
          <w:bCs/>
          <w:color w:val="auto"/>
          <w:sz w:val="44"/>
          <w:szCs w:val="44"/>
          <w:highlight w:val="none"/>
          <w:lang w:val="en-US" w:eastAsia="zh-Hans"/>
        </w:rPr>
      </w:pPr>
    </w:p>
    <w:p w14:paraId="7AFB54AE">
      <w:pPr>
        <w:widowControl w:val="0"/>
        <w:spacing w:beforeLines="0" w:afterLines="0"/>
        <w:jc w:val="center"/>
        <w:rPr>
          <w:rFonts w:hint="eastAsia" w:ascii="仿宋" w:hAnsi="仿宋" w:eastAsia="仿宋" w:cs="仿宋"/>
          <w:b w:val="0"/>
          <w:bCs/>
          <w:color w:val="auto"/>
          <w:sz w:val="44"/>
          <w:szCs w:val="44"/>
          <w:highlight w:val="none"/>
          <w:lang w:val="en-US" w:eastAsia="zh-Hans"/>
        </w:rPr>
      </w:pPr>
    </w:p>
    <w:p w14:paraId="177ACA97">
      <w:pPr>
        <w:widowControl w:val="0"/>
        <w:spacing w:beforeLines="0" w:afterLines="0"/>
        <w:jc w:val="center"/>
        <w:rPr>
          <w:rFonts w:hint="eastAsia" w:ascii="仿宋" w:hAnsi="仿宋" w:eastAsia="仿宋" w:cs="仿宋"/>
          <w:b w:val="0"/>
          <w:bCs/>
          <w:color w:val="auto"/>
          <w:sz w:val="44"/>
          <w:szCs w:val="44"/>
          <w:highlight w:val="none"/>
          <w:lang w:val="en-US" w:eastAsia="zh-Hans"/>
        </w:rPr>
      </w:pPr>
    </w:p>
    <w:p w14:paraId="36293950">
      <w:pPr>
        <w:widowControl w:val="0"/>
        <w:spacing w:beforeLines="0" w:afterLines="0"/>
        <w:jc w:val="center"/>
        <w:rPr>
          <w:rFonts w:hint="eastAsia" w:ascii="仿宋" w:hAnsi="仿宋" w:eastAsia="仿宋" w:cs="仿宋"/>
          <w:b w:val="0"/>
          <w:bCs/>
          <w:color w:val="auto"/>
          <w:sz w:val="44"/>
          <w:szCs w:val="44"/>
          <w:highlight w:val="none"/>
          <w:lang w:val="en-US" w:eastAsia="zh-Hans"/>
        </w:rPr>
      </w:pPr>
    </w:p>
    <w:p w14:paraId="456D5E67">
      <w:pPr>
        <w:widowControl w:val="0"/>
        <w:spacing w:beforeLines="0" w:afterLines="0"/>
        <w:jc w:val="center"/>
        <w:rPr>
          <w:rFonts w:hint="eastAsia" w:ascii="仿宋" w:hAnsi="仿宋" w:eastAsia="仿宋" w:cs="仿宋"/>
          <w:b w:val="0"/>
          <w:bCs/>
          <w:color w:val="auto"/>
          <w:sz w:val="44"/>
          <w:szCs w:val="44"/>
          <w:highlight w:val="none"/>
          <w:lang w:val="en-US" w:eastAsia="zh-Hans"/>
        </w:rPr>
      </w:pPr>
      <w:r>
        <w:rPr>
          <w:rFonts w:hint="eastAsia" w:ascii="仿宋" w:hAnsi="仿宋" w:eastAsia="仿宋" w:cs="仿宋"/>
          <w:b w:val="0"/>
          <w:bCs/>
          <w:color w:val="auto"/>
          <w:sz w:val="44"/>
          <w:szCs w:val="44"/>
          <w:highlight w:val="none"/>
          <w:lang w:val="en-US" w:eastAsia="zh-Hans"/>
        </w:rPr>
        <w:t>中华人民共和国横琴出入境边防检查站2026年政府采购限额标准以下零星</w:t>
      </w:r>
    </w:p>
    <w:p w14:paraId="2223325F">
      <w:pPr>
        <w:widowControl w:val="0"/>
        <w:spacing w:beforeLines="0" w:afterLines="0"/>
        <w:jc w:val="center"/>
        <w:outlineLvl w:val="1"/>
        <w:rPr>
          <w:rFonts w:hint="eastAsia" w:ascii="仿宋" w:hAnsi="仿宋" w:eastAsia="仿宋" w:cs="仿宋"/>
          <w:color w:val="auto"/>
          <w:highlight w:val="none"/>
        </w:rPr>
      </w:pPr>
      <w:bookmarkStart w:id="162" w:name="_Toc11555"/>
      <w:bookmarkStart w:id="163" w:name="_Toc30569"/>
      <w:r>
        <w:rPr>
          <w:rFonts w:hint="eastAsia" w:ascii="仿宋" w:hAnsi="仿宋" w:eastAsia="仿宋" w:cs="仿宋"/>
          <w:b w:val="0"/>
          <w:bCs/>
          <w:color w:val="auto"/>
          <w:sz w:val="44"/>
          <w:szCs w:val="44"/>
          <w:highlight w:val="none"/>
          <w:lang w:val="en-US" w:eastAsia="zh-Hans"/>
        </w:rPr>
        <w:t>修缮工程单项施工任务合同</w:t>
      </w:r>
      <w:bookmarkEnd w:id="162"/>
      <w:bookmarkEnd w:id="163"/>
    </w:p>
    <w:p w14:paraId="550EA241">
      <w:pPr>
        <w:widowControl w:val="0"/>
        <w:spacing w:beforeLines="0" w:afterLines="0" w:line="360" w:lineRule="auto"/>
        <w:outlineLvl w:val="9"/>
        <w:rPr>
          <w:rFonts w:hint="eastAsia" w:ascii="仿宋" w:hAnsi="仿宋" w:eastAsia="仿宋" w:cs="仿宋"/>
          <w:color w:val="auto"/>
          <w:sz w:val="30"/>
          <w:szCs w:val="30"/>
          <w:highlight w:val="none"/>
          <w:lang w:eastAsia="zh-CN"/>
        </w:rPr>
      </w:pPr>
    </w:p>
    <w:p w14:paraId="0558BC34">
      <w:pPr>
        <w:widowControl w:val="0"/>
        <w:numPr>
          <w:ilvl w:val="0"/>
          <w:numId w:val="0"/>
        </w:numPr>
        <w:spacing w:beforeLines="0" w:afterLines="0"/>
        <w:jc w:val="both"/>
        <w:outlineLvl w:val="9"/>
        <w:rPr>
          <w:rFonts w:hint="eastAsia" w:ascii="仿宋" w:hAnsi="仿宋" w:eastAsia="仿宋" w:cs="仿宋"/>
          <w:color w:val="auto"/>
          <w:highlight w:val="none"/>
          <w:lang w:eastAsia="zh-CN"/>
        </w:rPr>
      </w:pPr>
    </w:p>
    <w:p w14:paraId="662F77B6">
      <w:pPr>
        <w:widowControl w:val="0"/>
        <w:spacing w:beforeLines="0" w:afterLines="0"/>
        <w:outlineLvl w:val="9"/>
        <w:rPr>
          <w:rFonts w:hint="eastAsia" w:ascii="仿宋" w:hAnsi="仿宋" w:eastAsia="仿宋" w:cs="仿宋"/>
          <w:b w:val="0"/>
          <w:bCs/>
          <w:color w:val="auto"/>
          <w:sz w:val="30"/>
          <w:szCs w:val="30"/>
          <w:highlight w:val="none"/>
          <w:lang w:eastAsia="zh-CN"/>
        </w:rPr>
      </w:pPr>
    </w:p>
    <w:p w14:paraId="342E2123">
      <w:pPr>
        <w:widowControl w:val="0"/>
        <w:spacing w:beforeLines="0" w:afterLines="0"/>
        <w:outlineLvl w:val="9"/>
        <w:rPr>
          <w:rFonts w:hint="eastAsia" w:ascii="仿宋" w:hAnsi="仿宋" w:eastAsia="仿宋" w:cs="仿宋"/>
          <w:color w:val="auto"/>
          <w:highlight w:val="none"/>
          <w:lang w:eastAsia="zh-CN"/>
        </w:rPr>
      </w:pPr>
    </w:p>
    <w:p w14:paraId="7147DDDE">
      <w:pPr>
        <w:widowControl w:val="0"/>
        <w:spacing w:beforeLines="0" w:afterLines="0"/>
        <w:outlineLvl w:val="9"/>
        <w:rPr>
          <w:rFonts w:hint="eastAsia" w:ascii="仿宋" w:hAnsi="仿宋" w:eastAsia="仿宋" w:cs="仿宋"/>
          <w:b w:val="0"/>
          <w:bCs/>
          <w:color w:val="auto"/>
          <w:sz w:val="30"/>
          <w:szCs w:val="30"/>
          <w:highlight w:val="none"/>
          <w:lang w:eastAsia="zh-CN"/>
        </w:rPr>
      </w:pPr>
    </w:p>
    <w:p w14:paraId="73B7FA1E">
      <w:pPr>
        <w:widowControl w:val="0"/>
        <w:spacing w:beforeLines="0" w:afterLines="0"/>
        <w:outlineLvl w:val="9"/>
        <w:rPr>
          <w:rFonts w:hint="eastAsia" w:ascii="仿宋" w:hAnsi="仿宋" w:eastAsia="仿宋" w:cs="仿宋"/>
          <w:b w:val="0"/>
          <w:bCs/>
          <w:color w:val="auto"/>
          <w:sz w:val="30"/>
          <w:szCs w:val="30"/>
          <w:highlight w:val="none"/>
          <w:lang w:eastAsia="zh-CN"/>
        </w:rPr>
      </w:pPr>
    </w:p>
    <w:p w14:paraId="6153975A">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lang w:val="en-US" w:eastAsia="zh-CN"/>
        </w:rPr>
      </w:pPr>
    </w:p>
    <w:p w14:paraId="43D0E657">
      <w:pPr>
        <w:keepNext w:val="0"/>
        <w:keepLines w:val="0"/>
        <w:pageBreakBefore w:val="0"/>
        <w:widowControl w:val="0"/>
        <w:kinsoku/>
        <w:wordWrap/>
        <w:overflowPunct/>
        <w:topLinePunct w:val="0"/>
        <w:autoSpaceDE/>
        <w:autoSpaceDN/>
        <w:bidi w:val="0"/>
        <w:adjustRightInd/>
        <w:snapToGrid/>
        <w:spacing w:beforeLines="0" w:afterLines="0" w:line="360" w:lineRule="auto"/>
        <w:jc w:val="center"/>
        <w:textAlignment w:val="auto"/>
        <w:outlineLvl w:val="9"/>
        <w:rPr>
          <w:rFonts w:hint="eastAsia" w:ascii="仿宋" w:hAnsi="仿宋" w:eastAsia="仿宋" w:cs="仿宋"/>
          <w:color w:val="auto"/>
          <w:sz w:val="28"/>
          <w:szCs w:val="28"/>
          <w:highlight w:val="none"/>
          <w:lang w:val="en-US"/>
        </w:rPr>
      </w:pPr>
      <w:r>
        <w:rPr>
          <w:rFonts w:hint="eastAsia" w:ascii="仿宋" w:hAnsi="仿宋" w:eastAsia="仿宋" w:cs="仿宋"/>
          <w:color w:val="auto"/>
          <w:sz w:val="28"/>
          <w:szCs w:val="28"/>
          <w:highlight w:val="none"/>
          <w:lang w:val="en-US" w:eastAsia="zh-CN"/>
        </w:rPr>
        <w:t>合同编号：</w:t>
      </w:r>
      <w:r>
        <w:rPr>
          <w:rFonts w:hint="eastAsia" w:ascii="仿宋" w:hAnsi="仿宋" w:eastAsia="仿宋" w:cs="仿宋"/>
          <w:color w:val="auto"/>
          <w:sz w:val="28"/>
          <w:szCs w:val="28"/>
          <w:highlight w:val="none"/>
          <w:u w:val="single"/>
          <w:lang w:val="en-US" w:eastAsia="zh-CN"/>
        </w:rPr>
        <w:t>HQBJZ-006-2</w:t>
      </w:r>
    </w:p>
    <w:p w14:paraId="0AB5D549">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rPr>
        <w:sectPr>
          <w:footerReference r:id="rId15" w:type="default"/>
          <w:pgSz w:w="11906" w:h="16838"/>
          <w:pgMar w:top="1134" w:right="1134" w:bottom="1134" w:left="1134" w:header="851" w:footer="992" w:gutter="0"/>
          <w:pgNumType w:fmt="decimal"/>
          <w:cols w:space="720" w:num="1"/>
          <w:rtlGutter w:val="0"/>
          <w:docGrid w:type="lines" w:linePitch="312" w:charSpace="0"/>
        </w:sectPr>
      </w:pPr>
    </w:p>
    <w:p w14:paraId="0DEF4AFE">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rPr>
        <w:t>甲方：</w:t>
      </w:r>
      <w:r>
        <w:rPr>
          <w:rFonts w:hint="eastAsia" w:ascii="仿宋" w:hAnsi="仿宋" w:eastAsia="仿宋" w:cs="仿宋"/>
          <w:b/>
          <w:bCs/>
          <w:color w:val="auto"/>
          <w:sz w:val="28"/>
          <w:szCs w:val="28"/>
          <w:highlight w:val="none"/>
          <w:lang w:eastAsia="zh-CN"/>
        </w:rPr>
        <w:t>中华人民共和国横琴出入境边防检查站</w:t>
      </w:r>
    </w:p>
    <w:p w14:paraId="5B9EA464">
      <w:pPr>
        <w:pStyle w:val="19"/>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法定代表人（负责人）：石柱</w:t>
      </w:r>
    </w:p>
    <w:p w14:paraId="52B3B6B2">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甲方代表：屈光照</w:t>
      </w:r>
      <w:r>
        <w:rPr>
          <w:rFonts w:hint="eastAsia" w:ascii="仿宋" w:hAnsi="仿宋" w:eastAsia="仿宋" w:cs="仿宋"/>
          <w:b/>
          <w:bCs/>
          <w:color w:val="auto"/>
          <w:sz w:val="28"/>
          <w:szCs w:val="28"/>
          <w:highlight w:val="none"/>
          <w:lang w:val="en-US" w:eastAsia="zh-CN"/>
        </w:rPr>
        <w:t xml:space="preserve">                        电话：0756-8167532</w:t>
      </w:r>
    </w:p>
    <w:p w14:paraId="11D30063">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地址：</w:t>
      </w:r>
      <w:r>
        <w:rPr>
          <w:rFonts w:hint="eastAsia" w:ascii="仿宋" w:hAnsi="仿宋" w:eastAsia="仿宋" w:cs="仿宋"/>
          <w:b/>
          <w:bCs/>
          <w:color w:val="auto"/>
          <w:sz w:val="28"/>
          <w:szCs w:val="28"/>
          <w:highlight w:val="none"/>
          <w:lang w:val="en-US" w:eastAsia="zh-CN"/>
        </w:rPr>
        <w:t>广东省横琴粤澳深度合作区濠江路66号</w:t>
      </w:r>
    </w:p>
    <w:p w14:paraId="36CC28E2">
      <w:pPr>
        <w:widowControl w:val="0"/>
        <w:spacing w:beforeLines="0" w:afterLines="0"/>
        <w:outlineLvl w:val="9"/>
        <w:rPr>
          <w:rFonts w:hint="eastAsia" w:ascii="仿宋" w:hAnsi="仿宋" w:eastAsia="仿宋" w:cs="仿宋"/>
          <w:color w:val="auto"/>
          <w:highlight w:val="none"/>
          <w:lang w:val="en-US" w:eastAsia="zh-CN"/>
        </w:rPr>
      </w:pPr>
    </w:p>
    <w:p w14:paraId="3B020FDF">
      <w:pPr>
        <w:widowControl w:val="0"/>
        <w:spacing w:beforeLines="0" w:afterLines="0"/>
        <w:outlineLvl w:val="9"/>
        <w:rPr>
          <w:rFonts w:hint="eastAsia" w:ascii="仿宋" w:hAnsi="仿宋" w:eastAsia="仿宋" w:cs="仿宋"/>
          <w:color w:val="auto"/>
          <w:highlight w:val="none"/>
        </w:rPr>
      </w:pPr>
    </w:p>
    <w:p w14:paraId="0903EB6A">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rPr>
        <w:t>乙方：</w:t>
      </w:r>
    </w:p>
    <w:p w14:paraId="5CC83D26">
      <w:pPr>
        <w:pStyle w:val="19"/>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法定代表人（负责人）：</w:t>
      </w:r>
    </w:p>
    <w:p w14:paraId="71576C09">
      <w:pPr>
        <w:pStyle w:val="19"/>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项目经理（或工程现场负责人）：</w:t>
      </w:r>
      <w:r>
        <w:rPr>
          <w:rFonts w:hint="eastAsia" w:ascii="仿宋" w:hAnsi="仿宋" w:eastAsia="仿宋" w:cs="仿宋"/>
          <w:b/>
          <w:bCs/>
          <w:color w:val="auto"/>
          <w:sz w:val="28"/>
          <w:szCs w:val="28"/>
          <w:highlight w:val="none"/>
          <w:lang w:val="en-US" w:eastAsia="zh-CN"/>
        </w:rPr>
        <w:t xml:space="preserve">          电话：</w:t>
      </w:r>
    </w:p>
    <w:p w14:paraId="64538CEC">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地址：</w:t>
      </w:r>
    </w:p>
    <w:p w14:paraId="7D8BDEC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584837C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根据</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年</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月</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日双方签订的《中华人民共和国横琴出入境边防检查站2026年政府采购限额标准以下零星修缮工程框架合同》（合同编号：</w:t>
      </w:r>
      <w:r>
        <w:rPr>
          <w:rFonts w:hint="eastAsia" w:ascii="仿宋" w:hAnsi="仿宋" w:eastAsia="仿宋" w:cs="仿宋"/>
          <w:color w:val="auto"/>
          <w:sz w:val="28"/>
          <w:szCs w:val="28"/>
          <w:highlight w:val="none"/>
          <w:u w:val="single"/>
          <w:lang w:val="en-US" w:eastAsia="zh-CN"/>
        </w:rPr>
        <w:t>HQBJZ-006-1</w:t>
      </w:r>
      <w:r>
        <w:rPr>
          <w:rFonts w:hint="eastAsia" w:ascii="仿宋" w:hAnsi="仿宋" w:eastAsia="仿宋" w:cs="仿宋"/>
          <w:color w:val="auto"/>
          <w:sz w:val="28"/>
          <w:szCs w:val="28"/>
          <w:highlight w:val="none"/>
          <w:lang w:val="en-US" w:eastAsia="zh-CN"/>
        </w:rPr>
        <w:t>，下称“框架合同”），甲方将下述单项施工任务委托乙方实施。经双方协商一致，签订本单项施工任务合同。</w:t>
      </w:r>
    </w:p>
    <w:p w14:paraId="667AC54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0872C5E7">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一、任务概况</w:t>
      </w:r>
    </w:p>
    <w:p w14:paraId="30948E68">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u w:val="single"/>
          <w:lang w:val="en-US" w:eastAsia="zh-CN"/>
        </w:rPr>
      </w:pPr>
      <w:r>
        <w:rPr>
          <w:rFonts w:hint="eastAsia" w:ascii="仿宋" w:hAnsi="仿宋" w:eastAsia="仿宋" w:cs="仿宋"/>
          <w:color w:val="auto"/>
          <w:sz w:val="28"/>
          <w:szCs w:val="28"/>
          <w:highlight w:val="none"/>
          <w:lang w:val="en-US" w:eastAsia="zh-CN"/>
        </w:rPr>
        <w:t>任务名称：</w:t>
      </w:r>
      <w:r>
        <w:rPr>
          <w:rFonts w:hint="eastAsia" w:ascii="仿宋" w:hAnsi="仿宋" w:eastAsia="仿宋" w:cs="仿宋"/>
          <w:color w:val="auto"/>
          <w:sz w:val="28"/>
          <w:szCs w:val="28"/>
          <w:highlight w:val="none"/>
          <w:u w:val="single"/>
          <w:lang w:val="en-US" w:eastAsia="zh-CN"/>
        </w:rPr>
        <w:t xml:space="preserve">                                  </w:t>
      </w:r>
    </w:p>
    <w:p w14:paraId="73F6E01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u w:val="single"/>
          <w:lang w:val="en-US" w:eastAsia="zh-CN"/>
        </w:rPr>
      </w:pPr>
      <w:r>
        <w:rPr>
          <w:rFonts w:hint="eastAsia" w:ascii="仿宋" w:hAnsi="仿宋" w:eastAsia="仿宋" w:cs="仿宋"/>
          <w:color w:val="auto"/>
          <w:sz w:val="28"/>
          <w:szCs w:val="28"/>
          <w:highlight w:val="none"/>
          <w:lang w:val="en-US" w:eastAsia="zh-CN"/>
        </w:rPr>
        <w:t>工程地点：</w:t>
      </w:r>
      <w:r>
        <w:rPr>
          <w:rFonts w:hint="eastAsia" w:ascii="仿宋" w:hAnsi="仿宋" w:eastAsia="仿宋" w:cs="仿宋"/>
          <w:color w:val="auto"/>
          <w:sz w:val="28"/>
          <w:szCs w:val="28"/>
          <w:highlight w:val="none"/>
          <w:u w:val="single"/>
          <w:lang w:val="en-US" w:eastAsia="zh-CN"/>
        </w:rPr>
        <w:t xml:space="preserve">                                  </w:t>
      </w:r>
    </w:p>
    <w:p w14:paraId="3992A267">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工程内容及范围</w:t>
      </w:r>
      <w:r>
        <w:rPr>
          <w:rFonts w:hint="eastAsia" w:ascii="仿宋" w:hAnsi="仿宋" w:eastAsia="仿宋" w:cs="仿宋"/>
          <w:color w:val="auto"/>
          <w:sz w:val="28"/>
          <w:szCs w:val="28"/>
          <w:highlight w:val="none"/>
          <w:u w:val="none"/>
          <w:lang w:val="en-US" w:eastAsia="zh-CN"/>
        </w:rPr>
        <w:t>：</w:t>
      </w:r>
      <w:r>
        <w:rPr>
          <w:rFonts w:hint="eastAsia" w:ascii="仿宋" w:hAnsi="仿宋" w:eastAsia="仿宋" w:cs="仿宋"/>
          <w:color w:val="auto"/>
          <w:sz w:val="28"/>
          <w:szCs w:val="28"/>
          <w:highlight w:val="none"/>
          <w:u w:val="single"/>
          <w:lang w:val="en-US" w:eastAsia="zh-CN"/>
        </w:rPr>
        <w:t>（为常规修缮、维修、装修维护等非建设类，每个单项工程清单为最新时价清单）</w:t>
      </w:r>
      <w:r>
        <w:rPr>
          <w:rFonts w:hint="eastAsia" w:ascii="仿宋" w:hAnsi="仿宋" w:eastAsia="仿宋" w:cs="仿宋"/>
          <w:color w:val="auto"/>
          <w:sz w:val="28"/>
          <w:szCs w:val="28"/>
          <w:highlight w:val="none"/>
          <w:u w:val="none"/>
          <w:lang w:val="en-US" w:eastAsia="zh-CN"/>
        </w:rPr>
        <w:t>。</w:t>
      </w:r>
      <w:r>
        <w:rPr>
          <w:rFonts w:hint="eastAsia" w:ascii="仿宋" w:hAnsi="仿宋" w:eastAsia="仿宋" w:cs="仿宋"/>
          <w:color w:val="auto"/>
          <w:sz w:val="28"/>
          <w:szCs w:val="28"/>
          <w:highlight w:val="none"/>
          <w:lang w:val="en-US" w:eastAsia="zh-CN"/>
        </w:rPr>
        <w:t>详见附件《工程量清单》《施工图纸》《施工需求文件》</w:t>
      </w:r>
    </w:p>
    <w:p w14:paraId="28F89FBD">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 xml:space="preserve">定价方式： </w:t>
      </w:r>
      <w:r>
        <w:rPr>
          <w:rFonts w:hint="eastAsia" w:ascii="仿宋" w:hAnsi="仿宋" w:eastAsia="仿宋" w:cs="仿宋"/>
          <w:color w:val="auto"/>
          <w:sz w:val="28"/>
          <w:szCs w:val="28"/>
          <w:highlight w:val="none"/>
          <w:lang w:val="en-US" w:eastAsia="zh-CN"/>
        </w:rPr>
        <w:sym w:font="Wingdings 2" w:char="0052"/>
      </w:r>
      <w:r>
        <w:rPr>
          <w:rFonts w:hint="eastAsia" w:ascii="仿宋" w:hAnsi="仿宋" w:eastAsia="仿宋" w:cs="仿宋"/>
          <w:color w:val="auto"/>
          <w:sz w:val="28"/>
          <w:szCs w:val="28"/>
          <w:highlight w:val="none"/>
          <w:lang w:val="en-US" w:eastAsia="zh-CN"/>
        </w:rPr>
        <w:t xml:space="preserve"> 固定总价 </w:t>
      </w:r>
      <w:r>
        <w:rPr>
          <w:rFonts w:hint="eastAsia" w:ascii="仿宋" w:hAnsi="仿宋" w:eastAsia="仿宋" w:cs="仿宋"/>
          <w:color w:val="auto"/>
          <w:sz w:val="28"/>
          <w:szCs w:val="28"/>
          <w:highlight w:val="none"/>
          <w:lang w:val="en-US" w:eastAsia="zh-CN"/>
        </w:rPr>
        <w:sym w:font="Wingdings 2" w:char="00A3"/>
      </w:r>
      <w:r>
        <w:rPr>
          <w:rFonts w:hint="eastAsia" w:ascii="仿宋" w:hAnsi="仿宋" w:eastAsia="仿宋" w:cs="仿宋"/>
          <w:color w:val="auto"/>
          <w:sz w:val="28"/>
          <w:szCs w:val="28"/>
          <w:highlight w:val="none"/>
          <w:lang w:val="en-US" w:eastAsia="zh-CN"/>
        </w:rPr>
        <w:t xml:space="preserve"> 固定单价</w:t>
      </w:r>
    </w:p>
    <w:p w14:paraId="6F6C4826">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04B9FD10">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二、合同价款与结算</w:t>
      </w:r>
    </w:p>
    <w:p w14:paraId="2EF97778">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本单项施工任务合同采用（请选择一种）：</w:t>
      </w:r>
    </w:p>
    <w:p w14:paraId="76CD696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sym w:font="Wingdings 2" w:char="0052"/>
      </w:r>
      <w:r>
        <w:rPr>
          <w:rFonts w:hint="eastAsia" w:ascii="仿宋" w:hAnsi="仿宋" w:eastAsia="仿宋" w:cs="仿宋"/>
          <w:color w:val="auto"/>
          <w:sz w:val="28"/>
          <w:szCs w:val="28"/>
          <w:highlight w:val="none"/>
          <w:lang w:val="en-US" w:eastAsia="zh-CN"/>
        </w:rPr>
        <w:t xml:space="preserve"> 固定总价包干，合同总价为人民币 ________ 元（大写：_____________ 元整）。该总价已包含为完成本任务所需的一切费用，除根据框架合同第八条约定的可调整情形外，不予调整。</w:t>
      </w:r>
    </w:p>
    <w:p w14:paraId="1CF8F07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sym w:font="Wingdings 2" w:char="00A3"/>
      </w:r>
      <w:r>
        <w:rPr>
          <w:rFonts w:hint="eastAsia" w:ascii="仿宋" w:hAnsi="仿宋" w:eastAsia="仿宋" w:cs="仿宋"/>
          <w:color w:val="auto"/>
          <w:sz w:val="28"/>
          <w:szCs w:val="28"/>
          <w:highlight w:val="none"/>
          <w:lang w:val="en-US" w:eastAsia="zh-CN"/>
        </w:rPr>
        <w:t xml:space="preserve"> 固定单价，各分项单价详见附件《工程量清单》。结算总价 = ∑（各分项实际完成工程量 × 对应固定单价）。工程量按实际竣工图示尺寸计算，并经甲方审核确认。</w:t>
      </w:r>
    </w:p>
    <w:p w14:paraId="4227BCD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无论采用上述何种方式，最终结算价均应乘以框架合同约定的成交费率 ________%，即：</w:t>
      </w:r>
    </w:p>
    <w:p w14:paraId="69F595A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最终应付结算款 = 根据上述条款计算的价款 × ________%。</w:t>
      </w:r>
    </w:p>
    <w:p w14:paraId="6F65F91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本单项施工任务合同价款已包含人工、材料、机械、设备、运输、安装调试、保险、税金、管理费、利润及为完成工程所需的所有措施费用等乙方履行本单项施工任务合同全部义务甲方应支付的全部费用。</w:t>
      </w:r>
    </w:p>
    <w:p w14:paraId="68DF26C7">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1C372754">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三、工期</w:t>
      </w:r>
    </w:p>
    <w:p w14:paraId="258F1BE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开工日期：</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年</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月</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日（以甲方书面通知为准）。</w:t>
      </w:r>
    </w:p>
    <w:p w14:paraId="11ABD65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竣工日期</w:t>
      </w:r>
      <w:r>
        <w:rPr>
          <w:rFonts w:hint="eastAsia" w:ascii="仿宋" w:hAnsi="仿宋" w:eastAsia="仿宋" w:cs="仿宋"/>
          <w:b/>
          <w:bCs/>
          <w:color w:val="auto"/>
          <w:sz w:val="28"/>
          <w:szCs w:val="28"/>
          <w:highlight w:val="none"/>
          <w:lang w:val="en-US" w:eastAsia="zh-CN"/>
        </w:rPr>
        <w:t>：</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年</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月</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日。</w:t>
      </w:r>
    </w:p>
    <w:p w14:paraId="1E48FFF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工期总日历天数：</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lang w:val="en-US" w:eastAsia="zh-CN"/>
        </w:rPr>
        <w:t>天。工期总日历天数与根据前述计划日期计算的工期天数不一致的，以工期总日历天数为准。</w:t>
      </w:r>
    </w:p>
    <w:p w14:paraId="1005F67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有关工期的顺延、延误责任等，按框架合同第三条、第十条等规定执行。</w:t>
      </w:r>
    </w:p>
    <w:p w14:paraId="638C40E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4001DC2B">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四、工程质量标准</w:t>
      </w:r>
    </w:p>
    <w:p w14:paraId="56D956E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工程质量标准：符合框架合同第五条约定的合格标准及国家、行业相关现行规范。</w:t>
      </w:r>
    </w:p>
    <w:p w14:paraId="598A006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752AB058">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五、组成合同的文件</w:t>
      </w:r>
    </w:p>
    <w:p w14:paraId="2646430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构成本单项施工任务合同的文件及优先解释顺序如下：</w:t>
      </w:r>
    </w:p>
    <w:p w14:paraId="1C8724FB">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（一）双方就该施工任务往来形成的有效签证、变更文件；</w:t>
      </w:r>
    </w:p>
    <w:p w14:paraId="2F800A7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（二）本单项施工任务合同及其附件；</w:t>
      </w:r>
    </w:p>
    <w:p w14:paraId="4CBA411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（三）《中华人民共和国横琴出入境边防检查站2026年政府采购限额标准以下零星修缮工程框架合同》（合同编号：</w:t>
      </w:r>
      <w:r>
        <w:rPr>
          <w:rFonts w:hint="eastAsia" w:ascii="仿宋" w:hAnsi="仿宋" w:eastAsia="仿宋" w:cs="仿宋"/>
          <w:color w:val="auto"/>
          <w:sz w:val="28"/>
          <w:szCs w:val="28"/>
          <w:highlight w:val="none"/>
          <w:u w:val="single"/>
          <w:lang w:val="en-US" w:eastAsia="zh-CN"/>
        </w:rPr>
        <w:t>HQBJZ-006-1</w:t>
      </w:r>
      <w:r>
        <w:rPr>
          <w:rFonts w:hint="eastAsia" w:ascii="仿宋" w:hAnsi="仿宋" w:eastAsia="仿宋" w:cs="仿宋"/>
          <w:color w:val="auto"/>
          <w:sz w:val="28"/>
          <w:szCs w:val="28"/>
          <w:highlight w:val="none"/>
          <w:lang w:val="en-US" w:eastAsia="zh-CN"/>
        </w:rPr>
        <w:t>）。</w:t>
      </w:r>
    </w:p>
    <w:p w14:paraId="692B8F47">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框架合同与依据其签订的单项施工任务合同共同构成约束双方的法律文件，单项施工任务合同未约定事宜，均以框架合同约定为准。若本单项施工任务合同条款与框架合同条款有冲突，以本单项施工任务合同的特别约定为准。</w:t>
      </w:r>
    </w:p>
    <w:p w14:paraId="47BFBEA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00F9C044">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六、付款方式</w:t>
      </w:r>
    </w:p>
    <w:p w14:paraId="057520D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（一）进度款</w:t>
      </w:r>
    </w:p>
    <w:p w14:paraId="6C80E7D2">
      <w:pPr>
        <w:keepNext w:val="0"/>
        <w:keepLines w:val="0"/>
        <w:pageBreakBefore w:val="0"/>
        <w:widowControl w:val="0"/>
        <w:kinsoku/>
        <w:wordWrap/>
        <w:overflowPunct/>
        <w:topLinePunct w:val="0"/>
        <w:autoSpaceDE/>
        <w:autoSpaceDN/>
        <w:bidi w:val="0"/>
        <w:adjustRightInd/>
        <w:snapToGrid/>
        <w:spacing w:beforeLines="0" w:afterLines="0" w:line="360" w:lineRule="auto"/>
        <w:ind w:left="559" w:leftChars="266" w:firstLine="0" w:firstLineChars="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 双方约定，本单项施工任务按以下方式支付进度款：</w:t>
      </w:r>
    </w:p>
    <w:p w14:paraId="6FCC60B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sym w:font="Wingdings 2" w:char="00A3"/>
      </w:r>
      <w:r>
        <w:rPr>
          <w:rFonts w:hint="eastAsia" w:ascii="仿宋" w:hAnsi="仿宋" w:eastAsia="仿宋" w:cs="仿宋"/>
          <w:color w:val="auto"/>
          <w:sz w:val="28"/>
          <w:szCs w:val="28"/>
          <w:highlight w:val="none"/>
          <w:lang w:val="en-US" w:eastAsia="zh-CN"/>
        </w:rPr>
        <w:t> 按月支付： 每月（  ）日，乙方提交经甲方确认的当月已完成工程量报告，监理及甲方审核后，支付至已完工程量对应价款的（  ）%。</w:t>
      </w:r>
    </w:p>
    <w:p w14:paraId="4FFEC6D1">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sym w:font="Wingdings 2" w:char="00A3"/>
      </w:r>
      <w:r>
        <w:rPr>
          <w:rFonts w:hint="eastAsia" w:ascii="仿宋" w:hAnsi="仿宋" w:eastAsia="仿宋" w:cs="仿宋"/>
          <w:color w:val="auto"/>
          <w:sz w:val="28"/>
          <w:szCs w:val="28"/>
          <w:highlight w:val="none"/>
          <w:lang w:val="en-US" w:eastAsia="zh-CN"/>
        </w:rPr>
        <w:t> 按形象进度支付： 当工程进度达到（请填写具体形象节点）时，乙方提交付款申请，监理及甲方审核后，支付至本单项任务合同暂定价的（请填写比例）%。</w:t>
      </w:r>
    </w:p>
    <w:p w14:paraId="02B87C4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highlight w:val="none"/>
          <w:lang w:val="en-US" w:eastAsia="zh-CN"/>
        </w:rPr>
      </w:pPr>
      <w:r>
        <w:rPr>
          <w:rFonts w:hint="eastAsia" w:ascii="仿宋" w:hAnsi="仿宋" w:eastAsia="仿宋" w:cs="仿宋"/>
          <w:color w:val="auto"/>
          <w:sz w:val="28"/>
          <w:szCs w:val="28"/>
          <w:highlight w:val="none"/>
          <w:lang w:val="en-US" w:eastAsia="zh-CN"/>
        </w:rPr>
        <w:t> 乙方应在每个付款节点条件满足后10个工作日内，向甲方提交当期进度款申请报告及等额有效发票。甲方在收到完整申请资料后10个工作日内完成审核并支付。</w:t>
      </w:r>
    </w:p>
    <w:p w14:paraId="0E45203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（二）结算款</w:t>
      </w:r>
    </w:p>
    <w:p w14:paraId="34A1D1CC">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本单项施工任务竣工验收合格且结算审核完毕，乙方提交等额有效发票后10个工作日内，甲方向乙方支付至本单项施工任务最终结算款的</w:t>
      </w:r>
      <w:r>
        <w:rPr>
          <w:rFonts w:hint="eastAsia" w:ascii="仿宋" w:hAnsi="仿宋" w:eastAsia="仿宋" w:cs="仿宋"/>
          <w:color w:val="auto"/>
          <w:sz w:val="28"/>
          <w:szCs w:val="28"/>
          <w:highlight w:val="none"/>
          <w:u w:val="single"/>
          <w:lang w:val="en-US" w:eastAsia="zh-CN"/>
        </w:rPr>
        <w:t>100</w:t>
      </w:r>
      <w:r>
        <w:rPr>
          <w:rFonts w:hint="eastAsia" w:ascii="仿宋" w:hAnsi="仿宋" w:eastAsia="仿宋" w:cs="仿宋"/>
          <w:color w:val="auto"/>
          <w:sz w:val="28"/>
          <w:szCs w:val="28"/>
          <w:highlight w:val="none"/>
          <w:lang w:val="en-US" w:eastAsia="zh-CN"/>
        </w:rPr>
        <w:t>%。</w:t>
      </w:r>
    </w:p>
    <w:p w14:paraId="761C379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color w:val="auto"/>
          <w:kern w:val="2"/>
          <w:sz w:val="28"/>
          <w:szCs w:val="28"/>
          <w:highlight w:val="none"/>
          <w:lang w:val="en-US" w:eastAsia="zh-CN" w:bidi="ar-SA"/>
        </w:rPr>
      </w:pPr>
      <w:r>
        <w:rPr>
          <w:rFonts w:hint="eastAsia" w:ascii="仿宋" w:hAnsi="仿宋" w:eastAsia="仿宋" w:cs="仿宋"/>
          <w:b w:val="0"/>
          <w:color w:val="auto"/>
          <w:kern w:val="2"/>
          <w:sz w:val="28"/>
          <w:szCs w:val="28"/>
          <w:highlight w:val="none"/>
          <w:lang w:val="en-US" w:eastAsia="zh-CN" w:bidi="ar-SA"/>
        </w:rPr>
        <w:t>（三）质量保证金</w:t>
      </w:r>
    </w:p>
    <w:p w14:paraId="2DE37E3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sym w:font="Wingdings 2" w:char="00A3"/>
      </w:r>
      <w:r>
        <w:rPr>
          <w:rFonts w:hint="eastAsia" w:ascii="仿宋" w:hAnsi="仿宋" w:eastAsia="仿宋" w:cs="仿宋"/>
          <w:color w:val="auto"/>
          <w:sz w:val="28"/>
          <w:szCs w:val="28"/>
          <w:highlight w:val="none"/>
          <w:lang w:val="en-US" w:eastAsia="zh-CN"/>
        </w:rPr>
        <w:t> 不收取质量保证金。</w:t>
      </w:r>
    </w:p>
    <w:p w14:paraId="2A8F4A9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sym w:font="Wingdings 2" w:char="0052"/>
      </w:r>
      <w:r>
        <w:rPr>
          <w:rFonts w:hint="eastAsia" w:ascii="仿宋" w:hAnsi="仿宋" w:eastAsia="仿宋" w:cs="仿宋"/>
          <w:color w:val="auto"/>
          <w:sz w:val="28"/>
          <w:szCs w:val="28"/>
          <w:highlight w:val="none"/>
          <w:lang w:val="en-US" w:eastAsia="zh-CN"/>
        </w:rPr>
        <w:t> 收取质量保证金。 本单项施工任务的质量保证金金额为最终结算价款的（ 3 ）%。乙方应于竣工验收合格且结算审核完毕后10个日历日内，以非现金形式向甲方提交。若采用保函形式，则保函有效期应覆盖整个质保期及甲方收到退还申请后的合理处理期限。</w:t>
      </w:r>
    </w:p>
    <w:p w14:paraId="42F208A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本单项施工任务质保期届满且无质量问题后，甲方在10个工作日内将质量保证金无息退还给乙方。</w:t>
      </w:r>
    </w:p>
    <w:p w14:paraId="19CEDDA0">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b w:val="0"/>
          <w:color w:val="auto"/>
          <w:kern w:val="2"/>
          <w:sz w:val="28"/>
          <w:szCs w:val="28"/>
          <w:highlight w:val="none"/>
          <w:lang w:val="en-US" w:eastAsia="zh-CN" w:bidi="ar-SA"/>
        </w:rPr>
        <w:t>（四）</w:t>
      </w:r>
      <w:r>
        <w:rPr>
          <w:rFonts w:hint="eastAsia" w:ascii="仿宋" w:hAnsi="仿宋" w:eastAsia="仿宋" w:cs="仿宋"/>
          <w:color w:val="auto"/>
          <w:sz w:val="28"/>
          <w:szCs w:val="28"/>
          <w:highlight w:val="none"/>
          <w:lang w:val="en-US" w:eastAsia="zh-CN"/>
        </w:rPr>
        <w:t xml:space="preserve">签署本合同之前，施工方已经对施工现场进行了充分的勘察，充分了解施工条件，核对了甲方要求后，认为能在合同总价或申报单价清单中的价格范围内完成施工，此报价已经充分考虑了施工现场的情况、存在的隐蔽瑕疵、 </w:t>
      </w:r>
    </w:p>
    <w:p w14:paraId="22747BD4">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b w:val="0"/>
          <w:color w:val="auto"/>
          <w:kern w:val="2"/>
          <w:sz w:val="28"/>
          <w:szCs w:val="28"/>
          <w:highlight w:val="none"/>
          <w:lang w:val="en-US" w:eastAsia="zh-CN" w:bidi="ar-SA"/>
        </w:rPr>
      </w:pPr>
      <w:r>
        <w:rPr>
          <w:rFonts w:hint="eastAsia" w:ascii="仿宋" w:hAnsi="仿宋" w:eastAsia="仿宋" w:cs="仿宋"/>
          <w:color w:val="auto"/>
          <w:sz w:val="28"/>
          <w:szCs w:val="28"/>
          <w:highlight w:val="none"/>
          <w:lang w:val="en-US" w:eastAsia="zh-CN"/>
        </w:rPr>
        <w:t>可能存在的缺漏项等情况，报价的风险已经充分考虑，后续不得以材料调差、缺漏项、设计深化、施工工艺调整为由要求增加工程结算款。</w:t>
      </w:r>
    </w:p>
    <w:p w14:paraId="5E598C0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b w:val="0"/>
          <w:color w:val="auto"/>
          <w:kern w:val="2"/>
          <w:sz w:val="28"/>
          <w:szCs w:val="28"/>
          <w:highlight w:val="none"/>
          <w:lang w:val="en-US" w:eastAsia="zh-CN" w:bidi="ar-SA"/>
        </w:rPr>
      </w:pPr>
    </w:p>
    <w:p w14:paraId="087848C6">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七、质保期</w:t>
      </w:r>
    </w:p>
    <w:p w14:paraId="205CC583">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本单项施工任务的质保期自其通过竣工验收之日起算，具体期限及保修责任按框架合同第六条规定执行，</w:t>
      </w:r>
      <w:r>
        <w:rPr>
          <w:rFonts w:hint="eastAsia" w:ascii="仿宋" w:hAnsi="仿宋" w:eastAsia="仿宋" w:cs="仿宋"/>
          <w:color w:val="auto"/>
          <w:sz w:val="28"/>
          <w:szCs w:val="28"/>
          <w:highlight w:val="none"/>
        </w:rPr>
        <w:t>《建设工程质量管理条例》</w:t>
      </w:r>
      <w:r>
        <w:rPr>
          <w:rFonts w:hint="eastAsia" w:ascii="仿宋" w:hAnsi="仿宋" w:eastAsia="仿宋" w:cs="仿宋"/>
          <w:color w:val="auto"/>
          <w:sz w:val="28"/>
          <w:szCs w:val="28"/>
          <w:highlight w:val="none"/>
          <w:lang w:eastAsia="zh-CN"/>
        </w:rPr>
        <w:t>规定以外的内容质保期为</w:t>
      </w:r>
      <w:r>
        <w:rPr>
          <w:rFonts w:hint="eastAsia" w:ascii="仿宋" w:hAnsi="仿宋" w:eastAsia="仿宋" w:cs="仿宋"/>
          <w:color w:val="auto"/>
          <w:sz w:val="28"/>
          <w:szCs w:val="28"/>
          <w:highlight w:val="none"/>
          <w:lang w:val="en-US" w:eastAsia="zh-CN"/>
        </w:rPr>
        <w:t>2年。</w:t>
      </w:r>
    </w:p>
    <w:p w14:paraId="19ADF2CA">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p>
    <w:p w14:paraId="44634845">
      <w:pPr>
        <w:keepNext w:val="0"/>
        <w:keepLines w:val="0"/>
        <w:pageBreakBefore w:val="0"/>
        <w:widowControl w:val="0"/>
        <w:kinsoku/>
        <w:wordWrap/>
        <w:overflowPunct/>
        <w:topLinePunct w:val="0"/>
        <w:autoSpaceDE/>
        <w:autoSpaceDN/>
        <w:bidi w:val="0"/>
        <w:adjustRightInd/>
        <w:snapToGrid/>
        <w:spacing w:beforeLines="0" w:afterLines="0" w:line="360" w:lineRule="auto"/>
        <w:ind w:firstLine="562" w:firstLineChars="200"/>
        <w:textAlignment w:val="auto"/>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八、其他约定</w:t>
      </w:r>
    </w:p>
    <w:p w14:paraId="2BDC2E5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本任务所需材料、设备应符合框架合同第九条要求。</w:t>
      </w:r>
    </w:p>
    <w:p w14:paraId="58FFA202">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甲乙双方责任、知识产权与保密、争议解决等均按框架合同相关条款执行。</w:t>
      </w:r>
    </w:p>
    <w:p w14:paraId="2BB00A95">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本单项施工任务合同经双方签字盖章后生效，</w:t>
      </w:r>
      <w:r>
        <w:rPr>
          <w:rFonts w:hint="eastAsia" w:ascii="仿宋" w:hAnsi="仿宋" w:eastAsia="仿宋" w:cs="仿宋"/>
          <w:color w:val="auto"/>
          <w:sz w:val="28"/>
          <w:szCs w:val="28"/>
          <w:highlight w:val="none"/>
        </w:rPr>
        <w:t>一式</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val="en-US" w:eastAsia="zh-CN"/>
        </w:rPr>
        <w:t xml:space="preserve"> 伍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份，甲方执</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val="en-US" w:eastAsia="zh-CN"/>
        </w:rPr>
        <w:t xml:space="preserve"> 肆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份、乙方执</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val="en-US" w:eastAsia="zh-CN"/>
        </w:rPr>
        <w:t xml:space="preserve"> 壹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份，</w:t>
      </w:r>
      <w:r>
        <w:rPr>
          <w:rFonts w:hint="eastAsia" w:ascii="仿宋" w:hAnsi="仿宋" w:eastAsia="仿宋" w:cs="仿宋"/>
          <w:color w:val="auto"/>
          <w:sz w:val="28"/>
          <w:szCs w:val="28"/>
          <w:highlight w:val="none"/>
          <w:lang w:val="en-US" w:eastAsia="zh-CN"/>
        </w:rPr>
        <w:t>具有同等法律效力。</w:t>
      </w:r>
    </w:p>
    <w:p w14:paraId="086085C9">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通知送达地址以框架合同约定为准。</w:t>
      </w:r>
    </w:p>
    <w:p w14:paraId="5EC8BF2F">
      <w:pPr>
        <w:keepNext w:val="0"/>
        <w:keepLines w:val="0"/>
        <w:pageBreakBefore w:val="0"/>
        <w:widowControl w:val="0"/>
        <w:kinsoku/>
        <w:wordWrap/>
        <w:overflowPunct/>
        <w:topLinePunct w:val="0"/>
        <w:autoSpaceDE/>
        <w:autoSpaceDN/>
        <w:bidi w:val="0"/>
        <w:adjustRightInd/>
        <w:snapToGrid/>
        <w:spacing w:beforeLines="0" w:afterLines="0" w:line="360" w:lineRule="auto"/>
        <w:ind w:firstLine="560" w:firstLineChars="200"/>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（以下无正文）</w:t>
      </w:r>
    </w:p>
    <w:p w14:paraId="2C08B9FC">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p>
    <w:p w14:paraId="3E5EFA79">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甲方（盖章）：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乙方（盖章）：</w:t>
      </w:r>
    </w:p>
    <w:p w14:paraId="0DA09180">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中华人民共和国横琴出入境</w:t>
      </w:r>
    </w:p>
    <w:p w14:paraId="3196FDE8">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边防检查站</w:t>
      </w:r>
    </w:p>
    <w:p w14:paraId="03BA8BE5">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法定代表人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法定代表人</w:t>
      </w:r>
    </w:p>
    <w:p w14:paraId="3DE836F5">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（或授权签约人）：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（或授权签约人）：   </w:t>
      </w:r>
    </w:p>
    <w:p w14:paraId="7197B5E2">
      <w:pPr>
        <w:keepNext w:val="0"/>
        <w:keepLines w:val="0"/>
        <w:pageBreakBefore w:val="0"/>
        <w:widowControl w:val="0"/>
        <w:kinsoku/>
        <w:wordWrap/>
        <w:overflowPunct/>
        <w:topLinePunct w:val="0"/>
        <w:autoSpaceDE/>
        <w:autoSpaceDN/>
        <w:bidi w:val="0"/>
        <w:adjustRightInd/>
        <w:snapToGrid/>
        <w:spacing w:beforeLines="0" w:afterLines="0" w:line="360" w:lineRule="auto"/>
        <w:textAlignment w:val="auto"/>
        <w:rPr>
          <w:rFonts w:hint="eastAsia" w:ascii="仿宋" w:hAnsi="仿宋" w:eastAsia="仿宋" w:cs="仿宋"/>
          <w:color w:val="auto"/>
          <w:sz w:val="28"/>
          <w:szCs w:val="28"/>
          <w:highlight w:val="none"/>
        </w:rPr>
      </w:pPr>
    </w:p>
    <w:p w14:paraId="7AABBDD8">
      <w:pPr>
        <w:rPr>
          <w:rFonts w:hint="eastAsia"/>
          <w:color w:val="auto"/>
          <w:highlight w:val="none"/>
        </w:rPr>
      </w:pPr>
      <w:r>
        <w:rPr>
          <w:rFonts w:hint="eastAsia" w:ascii="仿宋" w:hAnsi="仿宋" w:eastAsia="仿宋" w:cs="仿宋"/>
          <w:color w:val="auto"/>
          <w:sz w:val="28"/>
          <w:szCs w:val="28"/>
          <w:highlight w:val="none"/>
        </w:rPr>
        <w:t xml:space="preserve">签订日期：    年   月   日    </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color w:val="auto"/>
          <w:sz w:val="28"/>
          <w:szCs w:val="28"/>
          <w:highlight w:val="none"/>
        </w:rPr>
        <w:t xml:space="preserve">  签订日期：    年   月   日</w:t>
      </w:r>
    </w:p>
    <w:p w14:paraId="582A6D57">
      <w:pPr>
        <w:pStyle w:val="19"/>
        <w:keepNext w:val="0"/>
        <w:keepLines w:val="0"/>
        <w:pageBreakBefore w:val="0"/>
        <w:widowControl w:val="0"/>
        <w:kinsoku/>
        <w:wordWrap/>
        <w:overflowPunct/>
        <w:topLinePunct w:val="0"/>
        <w:bidi w:val="0"/>
        <w:spacing w:beforeLines="0" w:afterLines="0"/>
        <w:rPr>
          <w:rFonts w:hint="eastAsia"/>
          <w:color w:val="auto"/>
          <w:highlight w:val="none"/>
        </w:rPr>
        <w:sectPr>
          <w:pgSz w:w="11906" w:h="16838"/>
          <w:pgMar w:top="1134" w:right="1134" w:bottom="1134" w:left="1134" w:header="426" w:footer="751" w:gutter="0"/>
          <w:paperSrc w:first="7"/>
          <w:pgNumType w:fmt="decimal"/>
          <w:cols w:space="0" w:num="1"/>
          <w:titlePg/>
          <w:rtlGutter w:val="0"/>
          <w:docGrid w:linePitch="312" w:charSpace="0"/>
        </w:sectPr>
      </w:pPr>
    </w:p>
    <w:p w14:paraId="4D1466E0">
      <w:pPr>
        <w:pStyle w:val="2"/>
        <w:keepNext w:val="0"/>
        <w:keepLines w:val="0"/>
        <w:pageBreakBefore w:val="0"/>
        <w:widowControl w:val="0"/>
        <w:kinsoku/>
        <w:wordWrap/>
        <w:overflowPunct/>
        <w:topLinePunct w:val="0"/>
        <w:bidi w:val="0"/>
        <w:spacing w:before="0" w:beforeLines="0" w:after="0" w:afterLines="0" w:line="360" w:lineRule="auto"/>
        <w:rPr>
          <w:rFonts w:hint="eastAsia" w:eastAsia="宋体"/>
          <w:color w:val="auto"/>
          <w:sz w:val="24"/>
          <w:szCs w:val="24"/>
          <w:highlight w:val="none"/>
        </w:rPr>
      </w:pPr>
      <w:bookmarkStart w:id="164" w:name="_Toc103216638"/>
      <w:bookmarkStart w:id="165" w:name="_Toc621"/>
      <w:bookmarkStart w:id="166" w:name="_Toc104040755"/>
      <w:bookmarkStart w:id="167" w:name="_Toc104040701"/>
      <w:r>
        <w:rPr>
          <w:rFonts w:hint="eastAsia" w:eastAsia="宋体"/>
          <w:color w:val="auto"/>
          <w:sz w:val="24"/>
          <w:szCs w:val="24"/>
          <w:highlight w:val="none"/>
        </w:rPr>
        <w:t>第六章  响应文件格式</w:t>
      </w:r>
      <w:bookmarkEnd w:id="154"/>
      <w:bookmarkEnd w:id="155"/>
      <w:bookmarkEnd w:id="156"/>
      <w:bookmarkEnd w:id="157"/>
      <w:bookmarkEnd w:id="158"/>
      <w:bookmarkEnd w:id="159"/>
      <w:r>
        <w:rPr>
          <w:rFonts w:hint="eastAsia" w:eastAsia="宋体"/>
          <w:color w:val="auto"/>
          <w:sz w:val="24"/>
          <w:szCs w:val="24"/>
          <w:highlight w:val="none"/>
        </w:rPr>
        <w:t>与要求</w:t>
      </w:r>
      <w:bookmarkEnd w:id="164"/>
      <w:bookmarkEnd w:id="165"/>
      <w:bookmarkEnd w:id="166"/>
      <w:bookmarkEnd w:id="167"/>
    </w:p>
    <w:p w14:paraId="0C75AD6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供应商应提交证明其有资格参加磋商和成交后有能力履行合同的相关文件，并作为其响应文件的一部分，所有文件必须真实可靠、不得伪造，否则将按相关规定予以处罚。</w:t>
      </w:r>
    </w:p>
    <w:p w14:paraId="63FC4CB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1.法人或者其他组织的营业执照等证明文件，自然人的身份证明：</w:t>
      </w:r>
    </w:p>
    <w:p w14:paraId="7A6B6FC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供应商是企业（包括合伙企业），要提供在工商部门注册的有效“企业法人营业执照”或“营业执照”；如供应商是事业单位，要提供有效的“事业单位法人证书”；供应商是非企业专业服务机构，要提供有效的“执业许可证”“登记证书”等证明文件，如律师事务所，会计师事务所要提供执业许可证等证明文件；如供应商是个体工商户，要提供有效的“个体工商户营业执照”；如供应商是自然人，要提供有效的自然人身份证明。</w:t>
      </w:r>
    </w:p>
    <w:p w14:paraId="77BBCFD4">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14:paraId="6CDF9E3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2.财务状况报告，依法缴纳税收和社会保障资金的相关材料。（详见资格性审查表要求）</w:t>
      </w:r>
    </w:p>
    <w:p w14:paraId="71D46F0E">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3.具有履行合同所必需的设备和专业技术能力的声明。</w:t>
      </w:r>
    </w:p>
    <w:p w14:paraId="2408F670">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4.供应商参加政府采购前三年内在经营活动中没有重大违法记录声明函。</w:t>
      </w:r>
    </w:p>
    <w:p w14:paraId="4EEA02D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5.信用记录查询</w:t>
      </w:r>
    </w:p>
    <w:p w14:paraId="40CFA8E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（1）查询渠道：通过“信用中国”网站(www.creditchina.gov.cn)和“中国政府采购网”（www.ccgp.gov.cn）进行查询；</w:t>
      </w:r>
    </w:p>
    <w:p w14:paraId="375B439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（2）查询截止时点：提交响应文件截止日当天；</w:t>
      </w:r>
    </w:p>
    <w:p w14:paraId="4201096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（3）查询记录：对列入失信被执行人、重大税收违法案件当事人名单、政府采购严重违法失信行为记录名单、信用报告进行查询；</w:t>
      </w:r>
    </w:p>
    <w:p w14:paraId="62A9B7F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采购人或采购代理机构应当按照查询渠道、查询时间节点、查询记录内容进行查询，并存档。对信用记录查询结果中显示供应商被列入失信被执行人、重大税收违法案件当事人名单、政府采购严重违法失信行为记录名单的供应商作无效响应处理。</w:t>
      </w:r>
    </w:p>
    <w:p w14:paraId="0319FFB1">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在本采购文件规定的查询时间之外，网站信息发生的任何变更均不作为资格审查依据。</w:t>
      </w:r>
    </w:p>
    <w:p w14:paraId="12A31166">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按照采购文件要求，供应商应当提交的资格、资信证明文件。</w:t>
      </w:r>
    </w:p>
    <w:p w14:paraId="78EBCC4E">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3F1A199E">
      <w:pPr>
        <w:keepNext w:val="0"/>
        <w:keepLines w:val="0"/>
        <w:pageBreakBefore w:val="0"/>
        <w:widowControl w:val="0"/>
        <w:kinsoku/>
        <w:wordWrap/>
        <w:overflowPunct/>
        <w:topLinePunct w:val="0"/>
        <w:bidi w:val="0"/>
        <w:spacing w:beforeLines="0" w:afterLines="0"/>
        <w:rPr>
          <w:rFonts w:hint="eastAsia"/>
          <w:b/>
          <w:bCs/>
          <w:color w:val="auto"/>
          <w:sz w:val="32"/>
          <w:szCs w:val="40"/>
          <w:highlight w:val="none"/>
        </w:rPr>
      </w:pPr>
      <w:r>
        <w:rPr>
          <w:b/>
          <w:bCs/>
          <w:color w:val="auto"/>
          <w:sz w:val="32"/>
          <w:szCs w:val="40"/>
          <w:highlight w:val="none"/>
        </w:rPr>
        <w:br w:type="page"/>
      </w:r>
    </w:p>
    <w:p w14:paraId="4D4A49C1">
      <w:pPr>
        <w:keepNext w:val="0"/>
        <w:keepLines w:val="0"/>
        <w:pageBreakBefore w:val="0"/>
        <w:widowControl w:val="0"/>
        <w:kinsoku/>
        <w:wordWrap/>
        <w:overflowPunct/>
        <w:topLinePunct w:val="0"/>
        <w:bidi w:val="0"/>
        <w:spacing w:beforeLines="0" w:afterLines="0"/>
        <w:jc w:val="center"/>
        <w:outlineLvl w:val="1"/>
        <w:rPr>
          <w:rFonts w:hint="eastAsia"/>
          <w:b/>
          <w:bCs/>
          <w:color w:val="auto"/>
          <w:sz w:val="32"/>
          <w:szCs w:val="40"/>
          <w:highlight w:val="none"/>
        </w:rPr>
      </w:pPr>
      <w:bookmarkStart w:id="168" w:name="_Toc104160524"/>
      <w:bookmarkStart w:id="169" w:name="_Toc4223"/>
      <w:bookmarkStart w:id="170" w:name="_Toc6322297"/>
      <w:bookmarkStart w:id="171" w:name="_Toc462677235"/>
      <w:bookmarkStart w:id="172" w:name="_Toc103033234"/>
      <w:bookmarkStart w:id="173" w:name="_Toc259090983"/>
      <w:bookmarkStart w:id="174" w:name="_Toc67046895"/>
      <w:bookmarkStart w:id="175" w:name="_Toc276645580"/>
      <w:bookmarkStart w:id="176" w:name="_Toc104040702"/>
      <w:bookmarkStart w:id="177" w:name="_Toc104040756"/>
      <w:bookmarkStart w:id="178" w:name="_Toc6727973"/>
      <w:bookmarkStart w:id="179" w:name="_Toc6397152"/>
      <w:bookmarkStart w:id="180" w:name="_Toc32977098"/>
      <w:r>
        <w:rPr>
          <w:rFonts w:hint="eastAsia"/>
          <w:b/>
          <w:bCs/>
          <w:color w:val="auto"/>
          <w:sz w:val="32"/>
          <w:szCs w:val="40"/>
          <w:highlight w:val="none"/>
        </w:rPr>
        <w:t>响应文件封面（参考）</w:t>
      </w:r>
      <w:bookmarkEnd w:id="168"/>
      <w:bookmarkEnd w:id="169"/>
    </w:p>
    <w:p w14:paraId="3409BA6A">
      <w:pPr>
        <w:keepNext w:val="0"/>
        <w:keepLines w:val="0"/>
        <w:pageBreakBefore w:val="0"/>
        <w:widowControl w:val="0"/>
        <w:kinsoku/>
        <w:wordWrap/>
        <w:overflowPunct/>
        <w:topLinePunct w:val="0"/>
        <w:bidi w:val="0"/>
        <w:spacing w:beforeLines="0" w:afterLines="0"/>
        <w:rPr>
          <w:rFonts w:hint="eastAsia"/>
          <w:color w:val="auto"/>
          <w:highlight w:val="none"/>
        </w:rPr>
      </w:pPr>
      <w:r>
        <w:rPr>
          <w:color w:val="auto"/>
          <w:highlight w:val="none"/>
        </w:rPr>
        <mc:AlternateContent>
          <mc:Choice Requires="wps">
            <w:drawing>
              <wp:inline distT="0" distB="0" distL="0" distR="0">
                <wp:extent cx="6153150" cy="7799705"/>
                <wp:effectExtent l="0" t="0" r="19050" b="10795"/>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6153150" cy="7800230"/>
                        </a:xfrm>
                        <a:prstGeom prst="rect">
                          <a:avLst/>
                        </a:prstGeom>
                        <a:solidFill>
                          <a:srgbClr val="FFFFFF"/>
                        </a:solidFill>
                        <a:ln w="9525">
                          <a:solidFill>
                            <a:srgbClr val="000000"/>
                          </a:solidFill>
                          <a:miter lim="800000"/>
                        </a:ln>
                      </wps:spPr>
                      <wps:txbx>
                        <w:txbxContent>
                          <w:p w14:paraId="3BE4AA51">
                            <w:pPr>
                              <w:pStyle w:val="19"/>
                              <w:rPr>
                                <w:rFonts w:hint="eastAsia"/>
                              </w:rPr>
                            </w:pPr>
                          </w:p>
                          <w:p w14:paraId="0A2B6629">
                            <w:pPr>
                              <w:pStyle w:val="19"/>
                              <w:jc w:val="right"/>
                              <w:rPr>
                                <w:rFonts w:hint="eastAsia"/>
                                <w:b/>
                                <w:bCs/>
                                <w:sz w:val="44"/>
                                <w:szCs w:val="40"/>
                              </w:rPr>
                            </w:pPr>
                            <w:r>
                              <w:rPr>
                                <w:rFonts w:hint="eastAsia"/>
                                <w:b/>
                                <w:bCs/>
                                <w:sz w:val="44"/>
                                <w:szCs w:val="40"/>
                              </w:rPr>
                              <w:t>正本/副本</w:t>
                            </w:r>
                          </w:p>
                          <w:p w14:paraId="3D57DE31">
                            <w:pPr>
                              <w:pStyle w:val="19"/>
                              <w:rPr>
                                <w:rFonts w:hint="eastAsia"/>
                                <w:sz w:val="40"/>
                                <w:szCs w:val="36"/>
                              </w:rPr>
                            </w:pPr>
                          </w:p>
                          <w:p w14:paraId="2E8A6359">
                            <w:pPr>
                              <w:pStyle w:val="19"/>
                              <w:jc w:val="center"/>
                              <w:rPr>
                                <w:rFonts w:hint="eastAsia"/>
                                <w:b/>
                                <w:bCs/>
                                <w:sz w:val="84"/>
                                <w:szCs w:val="84"/>
                              </w:rPr>
                            </w:pPr>
                            <w:r>
                              <w:rPr>
                                <w:rFonts w:hint="eastAsia"/>
                                <w:b/>
                                <w:bCs/>
                                <w:sz w:val="84"/>
                                <w:szCs w:val="84"/>
                              </w:rPr>
                              <w:t>响应文件</w:t>
                            </w:r>
                          </w:p>
                          <w:p w14:paraId="6F2F585A">
                            <w:pPr>
                              <w:pStyle w:val="19"/>
                              <w:rPr>
                                <w:rFonts w:hint="eastAsia"/>
                                <w:sz w:val="32"/>
                                <w:szCs w:val="28"/>
                              </w:rPr>
                            </w:pPr>
                          </w:p>
                          <w:p w14:paraId="48BCEA95">
                            <w:pPr>
                              <w:pStyle w:val="19"/>
                              <w:ind w:firstLine="640" w:firstLineChars="200"/>
                              <w:rPr>
                                <w:rFonts w:hint="eastAsia"/>
                                <w:sz w:val="32"/>
                                <w:szCs w:val="32"/>
                              </w:rPr>
                            </w:pPr>
                            <w:r>
                              <w:rPr>
                                <w:rFonts w:hint="eastAsia"/>
                                <w:sz w:val="32"/>
                                <w:szCs w:val="32"/>
                              </w:rPr>
                              <w:t>项目编号：</w:t>
                            </w:r>
                          </w:p>
                          <w:p w14:paraId="09FDB608">
                            <w:pPr>
                              <w:pStyle w:val="19"/>
                              <w:ind w:firstLine="640" w:firstLineChars="200"/>
                              <w:rPr>
                                <w:rFonts w:hint="eastAsia"/>
                                <w:sz w:val="32"/>
                                <w:szCs w:val="32"/>
                              </w:rPr>
                            </w:pPr>
                            <w:r>
                              <w:rPr>
                                <w:rFonts w:hint="eastAsia"/>
                                <w:sz w:val="32"/>
                                <w:szCs w:val="32"/>
                              </w:rPr>
                              <w:t>项目名称：</w:t>
                            </w:r>
                          </w:p>
                          <w:p w14:paraId="15024E9D">
                            <w:pPr>
                              <w:pStyle w:val="19"/>
                              <w:ind w:firstLine="640" w:firstLineChars="200"/>
                              <w:rPr>
                                <w:rFonts w:hint="eastAsia"/>
                                <w:color w:val="FF0000"/>
                                <w:sz w:val="32"/>
                                <w:szCs w:val="32"/>
                              </w:rPr>
                            </w:pPr>
                          </w:p>
                          <w:p w14:paraId="2BAA2115">
                            <w:pPr>
                              <w:pStyle w:val="19"/>
                              <w:ind w:firstLine="640" w:firstLineChars="200"/>
                              <w:rPr>
                                <w:rFonts w:hint="eastAsia"/>
                                <w:sz w:val="32"/>
                                <w:szCs w:val="32"/>
                              </w:rPr>
                            </w:pPr>
                          </w:p>
                          <w:p w14:paraId="55172F75">
                            <w:pPr>
                              <w:pStyle w:val="19"/>
                              <w:ind w:firstLine="640" w:firstLineChars="200"/>
                              <w:rPr>
                                <w:rFonts w:hint="eastAsia"/>
                                <w:sz w:val="32"/>
                                <w:szCs w:val="32"/>
                              </w:rPr>
                            </w:pPr>
                            <w:r>
                              <w:rPr>
                                <w:rFonts w:hint="eastAsia"/>
                                <w:sz w:val="32"/>
                                <w:szCs w:val="32"/>
                              </w:rPr>
                              <w:t>供应商名称：</w:t>
                            </w:r>
                          </w:p>
                          <w:p w14:paraId="78CCDD05">
                            <w:pPr>
                              <w:pStyle w:val="19"/>
                              <w:ind w:firstLine="640" w:firstLineChars="200"/>
                              <w:rPr>
                                <w:rFonts w:hint="eastAsia"/>
                                <w:sz w:val="32"/>
                                <w:szCs w:val="32"/>
                              </w:rPr>
                            </w:pPr>
                            <w:r>
                              <w:rPr>
                                <w:rFonts w:hint="eastAsia"/>
                                <w:sz w:val="32"/>
                                <w:szCs w:val="32"/>
                              </w:rPr>
                              <w:t>供应商地址：</w:t>
                            </w:r>
                          </w:p>
                          <w:p w14:paraId="45CC3D77">
                            <w:pPr>
                              <w:pStyle w:val="19"/>
                              <w:ind w:firstLine="640" w:firstLineChars="200"/>
                              <w:rPr>
                                <w:rFonts w:hint="eastAsia"/>
                                <w:sz w:val="32"/>
                                <w:szCs w:val="32"/>
                              </w:rPr>
                            </w:pPr>
                            <w:r>
                              <w:rPr>
                                <w:rFonts w:hint="eastAsia"/>
                                <w:sz w:val="32"/>
                                <w:szCs w:val="32"/>
                              </w:rPr>
                              <w:t>供应商法定代表人或其授权委托人：</w:t>
                            </w:r>
                          </w:p>
                          <w:p w14:paraId="5AF6ABD0">
                            <w:pPr>
                              <w:pStyle w:val="19"/>
                              <w:ind w:firstLine="640" w:firstLineChars="200"/>
                              <w:rPr>
                                <w:rFonts w:hint="eastAsia"/>
                                <w:sz w:val="32"/>
                                <w:szCs w:val="32"/>
                              </w:rPr>
                            </w:pPr>
                            <w:r>
                              <w:rPr>
                                <w:rFonts w:hint="eastAsia"/>
                                <w:sz w:val="32"/>
                                <w:szCs w:val="32"/>
                              </w:rPr>
                              <w:t>联系电话：</w:t>
                            </w:r>
                          </w:p>
                          <w:p w14:paraId="6AE43241">
                            <w:pPr>
                              <w:pStyle w:val="19"/>
                              <w:rPr>
                                <w:rFonts w:hint="eastAsia"/>
                                <w:sz w:val="32"/>
                                <w:szCs w:val="32"/>
                              </w:rPr>
                            </w:pPr>
                          </w:p>
                          <w:p w14:paraId="66680D55">
                            <w:pPr>
                              <w:pStyle w:val="19"/>
                              <w:jc w:val="center"/>
                              <w:rPr>
                                <w:rFonts w:hint="eastAsia"/>
                                <w:sz w:val="32"/>
                                <w:szCs w:val="32"/>
                              </w:rPr>
                            </w:pPr>
                            <w:r>
                              <w:rPr>
                                <w:rFonts w:hint="eastAsia"/>
                                <w:sz w:val="32"/>
                                <w:szCs w:val="32"/>
                              </w:rPr>
                              <w:t>---本项目开启前不准启封---</w:t>
                            </w:r>
                          </w:p>
                          <w:p w14:paraId="07F90FFA">
                            <w:pPr>
                              <w:pStyle w:val="19"/>
                              <w:rPr>
                                <w:rFonts w:hint="eastAsia"/>
                                <w:sz w:val="32"/>
                                <w:szCs w:val="32"/>
                              </w:rPr>
                            </w:pPr>
                          </w:p>
                          <w:p w14:paraId="63AA1338">
                            <w:pPr>
                              <w:pStyle w:val="19"/>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txbxContent>
                      </wps:txbx>
                      <wps:bodyPr rot="0" vert="horz" wrap="square" lIns="91440" tIns="45720" rIns="91440" bIns="45720" anchor="t" anchorCtr="0" upright="1">
                        <a:noAutofit/>
                      </wps:bodyPr>
                    </wps:wsp>
                  </a:graphicData>
                </a:graphic>
              </wp:inline>
            </w:drawing>
          </mc:Choice>
          <mc:Fallback>
            <w:pict>
              <v:shape id="_x0000_s1026" o:spid="_x0000_s1026" o:spt="202" type="#_x0000_t202" style="height:614.15pt;width:484.5pt;" fillcolor="#FFFFFF" filled="t" stroked="t" coordsize="21600,21600" o:gfxdata="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AtrsTLVAAAABgEAAA8AAAAAAAAAAQAgAAAAIgAA&#10;AGRycy9kb3ducmV2LnhtbFBLAQIUABQAAAAIAIdO4kCe0irTRAIAAIgEAAAOAAAAAAAAAAEAIAAA&#10;ACQBAABkcnMvZTJvRG9jLnhtbFBLBQYAAAAABgAGAFkBAADaBQAAAAA=&#10;">
                <v:fill on="t" focussize="0,0"/>
                <v:stroke color="#000000" miterlimit="8" joinstyle="miter"/>
                <v:imagedata o:title=""/>
                <o:lock v:ext="edit" aspectratio="f"/>
                <v:textbox>
                  <w:txbxContent>
                    <w:p w14:paraId="3BE4AA51">
                      <w:pPr>
                        <w:pStyle w:val="19"/>
                        <w:rPr>
                          <w:rFonts w:hint="eastAsia"/>
                        </w:rPr>
                      </w:pPr>
                    </w:p>
                    <w:p w14:paraId="0A2B6629">
                      <w:pPr>
                        <w:pStyle w:val="19"/>
                        <w:jc w:val="right"/>
                        <w:rPr>
                          <w:rFonts w:hint="eastAsia"/>
                          <w:b/>
                          <w:bCs/>
                          <w:sz w:val="44"/>
                          <w:szCs w:val="40"/>
                        </w:rPr>
                      </w:pPr>
                      <w:r>
                        <w:rPr>
                          <w:rFonts w:hint="eastAsia"/>
                          <w:b/>
                          <w:bCs/>
                          <w:sz w:val="44"/>
                          <w:szCs w:val="40"/>
                        </w:rPr>
                        <w:t>正本/副本</w:t>
                      </w:r>
                    </w:p>
                    <w:p w14:paraId="3D57DE31">
                      <w:pPr>
                        <w:pStyle w:val="19"/>
                        <w:rPr>
                          <w:rFonts w:hint="eastAsia"/>
                          <w:sz w:val="40"/>
                          <w:szCs w:val="36"/>
                        </w:rPr>
                      </w:pPr>
                    </w:p>
                    <w:p w14:paraId="2E8A6359">
                      <w:pPr>
                        <w:pStyle w:val="19"/>
                        <w:jc w:val="center"/>
                        <w:rPr>
                          <w:rFonts w:hint="eastAsia"/>
                          <w:b/>
                          <w:bCs/>
                          <w:sz w:val="84"/>
                          <w:szCs w:val="84"/>
                        </w:rPr>
                      </w:pPr>
                      <w:r>
                        <w:rPr>
                          <w:rFonts w:hint="eastAsia"/>
                          <w:b/>
                          <w:bCs/>
                          <w:sz w:val="84"/>
                          <w:szCs w:val="84"/>
                        </w:rPr>
                        <w:t>响应文件</w:t>
                      </w:r>
                    </w:p>
                    <w:p w14:paraId="6F2F585A">
                      <w:pPr>
                        <w:pStyle w:val="19"/>
                        <w:rPr>
                          <w:rFonts w:hint="eastAsia"/>
                          <w:sz w:val="32"/>
                          <w:szCs w:val="28"/>
                        </w:rPr>
                      </w:pPr>
                    </w:p>
                    <w:p w14:paraId="48BCEA95">
                      <w:pPr>
                        <w:pStyle w:val="19"/>
                        <w:ind w:firstLine="640" w:firstLineChars="200"/>
                        <w:rPr>
                          <w:rFonts w:hint="eastAsia"/>
                          <w:sz w:val="32"/>
                          <w:szCs w:val="32"/>
                        </w:rPr>
                      </w:pPr>
                      <w:r>
                        <w:rPr>
                          <w:rFonts w:hint="eastAsia"/>
                          <w:sz w:val="32"/>
                          <w:szCs w:val="32"/>
                        </w:rPr>
                        <w:t>项目编号：</w:t>
                      </w:r>
                    </w:p>
                    <w:p w14:paraId="09FDB608">
                      <w:pPr>
                        <w:pStyle w:val="19"/>
                        <w:ind w:firstLine="640" w:firstLineChars="200"/>
                        <w:rPr>
                          <w:rFonts w:hint="eastAsia"/>
                          <w:sz w:val="32"/>
                          <w:szCs w:val="32"/>
                        </w:rPr>
                      </w:pPr>
                      <w:r>
                        <w:rPr>
                          <w:rFonts w:hint="eastAsia"/>
                          <w:sz w:val="32"/>
                          <w:szCs w:val="32"/>
                        </w:rPr>
                        <w:t>项目名称：</w:t>
                      </w:r>
                    </w:p>
                    <w:p w14:paraId="15024E9D">
                      <w:pPr>
                        <w:pStyle w:val="19"/>
                        <w:ind w:firstLine="640" w:firstLineChars="200"/>
                        <w:rPr>
                          <w:rFonts w:hint="eastAsia"/>
                          <w:color w:val="FF0000"/>
                          <w:sz w:val="32"/>
                          <w:szCs w:val="32"/>
                        </w:rPr>
                      </w:pPr>
                    </w:p>
                    <w:p w14:paraId="2BAA2115">
                      <w:pPr>
                        <w:pStyle w:val="19"/>
                        <w:ind w:firstLine="640" w:firstLineChars="200"/>
                        <w:rPr>
                          <w:rFonts w:hint="eastAsia"/>
                          <w:sz w:val="32"/>
                          <w:szCs w:val="32"/>
                        </w:rPr>
                      </w:pPr>
                    </w:p>
                    <w:p w14:paraId="55172F75">
                      <w:pPr>
                        <w:pStyle w:val="19"/>
                        <w:ind w:firstLine="640" w:firstLineChars="200"/>
                        <w:rPr>
                          <w:rFonts w:hint="eastAsia"/>
                          <w:sz w:val="32"/>
                          <w:szCs w:val="32"/>
                        </w:rPr>
                      </w:pPr>
                      <w:r>
                        <w:rPr>
                          <w:rFonts w:hint="eastAsia"/>
                          <w:sz w:val="32"/>
                          <w:szCs w:val="32"/>
                        </w:rPr>
                        <w:t>供应商名称：</w:t>
                      </w:r>
                    </w:p>
                    <w:p w14:paraId="78CCDD05">
                      <w:pPr>
                        <w:pStyle w:val="19"/>
                        <w:ind w:firstLine="640" w:firstLineChars="200"/>
                        <w:rPr>
                          <w:rFonts w:hint="eastAsia"/>
                          <w:sz w:val="32"/>
                          <w:szCs w:val="32"/>
                        </w:rPr>
                      </w:pPr>
                      <w:r>
                        <w:rPr>
                          <w:rFonts w:hint="eastAsia"/>
                          <w:sz w:val="32"/>
                          <w:szCs w:val="32"/>
                        </w:rPr>
                        <w:t>供应商地址：</w:t>
                      </w:r>
                    </w:p>
                    <w:p w14:paraId="45CC3D77">
                      <w:pPr>
                        <w:pStyle w:val="19"/>
                        <w:ind w:firstLine="640" w:firstLineChars="200"/>
                        <w:rPr>
                          <w:rFonts w:hint="eastAsia"/>
                          <w:sz w:val="32"/>
                          <w:szCs w:val="32"/>
                        </w:rPr>
                      </w:pPr>
                      <w:r>
                        <w:rPr>
                          <w:rFonts w:hint="eastAsia"/>
                          <w:sz w:val="32"/>
                          <w:szCs w:val="32"/>
                        </w:rPr>
                        <w:t>供应商法定代表人或其授权委托人：</w:t>
                      </w:r>
                    </w:p>
                    <w:p w14:paraId="5AF6ABD0">
                      <w:pPr>
                        <w:pStyle w:val="19"/>
                        <w:ind w:firstLine="640" w:firstLineChars="200"/>
                        <w:rPr>
                          <w:rFonts w:hint="eastAsia"/>
                          <w:sz w:val="32"/>
                          <w:szCs w:val="32"/>
                        </w:rPr>
                      </w:pPr>
                      <w:r>
                        <w:rPr>
                          <w:rFonts w:hint="eastAsia"/>
                          <w:sz w:val="32"/>
                          <w:szCs w:val="32"/>
                        </w:rPr>
                        <w:t>联系电话：</w:t>
                      </w:r>
                    </w:p>
                    <w:p w14:paraId="6AE43241">
                      <w:pPr>
                        <w:pStyle w:val="19"/>
                        <w:rPr>
                          <w:rFonts w:hint="eastAsia"/>
                          <w:sz w:val="32"/>
                          <w:szCs w:val="32"/>
                        </w:rPr>
                      </w:pPr>
                    </w:p>
                    <w:p w14:paraId="66680D55">
                      <w:pPr>
                        <w:pStyle w:val="19"/>
                        <w:jc w:val="center"/>
                        <w:rPr>
                          <w:rFonts w:hint="eastAsia"/>
                          <w:sz w:val="32"/>
                          <w:szCs w:val="32"/>
                        </w:rPr>
                      </w:pPr>
                      <w:r>
                        <w:rPr>
                          <w:rFonts w:hint="eastAsia"/>
                          <w:sz w:val="32"/>
                          <w:szCs w:val="32"/>
                        </w:rPr>
                        <w:t>---本项目开启前不准启封---</w:t>
                      </w:r>
                    </w:p>
                    <w:p w14:paraId="07F90FFA">
                      <w:pPr>
                        <w:pStyle w:val="19"/>
                        <w:rPr>
                          <w:rFonts w:hint="eastAsia"/>
                          <w:sz w:val="32"/>
                          <w:szCs w:val="32"/>
                        </w:rPr>
                      </w:pPr>
                    </w:p>
                    <w:p w14:paraId="63AA1338">
                      <w:pPr>
                        <w:pStyle w:val="19"/>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txbxContent>
                </v:textbox>
                <w10:wrap type="none"/>
                <w10:anchorlock/>
              </v:shape>
            </w:pict>
          </mc:Fallback>
        </mc:AlternateContent>
      </w:r>
    </w:p>
    <w:p w14:paraId="47DBA439">
      <w:pPr>
        <w:keepNext w:val="0"/>
        <w:keepLines w:val="0"/>
        <w:pageBreakBefore w:val="0"/>
        <w:widowControl w:val="0"/>
        <w:kinsoku/>
        <w:wordWrap/>
        <w:overflowPunct/>
        <w:topLinePunct w:val="0"/>
        <w:bidi w:val="0"/>
        <w:spacing w:beforeLines="0" w:afterLines="0"/>
        <w:rPr>
          <w:rFonts w:hint="eastAsia"/>
          <w:b/>
          <w:bCs/>
          <w:color w:val="auto"/>
          <w:sz w:val="36"/>
          <w:szCs w:val="44"/>
          <w:highlight w:val="none"/>
        </w:rPr>
      </w:pPr>
      <w:r>
        <w:rPr>
          <w:rFonts w:hint="eastAsia"/>
          <w:b/>
          <w:bCs/>
          <w:color w:val="auto"/>
          <w:sz w:val="24"/>
          <w:szCs w:val="32"/>
          <w:highlight w:val="none"/>
        </w:rPr>
        <w:t>说明：请供应商自行编制响应文件目录。</w:t>
      </w:r>
      <w:r>
        <w:rPr>
          <w:b/>
          <w:bCs/>
          <w:color w:val="auto"/>
          <w:sz w:val="36"/>
          <w:szCs w:val="44"/>
          <w:highlight w:val="none"/>
        </w:rPr>
        <w:br w:type="page"/>
      </w:r>
    </w:p>
    <w:p w14:paraId="5A60C07C">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181" w:name="_Toc19874"/>
      <w:r>
        <w:rPr>
          <w:rFonts w:hint="eastAsia" w:ascii="宋体" w:hAnsi="宋体" w:eastAsia="宋体"/>
          <w:color w:val="auto"/>
          <w:sz w:val="24"/>
          <w:szCs w:val="24"/>
          <w:highlight w:val="none"/>
        </w:rPr>
        <w:t>响应承诺函</w:t>
      </w:r>
      <w:bookmarkEnd w:id="170"/>
      <w:bookmarkEnd w:id="171"/>
      <w:bookmarkEnd w:id="172"/>
      <w:bookmarkEnd w:id="173"/>
      <w:bookmarkEnd w:id="174"/>
      <w:bookmarkEnd w:id="175"/>
      <w:bookmarkEnd w:id="176"/>
      <w:bookmarkEnd w:id="177"/>
      <w:bookmarkEnd w:id="181"/>
    </w:p>
    <w:p w14:paraId="597A5586">
      <w:pPr>
        <w:keepNext w:val="0"/>
        <w:keepLines w:val="0"/>
        <w:pageBreakBefore w:val="0"/>
        <w:widowControl w:val="0"/>
        <w:kinsoku/>
        <w:wordWrap/>
        <w:overflowPunct/>
        <w:topLinePunct w:val="0"/>
        <w:bidi w:val="0"/>
        <w:spacing w:beforeLines="0" w:afterLines="0"/>
        <w:jc w:val="center"/>
        <w:rPr>
          <w:rFonts w:hint="eastAsia"/>
          <w:b/>
          <w:bCs/>
          <w:color w:val="auto"/>
          <w:sz w:val="28"/>
          <w:szCs w:val="28"/>
          <w:highlight w:val="none"/>
        </w:rPr>
      </w:pPr>
      <w:r>
        <w:rPr>
          <w:rFonts w:hint="eastAsia"/>
          <w:b/>
          <w:bCs/>
          <w:color w:val="auto"/>
          <w:sz w:val="28"/>
          <w:szCs w:val="28"/>
          <w:highlight w:val="none"/>
        </w:rPr>
        <w:t>响应承诺函</w:t>
      </w:r>
    </w:p>
    <w:p w14:paraId="120D5CD1">
      <w:pPr>
        <w:keepNext w:val="0"/>
        <w:keepLines w:val="0"/>
        <w:pageBreakBefore w:val="0"/>
        <w:widowControl w:val="0"/>
        <w:kinsoku/>
        <w:wordWrap/>
        <w:overflowPunct/>
        <w:topLinePunct w:val="0"/>
        <w:bidi w:val="0"/>
        <w:adjustRightInd w:val="0"/>
        <w:snapToGrid w:val="0"/>
        <w:spacing w:beforeLines="0" w:afterLines="0"/>
        <w:rPr>
          <w:rFonts w:hint="eastAsia"/>
          <w:i/>
          <w:iCs/>
          <w:color w:val="auto"/>
          <w:sz w:val="24"/>
          <w:highlight w:val="none"/>
          <w:u w:val="single"/>
        </w:rPr>
      </w:pPr>
      <w:r>
        <w:rPr>
          <w:rFonts w:hint="eastAsia"/>
          <w:color w:val="auto"/>
          <w:sz w:val="24"/>
          <w:highlight w:val="none"/>
        </w:rPr>
        <w:t>致：公诚管理咨询有限公司</w:t>
      </w:r>
    </w:p>
    <w:p w14:paraId="3096A014">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你方组织的</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 xml:space="preserve">中华人民共和国横琴出入境边防检查站2026年政府采购限额标准以下零星修缮工程 </w:t>
      </w:r>
      <w:r>
        <w:rPr>
          <w:color w:val="auto"/>
          <w:highlight w:val="none"/>
          <w:lang w:eastAsia="zh-CN"/>
        </w:rPr>
        <w:t>[项目编号：</w:t>
      </w:r>
      <w:r>
        <w:rPr>
          <w:color w:val="auto"/>
          <w:highlight w:val="none"/>
          <w:u w:val="single"/>
          <w:lang w:eastAsia="zh-CN"/>
        </w:rPr>
        <w:t xml:space="preserve">     </w:t>
      </w:r>
      <w:r>
        <w:rPr>
          <w:color w:val="auto"/>
          <w:highlight w:val="none"/>
          <w:lang w:eastAsia="zh-CN"/>
        </w:rPr>
        <w:t>]</w:t>
      </w:r>
      <w:r>
        <w:rPr>
          <w:rFonts w:hint="eastAsia"/>
          <w:color w:val="auto"/>
          <w:highlight w:val="none"/>
          <w:lang w:eastAsia="zh-CN"/>
        </w:rPr>
        <w:t>的竞争性磋商</w:t>
      </w:r>
      <w:r>
        <w:rPr>
          <w:color w:val="auto"/>
          <w:highlight w:val="none"/>
          <w:lang w:eastAsia="zh-CN"/>
        </w:rPr>
        <w:t>，我方愿参与</w:t>
      </w:r>
      <w:r>
        <w:rPr>
          <w:rFonts w:hint="eastAsia"/>
          <w:color w:val="auto"/>
          <w:highlight w:val="none"/>
          <w:lang w:eastAsia="zh-CN"/>
        </w:rPr>
        <w:t>响应</w:t>
      </w:r>
      <w:r>
        <w:rPr>
          <w:color w:val="auto"/>
          <w:highlight w:val="none"/>
          <w:lang w:eastAsia="zh-CN"/>
        </w:rPr>
        <w:t>。</w:t>
      </w:r>
    </w:p>
    <w:p w14:paraId="1C4FC0A1">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我方确认收到贵方提供的</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 xml:space="preserve">中华人民共和国横琴出入境边防检查站2026年政府采购限额标准以下零星修缮工程 </w:t>
      </w:r>
      <w:r>
        <w:rPr>
          <w:color w:val="auto"/>
          <w:highlight w:val="none"/>
          <w:lang w:eastAsia="zh-CN"/>
        </w:rPr>
        <w:t>的</w:t>
      </w:r>
      <w:r>
        <w:rPr>
          <w:rFonts w:hint="eastAsia"/>
          <w:color w:val="auto"/>
          <w:highlight w:val="none"/>
          <w:lang w:eastAsia="zh-CN"/>
        </w:rPr>
        <w:t>磋商</w:t>
      </w:r>
      <w:r>
        <w:rPr>
          <w:color w:val="auto"/>
          <w:highlight w:val="none"/>
          <w:lang w:eastAsia="zh-CN"/>
        </w:rPr>
        <w:t>文件的全部内容。</w:t>
      </w:r>
    </w:p>
    <w:p w14:paraId="48291D36">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我方在参与响应前已详细研究了磋商文件的所有内容，包括澄清、修改文件（如果有）和所有已提供的参考资料以及有关附件，我方完全明白并认为此磋商文件没有倾向性，也不存在排斥潜在供应商的内容，我方同意磋商文件的相关条款，放弃对磋商文件提出误解和质疑的一切权力。</w:t>
      </w:r>
    </w:p>
    <w:p w14:paraId="1E34FB56">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color w:val="auto"/>
          <w:highlight w:val="none"/>
          <w:u w:val="single"/>
          <w:lang w:eastAsia="zh-CN"/>
        </w:rPr>
        <w:t xml:space="preserve">       </w:t>
      </w:r>
      <w:r>
        <w:rPr>
          <w:rFonts w:hint="eastAsia"/>
          <w:color w:val="auto"/>
          <w:highlight w:val="none"/>
          <w:u w:val="single"/>
          <w:lang w:eastAsia="zh-CN"/>
        </w:rPr>
        <w:t>（供应商</w:t>
      </w:r>
      <w:r>
        <w:rPr>
          <w:color w:val="auto"/>
          <w:highlight w:val="none"/>
          <w:u w:val="single"/>
          <w:lang w:eastAsia="zh-CN"/>
        </w:rPr>
        <w:t>名称</w:t>
      </w:r>
      <w:r>
        <w:rPr>
          <w:rFonts w:hint="eastAsia"/>
          <w:color w:val="auto"/>
          <w:highlight w:val="none"/>
          <w:u w:val="single"/>
          <w:lang w:eastAsia="zh-CN"/>
        </w:rPr>
        <w:t>）</w:t>
      </w:r>
      <w:r>
        <w:rPr>
          <w:color w:val="auto"/>
          <w:highlight w:val="none"/>
          <w:lang w:eastAsia="zh-CN"/>
        </w:rPr>
        <w:t>作为</w:t>
      </w:r>
      <w:r>
        <w:rPr>
          <w:rFonts w:hint="eastAsia"/>
          <w:color w:val="auto"/>
          <w:highlight w:val="none"/>
          <w:lang w:eastAsia="zh-CN"/>
        </w:rPr>
        <w:t>供应商</w:t>
      </w:r>
      <w:r>
        <w:rPr>
          <w:color w:val="auto"/>
          <w:highlight w:val="none"/>
          <w:lang w:eastAsia="zh-CN"/>
        </w:rPr>
        <w:t>正式授权</w:t>
      </w:r>
      <w:r>
        <w:rPr>
          <w:rFonts w:hint="eastAsia"/>
          <w:color w:val="auto"/>
          <w:highlight w:val="none"/>
          <w:u w:val="single"/>
          <w:lang w:eastAsia="zh-CN"/>
        </w:rPr>
        <w:t xml:space="preserve"> </w:t>
      </w:r>
      <w:r>
        <w:rPr>
          <w:color w:val="auto"/>
          <w:highlight w:val="none"/>
          <w:u w:val="single"/>
          <w:lang w:eastAsia="zh-CN"/>
        </w:rPr>
        <w:t xml:space="preserve">      </w:t>
      </w:r>
      <w:r>
        <w:rPr>
          <w:rFonts w:hint="eastAsia"/>
          <w:color w:val="auto"/>
          <w:highlight w:val="none"/>
          <w:u w:val="single"/>
          <w:lang w:eastAsia="zh-CN"/>
        </w:rPr>
        <w:t>（</w:t>
      </w:r>
      <w:r>
        <w:rPr>
          <w:color w:val="auto"/>
          <w:highlight w:val="none"/>
          <w:u w:val="single"/>
          <w:lang w:eastAsia="zh-CN"/>
        </w:rPr>
        <w:t>授权代表全名,职务</w:t>
      </w:r>
      <w:r>
        <w:rPr>
          <w:rFonts w:hint="eastAsia"/>
          <w:color w:val="auto"/>
          <w:highlight w:val="none"/>
          <w:u w:val="single"/>
          <w:lang w:eastAsia="zh-CN"/>
        </w:rPr>
        <w:t>）</w:t>
      </w:r>
      <w:r>
        <w:rPr>
          <w:color w:val="auto"/>
          <w:highlight w:val="none"/>
          <w:lang w:eastAsia="zh-CN"/>
        </w:rPr>
        <w:t>代表</w:t>
      </w:r>
      <w:r>
        <w:rPr>
          <w:rFonts w:hint="eastAsia"/>
          <w:color w:val="auto"/>
          <w:highlight w:val="none"/>
          <w:lang w:eastAsia="zh-CN"/>
        </w:rPr>
        <w:t>我方全权处理有关本响应的一切事宜</w:t>
      </w:r>
      <w:r>
        <w:rPr>
          <w:color w:val="auto"/>
          <w:highlight w:val="none"/>
          <w:lang w:eastAsia="zh-CN"/>
        </w:rPr>
        <w:t xml:space="preserve">。   </w:t>
      </w:r>
    </w:p>
    <w:p w14:paraId="4C14AACB">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我方已完全明白磋商文件的所有条款要求，并申明如下：</w:t>
      </w:r>
    </w:p>
    <w:p w14:paraId="45682E55">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（一）按磋商文件提供的全部货物（工程、服务）与相关服务的磋商总价详见《首轮报价表》。</w:t>
      </w:r>
    </w:p>
    <w:p w14:paraId="5730826E">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二）本响应文件的有效期为从提交投标（响应）文件的截止之日起90日历天。如成交，有效期将延至合同终止日为止。在此提交的资格证明文件均至响应截止日有效，如有在响应有效期内失效的，我方承诺在成交后补齐一切手续，保证所有资格证明文件能在签订采购合同时直至采购合同终止日有效。</w:t>
      </w:r>
    </w:p>
    <w:p w14:paraId="5DA484F2">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（三）我方明白并同意，在规定的开启日之后，响应有效期之内撤回响应或成交后不按规定与采购人签订合同或不提交履约保证金, 则贵方将不予退还响应保证金。（若不收取响应保证金，则此条不适用）</w:t>
      </w:r>
    </w:p>
    <w:p w14:paraId="6E3311AD">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（四）我方愿意向贵方提供任何与本项报价有关的数据、情况和技术资料。若贵方需要，我方愿意提供我方作出的一切承诺的证明材料。</w:t>
      </w:r>
    </w:p>
    <w:p w14:paraId="24023702">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（五）我方理解贵方不一定接受最低磋商价或任何贵方可能收到的响应。</w:t>
      </w:r>
    </w:p>
    <w:p w14:paraId="5B1F49B7">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（六）我方如果成交，将保证履行磋商文件及其澄清、修改文件（如果有）中的全部责任和义务，按质、按量、按期完成《采购需求》及《合同书》中的全部任务。</w:t>
      </w:r>
    </w:p>
    <w:p w14:paraId="03CFD335">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（七）我方作为法律、财务和运作上独立于采购人、采购代理机构的供应商，在此保证所提交的所有文件和全部说明是真实的和正确的。</w:t>
      </w:r>
    </w:p>
    <w:p w14:paraId="26B99008">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（八）我方磋商报价已包含应向知识产权所有权人支付的所有相关税费，并保证采购人在中国使用我方提供的货物时，如有第三方提出侵犯其知识产权主张的，责任由我方承担。</w:t>
      </w:r>
    </w:p>
    <w:p w14:paraId="647C4124">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（九）我方接受采购人委托向贵方支付代理服务费，项目总报价已包含代理服务费，如果被确定为成交供应商，承诺向贵方足额支付。（若采购人支付代理服务费，则此条不适用）</w:t>
      </w:r>
    </w:p>
    <w:p w14:paraId="159E66CE">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（十）我方与其他供应商不存在单位负责人为同一人或者存在直接控股、管理关系。</w:t>
      </w:r>
    </w:p>
    <w:p w14:paraId="50FB9A9C">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（十一）我方承诺未为本项目提供整体设计、规范编制或者项目管理、监理、检测等服务。</w:t>
      </w:r>
    </w:p>
    <w:p w14:paraId="25482C8E">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（十二）我方未被列入法院失信被执行人名单中。</w:t>
      </w:r>
    </w:p>
    <w:p w14:paraId="573449C4">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（十三）我方承诺遵守《中华人民共和国</w:t>
      </w:r>
      <w:r>
        <w:rPr>
          <w:rFonts w:hint="eastAsia"/>
          <w:color w:val="auto"/>
          <w:highlight w:val="none"/>
          <w:lang w:val="en-US" w:eastAsia="zh-CN"/>
        </w:rPr>
        <w:t>民法典</w:t>
      </w:r>
      <w:r>
        <w:rPr>
          <w:rFonts w:hint="eastAsia"/>
          <w:color w:val="auto"/>
          <w:highlight w:val="none"/>
          <w:lang w:eastAsia="zh-CN"/>
        </w:rPr>
        <w:t>》有关规定和《中华人民共和国妇女权益保障法》中关于“劳动和社会保障权益”的有关要求。</w:t>
      </w:r>
    </w:p>
    <w:p w14:paraId="123ED9D8">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（十四）我方具备《中华人民共和国政府采购法》第二十二条规定的条件，承诺如下：</w:t>
      </w:r>
    </w:p>
    <w:p w14:paraId="4DD9B70D">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36E6523E">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（2）我方符合法律、行政法规规定的其他条件。</w:t>
      </w:r>
    </w:p>
    <w:p w14:paraId="76609E59">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以上内容如有虚假或与事实不符的，磋商小组可将我方做无效响应处理，我方愿意承担相应的法律责任。</w:t>
      </w:r>
    </w:p>
    <w:p w14:paraId="53965880">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（十五）我方对在本函及响应文件中所作的所有承诺承担法律责任。</w:t>
      </w:r>
    </w:p>
    <w:p w14:paraId="1A8884ED">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（十六）所有与本磋商有关的函件请发往下列地址：</w:t>
      </w:r>
    </w:p>
    <w:p w14:paraId="0F5C90F4">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u w:val="single"/>
          <w:lang w:eastAsia="zh-CN"/>
        </w:rPr>
      </w:pPr>
      <w:r>
        <w:rPr>
          <w:rFonts w:hint="eastAsia"/>
          <w:color w:val="auto"/>
          <w:highlight w:val="none"/>
          <w:lang w:eastAsia="zh-CN"/>
        </w:rPr>
        <w:t xml:space="preserve">地 </w:t>
      </w:r>
      <w:r>
        <w:rPr>
          <w:color w:val="auto"/>
          <w:highlight w:val="none"/>
          <w:lang w:eastAsia="zh-CN"/>
        </w:rPr>
        <w:t xml:space="preserve">   址：</w:t>
      </w:r>
      <w:r>
        <w:rPr>
          <w:color w:val="auto"/>
          <w:highlight w:val="none"/>
          <w:u w:val="single"/>
          <w:lang w:eastAsia="zh-CN"/>
        </w:rPr>
        <w:t xml:space="preserve">               .</w:t>
      </w:r>
    </w:p>
    <w:p w14:paraId="1BCD6989">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u w:val="single"/>
          <w:lang w:eastAsia="zh-CN"/>
        </w:rPr>
      </w:pPr>
      <w:r>
        <w:rPr>
          <w:color w:val="auto"/>
          <w:highlight w:val="none"/>
          <w:lang w:eastAsia="zh-CN"/>
        </w:rPr>
        <w:t>电</w:t>
      </w:r>
      <w:r>
        <w:rPr>
          <w:rFonts w:hint="eastAsia"/>
          <w:color w:val="auto"/>
          <w:highlight w:val="none"/>
          <w:lang w:eastAsia="zh-CN"/>
        </w:rPr>
        <w:t xml:space="preserve"> </w:t>
      </w:r>
      <w:r>
        <w:rPr>
          <w:color w:val="auto"/>
          <w:highlight w:val="none"/>
          <w:lang w:eastAsia="zh-CN"/>
        </w:rPr>
        <w:t xml:space="preserve">   话：</w:t>
      </w:r>
      <w:r>
        <w:rPr>
          <w:color w:val="auto"/>
          <w:highlight w:val="none"/>
          <w:u w:val="single"/>
          <w:lang w:eastAsia="zh-CN"/>
        </w:rPr>
        <w:t xml:space="preserve">               .</w:t>
      </w:r>
    </w:p>
    <w:p w14:paraId="174C7F9C">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r>
        <w:rPr>
          <w:rFonts w:hint="eastAsia"/>
          <w:color w:val="auto"/>
          <w:highlight w:val="none"/>
          <w:lang w:eastAsia="zh-CN"/>
        </w:rPr>
        <w:t>电子邮箱</w:t>
      </w:r>
      <w:r>
        <w:rPr>
          <w:color w:val="auto"/>
          <w:highlight w:val="none"/>
          <w:lang w:eastAsia="zh-CN"/>
        </w:rPr>
        <w:t>：</w:t>
      </w:r>
      <w:r>
        <w:rPr>
          <w:color w:val="auto"/>
          <w:highlight w:val="none"/>
          <w:u w:val="single"/>
          <w:lang w:eastAsia="zh-CN"/>
        </w:rPr>
        <w:t xml:space="preserve">               .</w:t>
      </w:r>
    </w:p>
    <w:p w14:paraId="7BBCA0A9">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u w:val="single"/>
          <w:lang w:eastAsia="zh-CN"/>
        </w:rPr>
      </w:pPr>
      <w:r>
        <w:rPr>
          <w:rFonts w:hint="eastAsia"/>
          <w:color w:val="auto"/>
          <w:highlight w:val="none"/>
          <w:lang w:eastAsia="zh-CN"/>
        </w:rPr>
        <w:t>代表姓名：</w:t>
      </w:r>
      <w:r>
        <w:rPr>
          <w:color w:val="auto"/>
          <w:highlight w:val="none"/>
          <w:u w:val="single"/>
          <w:lang w:eastAsia="zh-CN"/>
        </w:rPr>
        <w:t xml:space="preserve">               .</w:t>
      </w:r>
    </w:p>
    <w:p w14:paraId="3DBB85A7">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u w:val="single"/>
          <w:lang w:eastAsia="zh-CN"/>
        </w:rPr>
      </w:pPr>
      <w:r>
        <w:rPr>
          <w:color w:val="auto"/>
          <w:highlight w:val="none"/>
          <w:lang w:eastAsia="zh-CN"/>
        </w:rPr>
        <w:t>职    务：</w:t>
      </w:r>
      <w:r>
        <w:rPr>
          <w:color w:val="auto"/>
          <w:highlight w:val="none"/>
          <w:u w:val="single"/>
          <w:lang w:eastAsia="zh-CN"/>
        </w:rPr>
        <w:t xml:space="preserve">               .</w:t>
      </w:r>
    </w:p>
    <w:p w14:paraId="76F65410">
      <w:pPr>
        <w:pStyle w:val="358"/>
        <w:keepNext w:val="0"/>
        <w:keepLines w:val="0"/>
        <w:pageBreakBefore w:val="0"/>
        <w:widowControl w:val="0"/>
        <w:kinsoku/>
        <w:wordWrap/>
        <w:overflowPunct/>
        <w:topLinePunct w:val="0"/>
        <w:autoSpaceDE/>
        <w:autoSpaceDN/>
        <w:bidi w:val="0"/>
        <w:spacing w:beforeLines="0" w:afterLines="0"/>
        <w:rPr>
          <w:rFonts w:hint="eastAsia"/>
          <w:color w:val="auto"/>
          <w:highlight w:val="none"/>
          <w:lang w:eastAsia="zh-CN"/>
        </w:rPr>
      </w:pPr>
    </w:p>
    <w:p w14:paraId="19E15F42">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bookmarkStart w:id="182" w:name="_Toc259090997"/>
      <w:bookmarkStart w:id="183" w:name="_Toc462677251"/>
      <w:bookmarkStart w:id="184" w:name="_Toc462677250"/>
      <w:bookmarkStart w:id="185" w:name="_Toc425161128"/>
      <w:bookmarkStart w:id="186" w:name="_Toc259090984"/>
      <w:bookmarkStart w:id="187" w:name="_Toc67046896"/>
      <w:bookmarkStart w:id="188" w:name="_Toc6322298"/>
      <w:bookmarkStart w:id="189" w:name="_Toc276645581"/>
      <w:bookmarkStart w:id="190" w:name="_Toc462677236"/>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712501BC">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750932FF">
      <w:pPr>
        <w:pStyle w:val="358"/>
        <w:keepNext w:val="0"/>
        <w:keepLines w:val="0"/>
        <w:pageBreakBefore w:val="0"/>
        <w:widowControl w:val="0"/>
        <w:kinsoku/>
        <w:wordWrap/>
        <w:overflowPunct/>
        <w:topLinePunct w:val="0"/>
        <w:autoSpaceDE/>
        <w:autoSpaceDN/>
        <w:bidi w:val="0"/>
        <w:spacing w:beforeLines="0" w:afterLines="0" w:line="360" w:lineRule="auto"/>
        <w:ind w:firstLine="496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6C719C47">
      <w:pPr>
        <w:keepNext w:val="0"/>
        <w:keepLines w:val="0"/>
        <w:pageBreakBefore w:val="0"/>
        <w:widowControl w:val="0"/>
        <w:kinsoku/>
        <w:wordWrap/>
        <w:overflowPunct/>
        <w:topLinePunct w:val="0"/>
        <w:bidi w:val="0"/>
        <w:spacing w:beforeLines="0" w:afterLines="0"/>
        <w:rPr>
          <w:rFonts w:hint="eastAsia"/>
          <w:b/>
          <w:bCs/>
          <w:color w:val="auto"/>
          <w:sz w:val="24"/>
          <w:highlight w:val="none"/>
        </w:rPr>
      </w:pPr>
      <w:r>
        <w:rPr>
          <w:color w:val="auto"/>
          <w:sz w:val="24"/>
          <w:highlight w:val="none"/>
        </w:rPr>
        <w:br w:type="page"/>
      </w:r>
    </w:p>
    <w:p w14:paraId="44894717">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191" w:name="_Toc104040703"/>
      <w:bookmarkStart w:id="192" w:name="_Toc104040757"/>
      <w:bookmarkStart w:id="193" w:name="_Toc27809"/>
      <w:r>
        <w:rPr>
          <w:rFonts w:hint="eastAsia" w:ascii="宋体" w:hAnsi="宋体" w:eastAsia="宋体"/>
          <w:color w:val="auto"/>
          <w:sz w:val="24"/>
          <w:szCs w:val="24"/>
          <w:highlight w:val="none"/>
        </w:rPr>
        <w:t>首轮报价表</w:t>
      </w:r>
      <w:bookmarkEnd w:id="191"/>
      <w:bookmarkEnd w:id="192"/>
      <w:bookmarkEnd w:id="193"/>
    </w:p>
    <w:bookmarkEnd w:id="182"/>
    <w:bookmarkEnd w:id="183"/>
    <w:bookmarkEnd w:id="184"/>
    <w:bookmarkEnd w:id="185"/>
    <w:p w14:paraId="6B28A08B">
      <w:pPr>
        <w:keepNext w:val="0"/>
        <w:keepLines w:val="0"/>
        <w:pageBreakBefore w:val="0"/>
        <w:widowControl w:val="0"/>
        <w:kinsoku/>
        <w:wordWrap/>
        <w:overflowPunct/>
        <w:topLinePunct w:val="0"/>
        <w:bidi w:val="0"/>
        <w:spacing w:beforeLines="0" w:afterLines="0"/>
        <w:jc w:val="center"/>
        <w:rPr>
          <w:rFonts w:hint="eastAsia"/>
          <w:b/>
          <w:bCs/>
          <w:color w:val="auto"/>
          <w:sz w:val="28"/>
          <w:szCs w:val="28"/>
          <w:highlight w:val="none"/>
        </w:rPr>
      </w:pPr>
      <w:r>
        <w:rPr>
          <w:rFonts w:hint="eastAsia"/>
          <w:b/>
          <w:bCs/>
          <w:color w:val="auto"/>
          <w:sz w:val="28"/>
          <w:szCs w:val="28"/>
          <w:highlight w:val="none"/>
        </w:rPr>
        <w:t>首轮报价表</w:t>
      </w:r>
    </w:p>
    <w:p w14:paraId="460BCCA0">
      <w:pPr>
        <w:keepNext w:val="0"/>
        <w:keepLines w:val="0"/>
        <w:pageBreakBefore w:val="0"/>
        <w:widowControl w:val="0"/>
        <w:kinsoku/>
        <w:wordWrap/>
        <w:overflowPunct/>
        <w:topLinePunct w:val="0"/>
        <w:bidi w:val="0"/>
        <w:spacing w:beforeLines="0" w:afterLines="0"/>
        <w:rPr>
          <w:rFonts w:hint="eastAsia"/>
          <w:bCs/>
          <w:color w:val="auto"/>
          <w:sz w:val="24"/>
          <w:highlight w:val="none"/>
        </w:rPr>
      </w:pPr>
      <w:r>
        <w:rPr>
          <w:rFonts w:hint="eastAsia"/>
          <w:bCs/>
          <w:color w:val="auto"/>
          <w:sz w:val="24"/>
          <w:highlight w:val="none"/>
        </w:rPr>
        <w:t>项目名称：</w:t>
      </w:r>
      <w:r>
        <w:rPr>
          <w:rFonts w:hint="eastAsia"/>
          <w:bCs/>
          <w:color w:val="auto"/>
          <w:sz w:val="24"/>
          <w:highlight w:val="none"/>
          <w:u w:val="single"/>
        </w:rPr>
        <w:t xml:space="preserve">          </w:t>
      </w:r>
      <w:r>
        <w:rPr>
          <w:bCs/>
          <w:color w:val="auto"/>
          <w:sz w:val="24"/>
          <w:highlight w:val="none"/>
          <w:u w:val="single"/>
        </w:rPr>
        <w:t xml:space="preserve">  </w:t>
      </w:r>
      <w:r>
        <w:rPr>
          <w:rFonts w:hint="eastAsia"/>
          <w:bCs/>
          <w:color w:val="auto"/>
          <w:sz w:val="24"/>
          <w:highlight w:val="none"/>
          <w:u w:val="single"/>
        </w:rPr>
        <w:t xml:space="preserve">     </w:t>
      </w:r>
      <w:r>
        <w:rPr>
          <w:rFonts w:hint="eastAsia"/>
          <w:bCs/>
          <w:color w:val="auto"/>
          <w:sz w:val="24"/>
          <w:highlight w:val="none"/>
        </w:rPr>
        <w:t xml:space="preserve">         </w:t>
      </w:r>
    </w:p>
    <w:p w14:paraId="08E5932B">
      <w:pPr>
        <w:keepNext w:val="0"/>
        <w:keepLines w:val="0"/>
        <w:pageBreakBefore w:val="0"/>
        <w:widowControl w:val="0"/>
        <w:kinsoku/>
        <w:wordWrap/>
        <w:overflowPunct/>
        <w:topLinePunct w:val="0"/>
        <w:bidi w:val="0"/>
        <w:spacing w:beforeLines="0" w:afterLines="0"/>
        <w:rPr>
          <w:rFonts w:hint="eastAsia"/>
          <w:color w:val="auto"/>
          <w:sz w:val="24"/>
          <w:highlight w:val="none"/>
        </w:rPr>
      </w:pPr>
      <w:r>
        <w:rPr>
          <w:rFonts w:hint="eastAsia"/>
          <w:bCs/>
          <w:color w:val="auto"/>
          <w:sz w:val="24"/>
          <w:highlight w:val="none"/>
        </w:rPr>
        <w:t>项目编号：</w:t>
      </w:r>
      <w:r>
        <w:rPr>
          <w:rFonts w:hint="eastAsia"/>
          <w:bCs/>
          <w:color w:val="auto"/>
          <w:sz w:val="24"/>
          <w:highlight w:val="none"/>
          <w:u w:val="single"/>
        </w:rPr>
        <w:t xml:space="preserve">           </w:t>
      </w:r>
      <w:r>
        <w:rPr>
          <w:rFonts w:hint="eastAsia"/>
          <w:b/>
          <w:color w:val="auto"/>
          <w:sz w:val="24"/>
          <w:highlight w:val="none"/>
          <w:u w:val="single"/>
        </w:rPr>
        <w:t xml:space="preserve">      </w:t>
      </w:r>
    </w:p>
    <w:tbl>
      <w:tblPr>
        <w:tblStyle w:val="4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03"/>
        <w:gridCol w:w="2780"/>
        <w:gridCol w:w="2230"/>
        <w:gridCol w:w="1435"/>
      </w:tblGrid>
      <w:tr w14:paraId="69BD7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727" w:type="pct"/>
            <w:vAlign w:val="center"/>
          </w:tcPr>
          <w:p w14:paraId="5DC4CAEE">
            <w:pPr>
              <w:keepNext w:val="0"/>
              <w:keepLines w:val="0"/>
              <w:pageBreakBefore w:val="0"/>
              <w:widowControl w:val="0"/>
              <w:kinsoku/>
              <w:wordWrap/>
              <w:overflowPunct/>
              <w:topLinePunct w:val="0"/>
              <w:bidi w:val="0"/>
              <w:spacing w:beforeLines="0" w:afterLines="0" w:line="360" w:lineRule="auto"/>
              <w:jc w:val="center"/>
              <w:rPr>
                <w:rFonts w:hint="eastAsia"/>
                <w:b/>
                <w:bCs/>
                <w:color w:val="auto"/>
                <w:sz w:val="24"/>
                <w:highlight w:val="none"/>
              </w:rPr>
            </w:pPr>
            <w:r>
              <w:rPr>
                <w:rFonts w:hint="eastAsia"/>
                <w:b/>
                <w:bCs/>
                <w:color w:val="auto"/>
                <w:sz w:val="24"/>
                <w:highlight w:val="none"/>
                <w:lang w:val="en-US" w:eastAsia="zh-CN"/>
              </w:rPr>
              <w:t>采购内容</w:t>
            </w:r>
          </w:p>
        </w:tc>
        <w:tc>
          <w:tcPr>
            <w:tcW w:w="1411" w:type="pct"/>
            <w:vAlign w:val="center"/>
          </w:tcPr>
          <w:p w14:paraId="1FAAED21">
            <w:pPr>
              <w:keepNext w:val="0"/>
              <w:keepLines w:val="0"/>
              <w:pageBreakBefore w:val="0"/>
              <w:widowControl w:val="0"/>
              <w:kinsoku/>
              <w:wordWrap/>
              <w:overflowPunct/>
              <w:topLinePunct w:val="0"/>
              <w:bidi w:val="0"/>
              <w:spacing w:beforeLines="0" w:afterLines="0" w:line="360" w:lineRule="auto"/>
              <w:jc w:val="center"/>
              <w:rPr>
                <w:rFonts w:hint="eastAsia"/>
                <w:b/>
                <w:bCs/>
                <w:color w:val="auto"/>
                <w:sz w:val="24"/>
                <w:highlight w:val="none"/>
              </w:rPr>
            </w:pPr>
            <w:r>
              <w:rPr>
                <w:rFonts w:hint="eastAsia"/>
                <w:b/>
                <w:bCs/>
                <w:color w:val="auto"/>
                <w:sz w:val="24"/>
                <w:highlight w:val="none"/>
              </w:rPr>
              <w:t>响应报价（</w:t>
            </w:r>
            <w:r>
              <w:rPr>
                <w:rFonts w:hint="eastAsia"/>
                <w:b/>
                <w:bCs/>
                <w:color w:val="auto"/>
                <w:sz w:val="24"/>
                <w:highlight w:val="none"/>
                <w:lang w:val="en-US" w:eastAsia="zh-CN"/>
              </w:rPr>
              <w:t>费率</w:t>
            </w:r>
            <w:r>
              <w:rPr>
                <w:rFonts w:hint="eastAsia"/>
                <w:b/>
                <w:bCs/>
                <w:color w:val="auto"/>
                <w:sz w:val="24"/>
                <w:highlight w:val="none"/>
              </w:rPr>
              <w:t>）</w:t>
            </w:r>
          </w:p>
        </w:tc>
        <w:tc>
          <w:tcPr>
            <w:tcW w:w="1132" w:type="pct"/>
            <w:vAlign w:val="center"/>
          </w:tcPr>
          <w:p w14:paraId="12D1E487">
            <w:pPr>
              <w:keepNext w:val="0"/>
              <w:keepLines w:val="0"/>
              <w:pageBreakBefore w:val="0"/>
              <w:widowControl w:val="0"/>
              <w:kinsoku/>
              <w:wordWrap/>
              <w:overflowPunct/>
              <w:topLinePunct w:val="0"/>
              <w:bidi w:val="0"/>
              <w:spacing w:beforeLines="0" w:afterLines="0" w:line="360" w:lineRule="auto"/>
              <w:jc w:val="center"/>
              <w:rPr>
                <w:rFonts w:hint="eastAsia"/>
                <w:b/>
                <w:bCs/>
                <w:color w:val="auto"/>
                <w:sz w:val="24"/>
                <w:highlight w:val="none"/>
              </w:rPr>
            </w:pPr>
            <w:r>
              <w:rPr>
                <w:rFonts w:hint="eastAsia"/>
                <w:b/>
                <w:bCs/>
                <w:color w:val="auto"/>
                <w:sz w:val="24"/>
                <w:highlight w:val="none"/>
              </w:rPr>
              <w:t>服务期</w:t>
            </w:r>
          </w:p>
        </w:tc>
        <w:tc>
          <w:tcPr>
            <w:tcW w:w="728" w:type="pct"/>
            <w:vAlign w:val="center"/>
          </w:tcPr>
          <w:p w14:paraId="3D23798F">
            <w:pPr>
              <w:keepNext w:val="0"/>
              <w:keepLines w:val="0"/>
              <w:pageBreakBefore w:val="0"/>
              <w:widowControl w:val="0"/>
              <w:kinsoku/>
              <w:wordWrap/>
              <w:overflowPunct/>
              <w:topLinePunct w:val="0"/>
              <w:bidi w:val="0"/>
              <w:spacing w:beforeLines="0" w:afterLines="0" w:line="360" w:lineRule="auto"/>
              <w:jc w:val="center"/>
              <w:rPr>
                <w:rFonts w:hint="eastAsia"/>
                <w:b/>
                <w:bCs/>
                <w:color w:val="auto"/>
                <w:sz w:val="24"/>
                <w:highlight w:val="none"/>
              </w:rPr>
            </w:pPr>
            <w:r>
              <w:rPr>
                <w:rFonts w:hint="eastAsia"/>
                <w:b/>
                <w:bCs/>
                <w:color w:val="auto"/>
                <w:sz w:val="24"/>
                <w:highlight w:val="none"/>
              </w:rPr>
              <w:t>备注</w:t>
            </w:r>
          </w:p>
        </w:tc>
      </w:tr>
      <w:tr w14:paraId="338F9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727" w:type="pct"/>
            <w:vAlign w:val="center"/>
          </w:tcPr>
          <w:p w14:paraId="2DEC7365">
            <w:pPr>
              <w:keepNext w:val="0"/>
              <w:keepLines w:val="0"/>
              <w:pageBreakBefore w:val="0"/>
              <w:widowControl w:val="0"/>
              <w:kinsoku/>
              <w:wordWrap/>
              <w:overflowPunct/>
              <w:topLinePunct w:val="0"/>
              <w:bidi w:val="0"/>
              <w:spacing w:beforeLines="0" w:afterLines="0"/>
              <w:rPr>
                <w:rFonts w:hint="eastAsia"/>
                <w:color w:val="auto"/>
                <w:kern w:val="28"/>
                <w:sz w:val="24"/>
                <w:highlight w:val="none"/>
              </w:rPr>
            </w:pPr>
            <w:r>
              <w:rPr>
                <w:rFonts w:hint="eastAsia"/>
                <w:color w:val="auto"/>
                <w:kern w:val="28"/>
                <w:sz w:val="24"/>
                <w:highlight w:val="none"/>
              </w:rPr>
              <w:t>2026年政府采购限额标准以下零星修缮工程</w:t>
            </w:r>
          </w:p>
        </w:tc>
        <w:tc>
          <w:tcPr>
            <w:tcW w:w="1411" w:type="pct"/>
            <w:vAlign w:val="center"/>
          </w:tcPr>
          <w:p w14:paraId="06995D14">
            <w:pPr>
              <w:keepNext w:val="0"/>
              <w:keepLines w:val="0"/>
              <w:pageBreakBefore w:val="0"/>
              <w:widowControl w:val="0"/>
              <w:kinsoku/>
              <w:wordWrap/>
              <w:overflowPunct/>
              <w:topLinePunct w:val="0"/>
              <w:bidi w:val="0"/>
              <w:spacing w:beforeLines="0" w:afterLines="0"/>
              <w:rPr>
                <w:rFonts w:hint="eastAsia"/>
                <w:color w:val="auto"/>
                <w:kern w:val="28"/>
                <w:sz w:val="24"/>
                <w:highlight w:val="none"/>
                <w:u w:val="single"/>
              </w:rPr>
            </w:pPr>
            <w:r>
              <w:rPr>
                <w:rFonts w:hint="eastAsia"/>
                <w:color w:val="auto"/>
                <w:kern w:val="28"/>
                <w:sz w:val="24"/>
                <w:highlight w:val="none"/>
                <w:u w:val="single"/>
              </w:rPr>
              <w:t xml:space="preserve"> </w:t>
            </w:r>
            <w:r>
              <w:rPr>
                <w:color w:val="auto"/>
                <w:kern w:val="28"/>
                <w:sz w:val="24"/>
                <w:highlight w:val="none"/>
                <w:u w:val="single"/>
              </w:rPr>
              <w:t xml:space="preserve">         </w:t>
            </w:r>
            <w:r>
              <w:rPr>
                <w:rFonts w:hint="eastAsia"/>
                <w:color w:val="auto"/>
                <w:kern w:val="28"/>
                <w:sz w:val="24"/>
                <w:highlight w:val="none"/>
                <w:u w:val="single"/>
                <w:lang w:val="en-US" w:eastAsia="zh-CN"/>
              </w:rPr>
              <w:t>%</w:t>
            </w:r>
            <w:r>
              <w:rPr>
                <w:color w:val="auto"/>
                <w:kern w:val="28"/>
                <w:sz w:val="24"/>
                <w:highlight w:val="none"/>
                <w:u w:val="single"/>
              </w:rPr>
              <w:t>.</w:t>
            </w:r>
          </w:p>
        </w:tc>
        <w:tc>
          <w:tcPr>
            <w:tcW w:w="1132" w:type="pct"/>
            <w:vAlign w:val="center"/>
          </w:tcPr>
          <w:p w14:paraId="1D087D75">
            <w:pPr>
              <w:keepNext w:val="0"/>
              <w:keepLines w:val="0"/>
              <w:pageBreakBefore w:val="0"/>
              <w:widowControl w:val="0"/>
              <w:kinsoku/>
              <w:wordWrap/>
              <w:overflowPunct/>
              <w:topLinePunct w:val="0"/>
              <w:bidi w:val="0"/>
              <w:spacing w:beforeLines="0" w:afterLines="0"/>
              <w:jc w:val="center"/>
              <w:rPr>
                <w:rFonts w:hint="eastAsia"/>
                <w:color w:val="auto"/>
                <w:sz w:val="24"/>
                <w:highlight w:val="none"/>
              </w:rPr>
            </w:pPr>
            <w:r>
              <w:rPr>
                <w:rFonts w:hint="eastAsia"/>
                <w:color w:val="auto"/>
                <w:sz w:val="24"/>
                <w:highlight w:val="none"/>
              </w:rPr>
              <w:t>按照磋商文件要求执行</w:t>
            </w:r>
          </w:p>
        </w:tc>
        <w:tc>
          <w:tcPr>
            <w:tcW w:w="728" w:type="pct"/>
            <w:vAlign w:val="center"/>
          </w:tcPr>
          <w:p w14:paraId="0E447F2F">
            <w:pPr>
              <w:keepNext w:val="0"/>
              <w:keepLines w:val="0"/>
              <w:pageBreakBefore w:val="0"/>
              <w:widowControl w:val="0"/>
              <w:kinsoku/>
              <w:wordWrap/>
              <w:overflowPunct/>
              <w:topLinePunct w:val="0"/>
              <w:bidi w:val="0"/>
              <w:spacing w:beforeLines="0" w:afterLines="0"/>
              <w:jc w:val="center"/>
              <w:rPr>
                <w:rFonts w:hint="eastAsia"/>
                <w:color w:val="auto"/>
                <w:sz w:val="24"/>
                <w:highlight w:val="none"/>
              </w:rPr>
            </w:pPr>
          </w:p>
        </w:tc>
      </w:tr>
    </w:tbl>
    <w:p w14:paraId="238236AE">
      <w:pPr>
        <w:keepNext w:val="0"/>
        <w:keepLines w:val="0"/>
        <w:pageBreakBefore w:val="0"/>
        <w:widowControl w:val="0"/>
        <w:kinsoku/>
        <w:wordWrap/>
        <w:overflowPunct/>
        <w:topLinePunct w:val="0"/>
        <w:bidi w:val="0"/>
        <w:spacing w:beforeLines="0" w:afterLines="0"/>
        <w:rPr>
          <w:rFonts w:hint="eastAsia"/>
          <w:color w:val="auto"/>
          <w:sz w:val="24"/>
          <w:highlight w:val="none"/>
        </w:rPr>
      </w:pPr>
    </w:p>
    <w:p w14:paraId="1342F68E">
      <w:pPr>
        <w:keepNext w:val="0"/>
        <w:keepLines w:val="0"/>
        <w:pageBreakBefore w:val="0"/>
        <w:widowControl w:val="0"/>
        <w:kinsoku/>
        <w:wordWrap/>
        <w:overflowPunct/>
        <w:topLinePunct w:val="0"/>
        <w:bidi w:val="0"/>
        <w:spacing w:beforeLines="0" w:afterLines="0"/>
        <w:rPr>
          <w:rFonts w:hint="eastAsia"/>
          <w:color w:val="auto"/>
          <w:sz w:val="24"/>
          <w:highlight w:val="none"/>
        </w:rPr>
      </w:pPr>
      <w:r>
        <w:rPr>
          <w:rFonts w:hint="eastAsia"/>
          <w:color w:val="auto"/>
          <w:sz w:val="24"/>
          <w:highlight w:val="none"/>
        </w:rPr>
        <w:t>注：</w:t>
      </w:r>
    </w:p>
    <w:p w14:paraId="077DF9F1">
      <w:pPr>
        <w:keepNext w:val="0"/>
        <w:keepLines w:val="0"/>
        <w:pageBreakBefore w:val="0"/>
        <w:widowControl w:val="0"/>
        <w:kinsoku/>
        <w:wordWrap/>
        <w:overflowPunct/>
        <w:topLinePunct w:val="0"/>
        <w:bidi w:val="0"/>
        <w:spacing w:beforeLines="0" w:afterLines="0"/>
        <w:rPr>
          <w:rFonts w:hint="eastAsia"/>
          <w:color w:val="auto"/>
          <w:sz w:val="24"/>
          <w:highlight w:val="none"/>
        </w:rPr>
      </w:pPr>
      <w:bookmarkStart w:id="194" w:name="_Hlk67046034"/>
      <w:r>
        <w:rPr>
          <w:rFonts w:hint="eastAsia"/>
          <w:color w:val="auto"/>
          <w:sz w:val="24"/>
          <w:highlight w:val="none"/>
        </w:rPr>
        <w:t>1.中文大写金额用汉字，如壹、贰、叁、肆、伍、陆、柒、捌、玖、拾、佰、仟、万、亿、元、角、分、零、整（正）等。</w:t>
      </w:r>
    </w:p>
    <w:p w14:paraId="55FA33AD">
      <w:pPr>
        <w:keepNext w:val="0"/>
        <w:keepLines w:val="0"/>
        <w:pageBreakBefore w:val="0"/>
        <w:widowControl w:val="0"/>
        <w:kinsoku/>
        <w:wordWrap/>
        <w:overflowPunct/>
        <w:topLinePunct w:val="0"/>
        <w:bidi w:val="0"/>
        <w:spacing w:beforeLines="0" w:afterLines="0"/>
        <w:rPr>
          <w:rFonts w:hint="eastAsia"/>
          <w:color w:val="auto"/>
          <w:sz w:val="24"/>
          <w:highlight w:val="none"/>
        </w:rPr>
      </w:pPr>
      <w:r>
        <w:rPr>
          <w:rFonts w:hint="eastAsia"/>
          <w:color w:val="auto"/>
          <w:sz w:val="24"/>
          <w:highlight w:val="none"/>
        </w:rPr>
        <w:t>2.响应报价的小数点后保留两位有效数。</w:t>
      </w:r>
    </w:p>
    <w:bookmarkEnd w:id="194"/>
    <w:p w14:paraId="2D0A6DAE">
      <w:pPr>
        <w:keepNext w:val="0"/>
        <w:keepLines w:val="0"/>
        <w:pageBreakBefore w:val="0"/>
        <w:widowControl w:val="0"/>
        <w:kinsoku/>
        <w:wordWrap/>
        <w:overflowPunct/>
        <w:topLinePunct w:val="0"/>
        <w:bidi w:val="0"/>
        <w:spacing w:beforeLines="0" w:afterLines="0"/>
        <w:rPr>
          <w:rFonts w:hint="eastAsia"/>
          <w:b/>
          <w:bCs/>
          <w:color w:val="auto"/>
          <w:sz w:val="24"/>
          <w:highlight w:val="none"/>
        </w:rPr>
      </w:pPr>
      <w:r>
        <w:rPr>
          <w:b/>
          <w:bCs/>
          <w:color w:val="auto"/>
          <w:sz w:val="24"/>
          <w:highlight w:val="none"/>
        </w:rPr>
        <w:t>3.</w:t>
      </w:r>
      <w:r>
        <w:rPr>
          <w:rFonts w:hint="eastAsia"/>
          <w:b/>
          <w:bCs/>
          <w:color w:val="auto"/>
          <w:sz w:val="24"/>
          <w:highlight w:val="none"/>
        </w:rPr>
        <w:t>报价超过最高限价的，将作无效响应处理。</w:t>
      </w:r>
    </w:p>
    <w:p w14:paraId="1C1B9ED5">
      <w:pPr>
        <w:keepNext w:val="0"/>
        <w:keepLines w:val="0"/>
        <w:pageBreakBefore w:val="0"/>
        <w:widowControl w:val="0"/>
        <w:kinsoku/>
        <w:wordWrap/>
        <w:overflowPunct/>
        <w:topLinePunct w:val="0"/>
        <w:bidi w:val="0"/>
        <w:adjustRightInd w:val="0"/>
        <w:snapToGrid w:val="0"/>
        <w:spacing w:beforeLines="0" w:afterLines="0" w:line="360" w:lineRule="auto"/>
        <w:rPr>
          <w:rFonts w:hint="eastAsia"/>
          <w:color w:val="auto"/>
          <w:sz w:val="24"/>
          <w:highlight w:val="none"/>
        </w:rPr>
      </w:pPr>
    </w:p>
    <w:p w14:paraId="0664DB25">
      <w:pPr>
        <w:pStyle w:val="19"/>
        <w:keepNext w:val="0"/>
        <w:keepLines w:val="0"/>
        <w:pageBreakBefore w:val="0"/>
        <w:widowControl w:val="0"/>
        <w:kinsoku/>
        <w:wordWrap/>
        <w:overflowPunct/>
        <w:topLinePunct w:val="0"/>
        <w:bidi w:val="0"/>
        <w:spacing w:beforeLines="0" w:afterLines="0"/>
        <w:rPr>
          <w:rFonts w:hint="eastAsia"/>
          <w:color w:val="auto"/>
          <w:sz w:val="24"/>
          <w:highlight w:val="none"/>
        </w:rPr>
      </w:pPr>
    </w:p>
    <w:p w14:paraId="5DF16B04">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48576D2E">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3247AF28">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930B6C2">
      <w:pPr>
        <w:keepNext w:val="0"/>
        <w:keepLines w:val="0"/>
        <w:pageBreakBefore w:val="0"/>
        <w:widowControl w:val="0"/>
        <w:kinsoku/>
        <w:wordWrap/>
        <w:overflowPunct/>
        <w:topLinePunct w:val="0"/>
        <w:bidi w:val="0"/>
        <w:spacing w:beforeLines="0" w:afterLines="0"/>
        <w:rPr>
          <w:rFonts w:hint="eastAsia"/>
          <w:color w:val="auto"/>
          <w:sz w:val="24"/>
          <w:highlight w:val="none"/>
        </w:rPr>
      </w:pPr>
      <w:r>
        <w:rPr>
          <w:color w:val="auto"/>
          <w:sz w:val="24"/>
          <w:highlight w:val="none"/>
        </w:rPr>
        <w:br w:type="page"/>
      </w:r>
    </w:p>
    <w:p w14:paraId="21425EA0">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195" w:name="_Toc10016"/>
      <w:bookmarkStart w:id="196" w:name="_Toc104040759"/>
      <w:bookmarkStart w:id="197" w:name="_Toc103033236"/>
      <w:bookmarkStart w:id="198" w:name="_Toc104040705"/>
      <w:r>
        <w:rPr>
          <w:rFonts w:hint="eastAsia" w:ascii="宋体" w:hAnsi="宋体" w:eastAsia="宋体"/>
          <w:color w:val="auto"/>
          <w:sz w:val="24"/>
          <w:szCs w:val="24"/>
          <w:highlight w:val="none"/>
        </w:rPr>
        <w:t>法定代表人证明书</w:t>
      </w:r>
      <w:bookmarkEnd w:id="195"/>
      <w:bookmarkEnd w:id="196"/>
      <w:bookmarkEnd w:id="197"/>
      <w:bookmarkEnd w:id="198"/>
    </w:p>
    <w:p w14:paraId="2ECE27F4">
      <w:pPr>
        <w:pStyle w:val="360"/>
        <w:keepNext w:val="0"/>
        <w:keepLines w:val="0"/>
        <w:pageBreakBefore w:val="0"/>
        <w:widowControl w:val="0"/>
        <w:kinsoku/>
        <w:wordWrap/>
        <w:overflowPunct/>
        <w:topLinePunct w:val="0"/>
        <w:autoSpaceDE/>
        <w:autoSpaceDN/>
        <w:bidi w:val="0"/>
        <w:spacing w:beforeLines="0" w:afterLines="0"/>
        <w:jc w:val="left"/>
        <w:outlineLvl w:val="9"/>
        <w:rPr>
          <w:rFonts w:hint="eastAsia"/>
          <w:b w:val="0"/>
          <w:bCs w:val="0"/>
          <w:i/>
          <w:iCs/>
          <w:color w:val="auto"/>
          <w:sz w:val="21"/>
          <w:szCs w:val="20"/>
          <w:highlight w:val="none"/>
          <w:lang w:eastAsia="zh-CN"/>
        </w:rPr>
      </w:pPr>
      <w:r>
        <w:rPr>
          <w:rFonts w:hint="eastAsia"/>
          <w:b w:val="0"/>
          <w:bCs w:val="0"/>
          <w:i/>
          <w:iCs/>
          <w:color w:val="auto"/>
          <w:sz w:val="21"/>
          <w:szCs w:val="20"/>
          <w:highlight w:val="none"/>
          <w:lang w:eastAsia="zh-CN"/>
        </w:rPr>
        <w:t>（供应商可使用下述格式，也可使用广东省工商行政管理局统一印制的法定代表人证明书格式）</w:t>
      </w:r>
    </w:p>
    <w:p w14:paraId="6F83B321">
      <w:pPr>
        <w:pStyle w:val="360"/>
        <w:keepNext w:val="0"/>
        <w:keepLines w:val="0"/>
        <w:pageBreakBefore w:val="0"/>
        <w:widowControl w:val="0"/>
        <w:kinsoku/>
        <w:wordWrap/>
        <w:overflowPunct/>
        <w:topLinePunct w:val="0"/>
        <w:autoSpaceDE/>
        <w:autoSpaceDN/>
        <w:bidi w:val="0"/>
        <w:spacing w:beforeLines="0" w:afterLines="0"/>
        <w:jc w:val="center"/>
        <w:outlineLvl w:val="9"/>
        <w:rPr>
          <w:rFonts w:hint="eastAsia"/>
          <w:color w:val="auto"/>
          <w:sz w:val="28"/>
          <w:szCs w:val="28"/>
          <w:highlight w:val="none"/>
          <w:lang w:eastAsia="zh-CN"/>
        </w:rPr>
      </w:pPr>
      <w:r>
        <w:rPr>
          <w:rFonts w:hint="eastAsia"/>
          <w:color w:val="auto"/>
          <w:sz w:val="28"/>
          <w:szCs w:val="28"/>
          <w:highlight w:val="none"/>
          <w:lang w:eastAsia="zh-CN"/>
        </w:rPr>
        <w:t>法定代表人证明书</w:t>
      </w:r>
    </w:p>
    <w:p w14:paraId="6C88F004">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highlight w:val="none"/>
          <w:lang w:eastAsia="zh-CN"/>
        </w:rPr>
      </w:pPr>
    </w:p>
    <w:p w14:paraId="1678EABD">
      <w:pPr>
        <w:pStyle w:val="19"/>
        <w:keepNext w:val="0"/>
        <w:keepLines w:val="0"/>
        <w:pageBreakBefore w:val="0"/>
        <w:widowControl w:val="0"/>
        <w:tabs>
          <w:tab w:val="left" w:pos="1500"/>
          <w:tab w:val="left" w:pos="3223"/>
          <w:tab w:val="left" w:pos="3947"/>
          <w:tab w:val="left" w:pos="7064"/>
        </w:tabs>
        <w:kinsoku/>
        <w:wordWrap/>
        <w:overflowPunct/>
        <w:topLinePunct w:val="0"/>
        <w:bidi w:val="0"/>
        <w:spacing w:beforeLines="0" w:afterLines="0"/>
        <w:ind w:firstLine="480" w:firstLineChars="200"/>
        <w:rPr>
          <w:rFonts w:hint="eastAsia"/>
          <w:color w:val="auto"/>
          <w:sz w:val="24"/>
          <w:highlight w:val="none"/>
        </w:rPr>
      </w:pP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现任我单位</w:t>
      </w:r>
      <w:bookmarkStart w:id="199" w:name="_Hlk104113847"/>
      <w:r>
        <w:rPr>
          <w:rFonts w:hint="eastAsia"/>
          <w:color w:val="auto"/>
          <w:sz w:val="24"/>
          <w:highlight w:val="none"/>
          <w:u w:val="single"/>
        </w:rPr>
        <w:t xml:space="preserve">      </w:t>
      </w:r>
      <w:bookmarkEnd w:id="199"/>
      <w:r>
        <w:rPr>
          <w:color w:val="auto"/>
          <w:sz w:val="24"/>
          <w:highlight w:val="none"/>
        </w:rPr>
        <w:t>职务</w:t>
      </w:r>
      <w:r>
        <w:rPr>
          <w:rFonts w:hint="eastAsia"/>
          <w:color w:val="auto"/>
          <w:sz w:val="24"/>
          <w:highlight w:val="none"/>
        </w:rPr>
        <w:t>，</w:t>
      </w:r>
      <w:r>
        <w:rPr>
          <w:color w:val="auto"/>
          <w:sz w:val="24"/>
          <w:highlight w:val="none"/>
        </w:rPr>
        <w:t>为法定代表人，特此证明。</w:t>
      </w:r>
    </w:p>
    <w:p w14:paraId="102434C4">
      <w:pPr>
        <w:pStyle w:val="19"/>
        <w:keepNext w:val="0"/>
        <w:keepLines w:val="0"/>
        <w:pageBreakBefore w:val="0"/>
        <w:widowControl w:val="0"/>
        <w:tabs>
          <w:tab w:val="left" w:pos="1020"/>
          <w:tab w:val="left" w:pos="3223"/>
          <w:tab w:val="left" w:pos="3947"/>
          <w:tab w:val="left" w:pos="7064"/>
        </w:tabs>
        <w:kinsoku/>
        <w:wordWrap/>
        <w:overflowPunct/>
        <w:topLinePunct w:val="0"/>
        <w:bidi w:val="0"/>
        <w:spacing w:beforeLines="0" w:afterLines="0"/>
        <w:ind w:firstLine="480" w:firstLineChars="200"/>
        <w:rPr>
          <w:rFonts w:hint="eastAsia"/>
          <w:color w:val="auto"/>
          <w:sz w:val="24"/>
          <w:highlight w:val="none"/>
          <w:u w:val="single"/>
        </w:rPr>
      </w:pPr>
      <w:r>
        <w:rPr>
          <w:color w:val="auto"/>
          <w:sz w:val="24"/>
          <w:highlight w:val="none"/>
        </w:rPr>
        <w:t>有效期限：</w:t>
      </w:r>
      <w:bookmarkStart w:id="200" w:name="_Hlk102939377"/>
      <w:r>
        <w:rPr>
          <w:rFonts w:hint="eastAsia"/>
          <w:color w:val="auto"/>
          <w:sz w:val="24"/>
          <w:highlight w:val="none"/>
          <w:u w:val="single"/>
        </w:rPr>
        <w:t>与响应有效期一致。</w:t>
      </w:r>
      <w:bookmarkEnd w:id="200"/>
    </w:p>
    <w:p w14:paraId="08FEBF3B">
      <w:pPr>
        <w:pStyle w:val="19"/>
        <w:keepNext w:val="0"/>
        <w:keepLines w:val="0"/>
        <w:pageBreakBefore w:val="0"/>
        <w:widowControl w:val="0"/>
        <w:tabs>
          <w:tab w:val="left" w:pos="1020"/>
          <w:tab w:val="left" w:pos="3223"/>
          <w:tab w:val="left" w:pos="3947"/>
          <w:tab w:val="left" w:pos="8505"/>
        </w:tabs>
        <w:kinsoku/>
        <w:wordWrap/>
        <w:overflowPunct/>
        <w:topLinePunct w:val="0"/>
        <w:bidi w:val="0"/>
        <w:spacing w:beforeLines="0" w:afterLines="0"/>
        <w:ind w:firstLine="480" w:firstLineChars="200"/>
        <w:rPr>
          <w:rFonts w:hint="eastAsia"/>
          <w:color w:val="auto"/>
          <w:sz w:val="24"/>
          <w:highlight w:val="none"/>
          <w:u w:val="single"/>
        </w:rPr>
      </w:pPr>
      <w:r>
        <w:rPr>
          <w:rFonts w:hint="eastAsia"/>
          <w:color w:val="auto"/>
          <w:sz w:val="24"/>
          <w:highlight w:val="none"/>
        </w:rPr>
        <w:t>法定</w:t>
      </w:r>
      <w:r>
        <w:rPr>
          <w:color w:val="auto"/>
          <w:sz w:val="24"/>
          <w:highlight w:val="none"/>
        </w:rPr>
        <w:t>代表人性别：</w:t>
      </w:r>
      <w:r>
        <w:rPr>
          <w:color w:val="auto"/>
          <w:sz w:val="24"/>
          <w:highlight w:val="none"/>
          <w:u w:val="single"/>
        </w:rPr>
        <w:t xml:space="preserve">      </w:t>
      </w:r>
      <w:r>
        <w:rPr>
          <w:color w:val="auto"/>
          <w:sz w:val="24"/>
          <w:highlight w:val="none"/>
        </w:rPr>
        <w:t>年龄：</w:t>
      </w:r>
      <w:r>
        <w:rPr>
          <w:color w:val="auto"/>
          <w:sz w:val="24"/>
          <w:highlight w:val="none"/>
          <w:u w:val="single"/>
        </w:rPr>
        <w:t xml:space="preserve">      </w:t>
      </w:r>
      <w:r>
        <w:rPr>
          <w:color w:val="auto"/>
          <w:sz w:val="24"/>
          <w:highlight w:val="none"/>
        </w:rPr>
        <w:t>身份证号码：</w:t>
      </w:r>
      <w:r>
        <w:rPr>
          <w:color w:val="auto"/>
          <w:sz w:val="24"/>
          <w:highlight w:val="none"/>
          <w:u w:val="single"/>
        </w:rPr>
        <w:t xml:space="preserve">            .</w:t>
      </w:r>
    </w:p>
    <w:p w14:paraId="328F238E">
      <w:pPr>
        <w:pStyle w:val="19"/>
        <w:keepNext w:val="0"/>
        <w:keepLines w:val="0"/>
        <w:pageBreakBefore w:val="0"/>
        <w:widowControl w:val="0"/>
        <w:tabs>
          <w:tab w:val="left" w:pos="1020"/>
          <w:tab w:val="left" w:pos="3223"/>
          <w:tab w:val="left" w:pos="3947"/>
          <w:tab w:val="left" w:pos="7064"/>
        </w:tabs>
        <w:kinsoku/>
        <w:wordWrap/>
        <w:overflowPunct/>
        <w:topLinePunct w:val="0"/>
        <w:bidi w:val="0"/>
        <w:spacing w:beforeLines="0" w:afterLines="0"/>
        <w:ind w:firstLine="480" w:firstLineChars="200"/>
        <w:rPr>
          <w:rFonts w:hint="eastAsia"/>
          <w:color w:val="auto"/>
          <w:sz w:val="24"/>
          <w:highlight w:val="none"/>
          <w:u w:val="single"/>
        </w:rPr>
      </w:pPr>
      <w:r>
        <w:rPr>
          <w:rFonts w:hint="eastAsia"/>
          <w:color w:val="auto"/>
          <w:sz w:val="24"/>
          <w:szCs w:val="24"/>
          <w:highlight w:val="none"/>
          <w:lang w:eastAsia="zh-CN"/>
        </w:rPr>
        <w:t>统一社会信用代码</w:t>
      </w:r>
      <w:r>
        <w:rPr>
          <w:color w:val="auto"/>
          <w:sz w:val="24"/>
          <w:highlight w:val="none"/>
        </w:rPr>
        <w:t>：</w:t>
      </w:r>
      <w:r>
        <w:rPr>
          <w:color w:val="auto"/>
          <w:sz w:val="24"/>
          <w:highlight w:val="none"/>
          <w:u w:val="single"/>
        </w:rPr>
        <w:t xml:space="preserve">            </w:t>
      </w:r>
      <w:r>
        <w:rPr>
          <w:color w:val="auto"/>
          <w:sz w:val="24"/>
          <w:highlight w:val="none"/>
        </w:rPr>
        <w:t>企业类型：</w:t>
      </w:r>
      <w:r>
        <w:rPr>
          <w:color w:val="auto"/>
          <w:sz w:val="24"/>
          <w:highlight w:val="none"/>
          <w:u w:val="single"/>
        </w:rPr>
        <w:t xml:space="preserve">              </w:t>
      </w:r>
      <w:r>
        <w:rPr>
          <w:rFonts w:hint="eastAsia"/>
          <w:color w:val="auto"/>
          <w:sz w:val="24"/>
          <w:highlight w:val="none"/>
          <w:u w:val="single"/>
        </w:rPr>
        <w:t>.</w:t>
      </w:r>
    </w:p>
    <w:p w14:paraId="66F4D342">
      <w:pPr>
        <w:pStyle w:val="19"/>
        <w:keepNext w:val="0"/>
        <w:keepLines w:val="0"/>
        <w:pageBreakBefore w:val="0"/>
        <w:widowControl w:val="0"/>
        <w:tabs>
          <w:tab w:val="left" w:pos="1020"/>
          <w:tab w:val="left" w:pos="3223"/>
          <w:tab w:val="left" w:pos="3947"/>
          <w:tab w:val="left" w:pos="7064"/>
        </w:tabs>
        <w:kinsoku/>
        <w:wordWrap/>
        <w:overflowPunct/>
        <w:topLinePunct w:val="0"/>
        <w:bidi w:val="0"/>
        <w:spacing w:beforeLines="0" w:afterLines="0"/>
        <w:ind w:firstLine="480" w:firstLineChars="200"/>
        <w:rPr>
          <w:rFonts w:hint="eastAsia"/>
          <w:color w:val="auto"/>
          <w:sz w:val="24"/>
          <w:highlight w:val="none"/>
          <w:u w:val="single"/>
        </w:rPr>
      </w:pPr>
      <w:r>
        <w:rPr>
          <w:color w:val="auto"/>
          <w:sz w:val="24"/>
          <w:highlight w:val="none"/>
        </w:rPr>
        <w:t>经营范围：</w:t>
      </w:r>
      <w:r>
        <w:rPr>
          <w:color w:val="auto"/>
          <w:sz w:val="24"/>
          <w:highlight w:val="none"/>
          <w:u w:val="single"/>
        </w:rPr>
        <w:t xml:space="preserve">           </w:t>
      </w:r>
      <w:r>
        <w:rPr>
          <w:rFonts w:hint="eastAsia"/>
          <w:color w:val="auto"/>
          <w:sz w:val="24"/>
          <w:highlight w:val="none"/>
          <w:u w:val="single"/>
        </w:rPr>
        <w:t>.</w:t>
      </w:r>
    </w:p>
    <w:p w14:paraId="72FC18F8">
      <w:pPr>
        <w:pStyle w:val="19"/>
        <w:keepNext w:val="0"/>
        <w:keepLines w:val="0"/>
        <w:pageBreakBefore w:val="0"/>
        <w:widowControl w:val="0"/>
        <w:tabs>
          <w:tab w:val="left" w:pos="1020"/>
          <w:tab w:val="left" w:pos="3223"/>
          <w:tab w:val="left" w:pos="3947"/>
          <w:tab w:val="left" w:pos="7064"/>
        </w:tabs>
        <w:kinsoku/>
        <w:wordWrap/>
        <w:overflowPunct/>
        <w:topLinePunct w:val="0"/>
        <w:bidi w:val="0"/>
        <w:spacing w:beforeLines="0" w:afterLines="0"/>
        <w:ind w:right="-35"/>
        <w:rPr>
          <w:rFonts w:hint="eastAsia"/>
          <w:color w:val="auto"/>
          <w:sz w:val="24"/>
          <w:highlight w:val="none"/>
        </w:rPr>
      </w:pPr>
    </w:p>
    <w:p w14:paraId="2DCC0E2D">
      <w:pPr>
        <w:pStyle w:val="19"/>
        <w:keepNext w:val="0"/>
        <w:keepLines w:val="0"/>
        <w:pageBreakBefore w:val="0"/>
        <w:widowControl w:val="0"/>
        <w:tabs>
          <w:tab w:val="left" w:pos="10713"/>
        </w:tabs>
        <w:kinsoku/>
        <w:wordWrap/>
        <w:overflowPunct/>
        <w:topLinePunct w:val="0"/>
        <w:bidi w:val="0"/>
        <w:spacing w:beforeLines="0" w:afterLines="0"/>
        <w:ind w:left="3223" w:leftChars="1535"/>
        <w:jc w:val="right"/>
        <w:rPr>
          <w:rFonts w:hint="eastAsia"/>
          <w:color w:val="auto"/>
          <w:sz w:val="24"/>
          <w:highlight w:val="none"/>
        </w:rPr>
      </w:pPr>
      <w:r>
        <w:rPr>
          <w:rFonts w:hint="eastAsia"/>
          <w:color w:val="auto"/>
          <w:sz w:val="24"/>
          <w:highlight w:val="none"/>
        </w:rPr>
        <w:t>供应商</w:t>
      </w:r>
      <w:r>
        <w:rPr>
          <w:color w:val="auto"/>
          <w:sz w:val="24"/>
          <w:highlight w:val="none"/>
        </w:rPr>
        <w:t>名称（盖章）：</w:t>
      </w:r>
      <w:r>
        <w:rPr>
          <w:color w:val="auto"/>
          <w:sz w:val="24"/>
          <w:highlight w:val="none"/>
          <w:u w:val="single"/>
        </w:rPr>
        <w:t xml:space="preserve">               </w:t>
      </w:r>
      <w:r>
        <w:rPr>
          <w:rFonts w:hint="eastAsia"/>
          <w:color w:val="auto"/>
          <w:sz w:val="24"/>
          <w:highlight w:val="none"/>
          <w:u w:val="single"/>
        </w:rPr>
        <w:t>.</w:t>
      </w:r>
    </w:p>
    <w:p w14:paraId="7AE07306">
      <w:pPr>
        <w:pStyle w:val="19"/>
        <w:keepNext w:val="0"/>
        <w:keepLines w:val="0"/>
        <w:pageBreakBefore w:val="0"/>
        <w:widowControl w:val="0"/>
        <w:tabs>
          <w:tab w:val="left" w:pos="10713"/>
        </w:tabs>
        <w:kinsoku/>
        <w:wordWrap/>
        <w:overflowPunct/>
        <w:topLinePunct w:val="0"/>
        <w:bidi w:val="0"/>
        <w:spacing w:beforeLines="0" w:afterLines="0"/>
        <w:jc w:val="right"/>
        <w:rPr>
          <w:rFonts w:hint="eastAsia"/>
          <w:color w:val="auto"/>
          <w:sz w:val="24"/>
          <w:highlight w:val="none"/>
          <w:u w:val="single"/>
        </w:rPr>
      </w:pPr>
      <w:r>
        <w:rPr>
          <w:color w:val="auto"/>
          <w:sz w:val="24"/>
          <w:highlight w:val="none"/>
        </w:rPr>
        <w:t>地址：</w:t>
      </w:r>
      <w:r>
        <w:rPr>
          <w:color w:val="auto"/>
          <w:sz w:val="24"/>
          <w:highlight w:val="none"/>
          <w:u w:val="single"/>
        </w:rPr>
        <w:t xml:space="preserve">               </w:t>
      </w:r>
      <w:r>
        <w:rPr>
          <w:rFonts w:hint="eastAsia"/>
          <w:color w:val="auto"/>
          <w:sz w:val="24"/>
          <w:highlight w:val="none"/>
          <w:u w:val="single"/>
        </w:rPr>
        <w:t>.</w:t>
      </w:r>
    </w:p>
    <w:p w14:paraId="453BD3F8">
      <w:pPr>
        <w:pStyle w:val="19"/>
        <w:keepNext w:val="0"/>
        <w:keepLines w:val="0"/>
        <w:pageBreakBefore w:val="0"/>
        <w:widowControl w:val="0"/>
        <w:tabs>
          <w:tab w:val="left" w:pos="10713"/>
        </w:tabs>
        <w:kinsoku/>
        <w:wordWrap/>
        <w:overflowPunct/>
        <w:topLinePunct w:val="0"/>
        <w:bidi w:val="0"/>
        <w:spacing w:beforeLines="0" w:afterLines="0"/>
        <w:jc w:val="right"/>
        <w:rPr>
          <w:rFonts w:hint="eastAsia"/>
          <w:color w:val="auto"/>
          <w:sz w:val="24"/>
          <w:highlight w:val="none"/>
          <w:u w:val="single"/>
        </w:rPr>
      </w:pPr>
      <w:r>
        <w:rPr>
          <w:color w:val="auto"/>
          <w:sz w:val="24"/>
          <w:highlight w:val="none"/>
        </w:rPr>
        <w:t>法定代表人（签字或盖章）：</w:t>
      </w:r>
      <w:r>
        <w:rPr>
          <w:color w:val="auto"/>
          <w:sz w:val="24"/>
          <w:highlight w:val="none"/>
          <w:u w:val="single"/>
        </w:rPr>
        <w:t xml:space="preserve">               </w:t>
      </w:r>
      <w:r>
        <w:rPr>
          <w:rFonts w:hint="eastAsia"/>
          <w:color w:val="auto"/>
          <w:sz w:val="24"/>
          <w:highlight w:val="none"/>
          <w:u w:val="single"/>
        </w:rPr>
        <w:t>.</w:t>
      </w:r>
    </w:p>
    <w:p w14:paraId="52B78D6E">
      <w:pPr>
        <w:pStyle w:val="19"/>
        <w:keepNext w:val="0"/>
        <w:keepLines w:val="0"/>
        <w:pageBreakBefore w:val="0"/>
        <w:widowControl w:val="0"/>
        <w:kinsoku/>
        <w:wordWrap/>
        <w:overflowPunct/>
        <w:topLinePunct w:val="0"/>
        <w:bidi w:val="0"/>
        <w:spacing w:beforeLines="0" w:afterLines="0"/>
        <w:ind w:left="3223" w:leftChars="1535"/>
        <w:jc w:val="right"/>
        <w:rPr>
          <w:rFonts w:hint="eastAsia"/>
          <w:color w:val="auto"/>
          <w:sz w:val="24"/>
          <w:highlight w:val="none"/>
        </w:rPr>
      </w:pPr>
      <w:r>
        <w:rPr>
          <w:color w:val="auto"/>
          <w:sz w:val="24"/>
          <w:highlight w:val="none"/>
        </w:rPr>
        <w:t>职务：</w:t>
      </w:r>
      <w:r>
        <w:rPr>
          <w:color w:val="auto"/>
          <w:sz w:val="24"/>
          <w:highlight w:val="none"/>
          <w:u w:val="single"/>
        </w:rPr>
        <w:t xml:space="preserve">               </w:t>
      </w:r>
      <w:r>
        <w:rPr>
          <w:rFonts w:hint="eastAsia"/>
          <w:color w:val="auto"/>
          <w:sz w:val="24"/>
          <w:highlight w:val="none"/>
          <w:u w:val="single"/>
        </w:rPr>
        <w:t>.</w:t>
      </w:r>
      <w:r>
        <w:rPr>
          <w:color w:val="auto"/>
          <w:sz w:val="24"/>
          <w:highlight w:val="none"/>
          <w:u w:val="single"/>
        </w:rPr>
        <w:t xml:space="preserve"> </w:t>
      </w:r>
    </w:p>
    <w:p w14:paraId="3E685F3A">
      <w:pPr>
        <w:pStyle w:val="19"/>
        <w:keepNext w:val="0"/>
        <w:keepLines w:val="0"/>
        <w:pageBreakBefore w:val="0"/>
        <w:widowControl w:val="0"/>
        <w:kinsoku/>
        <w:wordWrap/>
        <w:overflowPunct/>
        <w:topLinePunct w:val="0"/>
        <w:bidi w:val="0"/>
        <w:spacing w:beforeLines="0" w:afterLines="0"/>
        <w:ind w:right="-52"/>
        <w:jc w:val="right"/>
        <w:rPr>
          <w:rFonts w:hint="eastAsia"/>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CFC4CD8">
      <w:pPr>
        <w:keepNext w:val="0"/>
        <w:keepLines w:val="0"/>
        <w:pageBreakBefore w:val="0"/>
        <w:widowControl w:val="0"/>
        <w:kinsoku/>
        <w:wordWrap/>
        <w:overflowPunct/>
        <w:topLinePunct w:val="0"/>
        <w:bidi w:val="0"/>
        <w:spacing w:beforeLines="0" w:afterLines="0" w:line="360" w:lineRule="auto"/>
        <w:rPr>
          <w:rFonts w:hint="eastAsia"/>
          <w:color w:val="auto"/>
          <w:sz w:val="24"/>
          <w:highlight w:val="none"/>
        </w:rPr>
      </w:pP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324F7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4FC3F231">
            <w:pPr>
              <w:keepNext w:val="0"/>
              <w:keepLines w:val="0"/>
              <w:pageBreakBefore w:val="0"/>
              <w:widowControl w:val="0"/>
              <w:kinsoku/>
              <w:wordWrap/>
              <w:overflowPunct/>
              <w:topLinePunct w:val="0"/>
              <w:bidi w:val="0"/>
              <w:spacing w:beforeLines="0" w:afterLines="0"/>
              <w:jc w:val="center"/>
              <w:rPr>
                <w:rFonts w:hint="eastAsia"/>
                <w:color w:val="auto"/>
                <w:sz w:val="24"/>
                <w:highlight w:val="none"/>
              </w:rPr>
            </w:pPr>
            <w:bookmarkStart w:id="201" w:name="_Hlk112010312"/>
            <w:r>
              <w:rPr>
                <w:rFonts w:hint="eastAsia"/>
                <w:color w:val="auto"/>
                <w:sz w:val="24"/>
                <w:highlight w:val="none"/>
              </w:rPr>
              <w:t>法定代表人身份证复印件</w:t>
            </w:r>
          </w:p>
          <w:p w14:paraId="67F5A196">
            <w:pPr>
              <w:keepNext w:val="0"/>
              <w:keepLines w:val="0"/>
              <w:pageBreakBefore w:val="0"/>
              <w:widowControl w:val="0"/>
              <w:kinsoku/>
              <w:wordWrap/>
              <w:overflowPunct/>
              <w:topLinePunct w:val="0"/>
              <w:bidi w:val="0"/>
              <w:spacing w:beforeLines="0" w:afterLines="0"/>
              <w:jc w:val="center"/>
              <w:rPr>
                <w:rFonts w:hint="eastAsia"/>
                <w:b/>
                <w:color w:val="auto"/>
                <w:sz w:val="24"/>
                <w:highlight w:val="none"/>
              </w:rPr>
            </w:pPr>
            <w:r>
              <w:rPr>
                <w:rFonts w:hint="eastAsia"/>
                <w:color w:val="auto"/>
                <w:sz w:val="24"/>
                <w:highlight w:val="none"/>
              </w:rPr>
              <w:t>（正、反</w:t>
            </w:r>
            <w:r>
              <w:rPr>
                <w:color w:val="auto"/>
                <w:sz w:val="24"/>
                <w:highlight w:val="none"/>
              </w:rPr>
              <w:t>两面</w:t>
            </w:r>
            <w:r>
              <w:rPr>
                <w:rFonts w:hint="eastAsia"/>
                <w:color w:val="auto"/>
                <w:sz w:val="24"/>
                <w:highlight w:val="none"/>
              </w:rPr>
              <w:t>）</w:t>
            </w:r>
          </w:p>
        </w:tc>
      </w:tr>
      <w:bookmarkEnd w:id="201"/>
    </w:tbl>
    <w:p w14:paraId="36639C68">
      <w:pPr>
        <w:keepNext w:val="0"/>
        <w:keepLines w:val="0"/>
        <w:pageBreakBefore w:val="0"/>
        <w:widowControl w:val="0"/>
        <w:kinsoku/>
        <w:wordWrap/>
        <w:overflowPunct/>
        <w:topLinePunct w:val="0"/>
        <w:bidi w:val="0"/>
        <w:spacing w:beforeLines="0" w:afterLines="0"/>
        <w:rPr>
          <w:rFonts w:hint="eastAsia"/>
          <w:b/>
          <w:color w:val="auto"/>
          <w:szCs w:val="21"/>
          <w:highlight w:val="none"/>
        </w:rPr>
      </w:pPr>
    </w:p>
    <w:p w14:paraId="609EB99C">
      <w:pPr>
        <w:keepNext w:val="0"/>
        <w:keepLines w:val="0"/>
        <w:pageBreakBefore w:val="0"/>
        <w:widowControl w:val="0"/>
        <w:kinsoku/>
        <w:wordWrap/>
        <w:overflowPunct/>
        <w:topLinePunct w:val="0"/>
        <w:bidi w:val="0"/>
        <w:spacing w:beforeLines="0" w:afterLines="0"/>
        <w:rPr>
          <w:rFonts w:hint="eastAsia"/>
          <w:b/>
          <w:color w:val="auto"/>
          <w:szCs w:val="21"/>
          <w:highlight w:val="none"/>
        </w:rPr>
      </w:pPr>
      <w:r>
        <w:rPr>
          <w:rFonts w:hint="eastAsia"/>
          <w:b/>
          <w:color w:val="auto"/>
          <w:szCs w:val="21"/>
          <w:highlight w:val="none"/>
        </w:rPr>
        <w:t>说明：供应商应须提供法定代表人身份证复印件，否则作无效响应处理。</w:t>
      </w:r>
    </w:p>
    <w:p w14:paraId="30D836D8">
      <w:pPr>
        <w:pStyle w:val="19"/>
        <w:keepNext w:val="0"/>
        <w:keepLines w:val="0"/>
        <w:pageBreakBefore w:val="0"/>
        <w:widowControl w:val="0"/>
        <w:kinsoku/>
        <w:wordWrap/>
        <w:overflowPunct/>
        <w:topLinePunct w:val="0"/>
        <w:bidi w:val="0"/>
        <w:spacing w:beforeLines="0" w:afterLines="0"/>
        <w:rPr>
          <w:rFonts w:hint="eastAsia"/>
          <w:color w:val="auto"/>
          <w:sz w:val="24"/>
          <w:highlight w:val="none"/>
        </w:rPr>
      </w:pPr>
    </w:p>
    <w:p w14:paraId="5ED9A88F">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8"/>
          <w:szCs w:val="28"/>
          <w:highlight w:val="none"/>
        </w:rPr>
      </w:pPr>
      <w:r>
        <w:rPr>
          <w:rFonts w:ascii="宋体" w:hAnsi="宋体" w:eastAsia="宋体"/>
          <w:bCs w:val="0"/>
          <w:color w:val="auto"/>
          <w:sz w:val="28"/>
          <w:szCs w:val="28"/>
          <w:highlight w:val="none"/>
        </w:rPr>
        <w:br w:type="page"/>
      </w:r>
      <w:bookmarkStart w:id="202" w:name="_Toc8482"/>
      <w:bookmarkStart w:id="203" w:name="_Toc104040706"/>
      <w:bookmarkStart w:id="204" w:name="_Toc104040760"/>
      <w:bookmarkStart w:id="205" w:name="_Toc103033237"/>
      <w:r>
        <w:rPr>
          <w:rFonts w:hint="eastAsia" w:ascii="宋体" w:hAnsi="宋体" w:eastAsia="宋体"/>
          <w:color w:val="auto"/>
          <w:sz w:val="24"/>
          <w:szCs w:val="24"/>
          <w:highlight w:val="none"/>
        </w:rPr>
        <w:t>法定代表人授权书</w:t>
      </w:r>
      <w:bookmarkEnd w:id="186"/>
      <w:bookmarkEnd w:id="187"/>
      <w:bookmarkEnd w:id="188"/>
      <w:bookmarkEnd w:id="189"/>
      <w:bookmarkEnd w:id="190"/>
      <w:bookmarkEnd w:id="202"/>
      <w:bookmarkEnd w:id="203"/>
      <w:bookmarkEnd w:id="204"/>
      <w:bookmarkEnd w:id="205"/>
    </w:p>
    <w:p w14:paraId="446354C3">
      <w:pPr>
        <w:pStyle w:val="360"/>
        <w:keepNext w:val="0"/>
        <w:keepLines w:val="0"/>
        <w:pageBreakBefore w:val="0"/>
        <w:widowControl w:val="0"/>
        <w:kinsoku/>
        <w:wordWrap/>
        <w:overflowPunct/>
        <w:topLinePunct w:val="0"/>
        <w:autoSpaceDE/>
        <w:autoSpaceDN/>
        <w:bidi w:val="0"/>
        <w:spacing w:beforeLines="0" w:afterLines="0"/>
        <w:jc w:val="left"/>
        <w:outlineLvl w:val="9"/>
        <w:rPr>
          <w:rFonts w:hint="eastAsia"/>
          <w:b w:val="0"/>
          <w:bCs w:val="0"/>
          <w:i/>
          <w:iCs/>
          <w:color w:val="auto"/>
          <w:sz w:val="21"/>
          <w:szCs w:val="20"/>
          <w:highlight w:val="none"/>
          <w:lang w:eastAsia="zh-CN"/>
        </w:rPr>
      </w:pPr>
      <w:r>
        <w:rPr>
          <w:rFonts w:hint="eastAsia"/>
          <w:b w:val="0"/>
          <w:bCs w:val="0"/>
          <w:i/>
          <w:iCs/>
          <w:color w:val="auto"/>
          <w:sz w:val="21"/>
          <w:szCs w:val="20"/>
          <w:highlight w:val="none"/>
          <w:lang w:eastAsia="zh-CN"/>
        </w:rPr>
        <w:t>（对于银行、保险、电信、邮政、铁路等行业以及获得总公司响应授权的分公司，可以提供响应分支机构负责人授权书）</w:t>
      </w:r>
    </w:p>
    <w:p w14:paraId="4C38962B">
      <w:pPr>
        <w:keepNext w:val="0"/>
        <w:keepLines w:val="0"/>
        <w:pageBreakBefore w:val="0"/>
        <w:widowControl w:val="0"/>
        <w:kinsoku/>
        <w:wordWrap/>
        <w:overflowPunct/>
        <w:topLinePunct w:val="0"/>
        <w:bidi w:val="0"/>
        <w:spacing w:beforeLines="0" w:afterLines="0" w:line="360" w:lineRule="auto"/>
        <w:jc w:val="center"/>
        <w:rPr>
          <w:rFonts w:hint="eastAsia"/>
          <w:b/>
          <w:color w:val="auto"/>
          <w:sz w:val="28"/>
          <w:szCs w:val="28"/>
          <w:highlight w:val="none"/>
        </w:rPr>
      </w:pPr>
      <w:r>
        <w:rPr>
          <w:rFonts w:hint="eastAsia"/>
          <w:b/>
          <w:color w:val="auto"/>
          <w:sz w:val="28"/>
          <w:szCs w:val="28"/>
          <w:highlight w:val="none"/>
        </w:rPr>
        <w:t>法定代表人授权书</w:t>
      </w:r>
    </w:p>
    <w:p w14:paraId="15CCB919">
      <w:pPr>
        <w:keepNext w:val="0"/>
        <w:keepLines w:val="0"/>
        <w:pageBreakBefore w:val="0"/>
        <w:widowControl w:val="0"/>
        <w:kinsoku/>
        <w:wordWrap/>
        <w:overflowPunct/>
        <w:topLinePunct w:val="0"/>
        <w:bidi w:val="0"/>
        <w:spacing w:beforeLines="0" w:afterLines="0"/>
        <w:rPr>
          <w:rFonts w:hint="eastAsia"/>
          <w:color w:val="auto"/>
          <w:sz w:val="18"/>
          <w:highlight w:val="none"/>
        </w:rPr>
      </w:pPr>
    </w:p>
    <w:p w14:paraId="449AC294">
      <w:pPr>
        <w:pStyle w:val="19"/>
        <w:keepNext w:val="0"/>
        <w:keepLines w:val="0"/>
        <w:pageBreakBefore w:val="0"/>
        <w:widowControl w:val="0"/>
        <w:kinsoku/>
        <w:wordWrap/>
        <w:overflowPunct/>
        <w:topLinePunct w:val="0"/>
        <w:bidi w:val="0"/>
        <w:spacing w:beforeLines="0" w:afterLines="0"/>
        <w:rPr>
          <w:rFonts w:hint="eastAsia"/>
          <w:color w:val="auto"/>
          <w:sz w:val="24"/>
          <w:highlight w:val="none"/>
        </w:rPr>
      </w:pPr>
      <w:r>
        <w:rPr>
          <w:color w:val="auto"/>
          <w:sz w:val="24"/>
          <w:highlight w:val="none"/>
        </w:rPr>
        <w:t>致：</w:t>
      </w:r>
      <w:r>
        <w:rPr>
          <w:rFonts w:hint="eastAsia"/>
          <w:color w:val="auto"/>
          <w:sz w:val="24"/>
          <w:highlight w:val="none"/>
        </w:rPr>
        <w:t>公诚管理咨询有限公司</w:t>
      </w:r>
    </w:p>
    <w:p w14:paraId="0D7E065F">
      <w:pPr>
        <w:pStyle w:val="19"/>
        <w:keepNext w:val="0"/>
        <w:keepLines w:val="0"/>
        <w:pageBreakBefore w:val="0"/>
        <w:widowControl w:val="0"/>
        <w:tabs>
          <w:tab w:val="left" w:pos="2026"/>
          <w:tab w:val="left" w:pos="3101"/>
          <w:tab w:val="left" w:pos="8808"/>
        </w:tabs>
        <w:kinsoku/>
        <w:wordWrap/>
        <w:overflowPunct/>
        <w:topLinePunct w:val="0"/>
        <w:bidi w:val="0"/>
        <w:spacing w:beforeLines="0" w:afterLines="0"/>
        <w:ind w:right="221" w:firstLine="384"/>
        <w:rPr>
          <w:rFonts w:hint="eastAsia"/>
          <w:color w:val="auto"/>
          <w:sz w:val="24"/>
          <w:highlight w:val="none"/>
        </w:rPr>
      </w:pPr>
      <w:r>
        <w:rPr>
          <w:color w:val="auto"/>
          <w:w w:val="105"/>
          <w:sz w:val="24"/>
          <w:highlight w:val="none"/>
        </w:rPr>
        <w:t>本授权书声明：</w:t>
      </w:r>
      <w:r>
        <w:rPr>
          <w:color w:val="auto"/>
          <w:w w:val="105"/>
          <w:sz w:val="24"/>
          <w:highlight w:val="none"/>
          <w:u w:val="single"/>
        </w:rPr>
        <w:t xml:space="preserve"> </w:t>
      </w:r>
      <w:r>
        <w:rPr>
          <w:color w:val="auto"/>
          <w:w w:val="105"/>
          <w:sz w:val="24"/>
          <w:highlight w:val="none"/>
          <w:u w:val="single"/>
        </w:rPr>
        <w:tab/>
      </w:r>
      <w:r>
        <w:rPr>
          <w:color w:val="auto"/>
          <w:sz w:val="24"/>
          <w:highlight w:val="none"/>
        </w:rPr>
        <w:t>是注册于</w:t>
      </w:r>
      <w:r>
        <w:rPr>
          <w:color w:val="auto"/>
          <w:spacing w:val="-17"/>
          <w:sz w:val="24"/>
          <w:highlight w:val="none"/>
          <w:u w:val="single"/>
        </w:rPr>
        <w:t xml:space="preserve">   </w:t>
      </w:r>
      <w:r>
        <w:rPr>
          <w:color w:val="auto"/>
          <w:sz w:val="24"/>
          <w:highlight w:val="none"/>
          <w:u w:val="single"/>
        </w:rPr>
        <w:t>（国家或地区）</w:t>
      </w:r>
      <w:r>
        <w:rPr>
          <w:color w:val="auto"/>
          <w:sz w:val="24"/>
          <w:highlight w:val="none"/>
        </w:rPr>
        <w:t>的</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供应商</w:t>
      </w:r>
      <w:r>
        <w:rPr>
          <w:color w:val="auto"/>
          <w:sz w:val="24"/>
          <w:highlight w:val="none"/>
          <w:u w:val="single"/>
        </w:rPr>
        <w:t>名称）</w:t>
      </w:r>
      <w:r>
        <w:rPr>
          <w:color w:val="auto"/>
          <w:sz w:val="24"/>
          <w:highlight w:val="none"/>
        </w:rPr>
        <w:t>的法定代表人，现任</w:t>
      </w:r>
      <w:r>
        <w:rPr>
          <w:color w:val="auto"/>
          <w:sz w:val="24"/>
          <w:highlight w:val="none"/>
          <w:u w:val="single"/>
        </w:rPr>
        <w:t xml:space="preserve"> </w:t>
      </w:r>
      <w:r>
        <w:rPr>
          <w:color w:val="auto"/>
          <w:sz w:val="24"/>
          <w:highlight w:val="none"/>
          <w:u w:val="single"/>
        </w:rPr>
        <w:tab/>
      </w:r>
      <w:r>
        <w:rPr>
          <w:color w:val="auto"/>
          <w:w w:val="110"/>
          <w:sz w:val="24"/>
          <w:highlight w:val="none"/>
        </w:rPr>
        <w:t>职务，有效证件号码：</w:t>
      </w:r>
      <w:r>
        <w:rPr>
          <w:color w:val="auto"/>
          <w:w w:val="110"/>
          <w:sz w:val="24"/>
          <w:highlight w:val="none"/>
          <w:u w:val="single"/>
        </w:rPr>
        <w:t xml:space="preserve">        </w:t>
      </w:r>
      <w:r>
        <w:rPr>
          <w:color w:val="auto"/>
          <w:sz w:val="24"/>
          <w:highlight w:val="none"/>
        </w:rPr>
        <w:t>。现授权</w:t>
      </w:r>
      <w:r>
        <w:rPr>
          <w:color w:val="auto"/>
          <w:spacing w:val="8"/>
          <w:sz w:val="24"/>
          <w:highlight w:val="none"/>
          <w:u w:val="single"/>
        </w:rPr>
        <w:t xml:space="preserve"> </w:t>
      </w:r>
      <w:r>
        <w:rPr>
          <w:rFonts w:hint="eastAsia"/>
          <w:color w:val="auto"/>
          <w:sz w:val="24"/>
          <w:highlight w:val="none"/>
          <w:u w:val="single"/>
        </w:rPr>
        <w:t xml:space="preserve"> </w:t>
      </w:r>
      <w:r>
        <w:rPr>
          <w:color w:val="auto"/>
          <w:sz w:val="24"/>
          <w:highlight w:val="none"/>
          <w:u w:val="single"/>
        </w:rPr>
        <w:t>（姓名、职务）</w:t>
      </w:r>
      <w:r>
        <w:rPr>
          <w:color w:val="auto"/>
          <w:sz w:val="24"/>
          <w:highlight w:val="none"/>
        </w:rPr>
        <w:t>作为我公司的全权代理人，就</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lang w:eastAsia="zh-CN"/>
        </w:rPr>
        <w:t xml:space="preserve">中华人民共和国横琴出入境边防检查站2026年政府采购限额标准以下零星修缮工程 </w:t>
      </w:r>
      <w:r>
        <w:rPr>
          <w:rFonts w:hint="eastAsia"/>
          <w:color w:val="auto"/>
          <w:sz w:val="24"/>
          <w:highlight w:val="none"/>
          <w:u w:val="single"/>
        </w:rPr>
        <w:t xml:space="preserve">[项目编号： </w:t>
      </w:r>
      <w:r>
        <w:rPr>
          <w:color w:val="auto"/>
          <w:sz w:val="24"/>
          <w:highlight w:val="none"/>
          <w:u w:val="single"/>
        </w:rPr>
        <w:t xml:space="preserve">        </w:t>
      </w:r>
      <w:r>
        <w:rPr>
          <w:rFonts w:hint="eastAsia"/>
          <w:color w:val="auto"/>
          <w:sz w:val="24"/>
          <w:highlight w:val="none"/>
          <w:u w:val="single"/>
        </w:rPr>
        <w:t>]</w:t>
      </w:r>
      <w:r>
        <w:rPr>
          <w:rFonts w:hint="eastAsia"/>
          <w:color w:val="auto"/>
          <w:sz w:val="24"/>
          <w:highlight w:val="none"/>
        </w:rPr>
        <w:t>的响应和合同执行，以我方的名义处理一切与之有关的事宜。</w:t>
      </w:r>
    </w:p>
    <w:p w14:paraId="6EDA5F44">
      <w:pPr>
        <w:pStyle w:val="19"/>
        <w:keepNext w:val="0"/>
        <w:keepLines w:val="0"/>
        <w:pageBreakBefore w:val="0"/>
        <w:widowControl w:val="0"/>
        <w:tabs>
          <w:tab w:val="left" w:pos="2026"/>
          <w:tab w:val="left" w:pos="3101"/>
          <w:tab w:val="left" w:pos="8808"/>
        </w:tabs>
        <w:kinsoku/>
        <w:wordWrap/>
        <w:overflowPunct/>
        <w:topLinePunct w:val="0"/>
        <w:bidi w:val="0"/>
        <w:spacing w:beforeLines="0" w:afterLines="0"/>
        <w:ind w:right="221" w:firstLine="384"/>
        <w:rPr>
          <w:rFonts w:hint="eastAsia"/>
          <w:color w:val="auto"/>
          <w:sz w:val="24"/>
          <w:highlight w:val="none"/>
        </w:rPr>
      </w:pPr>
      <w:r>
        <w:rPr>
          <w:color w:val="auto"/>
          <w:sz w:val="24"/>
          <w:highlight w:val="none"/>
        </w:rPr>
        <w:t>本授权书于</w:t>
      </w:r>
      <w:r>
        <w:rPr>
          <w:color w:val="auto"/>
          <w:sz w:val="24"/>
          <w:highlight w:val="none"/>
          <w:u w:val="single"/>
        </w:rPr>
        <w:t xml:space="preserve"> </w:t>
      </w:r>
      <w:r>
        <w:rPr>
          <w:color w:val="auto"/>
          <w:sz w:val="24"/>
          <w:highlight w:val="none"/>
          <w:u w:val="single"/>
        </w:rPr>
        <w:tab/>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日签字生效，特此声明。</w:t>
      </w:r>
    </w:p>
    <w:p w14:paraId="4B6EAD00">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highlight w:val="none"/>
          <w:lang w:eastAsia="zh-CN"/>
        </w:rPr>
      </w:pPr>
    </w:p>
    <w:p w14:paraId="37DE6D97">
      <w:pPr>
        <w:keepNext w:val="0"/>
        <w:keepLines w:val="0"/>
        <w:pageBreakBefore w:val="0"/>
        <w:widowControl w:val="0"/>
        <w:kinsoku/>
        <w:wordWrap/>
        <w:overflowPunct/>
        <w:topLinePunct w:val="0"/>
        <w:bidi w:val="0"/>
        <w:spacing w:beforeLines="0" w:afterLines="0"/>
        <w:ind w:left="3518" w:leftChars="1675"/>
        <w:jc w:val="right"/>
        <w:rPr>
          <w:rFonts w:hint="eastAsia"/>
          <w:color w:val="auto"/>
          <w:sz w:val="24"/>
          <w:highlight w:val="none"/>
        </w:rPr>
      </w:pPr>
      <w:r>
        <w:rPr>
          <w:rFonts w:hint="eastAsia"/>
          <w:color w:val="auto"/>
          <w:sz w:val="24"/>
          <w:highlight w:val="none"/>
        </w:rPr>
        <w:t>供应商名称（盖章）：</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7588455">
      <w:pPr>
        <w:keepNext w:val="0"/>
        <w:keepLines w:val="0"/>
        <w:pageBreakBefore w:val="0"/>
        <w:widowControl w:val="0"/>
        <w:kinsoku/>
        <w:wordWrap/>
        <w:overflowPunct/>
        <w:topLinePunct w:val="0"/>
        <w:bidi w:val="0"/>
        <w:spacing w:beforeLines="0" w:afterLines="0"/>
        <w:ind w:left="3518" w:leftChars="1675"/>
        <w:jc w:val="right"/>
        <w:rPr>
          <w:rFonts w:hint="eastAsia"/>
          <w:color w:val="auto"/>
          <w:sz w:val="24"/>
          <w:highlight w:val="none"/>
        </w:rPr>
      </w:pPr>
      <w:r>
        <w:rPr>
          <w:rFonts w:hint="eastAsia"/>
          <w:color w:val="auto"/>
          <w:sz w:val="24"/>
          <w:highlight w:val="none"/>
        </w:rPr>
        <w:t>地址：</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86F5829">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r>
        <w:rPr>
          <w:rFonts w:hint="eastAsia"/>
          <w:color w:val="auto"/>
          <w:sz w:val="24"/>
          <w:highlight w:val="none"/>
        </w:rPr>
        <w:t>法定代表人（签字或盖章）：</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u w:val="single"/>
        </w:rPr>
        <w:t xml:space="preserve"> </w:t>
      </w:r>
    </w:p>
    <w:p w14:paraId="143ACFB4">
      <w:pPr>
        <w:keepNext w:val="0"/>
        <w:keepLines w:val="0"/>
        <w:pageBreakBefore w:val="0"/>
        <w:widowControl w:val="0"/>
        <w:kinsoku/>
        <w:wordWrap/>
        <w:overflowPunct/>
        <w:topLinePunct w:val="0"/>
        <w:bidi w:val="0"/>
        <w:spacing w:beforeLines="0" w:afterLines="0"/>
        <w:ind w:left="3518" w:leftChars="1675"/>
        <w:jc w:val="right"/>
        <w:rPr>
          <w:rFonts w:hint="eastAsia"/>
          <w:color w:val="auto"/>
          <w:sz w:val="24"/>
          <w:highlight w:val="none"/>
        </w:rPr>
      </w:pPr>
      <w:r>
        <w:rPr>
          <w:rFonts w:hint="eastAsia"/>
          <w:color w:val="auto"/>
          <w:sz w:val="24"/>
          <w:highlight w:val="none"/>
        </w:rPr>
        <w:t>职务：</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0BA3B15">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r>
        <w:rPr>
          <w:rFonts w:hint="eastAsia"/>
          <w:color w:val="auto"/>
          <w:sz w:val="24"/>
          <w:highlight w:val="none"/>
        </w:rPr>
        <w:t>被授权人（签字或盖章）：</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7ACF11A9">
      <w:pPr>
        <w:keepNext w:val="0"/>
        <w:keepLines w:val="0"/>
        <w:pageBreakBefore w:val="0"/>
        <w:widowControl w:val="0"/>
        <w:kinsoku/>
        <w:wordWrap/>
        <w:overflowPunct/>
        <w:topLinePunct w:val="0"/>
        <w:bidi w:val="0"/>
        <w:spacing w:beforeLines="0" w:afterLines="0"/>
        <w:ind w:left="3518" w:leftChars="1675"/>
        <w:jc w:val="right"/>
        <w:rPr>
          <w:rFonts w:hint="eastAsia"/>
          <w:color w:val="auto"/>
          <w:sz w:val="24"/>
          <w:highlight w:val="none"/>
        </w:rPr>
      </w:pPr>
      <w:r>
        <w:rPr>
          <w:rFonts w:hint="eastAsia"/>
          <w:color w:val="auto"/>
          <w:sz w:val="24"/>
          <w:highlight w:val="none"/>
        </w:rPr>
        <w:t>职务：</w:t>
      </w:r>
      <w:r>
        <w:rPr>
          <w:rFonts w:hint="eastAsia"/>
          <w:color w:val="auto"/>
          <w:sz w:val="24"/>
          <w:highlight w:val="none"/>
          <w:u w:val="single"/>
        </w:rPr>
        <w:tab/>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w:t>
      </w:r>
      <w:r>
        <w:rPr>
          <w:rFonts w:hint="eastAsia"/>
          <w:color w:val="auto"/>
          <w:sz w:val="24"/>
          <w:highlight w:val="none"/>
        </w:rPr>
        <w:t xml:space="preserve"> </w:t>
      </w:r>
    </w:p>
    <w:p w14:paraId="335317D1">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r>
        <w:rPr>
          <w:rFonts w:hint="eastAsia"/>
          <w:color w:val="auto"/>
          <w:sz w:val="24"/>
          <w:highlight w:val="none"/>
        </w:rPr>
        <w:t>日期：</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ab/>
      </w:r>
      <w:r>
        <w:rPr>
          <w:rFonts w:hint="eastAsia"/>
          <w:color w:val="auto"/>
          <w:sz w:val="24"/>
          <w:highlight w:val="none"/>
          <w:u w:val="single"/>
        </w:rPr>
        <w:t xml:space="preserve">    </w:t>
      </w:r>
      <w:r>
        <w:rPr>
          <w:rFonts w:hint="eastAsia"/>
          <w:color w:val="auto"/>
          <w:sz w:val="24"/>
          <w:highlight w:val="none"/>
        </w:rPr>
        <w:t>日</w:t>
      </w:r>
    </w:p>
    <w:p w14:paraId="4D10B3D6">
      <w:pPr>
        <w:keepNext w:val="0"/>
        <w:keepLines w:val="0"/>
        <w:pageBreakBefore w:val="0"/>
        <w:widowControl w:val="0"/>
        <w:kinsoku/>
        <w:wordWrap/>
        <w:overflowPunct/>
        <w:topLinePunct w:val="0"/>
        <w:bidi w:val="0"/>
        <w:spacing w:beforeLines="0" w:afterLines="0"/>
        <w:rPr>
          <w:rFonts w:hint="eastAsia"/>
          <w:b/>
          <w:color w:val="auto"/>
          <w:szCs w:val="21"/>
          <w:highlight w:val="none"/>
        </w:rPr>
      </w:pPr>
    </w:p>
    <w:tbl>
      <w:tblPr>
        <w:tblStyle w:val="48"/>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4"/>
      </w:tblGrid>
      <w:tr w14:paraId="79A7D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4348D397">
            <w:pPr>
              <w:keepNext w:val="0"/>
              <w:keepLines w:val="0"/>
              <w:pageBreakBefore w:val="0"/>
              <w:widowControl w:val="0"/>
              <w:kinsoku/>
              <w:wordWrap/>
              <w:overflowPunct/>
              <w:topLinePunct w:val="0"/>
              <w:bidi w:val="0"/>
              <w:spacing w:beforeLines="0" w:afterLines="0"/>
              <w:jc w:val="center"/>
              <w:rPr>
                <w:rFonts w:hint="eastAsia"/>
                <w:color w:val="auto"/>
                <w:sz w:val="24"/>
                <w:highlight w:val="none"/>
              </w:rPr>
            </w:pPr>
            <w:r>
              <w:rPr>
                <w:rFonts w:hint="eastAsia"/>
                <w:color w:val="auto"/>
                <w:sz w:val="24"/>
                <w:highlight w:val="none"/>
              </w:rPr>
              <w:t>被授权人身份证复印件</w:t>
            </w:r>
          </w:p>
          <w:p w14:paraId="506840DC">
            <w:pPr>
              <w:keepNext w:val="0"/>
              <w:keepLines w:val="0"/>
              <w:pageBreakBefore w:val="0"/>
              <w:widowControl w:val="0"/>
              <w:kinsoku/>
              <w:wordWrap/>
              <w:overflowPunct/>
              <w:topLinePunct w:val="0"/>
              <w:bidi w:val="0"/>
              <w:spacing w:beforeLines="0" w:afterLines="0"/>
              <w:jc w:val="center"/>
              <w:rPr>
                <w:rFonts w:hint="eastAsia"/>
                <w:color w:val="auto"/>
                <w:highlight w:val="none"/>
              </w:rPr>
            </w:pPr>
            <w:r>
              <w:rPr>
                <w:rFonts w:hint="eastAsia"/>
                <w:color w:val="auto"/>
                <w:sz w:val="24"/>
                <w:highlight w:val="none"/>
              </w:rPr>
              <w:t>（正、反</w:t>
            </w:r>
            <w:r>
              <w:rPr>
                <w:color w:val="auto"/>
                <w:sz w:val="24"/>
                <w:highlight w:val="none"/>
              </w:rPr>
              <w:t>两面</w:t>
            </w:r>
            <w:r>
              <w:rPr>
                <w:rFonts w:hint="eastAsia"/>
                <w:color w:val="auto"/>
                <w:sz w:val="24"/>
                <w:highlight w:val="none"/>
              </w:rPr>
              <w:t>）</w:t>
            </w:r>
          </w:p>
        </w:tc>
      </w:tr>
    </w:tbl>
    <w:p w14:paraId="4F9710DE">
      <w:pPr>
        <w:keepNext w:val="0"/>
        <w:keepLines w:val="0"/>
        <w:pageBreakBefore w:val="0"/>
        <w:widowControl w:val="0"/>
        <w:kinsoku/>
        <w:wordWrap/>
        <w:overflowPunct/>
        <w:topLinePunct w:val="0"/>
        <w:bidi w:val="0"/>
        <w:spacing w:beforeLines="0" w:afterLines="0"/>
        <w:rPr>
          <w:rFonts w:hint="eastAsia"/>
          <w:b/>
          <w:bCs/>
          <w:color w:val="auto"/>
          <w:szCs w:val="22"/>
          <w:highlight w:val="none"/>
        </w:rPr>
      </w:pPr>
      <w:r>
        <w:rPr>
          <w:rFonts w:hint="eastAsia"/>
          <w:b/>
          <w:bCs/>
          <w:color w:val="auto"/>
          <w:szCs w:val="22"/>
          <w:highlight w:val="none"/>
        </w:rPr>
        <w:t>说明：</w:t>
      </w:r>
    </w:p>
    <w:p w14:paraId="1B958720">
      <w:pPr>
        <w:keepNext w:val="0"/>
        <w:keepLines w:val="0"/>
        <w:pageBreakBefore w:val="0"/>
        <w:widowControl w:val="0"/>
        <w:kinsoku/>
        <w:wordWrap/>
        <w:overflowPunct/>
        <w:topLinePunct w:val="0"/>
        <w:bidi w:val="0"/>
        <w:spacing w:beforeLines="0" w:afterLines="0"/>
        <w:rPr>
          <w:rFonts w:hint="eastAsia"/>
          <w:b/>
          <w:bCs/>
          <w:color w:val="auto"/>
          <w:szCs w:val="22"/>
          <w:highlight w:val="none"/>
        </w:rPr>
      </w:pPr>
      <w:r>
        <w:rPr>
          <w:rFonts w:hint="eastAsia"/>
          <w:b/>
          <w:bCs/>
          <w:color w:val="auto"/>
          <w:szCs w:val="22"/>
          <w:highlight w:val="none"/>
        </w:rPr>
        <w:t>1.响应代表为法定代表人，则本表不需提供。</w:t>
      </w:r>
    </w:p>
    <w:p w14:paraId="71187B31">
      <w:pPr>
        <w:keepNext w:val="0"/>
        <w:keepLines w:val="0"/>
        <w:pageBreakBefore w:val="0"/>
        <w:widowControl w:val="0"/>
        <w:kinsoku/>
        <w:wordWrap/>
        <w:overflowPunct/>
        <w:topLinePunct w:val="0"/>
        <w:bidi w:val="0"/>
        <w:spacing w:beforeLines="0" w:afterLines="0"/>
        <w:rPr>
          <w:rFonts w:hint="eastAsia"/>
          <w:color w:val="auto"/>
          <w:sz w:val="24"/>
          <w:highlight w:val="none"/>
        </w:rPr>
      </w:pPr>
      <w:r>
        <w:rPr>
          <w:b/>
          <w:bCs/>
          <w:color w:val="auto"/>
          <w:szCs w:val="22"/>
          <w:highlight w:val="none"/>
        </w:rPr>
        <w:t>2</w:t>
      </w:r>
      <w:r>
        <w:rPr>
          <w:rFonts w:hint="eastAsia"/>
          <w:b/>
          <w:bCs/>
          <w:color w:val="auto"/>
          <w:szCs w:val="22"/>
          <w:highlight w:val="none"/>
        </w:rPr>
        <w:t>.响应代表为法定代表人授权委托人的，须提供被授权人身份证复印件，否则作无效响应处理。</w:t>
      </w:r>
    </w:p>
    <w:p w14:paraId="7351AA59">
      <w:pPr>
        <w:keepNext w:val="0"/>
        <w:keepLines w:val="0"/>
        <w:pageBreakBefore w:val="0"/>
        <w:widowControl w:val="0"/>
        <w:kinsoku/>
        <w:wordWrap/>
        <w:overflowPunct/>
        <w:topLinePunct w:val="0"/>
        <w:bidi w:val="0"/>
        <w:spacing w:beforeLines="0" w:afterLines="0"/>
        <w:rPr>
          <w:rFonts w:hint="eastAsia"/>
          <w:b/>
          <w:color w:val="auto"/>
          <w:sz w:val="28"/>
          <w:szCs w:val="28"/>
          <w:highlight w:val="none"/>
        </w:rPr>
      </w:pPr>
      <w:r>
        <w:rPr>
          <w:b/>
          <w:color w:val="auto"/>
          <w:sz w:val="28"/>
          <w:szCs w:val="28"/>
          <w:highlight w:val="none"/>
        </w:rPr>
        <w:br w:type="page"/>
      </w:r>
    </w:p>
    <w:p w14:paraId="360277D8">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06" w:name="_Toc9937"/>
      <w:bookmarkStart w:id="207" w:name="_Toc112002531"/>
      <w:bookmarkStart w:id="208" w:name="_Toc104131914"/>
      <w:bookmarkStart w:id="209" w:name="_Toc103033240"/>
      <w:bookmarkStart w:id="210" w:name="_Toc104040764"/>
      <w:bookmarkStart w:id="211" w:name="_Toc104040710"/>
      <w:r>
        <w:rPr>
          <w:rFonts w:hint="eastAsia" w:ascii="宋体" w:hAnsi="宋体" w:eastAsia="宋体"/>
          <w:color w:val="auto"/>
          <w:sz w:val="24"/>
          <w:szCs w:val="24"/>
          <w:highlight w:val="none"/>
        </w:rPr>
        <w:t>提供具有独立承担民事责任的能力的证明材料</w:t>
      </w:r>
      <w:bookmarkEnd w:id="206"/>
      <w:bookmarkEnd w:id="207"/>
      <w:bookmarkEnd w:id="208"/>
    </w:p>
    <w:p w14:paraId="2D8F36BB">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i/>
          <w:iCs/>
          <w:color w:val="auto"/>
          <w:sz w:val="21"/>
          <w:szCs w:val="21"/>
          <w:highlight w:val="none"/>
          <w:lang w:eastAsia="zh-CN"/>
        </w:rPr>
      </w:pPr>
      <w:r>
        <w:rPr>
          <w:rFonts w:hint="eastAsia"/>
          <w:i/>
          <w:iCs/>
          <w:color w:val="auto"/>
          <w:sz w:val="21"/>
          <w:szCs w:val="21"/>
          <w:highlight w:val="none"/>
          <w:lang w:eastAsia="zh-CN"/>
        </w:rPr>
        <w:t>（按照采购文件的资格要求提供相关材料）</w:t>
      </w:r>
    </w:p>
    <w:p w14:paraId="4045945F">
      <w:pPr>
        <w:pStyle w:val="358"/>
        <w:keepNext w:val="0"/>
        <w:keepLines w:val="0"/>
        <w:pageBreakBefore w:val="0"/>
        <w:widowControl w:val="0"/>
        <w:kinsoku/>
        <w:wordWrap/>
        <w:overflowPunct/>
        <w:topLinePunct w:val="0"/>
        <w:autoSpaceDE/>
        <w:autoSpaceDN/>
        <w:bidi w:val="0"/>
        <w:spacing w:beforeLines="0" w:afterLines="0"/>
        <w:ind w:firstLine="0" w:firstLineChars="0"/>
        <w:rPr>
          <w:rFonts w:hint="eastAsia"/>
          <w:color w:val="auto"/>
          <w:sz w:val="21"/>
          <w:szCs w:val="21"/>
          <w:highlight w:val="none"/>
          <w:lang w:eastAsia="zh-CN"/>
        </w:rPr>
      </w:pPr>
    </w:p>
    <w:p w14:paraId="0DE9399C">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12" w:name="_Toc104160577"/>
      <w:bookmarkStart w:id="213" w:name="_Toc10771"/>
      <w:bookmarkStart w:id="214" w:name="_Toc112002532"/>
      <w:r>
        <w:rPr>
          <w:rFonts w:hint="eastAsia" w:ascii="宋体" w:hAnsi="宋体" w:eastAsia="宋体"/>
          <w:color w:val="auto"/>
          <w:sz w:val="24"/>
          <w:szCs w:val="24"/>
          <w:highlight w:val="none"/>
        </w:rPr>
        <w:t>提供有依法缴纳税收的良好记录的证明材料</w:t>
      </w:r>
      <w:bookmarkEnd w:id="212"/>
      <w:bookmarkEnd w:id="213"/>
      <w:bookmarkEnd w:id="214"/>
    </w:p>
    <w:p w14:paraId="3FF14259">
      <w:pPr>
        <w:keepNext w:val="0"/>
        <w:keepLines w:val="0"/>
        <w:pageBreakBefore w:val="0"/>
        <w:widowControl w:val="0"/>
        <w:kinsoku/>
        <w:wordWrap/>
        <w:overflowPunct/>
        <w:topLinePunct w:val="0"/>
        <w:bidi w:val="0"/>
        <w:spacing w:beforeLines="0" w:afterLines="0"/>
        <w:rPr>
          <w:rFonts w:hint="eastAsia"/>
          <w:i/>
          <w:iCs/>
          <w:color w:val="auto"/>
          <w:szCs w:val="21"/>
          <w:highlight w:val="none"/>
        </w:rPr>
      </w:pPr>
      <w:r>
        <w:rPr>
          <w:rFonts w:hint="eastAsia"/>
          <w:i/>
          <w:iCs/>
          <w:color w:val="auto"/>
          <w:szCs w:val="21"/>
          <w:highlight w:val="none"/>
        </w:rPr>
        <w:t>（按照采购文件的资格要求提供相关材料）</w:t>
      </w:r>
    </w:p>
    <w:p w14:paraId="64DD1298">
      <w:pPr>
        <w:pStyle w:val="47"/>
        <w:keepNext w:val="0"/>
        <w:keepLines w:val="0"/>
        <w:pageBreakBefore w:val="0"/>
        <w:widowControl w:val="0"/>
        <w:kinsoku/>
        <w:wordWrap/>
        <w:overflowPunct/>
        <w:topLinePunct w:val="0"/>
        <w:bidi w:val="0"/>
        <w:spacing w:beforeLines="0" w:after="0" w:afterLines="0" w:line="360" w:lineRule="auto"/>
        <w:rPr>
          <w:rFonts w:hint="eastAsia"/>
          <w:color w:val="auto"/>
          <w:highlight w:val="none"/>
        </w:rPr>
      </w:pPr>
    </w:p>
    <w:p w14:paraId="31767506">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15" w:name="_Toc112002533"/>
      <w:bookmarkStart w:id="216" w:name="_Toc21772"/>
      <w:r>
        <w:rPr>
          <w:rFonts w:hint="eastAsia" w:ascii="宋体" w:hAnsi="宋体" w:eastAsia="宋体"/>
          <w:color w:val="auto"/>
          <w:sz w:val="24"/>
          <w:szCs w:val="24"/>
          <w:highlight w:val="none"/>
        </w:rPr>
        <w:t>提供有依法缴纳社会保障资金的良好记录的证明材料</w:t>
      </w:r>
      <w:bookmarkEnd w:id="215"/>
      <w:bookmarkEnd w:id="216"/>
    </w:p>
    <w:p w14:paraId="5220AD3A">
      <w:pPr>
        <w:keepNext w:val="0"/>
        <w:keepLines w:val="0"/>
        <w:pageBreakBefore w:val="0"/>
        <w:widowControl w:val="0"/>
        <w:kinsoku/>
        <w:wordWrap/>
        <w:overflowPunct/>
        <w:topLinePunct w:val="0"/>
        <w:bidi w:val="0"/>
        <w:spacing w:beforeLines="0" w:afterLines="0"/>
        <w:rPr>
          <w:rFonts w:hint="eastAsia"/>
          <w:i/>
          <w:iCs/>
          <w:color w:val="auto"/>
          <w:szCs w:val="21"/>
          <w:highlight w:val="none"/>
        </w:rPr>
      </w:pPr>
      <w:r>
        <w:rPr>
          <w:rFonts w:hint="eastAsia"/>
          <w:i/>
          <w:iCs/>
          <w:color w:val="auto"/>
          <w:szCs w:val="21"/>
          <w:highlight w:val="none"/>
        </w:rPr>
        <w:t>（按照采购文件的资格要求提供相关材料）</w:t>
      </w:r>
    </w:p>
    <w:p w14:paraId="1D013BC8">
      <w:pPr>
        <w:keepNext w:val="0"/>
        <w:keepLines w:val="0"/>
        <w:pageBreakBefore w:val="0"/>
        <w:widowControl w:val="0"/>
        <w:kinsoku/>
        <w:wordWrap/>
        <w:overflowPunct/>
        <w:topLinePunct w:val="0"/>
        <w:bidi w:val="0"/>
        <w:spacing w:beforeLines="0" w:afterLines="0"/>
        <w:rPr>
          <w:rFonts w:hint="eastAsia"/>
          <w:color w:val="auto"/>
          <w:sz w:val="28"/>
          <w:highlight w:val="none"/>
        </w:rPr>
      </w:pPr>
    </w:p>
    <w:p w14:paraId="72285A66">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17" w:name="_Toc112002534"/>
      <w:bookmarkStart w:id="218" w:name="_Toc8407"/>
      <w:bookmarkStart w:id="219" w:name="_Toc104040709"/>
      <w:bookmarkStart w:id="220" w:name="_Toc103033239"/>
      <w:bookmarkStart w:id="221" w:name="_Toc104160578"/>
      <w:r>
        <w:rPr>
          <w:rFonts w:hint="eastAsia" w:ascii="宋体" w:hAnsi="宋体" w:eastAsia="宋体"/>
          <w:color w:val="auto"/>
          <w:sz w:val="24"/>
          <w:szCs w:val="24"/>
          <w:highlight w:val="none"/>
        </w:rPr>
        <w:t>提供具有良好的商业信誉和健全的财务会计制度的证明材料</w:t>
      </w:r>
      <w:bookmarkEnd w:id="217"/>
      <w:bookmarkEnd w:id="218"/>
      <w:bookmarkEnd w:id="219"/>
      <w:bookmarkEnd w:id="220"/>
      <w:bookmarkEnd w:id="221"/>
    </w:p>
    <w:p w14:paraId="1036DD25">
      <w:pPr>
        <w:keepNext w:val="0"/>
        <w:keepLines w:val="0"/>
        <w:pageBreakBefore w:val="0"/>
        <w:widowControl w:val="0"/>
        <w:kinsoku/>
        <w:wordWrap/>
        <w:overflowPunct/>
        <w:topLinePunct w:val="0"/>
        <w:bidi w:val="0"/>
        <w:spacing w:beforeLines="0" w:afterLines="0"/>
        <w:rPr>
          <w:rFonts w:hint="eastAsia"/>
          <w:i/>
          <w:iCs/>
          <w:color w:val="auto"/>
          <w:szCs w:val="21"/>
          <w:highlight w:val="none"/>
        </w:rPr>
      </w:pPr>
      <w:r>
        <w:rPr>
          <w:rFonts w:hint="eastAsia"/>
          <w:i/>
          <w:iCs/>
          <w:color w:val="auto"/>
          <w:szCs w:val="21"/>
          <w:highlight w:val="none"/>
        </w:rPr>
        <w:t>（按照采购文件的资格要求提供相关材料）</w:t>
      </w:r>
    </w:p>
    <w:p w14:paraId="1FCE5C12">
      <w:pPr>
        <w:keepNext w:val="0"/>
        <w:keepLines w:val="0"/>
        <w:pageBreakBefore w:val="0"/>
        <w:widowControl w:val="0"/>
        <w:kinsoku/>
        <w:wordWrap/>
        <w:overflowPunct/>
        <w:topLinePunct w:val="0"/>
        <w:bidi w:val="0"/>
        <w:spacing w:beforeLines="0" w:afterLines="0"/>
        <w:rPr>
          <w:rFonts w:hint="eastAsia"/>
          <w:color w:val="auto"/>
          <w:sz w:val="28"/>
          <w:highlight w:val="none"/>
        </w:rPr>
      </w:pPr>
    </w:p>
    <w:p w14:paraId="640D21C7">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22" w:name="_Toc104160579"/>
      <w:bookmarkStart w:id="223" w:name="_Toc112002535"/>
      <w:bookmarkStart w:id="224" w:name="_Toc22146"/>
      <w:r>
        <w:rPr>
          <w:rFonts w:hint="eastAsia" w:ascii="宋体" w:hAnsi="宋体" w:eastAsia="宋体"/>
          <w:color w:val="auto"/>
          <w:sz w:val="24"/>
          <w:szCs w:val="24"/>
          <w:highlight w:val="none"/>
        </w:rPr>
        <w:t>提供具有履行合同所必需的设备和专业技术能力的证明材料</w:t>
      </w:r>
      <w:bookmarkEnd w:id="222"/>
      <w:bookmarkEnd w:id="223"/>
      <w:bookmarkEnd w:id="224"/>
    </w:p>
    <w:p w14:paraId="42E8EBF2">
      <w:pPr>
        <w:keepNext w:val="0"/>
        <w:keepLines w:val="0"/>
        <w:pageBreakBefore w:val="0"/>
        <w:widowControl w:val="0"/>
        <w:kinsoku/>
        <w:wordWrap/>
        <w:overflowPunct/>
        <w:topLinePunct w:val="0"/>
        <w:bidi w:val="0"/>
        <w:spacing w:beforeLines="0" w:afterLines="0"/>
        <w:rPr>
          <w:rFonts w:hint="eastAsia"/>
          <w:i/>
          <w:iCs/>
          <w:color w:val="auto"/>
          <w:szCs w:val="21"/>
          <w:highlight w:val="none"/>
        </w:rPr>
      </w:pPr>
      <w:r>
        <w:rPr>
          <w:rFonts w:hint="eastAsia"/>
          <w:i/>
          <w:iCs/>
          <w:color w:val="auto"/>
          <w:szCs w:val="21"/>
          <w:highlight w:val="none"/>
        </w:rPr>
        <w:t>（按照采购文件的资格要求提供相关材料）</w:t>
      </w:r>
    </w:p>
    <w:p w14:paraId="081D40C7">
      <w:pPr>
        <w:keepNext w:val="0"/>
        <w:keepLines w:val="0"/>
        <w:pageBreakBefore w:val="0"/>
        <w:widowControl w:val="0"/>
        <w:kinsoku/>
        <w:wordWrap/>
        <w:overflowPunct/>
        <w:topLinePunct w:val="0"/>
        <w:bidi w:val="0"/>
        <w:spacing w:beforeLines="0" w:afterLines="0"/>
        <w:jc w:val="center"/>
        <w:rPr>
          <w:rFonts w:hint="eastAsia"/>
          <w:b/>
          <w:bCs/>
          <w:color w:val="auto"/>
          <w:sz w:val="28"/>
          <w:highlight w:val="none"/>
        </w:rPr>
      </w:pPr>
      <w:r>
        <w:rPr>
          <w:rFonts w:hint="eastAsia"/>
          <w:b/>
          <w:bCs/>
          <w:color w:val="auto"/>
          <w:sz w:val="28"/>
          <w:highlight w:val="none"/>
        </w:rPr>
        <w:t>设备和专业技术能力情况表</w:t>
      </w:r>
    </w:p>
    <w:p w14:paraId="5365D127">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rFonts w:hint="eastAsia"/>
          <w:color w:val="auto"/>
          <w:sz w:val="24"/>
          <w:szCs w:val="32"/>
          <w:highlight w:val="none"/>
        </w:rPr>
        <w:t>我单位为本项目实施提供以下设备和专业技术人员：</w:t>
      </w:r>
    </w:p>
    <w:tbl>
      <w:tblPr>
        <w:tblStyle w:val="48"/>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autofit"/>
        <w:tblCellMar>
          <w:top w:w="0" w:type="dxa"/>
          <w:left w:w="0" w:type="dxa"/>
          <w:bottom w:w="0" w:type="dxa"/>
          <w:right w:w="0" w:type="dxa"/>
        </w:tblCellMar>
      </w:tblPr>
      <w:tblGrid>
        <w:gridCol w:w="1197"/>
        <w:gridCol w:w="4833"/>
        <w:gridCol w:w="2415"/>
        <w:gridCol w:w="1209"/>
      </w:tblGrid>
      <w:tr w14:paraId="3716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11EAA36D">
            <w:pPr>
              <w:keepNext w:val="0"/>
              <w:keepLines w:val="0"/>
              <w:pageBreakBefore w:val="0"/>
              <w:widowControl w:val="0"/>
              <w:kinsoku/>
              <w:wordWrap/>
              <w:overflowPunct/>
              <w:topLinePunct w:val="0"/>
              <w:bidi w:val="0"/>
              <w:spacing w:beforeLines="0" w:afterLines="0" w:line="360" w:lineRule="auto"/>
              <w:jc w:val="center"/>
              <w:rPr>
                <w:rFonts w:hint="eastAsia"/>
                <w:b/>
                <w:bCs/>
                <w:color w:val="auto"/>
                <w:highlight w:val="none"/>
              </w:rPr>
            </w:pPr>
            <w:r>
              <w:rPr>
                <w:rFonts w:hint="eastAsia"/>
                <w:b/>
                <w:bCs/>
                <w:color w:val="auto"/>
                <w:highlight w:val="none"/>
              </w:rPr>
              <w:t>序号</w:t>
            </w:r>
          </w:p>
        </w:tc>
        <w:tc>
          <w:tcPr>
            <w:tcW w:w="2503" w:type="pct"/>
            <w:shd w:val="clear" w:color="auto" w:fill="FFFFFF"/>
            <w:vAlign w:val="center"/>
          </w:tcPr>
          <w:p w14:paraId="72923646">
            <w:pPr>
              <w:keepNext w:val="0"/>
              <w:keepLines w:val="0"/>
              <w:pageBreakBefore w:val="0"/>
              <w:widowControl w:val="0"/>
              <w:kinsoku/>
              <w:wordWrap/>
              <w:overflowPunct/>
              <w:topLinePunct w:val="0"/>
              <w:bidi w:val="0"/>
              <w:spacing w:beforeLines="0" w:afterLines="0" w:line="360" w:lineRule="auto"/>
              <w:jc w:val="center"/>
              <w:rPr>
                <w:rFonts w:hint="eastAsia"/>
                <w:b/>
                <w:bCs/>
                <w:color w:val="auto"/>
                <w:highlight w:val="none"/>
              </w:rPr>
            </w:pPr>
            <w:r>
              <w:rPr>
                <w:rFonts w:hint="eastAsia"/>
                <w:b/>
                <w:bCs/>
                <w:color w:val="auto"/>
                <w:highlight w:val="none"/>
              </w:rPr>
              <w:t>设备名称和专业技术人员</w:t>
            </w:r>
          </w:p>
        </w:tc>
        <w:tc>
          <w:tcPr>
            <w:tcW w:w="1251" w:type="pct"/>
            <w:shd w:val="clear" w:color="auto" w:fill="FFFFFF"/>
            <w:vAlign w:val="center"/>
          </w:tcPr>
          <w:p w14:paraId="5FCA43FE">
            <w:pPr>
              <w:keepNext w:val="0"/>
              <w:keepLines w:val="0"/>
              <w:pageBreakBefore w:val="0"/>
              <w:widowControl w:val="0"/>
              <w:kinsoku/>
              <w:wordWrap/>
              <w:overflowPunct/>
              <w:topLinePunct w:val="0"/>
              <w:bidi w:val="0"/>
              <w:spacing w:beforeLines="0" w:afterLines="0" w:line="360" w:lineRule="auto"/>
              <w:jc w:val="center"/>
              <w:rPr>
                <w:rFonts w:hint="eastAsia"/>
                <w:b/>
                <w:bCs/>
                <w:color w:val="auto"/>
                <w:highlight w:val="none"/>
              </w:rPr>
            </w:pPr>
            <w:r>
              <w:rPr>
                <w:rFonts w:hint="eastAsia"/>
                <w:b/>
                <w:bCs/>
                <w:color w:val="auto"/>
                <w:highlight w:val="none"/>
              </w:rPr>
              <w:t>数量及单位</w:t>
            </w:r>
          </w:p>
        </w:tc>
        <w:tc>
          <w:tcPr>
            <w:tcW w:w="626" w:type="pct"/>
            <w:shd w:val="clear" w:color="auto" w:fill="FFFFFF"/>
            <w:vAlign w:val="center"/>
          </w:tcPr>
          <w:p w14:paraId="2784193E">
            <w:pPr>
              <w:keepNext w:val="0"/>
              <w:keepLines w:val="0"/>
              <w:pageBreakBefore w:val="0"/>
              <w:widowControl w:val="0"/>
              <w:kinsoku/>
              <w:wordWrap/>
              <w:overflowPunct/>
              <w:topLinePunct w:val="0"/>
              <w:bidi w:val="0"/>
              <w:spacing w:beforeLines="0" w:afterLines="0" w:line="360" w:lineRule="auto"/>
              <w:jc w:val="center"/>
              <w:rPr>
                <w:rFonts w:hint="eastAsia"/>
                <w:b/>
                <w:bCs/>
                <w:color w:val="auto"/>
                <w:highlight w:val="none"/>
              </w:rPr>
            </w:pPr>
            <w:r>
              <w:rPr>
                <w:rFonts w:hint="eastAsia"/>
                <w:b/>
                <w:bCs/>
                <w:color w:val="auto"/>
                <w:highlight w:val="none"/>
              </w:rPr>
              <w:t>备注</w:t>
            </w:r>
          </w:p>
        </w:tc>
      </w:tr>
      <w:tr w14:paraId="1675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22DE1696">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r>
              <w:rPr>
                <w:rFonts w:hint="eastAsia"/>
                <w:color w:val="auto"/>
                <w:highlight w:val="none"/>
              </w:rPr>
              <w:t>1</w:t>
            </w:r>
          </w:p>
        </w:tc>
        <w:tc>
          <w:tcPr>
            <w:tcW w:w="2503" w:type="pct"/>
            <w:shd w:val="clear" w:color="auto" w:fill="FFFFFF"/>
            <w:vAlign w:val="center"/>
          </w:tcPr>
          <w:p w14:paraId="174CC597">
            <w:pPr>
              <w:keepNext w:val="0"/>
              <w:keepLines w:val="0"/>
              <w:pageBreakBefore w:val="0"/>
              <w:widowControl w:val="0"/>
              <w:kinsoku/>
              <w:wordWrap/>
              <w:overflowPunct/>
              <w:topLinePunct w:val="0"/>
              <w:bidi w:val="0"/>
              <w:spacing w:beforeLines="0" w:afterLines="0" w:line="360" w:lineRule="auto"/>
              <w:jc w:val="center"/>
              <w:rPr>
                <w:rFonts w:hint="eastAsia" w:eastAsia="宋体"/>
                <w:color w:val="auto"/>
                <w:highlight w:val="none"/>
                <w:lang w:eastAsia="zh-CN"/>
              </w:rPr>
            </w:pPr>
            <w:r>
              <w:rPr>
                <w:rFonts w:hint="eastAsia"/>
                <w:color w:val="auto"/>
                <w:highlight w:val="none"/>
                <w:lang w:eastAsia="zh-CN"/>
              </w:rPr>
              <w:t>（</w:t>
            </w:r>
            <w:r>
              <w:rPr>
                <w:rFonts w:hint="eastAsia"/>
                <w:color w:val="auto"/>
                <w:highlight w:val="none"/>
                <w:lang w:val="en-US" w:eastAsia="zh-CN"/>
              </w:rPr>
              <w:t>须填写“设备”及“人员”两项内容</w:t>
            </w:r>
            <w:r>
              <w:rPr>
                <w:rFonts w:hint="eastAsia"/>
                <w:color w:val="auto"/>
                <w:highlight w:val="none"/>
                <w:lang w:eastAsia="zh-CN"/>
              </w:rPr>
              <w:t>）</w:t>
            </w:r>
          </w:p>
        </w:tc>
        <w:tc>
          <w:tcPr>
            <w:tcW w:w="1251" w:type="pct"/>
            <w:shd w:val="clear" w:color="auto" w:fill="FFFFFF"/>
            <w:vAlign w:val="center"/>
          </w:tcPr>
          <w:p w14:paraId="0EC5ED1C">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626" w:type="pct"/>
            <w:shd w:val="clear" w:color="auto" w:fill="FFFFFF"/>
            <w:vAlign w:val="center"/>
          </w:tcPr>
          <w:p w14:paraId="0B0E21A7">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r>
      <w:tr w14:paraId="77F4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02B0262A">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r>
              <w:rPr>
                <w:rFonts w:hint="eastAsia"/>
                <w:color w:val="auto"/>
                <w:highlight w:val="none"/>
              </w:rPr>
              <w:t>2</w:t>
            </w:r>
          </w:p>
        </w:tc>
        <w:tc>
          <w:tcPr>
            <w:tcW w:w="2503" w:type="pct"/>
            <w:shd w:val="clear" w:color="auto" w:fill="FFFFFF"/>
            <w:vAlign w:val="center"/>
          </w:tcPr>
          <w:p w14:paraId="00F8B696">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1251" w:type="pct"/>
            <w:shd w:val="clear" w:color="auto" w:fill="FFFFFF"/>
            <w:vAlign w:val="center"/>
          </w:tcPr>
          <w:p w14:paraId="3D0C1BF5">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626" w:type="pct"/>
            <w:shd w:val="clear" w:color="auto" w:fill="FFFFFF"/>
            <w:vAlign w:val="center"/>
          </w:tcPr>
          <w:p w14:paraId="25FB446E">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r>
      <w:tr w14:paraId="36DA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PrEx>
        <w:trPr>
          <w:trHeight w:val="381" w:hRule="atLeast"/>
        </w:trPr>
        <w:tc>
          <w:tcPr>
            <w:tcW w:w="620" w:type="pct"/>
            <w:shd w:val="clear" w:color="auto" w:fill="FFFFFF"/>
            <w:vAlign w:val="center"/>
          </w:tcPr>
          <w:p w14:paraId="4D0A2373">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r>
              <w:rPr>
                <w:rFonts w:hint="eastAsia"/>
                <w:color w:val="auto"/>
                <w:highlight w:val="none"/>
              </w:rPr>
              <w:t>3</w:t>
            </w:r>
          </w:p>
        </w:tc>
        <w:tc>
          <w:tcPr>
            <w:tcW w:w="2503" w:type="pct"/>
            <w:shd w:val="clear" w:color="auto" w:fill="FFFFFF"/>
            <w:vAlign w:val="center"/>
          </w:tcPr>
          <w:p w14:paraId="607AF9E2">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1251" w:type="pct"/>
            <w:shd w:val="clear" w:color="auto" w:fill="FFFFFF"/>
            <w:vAlign w:val="center"/>
          </w:tcPr>
          <w:p w14:paraId="186A6A6A">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626" w:type="pct"/>
            <w:shd w:val="clear" w:color="auto" w:fill="FFFFFF"/>
            <w:vAlign w:val="center"/>
          </w:tcPr>
          <w:p w14:paraId="6C4416A1">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r>
      <w:tr w14:paraId="3429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PrEx>
        <w:trPr>
          <w:trHeight w:val="381" w:hRule="atLeast"/>
        </w:trPr>
        <w:tc>
          <w:tcPr>
            <w:tcW w:w="620" w:type="pct"/>
            <w:shd w:val="clear" w:color="auto" w:fill="FFFFFF"/>
            <w:vAlign w:val="center"/>
          </w:tcPr>
          <w:p w14:paraId="2A3E30AD">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r>
              <w:rPr>
                <w:rFonts w:hint="eastAsia"/>
                <w:color w:val="auto"/>
                <w:highlight w:val="none"/>
              </w:rPr>
              <w:t>…</w:t>
            </w:r>
          </w:p>
        </w:tc>
        <w:tc>
          <w:tcPr>
            <w:tcW w:w="2503" w:type="pct"/>
            <w:shd w:val="clear" w:color="auto" w:fill="FFFFFF"/>
            <w:vAlign w:val="center"/>
          </w:tcPr>
          <w:p w14:paraId="6D3E685D">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1251" w:type="pct"/>
            <w:shd w:val="clear" w:color="auto" w:fill="FFFFFF"/>
            <w:vAlign w:val="center"/>
          </w:tcPr>
          <w:p w14:paraId="7A50DCF4">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c>
          <w:tcPr>
            <w:tcW w:w="626" w:type="pct"/>
            <w:shd w:val="clear" w:color="auto" w:fill="FFFFFF"/>
            <w:vAlign w:val="center"/>
          </w:tcPr>
          <w:p w14:paraId="225E03A2">
            <w:pPr>
              <w:keepNext w:val="0"/>
              <w:keepLines w:val="0"/>
              <w:pageBreakBefore w:val="0"/>
              <w:widowControl w:val="0"/>
              <w:kinsoku/>
              <w:wordWrap/>
              <w:overflowPunct/>
              <w:topLinePunct w:val="0"/>
              <w:bidi w:val="0"/>
              <w:spacing w:beforeLines="0" w:afterLines="0" w:line="360" w:lineRule="auto"/>
              <w:jc w:val="center"/>
              <w:rPr>
                <w:rFonts w:hint="eastAsia"/>
                <w:color w:val="auto"/>
                <w:highlight w:val="none"/>
              </w:rPr>
            </w:pPr>
          </w:p>
        </w:tc>
      </w:tr>
    </w:tbl>
    <w:p w14:paraId="02E90DEE">
      <w:pPr>
        <w:keepNext w:val="0"/>
        <w:keepLines w:val="0"/>
        <w:pageBreakBefore w:val="0"/>
        <w:widowControl w:val="0"/>
        <w:kinsoku/>
        <w:wordWrap/>
        <w:overflowPunct/>
        <w:topLinePunct w:val="0"/>
        <w:bidi w:val="0"/>
        <w:spacing w:beforeLines="0" w:afterLines="0"/>
        <w:rPr>
          <w:rFonts w:hint="eastAsia"/>
          <w:color w:val="auto"/>
          <w:sz w:val="28"/>
          <w:highlight w:val="none"/>
        </w:rPr>
      </w:pPr>
    </w:p>
    <w:p w14:paraId="3D5AFFA0">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2D7320C9">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0A0A2AC0">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highlight w:val="none"/>
        </w:rPr>
        <w:t>日</w:t>
      </w:r>
    </w:p>
    <w:p w14:paraId="2675A8BF">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41831D86">
      <w:pPr>
        <w:pStyle w:val="3"/>
        <w:keepNext w:val="0"/>
        <w:keepLines w:val="0"/>
        <w:pageBreakBefore w:val="0"/>
        <w:widowControl w:val="0"/>
        <w:numPr>
          <w:ilvl w:val="0"/>
          <w:numId w:val="20"/>
        </w:numPr>
        <w:kinsoku/>
        <w:wordWrap/>
        <w:overflowPunct/>
        <w:topLinePunct w:val="0"/>
        <w:bidi w:val="0"/>
        <w:spacing w:before="0" w:beforeLines="0" w:after="0" w:afterLines="0" w:line="360" w:lineRule="auto"/>
        <w:ind w:left="720" w:hanging="720"/>
        <w:rPr>
          <w:rFonts w:hint="eastAsia" w:ascii="宋体" w:hAnsi="宋体" w:eastAsia="宋体"/>
          <w:color w:val="auto"/>
          <w:sz w:val="24"/>
          <w:szCs w:val="24"/>
          <w:highlight w:val="none"/>
        </w:rPr>
        <w:sectPr>
          <w:pgSz w:w="11906" w:h="16838"/>
          <w:pgMar w:top="1134" w:right="1134" w:bottom="1134" w:left="1134" w:header="426" w:footer="992" w:gutter="0"/>
          <w:paperSrc w:first="7"/>
          <w:pgNumType w:fmt="decimal"/>
          <w:cols w:space="0" w:num="1"/>
          <w:titlePg/>
          <w:rtlGutter w:val="0"/>
          <w:docGrid w:linePitch="312" w:charSpace="0"/>
        </w:sectPr>
      </w:pPr>
    </w:p>
    <w:p w14:paraId="365ABCBA">
      <w:pPr>
        <w:pStyle w:val="3"/>
        <w:keepNext w:val="0"/>
        <w:keepLines w:val="0"/>
        <w:pageBreakBefore w:val="0"/>
        <w:widowControl w:val="0"/>
        <w:numPr>
          <w:ilvl w:val="0"/>
          <w:numId w:val="20"/>
        </w:numPr>
        <w:kinsoku/>
        <w:wordWrap/>
        <w:overflowPunct/>
        <w:topLinePunct w:val="0"/>
        <w:bidi w:val="0"/>
        <w:spacing w:before="0" w:beforeLines="0" w:after="0" w:afterLines="0" w:line="360" w:lineRule="auto"/>
        <w:ind w:left="720" w:hanging="720"/>
        <w:rPr>
          <w:rFonts w:hint="eastAsia" w:ascii="宋体" w:hAnsi="宋体" w:eastAsia="宋体"/>
          <w:color w:val="auto"/>
          <w:sz w:val="24"/>
          <w:szCs w:val="24"/>
          <w:highlight w:val="none"/>
        </w:rPr>
      </w:pPr>
      <w:bookmarkStart w:id="225" w:name="_Toc15568"/>
      <w:r>
        <w:rPr>
          <w:rFonts w:hint="eastAsia" w:ascii="宋体" w:hAnsi="宋体" w:eastAsia="宋体"/>
          <w:color w:val="auto"/>
          <w:sz w:val="24"/>
          <w:szCs w:val="24"/>
          <w:highlight w:val="none"/>
        </w:rPr>
        <w:t>其他资格要求</w:t>
      </w:r>
      <w:bookmarkEnd w:id="225"/>
    </w:p>
    <w:p w14:paraId="4B0C96DA">
      <w:pPr>
        <w:keepNext w:val="0"/>
        <w:keepLines w:val="0"/>
        <w:pageBreakBefore w:val="0"/>
        <w:widowControl w:val="0"/>
        <w:kinsoku/>
        <w:wordWrap/>
        <w:overflowPunct/>
        <w:topLinePunct w:val="0"/>
        <w:autoSpaceDE/>
        <w:autoSpaceDN/>
        <w:bidi w:val="0"/>
        <w:spacing w:beforeLines="0" w:afterLines="0"/>
        <w:ind w:firstLine="420" w:firstLineChars="200"/>
        <w:jc w:val="both"/>
        <w:rPr>
          <w:rFonts w:hint="eastAsia" w:ascii="宋体" w:hAnsi="宋体" w:eastAsia="宋体" w:cs="宋体"/>
          <w:color w:val="auto"/>
          <w:highlight w:val="none"/>
          <w:lang w:eastAsia="zh-CN"/>
        </w:rPr>
      </w:pPr>
    </w:p>
    <w:p w14:paraId="66170370">
      <w:pPr>
        <w:keepNext w:val="0"/>
        <w:keepLines w:val="0"/>
        <w:pageBreakBefore w:val="0"/>
        <w:widowControl w:val="0"/>
        <w:kinsoku/>
        <w:wordWrap/>
        <w:overflowPunct/>
        <w:topLinePunct w:val="0"/>
        <w:autoSpaceDE/>
        <w:autoSpaceDN/>
        <w:bidi w:val="0"/>
        <w:spacing w:beforeLines="0" w:afterLines="0"/>
        <w:ind w:firstLine="420" w:firstLineChars="200"/>
        <w:jc w:val="both"/>
        <w:rPr>
          <w:rFonts w:hint="eastAsia" w:ascii="宋体" w:hAnsi="宋体" w:eastAsia="宋体" w:cs="宋体"/>
          <w:color w:val="auto"/>
          <w:szCs w:val="21"/>
          <w:highlight w:val="none"/>
          <w:shd w:val="clear" w:color="auto" w:fill="FFFFFF"/>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lang w:eastAsia="zh-CN"/>
        </w:rPr>
        <w:t>）供应商须具备建设行政主管部门颁发的</w:t>
      </w:r>
      <w:r>
        <w:rPr>
          <w:rFonts w:hint="eastAsia" w:ascii="宋体" w:hAnsi="宋体" w:eastAsia="宋体" w:cs="宋体"/>
          <w:b/>
          <w:bCs/>
          <w:color w:val="auto"/>
          <w:highlight w:val="none"/>
          <w:lang w:eastAsia="zh-CN"/>
        </w:rPr>
        <w:t>建筑工程施工总承包三级</w:t>
      </w:r>
      <w:r>
        <w:rPr>
          <w:rFonts w:hint="eastAsia" w:ascii="宋体" w:hAnsi="宋体" w:eastAsia="宋体" w:cs="宋体"/>
          <w:color w:val="auto"/>
          <w:highlight w:val="none"/>
          <w:lang w:eastAsia="zh-CN"/>
        </w:rPr>
        <w:t>（含）以上资质。</w:t>
      </w:r>
      <w:r>
        <w:rPr>
          <w:rFonts w:hint="eastAsia" w:ascii="宋体" w:hAnsi="宋体" w:eastAsia="宋体" w:cs="宋体"/>
          <w:color w:val="auto"/>
          <w:szCs w:val="21"/>
          <w:highlight w:val="none"/>
          <w:shd w:val="clear" w:color="auto" w:fill="FFFFFF"/>
        </w:rPr>
        <w:t>（提供资质证书</w:t>
      </w:r>
      <w:r>
        <w:rPr>
          <w:rFonts w:hint="eastAsia" w:ascii="宋体" w:hAnsi="宋体" w:eastAsia="宋体" w:cs="宋体"/>
          <w:color w:val="auto"/>
          <w:szCs w:val="21"/>
          <w:highlight w:val="none"/>
          <w:shd w:val="clear" w:color="auto" w:fill="FFFFFF"/>
          <w:lang w:val="en-US" w:eastAsia="zh-CN"/>
        </w:rPr>
        <w:t>复印件，</w:t>
      </w:r>
      <w:r>
        <w:rPr>
          <w:rFonts w:hint="eastAsia" w:ascii="宋体" w:hAnsi="宋体" w:eastAsia="宋体" w:cs="宋体"/>
          <w:color w:val="auto"/>
          <w:szCs w:val="21"/>
          <w:highlight w:val="none"/>
          <w:shd w:val="clear" w:color="auto" w:fill="FFFFFF"/>
        </w:rPr>
        <w:t>加盖公章）</w:t>
      </w:r>
    </w:p>
    <w:p w14:paraId="6BDA4562">
      <w:pPr>
        <w:widowControl w:val="0"/>
        <w:spacing w:beforeLines="0" w:afterLines="0"/>
        <w:jc w:val="both"/>
        <w:outlineLvl w:val="9"/>
        <w:rPr>
          <w:rFonts w:hint="eastAsia"/>
          <w:color w:val="auto"/>
          <w:highlight w:val="none"/>
          <w:lang w:eastAsia="zh-CN"/>
        </w:rPr>
      </w:pPr>
    </w:p>
    <w:p w14:paraId="3F903596">
      <w:pPr>
        <w:keepNext w:val="0"/>
        <w:keepLines w:val="0"/>
        <w:pageBreakBefore w:val="0"/>
        <w:widowControl w:val="0"/>
        <w:shd w:val="clear" w:color="auto" w:fill="FFFFFF"/>
        <w:kinsoku/>
        <w:wordWrap/>
        <w:overflowPunct/>
        <w:topLinePunct w:val="0"/>
        <w:bidi w:val="0"/>
        <w:spacing w:beforeLines="0" w:afterLines="0"/>
        <w:ind w:firstLine="420" w:firstLineChars="200"/>
        <w:jc w:val="both"/>
        <w:rPr>
          <w:rFonts w:hint="eastAsia"/>
          <w:color w:val="auto"/>
          <w:highlight w:val="none"/>
        </w:rPr>
      </w:pP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lang w:eastAsia="zh-CN"/>
        </w:rPr>
        <w:t>供应商须具有有效的建设行政主管部门颁发的</w:t>
      </w:r>
      <w:r>
        <w:rPr>
          <w:rFonts w:hint="eastAsia" w:ascii="宋体" w:hAnsi="宋体" w:eastAsia="宋体" w:cs="宋体"/>
          <w:b/>
          <w:bCs/>
          <w:color w:val="auto"/>
          <w:highlight w:val="none"/>
          <w:lang w:eastAsia="zh-CN"/>
        </w:rPr>
        <w:t>安全生产许可证</w:t>
      </w:r>
      <w:r>
        <w:rPr>
          <w:rFonts w:hint="eastAsia" w:ascii="宋体" w:hAnsi="宋体" w:eastAsia="宋体" w:cs="宋体"/>
          <w:color w:val="auto"/>
          <w:highlight w:val="none"/>
          <w:lang w:eastAsia="zh-CN"/>
        </w:rPr>
        <w:t>。（</w:t>
      </w:r>
      <w:r>
        <w:rPr>
          <w:rFonts w:hint="eastAsia" w:ascii="宋体" w:hAnsi="宋体" w:eastAsia="宋体" w:cs="宋体"/>
          <w:color w:val="auto"/>
          <w:szCs w:val="21"/>
          <w:highlight w:val="none"/>
          <w:shd w:val="clear" w:color="auto" w:fill="FFFFFF"/>
        </w:rPr>
        <w:t>提供安全生产许可证复印件</w:t>
      </w:r>
      <w:r>
        <w:rPr>
          <w:rFonts w:hint="eastAsia" w:ascii="宋体" w:hAnsi="宋体" w:eastAsia="宋体" w:cs="宋体"/>
          <w:color w:val="auto"/>
          <w:szCs w:val="21"/>
          <w:highlight w:val="none"/>
          <w:shd w:val="clear" w:color="auto" w:fill="FFFFFF"/>
          <w:lang w:eastAsia="zh-CN"/>
        </w:rPr>
        <w:t>，</w:t>
      </w:r>
      <w:r>
        <w:rPr>
          <w:rFonts w:hint="eastAsia" w:ascii="宋体" w:hAnsi="宋体" w:eastAsia="宋体" w:cs="宋体"/>
          <w:color w:val="auto"/>
          <w:szCs w:val="21"/>
          <w:highlight w:val="none"/>
          <w:shd w:val="clear" w:color="auto" w:fill="FFFFFF"/>
        </w:rPr>
        <w:t>加盖公章）</w:t>
      </w:r>
    </w:p>
    <w:bookmarkEnd w:id="209"/>
    <w:bookmarkEnd w:id="210"/>
    <w:bookmarkEnd w:id="211"/>
    <w:p w14:paraId="582F4885">
      <w:pPr>
        <w:keepNext w:val="0"/>
        <w:keepLines w:val="0"/>
        <w:pageBreakBefore w:val="0"/>
        <w:widowControl w:val="0"/>
        <w:kinsoku/>
        <w:wordWrap/>
        <w:overflowPunct/>
        <w:topLinePunct w:val="0"/>
        <w:bidi w:val="0"/>
        <w:spacing w:beforeLines="0" w:afterLines="0"/>
        <w:rPr>
          <w:rFonts w:hint="eastAsia"/>
          <w:b/>
          <w:bCs/>
          <w:color w:val="auto"/>
          <w:sz w:val="24"/>
          <w:highlight w:val="none"/>
        </w:rPr>
      </w:pPr>
      <w:bookmarkStart w:id="226" w:name="_Toc104040712"/>
      <w:bookmarkStart w:id="227" w:name="_Toc104040766"/>
      <w:bookmarkStart w:id="228" w:name="_Toc103033242"/>
      <w:r>
        <w:rPr>
          <w:color w:val="auto"/>
          <w:sz w:val="24"/>
          <w:highlight w:val="none"/>
        </w:rPr>
        <w:br w:type="page"/>
      </w:r>
    </w:p>
    <w:bookmarkEnd w:id="226"/>
    <w:bookmarkEnd w:id="227"/>
    <w:bookmarkEnd w:id="228"/>
    <w:p w14:paraId="73186441">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29" w:name="_Toc10773"/>
      <w:r>
        <w:rPr>
          <w:rFonts w:hint="eastAsia" w:ascii="宋体" w:hAnsi="宋体" w:eastAsia="宋体"/>
          <w:color w:val="auto"/>
          <w:sz w:val="24"/>
          <w:szCs w:val="24"/>
          <w:highlight w:val="none"/>
        </w:rPr>
        <w:t>需要采购人提供的附加条件</w:t>
      </w:r>
      <w:bookmarkEnd w:id="229"/>
    </w:p>
    <w:p w14:paraId="35314246">
      <w:pPr>
        <w:pStyle w:val="47"/>
        <w:keepNext w:val="0"/>
        <w:keepLines w:val="0"/>
        <w:pageBreakBefore w:val="0"/>
        <w:widowControl w:val="0"/>
        <w:kinsoku/>
        <w:wordWrap/>
        <w:overflowPunct/>
        <w:topLinePunct w:val="0"/>
        <w:bidi w:val="0"/>
        <w:spacing w:beforeLines="0" w:after="0" w:afterLines="0" w:line="360" w:lineRule="auto"/>
        <w:ind w:left="0" w:leftChars="0" w:firstLine="0" w:firstLineChars="0"/>
        <w:rPr>
          <w:rFonts w:hint="eastAsia"/>
          <w:i/>
          <w:iCs/>
          <w:color w:val="auto"/>
          <w:szCs w:val="21"/>
          <w:highlight w:val="none"/>
        </w:rPr>
      </w:pPr>
      <w:r>
        <w:rPr>
          <w:rFonts w:hint="eastAsia"/>
          <w:i/>
          <w:iCs/>
          <w:color w:val="auto"/>
          <w:szCs w:val="21"/>
          <w:highlight w:val="none"/>
        </w:rPr>
        <w:t>（以下格式文件由供应商根据需要选用</w:t>
      </w:r>
      <w:r>
        <w:rPr>
          <w:rFonts w:hint="eastAsia"/>
          <w:i/>
          <w:iCs/>
          <w:color w:val="auto"/>
          <w:szCs w:val="21"/>
          <w:highlight w:val="none"/>
          <w:lang w:eastAsia="zh-CN"/>
        </w:rPr>
        <w:t>，</w:t>
      </w:r>
      <w:r>
        <w:rPr>
          <w:rFonts w:hint="eastAsia"/>
          <w:i/>
          <w:iCs/>
          <w:color w:val="auto"/>
          <w:szCs w:val="21"/>
          <w:highlight w:val="none"/>
          <w:lang w:val="en-US" w:eastAsia="zh-CN"/>
        </w:rPr>
        <w:t>如“无附加条件”可填写“无”即可；未提供视为“无附加条件”。</w:t>
      </w:r>
      <w:r>
        <w:rPr>
          <w:rFonts w:hint="eastAsia"/>
          <w:i/>
          <w:iCs/>
          <w:color w:val="auto"/>
          <w:szCs w:val="21"/>
          <w:highlight w:val="none"/>
        </w:rPr>
        <w:t>）</w:t>
      </w:r>
    </w:p>
    <w:p w14:paraId="4C2F76B9">
      <w:pPr>
        <w:pStyle w:val="358"/>
        <w:keepNext w:val="0"/>
        <w:keepLines w:val="0"/>
        <w:pageBreakBefore w:val="0"/>
        <w:widowControl w:val="0"/>
        <w:kinsoku/>
        <w:wordWrap/>
        <w:overflowPunct/>
        <w:topLinePunct w:val="0"/>
        <w:autoSpaceDE/>
        <w:autoSpaceDN/>
        <w:bidi w:val="0"/>
        <w:spacing w:beforeLines="0" w:afterLines="0"/>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需要采购人提供的附加条件</w:t>
      </w:r>
    </w:p>
    <w:tbl>
      <w:tblPr>
        <w:tblStyle w:val="48"/>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1AAD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6255AE21">
            <w:pPr>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33A7FF7E">
            <w:pPr>
              <w:keepNext w:val="0"/>
              <w:keepLines w:val="0"/>
              <w:pageBreakBefore w:val="0"/>
              <w:widowControl w:val="0"/>
              <w:kinsoku/>
              <w:wordWrap/>
              <w:overflowPunct/>
              <w:topLinePunct w:val="0"/>
              <w:bidi w:val="0"/>
              <w:spacing w:beforeLines="0" w:afterLines="0" w:line="360" w:lineRule="auto"/>
              <w:jc w:val="center"/>
              <w:rPr>
                <w:rFonts w:hint="eastAsia"/>
                <w:b/>
                <w:bCs/>
                <w:color w:val="auto"/>
                <w:szCs w:val="21"/>
                <w:highlight w:val="none"/>
              </w:rPr>
            </w:pPr>
            <w:r>
              <w:rPr>
                <w:rFonts w:hint="eastAsia"/>
                <w:b/>
                <w:bCs/>
                <w:color w:val="auto"/>
                <w:szCs w:val="21"/>
                <w:highlight w:val="none"/>
              </w:rPr>
              <w:t>供应商需要采购人提供的附加条件</w:t>
            </w:r>
          </w:p>
        </w:tc>
      </w:tr>
      <w:tr w14:paraId="1E6B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0FCA78A7">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5130899F">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p>
        </w:tc>
      </w:tr>
      <w:tr w14:paraId="2ED3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47F26989">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436205D3">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p>
        </w:tc>
      </w:tr>
      <w:tr w14:paraId="2BC6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7BFCE6D0">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r>
              <w:rPr>
                <w:rFonts w:hint="eastAsia"/>
                <w:color w:val="auto"/>
                <w:szCs w:val="21"/>
                <w:highlight w:val="none"/>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1B92AD5D">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p>
        </w:tc>
      </w:tr>
    </w:tbl>
    <w:p w14:paraId="18FFE249">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注：供应商完成本项目需要采购人配合或提供的条件必须在上表列出，否则将视为供应商同意按现有条件完成本项目。如上表所列附加条件含有采购人不能接受的，将被视为响应无效。</w:t>
      </w:r>
    </w:p>
    <w:p w14:paraId="029A8C95">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7ED4DA98">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rFonts w:hint="eastAsia"/>
          <w:color w:val="auto"/>
          <w:highlight w:val="none"/>
          <w:u w:val="single"/>
          <w:lang w:eastAsia="zh-CN"/>
        </w:rPr>
        <w:t xml:space="preserve">                    .</w:t>
      </w:r>
    </w:p>
    <w:p w14:paraId="47AA27AD">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rFonts w:hint="eastAsia"/>
          <w:color w:val="auto"/>
          <w:highlight w:val="none"/>
          <w:u w:val="single"/>
          <w:lang w:eastAsia="zh-CN"/>
        </w:rPr>
        <w:t xml:space="preserve">                    .</w:t>
      </w:r>
    </w:p>
    <w:p w14:paraId="71CB3950">
      <w:pPr>
        <w:pStyle w:val="358"/>
        <w:keepNext w:val="0"/>
        <w:keepLines w:val="0"/>
        <w:pageBreakBefore w:val="0"/>
        <w:widowControl w:val="0"/>
        <w:kinsoku/>
        <w:wordWrap/>
        <w:overflowPunct/>
        <w:topLinePunct w:val="0"/>
        <w:autoSpaceDE/>
        <w:autoSpaceDN/>
        <w:bidi w:val="0"/>
        <w:spacing w:beforeLines="0" w:afterLines="0" w:line="360" w:lineRule="auto"/>
        <w:ind w:firstLine="4960" w:firstLineChars="2067"/>
        <w:jc w:val="right"/>
        <w:rPr>
          <w:rFonts w:hint="eastAsia"/>
          <w:color w:val="auto"/>
          <w:highlight w:val="none"/>
        </w:rPr>
      </w:pPr>
      <w:r>
        <w:rPr>
          <w:rFonts w:hint="eastAsia"/>
          <w:color w:val="auto"/>
          <w:highlight w:val="none"/>
        </w:rPr>
        <w:t>日期：</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w:t>
      </w:r>
    </w:p>
    <w:p w14:paraId="35B5C56B">
      <w:pPr>
        <w:pStyle w:val="47"/>
        <w:keepNext w:val="0"/>
        <w:keepLines w:val="0"/>
        <w:pageBreakBefore w:val="0"/>
        <w:widowControl w:val="0"/>
        <w:kinsoku/>
        <w:wordWrap/>
        <w:overflowPunct/>
        <w:topLinePunct w:val="0"/>
        <w:bidi w:val="0"/>
        <w:spacing w:beforeLines="0" w:after="0" w:afterLines="0" w:line="360" w:lineRule="auto"/>
        <w:ind w:left="0" w:leftChars="0" w:firstLine="0" w:firstLineChars="0"/>
        <w:rPr>
          <w:rFonts w:hint="eastAsia"/>
          <w:color w:val="auto"/>
          <w:szCs w:val="21"/>
          <w:highlight w:val="none"/>
        </w:rPr>
      </w:pPr>
    </w:p>
    <w:p w14:paraId="376F880F">
      <w:pPr>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br w:type="page"/>
      </w:r>
    </w:p>
    <w:p w14:paraId="048F45F4">
      <w:pPr>
        <w:pStyle w:val="3"/>
        <w:keepNext w:val="0"/>
        <w:keepLines w:val="0"/>
        <w:pageBreakBefore w:val="0"/>
        <w:widowControl w:val="0"/>
        <w:numPr>
          <w:ilvl w:val="0"/>
          <w:numId w:val="20"/>
        </w:numPr>
        <w:kinsoku/>
        <w:wordWrap/>
        <w:overflowPunct/>
        <w:topLinePunct w:val="0"/>
        <w:bidi w:val="0"/>
        <w:spacing w:before="0" w:beforeLines="0" w:after="0" w:afterLines="0" w:line="360" w:lineRule="auto"/>
        <w:ind w:left="720" w:hanging="720"/>
        <w:rPr>
          <w:rFonts w:hint="eastAsia" w:ascii="宋体" w:hAnsi="宋体" w:eastAsia="宋体"/>
          <w:color w:val="auto"/>
          <w:sz w:val="24"/>
          <w:szCs w:val="24"/>
          <w:highlight w:val="none"/>
        </w:rPr>
      </w:pPr>
      <w:bookmarkStart w:id="230" w:name="_Toc18538"/>
      <w:bookmarkStart w:id="231" w:name="_Toc114053447"/>
      <w:bookmarkStart w:id="232" w:name="_Toc131271299"/>
      <w:bookmarkStart w:id="233" w:name="_Hlk143462245"/>
      <w:r>
        <w:rPr>
          <w:rFonts w:hint="eastAsia" w:ascii="宋体" w:hAnsi="宋体" w:eastAsia="宋体"/>
          <w:color w:val="auto"/>
          <w:sz w:val="24"/>
          <w:szCs w:val="24"/>
          <w:highlight w:val="none"/>
        </w:rPr>
        <w:t>实质性</w:t>
      </w:r>
      <w:r>
        <w:rPr>
          <w:rFonts w:ascii="宋体" w:hAnsi="宋体" w:eastAsia="宋体"/>
          <w:color w:val="auto"/>
          <w:sz w:val="24"/>
          <w:szCs w:val="24"/>
          <w:highlight w:val="none"/>
        </w:rPr>
        <w:t>条款响应表</w:t>
      </w:r>
      <w:bookmarkEnd w:id="230"/>
      <w:bookmarkEnd w:id="231"/>
      <w:bookmarkEnd w:id="232"/>
    </w:p>
    <w:p w14:paraId="4CCD319C">
      <w:pPr>
        <w:keepNext w:val="0"/>
        <w:keepLines w:val="0"/>
        <w:pageBreakBefore w:val="0"/>
        <w:widowControl w:val="0"/>
        <w:kinsoku/>
        <w:wordWrap/>
        <w:overflowPunct/>
        <w:topLinePunct w:val="0"/>
        <w:bidi w:val="0"/>
        <w:spacing w:beforeLines="0" w:afterLines="0"/>
        <w:rPr>
          <w:rFonts w:hint="eastAsia"/>
          <w:color w:val="auto"/>
          <w:highlight w:val="none"/>
        </w:rPr>
      </w:pPr>
      <w:r>
        <w:rPr>
          <w:rFonts w:hint="eastAsia" w:cs="宋体"/>
          <w:i/>
          <w:iCs/>
          <w:color w:val="auto"/>
          <w:szCs w:val="21"/>
          <w:highlight w:val="none"/>
        </w:rPr>
        <w:t>（以下格式文件由供应商根据需要选用</w:t>
      </w:r>
      <w:r>
        <w:rPr>
          <w:rFonts w:hint="eastAsia"/>
          <w:i/>
          <w:iCs/>
          <w:color w:val="auto"/>
          <w:szCs w:val="21"/>
          <w:highlight w:val="none"/>
          <w:lang w:eastAsia="zh-CN"/>
        </w:rPr>
        <w:t>，</w:t>
      </w:r>
      <w:r>
        <w:rPr>
          <w:rFonts w:hint="eastAsia"/>
          <w:i/>
          <w:iCs/>
          <w:color w:val="auto"/>
          <w:szCs w:val="21"/>
          <w:highlight w:val="none"/>
          <w:lang w:val="en-US" w:eastAsia="zh-CN"/>
        </w:rPr>
        <w:t>不涉及可不用提供</w:t>
      </w:r>
      <w:r>
        <w:rPr>
          <w:rFonts w:hint="eastAsia" w:cs="宋体"/>
          <w:i/>
          <w:iCs/>
          <w:color w:val="auto"/>
          <w:szCs w:val="21"/>
          <w:highlight w:val="none"/>
        </w:rPr>
        <w:t>）</w:t>
      </w:r>
    </w:p>
    <w:p w14:paraId="530ED6CB">
      <w:pPr>
        <w:keepNext w:val="0"/>
        <w:keepLines w:val="0"/>
        <w:pageBreakBefore w:val="0"/>
        <w:widowControl w:val="0"/>
        <w:kinsoku/>
        <w:wordWrap/>
        <w:overflowPunct/>
        <w:topLinePunct w:val="0"/>
        <w:bidi w:val="0"/>
        <w:spacing w:beforeLines="0" w:afterLines="0"/>
        <w:jc w:val="center"/>
        <w:rPr>
          <w:rFonts w:hint="eastAsia" w:cs="宋体"/>
          <w:b/>
          <w:bCs/>
          <w:color w:val="auto"/>
          <w:sz w:val="28"/>
          <w:szCs w:val="28"/>
          <w:highlight w:val="none"/>
        </w:rPr>
      </w:pPr>
      <w:r>
        <w:rPr>
          <w:rFonts w:hint="eastAsia" w:cs="宋体"/>
          <w:b/>
          <w:bCs/>
          <w:color w:val="auto"/>
          <w:sz w:val="28"/>
          <w:szCs w:val="28"/>
          <w:highlight w:val="none"/>
        </w:rPr>
        <w:t>实质性</w:t>
      </w:r>
      <w:r>
        <w:rPr>
          <w:rFonts w:cs="宋体"/>
          <w:b/>
          <w:bCs/>
          <w:color w:val="auto"/>
          <w:sz w:val="28"/>
          <w:szCs w:val="28"/>
          <w:highlight w:val="none"/>
        </w:rPr>
        <w:t>条款响应表</w:t>
      </w:r>
    </w:p>
    <w:p w14:paraId="3A1FF02D">
      <w:pPr>
        <w:keepNext w:val="0"/>
        <w:keepLines w:val="0"/>
        <w:pageBreakBefore w:val="0"/>
        <w:widowControl w:val="0"/>
        <w:kinsoku/>
        <w:wordWrap/>
        <w:overflowPunct/>
        <w:topLinePunct w:val="0"/>
        <w:bidi w:val="0"/>
        <w:spacing w:beforeLines="0" w:afterLines="0"/>
        <w:rPr>
          <w:rFonts w:hint="eastAsia"/>
          <w:bCs/>
          <w:color w:val="auto"/>
          <w:sz w:val="24"/>
          <w:highlight w:val="none"/>
        </w:rPr>
      </w:pPr>
      <w:r>
        <w:rPr>
          <w:bCs/>
          <w:color w:val="auto"/>
          <w:sz w:val="24"/>
          <w:highlight w:val="none"/>
        </w:rPr>
        <w:t>项目名称：____________</w:t>
      </w:r>
      <w:r>
        <w:rPr>
          <w:bCs/>
          <w:color w:val="auto"/>
          <w:sz w:val="24"/>
          <w:highlight w:val="none"/>
          <w:u w:val="single"/>
        </w:rPr>
        <w:t xml:space="preserve">  </w:t>
      </w:r>
      <w:r>
        <w:rPr>
          <w:bCs/>
          <w:color w:val="auto"/>
          <w:sz w:val="24"/>
          <w:highlight w:val="none"/>
        </w:rPr>
        <w:t>___</w:t>
      </w:r>
    </w:p>
    <w:p w14:paraId="5C14367C">
      <w:pPr>
        <w:keepNext w:val="0"/>
        <w:keepLines w:val="0"/>
        <w:pageBreakBefore w:val="0"/>
        <w:widowControl w:val="0"/>
        <w:kinsoku/>
        <w:wordWrap/>
        <w:overflowPunct/>
        <w:topLinePunct w:val="0"/>
        <w:bidi w:val="0"/>
        <w:spacing w:beforeLines="0" w:afterLines="0"/>
        <w:rPr>
          <w:rFonts w:hint="eastAsia"/>
          <w:color w:val="auto"/>
          <w:sz w:val="24"/>
          <w:highlight w:val="none"/>
        </w:rPr>
      </w:pPr>
      <w:r>
        <w:rPr>
          <w:rFonts w:hint="eastAsia"/>
          <w:bCs/>
          <w:color w:val="auto"/>
          <w:sz w:val="24"/>
          <w:highlight w:val="none"/>
        </w:rPr>
        <w:t>项目编号</w:t>
      </w:r>
      <w:r>
        <w:rPr>
          <w:bCs/>
          <w:color w:val="auto"/>
          <w:sz w:val="24"/>
          <w:highlight w:val="none"/>
        </w:rPr>
        <w:t>：_________________</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4"/>
        <w:gridCol w:w="3141"/>
        <w:gridCol w:w="3186"/>
        <w:gridCol w:w="1638"/>
        <w:gridCol w:w="885"/>
      </w:tblGrid>
      <w:tr w14:paraId="4E889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09" w:type="pct"/>
            <w:vAlign w:val="center"/>
          </w:tcPr>
          <w:p w14:paraId="3D46B59C">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eastAsia="宋体"/>
                <w:b/>
                <w:color w:val="auto"/>
                <w:sz w:val="21"/>
                <w:szCs w:val="21"/>
                <w:highlight w:val="none"/>
              </w:rPr>
              <w:t>序号</w:t>
            </w:r>
          </w:p>
        </w:tc>
        <w:tc>
          <w:tcPr>
            <w:tcW w:w="1593" w:type="pct"/>
            <w:vAlign w:val="center"/>
          </w:tcPr>
          <w:p w14:paraId="39790C10">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采购文件规定的要求</w:t>
            </w:r>
          </w:p>
        </w:tc>
        <w:tc>
          <w:tcPr>
            <w:tcW w:w="1616" w:type="pct"/>
            <w:vAlign w:val="center"/>
          </w:tcPr>
          <w:p w14:paraId="545E93D2">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供应商响应情况</w:t>
            </w:r>
          </w:p>
        </w:tc>
        <w:tc>
          <w:tcPr>
            <w:tcW w:w="831" w:type="pct"/>
            <w:vAlign w:val="center"/>
          </w:tcPr>
          <w:p w14:paraId="365FF91C">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eastAsia="宋体"/>
                <w:b/>
                <w:color w:val="auto"/>
                <w:sz w:val="21"/>
                <w:szCs w:val="21"/>
                <w:highlight w:val="none"/>
              </w:rPr>
              <w:t>偏离情况</w:t>
            </w:r>
          </w:p>
        </w:tc>
        <w:tc>
          <w:tcPr>
            <w:tcW w:w="449" w:type="pct"/>
            <w:vAlign w:val="center"/>
          </w:tcPr>
          <w:p w14:paraId="285A8E31">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备注</w:t>
            </w:r>
          </w:p>
        </w:tc>
      </w:tr>
      <w:tr w14:paraId="15193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09" w:type="pct"/>
            <w:vAlign w:val="center"/>
          </w:tcPr>
          <w:p w14:paraId="7F071A3F">
            <w:pPr>
              <w:pStyle w:val="129"/>
              <w:keepNext w:val="0"/>
              <w:keepLines w:val="0"/>
              <w:pageBreakBefore w:val="0"/>
              <w:widowControl w:val="0"/>
              <w:numPr>
                <w:ilvl w:val="0"/>
                <w:numId w:val="21"/>
              </w:numPr>
              <w:kinsoku/>
              <w:wordWrap/>
              <w:overflowPunct/>
              <w:topLinePunct w:val="0"/>
              <w:bidi w:val="0"/>
              <w:spacing w:beforeLines="0" w:afterLines="0" w:line="360" w:lineRule="auto"/>
              <w:jc w:val="center"/>
              <w:rPr>
                <w:rFonts w:hint="eastAsia"/>
                <w:bCs/>
                <w:color w:val="auto"/>
                <w:szCs w:val="21"/>
                <w:highlight w:val="none"/>
              </w:rPr>
            </w:pPr>
          </w:p>
        </w:tc>
        <w:tc>
          <w:tcPr>
            <w:tcW w:w="1593" w:type="pct"/>
            <w:vAlign w:val="center"/>
          </w:tcPr>
          <w:p w14:paraId="342FBF93">
            <w:pPr>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r>
              <w:rPr>
                <w:rFonts w:hint="eastAsia" w:eastAsia="宋体"/>
                <w:bCs/>
                <w:color w:val="auto"/>
                <w:sz w:val="21"/>
                <w:szCs w:val="21"/>
                <w:highlight w:val="none"/>
              </w:rPr>
              <w:t>所有</w:t>
            </w:r>
            <w:r>
              <w:rPr>
                <w:rFonts w:hint="eastAsia" w:eastAsia="宋体"/>
                <w:bCs/>
                <w:color w:val="auto"/>
                <w:sz w:val="21"/>
                <w:szCs w:val="21"/>
                <w:highlight w:val="none"/>
                <w:lang w:val="en-US" w:eastAsia="zh-CN"/>
              </w:rPr>
              <w:t>实质性</w:t>
            </w:r>
            <w:r>
              <w:rPr>
                <w:rFonts w:hint="eastAsia" w:eastAsia="宋体"/>
                <w:bCs/>
                <w:color w:val="auto"/>
                <w:sz w:val="21"/>
                <w:szCs w:val="21"/>
                <w:highlight w:val="none"/>
              </w:rPr>
              <w:t>条款要求</w:t>
            </w:r>
          </w:p>
        </w:tc>
        <w:tc>
          <w:tcPr>
            <w:tcW w:w="1616" w:type="pct"/>
            <w:vAlign w:val="center"/>
          </w:tcPr>
          <w:p w14:paraId="6DD5C190">
            <w:pPr>
              <w:pStyle w:val="19"/>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r>
              <w:rPr>
                <w:rFonts w:hint="eastAsia" w:eastAsia="宋体"/>
                <w:bCs/>
                <w:color w:val="auto"/>
                <w:sz w:val="21"/>
                <w:szCs w:val="21"/>
                <w:highlight w:val="none"/>
              </w:rPr>
              <w:t>完全按照采购文件规定执行</w:t>
            </w:r>
          </w:p>
        </w:tc>
        <w:tc>
          <w:tcPr>
            <w:tcW w:w="831" w:type="pct"/>
            <w:vAlign w:val="center"/>
          </w:tcPr>
          <w:p w14:paraId="4C5BB4D6">
            <w:pPr>
              <w:pStyle w:val="19"/>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p>
        </w:tc>
        <w:tc>
          <w:tcPr>
            <w:tcW w:w="449" w:type="pct"/>
            <w:tcBorders>
              <w:top w:val="single" w:color="auto" w:sz="4" w:space="0"/>
              <w:left w:val="single" w:color="auto" w:sz="4" w:space="0"/>
              <w:bottom w:val="single" w:color="auto" w:sz="4" w:space="0"/>
              <w:right w:val="single" w:color="auto" w:sz="4" w:space="0"/>
            </w:tcBorders>
            <w:vAlign w:val="center"/>
          </w:tcPr>
          <w:p w14:paraId="5F02E864">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p>
        </w:tc>
      </w:tr>
      <w:tr w14:paraId="7001D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509" w:type="pct"/>
            <w:vAlign w:val="center"/>
          </w:tcPr>
          <w:p w14:paraId="26062C0C">
            <w:pPr>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r>
              <w:rPr>
                <w:bCs/>
                <w:color w:val="auto"/>
                <w:szCs w:val="21"/>
                <w:highlight w:val="none"/>
              </w:rPr>
              <w:t>…</w:t>
            </w:r>
          </w:p>
        </w:tc>
        <w:tc>
          <w:tcPr>
            <w:tcW w:w="1593" w:type="pct"/>
            <w:vAlign w:val="center"/>
          </w:tcPr>
          <w:p w14:paraId="1605569F">
            <w:pPr>
              <w:keepNext w:val="0"/>
              <w:keepLines w:val="0"/>
              <w:pageBreakBefore w:val="0"/>
              <w:widowControl w:val="0"/>
              <w:kinsoku/>
              <w:wordWrap/>
              <w:overflowPunct/>
              <w:topLinePunct w:val="0"/>
              <w:bidi w:val="0"/>
              <w:spacing w:beforeLines="0" w:afterLines="0" w:line="360" w:lineRule="auto"/>
              <w:jc w:val="left"/>
              <w:rPr>
                <w:rFonts w:hint="eastAsia"/>
                <w:bCs/>
                <w:color w:val="auto"/>
                <w:szCs w:val="21"/>
                <w:highlight w:val="none"/>
              </w:rPr>
            </w:pPr>
            <w:r>
              <w:rPr>
                <w:bCs/>
                <w:color w:val="auto"/>
                <w:szCs w:val="21"/>
                <w:highlight w:val="none"/>
              </w:rPr>
              <w:t>…</w:t>
            </w:r>
          </w:p>
        </w:tc>
        <w:tc>
          <w:tcPr>
            <w:tcW w:w="1616" w:type="pct"/>
            <w:vAlign w:val="center"/>
          </w:tcPr>
          <w:p w14:paraId="5890F22A">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Cs/>
                <w:color w:val="auto"/>
                <w:sz w:val="21"/>
                <w:szCs w:val="21"/>
                <w:highlight w:val="none"/>
              </w:rPr>
            </w:pPr>
          </w:p>
        </w:tc>
        <w:tc>
          <w:tcPr>
            <w:tcW w:w="831" w:type="pct"/>
            <w:vAlign w:val="center"/>
          </w:tcPr>
          <w:p w14:paraId="098FED14">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Cs/>
                <w:color w:val="auto"/>
                <w:sz w:val="21"/>
                <w:szCs w:val="21"/>
                <w:highlight w:val="none"/>
              </w:rPr>
            </w:pPr>
          </w:p>
        </w:tc>
        <w:tc>
          <w:tcPr>
            <w:tcW w:w="449" w:type="pct"/>
            <w:vAlign w:val="center"/>
          </w:tcPr>
          <w:p w14:paraId="29FC8728">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Cs/>
                <w:color w:val="auto"/>
                <w:sz w:val="21"/>
                <w:szCs w:val="21"/>
                <w:highlight w:val="none"/>
              </w:rPr>
            </w:pPr>
          </w:p>
        </w:tc>
      </w:tr>
    </w:tbl>
    <w:p w14:paraId="1C12594D">
      <w:pPr>
        <w:pStyle w:val="13"/>
        <w:keepNext w:val="0"/>
        <w:keepLines w:val="0"/>
        <w:pageBreakBefore w:val="0"/>
        <w:widowControl w:val="0"/>
        <w:kinsoku/>
        <w:wordWrap/>
        <w:overflowPunct/>
        <w:topLinePunct w:val="0"/>
        <w:autoSpaceDE/>
        <w:autoSpaceDN/>
        <w:bidi w:val="0"/>
        <w:spacing w:beforeLines="0" w:afterLines="0"/>
        <w:ind w:firstLine="0"/>
        <w:rPr>
          <w:rFonts w:hint="eastAsia" w:eastAsia="宋体"/>
          <w:b/>
          <w:bCs/>
          <w:color w:val="auto"/>
          <w:sz w:val="21"/>
          <w:szCs w:val="21"/>
          <w:highlight w:val="none"/>
        </w:rPr>
      </w:pPr>
      <w:bookmarkStart w:id="234" w:name="_Hlk69414041"/>
      <w:r>
        <w:rPr>
          <w:rFonts w:eastAsia="宋体"/>
          <w:b/>
          <w:bCs/>
          <w:color w:val="auto"/>
          <w:sz w:val="21"/>
          <w:szCs w:val="21"/>
          <w:highlight w:val="none"/>
        </w:rPr>
        <w:t>说明：</w:t>
      </w:r>
    </w:p>
    <w:p w14:paraId="153BAEAC">
      <w:pPr>
        <w:pStyle w:val="13"/>
        <w:keepNext w:val="0"/>
        <w:keepLines w:val="0"/>
        <w:pageBreakBefore w:val="0"/>
        <w:widowControl w:val="0"/>
        <w:numPr>
          <w:ilvl w:val="3"/>
          <w:numId w:val="22"/>
        </w:numPr>
        <w:kinsoku/>
        <w:wordWrap/>
        <w:overflowPunct/>
        <w:topLinePunct w:val="0"/>
        <w:autoSpaceDE/>
        <w:autoSpaceDN/>
        <w:bidi w:val="0"/>
        <w:spacing w:beforeLines="0" w:afterLines="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供应商需对应采购文件第二章采购需求中标注</w:t>
      </w:r>
      <w:r>
        <w:rPr>
          <w:rFonts w:hint="eastAsia" w:eastAsia="宋体"/>
          <w:b/>
          <w:color w:val="auto"/>
          <w:sz w:val="21"/>
          <w:szCs w:val="21"/>
          <w:highlight w:val="none"/>
        </w:rPr>
        <w:t>“★”号的条款进行逐条响应</w:t>
      </w:r>
      <w:r>
        <w:rPr>
          <w:rFonts w:hint="eastAsia" w:eastAsia="宋体"/>
          <w:bCs/>
          <w:color w:val="auto"/>
          <w:sz w:val="21"/>
          <w:szCs w:val="21"/>
          <w:highlight w:val="none"/>
        </w:rPr>
        <w:t>，并按要求填写上表。若有任何一条负偏离或不满足或未响应的，将导致其</w:t>
      </w:r>
      <w:r>
        <w:rPr>
          <w:rFonts w:hint="eastAsia" w:eastAsia="宋体"/>
          <w:bCs/>
          <w:color w:val="auto"/>
          <w:sz w:val="21"/>
          <w:szCs w:val="21"/>
          <w:highlight w:val="none"/>
          <w:lang w:eastAsia="zh-CN"/>
        </w:rPr>
        <w:t>响应文件</w:t>
      </w:r>
      <w:r>
        <w:rPr>
          <w:rFonts w:hint="eastAsia" w:eastAsia="宋体"/>
          <w:bCs/>
          <w:color w:val="auto"/>
          <w:sz w:val="21"/>
          <w:szCs w:val="21"/>
          <w:highlight w:val="none"/>
        </w:rPr>
        <w:t>作无效投标处理。</w:t>
      </w:r>
      <w:r>
        <w:rPr>
          <w:rFonts w:hint="eastAsia" w:eastAsia="宋体"/>
          <w:b/>
          <w:color w:val="auto"/>
          <w:sz w:val="21"/>
          <w:szCs w:val="21"/>
          <w:highlight w:val="none"/>
        </w:rPr>
        <w:t>若要求提供证明材料的，还须提供相应的证明材料，否则视为负偏离，按无效投标处理。</w:t>
      </w:r>
    </w:p>
    <w:p w14:paraId="32EE7BEB">
      <w:pPr>
        <w:pStyle w:val="13"/>
        <w:keepNext w:val="0"/>
        <w:keepLines w:val="0"/>
        <w:pageBreakBefore w:val="0"/>
        <w:widowControl w:val="0"/>
        <w:numPr>
          <w:ilvl w:val="3"/>
          <w:numId w:val="22"/>
        </w:numPr>
        <w:kinsoku/>
        <w:wordWrap/>
        <w:overflowPunct/>
        <w:topLinePunct w:val="0"/>
        <w:autoSpaceDE/>
        <w:autoSpaceDN/>
        <w:bidi w:val="0"/>
        <w:spacing w:beforeLines="0" w:afterLines="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“采购文件规定的要求”项下填写的内容应与采购文件</w:t>
      </w:r>
      <w:r>
        <w:rPr>
          <w:rFonts w:hint="eastAsia" w:eastAsia="宋体"/>
          <w:b/>
          <w:color w:val="auto"/>
          <w:sz w:val="21"/>
          <w:szCs w:val="21"/>
          <w:highlight w:val="none"/>
        </w:rPr>
        <w:t>第二章采购需求中标注“★”条款的内容</w:t>
      </w:r>
      <w:r>
        <w:rPr>
          <w:rFonts w:hint="eastAsia" w:eastAsia="宋体"/>
          <w:bCs/>
          <w:color w:val="auto"/>
          <w:sz w:val="21"/>
          <w:szCs w:val="21"/>
          <w:highlight w:val="none"/>
        </w:rPr>
        <w:t>保持一致。若供应商针对所有条款完全满足要求无偏离时，可以进行整体响应，在“采购文件规定的要求”项下填写“所有</w:t>
      </w:r>
      <w:r>
        <w:rPr>
          <w:rFonts w:hint="eastAsia" w:eastAsia="宋体"/>
          <w:bCs/>
          <w:color w:val="auto"/>
          <w:sz w:val="21"/>
          <w:szCs w:val="21"/>
          <w:highlight w:val="none"/>
          <w:lang w:val="en-US" w:eastAsia="zh-CN"/>
        </w:rPr>
        <w:t>实质性</w:t>
      </w:r>
      <w:r>
        <w:rPr>
          <w:rFonts w:hint="eastAsia" w:eastAsia="宋体"/>
          <w:bCs/>
          <w:color w:val="auto"/>
          <w:sz w:val="21"/>
          <w:szCs w:val="21"/>
          <w:highlight w:val="none"/>
        </w:rPr>
        <w:t>条款要求”；若供应商存在偏离项时，则所有</w:t>
      </w:r>
      <w:r>
        <w:rPr>
          <w:rFonts w:hint="eastAsia" w:eastAsia="宋体"/>
          <w:bCs/>
          <w:color w:val="auto"/>
          <w:sz w:val="21"/>
          <w:szCs w:val="21"/>
          <w:highlight w:val="none"/>
          <w:lang w:val="en-US" w:eastAsia="zh-CN"/>
        </w:rPr>
        <w:t>实质性</w:t>
      </w:r>
      <w:r>
        <w:rPr>
          <w:rFonts w:hint="eastAsia" w:eastAsia="宋体"/>
          <w:bCs/>
          <w:color w:val="auto"/>
          <w:sz w:val="21"/>
          <w:szCs w:val="21"/>
          <w:highlight w:val="none"/>
        </w:rPr>
        <w:t>条款需要进行逐条响应</w:t>
      </w:r>
      <w:r>
        <w:rPr>
          <w:rFonts w:hint="eastAsia" w:eastAsia="宋体"/>
          <w:bCs/>
          <w:color w:val="auto"/>
          <w:sz w:val="21"/>
          <w:szCs w:val="21"/>
          <w:highlight w:val="none"/>
          <w:lang w:eastAsia="zh-CN"/>
        </w:rPr>
        <w:t>。</w:t>
      </w:r>
      <w:r>
        <w:rPr>
          <w:rFonts w:hint="eastAsia" w:eastAsia="宋体"/>
          <w:b/>
          <w:color w:val="auto"/>
          <w:sz w:val="21"/>
          <w:szCs w:val="21"/>
          <w:highlight w:val="none"/>
        </w:rPr>
        <w:t>供应商若存在“采购文件规定的要求”条款未进行响应时，将视为该条款存在负偏离或不满足，按无效投标处理。</w:t>
      </w:r>
    </w:p>
    <w:p w14:paraId="64711F29">
      <w:pPr>
        <w:pStyle w:val="13"/>
        <w:keepNext w:val="0"/>
        <w:keepLines w:val="0"/>
        <w:pageBreakBefore w:val="0"/>
        <w:widowControl w:val="0"/>
        <w:numPr>
          <w:ilvl w:val="3"/>
          <w:numId w:val="22"/>
        </w:numPr>
        <w:kinsoku/>
        <w:wordWrap/>
        <w:overflowPunct/>
        <w:topLinePunct w:val="0"/>
        <w:autoSpaceDE/>
        <w:autoSpaceDN/>
        <w:bidi w:val="0"/>
        <w:spacing w:beforeLines="0" w:afterLines="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“供应商响应情况”项下填写供应商针对“采购文件规定的要求”的响应数值或内容，若供应商响应完全满足“采购文件规定的要求”，也可以填写“完全按照采购文件规定执行”</w:t>
      </w:r>
      <w:r>
        <w:rPr>
          <w:rFonts w:eastAsia="宋体"/>
          <w:bCs/>
          <w:color w:val="auto"/>
          <w:sz w:val="21"/>
          <w:szCs w:val="21"/>
          <w:highlight w:val="none"/>
        </w:rPr>
        <w:t>。</w:t>
      </w:r>
    </w:p>
    <w:p w14:paraId="2BEBAA7A">
      <w:pPr>
        <w:pStyle w:val="13"/>
        <w:keepNext w:val="0"/>
        <w:keepLines w:val="0"/>
        <w:pageBreakBefore w:val="0"/>
        <w:widowControl w:val="0"/>
        <w:numPr>
          <w:ilvl w:val="3"/>
          <w:numId w:val="22"/>
        </w:numPr>
        <w:kinsoku/>
        <w:wordWrap/>
        <w:overflowPunct/>
        <w:topLinePunct w:val="0"/>
        <w:autoSpaceDE/>
        <w:autoSpaceDN/>
        <w:bidi w:val="0"/>
        <w:spacing w:beforeLines="0" w:afterLines="0"/>
        <w:ind w:left="0" w:firstLine="420" w:firstLineChars="200"/>
        <w:rPr>
          <w:rFonts w:hint="eastAsia" w:eastAsia="宋体"/>
          <w:bCs/>
          <w:color w:val="auto"/>
          <w:sz w:val="21"/>
          <w:szCs w:val="21"/>
          <w:highlight w:val="none"/>
        </w:rPr>
      </w:pPr>
      <w:r>
        <w:rPr>
          <w:rFonts w:eastAsia="宋体"/>
          <w:bCs/>
          <w:color w:val="auto"/>
          <w:sz w:val="21"/>
          <w:szCs w:val="21"/>
          <w:highlight w:val="none"/>
        </w:rPr>
        <w:t>“偏离情况”</w:t>
      </w:r>
      <w:r>
        <w:rPr>
          <w:rFonts w:hint="eastAsia" w:eastAsia="宋体"/>
          <w:bCs/>
          <w:color w:val="auto"/>
          <w:sz w:val="21"/>
          <w:szCs w:val="21"/>
          <w:highlight w:val="none"/>
        </w:rPr>
        <w:t>项下应填写“正偏离”或“无偏离”或“负偏离”，供应商须真实体现偏离情况。其中“正偏离”是指优于采购文件规定的要求；“无偏离”是指满足采购文件规定的要求；“负偏离”是指低于采购文件规定的要求</w:t>
      </w:r>
      <w:r>
        <w:rPr>
          <w:rFonts w:eastAsia="宋体"/>
          <w:bCs/>
          <w:color w:val="auto"/>
          <w:sz w:val="21"/>
          <w:szCs w:val="21"/>
          <w:highlight w:val="none"/>
        </w:rPr>
        <w:t>。</w:t>
      </w:r>
    </w:p>
    <w:p w14:paraId="087A7A43">
      <w:pPr>
        <w:pStyle w:val="13"/>
        <w:keepNext w:val="0"/>
        <w:keepLines w:val="0"/>
        <w:pageBreakBefore w:val="0"/>
        <w:widowControl w:val="0"/>
        <w:numPr>
          <w:ilvl w:val="3"/>
          <w:numId w:val="22"/>
        </w:numPr>
        <w:kinsoku/>
        <w:wordWrap/>
        <w:overflowPunct/>
        <w:topLinePunct w:val="0"/>
        <w:autoSpaceDE/>
        <w:autoSpaceDN/>
        <w:bidi w:val="0"/>
        <w:spacing w:beforeLines="0" w:afterLines="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“备注”项下填写佐证材料的相关页码或具体偏离内容，不涉及则无需填写。</w:t>
      </w:r>
    </w:p>
    <w:p w14:paraId="38E1EE2C">
      <w:pPr>
        <w:pStyle w:val="13"/>
        <w:keepNext w:val="0"/>
        <w:keepLines w:val="0"/>
        <w:pageBreakBefore w:val="0"/>
        <w:widowControl w:val="0"/>
        <w:numPr>
          <w:ilvl w:val="3"/>
          <w:numId w:val="22"/>
        </w:numPr>
        <w:kinsoku/>
        <w:wordWrap/>
        <w:overflowPunct/>
        <w:topLinePunct w:val="0"/>
        <w:autoSpaceDE/>
        <w:autoSpaceDN/>
        <w:bidi w:val="0"/>
        <w:spacing w:beforeLines="0" w:afterLines="0"/>
        <w:ind w:left="0" w:firstLine="420" w:firstLineChars="200"/>
        <w:rPr>
          <w:rFonts w:hint="eastAsia" w:eastAsia="宋体"/>
          <w:bCs/>
          <w:color w:val="auto"/>
          <w:sz w:val="21"/>
          <w:szCs w:val="21"/>
          <w:highlight w:val="none"/>
        </w:rPr>
      </w:pPr>
      <w:r>
        <w:rPr>
          <w:rFonts w:hint="eastAsia" w:eastAsia="宋体"/>
          <w:bCs/>
          <w:color w:val="auto"/>
          <w:sz w:val="21"/>
          <w:szCs w:val="21"/>
          <w:highlight w:val="none"/>
        </w:rPr>
        <w:t>供应商须谨慎进行响应，不可存在虚假投标（响应）的情形。</w:t>
      </w:r>
    </w:p>
    <w:p w14:paraId="08D36993">
      <w:pPr>
        <w:keepNext w:val="0"/>
        <w:keepLines w:val="0"/>
        <w:pageBreakBefore w:val="0"/>
        <w:widowControl w:val="0"/>
        <w:kinsoku/>
        <w:wordWrap/>
        <w:overflowPunct/>
        <w:topLinePunct w:val="0"/>
        <w:bidi w:val="0"/>
        <w:spacing w:beforeLines="0" w:afterLines="0"/>
        <w:rPr>
          <w:rFonts w:hint="eastAsia"/>
          <w:color w:val="auto"/>
          <w:highlight w:val="none"/>
        </w:rPr>
      </w:pPr>
    </w:p>
    <w:bookmarkEnd w:id="234"/>
    <w:p w14:paraId="28F0D87B">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2DBBAEA3">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699F4822">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5A1B64C">
      <w:pPr>
        <w:keepNext w:val="0"/>
        <w:keepLines w:val="0"/>
        <w:pageBreakBefore w:val="0"/>
        <w:widowControl w:val="0"/>
        <w:kinsoku/>
        <w:wordWrap/>
        <w:overflowPunct/>
        <w:topLinePunct w:val="0"/>
        <w:bidi w:val="0"/>
        <w:spacing w:beforeLines="0" w:afterLines="0"/>
        <w:jc w:val="right"/>
        <w:rPr>
          <w:rFonts w:hint="eastAsia"/>
          <w:color w:val="auto"/>
          <w:sz w:val="24"/>
          <w:highlight w:val="none"/>
        </w:rPr>
      </w:pPr>
    </w:p>
    <w:p w14:paraId="387EDC17">
      <w:pPr>
        <w:keepNext w:val="0"/>
        <w:keepLines w:val="0"/>
        <w:pageBreakBefore w:val="0"/>
        <w:widowControl w:val="0"/>
        <w:kinsoku/>
        <w:wordWrap/>
        <w:overflowPunct/>
        <w:topLinePunct w:val="0"/>
        <w:bidi w:val="0"/>
        <w:spacing w:beforeLines="0" w:afterLines="0" w:line="360" w:lineRule="auto"/>
        <w:jc w:val="left"/>
        <w:rPr>
          <w:rFonts w:hint="eastAsia"/>
          <w:color w:val="auto"/>
          <w:sz w:val="24"/>
          <w:highlight w:val="none"/>
        </w:rPr>
      </w:pPr>
      <w:r>
        <w:rPr>
          <w:color w:val="auto"/>
          <w:sz w:val="24"/>
          <w:highlight w:val="none"/>
        </w:rPr>
        <w:br w:type="page"/>
      </w:r>
    </w:p>
    <w:p w14:paraId="3AB3AC71">
      <w:pPr>
        <w:pStyle w:val="3"/>
        <w:keepNext w:val="0"/>
        <w:keepLines w:val="0"/>
        <w:pageBreakBefore w:val="0"/>
        <w:widowControl w:val="0"/>
        <w:numPr>
          <w:ilvl w:val="0"/>
          <w:numId w:val="20"/>
        </w:numPr>
        <w:kinsoku/>
        <w:wordWrap/>
        <w:overflowPunct/>
        <w:topLinePunct w:val="0"/>
        <w:bidi w:val="0"/>
        <w:spacing w:before="0" w:beforeLines="0" w:after="0" w:afterLines="0" w:line="360" w:lineRule="auto"/>
        <w:ind w:left="720" w:hanging="720"/>
        <w:rPr>
          <w:rFonts w:hint="eastAsia" w:ascii="宋体" w:hAnsi="宋体" w:eastAsia="宋体"/>
          <w:color w:val="auto"/>
          <w:sz w:val="24"/>
          <w:szCs w:val="24"/>
          <w:highlight w:val="none"/>
        </w:rPr>
      </w:pPr>
      <w:bookmarkStart w:id="235" w:name="_Toc124157561"/>
      <w:bookmarkStart w:id="236" w:name="_Toc16499"/>
      <w:bookmarkStart w:id="237" w:name="_Toc138883108"/>
      <w:r>
        <w:rPr>
          <w:rFonts w:hint="eastAsia" w:ascii="宋体" w:hAnsi="宋体" w:eastAsia="宋体"/>
          <w:color w:val="auto"/>
          <w:sz w:val="24"/>
          <w:szCs w:val="24"/>
          <w:highlight w:val="none"/>
        </w:rPr>
        <w:t>商务</w:t>
      </w:r>
      <w:r>
        <w:rPr>
          <w:rFonts w:ascii="宋体" w:hAnsi="宋体" w:eastAsia="宋体"/>
          <w:color w:val="auto"/>
          <w:sz w:val="24"/>
          <w:szCs w:val="24"/>
          <w:highlight w:val="none"/>
        </w:rPr>
        <w:t>条款响应表</w:t>
      </w:r>
      <w:bookmarkEnd w:id="235"/>
      <w:bookmarkEnd w:id="236"/>
      <w:bookmarkEnd w:id="237"/>
    </w:p>
    <w:p w14:paraId="5B33F4C1">
      <w:pPr>
        <w:keepNext w:val="0"/>
        <w:keepLines w:val="0"/>
        <w:pageBreakBefore w:val="0"/>
        <w:widowControl w:val="0"/>
        <w:kinsoku/>
        <w:wordWrap/>
        <w:overflowPunct/>
        <w:topLinePunct w:val="0"/>
        <w:bidi w:val="0"/>
        <w:spacing w:beforeLines="0" w:afterLines="0"/>
        <w:jc w:val="center"/>
        <w:rPr>
          <w:rFonts w:hint="eastAsia"/>
          <w:b/>
          <w:color w:val="auto"/>
          <w:sz w:val="28"/>
          <w:szCs w:val="28"/>
          <w:highlight w:val="none"/>
        </w:rPr>
      </w:pPr>
      <w:r>
        <w:rPr>
          <w:rFonts w:hint="eastAsia"/>
          <w:b/>
          <w:color w:val="auto"/>
          <w:sz w:val="28"/>
          <w:szCs w:val="28"/>
          <w:highlight w:val="none"/>
        </w:rPr>
        <w:t>商务条款响应表</w:t>
      </w:r>
    </w:p>
    <w:p w14:paraId="2860C295">
      <w:pPr>
        <w:keepNext w:val="0"/>
        <w:keepLines w:val="0"/>
        <w:pageBreakBefore w:val="0"/>
        <w:widowControl w:val="0"/>
        <w:kinsoku/>
        <w:wordWrap/>
        <w:overflowPunct/>
        <w:topLinePunct w:val="0"/>
        <w:bidi w:val="0"/>
        <w:spacing w:beforeLines="0" w:afterLines="0"/>
        <w:rPr>
          <w:rFonts w:hint="eastAsia"/>
          <w:color w:val="auto"/>
          <w:sz w:val="24"/>
          <w:highlight w:val="none"/>
        </w:rPr>
      </w:pPr>
      <w:r>
        <w:rPr>
          <w:rFonts w:hint="eastAsia"/>
          <w:bCs/>
          <w:color w:val="auto"/>
          <w:sz w:val="24"/>
          <w:highlight w:val="none"/>
        </w:rPr>
        <w:t>项目编号</w:t>
      </w:r>
      <w:r>
        <w:rPr>
          <w:bCs/>
          <w:color w:val="auto"/>
          <w:sz w:val="24"/>
          <w:highlight w:val="none"/>
        </w:rPr>
        <w:t>：_______________</w:t>
      </w:r>
    </w:p>
    <w:p w14:paraId="73503576">
      <w:pPr>
        <w:keepNext w:val="0"/>
        <w:keepLines w:val="0"/>
        <w:pageBreakBefore w:val="0"/>
        <w:widowControl w:val="0"/>
        <w:kinsoku/>
        <w:wordWrap/>
        <w:overflowPunct/>
        <w:topLinePunct w:val="0"/>
        <w:bidi w:val="0"/>
        <w:spacing w:beforeLines="0" w:afterLines="0"/>
        <w:rPr>
          <w:rFonts w:hint="eastAsia"/>
          <w:color w:val="auto"/>
          <w:highlight w:val="none"/>
        </w:rPr>
      </w:pPr>
      <w:r>
        <w:rPr>
          <w:bCs/>
          <w:color w:val="auto"/>
          <w:sz w:val="24"/>
          <w:highlight w:val="none"/>
        </w:rPr>
        <w:t>项目名称：_______________</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166"/>
        <w:gridCol w:w="3507"/>
        <w:gridCol w:w="1477"/>
        <w:gridCol w:w="876"/>
      </w:tblGrid>
      <w:tr w14:paraId="396BA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420" w:type="pct"/>
            <w:vAlign w:val="center"/>
          </w:tcPr>
          <w:p w14:paraId="2F96C07E">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eastAsia="宋体"/>
                <w:b/>
                <w:color w:val="auto"/>
                <w:sz w:val="21"/>
                <w:szCs w:val="21"/>
                <w:highlight w:val="none"/>
              </w:rPr>
              <w:t>序号</w:t>
            </w:r>
          </w:p>
        </w:tc>
        <w:tc>
          <w:tcPr>
            <w:tcW w:w="1606" w:type="pct"/>
            <w:vAlign w:val="center"/>
          </w:tcPr>
          <w:p w14:paraId="79857C9E">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采购文件规定的要求</w:t>
            </w:r>
          </w:p>
        </w:tc>
        <w:tc>
          <w:tcPr>
            <w:tcW w:w="1779" w:type="pct"/>
            <w:vAlign w:val="center"/>
          </w:tcPr>
          <w:p w14:paraId="51E7C4B8">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供应商响应情况</w:t>
            </w:r>
          </w:p>
        </w:tc>
        <w:tc>
          <w:tcPr>
            <w:tcW w:w="749" w:type="pct"/>
            <w:vAlign w:val="center"/>
          </w:tcPr>
          <w:p w14:paraId="33CF6760">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eastAsia="宋体"/>
                <w:b/>
                <w:color w:val="auto"/>
                <w:sz w:val="21"/>
                <w:szCs w:val="21"/>
                <w:highlight w:val="none"/>
              </w:rPr>
              <w:t>偏离情况</w:t>
            </w:r>
          </w:p>
        </w:tc>
        <w:tc>
          <w:tcPr>
            <w:tcW w:w="444" w:type="pct"/>
            <w:vAlign w:val="center"/>
          </w:tcPr>
          <w:p w14:paraId="38578A22">
            <w:pPr>
              <w:pStyle w:val="13"/>
              <w:keepNext w:val="0"/>
              <w:keepLines w:val="0"/>
              <w:pageBreakBefore w:val="0"/>
              <w:widowControl w:val="0"/>
              <w:kinsoku/>
              <w:wordWrap/>
              <w:overflowPunct/>
              <w:topLinePunct w:val="0"/>
              <w:autoSpaceDE/>
              <w:autoSpaceDN/>
              <w:bidi w:val="0"/>
              <w:spacing w:beforeLines="0" w:afterLines="0" w:line="360" w:lineRule="auto"/>
              <w:ind w:firstLine="0"/>
              <w:jc w:val="center"/>
              <w:rPr>
                <w:rFonts w:hint="eastAsia" w:eastAsia="宋体"/>
                <w:b/>
                <w:color w:val="auto"/>
                <w:sz w:val="21"/>
                <w:szCs w:val="21"/>
                <w:highlight w:val="none"/>
              </w:rPr>
            </w:pPr>
            <w:r>
              <w:rPr>
                <w:rFonts w:hint="eastAsia" w:eastAsia="宋体"/>
                <w:b/>
                <w:color w:val="auto"/>
                <w:sz w:val="21"/>
                <w:szCs w:val="21"/>
                <w:highlight w:val="none"/>
              </w:rPr>
              <w:t>备注</w:t>
            </w:r>
          </w:p>
        </w:tc>
      </w:tr>
      <w:tr w14:paraId="24DC6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10537E2D">
            <w:pPr>
              <w:pStyle w:val="129"/>
              <w:keepNext w:val="0"/>
              <w:keepLines w:val="0"/>
              <w:pageBreakBefore w:val="0"/>
              <w:widowControl w:val="0"/>
              <w:numPr>
                <w:ilvl w:val="0"/>
                <w:numId w:val="23"/>
              </w:numPr>
              <w:suppressAutoHyphens w:val="0"/>
              <w:kinsoku/>
              <w:wordWrap/>
              <w:overflowPunct/>
              <w:topLinePunct w:val="0"/>
              <w:bidi w:val="0"/>
              <w:spacing w:beforeLines="0" w:afterLines="0" w:line="360" w:lineRule="auto"/>
              <w:jc w:val="center"/>
              <w:rPr>
                <w:rFonts w:hint="eastAsia"/>
                <w:bCs/>
                <w:color w:val="auto"/>
                <w:szCs w:val="21"/>
                <w:highlight w:val="none"/>
              </w:rPr>
            </w:pPr>
          </w:p>
        </w:tc>
        <w:tc>
          <w:tcPr>
            <w:tcW w:w="1606" w:type="pct"/>
            <w:vAlign w:val="center"/>
          </w:tcPr>
          <w:p w14:paraId="7C6AB4C6">
            <w:pPr>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r>
              <w:rPr>
                <w:color w:val="auto"/>
                <w:szCs w:val="21"/>
                <w:highlight w:val="none"/>
                <w:lang w:eastAsia="zh-CN"/>
              </w:rPr>
              <w:t>所有</w:t>
            </w:r>
            <w:r>
              <w:rPr>
                <w:rFonts w:hint="eastAsia"/>
                <w:color w:val="auto"/>
                <w:szCs w:val="21"/>
                <w:highlight w:val="none"/>
                <w:lang w:eastAsia="zh-CN"/>
              </w:rPr>
              <w:t>商务</w:t>
            </w:r>
            <w:r>
              <w:rPr>
                <w:color w:val="auto"/>
                <w:szCs w:val="21"/>
                <w:highlight w:val="none"/>
                <w:lang w:eastAsia="zh-CN"/>
              </w:rPr>
              <w:t>条款</w:t>
            </w:r>
            <w:r>
              <w:rPr>
                <w:rFonts w:hint="eastAsia"/>
                <w:color w:val="auto"/>
                <w:szCs w:val="21"/>
                <w:highlight w:val="none"/>
                <w:lang w:eastAsia="zh-CN"/>
              </w:rPr>
              <w:t>要求</w:t>
            </w:r>
          </w:p>
        </w:tc>
        <w:tc>
          <w:tcPr>
            <w:tcW w:w="1779" w:type="pct"/>
            <w:vAlign w:val="center"/>
          </w:tcPr>
          <w:p w14:paraId="47616DAD">
            <w:pPr>
              <w:pStyle w:val="19"/>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r>
              <w:rPr>
                <w:rFonts w:hint="eastAsia"/>
                <w:color w:val="auto"/>
                <w:szCs w:val="21"/>
                <w:highlight w:val="none"/>
                <w:lang w:eastAsia="zh-CN"/>
              </w:rPr>
              <w:t>完全按照采购文件规定执行</w:t>
            </w:r>
          </w:p>
        </w:tc>
        <w:tc>
          <w:tcPr>
            <w:tcW w:w="749" w:type="pct"/>
            <w:vAlign w:val="center"/>
          </w:tcPr>
          <w:p w14:paraId="16DDB9EA">
            <w:pPr>
              <w:pStyle w:val="19"/>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p>
        </w:tc>
        <w:tc>
          <w:tcPr>
            <w:tcW w:w="444" w:type="pct"/>
            <w:tcBorders>
              <w:top w:val="single" w:color="auto" w:sz="4" w:space="0"/>
              <w:left w:val="single" w:color="auto" w:sz="4" w:space="0"/>
              <w:bottom w:val="single" w:color="auto" w:sz="4" w:space="0"/>
              <w:right w:val="single" w:color="auto" w:sz="4" w:space="0"/>
            </w:tcBorders>
            <w:vAlign w:val="center"/>
          </w:tcPr>
          <w:p w14:paraId="13C4D762">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p>
        </w:tc>
      </w:tr>
      <w:tr w14:paraId="4676D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0" w:type="pct"/>
            <w:vAlign w:val="center"/>
          </w:tcPr>
          <w:p w14:paraId="5B2C8453">
            <w:pPr>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r>
              <w:rPr>
                <w:bCs/>
                <w:color w:val="auto"/>
                <w:szCs w:val="21"/>
                <w:highlight w:val="none"/>
              </w:rPr>
              <w:t>……</w:t>
            </w:r>
          </w:p>
        </w:tc>
        <w:tc>
          <w:tcPr>
            <w:tcW w:w="1606" w:type="pct"/>
            <w:vAlign w:val="center"/>
          </w:tcPr>
          <w:p w14:paraId="2EBD7DB8">
            <w:pPr>
              <w:keepNext w:val="0"/>
              <w:keepLines w:val="0"/>
              <w:pageBreakBefore w:val="0"/>
              <w:widowControl w:val="0"/>
              <w:kinsoku/>
              <w:wordWrap/>
              <w:overflowPunct/>
              <w:topLinePunct w:val="0"/>
              <w:bidi w:val="0"/>
              <w:spacing w:beforeLines="0" w:afterLines="0" w:line="360" w:lineRule="auto"/>
              <w:rPr>
                <w:rFonts w:hint="eastAsia"/>
                <w:bCs/>
                <w:color w:val="auto"/>
                <w:szCs w:val="21"/>
                <w:highlight w:val="none"/>
              </w:rPr>
            </w:pPr>
          </w:p>
        </w:tc>
        <w:tc>
          <w:tcPr>
            <w:tcW w:w="1779" w:type="pct"/>
            <w:vAlign w:val="center"/>
          </w:tcPr>
          <w:p w14:paraId="3641B6AD">
            <w:pPr>
              <w:pStyle w:val="19"/>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p>
        </w:tc>
        <w:tc>
          <w:tcPr>
            <w:tcW w:w="749" w:type="pct"/>
            <w:vAlign w:val="center"/>
          </w:tcPr>
          <w:p w14:paraId="10DDDBD9">
            <w:pPr>
              <w:pStyle w:val="19"/>
              <w:keepNext w:val="0"/>
              <w:keepLines w:val="0"/>
              <w:pageBreakBefore w:val="0"/>
              <w:widowControl w:val="0"/>
              <w:kinsoku/>
              <w:wordWrap/>
              <w:overflowPunct/>
              <w:topLinePunct w:val="0"/>
              <w:bidi w:val="0"/>
              <w:spacing w:beforeLines="0" w:afterLines="0" w:line="360" w:lineRule="auto"/>
              <w:jc w:val="center"/>
              <w:rPr>
                <w:rFonts w:hint="eastAsia"/>
                <w:bCs/>
                <w:color w:val="auto"/>
                <w:szCs w:val="21"/>
                <w:highlight w:val="none"/>
              </w:rPr>
            </w:pPr>
          </w:p>
        </w:tc>
        <w:tc>
          <w:tcPr>
            <w:tcW w:w="444" w:type="pct"/>
            <w:tcBorders>
              <w:top w:val="single" w:color="auto" w:sz="4" w:space="0"/>
              <w:left w:val="single" w:color="auto" w:sz="4" w:space="0"/>
              <w:bottom w:val="single" w:color="auto" w:sz="4" w:space="0"/>
              <w:right w:val="single" w:color="auto" w:sz="4" w:space="0"/>
            </w:tcBorders>
            <w:vAlign w:val="center"/>
          </w:tcPr>
          <w:p w14:paraId="3EFFD597">
            <w:pPr>
              <w:keepNext w:val="0"/>
              <w:keepLines w:val="0"/>
              <w:pageBreakBefore w:val="0"/>
              <w:widowControl w:val="0"/>
              <w:kinsoku/>
              <w:wordWrap/>
              <w:overflowPunct/>
              <w:topLinePunct w:val="0"/>
              <w:bidi w:val="0"/>
              <w:spacing w:beforeLines="0" w:afterLines="0" w:line="360" w:lineRule="auto"/>
              <w:jc w:val="center"/>
              <w:rPr>
                <w:rFonts w:hint="eastAsia"/>
                <w:color w:val="auto"/>
                <w:szCs w:val="21"/>
                <w:highlight w:val="none"/>
              </w:rPr>
            </w:pPr>
          </w:p>
        </w:tc>
      </w:tr>
    </w:tbl>
    <w:p w14:paraId="3BACA888">
      <w:pPr>
        <w:pStyle w:val="13"/>
        <w:keepNext w:val="0"/>
        <w:keepLines w:val="0"/>
        <w:pageBreakBefore w:val="0"/>
        <w:widowControl w:val="0"/>
        <w:kinsoku/>
        <w:wordWrap/>
        <w:overflowPunct/>
        <w:topLinePunct w:val="0"/>
        <w:autoSpaceDE/>
        <w:autoSpaceDN/>
        <w:bidi w:val="0"/>
        <w:spacing w:beforeLines="0" w:afterLines="0"/>
        <w:ind w:firstLine="0"/>
        <w:rPr>
          <w:rFonts w:hint="eastAsia" w:eastAsia="宋体"/>
          <w:b/>
          <w:bCs/>
          <w:color w:val="auto"/>
          <w:sz w:val="21"/>
          <w:szCs w:val="21"/>
          <w:highlight w:val="none"/>
        </w:rPr>
      </w:pPr>
      <w:r>
        <w:rPr>
          <w:rFonts w:eastAsia="宋体"/>
          <w:b/>
          <w:bCs/>
          <w:color w:val="auto"/>
          <w:sz w:val="21"/>
          <w:szCs w:val="21"/>
          <w:highlight w:val="none"/>
        </w:rPr>
        <w:t>说明：</w:t>
      </w:r>
    </w:p>
    <w:p w14:paraId="6B790AB6">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供应商需对应采购文件</w:t>
      </w:r>
      <w:r>
        <w:rPr>
          <w:rFonts w:hint="eastAsia"/>
          <w:b/>
          <w:bCs/>
          <w:color w:val="auto"/>
          <w:szCs w:val="21"/>
          <w:highlight w:val="none"/>
          <w:lang w:eastAsia="zh-CN"/>
        </w:rPr>
        <w:t>第二章采购需求“主要商务要求”</w:t>
      </w:r>
      <w:r>
        <w:rPr>
          <w:rFonts w:hint="eastAsia"/>
          <w:color w:val="auto"/>
          <w:szCs w:val="21"/>
          <w:highlight w:val="none"/>
          <w:lang w:eastAsia="zh-CN"/>
        </w:rPr>
        <w:t>中除</w:t>
      </w:r>
      <w:r>
        <w:rPr>
          <w:rFonts w:hint="eastAsia"/>
          <w:bCs/>
          <w:color w:val="auto"/>
          <w:szCs w:val="21"/>
          <w:highlight w:val="none"/>
          <w:lang w:eastAsia="zh-CN"/>
        </w:rPr>
        <w:t>“★”号条款外的</w:t>
      </w:r>
      <w:r>
        <w:rPr>
          <w:rFonts w:hint="eastAsia"/>
          <w:color w:val="auto"/>
          <w:szCs w:val="21"/>
          <w:highlight w:val="none"/>
          <w:lang w:eastAsia="zh-CN"/>
        </w:rPr>
        <w:t>所有条款进行</w:t>
      </w:r>
      <w:r>
        <w:rPr>
          <w:rFonts w:hint="eastAsia"/>
          <w:b/>
          <w:bCs/>
          <w:color w:val="auto"/>
          <w:szCs w:val="21"/>
          <w:highlight w:val="none"/>
          <w:lang w:eastAsia="zh-CN"/>
        </w:rPr>
        <w:t>逐条响应或整体响应</w:t>
      </w:r>
      <w:r>
        <w:rPr>
          <w:rFonts w:hint="eastAsia"/>
          <w:color w:val="auto"/>
          <w:szCs w:val="21"/>
          <w:highlight w:val="none"/>
          <w:lang w:eastAsia="zh-CN"/>
        </w:rPr>
        <w:t>，并按要求填写上表。</w:t>
      </w:r>
      <w:r>
        <w:rPr>
          <w:rFonts w:hint="eastAsia"/>
          <w:b/>
          <w:bCs/>
          <w:color w:val="auto"/>
          <w:szCs w:val="21"/>
          <w:highlight w:val="none"/>
          <w:lang w:eastAsia="zh-CN"/>
        </w:rPr>
        <w:t>若要求提供证明材料的，还须提供相应的证明材料，否则视为负偏离。</w:t>
      </w:r>
    </w:p>
    <w:p w14:paraId="50009858">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color w:val="auto"/>
          <w:szCs w:val="21"/>
          <w:highlight w:val="none"/>
          <w:lang w:eastAsia="zh-CN"/>
        </w:rPr>
        <w:t>“采购文件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项下填写的内容应与采购文件</w:t>
      </w:r>
      <w:r>
        <w:rPr>
          <w:rFonts w:hint="eastAsia"/>
          <w:b/>
          <w:bCs/>
          <w:color w:val="auto"/>
          <w:szCs w:val="21"/>
          <w:highlight w:val="none"/>
          <w:lang w:eastAsia="zh-CN"/>
        </w:rPr>
        <w:t>第二章采购需求“主要商务要求”中</w:t>
      </w:r>
      <w:r>
        <w:rPr>
          <w:b/>
          <w:bCs/>
          <w:color w:val="auto"/>
          <w:szCs w:val="21"/>
          <w:highlight w:val="none"/>
          <w:lang w:eastAsia="zh-CN"/>
        </w:rPr>
        <w:t>的内容</w:t>
      </w:r>
      <w:r>
        <w:rPr>
          <w:color w:val="auto"/>
          <w:szCs w:val="21"/>
          <w:highlight w:val="none"/>
          <w:lang w:eastAsia="zh-CN"/>
        </w:rPr>
        <w:t>保持一致。</w:t>
      </w:r>
      <w:r>
        <w:rPr>
          <w:rFonts w:hint="eastAsia"/>
          <w:color w:val="auto"/>
          <w:szCs w:val="21"/>
          <w:highlight w:val="none"/>
          <w:lang w:eastAsia="zh-CN"/>
        </w:rPr>
        <w:t>若供应商针对所有条款完全满足要求无偏离时，可以进行整体响应，</w:t>
      </w:r>
      <w:r>
        <w:rPr>
          <w:color w:val="auto"/>
          <w:szCs w:val="21"/>
          <w:highlight w:val="none"/>
          <w:lang w:eastAsia="zh-CN"/>
        </w:rPr>
        <w:t>在“采购文件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w:t>
      </w:r>
      <w:r>
        <w:rPr>
          <w:color w:val="auto"/>
          <w:szCs w:val="21"/>
          <w:highlight w:val="none"/>
          <w:lang w:eastAsia="zh-CN"/>
        </w:rPr>
        <w:t>填写“所有</w:t>
      </w:r>
      <w:r>
        <w:rPr>
          <w:rFonts w:hint="eastAsia"/>
          <w:color w:val="auto"/>
          <w:szCs w:val="21"/>
          <w:highlight w:val="none"/>
          <w:lang w:eastAsia="zh-CN"/>
        </w:rPr>
        <w:t>商务</w:t>
      </w:r>
      <w:r>
        <w:rPr>
          <w:color w:val="auto"/>
          <w:szCs w:val="21"/>
          <w:highlight w:val="none"/>
          <w:lang w:eastAsia="zh-CN"/>
        </w:rPr>
        <w:t>条款</w:t>
      </w:r>
      <w:r>
        <w:rPr>
          <w:rFonts w:hint="eastAsia"/>
          <w:color w:val="auto"/>
          <w:szCs w:val="21"/>
          <w:highlight w:val="none"/>
          <w:lang w:eastAsia="zh-CN"/>
        </w:rPr>
        <w:t>要求</w:t>
      </w:r>
      <w:r>
        <w:rPr>
          <w:color w:val="auto"/>
          <w:szCs w:val="21"/>
          <w:highlight w:val="none"/>
          <w:lang w:eastAsia="zh-CN"/>
        </w:rPr>
        <w:t>”</w:t>
      </w:r>
      <w:r>
        <w:rPr>
          <w:rFonts w:hint="eastAsia"/>
          <w:color w:val="auto"/>
          <w:szCs w:val="21"/>
          <w:highlight w:val="none"/>
          <w:lang w:eastAsia="zh-CN"/>
        </w:rPr>
        <w:t>；</w:t>
      </w:r>
      <w:r>
        <w:rPr>
          <w:rFonts w:hint="eastAsia"/>
          <w:b/>
          <w:bCs/>
          <w:color w:val="auto"/>
          <w:szCs w:val="21"/>
          <w:highlight w:val="none"/>
          <w:lang w:eastAsia="zh-CN"/>
        </w:rPr>
        <w:t>若供应商存在偏离项时，则所有商务条款需要进行逐条响应。</w:t>
      </w:r>
    </w:p>
    <w:p w14:paraId="33F2EB90">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“供应商响应情况”</w:t>
      </w:r>
      <w:r>
        <w:rPr>
          <w:rFonts w:hint="eastAsia"/>
          <w:bCs/>
          <w:color w:val="auto"/>
          <w:szCs w:val="21"/>
          <w:highlight w:val="none"/>
          <w:lang w:eastAsia="zh-CN"/>
        </w:rPr>
        <w:t>项下填写供应商针对“采购文件规定的要求”的响应数值或内容</w:t>
      </w:r>
      <w:r>
        <w:rPr>
          <w:rFonts w:hint="eastAsia"/>
          <w:color w:val="auto"/>
          <w:szCs w:val="21"/>
          <w:highlight w:val="none"/>
          <w:lang w:eastAsia="zh-CN"/>
        </w:rPr>
        <w:t>；若供应商响应完全满足“采购文件规定的要求”，也可以填写“完全按照采购文件规定执行”。</w:t>
      </w:r>
    </w:p>
    <w:p w14:paraId="548C4CED">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w:t>
      </w:r>
      <w:r>
        <w:rPr>
          <w:bCs/>
          <w:color w:val="auto"/>
          <w:szCs w:val="21"/>
          <w:highlight w:val="none"/>
          <w:lang w:eastAsia="zh-CN"/>
        </w:rPr>
        <w:t>偏离情况”</w:t>
      </w:r>
      <w:r>
        <w:rPr>
          <w:rFonts w:hint="eastAsia"/>
          <w:bCs/>
          <w:color w:val="auto"/>
          <w:szCs w:val="21"/>
          <w:highlight w:val="none"/>
          <w:lang w:eastAsia="zh-CN"/>
        </w:rPr>
        <w:t>项下应填写“正偏离”或“无偏离”或“负偏离”，供应商须真实体现偏离情况。其中“正偏离”是指优于采购文件规定的要求；“无偏离”是指满足采购文件规定的要求；“负偏离”是指低于采购文件规定的要求</w:t>
      </w:r>
      <w:r>
        <w:rPr>
          <w:rFonts w:hint="eastAsia"/>
          <w:color w:val="auto"/>
          <w:szCs w:val="21"/>
          <w:highlight w:val="none"/>
          <w:lang w:eastAsia="zh-CN"/>
        </w:rPr>
        <w:t>。</w:t>
      </w:r>
    </w:p>
    <w:p w14:paraId="4998C70F">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“备注”项下填写佐证材料的相关页码或具体偏离内容，不涉及则无需填写。</w:t>
      </w:r>
    </w:p>
    <w:p w14:paraId="5F036EEA">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2" w:firstLineChars="200"/>
        <w:rPr>
          <w:rFonts w:hint="eastAsia"/>
          <w:b/>
          <w:color w:val="auto"/>
          <w:szCs w:val="21"/>
          <w:highlight w:val="none"/>
          <w:lang w:eastAsia="zh-CN"/>
        </w:rPr>
      </w:pPr>
      <w:r>
        <w:rPr>
          <w:rFonts w:hint="eastAsia"/>
          <w:b/>
          <w:color w:val="auto"/>
          <w:szCs w:val="21"/>
          <w:highlight w:val="none"/>
          <w:lang w:eastAsia="zh-CN"/>
        </w:rPr>
        <w:t>供应商若存在“采购文件规定的要求”条款未进行响应时，将视为该条款存在负偏离或不满足。</w:t>
      </w:r>
    </w:p>
    <w:p w14:paraId="6ACEE561">
      <w:pPr>
        <w:pStyle w:val="129"/>
        <w:keepNext w:val="0"/>
        <w:keepLines w:val="0"/>
        <w:pageBreakBefore w:val="0"/>
        <w:widowControl w:val="0"/>
        <w:numPr>
          <w:ilvl w:val="0"/>
          <w:numId w:val="24"/>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供应商须谨慎进行响应，不可存在虚假投标（响应）的情形。</w:t>
      </w:r>
    </w:p>
    <w:p w14:paraId="5FBCFE1E">
      <w:pPr>
        <w:pStyle w:val="13"/>
        <w:keepNext w:val="0"/>
        <w:keepLines w:val="0"/>
        <w:pageBreakBefore w:val="0"/>
        <w:widowControl w:val="0"/>
        <w:kinsoku/>
        <w:wordWrap/>
        <w:overflowPunct/>
        <w:topLinePunct w:val="0"/>
        <w:autoSpaceDE/>
        <w:autoSpaceDN/>
        <w:bidi w:val="0"/>
        <w:spacing w:beforeLines="0" w:afterLines="0"/>
        <w:rPr>
          <w:rFonts w:hint="eastAsia" w:eastAsia="宋体"/>
          <w:bCs/>
          <w:color w:val="auto"/>
          <w:sz w:val="24"/>
          <w:szCs w:val="24"/>
          <w:highlight w:val="none"/>
        </w:rPr>
      </w:pPr>
    </w:p>
    <w:p w14:paraId="0A7AD556">
      <w:pPr>
        <w:pStyle w:val="358"/>
        <w:keepNext w:val="0"/>
        <w:keepLines w:val="0"/>
        <w:pageBreakBefore w:val="0"/>
        <w:widowControl w:val="0"/>
        <w:kinsoku/>
        <w:wordWrap/>
        <w:overflowPunct/>
        <w:topLinePunct w:val="0"/>
        <w:autoSpaceDE/>
        <w:autoSpaceDN/>
        <w:bidi w:val="0"/>
        <w:spacing w:beforeLines="0" w:afterLines="0" w:line="36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供应商法定代表人或其授权代表（签字或盖章）：</w:t>
      </w:r>
      <w:r>
        <w:rPr>
          <w:color w:val="auto"/>
          <w:highlight w:val="none"/>
          <w:u w:val="single"/>
          <w:lang w:eastAsia="zh-CN"/>
        </w:rPr>
        <w:t xml:space="preserve">                    .</w:t>
      </w:r>
    </w:p>
    <w:p w14:paraId="527B0A28">
      <w:pPr>
        <w:pStyle w:val="358"/>
        <w:keepNext w:val="0"/>
        <w:keepLines w:val="0"/>
        <w:pageBreakBefore w:val="0"/>
        <w:widowControl w:val="0"/>
        <w:kinsoku/>
        <w:wordWrap/>
        <w:overflowPunct/>
        <w:topLinePunct w:val="0"/>
        <w:autoSpaceDE/>
        <w:autoSpaceDN/>
        <w:bidi w:val="0"/>
        <w:spacing w:beforeLines="0" w:afterLines="0" w:line="360" w:lineRule="auto"/>
        <w:ind w:right="101" w:rightChars="48"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19C4DD1A">
      <w:pPr>
        <w:pStyle w:val="358"/>
        <w:keepNext w:val="0"/>
        <w:keepLines w:val="0"/>
        <w:pageBreakBefore w:val="0"/>
        <w:widowControl w:val="0"/>
        <w:kinsoku/>
        <w:wordWrap/>
        <w:overflowPunct/>
        <w:topLinePunct w:val="0"/>
        <w:autoSpaceDE/>
        <w:autoSpaceDN/>
        <w:bidi w:val="0"/>
        <w:spacing w:beforeLines="0" w:afterLines="0" w:line="360" w:lineRule="auto"/>
        <w:ind w:right="101" w:rightChars="48" w:firstLine="496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28BD4D93">
      <w:pPr>
        <w:keepNext w:val="0"/>
        <w:keepLines w:val="0"/>
        <w:pageBreakBefore w:val="0"/>
        <w:widowControl w:val="0"/>
        <w:kinsoku/>
        <w:wordWrap/>
        <w:overflowPunct/>
        <w:topLinePunct w:val="0"/>
        <w:bidi w:val="0"/>
        <w:spacing w:beforeLines="0" w:afterLines="0"/>
        <w:jc w:val="left"/>
        <w:rPr>
          <w:rFonts w:hint="eastAsia"/>
          <w:color w:val="auto"/>
          <w:sz w:val="24"/>
          <w:highlight w:val="none"/>
        </w:rPr>
        <w:sectPr>
          <w:pgSz w:w="11906" w:h="16838"/>
          <w:pgMar w:top="1134" w:right="1134" w:bottom="1134" w:left="1134" w:header="426" w:footer="992" w:gutter="0"/>
          <w:paperSrc w:first="7"/>
          <w:pgNumType w:fmt="decimal"/>
          <w:cols w:space="0" w:num="1"/>
          <w:titlePg/>
          <w:rtlGutter w:val="0"/>
          <w:docGrid w:linePitch="312" w:charSpace="0"/>
        </w:sectPr>
      </w:pPr>
    </w:p>
    <w:p w14:paraId="7FE053CB">
      <w:pPr>
        <w:pStyle w:val="3"/>
        <w:keepNext w:val="0"/>
        <w:keepLines w:val="0"/>
        <w:pageBreakBefore w:val="0"/>
        <w:widowControl w:val="0"/>
        <w:numPr>
          <w:ilvl w:val="0"/>
          <w:numId w:val="20"/>
        </w:numPr>
        <w:kinsoku/>
        <w:wordWrap/>
        <w:overflowPunct/>
        <w:topLinePunct w:val="0"/>
        <w:bidi w:val="0"/>
        <w:spacing w:before="0" w:beforeLines="0" w:after="0" w:afterLines="0" w:line="360" w:lineRule="auto"/>
        <w:ind w:left="720" w:hanging="720"/>
        <w:rPr>
          <w:rFonts w:hint="eastAsia" w:ascii="宋体" w:hAnsi="宋体" w:eastAsia="宋体"/>
          <w:color w:val="auto"/>
          <w:sz w:val="24"/>
          <w:szCs w:val="24"/>
          <w:highlight w:val="none"/>
        </w:rPr>
      </w:pPr>
      <w:bookmarkStart w:id="238" w:name="_Toc114053448"/>
      <w:bookmarkStart w:id="239" w:name="_Toc3822"/>
      <w:bookmarkStart w:id="240" w:name="_Toc104131876"/>
      <w:bookmarkStart w:id="241" w:name="_Toc131271300"/>
      <w:bookmarkStart w:id="242" w:name="_Toc104040718"/>
      <w:bookmarkStart w:id="243" w:name="_Toc103033246"/>
      <w:r>
        <w:rPr>
          <w:rFonts w:hint="eastAsia" w:ascii="宋体" w:hAnsi="宋体" w:eastAsia="宋体"/>
          <w:color w:val="auto"/>
          <w:sz w:val="24"/>
          <w:szCs w:val="24"/>
          <w:highlight w:val="none"/>
        </w:rPr>
        <w:t>技术条款响应表</w:t>
      </w:r>
      <w:bookmarkEnd w:id="238"/>
      <w:bookmarkEnd w:id="239"/>
      <w:bookmarkEnd w:id="240"/>
      <w:bookmarkEnd w:id="241"/>
      <w:bookmarkEnd w:id="242"/>
      <w:bookmarkEnd w:id="243"/>
    </w:p>
    <w:p w14:paraId="2C425E47">
      <w:pPr>
        <w:keepNext w:val="0"/>
        <w:keepLines w:val="0"/>
        <w:pageBreakBefore w:val="0"/>
        <w:widowControl w:val="0"/>
        <w:kinsoku/>
        <w:wordWrap/>
        <w:overflowPunct/>
        <w:topLinePunct w:val="0"/>
        <w:bidi w:val="0"/>
        <w:spacing w:beforeLines="0" w:afterLines="0"/>
        <w:jc w:val="center"/>
        <w:rPr>
          <w:rFonts w:hint="eastAsia"/>
          <w:color w:val="auto"/>
          <w:highlight w:val="none"/>
        </w:rPr>
      </w:pPr>
      <w:r>
        <w:rPr>
          <w:rFonts w:hint="eastAsia" w:cs="宋体"/>
          <w:b/>
          <w:bCs/>
          <w:color w:val="auto"/>
          <w:sz w:val="28"/>
          <w:szCs w:val="28"/>
          <w:highlight w:val="none"/>
        </w:rPr>
        <w:t>技术条款</w:t>
      </w:r>
      <w:r>
        <w:rPr>
          <w:rFonts w:cs="宋体"/>
          <w:b/>
          <w:bCs/>
          <w:color w:val="auto"/>
          <w:sz w:val="28"/>
          <w:szCs w:val="28"/>
          <w:highlight w:val="none"/>
        </w:rPr>
        <w:t>响应表</w:t>
      </w:r>
    </w:p>
    <w:p w14:paraId="1329D441">
      <w:pPr>
        <w:keepNext w:val="0"/>
        <w:keepLines w:val="0"/>
        <w:pageBreakBefore w:val="0"/>
        <w:widowControl w:val="0"/>
        <w:kinsoku/>
        <w:wordWrap/>
        <w:overflowPunct/>
        <w:topLinePunct w:val="0"/>
        <w:bidi w:val="0"/>
        <w:spacing w:beforeLines="0" w:afterLines="0"/>
        <w:rPr>
          <w:rFonts w:hint="eastAsia"/>
          <w:bCs/>
          <w:color w:val="auto"/>
          <w:sz w:val="24"/>
          <w:highlight w:val="none"/>
        </w:rPr>
      </w:pPr>
      <w:r>
        <w:rPr>
          <w:bCs/>
          <w:color w:val="auto"/>
          <w:sz w:val="24"/>
          <w:highlight w:val="none"/>
        </w:rPr>
        <w:t xml:space="preserve">项目名称：_________________  </w:t>
      </w:r>
    </w:p>
    <w:p w14:paraId="491EDAAB">
      <w:pPr>
        <w:keepNext w:val="0"/>
        <w:keepLines w:val="0"/>
        <w:pageBreakBefore w:val="0"/>
        <w:widowControl w:val="0"/>
        <w:kinsoku/>
        <w:wordWrap/>
        <w:overflowPunct/>
        <w:topLinePunct w:val="0"/>
        <w:bidi w:val="0"/>
        <w:spacing w:beforeLines="0" w:afterLines="0"/>
        <w:rPr>
          <w:rFonts w:hint="eastAsia"/>
          <w:color w:val="auto"/>
          <w:sz w:val="24"/>
          <w:highlight w:val="none"/>
        </w:rPr>
      </w:pPr>
      <w:r>
        <w:rPr>
          <w:rFonts w:hint="eastAsia"/>
          <w:bCs/>
          <w:color w:val="auto"/>
          <w:sz w:val="24"/>
          <w:highlight w:val="none"/>
        </w:rPr>
        <w:t>项目编号</w:t>
      </w:r>
      <w:r>
        <w:rPr>
          <w:bCs/>
          <w:color w:val="auto"/>
          <w:sz w:val="24"/>
          <w:highlight w:val="none"/>
        </w:rPr>
        <w:t>：_________________</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1"/>
        <w:gridCol w:w="2972"/>
        <w:gridCol w:w="3019"/>
        <w:gridCol w:w="1291"/>
        <w:gridCol w:w="1541"/>
      </w:tblGrid>
      <w:tr w14:paraId="49566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trPr>
        <w:tc>
          <w:tcPr>
            <w:tcW w:w="523" w:type="pct"/>
            <w:vAlign w:val="center"/>
          </w:tcPr>
          <w:p w14:paraId="5F4C7878">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b/>
                <w:bCs/>
                <w:color w:val="auto"/>
                <w:szCs w:val="21"/>
                <w:highlight w:val="none"/>
              </w:rPr>
            </w:pPr>
            <w:r>
              <w:rPr>
                <w:rFonts w:hint="eastAsia"/>
                <w:b/>
                <w:bCs/>
                <w:color w:val="auto"/>
                <w:szCs w:val="21"/>
                <w:highlight w:val="none"/>
              </w:rPr>
              <w:t>序号</w:t>
            </w:r>
          </w:p>
        </w:tc>
        <w:tc>
          <w:tcPr>
            <w:tcW w:w="1508" w:type="pct"/>
            <w:vAlign w:val="center"/>
          </w:tcPr>
          <w:p w14:paraId="596F6779">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b/>
                <w:bCs/>
                <w:color w:val="auto"/>
                <w:szCs w:val="21"/>
                <w:highlight w:val="none"/>
              </w:rPr>
            </w:pPr>
            <w:r>
              <w:rPr>
                <w:rFonts w:hint="eastAsia"/>
                <w:b/>
                <w:color w:val="auto"/>
                <w:szCs w:val="21"/>
                <w:highlight w:val="none"/>
              </w:rPr>
              <w:t>采购文件规定的要求</w:t>
            </w:r>
          </w:p>
        </w:tc>
        <w:tc>
          <w:tcPr>
            <w:tcW w:w="1532" w:type="pct"/>
            <w:vAlign w:val="center"/>
          </w:tcPr>
          <w:p w14:paraId="56362433">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b/>
                <w:bCs/>
                <w:color w:val="auto"/>
                <w:szCs w:val="21"/>
                <w:highlight w:val="none"/>
              </w:rPr>
            </w:pPr>
            <w:r>
              <w:rPr>
                <w:rFonts w:hint="eastAsia"/>
                <w:b/>
                <w:bCs/>
                <w:color w:val="auto"/>
                <w:szCs w:val="21"/>
                <w:highlight w:val="none"/>
              </w:rPr>
              <w:t>供应商响应情况</w:t>
            </w:r>
          </w:p>
        </w:tc>
        <w:tc>
          <w:tcPr>
            <w:tcW w:w="655" w:type="pct"/>
            <w:vAlign w:val="center"/>
          </w:tcPr>
          <w:p w14:paraId="30920183">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b/>
                <w:bCs/>
                <w:color w:val="auto"/>
                <w:szCs w:val="21"/>
                <w:highlight w:val="none"/>
              </w:rPr>
            </w:pPr>
            <w:r>
              <w:rPr>
                <w:rFonts w:hint="eastAsia"/>
                <w:b/>
                <w:bCs/>
                <w:color w:val="auto"/>
                <w:szCs w:val="21"/>
                <w:highlight w:val="none"/>
              </w:rPr>
              <w:t>偏离情况</w:t>
            </w:r>
          </w:p>
        </w:tc>
        <w:tc>
          <w:tcPr>
            <w:tcW w:w="780" w:type="pct"/>
            <w:vAlign w:val="center"/>
          </w:tcPr>
          <w:p w14:paraId="66E33CE3">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b/>
                <w:bCs/>
                <w:color w:val="auto"/>
                <w:szCs w:val="21"/>
                <w:highlight w:val="none"/>
              </w:rPr>
            </w:pPr>
            <w:r>
              <w:rPr>
                <w:rFonts w:hint="eastAsia"/>
                <w:b/>
                <w:bCs/>
                <w:color w:val="auto"/>
                <w:szCs w:val="21"/>
                <w:highlight w:val="none"/>
              </w:rPr>
              <w:t>备注</w:t>
            </w:r>
          </w:p>
        </w:tc>
      </w:tr>
      <w:tr w14:paraId="239C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000" w:type="pct"/>
            <w:gridSpan w:val="5"/>
            <w:vAlign w:val="center"/>
          </w:tcPr>
          <w:p w14:paraId="3B420994">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b/>
                <w:bCs/>
                <w:color w:val="auto"/>
                <w:szCs w:val="21"/>
                <w:highlight w:val="none"/>
              </w:rPr>
            </w:pPr>
            <w:r>
              <w:rPr>
                <w:rFonts w:hint="eastAsia"/>
                <w:b/>
                <w:bCs/>
                <w:color w:val="auto"/>
                <w:szCs w:val="21"/>
                <w:highlight w:val="none"/>
              </w:rPr>
              <w:t>一般技术条款（未标注“★”和“▲”的条款）</w:t>
            </w:r>
          </w:p>
        </w:tc>
      </w:tr>
      <w:tr w14:paraId="276E2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07DED819">
            <w:pPr>
              <w:pStyle w:val="129"/>
              <w:keepNext w:val="0"/>
              <w:keepLines w:val="0"/>
              <w:pageBreakBefore w:val="0"/>
              <w:widowControl w:val="0"/>
              <w:numPr>
                <w:ilvl w:val="0"/>
                <w:numId w:val="25"/>
              </w:numPr>
              <w:kinsoku/>
              <w:wordWrap/>
              <w:overflowPunct/>
              <w:topLinePunct w:val="0"/>
              <w:bidi w:val="0"/>
              <w:adjustRightInd w:val="0"/>
              <w:snapToGrid w:val="0"/>
              <w:spacing w:beforeLines="0" w:afterLines="0" w:line="360" w:lineRule="auto"/>
              <w:jc w:val="center"/>
              <w:rPr>
                <w:rFonts w:hint="eastAsia"/>
                <w:color w:val="auto"/>
                <w:szCs w:val="21"/>
                <w:highlight w:val="none"/>
                <w:lang w:eastAsia="zh-CN"/>
              </w:rPr>
            </w:pPr>
          </w:p>
        </w:tc>
        <w:tc>
          <w:tcPr>
            <w:tcW w:w="1508" w:type="pct"/>
            <w:vAlign w:val="center"/>
          </w:tcPr>
          <w:p w14:paraId="42102F05">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r>
              <w:rPr>
                <w:color w:val="auto"/>
                <w:szCs w:val="21"/>
                <w:highlight w:val="none"/>
                <w:lang w:eastAsia="zh-CN"/>
              </w:rPr>
              <w:t>所有</w:t>
            </w:r>
            <w:r>
              <w:rPr>
                <w:rFonts w:hint="eastAsia"/>
                <w:color w:val="auto"/>
                <w:szCs w:val="21"/>
                <w:highlight w:val="none"/>
                <w:lang w:eastAsia="zh-CN"/>
              </w:rPr>
              <w:t>一般技术</w:t>
            </w:r>
            <w:r>
              <w:rPr>
                <w:color w:val="auto"/>
                <w:szCs w:val="21"/>
                <w:highlight w:val="none"/>
                <w:lang w:eastAsia="zh-CN"/>
              </w:rPr>
              <w:t>条款</w:t>
            </w:r>
            <w:r>
              <w:rPr>
                <w:rFonts w:hint="eastAsia"/>
                <w:color w:val="auto"/>
                <w:szCs w:val="21"/>
                <w:highlight w:val="none"/>
                <w:lang w:eastAsia="zh-CN"/>
              </w:rPr>
              <w:t>要求</w:t>
            </w:r>
          </w:p>
        </w:tc>
        <w:tc>
          <w:tcPr>
            <w:tcW w:w="1532" w:type="pct"/>
            <w:vAlign w:val="center"/>
          </w:tcPr>
          <w:p w14:paraId="3D3E79AD">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r>
              <w:rPr>
                <w:rFonts w:hint="eastAsia"/>
                <w:color w:val="auto"/>
                <w:szCs w:val="21"/>
                <w:highlight w:val="none"/>
                <w:lang w:eastAsia="zh-CN"/>
              </w:rPr>
              <w:t>完全按照采购文件规定执行</w:t>
            </w:r>
          </w:p>
        </w:tc>
        <w:tc>
          <w:tcPr>
            <w:tcW w:w="655" w:type="pct"/>
            <w:vAlign w:val="center"/>
          </w:tcPr>
          <w:p w14:paraId="09D83AE4">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p>
        </w:tc>
        <w:tc>
          <w:tcPr>
            <w:tcW w:w="780" w:type="pct"/>
            <w:vAlign w:val="center"/>
          </w:tcPr>
          <w:p w14:paraId="4531D049">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p>
        </w:tc>
      </w:tr>
      <w:tr w14:paraId="5B25C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523" w:type="pct"/>
            <w:vAlign w:val="center"/>
          </w:tcPr>
          <w:p w14:paraId="1C7513CC">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r>
              <w:rPr>
                <w:color w:val="auto"/>
                <w:szCs w:val="21"/>
                <w:highlight w:val="none"/>
              </w:rPr>
              <w:t>……</w:t>
            </w:r>
          </w:p>
        </w:tc>
        <w:tc>
          <w:tcPr>
            <w:tcW w:w="1508" w:type="pct"/>
            <w:vAlign w:val="center"/>
          </w:tcPr>
          <w:p w14:paraId="7D22B9EA">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p>
        </w:tc>
        <w:tc>
          <w:tcPr>
            <w:tcW w:w="1532" w:type="pct"/>
            <w:vAlign w:val="center"/>
          </w:tcPr>
          <w:p w14:paraId="4C69DCF3">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p>
        </w:tc>
        <w:tc>
          <w:tcPr>
            <w:tcW w:w="655" w:type="pct"/>
            <w:vAlign w:val="center"/>
          </w:tcPr>
          <w:p w14:paraId="4789FCB0">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p>
        </w:tc>
        <w:tc>
          <w:tcPr>
            <w:tcW w:w="780" w:type="pct"/>
            <w:vAlign w:val="center"/>
          </w:tcPr>
          <w:p w14:paraId="2740337C">
            <w:pPr>
              <w:keepNext w:val="0"/>
              <w:keepLines w:val="0"/>
              <w:pageBreakBefore w:val="0"/>
              <w:widowControl w:val="0"/>
              <w:kinsoku/>
              <w:wordWrap/>
              <w:overflowPunct/>
              <w:topLinePunct w:val="0"/>
              <w:bidi w:val="0"/>
              <w:adjustRightInd w:val="0"/>
              <w:snapToGrid w:val="0"/>
              <w:spacing w:beforeLines="0" w:afterLines="0" w:line="360" w:lineRule="auto"/>
              <w:jc w:val="center"/>
              <w:rPr>
                <w:rFonts w:hint="eastAsia"/>
                <w:color w:val="auto"/>
                <w:szCs w:val="21"/>
                <w:highlight w:val="none"/>
              </w:rPr>
            </w:pPr>
          </w:p>
        </w:tc>
      </w:tr>
    </w:tbl>
    <w:p w14:paraId="5EFF3E07">
      <w:pPr>
        <w:keepNext w:val="0"/>
        <w:keepLines w:val="0"/>
        <w:pageBreakBefore w:val="0"/>
        <w:widowControl w:val="0"/>
        <w:kinsoku/>
        <w:wordWrap/>
        <w:overflowPunct/>
        <w:topLinePunct w:val="0"/>
        <w:bidi w:val="0"/>
        <w:adjustRightInd w:val="0"/>
        <w:snapToGrid w:val="0"/>
        <w:spacing w:beforeLines="0" w:afterLines="0"/>
        <w:rPr>
          <w:rFonts w:hint="eastAsia"/>
          <w:b/>
          <w:bCs/>
          <w:color w:val="auto"/>
          <w:szCs w:val="21"/>
          <w:highlight w:val="none"/>
        </w:rPr>
      </w:pPr>
      <w:r>
        <w:rPr>
          <w:rFonts w:hint="eastAsia"/>
          <w:b/>
          <w:bCs/>
          <w:color w:val="auto"/>
          <w:szCs w:val="21"/>
          <w:highlight w:val="none"/>
        </w:rPr>
        <w:t>说明：</w:t>
      </w:r>
    </w:p>
    <w:p w14:paraId="2B879F0B">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供应商需对应采购文件</w:t>
      </w:r>
      <w:r>
        <w:rPr>
          <w:rFonts w:hint="eastAsia"/>
          <w:b/>
          <w:bCs/>
          <w:color w:val="auto"/>
          <w:szCs w:val="21"/>
          <w:highlight w:val="none"/>
          <w:lang w:eastAsia="zh-CN"/>
        </w:rPr>
        <w:t>第二章采购需求“技术标准与要求”</w:t>
      </w:r>
      <w:r>
        <w:rPr>
          <w:rFonts w:hint="eastAsia"/>
          <w:color w:val="auto"/>
          <w:szCs w:val="21"/>
          <w:highlight w:val="none"/>
          <w:lang w:eastAsia="zh-CN"/>
        </w:rPr>
        <w:t>中除</w:t>
      </w:r>
      <w:r>
        <w:rPr>
          <w:rFonts w:hint="eastAsia"/>
          <w:bCs/>
          <w:color w:val="auto"/>
          <w:szCs w:val="21"/>
          <w:highlight w:val="none"/>
          <w:lang w:eastAsia="zh-CN"/>
        </w:rPr>
        <w:t>“★”号条款外的</w:t>
      </w:r>
      <w:r>
        <w:rPr>
          <w:rFonts w:hint="eastAsia"/>
          <w:color w:val="auto"/>
          <w:szCs w:val="21"/>
          <w:highlight w:val="none"/>
          <w:lang w:eastAsia="zh-CN"/>
        </w:rPr>
        <w:t>所有条款进行</w:t>
      </w:r>
      <w:r>
        <w:rPr>
          <w:rFonts w:hint="eastAsia"/>
          <w:b/>
          <w:bCs/>
          <w:color w:val="auto"/>
          <w:szCs w:val="21"/>
          <w:highlight w:val="none"/>
          <w:lang w:eastAsia="zh-CN"/>
        </w:rPr>
        <w:t>逐条响应或整体响应</w:t>
      </w:r>
      <w:r>
        <w:rPr>
          <w:rFonts w:hint="eastAsia"/>
          <w:color w:val="auto"/>
          <w:szCs w:val="21"/>
          <w:highlight w:val="none"/>
          <w:lang w:eastAsia="zh-CN"/>
        </w:rPr>
        <w:t>，并按要求填写上表。</w:t>
      </w:r>
      <w:r>
        <w:rPr>
          <w:rFonts w:hint="eastAsia"/>
          <w:b/>
          <w:bCs/>
          <w:color w:val="auto"/>
          <w:szCs w:val="21"/>
          <w:highlight w:val="none"/>
          <w:lang w:eastAsia="zh-CN"/>
        </w:rPr>
        <w:t>若要求提供证明材料的，还须提供相应的证明材料，否则视为负偏离。</w:t>
      </w:r>
    </w:p>
    <w:p w14:paraId="77EEDC09">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0" w:firstLineChars="200"/>
        <w:rPr>
          <w:rFonts w:hint="eastAsia"/>
          <w:b/>
          <w:bCs/>
          <w:color w:val="auto"/>
          <w:szCs w:val="21"/>
          <w:highlight w:val="none"/>
          <w:lang w:eastAsia="zh-CN"/>
        </w:rPr>
      </w:pPr>
      <w:r>
        <w:rPr>
          <w:color w:val="auto"/>
          <w:szCs w:val="21"/>
          <w:highlight w:val="none"/>
          <w:lang w:eastAsia="zh-CN"/>
        </w:rPr>
        <w:t>“采购文件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项下填写的内容应与采购文件</w:t>
      </w:r>
      <w:r>
        <w:rPr>
          <w:rFonts w:hint="eastAsia"/>
          <w:b/>
          <w:bCs/>
          <w:color w:val="auto"/>
          <w:szCs w:val="21"/>
          <w:highlight w:val="none"/>
          <w:lang w:eastAsia="zh-CN"/>
        </w:rPr>
        <w:t>第二章采购需求“技术标准与要求”中</w:t>
      </w:r>
      <w:r>
        <w:rPr>
          <w:b/>
          <w:bCs/>
          <w:color w:val="auto"/>
          <w:szCs w:val="21"/>
          <w:highlight w:val="none"/>
          <w:lang w:eastAsia="zh-CN"/>
        </w:rPr>
        <w:t>的内容</w:t>
      </w:r>
      <w:r>
        <w:rPr>
          <w:color w:val="auto"/>
          <w:szCs w:val="21"/>
          <w:highlight w:val="none"/>
          <w:lang w:eastAsia="zh-CN"/>
        </w:rPr>
        <w:t>保持一致。</w:t>
      </w:r>
      <w:r>
        <w:rPr>
          <w:rFonts w:hint="eastAsia"/>
          <w:color w:val="auto"/>
          <w:szCs w:val="21"/>
          <w:highlight w:val="none"/>
          <w:lang w:eastAsia="zh-CN"/>
        </w:rPr>
        <w:t>若供应商针对所有条款完全满足要求无偏离时</w:t>
      </w:r>
      <w:r>
        <w:rPr>
          <w:color w:val="auto"/>
          <w:szCs w:val="21"/>
          <w:highlight w:val="none"/>
          <w:lang w:eastAsia="zh-CN"/>
        </w:rPr>
        <w:t>，</w:t>
      </w:r>
      <w:r>
        <w:rPr>
          <w:rFonts w:hint="eastAsia"/>
          <w:color w:val="auto"/>
          <w:szCs w:val="21"/>
          <w:highlight w:val="none"/>
          <w:lang w:eastAsia="zh-CN"/>
        </w:rPr>
        <w:t>可以进行整体响应，</w:t>
      </w:r>
      <w:r>
        <w:rPr>
          <w:color w:val="auto"/>
          <w:szCs w:val="21"/>
          <w:highlight w:val="none"/>
          <w:lang w:eastAsia="zh-CN"/>
        </w:rPr>
        <w:t>在“采购文件</w:t>
      </w:r>
      <w:r>
        <w:rPr>
          <w:rFonts w:hint="eastAsia"/>
          <w:color w:val="auto"/>
          <w:szCs w:val="21"/>
          <w:highlight w:val="none"/>
          <w:lang w:eastAsia="zh-CN"/>
        </w:rPr>
        <w:t>规定的</w:t>
      </w:r>
      <w:r>
        <w:rPr>
          <w:color w:val="auto"/>
          <w:szCs w:val="21"/>
          <w:highlight w:val="none"/>
          <w:lang w:eastAsia="zh-CN"/>
        </w:rPr>
        <w:t>要求”</w:t>
      </w:r>
      <w:r>
        <w:rPr>
          <w:rFonts w:hint="eastAsia"/>
          <w:color w:val="auto"/>
          <w:szCs w:val="21"/>
          <w:highlight w:val="none"/>
          <w:lang w:eastAsia="zh-CN"/>
        </w:rPr>
        <w:t>项下</w:t>
      </w:r>
      <w:r>
        <w:rPr>
          <w:color w:val="auto"/>
          <w:szCs w:val="21"/>
          <w:highlight w:val="none"/>
          <w:lang w:eastAsia="zh-CN"/>
        </w:rPr>
        <w:t>填写“所有</w:t>
      </w:r>
      <w:r>
        <w:rPr>
          <w:rFonts w:hint="eastAsia"/>
          <w:color w:val="auto"/>
          <w:szCs w:val="21"/>
          <w:highlight w:val="none"/>
          <w:lang w:eastAsia="zh-CN"/>
        </w:rPr>
        <w:t>重要技术</w:t>
      </w:r>
      <w:r>
        <w:rPr>
          <w:color w:val="auto"/>
          <w:szCs w:val="21"/>
          <w:highlight w:val="none"/>
          <w:lang w:eastAsia="zh-CN"/>
        </w:rPr>
        <w:t>条款</w:t>
      </w:r>
      <w:r>
        <w:rPr>
          <w:rFonts w:hint="eastAsia"/>
          <w:color w:val="auto"/>
          <w:szCs w:val="21"/>
          <w:highlight w:val="none"/>
          <w:lang w:eastAsia="zh-CN"/>
        </w:rPr>
        <w:t>要求</w:t>
      </w:r>
      <w:r>
        <w:rPr>
          <w:color w:val="auto"/>
          <w:szCs w:val="21"/>
          <w:highlight w:val="none"/>
          <w:lang w:eastAsia="zh-CN"/>
        </w:rPr>
        <w:t>”</w:t>
      </w:r>
      <w:r>
        <w:rPr>
          <w:rFonts w:hint="eastAsia"/>
          <w:color w:val="auto"/>
          <w:szCs w:val="21"/>
          <w:highlight w:val="none"/>
          <w:lang w:eastAsia="zh-CN"/>
        </w:rPr>
        <w:t>或</w:t>
      </w:r>
      <w:r>
        <w:rPr>
          <w:color w:val="auto"/>
          <w:szCs w:val="21"/>
          <w:highlight w:val="none"/>
          <w:lang w:eastAsia="zh-CN"/>
        </w:rPr>
        <w:t>“所有</w:t>
      </w:r>
      <w:r>
        <w:rPr>
          <w:rFonts w:hint="eastAsia"/>
          <w:color w:val="auto"/>
          <w:szCs w:val="21"/>
          <w:highlight w:val="none"/>
          <w:lang w:eastAsia="zh-CN"/>
        </w:rPr>
        <w:t>一般技术</w:t>
      </w:r>
      <w:r>
        <w:rPr>
          <w:color w:val="auto"/>
          <w:szCs w:val="21"/>
          <w:highlight w:val="none"/>
          <w:lang w:eastAsia="zh-CN"/>
        </w:rPr>
        <w:t>条款</w:t>
      </w:r>
      <w:r>
        <w:rPr>
          <w:rFonts w:hint="eastAsia"/>
          <w:color w:val="auto"/>
          <w:szCs w:val="21"/>
          <w:highlight w:val="none"/>
          <w:lang w:eastAsia="zh-CN"/>
        </w:rPr>
        <w:t>要求</w:t>
      </w:r>
      <w:r>
        <w:rPr>
          <w:color w:val="auto"/>
          <w:szCs w:val="21"/>
          <w:highlight w:val="none"/>
          <w:lang w:eastAsia="zh-CN"/>
        </w:rPr>
        <w:t>”</w:t>
      </w:r>
      <w:r>
        <w:rPr>
          <w:rFonts w:hint="eastAsia"/>
          <w:color w:val="auto"/>
          <w:szCs w:val="21"/>
          <w:highlight w:val="none"/>
          <w:lang w:eastAsia="zh-CN"/>
        </w:rPr>
        <w:t>；</w:t>
      </w:r>
      <w:r>
        <w:rPr>
          <w:rFonts w:hint="eastAsia"/>
          <w:b/>
          <w:bCs/>
          <w:color w:val="auto"/>
          <w:szCs w:val="21"/>
          <w:highlight w:val="none"/>
          <w:lang w:eastAsia="zh-CN"/>
        </w:rPr>
        <w:t>若供应商存在偏离项时，则所有重要或一般技术条款需要进行逐条响应。</w:t>
      </w:r>
    </w:p>
    <w:p w14:paraId="583F24B0">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“供应商响应情况”</w:t>
      </w:r>
      <w:r>
        <w:rPr>
          <w:rFonts w:hint="eastAsia"/>
          <w:bCs/>
          <w:color w:val="auto"/>
          <w:szCs w:val="21"/>
          <w:highlight w:val="none"/>
          <w:lang w:eastAsia="zh-CN"/>
        </w:rPr>
        <w:t>项下填写供应商针对“采购文件规定的要求”的响应数值或内容</w:t>
      </w:r>
      <w:r>
        <w:rPr>
          <w:rFonts w:hint="eastAsia"/>
          <w:color w:val="auto"/>
          <w:szCs w:val="21"/>
          <w:highlight w:val="none"/>
          <w:lang w:eastAsia="zh-CN"/>
        </w:rPr>
        <w:t>；若供应商响应完全满足“采购文件规定的要求”，也可以填写“完全按照采购文件规定执行”。</w:t>
      </w:r>
    </w:p>
    <w:p w14:paraId="31D85781">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w:t>
      </w:r>
      <w:r>
        <w:rPr>
          <w:bCs/>
          <w:color w:val="auto"/>
          <w:szCs w:val="21"/>
          <w:highlight w:val="none"/>
          <w:lang w:eastAsia="zh-CN"/>
        </w:rPr>
        <w:t>偏离情况”</w:t>
      </w:r>
      <w:r>
        <w:rPr>
          <w:rFonts w:hint="eastAsia"/>
          <w:bCs/>
          <w:color w:val="auto"/>
          <w:szCs w:val="21"/>
          <w:highlight w:val="none"/>
          <w:lang w:eastAsia="zh-CN"/>
        </w:rPr>
        <w:t>项下应填写“正偏离”或“无偏离”或“负偏离”，供应商须真实体现偏离情况。其中“正偏离”是指优于采购文件规定的要求；“无偏离”是指满足采购文件规定的要求；“负偏离”是指低于采购文件规定的要求</w:t>
      </w:r>
      <w:r>
        <w:rPr>
          <w:rFonts w:hint="eastAsia"/>
          <w:color w:val="auto"/>
          <w:szCs w:val="21"/>
          <w:highlight w:val="none"/>
          <w:lang w:eastAsia="zh-CN"/>
        </w:rPr>
        <w:t>。</w:t>
      </w:r>
    </w:p>
    <w:p w14:paraId="49B1F3FD">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“备注”项下填写佐证材料的相关页码或具体偏离内容，不涉及则无需填写。</w:t>
      </w:r>
    </w:p>
    <w:p w14:paraId="23D42A63">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2" w:firstLineChars="200"/>
        <w:rPr>
          <w:rFonts w:hint="eastAsia"/>
          <w:b/>
          <w:color w:val="auto"/>
          <w:szCs w:val="21"/>
          <w:highlight w:val="none"/>
          <w:lang w:eastAsia="zh-CN"/>
        </w:rPr>
      </w:pPr>
      <w:r>
        <w:rPr>
          <w:rFonts w:hint="eastAsia"/>
          <w:b/>
          <w:color w:val="auto"/>
          <w:szCs w:val="21"/>
          <w:highlight w:val="none"/>
          <w:lang w:eastAsia="zh-CN"/>
        </w:rPr>
        <w:t>供应商若存在“采购文件规定的要求”条款未进行响应时，将视为该条款存在负偏离或不满足。</w:t>
      </w:r>
    </w:p>
    <w:p w14:paraId="36E73928">
      <w:pPr>
        <w:pStyle w:val="129"/>
        <w:keepNext w:val="0"/>
        <w:keepLines w:val="0"/>
        <w:pageBreakBefore w:val="0"/>
        <w:widowControl w:val="0"/>
        <w:numPr>
          <w:ilvl w:val="0"/>
          <w:numId w:val="26"/>
        </w:numPr>
        <w:kinsoku/>
        <w:wordWrap/>
        <w:overflowPunct/>
        <w:topLinePunct w:val="0"/>
        <w:bidi w:val="0"/>
        <w:adjustRightInd w:val="0"/>
        <w:snapToGrid w:val="0"/>
        <w:spacing w:beforeLines="0" w:afterLines="0"/>
        <w:ind w:left="0" w:firstLine="420" w:firstLineChars="200"/>
        <w:rPr>
          <w:rFonts w:hint="eastAsia"/>
          <w:color w:val="auto"/>
          <w:szCs w:val="21"/>
          <w:highlight w:val="none"/>
          <w:lang w:eastAsia="zh-CN"/>
        </w:rPr>
      </w:pPr>
      <w:r>
        <w:rPr>
          <w:rFonts w:hint="eastAsia"/>
          <w:color w:val="auto"/>
          <w:szCs w:val="21"/>
          <w:highlight w:val="none"/>
          <w:lang w:eastAsia="zh-CN"/>
        </w:rPr>
        <w:t>供应商须谨慎进行响应，不可存在虚假投标（响应）的情形。</w:t>
      </w:r>
    </w:p>
    <w:p w14:paraId="7CF86408">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p>
    <w:p w14:paraId="232875A1">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3B9E7C80">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2D6379EC">
      <w:pPr>
        <w:keepNext w:val="0"/>
        <w:keepLines w:val="0"/>
        <w:pageBreakBefore w:val="0"/>
        <w:widowControl w:val="0"/>
        <w:kinsoku/>
        <w:wordWrap/>
        <w:overflowPunct/>
        <w:topLinePunct w:val="0"/>
        <w:bidi w:val="0"/>
        <w:spacing w:beforeLines="0" w:afterLines="0"/>
        <w:ind w:right="-35"/>
        <w:jc w:val="right"/>
        <w:rPr>
          <w:rFonts w:hint="eastAsia"/>
          <w:color w:val="auto"/>
          <w:szCs w:val="21"/>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rFonts w:hint="eastAsia"/>
          <w:color w:val="auto"/>
          <w:sz w:val="24"/>
          <w:highlight w:val="none"/>
        </w:rPr>
        <w:t>日</w:t>
      </w:r>
      <w:bookmarkEnd w:id="233"/>
      <w:r>
        <w:rPr>
          <w:color w:val="auto"/>
          <w:szCs w:val="21"/>
          <w:highlight w:val="none"/>
        </w:rPr>
        <w:br w:type="page"/>
      </w:r>
    </w:p>
    <w:bookmarkEnd w:id="160"/>
    <w:bookmarkEnd w:id="161"/>
    <w:bookmarkEnd w:id="178"/>
    <w:bookmarkEnd w:id="179"/>
    <w:bookmarkEnd w:id="180"/>
    <w:p w14:paraId="144CEEA7">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44" w:name="_Toc12454"/>
      <w:bookmarkStart w:id="245" w:name="_Hlk111932474"/>
      <w:r>
        <w:rPr>
          <w:rFonts w:hint="eastAsia" w:ascii="宋体" w:hAnsi="宋体" w:eastAsia="宋体"/>
          <w:color w:val="auto"/>
          <w:sz w:val="24"/>
          <w:szCs w:val="24"/>
          <w:highlight w:val="none"/>
        </w:rPr>
        <w:t>承诺函</w:t>
      </w:r>
      <w:bookmarkEnd w:id="244"/>
    </w:p>
    <w:p w14:paraId="4B2086B5">
      <w:pPr>
        <w:keepNext w:val="0"/>
        <w:keepLines w:val="0"/>
        <w:pageBreakBefore w:val="0"/>
        <w:widowControl w:val="0"/>
        <w:kinsoku/>
        <w:wordWrap/>
        <w:overflowPunct/>
        <w:topLinePunct w:val="0"/>
        <w:bidi w:val="0"/>
        <w:spacing w:beforeLines="0" w:afterLines="0"/>
        <w:rPr>
          <w:rFonts w:hint="eastAsia"/>
          <w:i/>
          <w:iCs/>
          <w:color w:val="auto"/>
          <w:szCs w:val="21"/>
          <w:highlight w:val="none"/>
        </w:rPr>
      </w:pPr>
      <w:r>
        <w:rPr>
          <w:i/>
          <w:iCs/>
          <w:color w:val="auto"/>
          <w:szCs w:val="21"/>
          <w:highlight w:val="none"/>
        </w:rPr>
        <w:t>（对于采购需求</w:t>
      </w:r>
      <w:r>
        <w:rPr>
          <w:rFonts w:hint="eastAsia"/>
          <w:i/>
          <w:iCs/>
          <w:color w:val="auto"/>
          <w:szCs w:val="21"/>
          <w:highlight w:val="none"/>
        </w:rPr>
        <w:t>或评分标准中</w:t>
      </w:r>
      <w:r>
        <w:rPr>
          <w:i/>
          <w:iCs/>
          <w:color w:val="auto"/>
          <w:szCs w:val="21"/>
          <w:highlight w:val="none"/>
        </w:rPr>
        <w:t>写明“提供承诺”的条款，供应商可参照以下格式提供承诺</w:t>
      </w:r>
      <w:r>
        <w:rPr>
          <w:rFonts w:hint="eastAsia"/>
          <w:i/>
          <w:iCs/>
          <w:color w:val="auto"/>
          <w:szCs w:val="21"/>
          <w:highlight w:val="none"/>
        </w:rPr>
        <w:t>，若要求提供证明材料或者方案的，须按要求提供，否则不予认可；以下格式文件由供应商根据需要选用</w:t>
      </w:r>
      <w:r>
        <w:rPr>
          <w:rFonts w:hint="eastAsia"/>
          <w:i/>
          <w:iCs/>
          <w:color w:val="auto"/>
          <w:szCs w:val="21"/>
          <w:highlight w:val="none"/>
          <w:lang w:eastAsia="zh-CN"/>
        </w:rPr>
        <w:t>，</w:t>
      </w:r>
      <w:r>
        <w:rPr>
          <w:rFonts w:hint="eastAsia"/>
          <w:i/>
          <w:iCs/>
          <w:color w:val="auto"/>
          <w:szCs w:val="21"/>
          <w:highlight w:val="none"/>
          <w:lang w:val="en-US" w:eastAsia="zh-CN"/>
        </w:rPr>
        <w:t>不涉及可不用提供</w:t>
      </w:r>
      <w:r>
        <w:rPr>
          <w:rFonts w:hint="eastAsia"/>
          <w:i/>
          <w:iCs/>
          <w:color w:val="auto"/>
          <w:szCs w:val="21"/>
          <w:highlight w:val="none"/>
        </w:rPr>
        <w:t>。</w:t>
      </w:r>
      <w:r>
        <w:rPr>
          <w:i/>
          <w:iCs/>
          <w:color w:val="auto"/>
          <w:szCs w:val="21"/>
          <w:highlight w:val="none"/>
        </w:rPr>
        <w:t>）</w:t>
      </w:r>
    </w:p>
    <w:p w14:paraId="65258904">
      <w:pPr>
        <w:pStyle w:val="358"/>
        <w:keepNext w:val="0"/>
        <w:keepLines w:val="0"/>
        <w:pageBreakBefore w:val="0"/>
        <w:widowControl w:val="0"/>
        <w:kinsoku/>
        <w:wordWrap/>
        <w:overflowPunct/>
        <w:topLinePunct w:val="0"/>
        <w:autoSpaceDE/>
        <w:autoSpaceDN/>
        <w:bidi w:val="0"/>
        <w:spacing w:beforeLines="0" w:afterLines="0"/>
        <w:ind w:firstLine="0" w:firstLineChars="0"/>
        <w:jc w:val="center"/>
        <w:rPr>
          <w:rFonts w:hint="eastAsia"/>
          <w:b/>
          <w:bCs/>
          <w:color w:val="auto"/>
          <w:sz w:val="28"/>
          <w:szCs w:val="28"/>
          <w:highlight w:val="none"/>
          <w:lang w:eastAsia="zh-CN"/>
        </w:rPr>
      </w:pPr>
      <w:r>
        <w:rPr>
          <w:b/>
          <w:bCs/>
          <w:color w:val="auto"/>
          <w:sz w:val="28"/>
          <w:szCs w:val="28"/>
          <w:highlight w:val="none"/>
          <w:lang w:eastAsia="zh-CN"/>
        </w:rPr>
        <w:t>承诺函</w:t>
      </w:r>
    </w:p>
    <w:p w14:paraId="761F1B9A">
      <w:pPr>
        <w:keepNext w:val="0"/>
        <w:keepLines w:val="0"/>
        <w:pageBreakBefore w:val="0"/>
        <w:widowControl w:val="0"/>
        <w:kinsoku/>
        <w:wordWrap/>
        <w:overflowPunct/>
        <w:topLinePunct w:val="0"/>
        <w:bidi w:val="0"/>
        <w:spacing w:beforeLines="0" w:afterLines="0"/>
        <w:jc w:val="left"/>
        <w:rPr>
          <w:rFonts w:hint="eastAsia"/>
          <w:color w:val="auto"/>
          <w:sz w:val="24"/>
          <w:highlight w:val="none"/>
        </w:rPr>
      </w:pPr>
      <w:r>
        <w:rPr>
          <w:color w:val="auto"/>
          <w:sz w:val="24"/>
          <w:highlight w:val="none"/>
        </w:rPr>
        <w:t>致：</w:t>
      </w:r>
      <w:r>
        <w:rPr>
          <w:rFonts w:hint="eastAsia"/>
          <w:color w:val="auto"/>
          <w:sz w:val="24"/>
          <w:highlight w:val="none"/>
          <w:u w:val="single"/>
        </w:rPr>
        <w:t xml:space="preserve"> </w:t>
      </w:r>
      <w:r>
        <w:rPr>
          <w:color w:val="auto"/>
          <w:sz w:val="24"/>
          <w:highlight w:val="none"/>
          <w:u w:val="single"/>
        </w:rPr>
        <w:t xml:space="preserve">   </w:t>
      </w:r>
      <w:r>
        <w:rPr>
          <w:rFonts w:hint="eastAsia"/>
          <w:color w:val="auto"/>
          <w:sz w:val="24"/>
          <w:highlight w:val="none"/>
          <w:u w:val="single"/>
        </w:rPr>
        <w:t>（采购人名称）</w:t>
      </w:r>
      <w:r>
        <w:rPr>
          <w:color w:val="auto"/>
          <w:sz w:val="24"/>
          <w:highlight w:val="none"/>
        </w:rPr>
        <w:br w:type="textWrapping"/>
      </w:r>
    </w:p>
    <w:p w14:paraId="1725456B">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color w:val="auto"/>
          <w:sz w:val="24"/>
          <w:highlight w:val="none"/>
        </w:rPr>
        <w:t>对于__________项目（项目编号：__________），我方郑重承诺如下：</w:t>
      </w:r>
    </w:p>
    <w:p w14:paraId="507F1F3F">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color w:val="auto"/>
          <w:sz w:val="24"/>
          <w:highlight w:val="none"/>
        </w:rPr>
        <w:t>如中标/成交，我方承诺严格落实采购文件以下条款：(建议逐条复制采购文件相关条款原文)</w:t>
      </w:r>
    </w:p>
    <w:p w14:paraId="09AF4524">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color w:val="auto"/>
          <w:sz w:val="24"/>
          <w:highlight w:val="none"/>
        </w:rPr>
        <w:t>1.</w:t>
      </w:r>
    </w:p>
    <w:p w14:paraId="44E8E2B9">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color w:val="auto"/>
          <w:sz w:val="24"/>
          <w:highlight w:val="none"/>
        </w:rPr>
        <w:t>2.</w:t>
      </w:r>
    </w:p>
    <w:p w14:paraId="3DF72BDF">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color w:val="auto"/>
          <w:sz w:val="24"/>
          <w:highlight w:val="none"/>
        </w:rPr>
        <w:t>3.</w:t>
      </w:r>
    </w:p>
    <w:p w14:paraId="059171B7">
      <w:pPr>
        <w:keepNext w:val="0"/>
        <w:keepLines w:val="0"/>
        <w:pageBreakBefore w:val="0"/>
        <w:widowControl w:val="0"/>
        <w:kinsoku/>
        <w:wordWrap/>
        <w:overflowPunct/>
        <w:topLinePunct w:val="0"/>
        <w:bidi w:val="0"/>
        <w:spacing w:beforeLines="0" w:afterLines="0"/>
        <w:ind w:firstLine="480" w:firstLineChars="200"/>
        <w:rPr>
          <w:rFonts w:hint="eastAsia"/>
          <w:color w:val="auto"/>
          <w:sz w:val="24"/>
          <w:highlight w:val="none"/>
        </w:rPr>
      </w:pPr>
      <w:r>
        <w:rPr>
          <w:color w:val="auto"/>
          <w:sz w:val="24"/>
          <w:highlight w:val="none"/>
        </w:rPr>
        <w:t>.........</w:t>
      </w:r>
    </w:p>
    <w:p w14:paraId="23F29B2E">
      <w:pPr>
        <w:keepNext w:val="0"/>
        <w:keepLines w:val="0"/>
        <w:pageBreakBefore w:val="0"/>
        <w:widowControl w:val="0"/>
        <w:kinsoku/>
        <w:wordWrap/>
        <w:overflowPunct/>
        <w:topLinePunct w:val="0"/>
        <w:bidi w:val="0"/>
        <w:spacing w:beforeLines="0" w:afterLines="0"/>
        <w:ind w:firstLine="480"/>
        <w:rPr>
          <w:rFonts w:hint="eastAsia"/>
          <w:color w:val="auto"/>
          <w:sz w:val="24"/>
          <w:highlight w:val="none"/>
        </w:rPr>
      </w:pPr>
      <w:r>
        <w:rPr>
          <w:color w:val="auto"/>
          <w:sz w:val="24"/>
          <w:highlight w:val="none"/>
        </w:rPr>
        <w:t>特此承诺。</w:t>
      </w:r>
    </w:p>
    <w:bookmarkEnd w:id="245"/>
    <w:p w14:paraId="340E6749">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7A37C455">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44155BAE">
      <w:pPr>
        <w:keepNext w:val="0"/>
        <w:keepLines w:val="0"/>
        <w:pageBreakBefore w:val="0"/>
        <w:widowControl w:val="0"/>
        <w:kinsoku/>
        <w:wordWrap/>
        <w:overflowPunct/>
        <w:topLinePunct w:val="0"/>
        <w:bidi w:val="0"/>
        <w:spacing w:beforeLines="0" w:afterLines="0"/>
        <w:jc w:val="right"/>
        <w:rPr>
          <w:rFonts w:hint="eastAsia"/>
          <w:color w:val="auto"/>
          <w:highlight w:val="none"/>
        </w:rPr>
      </w:pPr>
      <w:r>
        <w:rPr>
          <w:rFonts w:hint="eastAsia"/>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highlight w:val="none"/>
        </w:rPr>
        <w:t>日</w:t>
      </w:r>
    </w:p>
    <w:p w14:paraId="2985BB0E">
      <w:pPr>
        <w:pStyle w:val="19"/>
        <w:keepNext w:val="0"/>
        <w:keepLines w:val="0"/>
        <w:pageBreakBefore w:val="0"/>
        <w:widowControl w:val="0"/>
        <w:kinsoku/>
        <w:wordWrap/>
        <w:overflowPunct/>
        <w:topLinePunct w:val="0"/>
        <w:bidi w:val="0"/>
        <w:spacing w:beforeLines="0" w:afterLines="0"/>
        <w:rPr>
          <w:rFonts w:hint="eastAsia"/>
          <w:color w:val="auto"/>
          <w:highlight w:val="none"/>
        </w:rPr>
      </w:pPr>
      <w:r>
        <w:rPr>
          <w:color w:val="auto"/>
          <w:highlight w:val="none"/>
        </w:rPr>
        <w:br w:type="page"/>
      </w:r>
    </w:p>
    <w:p w14:paraId="3504EE3F">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46" w:name="_Toc104040720"/>
      <w:bookmarkStart w:id="247" w:name="_Toc20786"/>
      <w:bookmarkStart w:id="248" w:name="_Toc103033251"/>
      <w:bookmarkStart w:id="249" w:name="_Toc104160540"/>
      <w:bookmarkStart w:id="250" w:name="_Toc202251702"/>
      <w:bookmarkStart w:id="251" w:name="_Toc425161124"/>
      <w:bookmarkStart w:id="252" w:name="_Toc202254107"/>
      <w:bookmarkStart w:id="253" w:name="_Toc202820353"/>
      <w:bookmarkStart w:id="254" w:name="_Toc462677246"/>
      <w:bookmarkStart w:id="255" w:name="_Toc202819880"/>
      <w:bookmarkStart w:id="256" w:name="_Toc259090991"/>
      <w:bookmarkStart w:id="257" w:name="_Toc202816998"/>
      <w:bookmarkStart w:id="258" w:name="_Toc202251077"/>
      <w:bookmarkStart w:id="259" w:name="_Toc202252036"/>
      <w:r>
        <w:rPr>
          <w:rFonts w:hint="eastAsia" w:ascii="宋体" w:hAnsi="宋体" w:eastAsia="宋体"/>
          <w:color w:val="auto"/>
          <w:sz w:val="24"/>
          <w:szCs w:val="24"/>
          <w:highlight w:val="none"/>
        </w:rPr>
        <w:t>类似</w:t>
      </w:r>
      <w:r>
        <w:rPr>
          <w:rFonts w:ascii="宋体" w:hAnsi="宋体" w:eastAsia="宋体"/>
          <w:color w:val="auto"/>
          <w:sz w:val="24"/>
          <w:szCs w:val="24"/>
          <w:highlight w:val="none"/>
        </w:rPr>
        <w:t>项目</w:t>
      </w:r>
      <w:r>
        <w:rPr>
          <w:rFonts w:hint="eastAsia" w:ascii="宋体" w:hAnsi="宋体" w:eastAsia="宋体"/>
          <w:color w:val="auto"/>
          <w:sz w:val="24"/>
          <w:szCs w:val="24"/>
          <w:highlight w:val="none"/>
        </w:rPr>
        <w:t>业绩</w:t>
      </w:r>
      <w:bookmarkEnd w:id="246"/>
      <w:bookmarkEnd w:id="247"/>
      <w:bookmarkEnd w:id="248"/>
      <w:bookmarkEnd w:id="249"/>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8"/>
        <w:gridCol w:w="1521"/>
        <w:gridCol w:w="1518"/>
        <w:gridCol w:w="1855"/>
        <w:gridCol w:w="2361"/>
        <w:gridCol w:w="1691"/>
      </w:tblGrid>
      <w:tr w14:paraId="6F67E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tcBorders>
              <w:bottom w:val="single" w:color="auto" w:sz="4" w:space="0"/>
            </w:tcBorders>
            <w:shd w:val="clear" w:color="auto" w:fill="F3F3F3"/>
            <w:vAlign w:val="center"/>
          </w:tcPr>
          <w:p w14:paraId="3A7B07CF">
            <w:pPr>
              <w:keepNext w:val="0"/>
              <w:keepLines w:val="0"/>
              <w:pageBreakBefore w:val="0"/>
              <w:widowControl w:val="0"/>
              <w:kinsoku/>
              <w:wordWrap/>
              <w:overflowPunct/>
              <w:topLinePunct w:val="0"/>
              <w:bidi w:val="0"/>
              <w:spacing w:beforeLines="0" w:afterLines="0" w:line="360" w:lineRule="auto"/>
              <w:jc w:val="center"/>
              <w:rPr>
                <w:rFonts w:hint="eastAsia" w:cs="等线"/>
                <w:b/>
                <w:bCs/>
                <w:color w:val="auto"/>
                <w:szCs w:val="21"/>
                <w:highlight w:val="none"/>
              </w:rPr>
            </w:pPr>
            <w:r>
              <w:rPr>
                <w:rFonts w:hint="eastAsia" w:cs="等线"/>
                <w:b/>
                <w:bCs/>
                <w:color w:val="auto"/>
                <w:szCs w:val="21"/>
                <w:highlight w:val="none"/>
              </w:rPr>
              <w:t>序号</w:t>
            </w:r>
          </w:p>
        </w:tc>
        <w:tc>
          <w:tcPr>
            <w:tcW w:w="772" w:type="pct"/>
            <w:tcBorders>
              <w:bottom w:val="single" w:color="auto" w:sz="4" w:space="0"/>
            </w:tcBorders>
            <w:shd w:val="clear" w:color="auto" w:fill="F3F3F3"/>
            <w:vAlign w:val="center"/>
          </w:tcPr>
          <w:p w14:paraId="23277302">
            <w:pPr>
              <w:keepNext w:val="0"/>
              <w:keepLines w:val="0"/>
              <w:pageBreakBefore w:val="0"/>
              <w:widowControl w:val="0"/>
              <w:kinsoku/>
              <w:wordWrap/>
              <w:overflowPunct/>
              <w:topLinePunct w:val="0"/>
              <w:bidi w:val="0"/>
              <w:spacing w:beforeLines="0" w:afterLines="0" w:line="360" w:lineRule="auto"/>
              <w:jc w:val="center"/>
              <w:rPr>
                <w:rFonts w:hint="eastAsia" w:cs="等线"/>
                <w:b/>
                <w:bCs/>
                <w:color w:val="auto"/>
                <w:szCs w:val="21"/>
                <w:highlight w:val="none"/>
              </w:rPr>
            </w:pPr>
            <w:r>
              <w:rPr>
                <w:rFonts w:hint="eastAsia" w:cs="等线"/>
                <w:b/>
                <w:bCs/>
                <w:color w:val="auto"/>
                <w:szCs w:val="21"/>
                <w:highlight w:val="none"/>
              </w:rPr>
              <w:t>客户名称</w:t>
            </w:r>
          </w:p>
        </w:tc>
        <w:tc>
          <w:tcPr>
            <w:tcW w:w="770" w:type="pct"/>
            <w:tcBorders>
              <w:bottom w:val="single" w:color="auto" w:sz="4" w:space="0"/>
            </w:tcBorders>
            <w:shd w:val="clear" w:color="auto" w:fill="F3F3F3"/>
            <w:vAlign w:val="center"/>
          </w:tcPr>
          <w:p w14:paraId="171E7B29">
            <w:pPr>
              <w:keepNext w:val="0"/>
              <w:keepLines w:val="0"/>
              <w:pageBreakBefore w:val="0"/>
              <w:widowControl w:val="0"/>
              <w:kinsoku/>
              <w:wordWrap/>
              <w:overflowPunct/>
              <w:topLinePunct w:val="0"/>
              <w:bidi w:val="0"/>
              <w:spacing w:beforeLines="0" w:afterLines="0" w:line="360" w:lineRule="auto"/>
              <w:jc w:val="center"/>
              <w:rPr>
                <w:rFonts w:hint="eastAsia" w:cs="等线"/>
                <w:b/>
                <w:bCs/>
                <w:color w:val="auto"/>
                <w:szCs w:val="21"/>
                <w:highlight w:val="none"/>
              </w:rPr>
            </w:pPr>
            <w:r>
              <w:rPr>
                <w:rFonts w:hint="eastAsia" w:cs="等线"/>
                <w:b/>
                <w:bCs/>
                <w:color w:val="auto"/>
                <w:szCs w:val="21"/>
                <w:highlight w:val="none"/>
              </w:rPr>
              <w:t>合同名称</w:t>
            </w:r>
          </w:p>
        </w:tc>
        <w:tc>
          <w:tcPr>
            <w:tcW w:w="941" w:type="pct"/>
            <w:tcBorders>
              <w:bottom w:val="single" w:color="auto" w:sz="4" w:space="0"/>
            </w:tcBorders>
            <w:shd w:val="clear" w:color="auto" w:fill="F3F3F3"/>
            <w:vAlign w:val="center"/>
          </w:tcPr>
          <w:p w14:paraId="507EAB5A">
            <w:pPr>
              <w:keepNext w:val="0"/>
              <w:keepLines w:val="0"/>
              <w:pageBreakBefore w:val="0"/>
              <w:widowControl w:val="0"/>
              <w:kinsoku/>
              <w:wordWrap/>
              <w:overflowPunct/>
              <w:topLinePunct w:val="0"/>
              <w:bidi w:val="0"/>
              <w:spacing w:beforeLines="0" w:afterLines="0" w:line="360" w:lineRule="auto"/>
              <w:jc w:val="center"/>
              <w:rPr>
                <w:rFonts w:hint="eastAsia" w:cs="等线"/>
                <w:b/>
                <w:bCs/>
                <w:color w:val="auto"/>
                <w:szCs w:val="21"/>
                <w:highlight w:val="none"/>
              </w:rPr>
            </w:pPr>
            <w:r>
              <w:rPr>
                <w:rFonts w:hint="eastAsia" w:cs="等线"/>
                <w:b/>
                <w:bCs/>
                <w:color w:val="auto"/>
                <w:szCs w:val="21"/>
                <w:highlight w:val="none"/>
              </w:rPr>
              <w:t>合同内容</w:t>
            </w:r>
          </w:p>
        </w:tc>
        <w:tc>
          <w:tcPr>
            <w:tcW w:w="1198" w:type="pct"/>
            <w:tcBorders>
              <w:bottom w:val="single" w:color="auto" w:sz="4" w:space="0"/>
            </w:tcBorders>
            <w:shd w:val="clear" w:color="auto" w:fill="F3F3F3"/>
            <w:vAlign w:val="center"/>
          </w:tcPr>
          <w:p w14:paraId="16784000">
            <w:pPr>
              <w:keepNext w:val="0"/>
              <w:keepLines w:val="0"/>
              <w:pageBreakBefore w:val="0"/>
              <w:widowControl w:val="0"/>
              <w:kinsoku/>
              <w:wordWrap/>
              <w:overflowPunct/>
              <w:topLinePunct w:val="0"/>
              <w:bidi w:val="0"/>
              <w:spacing w:beforeLines="0" w:afterLines="0" w:line="360" w:lineRule="auto"/>
              <w:jc w:val="center"/>
              <w:rPr>
                <w:rFonts w:hint="eastAsia" w:cs="等线"/>
                <w:b/>
                <w:bCs/>
                <w:color w:val="auto"/>
                <w:szCs w:val="21"/>
                <w:highlight w:val="none"/>
              </w:rPr>
            </w:pPr>
            <w:r>
              <w:rPr>
                <w:rFonts w:hint="eastAsia" w:cs="等线"/>
                <w:b/>
                <w:bCs/>
                <w:color w:val="auto"/>
                <w:szCs w:val="21"/>
                <w:highlight w:val="none"/>
              </w:rPr>
              <w:t>合同签订时间</w:t>
            </w:r>
          </w:p>
        </w:tc>
        <w:tc>
          <w:tcPr>
            <w:tcW w:w="858" w:type="pct"/>
            <w:tcBorders>
              <w:bottom w:val="single" w:color="auto" w:sz="4" w:space="0"/>
            </w:tcBorders>
            <w:shd w:val="clear" w:color="auto" w:fill="F3F3F3"/>
            <w:vAlign w:val="center"/>
          </w:tcPr>
          <w:p w14:paraId="461E850A">
            <w:pPr>
              <w:keepNext w:val="0"/>
              <w:keepLines w:val="0"/>
              <w:pageBreakBefore w:val="0"/>
              <w:widowControl w:val="0"/>
              <w:kinsoku/>
              <w:wordWrap/>
              <w:overflowPunct/>
              <w:topLinePunct w:val="0"/>
              <w:bidi w:val="0"/>
              <w:spacing w:beforeLines="0" w:afterLines="0" w:line="360" w:lineRule="auto"/>
              <w:jc w:val="center"/>
              <w:rPr>
                <w:rFonts w:hint="eastAsia" w:cs="等线"/>
                <w:b/>
                <w:bCs/>
                <w:color w:val="auto"/>
                <w:szCs w:val="21"/>
                <w:highlight w:val="none"/>
              </w:rPr>
            </w:pPr>
            <w:r>
              <w:rPr>
                <w:rFonts w:hint="eastAsia" w:cs="等线"/>
                <w:b/>
                <w:bCs/>
                <w:color w:val="auto"/>
                <w:szCs w:val="21"/>
                <w:highlight w:val="none"/>
              </w:rPr>
              <w:t>备注</w:t>
            </w:r>
          </w:p>
        </w:tc>
      </w:tr>
      <w:tr w14:paraId="5EC57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360FFA94">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r>
              <w:rPr>
                <w:rFonts w:hint="eastAsia" w:cs="等线"/>
                <w:color w:val="auto"/>
                <w:szCs w:val="21"/>
                <w:highlight w:val="none"/>
              </w:rPr>
              <w:t>1</w:t>
            </w:r>
          </w:p>
        </w:tc>
        <w:tc>
          <w:tcPr>
            <w:tcW w:w="772" w:type="pct"/>
            <w:shd w:val="clear" w:color="auto" w:fill="FFFFFF"/>
            <w:vAlign w:val="center"/>
          </w:tcPr>
          <w:p w14:paraId="1ABCC9C0">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770" w:type="pct"/>
            <w:shd w:val="clear" w:color="auto" w:fill="FFFFFF"/>
            <w:vAlign w:val="center"/>
          </w:tcPr>
          <w:p w14:paraId="15AB81EE">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941" w:type="pct"/>
            <w:shd w:val="clear" w:color="auto" w:fill="FFFFFF"/>
            <w:vAlign w:val="center"/>
          </w:tcPr>
          <w:p w14:paraId="60857FBC">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1198" w:type="pct"/>
            <w:shd w:val="clear" w:color="auto" w:fill="FFFFFF"/>
            <w:vAlign w:val="center"/>
          </w:tcPr>
          <w:p w14:paraId="1294B4A4">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858" w:type="pct"/>
            <w:shd w:val="clear" w:color="auto" w:fill="FFFFFF"/>
            <w:vAlign w:val="center"/>
          </w:tcPr>
          <w:p w14:paraId="4B3EE1AD">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r>
      <w:tr w14:paraId="35F23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2526A9F1">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r>
              <w:rPr>
                <w:rFonts w:hint="eastAsia" w:cs="等线"/>
                <w:color w:val="auto"/>
                <w:szCs w:val="21"/>
                <w:highlight w:val="none"/>
              </w:rPr>
              <w:t>2</w:t>
            </w:r>
          </w:p>
        </w:tc>
        <w:tc>
          <w:tcPr>
            <w:tcW w:w="772" w:type="pct"/>
            <w:shd w:val="clear" w:color="auto" w:fill="FFFFFF"/>
            <w:vAlign w:val="center"/>
          </w:tcPr>
          <w:p w14:paraId="46A66496">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770" w:type="pct"/>
            <w:shd w:val="clear" w:color="auto" w:fill="FFFFFF"/>
            <w:vAlign w:val="center"/>
          </w:tcPr>
          <w:p w14:paraId="69D35F3A">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941" w:type="pct"/>
            <w:shd w:val="clear" w:color="auto" w:fill="FFFFFF"/>
            <w:vAlign w:val="center"/>
          </w:tcPr>
          <w:p w14:paraId="3BC1581D">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1198" w:type="pct"/>
            <w:shd w:val="clear" w:color="auto" w:fill="FFFFFF"/>
            <w:vAlign w:val="center"/>
          </w:tcPr>
          <w:p w14:paraId="668EFC0A">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858" w:type="pct"/>
            <w:shd w:val="clear" w:color="auto" w:fill="FFFFFF"/>
            <w:vAlign w:val="center"/>
          </w:tcPr>
          <w:p w14:paraId="69314FA7">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r>
      <w:tr w14:paraId="19865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5E48FCC8">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r>
              <w:rPr>
                <w:rFonts w:hint="eastAsia" w:cs="等线"/>
                <w:color w:val="auto"/>
                <w:szCs w:val="21"/>
                <w:highlight w:val="none"/>
              </w:rPr>
              <w:t>3</w:t>
            </w:r>
          </w:p>
        </w:tc>
        <w:tc>
          <w:tcPr>
            <w:tcW w:w="772" w:type="pct"/>
            <w:shd w:val="clear" w:color="auto" w:fill="FFFFFF"/>
            <w:vAlign w:val="center"/>
          </w:tcPr>
          <w:p w14:paraId="0BD044AB">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770" w:type="pct"/>
            <w:shd w:val="clear" w:color="auto" w:fill="FFFFFF"/>
            <w:vAlign w:val="center"/>
          </w:tcPr>
          <w:p w14:paraId="42FCA88D">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941" w:type="pct"/>
            <w:shd w:val="clear" w:color="auto" w:fill="FFFFFF"/>
            <w:vAlign w:val="center"/>
          </w:tcPr>
          <w:p w14:paraId="56C44B32">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1198" w:type="pct"/>
            <w:shd w:val="clear" w:color="auto" w:fill="FFFFFF"/>
            <w:vAlign w:val="center"/>
          </w:tcPr>
          <w:p w14:paraId="506ECA08">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858" w:type="pct"/>
            <w:shd w:val="clear" w:color="auto" w:fill="FFFFFF"/>
            <w:vAlign w:val="center"/>
          </w:tcPr>
          <w:p w14:paraId="51297986">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r>
      <w:tr w14:paraId="6A9C4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61" w:type="pct"/>
            <w:shd w:val="clear" w:color="auto" w:fill="FFFFFF"/>
            <w:vAlign w:val="center"/>
          </w:tcPr>
          <w:p w14:paraId="135C3124">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r>
              <w:rPr>
                <w:rFonts w:hint="eastAsia" w:cs="等线"/>
                <w:color w:val="auto"/>
                <w:szCs w:val="21"/>
                <w:highlight w:val="none"/>
              </w:rPr>
              <w:t>…</w:t>
            </w:r>
          </w:p>
        </w:tc>
        <w:tc>
          <w:tcPr>
            <w:tcW w:w="772" w:type="pct"/>
            <w:shd w:val="clear" w:color="auto" w:fill="FFFFFF"/>
            <w:vAlign w:val="center"/>
          </w:tcPr>
          <w:p w14:paraId="74C00611">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770" w:type="pct"/>
            <w:shd w:val="clear" w:color="auto" w:fill="FFFFFF"/>
            <w:vAlign w:val="center"/>
          </w:tcPr>
          <w:p w14:paraId="6A627E3F">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941" w:type="pct"/>
            <w:shd w:val="clear" w:color="auto" w:fill="FFFFFF"/>
            <w:vAlign w:val="center"/>
          </w:tcPr>
          <w:p w14:paraId="57D499E6">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1198" w:type="pct"/>
            <w:shd w:val="clear" w:color="auto" w:fill="FFFFFF"/>
            <w:vAlign w:val="center"/>
          </w:tcPr>
          <w:p w14:paraId="20977746">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c>
          <w:tcPr>
            <w:tcW w:w="858" w:type="pct"/>
            <w:shd w:val="clear" w:color="auto" w:fill="FFFFFF"/>
            <w:vAlign w:val="center"/>
          </w:tcPr>
          <w:p w14:paraId="42C48018">
            <w:pPr>
              <w:keepNext w:val="0"/>
              <w:keepLines w:val="0"/>
              <w:pageBreakBefore w:val="0"/>
              <w:widowControl w:val="0"/>
              <w:kinsoku/>
              <w:wordWrap/>
              <w:overflowPunct/>
              <w:topLinePunct w:val="0"/>
              <w:bidi w:val="0"/>
              <w:spacing w:beforeLines="0" w:afterLines="0" w:line="360" w:lineRule="auto"/>
              <w:jc w:val="center"/>
              <w:rPr>
                <w:rFonts w:hint="eastAsia" w:cs="等线"/>
                <w:color w:val="auto"/>
                <w:szCs w:val="21"/>
                <w:highlight w:val="none"/>
              </w:rPr>
            </w:pPr>
          </w:p>
        </w:tc>
      </w:tr>
    </w:tbl>
    <w:p w14:paraId="6D08593D">
      <w:pPr>
        <w:keepNext w:val="0"/>
        <w:keepLines w:val="0"/>
        <w:pageBreakBefore w:val="0"/>
        <w:widowControl w:val="0"/>
        <w:kinsoku/>
        <w:wordWrap/>
        <w:overflowPunct/>
        <w:topLinePunct w:val="0"/>
        <w:bidi w:val="0"/>
        <w:spacing w:beforeLines="0" w:afterLines="0"/>
        <w:rPr>
          <w:rFonts w:hint="eastAsia"/>
          <w:color w:val="auto"/>
          <w:highlight w:val="none"/>
        </w:rPr>
      </w:pPr>
      <w:r>
        <w:rPr>
          <w:rFonts w:hint="eastAsia"/>
          <w:color w:val="auto"/>
          <w:highlight w:val="none"/>
        </w:rPr>
        <w:t>说明：根据评审标准要求提供相关证明材料。</w:t>
      </w:r>
    </w:p>
    <w:p w14:paraId="3482A61D">
      <w:pPr>
        <w:keepNext w:val="0"/>
        <w:keepLines w:val="0"/>
        <w:pageBreakBefore w:val="0"/>
        <w:widowControl w:val="0"/>
        <w:kinsoku/>
        <w:wordWrap/>
        <w:overflowPunct/>
        <w:topLinePunct w:val="0"/>
        <w:bidi w:val="0"/>
        <w:spacing w:beforeLines="0" w:afterLines="0"/>
        <w:rPr>
          <w:rFonts w:hint="eastAsia"/>
          <w:color w:val="auto"/>
          <w:highlight w:val="none"/>
        </w:rPr>
      </w:pPr>
    </w:p>
    <w:p w14:paraId="56A98A7E">
      <w:pPr>
        <w:keepNext w:val="0"/>
        <w:keepLines w:val="0"/>
        <w:pageBreakBefore w:val="0"/>
        <w:widowControl w:val="0"/>
        <w:kinsoku/>
        <w:wordWrap/>
        <w:overflowPunct/>
        <w:topLinePunct w:val="0"/>
        <w:bidi w:val="0"/>
        <w:spacing w:beforeLines="0" w:afterLines="0"/>
        <w:rPr>
          <w:rFonts w:hint="eastAsia"/>
          <w:color w:val="auto"/>
          <w:highlight w:val="none"/>
        </w:rPr>
      </w:pPr>
    </w:p>
    <w:p w14:paraId="4F8DAA4B">
      <w:pPr>
        <w:keepNext w:val="0"/>
        <w:keepLines w:val="0"/>
        <w:pageBreakBefore w:val="0"/>
        <w:widowControl w:val="0"/>
        <w:kinsoku/>
        <w:wordWrap/>
        <w:overflowPunct/>
        <w:topLinePunct w:val="0"/>
        <w:bidi w:val="0"/>
        <w:spacing w:beforeLines="0" w:afterLines="0"/>
        <w:rPr>
          <w:rFonts w:hint="eastAsia"/>
          <w:color w:val="auto"/>
          <w:highlight w:val="none"/>
        </w:rPr>
      </w:pPr>
    </w:p>
    <w:p w14:paraId="33811B3C">
      <w:pPr>
        <w:pStyle w:val="19"/>
        <w:keepNext w:val="0"/>
        <w:keepLines w:val="0"/>
        <w:pageBreakBefore w:val="0"/>
        <w:widowControl w:val="0"/>
        <w:kinsoku/>
        <w:wordWrap/>
        <w:overflowPunct/>
        <w:topLinePunct w:val="0"/>
        <w:bidi w:val="0"/>
        <w:spacing w:beforeLines="0" w:afterLines="0"/>
        <w:rPr>
          <w:rFonts w:hint="eastAsia"/>
          <w:color w:val="auto"/>
          <w:highlight w:val="none"/>
        </w:rPr>
      </w:pPr>
    </w:p>
    <w:bookmarkEnd w:id="250"/>
    <w:bookmarkEnd w:id="251"/>
    <w:bookmarkEnd w:id="252"/>
    <w:bookmarkEnd w:id="253"/>
    <w:bookmarkEnd w:id="254"/>
    <w:bookmarkEnd w:id="255"/>
    <w:bookmarkEnd w:id="256"/>
    <w:bookmarkEnd w:id="257"/>
    <w:bookmarkEnd w:id="258"/>
    <w:bookmarkEnd w:id="259"/>
    <w:p w14:paraId="2E748FF1">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60" w:name="_Toc5860"/>
      <w:bookmarkStart w:id="261" w:name="_Toc104160539"/>
      <w:bookmarkStart w:id="262" w:name="_Toc103033247"/>
      <w:bookmarkStart w:id="263" w:name="_Toc104040719"/>
      <w:bookmarkStart w:id="264" w:name="_Toc104160541"/>
      <w:bookmarkStart w:id="265" w:name="_Toc104040721"/>
      <w:bookmarkStart w:id="266" w:name="_Toc103033254"/>
      <w:r>
        <w:rPr>
          <w:rFonts w:hint="eastAsia" w:ascii="宋体" w:hAnsi="宋体" w:eastAsia="宋体"/>
          <w:color w:val="auto"/>
          <w:sz w:val="24"/>
          <w:szCs w:val="24"/>
          <w:highlight w:val="none"/>
        </w:rPr>
        <w:t>管理体系认证</w:t>
      </w:r>
      <w:bookmarkEnd w:id="260"/>
    </w:p>
    <w:p w14:paraId="3EAD0710">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2CD69270">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p>
    <w:p w14:paraId="5F155D4D">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p>
    <w:p w14:paraId="0C90D4E0">
      <w:pPr>
        <w:rPr>
          <w:rFonts w:hint="eastAsia"/>
          <w:color w:val="auto"/>
          <w:highlight w:val="none"/>
        </w:rPr>
      </w:pPr>
    </w:p>
    <w:p w14:paraId="3FCAE02F">
      <w:pPr>
        <w:rPr>
          <w:rFonts w:hint="eastAsia"/>
          <w:color w:val="auto"/>
          <w:highlight w:val="none"/>
        </w:rPr>
      </w:pPr>
    </w:p>
    <w:p w14:paraId="43BF20F3">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67" w:name="_Toc26237"/>
      <w:r>
        <w:rPr>
          <w:rFonts w:hint="eastAsia" w:ascii="宋体" w:hAnsi="宋体" w:eastAsia="宋体"/>
          <w:color w:val="auto"/>
          <w:sz w:val="24"/>
          <w:szCs w:val="24"/>
          <w:highlight w:val="none"/>
        </w:rPr>
        <w:t>拟投入人员配置情况</w:t>
      </w:r>
      <w:bookmarkEnd w:id="261"/>
      <w:bookmarkEnd w:id="262"/>
      <w:bookmarkEnd w:id="263"/>
      <w:bookmarkEnd w:id="267"/>
    </w:p>
    <w:p w14:paraId="20599183">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6577072D">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44700D8E">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555A30D8">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sectPr>
          <w:headerReference r:id="rId16" w:type="first"/>
          <w:pgSz w:w="11906" w:h="16838"/>
          <w:pgMar w:top="1134" w:right="1134" w:bottom="1134" w:left="1134" w:header="426" w:footer="992" w:gutter="0"/>
          <w:paperSrc w:first="7"/>
          <w:pgNumType w:fmt="decimal"/>
          <w:cols w:space="0" w:num="1"/>
          <w:titlePg/>
          <w:rtlGutter w:val="0"/>
          <w:docGrid w:linePitch="312" w:charSpace="0"/>
        </w:sectPr>
      </w:pPr>
    </w:p>
    <w:p w14:paraId="4B364A39">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68" w:name="_Toc3789"/>
      <w:r>
        <w:rPr>
          <w:rFonts w:hint="eastAsia" w:ascii="宋体" w:hAnsi="宋体" w:eastAsia="宋体"/>
          <w:color w:val="auto"/>
          <w:sz w:val="24"/>
          <w:szCs w:val="24"/>
          <w:highlight w:val="none"/>
        </w:rPr>
        <w:t>项目总体实施方案</w:t>
      </w:r>
      <w:bookmarkEnd w:id="268"/>
    </w:p>
    <w:p w14:paraId="5EA2B3BB">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7D52BD50">
      <w:pPr>
        <w:rPr>
          <w:rFonts w:hint="eastAsia"/>
          <w:color w:val="auto"/>
          <w:highlight w:val="none"/>
        </w:rPr>
      </w:pPr>
    </w:p>
    <w:p w14:paraId="379354B9">
      <w:pPr>
        <w:rPr>
          <w:rFonts w:hint="eastAsia"/>
          <w:color w:val="auto"/>
          <w:highlight w:val="none"/>
        </w:rPr>
      </w:pPr>
    </w:p>
    <w:p w14:paraId="78FB8CD1">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69" w:name="_Toc30485"/>
      <w:r>
        <w:rPr>
          <w:rFonts w:hint="eastAsia" w:ascii="宋体" w:hAnsi="宋体" w:eastAsia="宋体"/>
          <w:color w:val="auto"/>
          <w:sz w:val="24"/>
          <w:szCs w:val="24"/>
          <w:highlight w:val="none"/>
        </w:rPr>
        <w:t>施工进度及工期保证措施</w:t>
      </w:r>
      <w:bookmarkEnd w:id="269"/>
    </w:p>
    <w:p w14:paraId="4D13EA97">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13359E30">
      <w:pPr>
        <w:rPr>
          <w:rFonts w:hint="eastAsia"/>
          <w:color w:val="auto"/>
          <w:highlight w:val="none"/>
        </w:rPr>
      </w:pPr>
    </w:p>
    <w:p w14:paraId="2A40747B">
      <w:pPr>
        <w:rPr>
          <w:rFonts w:hint="eastAsia"/>
          <w:color w:val="auto"/>
          <w:highlight w:val="none"/>
        </w:rPr>
      </w:pPr>
    </w:p>
    <w:p w14:paraId="0685E825">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0" w:name="_Toc19487"/>
      <w:r>
        <w:rPr>
          <w:rFonts w:hint="eastAsia" w:ascii="宋体" w:hAnsi="宋体" w:eastAsia="宋体"/>
          <w:color w:val="auto"/>
          <w:sz w:val="24"/>
          <w:szCs w:val="24"/>
          <w:highlight w:val="none"/>
        </w:rPr>
        <w:t>工程质量保障措施</w:t>
      </w:r>
      <w:bookmarkEnd w:id="270"/>
    </w:p>
    <w:p w14:paraId="559E07EB">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72C80663">
      <w:pPr>
        <w:rPr>
          <w:rFonts w:hint="eastAsia"/>
          <w:color w:val="auto"/>
          <w:highlight w:val="none"/>
        </w:rPr>
      </w:pPr>
    </w:p>
    <w:p w14:paraId="3CF8BA2C">
      <w:pPr>
        <w:rPr>
          <w:rFonts w:hint="eastAsia"/>
          <w:color w:val="auto"/>
          <w:highlight w:val="none"/>
        </w:rPr>
      </w:pPr>
    </w:p>
    <w:p w14:paraId="77AA439A">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1" w:name="_Toc23118"/>
      <w:r>
        <w:rPr>
          <w:rFonts w:hint="eastAsia" w:ascii="宋体" w:hAnsi="宋体" w:eastAsia="宋体"/>
          <w:color w:val="auto"/>
          <w:sz w:val="24"/>
          <w:szCs w:val="24"/>
          <w:highlight w:val="none"/>
        </w:rPr>
        <w:t>售后服务及保修方案</w:t>
      </w:r>
      <w:bookmarkEnd w:id="271"/>
    </w:p>
    <w:p w14:paraId="49847ADE">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531E573C">
      <w:pPr>
        <w:rPr>
          <w:rFonts w:hint="eastAsia"/>
          <w:color w:val="auto"/>
          <w:highlight w:val="none"/>
        </w:rPr>
      </w:pPr>
    </w:p>
    <w:p w14:paraId="1AABA995">
      <w:pPr>
        <w:rPr>
          <w:rFonts w:hint="eastAsia"/>
          <w:color w:val="auto"/>
          <w:highlight w:val="none"/>
        </w:rPr>
      </w:pPr>
    </w:p>
    <w:p w14:paraId="051936A6">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2" w:name="_Toc8970"/>
      <w:r>
        <w:rPr>
          <w:rFonts w:hint="eastAsia" w:ascii="宋体" w:hAnsi="宋体" w:eastAsia="宋体"/>
          <w:color w:val="auto"/>
          <w:sz w:val="24"/>
          <w:szCs w:val="24"/>
          <w:highlight w:val="none"/>
        </w:rPr>
        <w:t>项目安全施工方案</w:t>
      </w:r>
      <w:bookmarkEnd w:id="272"/>
    </w:p>
    <w:p w14:paraId="49381CE5">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2B1EED93">
      <w:pPr>
        <w:rPr>
          <w:rFonts w:hint="eastAsia"/>
          <w:color w:val="auto"/>
          <w:highlight w:val="none"/>
        </w:rPr>
      </w:pPr>
    </w:p>
    <w:p w14:paraId="38150DC3">
      <w:pPr>
        <w:rPr>
          <w:rFonts w:hint="eastAsia"/>
          <w:color w:val="auto"/>
          <w:highlight w:val="none"/>
        </w:rPr>
      </w:pPr>
    </w:p>
    <w:p w14:paraId="7275DFEA">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3" w:name="_Toc23917"/>
      <w:r>
        <w:rPr>
          <w:rFonts w:hint="eastAsia" w:ascii="宋体" w:hAnsi="宋体" w:eastAsia="宋体"/>
          <w:color w:val="auto"/>
          <w:sz w:val="24"/>
          <w:szCs w:val="24"/>
          <w:highlight w:val="none"/>
        </w:rPr>
        <w:t>应急抢修方案</w:t>
      </w:r>
      <w:bookmarkEnd w:id="273"/>
    </w:p>
    <w:p w14:paraId="49F1875F">
      <w:pPr>
        <w:keepNext w:val="0"/>
        <w:keepLines w:val="0"/>
        <w:pageBreakBefore w:val="0"/>
        <w:widowControl w:val="0"/>
        <w:kinsoku/>
        <w:wordWrap/>
        <w:overflowPunct/>
        <w:topLinePunct w:val="0"/>
        <w:bidi w:val="0"/>
        <w:spacing w:beforeLines="0" w:afterLines="0"/>
        <w:rPr>
          <w:rFonts w:hint="eastAsia" w:cs="宋体"/>
          <w:i/>
          <w:iCs/>
          <w:color w:val="auto"/>
          <w:szCs w:val="21"/>
          <w:highlight w:val="none"/>
        </w:rPr>
      </w:pPr>
      <w:r>
        <w:rPr>
          <w:rFonts w:hint="eastAsia" w:cs="宋体"/>
          <w:i/>
          <w:iCs/>
          <w:color w:val="auto"/>
          <w:szCs w:val="21"/>
          <w:highlight w:val="none"/>
        </w:rPr>
        <w:t>（按照采购文件评审标准提供相关材料。）</w:t>
      </w:r>
    </w:p>
    <w:p w14:paraId="62397506">
      <w:pPr>
        <w:rPr>
          <w:rFonts w:hint="eastAsia"/>
          <w:color w:val="auto"/>
          <w:highlight w:val="none"/>
        </w:rPr>
      </w:pPr>
    </w:p>
    <w:p w14:paraId="606C1255">
      <w:pPr>
        <w:rPr>
          <w:rFonts w:hint="eastAsia"/>
          <w:color w:val="auto"/>
          <w:highlight w:val="none"/>
        </w:rPr>
      </w:pPr>
    </w:p>
    <w:p w14:paraId="03932297">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4" w:name="_Toc25907"/>
      <w:r>
        <w:rPr>
          <w:rFonts w:hint="eastAsia" w:ascii="宋体" w:hAnsi="宋体" w:eastAsia="宋体"/>
          <w:color w:val="auto"/>
          <w:sz w:val="24"/>
          <w:szCs w:val="24"/>
          <w:highlight w:val="none"/>
        </w:rPr>
        <w:t>其它重要事项说明及承诺</w:t>
      </w:r>
      <w:bookmarkEnd w:id="264"/>
      <w:bookmarkEnd w:id="265"/>
      <w:bookmarkEnd w:id="266"/>
      <w:bookmarkEnd w:id="274"/>
    </w:p>
    <w:p w14:paraId="7DA23336">
      <w:pPr>
        <w:keepNext w:val="0"/>
        <w:keepLines w:val="0"/>
        <w:pageBreakBefore w:val="0"/>
        <w:widowControl w:val="0"/>
        <w:kinsoku/>
        <w:wordWrap/>
        <w:overflowPunct/>
        <w:topLinePunct w:val="0"/>
        <w:bidi w:val="0"/>
        <w:spacing w:beforeLines="0" w:afterLines="0"/>
        <w:rPr>
          <w:rFonts w:hint="eastAsia"/>
          <w:color w:val="auto"/>
          <w:highlight w:val="none"/>
        </w:rPr>
      </w:pPr>
      <w:r>
        <w:rPr>
          <w:rFonts w:hint="eastAsia" w:cs="宋体"/>
          <w:i/>
          <w:iCs/>
          <w:color w:val="auto"/>
          <w:szCs w:val="21"/>
          <w:highlight w:val="none"/>
        </w:rPr>
        <w:t>(如有，请扼要叙述，格式自拟）</w:t>
      </w:r>
    </w:p>
    <w:p w14:paraId="685F2628">
      <w:pPr>
        <w:keepNext w:val="0"/>
        <w:keepLines w:val="0"/>
        <w:pageBreakBefore w:val="0"/>
        <w:widowControl w:val="0"/>
        <w:kinsoku/>
        <w:wordWrap/>
        <w:overflowPunct/>
        <w:topLinePunct w:val="0"/>
        <w:bidi w:val="0"/>
        <w:spacing w:beforeLines="0" w:afterLines="0"/>
        <w:jc w:val="right"/>
        <w:rPr>
          <w:rFonts w:hint="eastAsia"/>
          <w:b/>
          <w:bCs/>
          <w:color w:val="auto"/>
          <w:sz w:val="24"/>
          <w:highlight w:val="none"/>
        </w:rPr>
      </w:pPr>
    </w:p>
    <w:p w14:paraId="2F65A311">
      <w:pPr>
        <w:keepNext w:val="0"/>
        <w:keepLines w:val="0"/>
        <w:pageBreakBefore w:val="0"/>
        <w:widowControl w:val="0"/>
        <w:kinsoku/>
        <w:wordWrap/>
        <w:overflowPunct/>
        <w:topLinePunct w:val="0"/>
        <w:bidi w:val="0"/>
        <w:spacing w:beforeLines="0" w:afterLines="0"/>
        <w:rPr>
          <w:rFonts w:hint="eastAsia" w:cs="宋体"/>
          <w:b/>
          <w:bCs/>
          <w:color w:val="auto"/>
          <w:sz w:val="28"/>
          <w:szCs w:val="22"/>
          <w:highlight w:val="none"/>
        </w:rPr>
      </w:pPr>
      <w:r>
        <w:rPr>
          <w:rFonts w:cs="宋体"/>
          <w:b/>
          <w:bCs/>
          <w:color w:val="auto"/>
          <w:sz w:val="28"/>
          <w:szCs w:val="22"/>
          <w:highlight w:val="none"/>
        </w:rPr>
        <w:br w:type="page"/>
      </w:r>
    </w:p>
    <w:p w14:paraId="6B13EAF9">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5" w:name="_Toc2817"/>
      <w:r>
        <w:rPr>
          <w:rFonts w:hint="eastAsia" w:ascii="宋体" w:hAnsi="宋体" w:eastAsia="宋体"/>
          <w:color w:val="auto"/>
          <w:sz w:val="24"/>
          <w:szCs w:val="24"/>
          <w:highlight w:val="none"/>
        </w:rPr>
        <w:t>采购代理服务费支付承诺书</w:t>
      </w:r>
      <w:bookmarkEnd w:id="275"/>
    </w:p>
    <w:p w14:paraId="42AEBBA8">
      <w:pPr>
        <w:pStyle w:val="19"/>
        <w:keepNext w:val="0"/>
        <w:keepLines w:val="0"/>
        <w:pageBreakBefore w:val="0"/>
        <w:widowControl w:val="0"/>
        <w:kinsoku/>
        <w:wordWrap/>
        <w:overflowPunct/>
        <w:topLinePunct w:val="0"/>
        <w:bidi w:val="0"/>
        <w:spacing w:before="0" w:beforeLines="0" w:afterLines="0"/>
        <w:jc w:val="left"/>
        <w:rPr>
          <w:rFonts w:hint="eastAsia"/>
          <w:i/>
          <w:iCs/>
          <w:color w:val="auto"/>
          <w:szCs w:val="20"/>
          <w:highlight w:val="none"/>
        </w:rPr>
      </w:pPr>
      <w:r>
        <w:rPr>
          <w:rFonts w:hint="eastAsia"/>
          <w:i/>
          <w:iCs/>
          <w:color w:val="auto"/>
          <w:szCs w:val="20"/>
          <w:highlight w:val="none"/>
        </w:rPr>
        <w:t>（若采购人支付代理服务费，则无需出具此承诺书）</w:t>
      </w:r>
    </w:p>
    <w:p w14:paraId="6E6DD60D">
      <w:pPr>
        <w:pStyle w:val="358"/>
        <w:keepNext w:val="0"/>
        <w:keepLines w:val="0"/>
        <w:pageBreakBefore w:val="0"/>
        <w:widowControl w:val="0"/>
        <w:kinsoku/>
        <w:wordWrap/>
        <w:overflowPunct/>
        <w:topLinePunct w:val="0"/>
        <w:autoSpaceDE/>
        <w:autoSpaceDN/>
        <w:bidi w:val="0"/>
        <w:spacing w:beforeLines="0" w:afterLines="0"/>
        <w:ind w:firstLine="0" w:firstLineChars="0"/>
        <w:jc w:val="center"/>
        <w:rPr>
          <w:rFonts w:hint="eastAsia"/>
          <w:b/>
          <w:bCs/>
          <w:color w:val="auto"/>
          <w:sz w:val="28"/>
          <w:szCs w:val="28"/>
          <w:highlight w:val="none"/>
          <w:lang w:eastAsia="zh-CN"/>
        </w:rPr>
      </w:pPr>
      <w:r>
        <w:rPr>
          <w:rFonts w:hint="eastAsia"/>
          <w:b/>
          <w:bCs/>
          <w:color w:val="auto"/>
          <w:sz w:val="28"/>
          <w:szCs w:val="28"/>
          <w:highlight w:val="none"/>
          <w:lang w:eastAsia="zh-CN"/>
        </w:rPr>
        <w:t>采购代理服务费支付承诺书</w:t>
      </w:r>
    </w:p>
    <w:p w14:paraId="025510BB">
      <w:pPr>
        <w:pStyle w:val="47"/>
        <w:keepNext w:val="0"/>
        <w:keepLines w:val="0"/>
        <w:pageBreakBefore w:val="0"/>
        <w:widowControl w:val="0"/>
        <w:kinsoku/>
        <w:wordWrap/>
        <w:overflowPunct/>
        <w:topLinePunct w:val="0"/>
        <w:bidi w:val="0"/>
        <w:spacing w:beforeLines="0" w:after="0" w:afterLines="0" w:line="360" w:lineRule="auto"/>
        <w:ind w:left="0" w:leftChars="0" w:firstLine="0" w:firstLineChars="0"/>
        <w:rPr>
          <w:rFonts w:hint="eastAsia"/>
          <w:color w:val="auto"/>
          <w:sz w:val="24"/>
          <w:highlight w:val="none"/>
        </w:rPr>
      </w:pPr>
      <w:r>
        <w:rPr>
          <w:rFonts w:hint="eastAsia"/>
          <w:color w:val="auto"/>
          <w:sz w:val="24"/>
          <w:highlight w:val="none"/>
        </w:rPr>
        <w:t>致：公诚管理咨询有限公司</w:t>
      </w:r>
    </w:p>
    <w:p w14:paraId="5745A7B5">
      <w:pPr>
        <w:pStyle w:val="47"/>
        <w:keepNext w:val="0"/>
        <w:keepLines w:val="0"/>
        <w:pageBreakBefore w:val="0"/>
        <w:widowControl w:val="0"/>
        <w:kinsoku/>
        <w:wordWrap/>
        <w:overflowPunct/>
        <w:topLinePunct w:val="0"/>
        <w:bidi w:val="0"/>
        <w:spacing w:beforeLines="0" w:after="0" w:afterLines="0" w:line="360" w:lineRule="auto"/>
        <w:ind w:left="0" w:leftChars="0" w:firstLine="480"/>
        <w:rPr>
          <w:rFonts w:hint="eastAsia"/>
          <w:color w:val="auto"/>
          <w:sz w:val="24"/>
          <w:highlight w:val="none"/>
        </w:rPr>
      </w:pPr>
      <w:r>
        <w:rPr>
          <w:rFonts w:hint="eastAsia"/>
          <w:color w:val="auto"/>
          <w:sz w:val="24"/>
          <w:highlight w:val="none"/>
        </w:rPr>
        <w:t>我方</w:t>
      </w:r>
      <w:r>
        <w:rPr>
          <w:color w:val="auto"/>
          <w:sz w:val="24"/>
          <w:highlight w:val="none"/>
        </w:rPr>
        <w:t>作为投标</w:t>
      </w:r>
      <w:r>
        <w:rPr>
          <w:rFonts w:hint="eastAsia"/>
          <w:color w:val="auto"/>
          <w:sz w:val="24"/>
          <w:highlight w:val="none"/>
        </w:rPr>
        <w:t>（响应）供应商参加贵公司</w:t>
      </w:r>
      <w:r>
        <w:rPr>
          <w:color w:val="auto"/>
          <w:sz w:val="24"/>
          <w:highlight w:val="none"/>
        </w:rPr>
        <w:t>（公诚管理咨询有限公司）</w:t>
      </w:r>
      <w:r>
        <w:rPr>
          <w:rFonts w:hint="eastAsia"/>
          <w:color w:val="auto"/>
          <w:sz w:val="24"/>
          <w:highlight w:val="none"/>
        </w:rPr>
        <w:t>组织的</w:t>
      </w:r>
      <w:r>
        <w:rPr>
          <w:color w:val="auto"/>
          <w:sz w:val="24"/>
          <w:highlight w:val="none"/>
          <w:u w:val="single"/>
        </w:rPr>
        <w:t xml:space="preserve">  </w:t>
      </w:r>
      <w:r>
        <w:rPr>
          <w:rFonts w:hint="eastAsia"/>
          <w:color w:val="auto"/>
          <w:sz w:val="24"/>
          <w:highlight w:val="none"/>
          <w:u w:val="single"/>
          <w:lang w:eastAsia="zh-CN"/>
        </w:rPr>
        <w:t xml:space="preserve">中华人民共和国横琴出入境边防检查站2026年政府采购限额标准以下零星修缮工程 </w:t>
      </w:r>
      <w:r>
        <w:rPr>
          <w:color w:val="auto"/>
          <w:sz w:val="24"/>
          <w:highlight w:val="none"/>
        </w:rPr>
        <w:t>（项目编号：</w:t>
      </w:r>
      <w:r>
        <w:rPr>
          <w:color w:val="auto"/>
          <w:sz w:val="24"/>
          <w:highlight w:val="none"/>
          <w:u w:val="single"/>
        </w:rPr>
        <w:t xml:space="preserve">      </w:t>
      </w:r>
      <w:r>
        <w:rPr>
          <w:color w:val="auto"/>
          <w:sz w:val="24"/>
          <w:highlight w:val="none"/>
        </w:rPr>
        <w:t>）</w:t>
      </w:r>
      <w:r>
        <w:rPr>
          <w:rFonts w:hint="eastAsia"/>
          <w:color w:val="auto"/>
          <w:sz w:val="24"/>
          <w:highlight w:val="none"/>
        </w:rPr>
        <w:t>采购活动</w:t>
      </w:r>
      <w:r>
        <w:rPr>
          <w:color w:val="auto"/>
          <w:sz w:val="24"/>
          <w:highlight w:val="none"/>
        </w:rPr>
        <w:t>，若在本项目</w:t>
      </w:r>
      <w:r>
        <w:rPr>
          <w:rFonts w:hint="eastAsia"/>
          <w:color w:val="auto"/>
          <w:sz w:val="24"/>
          <w:highlight w:val="none"/>
        </w:rPr>
        <w:t>中获得</w:t>
      </w:r>
      <w:r>
        <w:rPr>
          <w:color w:val="auto"/>
          <w:sz w:val="24"/>
          <w:highlight w:val="none"/>
        </w:rPr>
        <w:t>中标</w:t>
      </w:r>
      <w:r>
        <w:rPr>
          <w:rFonts w:hint="eastAsia"/>
          <w:color w:val="auto"/>
          <w:sz w:val="24"/>
          <w:highlight w:val="none"/>
        </w:rPr>
        <w:t>（成交）资格</w:t>
      </w:r>
      <w:r>
        <w:rPr>
          <w:color w:val="auto"/>
          <w:sz w:val="24"/>
          <w:highlight w:val="none"/>
        </w:rPr>
        <w:t>，</w:t>
      </w:r>
      <w:r>
        <w:rPr>
          <w:rFonts w:hint="eastAsia"/>
          <w:color w:val="auto"/>
          <w:sz w:val="24"/>
          <w:highlight w:val="none"/>
        </w:rPr>
        <w:t>将</w:t>
      </w:r>
      <w:r>
        <w:rPr>
          <w:color w:val="auto"/>
          <w:sz w:val="24"/>
          <w:highlight w:val="none"/>
        </w:rPr>
        <w:t>同意支付采购代理服务费。</w:t>
      </w:r>
    </w:p>
    <w:p w14:paraId="4366E454">
      <w:pPr>
        <w:pStyle w:val="47"/>
        <w:keepNext w:val="0"/>
        <w:keepLines w:val="0"/>
        <w:pageBreakBefore w:val="0"/>
        <w:widowControl w:val="0"/>
        <w:kinsoku/>
        <w:wordWrap/>
        <w:overflowPunct/>
        <w:topLinePunct w:val="0"/>
        <w:bidi w:val="0"/>
        <w:spacing w:beforeLines="0" w:after="0" w:afterLines="0" w:line="360" w:lineRule="auto"/>
        <w:ind w:left="0" w:leftChars="0" w:firstLine="480"/>
        <w:rPr>
          <w:rFonts w:hint="eastAsia"/>
          <w:color w:val="auto"/>
          <w:sz w:val="24"/>
          <w:highlight w:val="none"/>
        </w:rPr>
      </w:pPr>
      <w:r>
        <w:rPr>
          <w:rFonts w:hint="eastAsia"/>
          <w:color w:val="auto"/>
          <w:sz w:val="24"/>
          <w:highlight w:val="none"/>
        </w:rPr>
        <w:t>我方保证在贵公司发出《中标（成交）通知书》后</w:t>
      </w:r>
      <w:r>
        <w:rPr>
          <w:color w:val="auto"/>
          <w:sz w:val="24"/>
          <w:highlight w:val="none"/>
        </w:rPr>
        <w:t>3个工作日内向贵公司缴纳本采购文件</w:t>
      </w:r>
      <w:r>
        <w:rPr>
          <w:rFonts w:hint="eastAsia"/>
          <w:color w:val="auto"/>
          <w:sz w:val="24"/>
          <w:highlight w:val="none"/>
        </w:rPr>
        <w:t>规定</w:t>
      </w:r>
      <w:r>
        <w:rPr>
          <w:color w:val="auto"/>
          <w:sz w:val="24"/>
          <w:highlight w:val="none"/>
        </w:rPr>
        <w:t>的采购代理服务费。</w:t>
      </w:r>
    </w:p>
    <w:p w14:paraId="79A90279">
      <w:pPr>
        <w:pStyle w:val="47"/>
        <w:keepNext w:val="0"/>
        <w:keepLines w:val="0"/>
        <w:pageBreakBefore w:val="0"/>
        <w:widowControl w:val="0"/>
        <w:kinsoku/>
        <w:wordWrap/>
        <w:overflowPunct/>
        <w:topLinePunct w:val="0"/>
        <w:bidi w:val="0"/>
        <w:spacing w:beforeLines="0" w:after="0" w:afterLines="0" w:line="360" w:lineRule="auto"/>
        <w:ind w:left="0" w:leftChars="0" w:firstLine="480"/>
        <w:rPr>
          <w:rFonts w:hint="eastAsia"/>
          <w:color w:val="auto"/>
          <w:sz w:val="24"/>
          <w:highlight w:val="none"/>
        </w:rPr>
      </w:pPr>
      <w:r>
        <w:rPr>
          <w:rFonts w:hint="eastAsia"/>
          <w:color w:val="auto"/>
          <w:sz w:val="24"/>
          <w:highlight w:val="none"/>
        </w:rPr>
        <w:t>若我方未按前述期限支付采购代理服务费，贵公司有权直接在应付我方任何一笔款项中直接扣除。因前述事项发生争议，我方同意将争议提交北海国际仲裁院仲裁解决。</w:t>
      </w:r>
    </w:p>
    <w:p w14:paraId="63914272">
      <w:pPr>
        <w:pStyle w:val="47"/>
        <w:keepNext w:val="0"/>
        <w:keepLines w:val="0"/>
        <w:pageBreakBefore w:val="0"/>
        <w:widowControl w:val="0"/>
        <w:kinsoku/>
        <w:wordWrap/>
        <w:overflowPunct/>
        <w:topLinePunct w:val="0"/>
        <w:bidi w:val="0"/>
        <w:spacing w:beforeLines="0" w:after="0" w:afterLines="0" w:line="360" w:lineRule="auto"/>
        <w:ind w:left="0" w:leftChars="0" w:firstLine="480"/>
        <w:rPr>
          <w:rFonts w:hint="eastAsia"/>
          <w:color w:val="auto"/>
          <w:sz w:val="24"/>
          <w:highlight w:val="none"/>
        </w:rPr>
      </w:pPr>
      <w:r>
        <w:rPr>
          <w:rFonts w:hint="eastAsia"/>
          <w:color w:val="auto"/>
          <w:sz w:val="24"/>
          <w:highlight w:val="none"/>
        </w:rPr>
        <w:t>特此承诺！</w:t>
      </w:r>
    </w:p>
    <w:p w14:paraId="109F8148">
      <w:pPr>
        <w:pStyle w:val="47"/>
        <w:keepNext w:val="0"/>
        <w:keepLines w:val="0"/>
        <w:pageBreakBefore w:val="0"/>
        <w:widowControl w:val="0"/>
        <w:kinsoku/>
        <w:wordWrap/>
        <w:overflowPunct/>
        <w:topLinePunct w:val="0"/>
        <w:bidi w:val="0"/>
        <w:spacing w:beforeLines="0" w:after="0" w:afterLines="0" w:line="360" w:lineRule="auto"/>
        <w:ind w:left="0" w:leftChars="0" w:firstLine="480"/>
        <w:rPr>
          <w:rFonts w:hint="eastAsia"/>
          <w:color w:val="auto"/>
          <w:sz w:val="24"/>
          <w:highlight w:val="none"/>
        </w:rPr>
      </w:pPr>
    </w:p>
    <w:p w14:paraId="160688DC">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kern w:val="0"/>
          <w:highlight w:val="none"/>
          <w:lang w:eastAsia="zh-CN"/>
        </w:rPr>
        <w:t>供应商</w:t>
      </w:r>
      <w:r>
        <w:rPr>
          <w:rFonts w:hint="eastAsia"/>
          <w:color w:val="auto"/>
          <w:highlight w:val="none"/>
          <w:lang w:eastAsia="zh-CN"/>
        </w:rPr>
        <w:t>法定代表人或其授权委托人（签字或盖章）：</w:t>
      </w:r>
      <w:r>
        <w:rPr>
          <w:color w:val="auto"/>
          <w:highlight w:val="none"/>
          <w:u w:val="single"/>
          <w:lang w:eastAsia="zh-CN"/>
        </w:rPr>
        <w:t xml:space="preserve">                    .</w:t>
      </w:r>
    </w:p>
    <w:p w14:paraId="71CD1EA0">
      <w:pPr>
        <w:pStyle w:val="358"/>
        <w:keepNext w:val="0"/>
        <w:keepLines w:val="0"/>
        <w:pageBreakBefore w:val="0"/>
        <w:widowControl w:val="0"/>
        <w:kinsoku/>
        <w:wordWrap/>
        <w:overflowPunct/>
        <w:topLinePunct w:val="0"/>
        <w:autoSpaceDE/>
        <w:autoSpaceDN/>
        <w:bidi w:val="0"/>
        <w:spacing w:beforeLines="0" w:afterLines="0" w:line="360" w:lineRule="auto"/>
        <w:ind w:firstLine="0" w:firstLineChars="0"/>
        <w:jc w:val="right"/>
        <w:rPr>
          <w:rFonts w:hint="eastAsia"/>
          <w:color w:val="auto"/>
          <w:highlight w:val="none"/>
          <w:lang w:eastAsia="zh-CN"/>
        </w:rPr>
      </w:pPr>
      <w:r>
        <w:rPr>
          <w:rFonts w:hint="eastAsia"/>
          <w:color w:val="auto"/>
          <w:highlight w:val="none"/>
          <w:lang w:eastAsia="zh-CN"/>
        </w:rPr>
        <w:t>供应商名称（盖章）：</w:t>
      </w:r>
      <w:r>
        <w:rPr>
          <w:color w:val="auto"/>
          <w:highlight w:val="none"/>
          <w:u w:val="single"/>
          <w:lang w:eastAsia="zh-CN"/>
        </w:rPr>
        <w:t xml:space="preserve">                    .</w:t>
      </w:r>
    </w:p>
    <w:p w14:paraId="38125F60">
      <w:pPr>
        <w:pStyle w:val="358"/>
        <w:keepNext w:val="0"/>
        <w:keepLines w:val="0"/>
        <w:pageBreakBefore w:val="0"/>
        <w:widowControl w:val="0"/>
        <w:kinsoku/>
        <w:wordWrap/>
        <w:overflowPunct/>
        <w:topLinePunct w:val="0"/>
        <w:autoSpaceDE/>
        <w:autoSpaceDN/>
        <w:bidi w:val="0"/>
        <w:spacing w:beforeLines="0" w:afterLines="0" w:line="360" w:lineRule="auto"/>
        <w:ind w:firstLine="4960" w:firstLineChars="2067"/>
        <w:jc w:val="right"/>
        <w:rPr>
          <w:rFonts w:hint="eastAsia"/>
          <w:color w:val="auto"/>
          <w:highlight w:val="none"/>
        </w:rPr>
      </w:pPr>
      <w:r>
        <w:rPr>
          <w:rFonts w:hint="eastAsia"/>
          <w:color w:val="auto"/>
          <w:highlight w:val="none"/>
        </w:rPr>
        <w:t>日期：</w:t>
      </w:r>
      <w:r>
        <w:rPr>
          <w:color w:val="auto"/>
          <w:highlight w:val="none"/>
          <w:u w:val="single"/>
        </w:rPr>
        <w:t xml:space="preserve">     </w:t>
      </w:r>
      <w:r>
        <w:rPr>
          <w:color w:val="auto"/>
          <w:highlight w:val="none"/>
        </w:rPr>
        <w:t>年</w:t>
      </w:r>
      <w:r>
        <w:rPr>
          <w:color w:val="auto"/>
          <w:highlight w:val="none"/>
          <w:u w:val="single"/>
        </w:rPr>
        <w:t xml:space="preserve">     </w:t>
      </w:r>
      <w:r>
        <w:rPr>
          <w:color w:val="auto"/>
          <w:highlight w:val="none"/>
        </w:rPr>
        <w:t>月</w:t>
      </w:r>
      <w:r>
        <w:rPr>
          <w:color w:val="auto"/>
          <w:highlight w:val="none"/>
          <w:u w:val="single"/>
        </w:rPr>
        <w:t xml:space="preserve">     </w:t>
      </w:r>
      <w:r>
        <w:rPr>
          <w:color w:val="auto"/>
          <w:highlight w:val="none"/>
        </w:rPr>
        <w:t>日</w:t>
      </w:r>
    </w:p>
    <w:p w14:paraId="42AD4ACE">
      <w:pPr>
        <w:pStyle w:val="19"/>
        <w:keepNext w:val="0"/>
        <w:keepLines w:val="0"/>
        <w:pageBreakBefore w:val="0"/>
        <w:widowControl w:val="0"/>
        <w:kinsoku/>
        <w:wordWrap/>
        <w:overflowPunct/>
        <w:topLinePunct w:val="0"/>
        <w:bidi w:val="0"/>
        <w:spacing w:beforeLines="0" w:afterLines="0"/>
        <w:rPr>
          <w:rFonts w:hint="eastAsia"/>
          <w:color w:val="auto"/>
          <w:highlight w:val="none"/>
        </w:rPr>
      </w:pPr>
    </w:p>
    <w:p w14:paraId="4D5EE224">
      <w:pPr>
        <w:keepNext w:val="0"/>
        <w:keepLines w:val="0"/>
        <w:pageBreakBefore w:val="0"/>
        <w:widowControl w:val="0"/>
        <w:kinsoku/>
        <w:wordWrap/>
        <w:overflowPunct/>
        <w:topLinePunct w:val="0"/>
        <w:bidi w:val="0"/>
        <w:spacing w:beforeLines="0" w:afterLines="0"/>
        <w:ind w:firstLine="480" w:firstLineChars="200"/>
        <w:jc w:val="left"/>
        <w:rPr>
          <w:rFonts w:hint="eastAsia"/>
          <w:color w:val="auto"/>
          <w:sz w:val="24"/>
          <w:highlight w:val="none"/>
        </w:rPr>
      </w:pPr>
      <w:r>
        <w:rPr>
          <w:rFonts w:hint="eastAsia"/>
          <w:color w:val="auto"/>
          <w:sz w:val="24"/>
          <w:highlight w:val="none"/>
        </w:rPr>
        <w:t>附件：</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1"/>
        <w:gridCol w:w="1864"/>
        <w:gridCol w:w="6559"/>
      </w:tblGrid>
      <w:tr w14:paraId="5B2A9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4B1E6927">
            <w:pPr>
              <w:pStyle w:val="19"/>
              <w:keepNext w:val="0"/>
              <w:keepLines w:val="0"/>
              <w:pageBreakBefore w:val="0"/>
              <w:widowControl w:val="0"/>
              <w:kinsoku/>
              <w:wordWrap/>
              <w:overflowPunct/>
              <w:topLinePunct w:val="0"/>
              <w:bidi w:val="0"/>
              <w:spacing w:beforeLines="0" w:afterLines="0" w:line="360" w:lineRule="auto"/>
              <w:jc w:val="center"/>
              <w:rPr>
                <w:rFonts w:hint="eastAsia"/>
                <w:b/>
                <w:bCs/>
                <w:color w:val="auto"/>
                <w:sz w:val="24"/>
                <w:highlight w:val="none"/>
              </w:rPr>
            </w:pPr>
            <w:r>
              <w:rPr>
                <w:rFonts w:hint="eastAsia"/>
                <w:b/>
                <w:bCs/>
                <w:color w:val="auto"/>
                <w:sz w:val="24"/>
                <w:highlight w:val="none"/>
              </w:rPr>
              <w:t>项目</w:t>
            </w:r>
          </w:p>
        </w:tc>
        <w:tc>
          <w:tcPr>
            <w:tcW w:w="3328" w:type="pct"/>
            <w:vAlign w:val="center"/>
          </w:tcPr>
          <w:p w14:paraId="5F04DEB6">
            <w:pPr>
              <w:pStyle w:val="19"/>
              <w:keepNext w:val="0"/>
              <w:keepLines w:val="0"/>
              <w:pageBreakBefore w:val="0"/>
              <w:widowControl w:val="0"/>
              <w:kinsoku/>
              <w:wordWrap/>
              <w:overflowPunct/>
              <w:topLinePunct w:val="0"/>
              <w:bidi w:val="0"/>
              <w:spacing w:beforeLines="0" w:afterLines="0" w:line="360" w:lineRule="auto"/>
              <w:jc w:val="center"/>
              <w:rPr>
                <w:rFonts w:hint="eastAsia"/>
                <w:b/>
                <w:bCs/>
                <w:color w:val="auto"/>
                <w:sz w:val="24"/>
                <w:highlight w:val="none"/>
              </w:rPr>
            </w:pPr>
            <w:r>
              <w:rPr>
                <w:rFonts w:hint="eastAsia"/>
                <w:b/>
                <w:bCs/>
                <w:color w:val="auto"/>
                <w:sz w:val="24"/>
                <w:highlight w:val="none"/>
              </w:rPr>
              <w:t>内容</w:t>
            </w:r>
          </w:p>
        </w:tc>
      </w:tr>
      <w:tr w14:paraId="68180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0EE2E35D">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 w:val="24"/>
                <w:highlight w:val="none"/>
              </w:rPr>
            </w:pPr>
            <w:r>
              <w:rPr>
                <w:rFonts w:hint="eastAsia"/>
                <w:color w:val="auto"/>
                <w:sz w:val="24"/>
                <w:highlight w:val="none"/>
              </w:rPr>
              <w:t>选择发票类型</w:t>
            </w:r>
          </w:p>
        </w:tc>
        <w:tc>
          <w:tcPr>
            <w:tcW w:w="3328" w:type="pct"/>
            <w:vAlign w:val="center"/>
          </w:tcPr>
          <w:p w14:paraId="09250340">
            <w:pPr>
              <w:pStyle w:val="19"/>
              <w:keepNext w:val="0"/>
              <w:keepLines w:val="0"/>
              <w:pageBreakBefore w:val="0"/>
              <w:widowControl w:val="0"/>
              <w:kinsoku/>
              <w:wordWrap/>
              <w:overflowPunct/>
              <w:topLinePunct w:val="0"/>
              <w:bidi w:val="0"/>
              <w:spacing w:beforeLines="0" w:afterLines="0" w:line="360" w:lineRule="auto"/>
              <w:rPr>
                <w:rFonts w:hint="eastAsia"/>
                <w:color w:val="auto"/>
                <w:sz w:val="24"/>
                <w:highlight w:val="none"/>
              </w:rPr>
            </w:pPr>
            <w:r>
              <w:rPr>
                <w:rFonts w:hint="eastAsia"/>
                <w:color w:val="auto"/>
                <w:sz w:val="24"/>
                <w:highlight w:val="none"/>
              </w:rPr>
              <w:t>□数电发票（增值税专用发票）/</w:t>
            </w:r>
            <w:r>
              <w:rPr>
                <w:color w:val="auto"/>
                <w:sz w:val="24"/>
                <w:highlight w:val="none"/>
              </w:rPr>
              <w:t xml:space="preserve"> </w:t>
            </w:r>
            <w:r>
              <w:rPr>
                <w:rFonts w:hint="eastAsia"/>
                <w:color w:val="auto"/>
                <w:sz w:val="24"/>
                <w:highlight w:val="none"/>
              </w:rPr>
              <w:t>□数电发票（普通发票）</w:t>
            </w:r>
          </w:p>
        </w:tc>
      </w:tr>
      <w:tr w14:paraId="2E6BE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restart"/>
            <w:vAlign w:val="center"/>
          </w:tcPr>
          <w:p w14:paraId="625B53AA">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 w:val="24"/>
                <w:highlight w:val="none"/>
              </w:rPr>
            </w:pPr>
            <w:r>
              <w:rPr>
                <w:rFonts w:hint="eastAsia"/>
                <w:color w:val="auto"/>
                <w:sz w:val="24"/>
                <w:highlight w:val="none"/>
              </w:rPr>
              <w:t>发票内容</w:t>
            </w:r>
          </w:p>
        </w:tc>
        <w:tc>
          <w:tcPr>
            <w:tcW w:w="946" w:type="pct"/>
            <w:vAlign w:val="center"/>
          </w:tcPr>
          <w:p w14:paraId="6CD9A3EC">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 w:val="24"/>
                <w:highlight w:val="none"/>
              </w:rPr>
            </w:pPr>
            <w:r>
              <w:rPr>
                <w:rFonts w:hint="eastAsia"/>
                <w:color w:val="auto"/>
                <w:sz w:val="24"/>
                <w:highlight w:val="none"/>
              </w:rPr>
              <w:t>名称</w:t>
            </w:r>
          </w:p>
        </w:tc>
        <w:tc>
          <w:tcPr>
            <w:tcW w:w="3328" w:type="pct"/>
            <w:vAlign w:val="center"/>
          </w:tcPr>
          <w:p w14:paraId="2AC71A12">
            <w:pPr>
              <w:pStyle w:val="19"/>
              <w:keepNext w:val="0"/>
              <w:keepLines w:val="0"/>
              <w:pageBreakBefore w:val="0"/>
              <w:widowControl w:val="0"/>
              <w:kinsoku/>
              <w:wordWrap/>
              <w:overflowPunct/>
              <w:topLinePunct w:val="0"/>
              <w:bidi w:val="0"/>
              <w:spacing w:beforeLines="0" w:afterLines="0" w:line="360" w:lineRule="auto"/>
              <w:rPr>
                <w:rFonts w:hint="eastAsia"/>
                <w:color w:val="auto"/>
                <w:sz w:val="24"/>
                <w:highlight w:val="none"/>
              </w:rPr>
            </w:pPr>
          </w:p>
        </w:tc>
      </w:tr>
      <w:tr w14:paraId="27C9A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continue"/>
            <w:vAlign w:val="center"/>
          </w:tcPr>
          <w:p w14:paraId="44563B97">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 w:val="24"/>
                <w:highlight w:val="none"/>
              </w:rPr>
            </w:pPr>
          </w:p>
        </w:tc>
        <w:tc>
          <w:tcPr>
            <w:tcW w:w="946" w:type="pct"/>
            <w:vAlign w:val="center"/>
          </w:tcPr>
          <w:p w14:paraId="699373A2">
            <w:pPr>
              <w:pStyle w:val="19"/>
              <w:keepNext w:val="0"/>
              <w:keepLines w:val="0"/>
              <w:pageBreakBefore w:val="0"/>
              <w:widowControl w:val="0"/>
              <w:kinsoku/>
              <w:wordWrap/>
              <w:overflowPunct/>
              <w:topLinePunct w:val="0"/>
              <w:bidi w:val="0"/>
              <w:spacing w:beforeLines="0" w:afterLines="0" w:line="360" w:lineRule="auto"/>
              <w:jc w:val="center"/>
              <w:rPr>
                <w:rFonts w:hint="eastAsia"/>
                <w:color w:val="auto"/>
                <w:sz w:val="24"/>
                <w:highlight w:val="none"/>
              </w:rPr>
            </w:pPr>
            <w:r>
              <w:rPr>
                <w:rFonts w:hint="eastAsia"/>
                <w:color w:val="auto"/>
                <w:sz w:val="24"/>
                <w:highlight w:val="none"/>
              </w:rPr>
              <w:t>纳税人识别号</w:t>
            </w:r>
          </w:p>
        </w:tc>
        <w:tc>
          <w:tcPr>
            <w:tcW w:w="3328" w:type="pct"/>
            <w:vAlign w:val="center"/>
          </w:tcPr>
          <w:p w14:paraId="3FC738ED">
            <w:pPr>
              <w:pStyle w:val="19"/>
              <w:keepNext w:val="0"/>
              <w:keepLines w:val="0"/>
              <w:pageBreakBefore w:val="0"/>
              <w:widowControl w:val="0"/>
              <w:kinsoku/>
              <w:wordWrap/>
              <w:overflowPunct/>
              <w:topLinePunct w:val="0"/>
              <w:bidi w:val="0"/>
              <w:spacing w:beforeLines="0" w:afterLines="0" w:line="360" w:lineRule="auto"/>
              <w:rPr>
                <w:rFonts w:hint="eastAsia"/>
                <w:color w:val="auto"/>
                <w:sz w:val="24"/>
                <w:highlight w:val="none"/>
              </w:rPr>
            </w:pPr>
          </w:p>
        </w:tc>
      </w:tr>
      <w:tr w14:paraId="3804C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36471E35">
            <w:pPr>
              <w:pStyle w:val="19"/>
              <w:keepNext w:val="0"/>
              <w:keepLines w:val="0"/>
              <w:pageBreakBefore w:val="0"/>
              <w:widowControl w:val="0"/>
              <w:kinsoku/>
              <w:wordWrap/>
              <w:overflowPunct/>
              <w:topLinePunct w:val="0"/>
              <w:bidi w:val="0"/>
              <w:spacing w:beforeLines="0" w:afterLines="0" w:line="360" w:lineRule="auto"/>
              <w:rPr>
                <w:rFonts w:hint="eastAsia"/>
                <w:color w:val="auto"/>
                <w:sz w:val="24"/>
                <w:highlight w:val="none"/>
              </w:rPr>
            </w:pPr>
            <w:r>
              <w:rPr>
                <w:color w:val="auto"/>
                <w:sz w:val="24"/>
                <w:highlight w:val="none"/>
              </w:rPr>
              <w:t>1.国家税务总局关于修改《中华人民共和国发票管理办法实施细则》的决定【https://fgk.chinatax.gov.cn/zcfgk/c100011/c5221006/content.html】-“电子发票与纸质发票的法律效力相同，任何单位和个人不得拒收。”</w:t>
            </w:r>
          </w:p>
          <w:p w14:paraId="77989FB2">
            <w:pPr>
              <w:pStyle w:val="19"/>
              <w:keepNext w:val="0"/>
              <w:keepLines w:val="0"/>
              <w:pageBreakBefore w:val="0"/>
              <w:widowControl w:val="0"/>
              <w:kinsoku/>
              <w:wordWrap/>
              <w:overflowPunct/>
              <w:topLinePunct w:val="0"/>
              <w:bidi w:val="0"/>
              <w:spacing w:beforeLines="0" w:afterLines="0" w:line="360" w:lineRule="auto"/>
              <w:rPr>
                <w:rFonts w:hint="eastAsia"/>
                <w:color w:val="auto"/>
                <w:sz w:val="24"/>
                <w:highlight w:val="none"/>
              </w:rPr>
            </w:pPr>
            <w:r>
              <w:rPr>
                <w:rFonts w:hint="eastAsia"/>
                <w:color w:val="auto"/>
                <w:sz w:val="24"/>
                <w:highlight w:val="none"/>
              </w:rPr>
              <w:t>2</w:t>
            </w:r>
            <w:r>
              <w:rPr>
                <w:color w:val="auto"/>
                <w:sz w:val="24"/>
                <w:highlight w:val="none"/>
              </w:rPr>
              <w:t>.</w:t>
            </w:r>
            <w:r>
              <w:rPr>
                <w:rFonts w:hint="eastAsia"/>
                <w:color w:val="auto"/>
                <w:sz w:val="24"/>
                <w:highlight w:val="none"/>
              </w:rPr>
              <w:t>数电发票开具之后将会通过邮件的形式发送至供应商邮件中，请供应商注意查收。</w:t>
            </w:r>
          </w:p>
        </w:tc>
      </w:tr>
    </w:tbl>
    <w:p w14:paraId="7260F167">
      <w:pPr>
        <w:pStyle w:val="47"/>
        <w:keepNext w:val="0"/>
        <w:keepLines w:val="0"/>
        <w:pageBreakBefore w:val="0"/>
        <w:widowControl w:val="0"/>
        <w:kinsoku/>
        <w:wordWrap/>
        <w:overflowPunct/>
        <w:topLinePunct w:val="0"/>
        <w:bidi w:val="0"/>
        <w:spacing w:beforeLines="0" w:after="0" w:afterLines="0" w:line="360" w:lineRule="auto"/>
        <w:ind w:left="2570" w:leftChars="1224"/>
        <w:rPr>
          <w:rFonts w:hint="eastAsia"/>
          <w:color w:val="auto"/>
          <w:szCs w:val="21"/>
          <w:highlight w:val="none"/>
          <w:u w:val="single"/>
        </w:rPr>
      </w:pPr>
    </w:p>
    <w:p w14:paraId="46175200">
      <w:pPr>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br w:type="page"/>
      </w:r>
    </w:p>
    <w:p w14:paraId="3763936C">
      <w:pPr>
        <w:pStyle w:val="3"/>
        <w:keepNext w:val="0"/>
        <w:keepLines w:val="0"/>
        <w:pageBreakBefore w:val="0"/>
        <w:widowControl w:val="0"/>
        <w:numPr>
          <w:ilvl w:val="0"/>
          <w:numId w:val="20"/>
        </w:numPr>
        <w:kinsoku/>
        <w:wordWrap/>
        <w:overflowPunct/>
        <w:topLinePunct w:val="0"/>
        <w:bidi w:val="0"/>
        <w:spacing w:before="0" w:beforeLines="0" w:after="0" w:afterLines="0" w:line="360" w:lineRule="auto"/>
        <w:rPr>
          <w:rFonts w:hint="eastAsia" w:ascii="宋体" w:hAnsi="宋体" w:eastAsia="宋体"/>
          <w:color w:val="auto"/>
          <w:sz w:val="24"/>
          <w:szCs w:val="24"/>
          <w:highlight w:val="none"/>
        </w:rPr>
      </w:pPr>
      <w:bookmarkStart w:id="276" w:name="_Toc31845"/>
      <w:r>
        <w:rPr>
          <w:rFonts w:hint="eastAsia" w:ascii="宋体" w:hAnsi="宋体" w:eastAsia="宋体"/>
          <w:color w:val="auto"/>
          <w:sz w:val="24"/>
          <w:szCs w:val="24"/>
          <w:highlight w:val="none"/>
        </w:rPr>
        <w:t>询问函、质疑函、投诉书格式</w:t>
      </w:r>
      <w:bookmarkEnd w:id="276"/>
    </w:p>
    <w:p w14:paraId="19EF8B15">
      <w:pPr>
        <w:keepNext w:val="0"/>
        <w:keepLines w:val="0"/>
        <w:pageBreakBefore w:val="0"/>
        <w:widowControl w:val="0"/>
        <w:kinsoku/>
        <w:wordWrap/>
        <w:overflowPunct/>
        <w:topLinePunct w:val="0"/>
        <w:bidi w:val="0"/>
        <w:spacing w:beforeLines="0" w:afterLines="0"/>
        <w:jc w:val="left"/>
        <w:rPr>
          <w:rFonts w:hint="eastAsia"/>
          <w:color w:val="auto"/>
          <w:szCs w:val="21"/>
          <w:highlight w:val="none"/>
        </w:rPr>
      </w:pPr>
      <w:r>
        <w:rPr>
          <w:rFonts w:hint="eastAsia"/>
          <w:color w:val="auto"/>
          <w:szCs w:val="21"/>
          <w:highlight w:val="none"/>
        </w:rPr>
        <w:t>（</w:t>
      </w:r>
      <w:r>
        <w:rPr>
          <w:rFonts w:hint="eastAsia" w:cs="宋体"/>
          <w:i/>
          <w:iCs/>
          <w:color w:val="auto"/>
          <w:szCs w:val="21"/>
          <w:highlight w:val="none"/>
        </w:rPr>
        <w:t>以下格式文件为供应商提交询问函、质疑函、投诉函时使用，不属于响应文件格式的组成部分，供应商根据需要选用）</w:t>
      </w:r>
    </w:p>
    <w:p w14:paraId="214AA3EA">
      <w:pPr>
        <w:keepNext w:val="0"/>
        <w:keepLines w:val="0"/>
        <w:pageBreakBefore w:val="0"/>
        <w:widowControl w:val="0"/>
        <w:kinsoku/>
        <w:wordWrap/>
        <w:overflowPunct/>
        <w:topLinePunct w:val="0"/>
        <w:bidi w:val="0"/>
        <w:spacing w:beforeLines="0" w:afterLines="0"/>
        <w:jc w:val="center"/>
        <w:rPr>
          <w:rFonts w:hint="eastAsia"/>
          <w:b/>
          <w:bCs/>
          <w:color w:val="auto"/>
          <w:sz w:val="28"/>
          <w:szCs w:val="28"/>
          <w:highlight w:val="none"/>
        </w:rPr>
      </w:pPr>
      <w:r>
        <w:rPr>
          <w:rFonts w:hint="eastAsia"/>
          <w:b/>
          <w:bCs/>
          <w:color w:val="auto"/>
          <w:sz w:val="28"/>
          <w:szCs w:val="28"/>
          <w:highlight w:val="none"/>
        </w:rPr>
        <w:t>询问函</w:t>
      </w:r>
    </w:p>
    <w:p w14:paraId="03C97B04">
      <w:pPr>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公诚管理咨询有限公司：</w:t>
      </w:r>
    </w:p>
    <w:p w14:paraId="0DBC1694">
      <w:pPr>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我单位准备参与</w:t>
      </w:r>
      <w:r>
        <w:rPr>
          <w:rFonts w:hint="eastAsia"/>
          <w:color w:val="auto"/>
          <w:szCs w:val="21"/>
          <w:highlight w:val="none"/>
          <w:u w:val="single"/>
          <w:lang w:eastAsia="zh-CN"/>
        </w:rPr>
        <w:t xml:space="preserve">中华人民共和国横琴出入境边防检查站2026年政府采购限额标准以下零星修缮工程 </w:t>
      </w:r>
      <w:r>
        <w:rPr>
          <w:color w:val="auto"/>
          <w:szCs w:val="21"/>
          <w:highlight w:val="none"/>
        </w:rPr>
        <w:t>（项目编</w:t>
      </w:r>
      <w:r>
        <w:rPr>
          <w:rFonts w:hint="eastAsia"/>
          <w:color w:val="auto"/>
          <w:szCs w:val="21"/>
          <w:highlight w:val="none"/>
        </w:rPr>
        <w:t>号：</w:t>
      </w:r>
      <w:r>
        <w:rPr>
          <w:color w:val="auto"/>
          <w:szCs w:val="21"/>
          <w:highlight w:val="none"/>
          <w:u w:val="single"/>
        </w:rPr>
        <w:t xml:space="preserve">       </w:t>
      </w:r>
      <w:r>
        <w:rPr>
          <w:color w:val="auto"/>
          <w:szCs w:val="21"/>
          <w:highlight w:val="none"/>
        </w:rPr>
        <w:t>）</w:t>
      </w:r>
      <w:r>
        <w:rPr>
          <w:rFonts w:hint="eastAsia"/>
          <w:color w:val="auto"/>
          <w:szCs w:val="21"/>
          <w:highlight w:val="none"/>
        </w:rPr>
        <w:t>的采购活动，现有以下几个内容（或条款）存在疑问（或无法理解），特提出询问。</w:t>
      </w:r>
    </w:p>
    <w:p w14:paraId="4E756081">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一、</w:t>
      </w:r>
      <w:r>
        <w:rPr>
          <w:color w:val="auto"/>
          <w:szCs w:val="21"/>
          <w:highlight w:val="none"/>
          <w:u w:val="single"/>
        </w:rPr>
        <w:t xml:space="preserve">                    </w:t>
      </w:r>
      <w:r>
        <w:rPr>
          <w:color w:val="auto"/>
          <w:szCs w:val="21"/>
          <w:highlight w:val="none"/>
        </w:rPr>
        <w:t>（事项一）</w:t>
      </w:r>
    </w:p>
    <w:p w14:paraId="57B2A722">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（1）</w:t>
      </w:r>
      <w:bookmarkStart w:id="277" w:name="_Hlk104040459"/>
      <w:r>
        <w:rPr>
          <w:color w:val="auto"/>
          <w:szCs w:val="21"/>
          <w:highlight w:val="none"/>
          <w:u w:val="single"/>
        </w:rPr>
        <w:t xml:space="preserve">                   </w:t>
      </w:r>
      <w:bookmarkEnd w:id="277"/>
      <w:r>
        <w:rPr>
          <w:color w:val="auto"/>
          <w:szCs w:val="21"/>
          <w:highlight w:val="none"/>
        </w:rPr>
        <w:t>（问题或条款内容）</w:t>
      </w:r>
    </w:p>
    <w:p w14:paraId="5DFE3525">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w:t>
      </w:r>
      <w:r>
        <w:rPr>
          <w:color w:val="auto"/>
          <w:szCs w:val="21"/>
          <w:highlight w:val="none"/>
        </w:rPr>
        <w:t>2</w:t>
      </w:r>
      <w:r>
        <w:rPr>
          <w:rFonts w:hint="eastAsia"/>
          <w:color w:val="auto"/>
          <w:szCs w:val="21"/>
          <w:highlight w:val="none"/>
        </w:rPr>
        <w:t>）</w:t>
      </w:r>
      <w:r>
        <w:rPr>
          <w:color w:val="auto"/>
          <w:szCs w:val="21"/>
          <w:highlight w:val="none"/>
          <w:u w:val="single"/>
        </w:rPr>
        <w:t xml:space="preserve">                   </w:t>
      </w:r>
      <w:r>
        <w:rPr>
          <w:color w:val="auto"/>
          <w:szCs w:val="21"/>
          <w:highlight w:val="none"/>
        </w:rPr>
        <w:t>（说明疑问或无法理解原因）</w:t>
      </w:r>
    </w:p>
    <w:p w14:paraId="0CF82792">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w:t>
      </w:r>
      <w:r>
        <w:rPr>
          <w:color w:val="auto"/>
          <w:szCs w:val="21"/>
          <w:highlight w:val="none"/>
        </w:rPr>
        <w:t>3</w:t>
      </w:r>
      <w:r>
        <w:rPr>
          <w:rFonts w:hint="eastAsia"/>
          <w:color w:val="auto"/>
          <w:szCs w:val="21"/>
          <w:highlight w:val="none"/>
        </w:rPr>
        <w:t>）</w:t>
      </w:r>
      <w:r>
        <w:rPr>
          <w:color w:val="auto"/>
          <w:szCs w:val="21"/>
          <w:highlight w:val="none"/>
          <w:u w:val="single"/>
        </w:rPr>
        <w:t xml:space="preserve">                   </w:t>
      </w:r>
      <w:r>
        <w:rPr>
          <w:color w:val="auto"/>
          <w:szCs w:val="21"/>
          <w:highlight w:val="none"/>
        </w:rPr>
        <w:t xml:space="preserve">（建议） </w:t>
      </w:r>
    </w:p>
    <w:p w14:paraId="61506F0F">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color w:val="auto"/>
          <w:szCs w:val="21"/>
          <w:highlight w:val="none"/>
        </w:rPr>
        <w:t>二、</w:t>
      </w:r>
      <w:r>
        <w:rPr>
          <w:color w:val="auto"/>
          <w:szCs w:val="21"/>
          <w:highlight w:val="none"/>
          <w:u w:val="single"/>
        </w:rPr>
        <w:t xml:space="preserve">                    </w:t>
      </w:r>
      <w:r>
        <w:rPr>
          <w:color w:val="auto"/>
          <w:szCs w:val="21"/>
          <w:highlight w:val="none"/>
        </w:rPr>
        <w:t>（事项二）</w:t>
      </w:r>
    </w:p>
    <w:p w14:paraId="184C65D3">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color w:val="auto"/>
          <w:szCs w:val="21"/>
          <w:highlight w:val="none"/>
        </w:rPr>
        <w:t>...</w:t>
      </w:r>
    </w:p>
    <w:p w14:paraId="2A6CA535">
      <w:pPr>
        <w:pStyle w:val="47"/>
        <w:keepNext w:val="0"/>
        <w:keepLines w:val="0"/>
        <w:pageBreakBefore w:val="0"/>
        <w:widowControl w:val="0"/>
        <w:kinsoku/>
        <w:wordWrap/>
        <w:overflowPunct/>
        <w:topLinePunct w:val="0"/>
        <w:bidi w:val="0"/>
        <w:spacing w:beforeLines="0" w:after="0" w:afterLines="0" w:line="360" w:lineRule="auto"/>
        <w:ind w:left="0" w:leftChars="0"/>
        <w:rPr>
          <w:rFonts w:hint="eastAsia"/>
          <w:color w:val="auto"/>
          <w:szCs w:val="21"/>
          <w:highlight w:val="none"/>
        </w:rPr>
      </w:pPr>
      <w:r>
        <w:rPr>
          <w:rFonts w:hint="eastAsia"/>
          <w:color w:val="auto"/>
          <w:szCs w:val="21"/>
          <w:highlight w:val="none"/>
        </w:rPr>
        <w:t>随附相关证明材料如下：（目录）</w:t>
      </w:r>
    </w:p>
    <w:p w14:paraId="25584B40">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p>
    <w:p w14:paraId="090DB2EA">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p>
    <w:p w14:paraId="07F674CC">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olor w:val="auto"/>
          <w:szCs w:val="21"/>
          <w:highlight w:val="none"/>
        </w:rPr>
        <w:t>询问人（公章）：</w:t>
      </w:r>
      <w:r>
        <w:rPr>
          <w:rFonts w:hint="eastAsia" w:cs="仿宋"/>
          <w:color w:val="auto"/>
          <w:szCs w:val="21"/>
          <w:highlight w:val="none"/>
          <w:u w:val="dotted"/>
        </w:rPr>
        <w:t xml:space="preserve">                </w:t>
      </w:r>
      <w:r>
        <w:rPr>
          <w:rFonts w:cs="仿宋"/>
          <w:color w:val="auto"/>
          <w:szCs w:val="21"/>
          <w:highlight w:val="none"/>
          <w:u w:val="dotted"/>
        </w:rPr>
        <w:t>.</w:t>
      </w:r>
      <w:r>
        <w:rPr>
          <w:color w:val="auto"/>
          <w:szCs w:val="21"/>
          <w:highlight w:val="none"/>
        </w:rPr>
        <w:t xml:space="preserve"> </w:t>
      </w:r>
    </w:p>
    <w:p w14:paraId="3E757D06">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olor w:val="auto"/>
          <w:szCs w:val="21"/>
          <w:highlight w:val="none"/>
        </w:rPr>
        <w:t>法定代表人或其授权代表（签字或盖章）：</w:t>
      </w:r>
      <w:r>
        <w:rPr>
          <w:rFonts w:hint="eastAsia" w:cs="仿宋"/>
          <w:color w:val="auto"/>
          <w:szCs w:val="21"/>
          <w:highlight w:val="none"/>
          <w:u w:val="dotted"/>
        </w:rPr>
        <w:t xml:space="preserve">                </w:t>
      </w:r>
      <w:r>
        <w:rPr>
          <w:rFonts w:cs="仿宋"/>
          <w:color w:val="auto"/>
          <w:szCs w:val="21"/>
          <w:highlight w:val="none"/>
          <w:u w:val="dotted"/>
        </w:rPr>
        <w:t>.</w:t>
      </w:r>
    </w:p>
    <w:p w14:paraId="3E3D08EC">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olor w:val="auto"/>
          <w:szCs w:val="21"/>
          <w:highlight w:val="none"/>
        </w:rPr>
        <w:t>地址/邮编：</w:t>
      </w:r>
      <w:r>
        <w:rPr>
          <w:rFonts w:hint="eastAsia" w:cs="仿宋"/>
          <w:color w:val="auto"/>
          <w:szCs w:val="21"/>
          <w:highlight w:val="none"/>
          <w:u w:val="dotted"/>
        </w:rPr>
        <w:t xml:space="preserve">                </w:t>
      </w:r>
      <w:r>
        <w:rPr>
          <w:rFonts w:cs="仿宋"/>
          <w:color w:val="auto"/>
          <w:szCs w:val="21"/>
          <w:highlight w:val="none"/>
          <w:u w:val="dotted"/>
        </w:rPr>
        <w:t>.</w:t>
      </w:r>
    </w:p>
    <w:p w14:paraId="7D906B61">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olor w:val="auto"/>
          <w:szCs w:val="21"/>
          <w:highlight w:val="none"/>
        </w:rPr>
        <w:t>电话/传真：</w:t>
      </w:r>
      <w:r>
        <w:rPr>
          <w:rFonts w:hint="eastAsia" w:cs="仿宋"/>
          <w:color w:val="auto"/>
          <w:szCs w:val="21"/>
          <w:highlight w:val="none"/>
          <w:u w:val="dotted"/>
        </w:rPr>
        <w:t xml:space="preserve">                </w:t>
      </w:r>
      <w:r>
        <w:rPr>
          <w:rFonts w:cs="仿宋"/>
          <w:color w:val="auto"/>
          <w:szCs w:val="21"/>
          <w:highlight w:val="none"/>
          <w:u w:val="dotted"/>
        </w:rPr>
        <w:t>.</w:t>
      </w:r>
    </w:p>
    <w:p w14:paraId="79C01BD6">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s="仿宋"/>
          <w:color w:val="auto"/>
          <w:szCs w:val="21"/>
          <w:highlight w:val="none"/>
        </w:rPr>
        <w:t>日期：</w:t>
      </w:r>
      <w:r>
        <w:rPr>
          <w:rFonts w:hint="eastAsia" w:cs="仿宋"/>
          <w:color w:val="auto"/>
          <w:szCs w:val="21"/>
          <w:highlight w:val="none"/>
          <w:u w:val="dotted"/>
        </w:rPr>
        <w:t xml:space="preserve">     </w:t>
      </w:r>
      <w:r>
        <w:rPr>
          <w:rFonts w:hint="eastAsia"/>
          <w:color w:val="auto"/>
          <w:szCs w:val="21"/>
          <w:highlight w:val="none"/>
        </w:rPr>
        <w:t>年</w:t>
      </w:r>
      <w:r>
        <w:rPr>
          <w:rFonts w:hint="eastAsia" w:cs="仿宋"/>
          <w:color w:val="auto"/>
          <w:szCs w:val="21"/>
          <w:highlight w:val="none"/>
          <w:u w:val="dotted"/>
        </w:rPr>
        <w:t xml:space="preserve">     </w:t>
      </w:r>
      <w:r>
        <w:rPr>
          <w:rFonts w:hint="eastAsia"/>
          <w:color w:val="auto"/>
          <w:szCs w:val="21"/>
          <w:highlight w:val="none"/>
        </w:rPr>
        <w:t>月</w:t>
      </w:r>
      <w:r>
        <w:rPr>
          <w:rFonts w:hint="eastAsia" w:cs="仿宋"/>
          <w:color w:val="auto"/>
          <w:szCs w:val="21"/>
          <w:highlight w:val="none"/>
          <w:u w:val="dotted"/>
        </w:rPr>
        <w:t xml:space="preserve">     </w:t>
      </w:r>
      <w:r>
        <w:rPr>
          <w:rFonts w:hint="eastAsia"/>
          <w:color w:val="auto"/>
          <w:szCs w:val="21"/>
          <w:highlight w:val="none"/>
        </w:rPr>
        <w:t>日</w:t>
      </w:r>
    </w:p>
    <w:p w14:paraId="26DB1094">
      <w:pPr>
        <w:keepNext w:val="0"/>
        <w:keepLines w:val="0"/>
        <w:pageBreakBefore w:val="0"/>
        <w:widowControl w:val="0"/>
        <w:kinsoku/>
        <w:wordWrap/>
        <w:overflowPunct/>
        <w:topLinePunct w:val="0"/>
        <w:bidi w:val="0"/>
        <w:spacing w:beforeLines="0" w:afterLines="0"/>
        <w:rPr>
          <w:rFonts w:hint="eastAsia"/>
          <w:color w:val="auto"/>
          <w:szCs w:val="21"/>
          <w:highlight w:val="none"/>
        </w:rPr>
      </w:pPr>
      <w:r>
        <w:rPr>
          <w:color w:val="auto"/>
          <w:szCs w:val="21"/>
          <w:highlight w:val="none"/>
        </w:rPr>
        <w:br w:type="page"/>
      </w:r>
    </w:p>
    <w:p w14:paraId="48B58CD6">
      <w:pPr>
        <w:keepNext w:val="0"/>
        <w:keepLines w:val="0"/>
        <w:pageBreakBefore w:val="0"/>
        <w:widowControl w:val="0"/>
        <w:kinsoku/>
        <w:wordWrap/>
        <w:overflowPunct/>
        <w:topLinePunct w:val="0"/>
        <w:bidi w:val="0"/>
        <w:spacing w:beforeLines="0" w:afterLines="0"/>
        <w:jc w:val="center"/>
        <w:rPr>
          <w:rFonts w:hint="eastAsia"/>
          <w:b/>
          <w:bCs/>
          <w:color w:val="auto"/>
          <w:sz w:val="28"/>
          <w:szCs w:val="28"/>
          <w:highlight w:val="none"/>
        </w:rPr>
      </w:pPr>
      <w:r>
        <w:rPr>
          <w:rFonts w:hint="eastAsia"/>
          <w:b/>
          <w:bCs/>
          <w:color w:val="auto"/>
          <w:sz w:val="28"/>
          <w:szCs w:val="28"/>
          <w:highlight w:val="none"/>
        </w:rPr>
        <w:t>质疑函</w:t>
      </w:r>
    </w:p>
    <w:p w14:paraId="31008383">
      <w:pPr>
        <w:pStyle w:val="129"/>
        <w:keepNext w:val="0"/>
        <w:keepLines w:val="0"/>
        <w:pageBreakBefore w:val="0"/>
        <w:widowControl w:val="0"/>
        <w:numPr>
          <w:ilvl w:val="2"/>
          <w:numId w:val="27"/>
        </w:numPr>
        <w:kinsoku/>
        <w:wordWrap/>
        <w:overflowPunct/>
        <w:topLinePunct w:val="0"/>
        <w:bidi w:val="0"/>
        <w:adjustRightInd w:val="0"/>
        <w:snapToGrid w:val="0"/>
        <w:spacing w:beforeLines="0" w:afterLines="0"/>
        <w:ind w:left="0" w:firstLine="0"/>
        <w:rPr>
          <w:rFonts w:hint="eastAsia" w:ascii="宋体" w:hAnsi="宋体" w:cs="仿宋"/>
          <w:b/>
          <w:color w:val="auto"/>
          <w:szCs w:val="21"/>
          <w:highlight w:val="none"/>
        </w:rPr>
      </w:pPr>
      <w:r>
        <w:rPr>
          <w:rFonts w:hint="eastAsia" w:ascii="宋体" w:hAnsi="宋体" w:cs="仿宋"/>
          <w:b/>
          <w:color w:val="auto"/>
          <w:szCs w:val="21"/>
          <w:highlight w:val="none"/>
        </w:rPr>
        <w:t>质疑供应商基本信息</w:t>
      </w:r>
    </w:p>
    <w:p w14:paraId="56CD2CED">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质疑供应商：</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3AD92226">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地址：</w:t>
      </w:r>
      <w:r>
        <w:rPr>
          <w:rFonts w:hint="eastAsia" w:cs="仿宋"/>
          <w:color w:val="auto"/>
          <w:szCs w:val="21"/>
          <w:highlight w:val="none"/>
          <w:u w:val="dotted"/>
        </w:rPr>
        <w:t xml:space="preserve">                          </w:t>
      </w:r>
      <w:r>
        <w:rPr>
          <w:rFonts w:hint="eastAsia" w:cs="仿宋"/>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1BFECA1B">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联系人：</w:t>
      </w:r>
      <w:r>
        <w:rPr>
          <w:rFonts w:hint="eastAsia" w:cs="仿宋"/>
          <w:color w:val="auto"/>
          <w:szCs w:val="21"/>
          <w:highlight w:val="none"/>
          <w:u w:val="dotted"/>
        </w:rPr>
        <w:t xml:space="preserve">                      </w:t>
      </w:r>
      <w:r>
        <w:rPr>
          <w:rFonts w:hint="eastAsia" w:cs="仿宋"/>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510094F7">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授权代表：</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36F2119C">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6C64C90F">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地址：</w:t>
      </w:r>
      <w:r>
        <w:rPr>
          <w:rFonts w:cs="仿宋"/>
          <w:color w:val="auto"/>
          <w:szCs w:val="21"/>
          <w:highlight w:val="none"/>
        </w:rPr>
        <w:t xml:space="preserve"> </w:t>
      </w:r>
      <w:r>
        <w:rPr>
          <w:rFonts w:hint="eastAsia" w:cs="仿宋"/>
          <w:color w:val="auto"/>
          <w:szCs w:val="21"/>
          <w:highlight w:val="none"/>
          <w:u w:val="dotted"/>
        </w:rPr>
        <w:t xml:space="preserve">                        </w:t>
      </w:r>
      <w:r>
        <w:rPr>
          <w:rFonts w:hint="eastAsia" w:cs="仿宋"/>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68A8D381">
      <w:pPr>
        <w:pStyle w:val="129"/>
        <w:keepNext w:val="0"/>
        <w:keepLines w:val="0"/>
        <w:pageBreakBefore w:val="0"/>
        <w:widowControl w:val="0"/>
        <w:numPr>
          <w:ilvl w:val="2"/>
          <w:numId w:val="27"/>
        </w:numPr>
        <w:kinsoku/>
        <w:wordWrap/>
        <w:overflowPunct/>
        <w:topLinePunct w:val="0"/>
        <w:bidi w:val="0"/>
        <w:adjustRightInd w:val="0"/>
        <w:snapToGrid w:val="0"/>
        <w:spacing w:beforeLines="0" w:afterLines="0"/>
        <w:ind w:left="0" w:firstLine="0"/>
        <w:rPr>
          <w:rFonts w:hint="eastAsia" w:ascii="宋体" w:hAnsi="宋体" w:cs="仿宋"/>
          <w:b/>
          <w:color w:val="auto"/>
          <w:szCs w:val="21"/>
          <w:highlight w:val="none"/>
        </w:rPr>
      </w:pPr>
      <w:r>
        <w:rPr>
          <w:rFonts w:hint="eastAsia" w:ascii="宋体" w:hAnsi="宋体" w:cs="仿宋"/>
          <w:b/>
          <w:color w:val="auto"/>
          <w:szCs w:val="21"/>
          <w:highlight w:val="none"/>
        </w:rPr>
        <w:t>质疑项目基本情况</w:t>
      </w:r>
    </w:p>
    <w:p w14:paraId="14A85456">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质疑项目的名称：</w:t>
      </w:r>
      <w:r>
        <w:rPr>
          <w:rFonts w:hint="eastAsia" w:cs="仿宋"/>
          <w:color w:val="auto"/>
          <w:szCs w:val="21"/>
          <w:highlight w:val="none"/>
          <w:u w:val="dotted"/>
        </w:rPr>
        <w:t xml:space="preserve">                                      </w:t>
      </w:r>
      <w:r>
        <w:rPr>
          <w:rFonts w:cs="仿宋"/>
          <w:color w:val="auto"/>
          <w:szCs w:val="21"/>
          <w:highlight w:val="none"/>
          <w:u w:val="dotted"/>
        </w:rPr>
        <w:t>.</w:t>
      </w:r>
    </w:p>
    <w:p w14:paraId="0BDDCD84">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质疑项目的编号：</w:t>
      </w:r>
      <w:r>
        <w:rPr>
          <w:rFonts w:hint="eastAsia" w:cs="仿宋"/>
          <w:color w:val="auto"/>
          <w:szCs w:val="21"/>
          <w:highlight w:val="none"/>
          <w:u w:val="dotted"/>
        </w:rPr>
        <w:t xml:space="preserve">               </w:t>
      </w:r>
      <w:r>
        <w:rPr>
          <w:rFonts w:hint="eastAsia" w:cs="仿宋"/>
          <w:color w:val="auto"/>
          <w:szCs w:val="21"/>
          <w:highlight w:val="none"/>
        </w:rPr>
        <w:t>包号：</w:t>
      </w:r>
      <w:r>
        <w:rPr>
          <w:rFonts w:hint="eastAsia" w:cs="仿宋"/>
          <w:color w:val="auto"/>
          <w:szCs w:val="21"/>
          <w:highlight w:val="none"/>
          <w:u w:val="dotted"/>
        </w:rPr>
        <w:t xml:space="preserve">                 </w:t>
      </w:r>
      <w:r>
        <w:rPr>
          <w:rFonts w:cs="仿宋"/>
          <w:color w:val="auto"/>
          <w:szCs w:val="21"/>
          <w:highlight w:val="none"/>
          <w:u w:val="dotted"/>
        </w:rPr>
        <w:t>.</w:t>
      </w:r>
    </w:p>
    <w:p w14:paraId="7E0BD456">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采购人名称：</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3FE36745">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采购文件获取日期：</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414CEB31">
      <w:pPr>
        <w:pStyle w:val="129"/>
        <w:keepNext w:val="0"/>
        <w:keepLines w:val="0"/>
        <w:pageBreakBefore w:val="0"/>
        <w:widowControl w:val="0"/>
        <w:numPr>
          <w:ilvl w:val="2"/>
          <w:numId w:val="27"/>
        </w:numPr>
        <w:kinsoku/>
        <w:wordWrap/>
        <w:overflowPunct/>
        <w:topLinePunct w:val="0"/>
        <w:bidi w:val="0"/>
        <w:adjustRightInd w:val="0"/>
        <w:snapToGrid w:val="0"/>
        <w:spacing w:beforeLines="0" w:afterLines="0"/>
        <w:ind w:left="0" w:firstLine="0"/>
        <w:rPr>
          <w:rFonts w:hint="eastAsia" w:ascii="宋体" w:hAnsi="宋体" w:cs="仿宋"/>
          <w:b/>
          <w:color w:val="auto"/>
          <w:szCs w:val="21"/>
          <w:highlight w:val="none"/>
        </w:rPr>
      </w:pPr>
      <w:r>
        <w:rPr>
          <w:rFonts w:hint="eastAsia" w:ascii="宋体" w:hAnsi="宋体" w:cs="仿宋"/>
          <w:b/>
          <w:color w:val="auto"/>
          <w:szCs w:val="21"/>
          <w:highlight w:val="none"/>
        </w:rPr>
        <w:t>质疑事项具体内容</w:t>
      </w:r>
    </w:p>
    <w:p w14:paraId="78AD7672">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质疑事项1：</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1A616F88">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事实依据：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75F9E7ED">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法律依据：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65286F20">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质疑事项2</w:t>
      </w:r>
    </w:p>
    <w:p w14:paraId="495F9D45">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rPr>
      </w:pPr>
      <w:r>
        <w:rPr>
          <w:rFonts w:hint="eastAsia" w:cs="仿宋"/>
          <w:color w:val="auto"/>
          <w:szCs w:val="21"/>
          <w:highlight w:val="none"/>
        </w:rPr>
        <w:t>……</w:t>
      </w:r>
    </w:p>
    <w:p w14:paraId="6C903326">
      <w:pPr>
        <w:pStyle w:val="129"/>
        <w:keepNext w:val="0"/>
        <w:keepLines w:val="0"/>
        <w:pageBreakBefore w:val="0"/>
        <w:widowControl w:val="0"/>
        <w:numPr>
          <w:ilvl w:val="2"/>
          <w:numId w:val="27"/>
        </w:numPr>
        <w:kinsoku/>
        <w:wordWrap/>
        <w:overflowPunct/>
        <w:topLinePunct w:val="0"/>
        <w:bidi w:val="0"/>
        <w:adjustRightInd w:val="0"/>
        <w:snapToGrid w:val="0"/>
        <w:spacing w:beforeLines="0" w:afterLines="0"/>
        <w:ind w:left="0" w:firstLine="0"/>
        <w:rPr>
          <w:rFonts w:hint="eastAsia" w:ascii="宋体" w:hAnsi="宋体" w:cs="仿宋"/>
          <w:b/>
          <w:color w:val="auto"/>
          <w:szCs w:val="21"/>
          <w:highlight w:val="none"/>
          <w:lang w:eastAsia="zh-CN"/>
        </w:rPr>
      </w:pPr>
      <w:r>
        <w:rPr>
          <w:rFonts w:hint="eastAsia" w:ascii="宋体" w:hAnsi="宋体" w:cs="仿宋"/>
          <w:b/>
          <w:color w:val="auto"/>
          <w:szCs w:val="21"/>
          <w:highlight w:val="none"/>
          <w:lang w:eastAsia="zh-CN"/>
        </w:rPr>
        <w:t>与质疑事项相关的质疑请求</w:t>
      </w:r>
    </w:p>
    <w:p w14:paraId="233B3F55">
      <w:pPr>
        <w:keepNext w:val="0"/>
        <w:keepLines w:val="0"/>
        <w:pageBreakBefore w:val="0"/>
        <w:widowControl w:val="0"/>
        <w:kinsoku/>
        <w:wordWrap/>
        <w:overflowPunct/>
        <w:topLinePunct w:val="0"/>
        <w:bidi w:val="0"/>
        <w:adjustRightInd w:val="0"/>
        <w:snapToGrid w:val="0"/>
        <w:spacing w:beforeLines="0" w:afterLines="0"/>
        <w:rPr>
          <w:rFonts w:hint="eastAsia" w:cs="仿宋"/>
          <w:color w:val="auto"/>
          <w:szCs w:val="21"/>
          <w:highlight w:val="none"/>
          <w:u w:val="dotted"/>
        </w:rPr>
      </w:pPr>
      <w:r>
        <w:rPr>
          <w:rFonts w:hint="eastAsia" w:cs="仿宋"/>
          <w:color w:val="auto"/>
          <w:szCs w:val="21"/>
          <w:highlight w:val="none"/>
        </w:rPr>
        <w:t>请求：</w:t>
      </w:r>
      <w:r>
        <w:rPr>
          <w:rFonts w:hint="eastAsia" w:cs="仿宋"/>
          <w:color w:val="auto"/>
          <w:szCs w:val="21"/>
          <w:highlight w:val="none"/>
          <w:u w:val="dotted"/>
        </w:rPr>
        <w:t xml:space="preserve">                                               </w:t>
      </w:r>
      <w:r>
        <w:rPr>
          <w:rFonts w:cs="仿宋"/>
          <w:color w:val="auto"/>
          <w:szCs w:val="21"/>
          <w:highlight w:val="none"/>
          <w:u w:val="dotted"/>
        </w:rPr>
        <w:t>.</w:t>
      </w:r>
    </w:p>
    <w:p w14:paraId="0B1A9985">
      <w:pPr>
        <w:keepNext w:val="0"/>
        <w:keepLines w:val="0"/>
        <w:pageBreakBefore w:val="0"/>
        <w:widowControl w:val="0"/>
        <w:kinsoku/>
        <w:wordWrap/>
        <w:overflowPunct/>
        <w:topLinePunct w:val="0"/>
        <w:bidi w:val="0"/>
        <w:spacing w:beforeLines="0" w:afterLines="0"/>
        <w:rPr>
          <w:rFonts w:hint="eastAsia"/>
          <w:color w:val="auto"/>
          <w:szCs w:val="21"/>
          <w:highlight w:val="none"/>
        </w:rPr>
      </w:pPr>
    </w:p>
    <w:p w14:paraId="605E787A">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olor w:val="auto"/>
          <w:szCs w:val="21"/>
          <w:highlight w:val="none"/>
        </w:rPr>
        <w:t>签字（签章）：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hint="eastAsia"/>
          <w:color w:val="auto"/>
          <w:szCs w:val="21"/>
          <w:highlight w:val="none"/>
        </w:rPr>
        <w:t>公章：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0B9C179B">
      <w:pPr>
        <w:keepNext w:val="0"/>
        <w:keepLines w:val="0"/>
        <w:pageBreakBefore w:val="0"/>
        <w:widowControl w:val="0"/>
        <w:kinsoku/>
        <w:wordWrap/>
        <w:overflowPunct/>
        <w:topLinePunct w:val="0"/>
        <w:bidi w:val="0"/>
        <w:spacing w:beforeLines="0" w:afterLines="0"/>
        <w:jc w:val="right"/>
        <w:rPr>
          <w:rFonts w:hint="eastAsia" w:cs="仿宋"/>
          <w:color w:val="auto"/>
          <w:szCs w:val="21"/>
          <w:highlight w:val="none"/>
          <w:u w:val="dotted"/>
        </w:rPr>
      </w:pPr>
      <w:r>
        <w:rPr>
          <w:rFonts w:hint="eastAsia"/>
          <w:color w:val="auto"/>
          <w:szCs w:val="21"/>
          <w:highlight w:val="none"/>
        </w:rPr>
        <w:t>日期：</w:t>
      </w:r>
      <w:r>
        <w:rPr>
          <w:rFonts w:hint="eastAsia" w:cs="仿宋"/>
          <w:color w:val="auto"/>
          <w:szCs w:val="21"/>
          <w:highlight w:val="none"/>
          <w:u w:val="dotted"/>
        </w:rPr>
        <w:t xml:space="preserve">     </w:t>
      </w:r>
      <w:r>
        <w:rPr>
          <w:rFonts w:hint="eastAsia"/>
          <w:color w:val="auto"/>
          <w:szCs w:val="21"/>
          <w:highlight w:val="none"/>
        </w:rPr>
        <w:t>年</w:t>
      </w:r>
      <w:r>
        <w:rPr>
          <w:rFonts w:hint="eastAsia" w:cs="仿宋"/>
          <w:color w:val="auto"/>
          <w:szCs w:val="21"/>
          <w:highlight w:val="none"/>
          <w:u w:val="dotted"/>
        </w:rPr>
        <w:t xml:space="preserve">     </w:t>
      </w:r>
      <w:r>
        <w:rPr>
          <w:rFonts w:hint="eastAsia"/>
          <w:color w:val="auto"/>
          <w:szCs w:val="21"/>
          <w:highlight w:val="none"/>
        </w:rPr>
        <w:t>月</w:t>
      </w:r>
      <w:r>
        <w:rPr>
          <w:rFonts w:hint="eastAsia" w:cs="仿宋"/>
          <w:color w:val="auto"/>
          <w:szCs w:val="21"/>
          <w:highlight w:val="none"/>
          <w:u w:val="dotted"/>
        </w:rPr>
        <w:t xml:space="preserve">     </w:t>
      </w:r>
      <w:r>
        <w:rPr>
          <w:rFonts w:hint="eastAsia"/>
          <w:color w:val="auto"/>
          <w:szCs w:val="21"/>
          <w:highlight w:val="none"/>
        </w:rPr>
        <w:t>日</w:t>
      </w:r>
    </w:p>
    <w:p w14:paraId="2FFD7F73">
      <w:pPr>
        <w:keepNext w:val="0"/>
        <w:keepLines w:val="0"/>
        <w:pageBreakBefore w:val="0"/>
        <w:widowControl w:val="0"/>
        <w:kinsoku/>
        <w:wordWrap/>
        <w:overflowPunct/>
        <w:topLinePunct w:val="0"/>
        <w:bidi w:val="0"/>
        <w:spacing w:beforeLines="0" w:afterLines="0" w:line="360" w:lineRule="auto"/>
        <w:rPr>
          <w:rFonts w:hint="eastAsia"/>
          <w:color w:val="auto"/>
          <w:szCs w:val="21"/>
          <w:highlight w:val="none"/>
        </w:rPr>
      </w:pPr>
      <w:r>
        <w:rPr>
          <w:rFonts w:hint="eastAsia"/>
          <w:color w:val="auto"/>
          <w:szCs w:val="21"/>
          <w:highlight w:val="none"/>
        </w:rPr>
        <w:t>质疑函制作说明：</w:t>
      </w:r>
    </w:p>
    <w:p w14:paraId="28A39D64">
      <w:pPr>
        <w:keepNext w:val="0"/>
        <w:keepLines w:val="0"/>
        <w:pageBreakBefore w:val="0"/>
        <w:widowControl w:val="0"/>
        <w:kinsoku/>
        <w:wordWrap/>
        <w:overflowPunct/>
        <w:topLinePunct w:val="0"/>
        <w:bidi w:val="0"/>
        <w:spacing w:beforeLines="0" w:afterLines="0" w:line="360" w:lineRule="auto"/>
        <w:ind w:firstLine="420" w:firstLineChars="200"/>
        <w:rPr>
          <w:rFonts w:hint="eastAsia"/>
          <w:color w:val="auto"/>
          <w:szCs w:val="21"/>
          <w:highlight w:val="none"/>
        </w:rPr>
      </w:pPr>
      <w:r>
        <w:rPr>
          <w:color w:val="auto"/>
          <w:szCs w:val="21"/>
          <w:highlight w:val="none"/>
        </w:rPr>
        <w:t>1.</w:t>
      </w:r>
      <w:r>
        <w:rPr>
          <w:rFonts w:hint="eastAsia"/>
          <w:color w:val="auto"/>
          <w:szCs w:val="21"/>
          <w:highlight w:val="none"/>
        </w:rPr>
        <w:t>供应商提出质疑时，应提交质疑函和必要的证明材料。</w:t>
      </w:r>
    </w:p>
    <w:p w14:paraId="332E49B4">
      <w:pPr>
        <w:keepNext w:val="0"/>
        <w:keepLines w:val="0"/>
        <w:pageBreakBefore w:val="0"/>
        <w:widowControl w:val="0"/>
        <w:kinsoku/>
        <w:wordWrap/>
        <w:overflowPunct/>
        <w:topLinePunct w:val="0"/>
        <w:bidi w:val="0"/>
        <w:spacing w:beforeLines="0" w:afterLines="0" w:line="360" w:lineRule="auto"/>
        <w:ind w:firstLine="420" w:firstLineChars="200"/>
        <w:rPr>
          <w:rFonts w:hint="eastAsia"/>
          <w:color w:val="auto"/>
          <w:szCs w:val="21"/>
          <w:highlight w:val="none"/>
        </w:rPr>
      </w:pPr>
      <w:r>
        <w:rPr>
          <w:color w:val="auto"/>
          <w:szCs w:val="21"/>
          <w:highlight w:val="none"/>
        </w:rPr>
        <w:t>2.</w:t>
      </w:r>
      <w:r>
        <w:rPr>
          <w:rFonts w:hint="eastAsia"/>
          <w:color w:val="auto"/>
          <w:szCs w:val="21"/>
          <w:highlight w:val="none"/>
        </w:rPr>
        <w:t>质疑供应商若委托代理人进行质疑的，质疑函应按要求列明</w:t>
      </w:r>
      <w:r>
        <w:rPr>
          <w:color w:val="auto"/>
          <w:szCs w:val="21"/>
          <w:highlight w:val="none"/>
        </w:rPr>
        <w:t>“</w:t>
      </w:r>
      <w:r>
        <w:rPr>
          <w:rFonts w:hint="eastAsia"/>
          <w:color w:val="auto"/>
          <w:szCs w:val="21"/>
          <w:highlight w:val="none"/>
        </w:rPr>
        <w:t>授权代表</w:t>
      </w:r>
      <w:r>
        <w:rPr>
          <w:color w:val="auto"/>
          <w:szCs w:val="21"/>
          <w:highlight w:val="none"/>
        </w:rPr>
        <w:t>”</w:t>
      </w:r>
      <w:r>
        <w:rPr>
          <w:rFonts w:hint="eastAsia"/>
          <w:color w:val="auto"/>
          <w:szCs w:val="21"/>
          <w:highlight w:val="none"/>
        </w:rPr>
        <w:t>的有关内容，并在附件中提交由质疑供应商签署的授权委托书。授权委托书应载明代理人的姓名或者名称、代理事项、具体权限、期限和相关事项。</w:t>
      </w:r>
      <w:r>
        <w:rPr>
          <w:color w:val="auto"/>
          <w:szCs w:val="21"/>
          <w:highlight w:val="none"/>
        </w:rPr>
        <w:t xml:space="preserve"> </w:t>
      </w:r>
    </w:p>
    <w:p w14:paraId="65A238AF">
      <w:pPr>
        <w:keepNext w:val="0"/>
        <w:keepLines w:val="0"/>
        <w:pageBreakBefore w:val="0"/>
        <w:widowControl w:val="0"/>
        <w:kinsoku/>
        <w:wordWrap/>
        <w:overflowPunct/>
        <w:topLinePunct w:val="0"/>
        <w:bidi w:val="0"/>
        <w:spacing w:beforeLines="0" w:afterLines="0" w:line="360" w:lineRule="auto"/>
        <w:ind w:firstLine="420" w:firstLineChars="200"/>
        <w:rPr>
          <w:rFonts w:hint="eastAsia"/>
          <w:color w:val="auto"/>
          <w:szCs w:val="21"/>
          <w:highlight w:val="none"/>
        </w:rPr>
      </w:pPr>
      <w:r>
        <w:rPr>
          <w:color w:val="auto"/>
          <w:szCs w:val="21"/>
          <w:highlight w:val="none"/>
        </w:rPr>
        <w:t>3.</w:t>
      </w:r>
      <w:r>
        <w:rPr>
          <w:rFonts w:hint="eastAsia"/>
          <w:color w:val="auto"/>
          <w:szCs w:val="21"/>
          <w:highlight w:val="none"/>
        </w:rPr>
        <w:t>质疑供应商若对项目的某一分包进行质疑，质疑函中应列明具体分包号。</w:t>
      </w:r>
    </w:p>
    <w:p w14:paraId="429964A2">
      <w:pPr>
        <w:keepNext w:val="0"/>
        <w:keepLines w:val="0"/>
        <w:pageBreakBefore w:val="0"/>
        <w:widowControl w:val="0"/>
        <w:kinsoku/>
        <w:wordWrap/>
        <w:overflowPunct/>
        <w:topLinePunct w:val="0"/>
        <w:bidi w:val="0"/>
        <w:spacing w:beforeLines="0" w:afterLines="0" w:line="360" w:lineRule="auto"/>
        <w:ind w:firstLine="420" w:firstLineChars="200"/>
        <w:rPr>
          <w:rFonts w:hint="eastAsia"/>
          <w:color w:val="auto"/>
          <w:szCs w:val="21"/>
          <w:highlight w:val="none"/>
        </w:rPr>
      </w:pPr>
      <w:r>
        <w:rPr>
          <w:color w:val="auto"/>
          <w:szCs w:val="21"/>
          <w:highlight w:val="none"/>
        </w:rPr>
        <w:t>4.</w:t>
      </w:r>
      <w:r>
        <w:rPr>
          <w:rFonts w:hint="eastAsia"/>
          <w:color w:val="auto"/>
          <w:szCs w:val="21"/>
          <w:highlight w:val="none"/>
        </w:rPr>
        <w:t>质疑函的质疑事项应具体、明确，并有必要的事实依据和法律依据。</w:t>
      </w:r>
    </w:p>
    <w:p w14:paraId="19431C07">
      <w:pPr>
        <w:keepNext w:val="0"/>
        <w:keepLines w:val="0"/>
        <w:pageBreakBefore w:val="0"/>
        <w:widowControl w:val="0"/>
        <w:kinsoku/>
        <w:wordWrap/>
        <w:overflowPunct/>
        <w:topLinePunct w:val="0"/>
        <w:bidi w:val="0"/>
        <w:spacing w:beforeLines="0" w:afterLines="0" w:line="360" w:lineRule="auto"/>
        <w:ind w:firstLine="420" w:firstLineChars="200"/>
        <w:rPr>
          <w:rFonts w:hint="eastAsia"/>
          <w:color w:val="auto"/>
          <w:szCs w:val="21"/>
          <w:highlight w:val="none"/>
        </w:rPr>
      </w:pPr>
      <w:r>
        <w:rPr>
          <w:color w:val="auto"/>
          <w:szCs w:val="21"/>
          <w:highlight w:val="none"/>
        </w:rPr>
        <w:t>5.</w:t>
      </w:r>
      <w:r>
        <w:rPr>
          <w:rFonts w:hint="eastAsia"/>
          <w:color w:val="auto"/>
          <w:szCs w:val="21"/>
          <w:highlight w:val="none"/>
        </w:rPr>
        <w:t>质疑函的质疑请求应与质疑事项相关。</w:t>
      </w:r>
    </w:p>
    <w:p w14:paraId="7C3E028A">
      <w:pPr>
        <w:keepNext w:val="0"/>
        <w:keepLines w:val="0"/>
        <w:pageBreakBefore w:val="0"/>
        <w:widowControl w:val="0"/>
        <w:kinsoku/>
        <w:wordWrap/>
        <w:overflowPunct/>
        <w:topLinePunct w:val="0"/>
        <w:bidi w:val="0"/>
        <w:spacing w:beforeLines="0" w:afterLines="0" w:line="360" w:lineRule="auto"/>
        <w:ind w:firstLine="420" w:firstLineChars="200"/>
        <w:rPr>
          <w:rFonts w:hint="eastAsia"/>
          <w:color w:val="auto"/>
          <w:szCs w:val="21"/>
          <w:highlight w:val="none"/>
        </w:rPr>
      </w:pPr>
      <w:r>
        <w:rPr>
          <w:color w:val="auto"/>
          <w:szCs w:val="21"/>
          <w:highlight w:val="none"/>
        </w:rPr>
        <w:t>6.</w:t>
      </w:r>
      <w:r>
        <w:rPr>
          <w:rFonts w:hint="eastAsia"/>
          <w:color w:val="auto"/>
          <w:szCs w:val="21"/>
          <w:highlight w:val="none"/>
        </w:rPr>
        <w:t>质疑供应商为自然人的，质疑函应由本人签字；质疑供应商为法人或者其他组织的，质疑函应由法定代表人、主要负责人，或者其授权代表签字或者盖章，并加盖公章。</w:t>
      </w:r>
    </w:p>
    <w:p w14:paraId="13D00781">
      <w:pPr>
        <w:keepNext w:val="0"/>
        <w:keepLines w:val="0"/>
        <w:pageBreakBefore w:val="0"/>
        <w:widowControl w:val="0"/>
        <w:kinsoku/>
        <w:wordWrap/>
        <w:overflowPunct/>
        <w:topLinePunct w:val="0"/>
        <w:bidi w:val="0"/>
        <w:spacing w:beforeLines="0" w:afterLines="0" w:line="360" w:lineRule="auto"/>
        <w:ind w:firstLine="420" w:firstLineChars="200"/>
        <w:rPr>
          <w:rFonts w:hint="eastAsia"/>
          <w:b/>
          <w:bCs/>
          <w:color w:val="auto"/>
          <w:sz w:val="24"/>
          <w:highlight w:val="none"/>
        </w:rPr>
      </w:pPr>
      <w:bookmarkStart w:id="278" w:name="_Hlk104040558"/>
      <w:r>
        <w:rPr>
          <w:color w:val="auto"/>
          <w:szCs w:val="21"/>
          <w:highlight w:val="none"/>
        </w:rPr>
        <w:t xml:space="preserve">7. </w:t>
      </w:r>
      <w:r>
        <w:rPr>
          <w:rFonts w:hint="eastAsia"/>
          <w:color w:val="auto"/>
          <w:szCs w:val="21"/>
          <w:highlight w:val="none"/>
        </w:rPr>
        <w:t>供应商应在提交的证明材料中对质疑点的内容作出相应的标识或以醒目的方式标明。</w:t>
      </w:r>
      <w:bookmarkEnd w:id="278"/>
      <w:r>
        <w:rPr>
          <w:b/>
          <w:bCs/>
          <w:color w:val="auto"/>
          <w:sz w:val="24"/>
          <w:highlight w:val="none"/>
        </w:rPr>
        <w:br w:type="page"/>
      </w:r>
    </w:p>
    <w:p w14:paraId="40772E41">
      <w:pPr>
        <w:keepNext w:val="0"/>
        <w:keepLines w:val="0"/>
        <w:pageBreakBefore w:val="0"/>
        <w:widowControl w:val="0"/>
        <w:kinsoku/>
        <w:wordWrap/>
        <w:overflowPunct/>
        <w:topLinePunct w:val="0"/>
        <w:bidi w:val="0"/>
        <w:spacing w:beforeLines="0" w:afterLines="0"/>
        <w:jc w:val="center"/>
        <w:rPr>
          <w:rFonts w:hint="eastAsia"/>
          <w:b/>
          <w:bCs/>
          <w:color w:val="auto"/>
          <w:sz w:val="28"/>
          <w:szCs w:val="28"/>
          <w:highlight w:val="none"/>
        </w:rPr>
      </w:pPr>
      <w:r>
        <w:rPr>
          <w:rFonts w:hint="eastAsia"/>
          <w:b/>
          <w:bCs/>
          <w:color w:val="auto"/>
          <w:sz w:val="28"/>
          <w:szCs w:val="28"/>
          <w:highlight w:val="none"/>
        </w:rPr>
        <w:t>投诉书</w:t>
      </w:r>
    </w:p>
    <w:p w14:paraId="44B3E6D3">
      <w:pPr>
        <w:pStyle w:val="19"/>
        <w:keepNext w:val="0"/>
        <w:keepLines w:val="0"/>
        <w:pageBreakBefore w:val="0"/>
        <w:widowControl w:val="0"/>
        <w:numPr>
          <w:ilvl w:val="2"/>
          <w:numId w:val="28"/>
        </w:numPr>
        <w:kinsoku/>
        <w:wordWrap/>
        <w:overflowPunct/>
        <w:topLinePunct w:val="0"/>
        <w:bidi w:val="0"/>
        <w:spacing w:beforeLines="0" w:afterLines="0"/>
        <w:ind w:left="0" w:firstLine="0"/>
        <w:rPr>
          <w:rFonts w:hint="eastAsia"/>
          <w:b/>
          <w:bCs/>
          <w:color w:val="auto"/>
          <w:szCs w:val="20"/>
          <w:highlight w:val="none"/>
        </w:rPr>
      </w:pPr>
      <w:r>
        <w:rPr>
          <w:rFonts w:hint="eastAsia"/>
          <w:b/>
          <w:bCs/>
          <w:color w:val="auto"/>
          <w:szCs w:val="20"/>
          <w:highlight w:val="none"/>
        </w:rPr>
        <w:t>投诉相关主体基本情况</w:t>
      </w:r>
    </w:p>
    <w:p w14:paraId="43009764">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投诉人：</w:t>
      </w:r>
      <w:r>
        <w:rPr>
          <w:rFonts w:hint="eastAsia" w:cs="仿宋"/>
          <w:color w:val="auto"/>
          <w:szCs w:val="21"/>
          <w:highlight w:val="none"/>
          <w:u w:val="dotted"/>
        </w:rPr>
        <w:t xml:space="preserve">                 </w:t>
      </w:r>
      <w:r>
        <w:rPr>
          <w:rFonts w:cs="仿宋"/>
          <w:color w:val="auto"/>
          <w:szCs w:val="21"/>
          <w:highlight w:val="none"/>
          <w:u w:val="dotted"/>
        </w:rPr>
        <w:t>.</w:t>
      </w:r>
    </w:p>
    <w:p w14:paraId="603D20C7">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地 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028FF846">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法定代表人/主要负责人：</w:t>
      </w:r>
      <w:r>
        <w:rPr>
          <w:rFonts w:hint="eastAsia" w:cs="仿宋"/>
          <w:color w:val="auto"/>
          <w:szCs w:val="21"/>
          <w:highlight w:val="none"/>
          <w:u w:val="dotted"/>
        </w:rPr>
        <w:t xml:space="preserve">                 </w:t>
      </w:r>
      <w:r>
        <w:rPr>
          <w:rFonts w:cs="仿宋"/>
          <w:color w:val="auto"/>
          <w:szCs w:val="21"/>
          <w:highlight w:val="none"/>
          <w:u w:val="dotted"/>
        </w:rPr>
        <w:t>.</w:t>
      </w:r>
    </w:p>
    <w:p w14:paraId="5D257D08">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541C21AB">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授权代表：</w:t>
      </w:r>
      <w:r>
        <w:rPr>
          <w:rFonts w:hint="eastAsia" w:cs="仿宋"/>
          <w:color w:val="auto"/>
          <w:szCs w:val="21"/>
          <w:highlight w:val="none"/>
          <w:u w:val="dotted"/>
        </w:rPr>
        <w:t xml:space="preserve">                 </w:t>
      </w: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0DA18AD5">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地址：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64EA4B91">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被投诉人1：</w:t>
      </w:r>
      <w:r>
        <w:rPr>
          <w:rFonts w:hint="eastAsia" w:cs="仿宋"/>
          <w:color w:val="auto"/>
          <w:szCs w:val="21"/>
          <w:highlight w:val="none"/>
          <w:u w:val="dotted"/>
        </w:rPr>
        <w:t xml:space="preserve">                 </w:t>
      </w:r>
      <w:r>
        <w:rPr>
          <w:rFonts w:cs="仿宋"/>
          <w:color w:val="auto"/>
          <w:szCs w:val="21"/>
          <w:highlight w:val="none"/>
          <w:u w:val="dotted"/>
        </w:rPr>
        <w:t>.</w:t>
      </w:r>
    </w:p>
    <w:p w14:paraId="2AF08485">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地址：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0C70E56B">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联系人：</w:t>
      </w:r>
      <w:r>
        <w:rPr>
          <w:rFonts w:hint="eastAsia" w:cs="仿宋"/>
          <w:color w:val="auto"/>
          <w:szCs w:val="21"/>
          <w:highlight w:val="none"/>
          <w:u w:val="dotted"/>
        </w:rPr>
        <w:t xml:space="preserve">                 </w:t>
      </w: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0F02AFBE">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被投诉人2：</w:t>
      </w:r>
      <w:r>
        <w:rPr>
          <w:rFonts w:hint="eastAsia" w:cs="仿宋"/>
          <w:color w:val="auto"/>
          <w:szCs w:val="21"/>
          <w:highlight w:val="none"/>
          <w:u w:val="dotted"/>
        </w:rPr>
        <w:t xml:space="preserve">                 </w:t>
      </w:r>
      <w:r>
        <w:rPr>
          <w:rFonts w:cs="仿宋"/>
          <w:color w:val="auto"/>
          <w:szCs w:val="21"/>
          <w:highlight w:val="none"/>
          <w:u w:val="dotted"/>
        </w:rPr>
        <w:t>.</w:t>
      </w:r>
    </w:p>
    <w:p w14:paraId="5D96B499">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w:t>
      </w:r>
    </w:p>
    <w:p w14:paraId="0484050C">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相关供应商：</w:t>
      </w:r>
      <w:r>
        <w:rPr>
          <w:rFonts w:hint="eastAsia" w:cs="仿宋"/>
          <w:color w:val="auto"/>
          <w:szCs w:val="21"/>
          <w:highlight w:val="none"/>
          <w:u w:val="dotted"/>
        </w:rPr>
        <w:t xml:space="preserve">                 </w:t>
      </w:r>
      <w:r>
        <w:rPr>
          <w:rFonts w:cs="仿宋"/>
          <w:color w:val="auto"/>
          <w:szCs w:val="21"/>
          <w:highlight w:val="none"/>
          <w:u w:val="dotted"/>
        </w:rPr>
        <w:t>.</w:t>
      </w:r>
    </w:p>
    <w:p w14:paraId="77F4FCCF">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地址：</w:t>
      </w:r>
      <w:r>
        <w:rPr>
          <w:rFonts w:hint="eastAsia" w:cs="仿宋"/>
          <w:color w:val="auto"/>
          <w:szCs w:val="21"/>
          <w:highlight w:val="none"/>
          <w:u w:val="dotted"/>
        </w:rPr>
        <w:t xml:space="preserve">                 </w:t>
      </w:r>
      <w:r>
        <w:rPr>
          <w:rFonts w:hint="eastAsia"/>
          <w:color w:val="auto"/>
          <w:szCs w:val="21"/>
          <w:highlight w:val="none"/>
        </w:rPr>
        <w:t>邮编：</w:t>
      </w:r>
      <w:r>
        <w:rPr>
          <w:rFonts w:hint="eastAsia" w:cs="仿宋"/>
          <w:color w:val="auto"/>
          <w:szCs w:val="21"/>
          <w:highlight w:val="none"/>
          <w:u w:val="dotted"/>
        </w:rPr>
        <w:t xml:space="preserve">                 </w:t>
      </w:r>
      <w:r>
        <w:rPr>
          <w:rFonts w:cs="仿宋"/>
          <w:color w:val="auto"/>
          <w:szCs w:val="21"/>
          <w:highlight w:val="none"/>
          <w:u w:val="dotted"/>
        </w:rPr>
        <w:t>.</w:t>
      </w:r>
    </w:p>
    <w:p w14:paraId="6F016191">
      <w:pPr>
        <w:pStyle w:val="19"/>
        <w:keepNext w:val="0"/>
        <w:keepLines w:val="0"/>
        <w:pageBreakBefore w:val="0"/>
        <w:widowControl w:val="0"/>
        <w:kinsoku/>
        <w:wordWrap/>
        <w:overflowPunct/>
        <w:topLinePunct w:val="0"/>
        <w:bidi w:val="0"/>
        <w:spacing w:beforeLines="0" w:afterLines="0"/>
        <w:rPr>
          <w:rFonts w:hint="eastAsia" w:cs="仿宋"/>
          <w:color w:val="auto"/>
          <w:szCs w:val="21"/>
          <w:highlight w:val="none"/>
          <w:u w:val="dotted"/>
        </w:rPr>
      </w:pPr>
      <w:r>
        <w:rPr>
          <w:rFonts w:hint="eastAsia"/>
          <w:color w:val="auto"/>
          <w:szCs w:val="21"/>
          <w:highlight w:val="none"/>
        </w:rPr>
        <w:t>联系人：</w:t>
      </w:r>
      <w:r>
        <w:rPr>
          <w:rFonts w:hint="eastAsia" w:cs="仿宋"/>
          <w:color w:val="auto"/>
          <w:szCs w:val="21"/>
          <w:highlight w:val="none"/>
          <w:u w:val="dotted"/>
        </w:rPr>
        <w:t xml:space="preserve">                 </w:t>
      </w:r>
      <w:r>
        <w:rPr>
          <w:rFonts w:hint="eastAsia"/>
          <w:color w:val="auto"/>
          <w:szCs w:val="21"/>
          <w:highlight w:val="none"/>
        </w:rPr>
        <w:t>联系电话：</w:t>
      </w:r>
      <w:r>
        <w:rPr>
          <w:rFonts w:hint="eastAsia" w:cs="仿宋"/>
          <w:color w:val="auto"/>
          <w:szCs w:val="21"/>
          <w:highlight w:val="none"/>
          <w:u w:val="dotted"/>
        </w:rPr>
        <w:t xml:space="preserve">                 </w:t>
      </w:r>
      <w:r>
        <w:rPr>
          <w:rFonts w:cs="仿宋"/>
          <w:color w:val="auto"/>
          <w:szCs w:val="21"/>
          <w:highlight w:val="none"/>
          <w:u w:val="dotted"/>
        </w:rPr>
        <w:t>.</w:t>
      </w:r>
    </w:p>
    <w:p w14:paraId="7627650E">
      <w:pPr>
        <w:pStyle w:val="19"/>
        <w:keepNext w:val="0"/>
        <w:keepLines w:val="0"/>
        <w:pageBreakBefore w:val="0"/>
        <w:widowControl w:val="0"/>
        <w:numPr>
          <w:ilvl w:val="2"/>
          <w:numId w:val="28"/>
        </w:numPr>
        <w:kinsoku/>
        <w:wordWrap/>
        <w:overflowPunct/>
        <w:topLinePunct w:val="0"/>
        <w:bidi w:val="0"/>
        <w:spacing w:beforeLines="0" w:afterLines="0"/>
        <w:ind w:left="0" w:firstLine="0"/>
        <w:rPr>
          <w:rFonts w:hint="eastAsia"/>
          <w:b/>
          <w:bCs/>
          <w:color w:val="auto"/>
          <w:szCs w:val="20"/>
          <w:highlight w:val="none"/>
        </w:rPr>
      </w:pPr>
      <w:r>
        <w:rPr>
          <w:rFonts w:hint="eastAsia"/>
          <w:b/>
          <w:bCs/>
          <w:color w:val="auto"/>
          <w:szCs w:val="20"/>
          <w:highlight w:val="none"/>
        </w:rPr>
        <w:t>投诉项目基本情况</w:t>
      </w:r>
    </w:p>
    <w:p w14:paraId="433910DA">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采购项目名称：</w:t>
      </w:r>
      <w:r>
        <w:rPr>
          <w:rFonts w:hint="eastAsia" w:cs="仿宋"/>
          <w:color w:val="auto"/>
          <w:szCs w:val="21"/>
          <w:highlight w:val="none"/>
          <w:u w:val="dotted"/>
        </w:rPr>
        <w:t xml:space="preserve">                 </w:t>
      </w:r>
      <w:r>
        <w:rPr>
          <w:rFonts w:cs="仿宋"/>
          <w:color w:val="auto"/>
          <w:szCs w:val="21"/>
          <w:highlight w:val="none"/>
          <w:u w:val="dotted"/>
        </w:rPr>
        <w:t>.</w:t>
      </w:r>
    </w:p>
    <w:p w14:paraId="5394297C">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采购项目编号：</w:t>
      </w:r>
      <w:r>
        <w:rPr>
          <w:rFonts w:hint="eastAsia" w:cs="仿宋"/>
          <w:color w:val="auto"/>
          <w:szCs w:val="21"/>
          <w:highlight w:val="none"/>
          <w:u w:val="dotted"/>
        </w:rPr>
        <w:t xml:space="preserve">                 </w:t>
      </w:r>
      <w:r>
        <w:rPr>
          <w:rFonts w:hint="eastAsia"/>
          <w:color w:val="auto"/>
          <w:szCs w:val="21"/>
          <w:highlight w:val="none"/>
        </w:rPr>
        <w:t>包号：</w:t>
      </w:r>
      <w:r>
        <w:rPr>
          <w:rFonts w:hint="eastAsia" w:cs="仿宋"/>
          <w:color w:val="auto"/>
          <w:szCs w:val="21"/>
          <w:highlight w:val="none"/>
          <w:u w:val="dotted"/>
        </w:rPr>
        <w:t xml:space="preserve">                 </w:t>
      </w:r>
      <w:r>
        <w:rPr>
          <w:rFonts w:cs="仿宋"/>
          <w:color w:val="auto"/>
          <w:szCs w:val="21"/>
          <w:highlight w:val="none"/>
          <w:u w:val="dotted"/>
        </w:rPr>
        <w:t>.</w:t>
      </w:r>
    </w:p>
    <w:p w14:paraId="7DA4C1CE">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采购人名称：</w:t>
      </w:r>
      <w:r>
        <w:rPr>
          <w:rFonts w:hint="eastAsia" w:cs="仿宋"/>
          <w:color w:val="auto"/>
          <w:szCs w:val="21"/>
          <w:highlight w:val="none"/>
          <w:u w:val="dotted"/>
        </w:rPr>
        <w:t xml:space="preserve">                 </w:t>
      </w:r>
      <w:r>
        <w:rPr>
          <w:rFonts w:cs="仿宋"/>
          <w:color w:val="auto"/>
          <w:szCs w:val="21"/>
          <w:highlight w:val="none"/>
          <w:u w:val="dotted"/>
        </w:rPr>
        <w:t>.</w:t>
      </w:r>
    </w:p>
    <w:p w14:paraId="4810F935">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代理机构名称：</w:t>
      </w:r>
      <w:r>
        <w:rPr>
          <w:rFonts w:hint="eastAsia" w:cs="仿宋"/>
          <w:color w:val="auto"/>
          <w:szCs w:val="21"/>
          <w:highlight w:val="none"/>
          <w:u w:val="dotted"/>
        </w:rPr>
        <w:t xml:space="preserve">                 </w:t>
      </w:r>
      <w:r>
        <w:rPr>
          <w:rFonts w:cs="仿宋"/>
          <w:color w:val="auto"/>
          <w:szCs w:val="21"/>
          <w:highlight w:val="none"/>
          <w:u w:val="dotted"/>
        </w:rPr>
        <w:t>.</w:t>
      </w:r>
    </w:p>
    <w:p w14:paraId="44D8BA45">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采购文件公告：</w:t>
      </w:r>
      <w:r>
        <w:rPr>
          <w:rFonts w:hint="eastAsia"/>
          <w:color w:val="auto"/>
          <w:szCs w:val="21"/>
          <w:highlight w:val="none"/>
          <w:u w:val="single"/>
        </w:rPr>
        <w:t>是/否</w:t>
      </w:r>
      <w:r>
        <w:rPr>
          <w:rFonts w:hint="eastAsia"/>
          <w:color w:val="auto"/>
          <w:szCs w:val="21"/>
          <w:highlight w:val="none"/>
        </w:rPr>
        <w:t xml:space="preserve"> 公告期限：</w:t>
      </w:r>
      <w:r>
        <w:rPr>
          <w:rFonts w:hint="eastAsia" w:cs="仿宋"/>
          <w:color w:val="auto"/>
          <w:szCs w:val="21"/>
          <w:highlight w:val="none"/>
          <w:u w:val="dotted"/>
        </w:rPr>
        <w:t xml:space="preserve">                 </w:t>
      </w:r>
      <w:r>
        <w:rPr>
          <w:rFonts w:cs="仿宋"/>
          <w:color w:val="auto"/>
          <w:szCs w:val="21"/>
          <w:highlight w:val="none"/>
          <w:u w:val="dotted"/>
        </w:rPr>
        <w:t>.</w:t>
      </w:r>
    </w:p>
    <w:p w14:paraId="34DC43E9">
      <w:pPr>
        <w:pStyle w:val="19"/>
        <w:keepNext w:val="0"/>
        <w:keepLines w:val="0"/>
        <w:pageBreakBefore w:val="0"/>
        <w:widowControl w:val="0"/>
        <w:kinsoku/>
        <w:wordWrap/>
        <w:overflowPunct/>
        <w:topLinePunct w:val="0"/>
        <w:bidi w:val="0"/>
        <w:spacing w:beforeLines="0" w:afterLines="0"/>
        <w:rPr>
          <w:rFonts w:hint="eastAsia" w:cs="仿宋"/>
          <w:color w:val="auto"/>
          <w:szCs w:val="21"/>
          <w:highlight w:val="none"/>
          <w:u w:val="dotted"/>
        </w:rPr>
      </w:pPr>
      <w:r>
        <w:rPr>
          <w:rFonts w:hint="eastAsia"/>
          <w:color w:val="auto"/>
          <w:szCs w:val="21"/>
          <w:highlight w:val="none"/>
        </w:rPr>
        <w:t>采购结果公告：</w:t>
      </w:r>
      <w:r>
        <w:rPr>
          <w:rFonts w:hint="eastAsia"/>
          <w:color w:val="auto"/>
          <w:szCs w:val="21"/>
          <w:highlight w:val="none"/>
          <w:u w:val="single"/>
        </w:rPr>
        <w:t>是/否</w:t>
      </w:r>
      <w:r>
        <w:rPr>
          <w:rFonts w:hint="eastAsia"/>
          <w:color w:val="auto"/>
          <w:szCs w:val="21"/>
          <w:highlight w:val="none"/>
        </w:rPr>
        <w:t xml:space="preserve"> 公告期限：</w:t>
      </w:r>
      <w:r>
        <w:rPr>
          <w:rFonts w:hint="eastAsia" w:cs="仿宋"/>
          <w:color w:val="auto"/>
          <w:szCs w:val="21"/>
          <w:highlight w:val="none"/>
          <w:u w:val="dotted"/>
        </w:rPr>
        <w:t xml:space="preserve">                 </w:t>
      </w:r>
      <w:r>
        <w:rPr>
          <w:rFonts w:cs="仿宋"/>
          <w:color w:val="auto"/>
          <w:szCs w:val="21"/>
          <w:highlight w:val="none"/>
          <w:u w:val="dotted"/>
        </w:rPr>
        <w:t>.</w:t>
      </w:r>
    </w:p>
    <w:p w14:paraId="32AF1028">
      <w:pPr>
        <w:pStyle w:val="19"/>
        <w:keepNext w:val="0"/>
        <w:keepLines w:val="0"/>
        <w:pageBreakBefore w:val="0"/>
        <w:widowControl w:val="0"/>
        <w:numPr>
          <w:ilvl w:val="2"/>
          <w:numId w:val="28"/>
        </w:numPr>
        <w:kinsoku/>
        <w:wordWrap/>
        <w:overflowPunct/>
        <w:topLinePunct w:val="0"/>
        <w:bidi w:val="0"/>
        <w:spacing w:beforeLines="0" w:afterLines="0"/>
        <w:ind w:left="0" w:firstLine="0"/>
        <w:rPr>
          <w:rFonts w:hint="eastAsia"/>
          <w:b/>
          <w:bCs/>
          <w:color w:val="auto"/>
          <w:szCs w:val="20"/>
          <w:highlight w:val="none"/>
        </w:rPr>
      </w:pPr>
      <w:r>
        <w:rPr>
          <w:rFonts w:hint="eastAsia"/>
          <w:b/>
          <w:bCs/>
          <w:color w:val="auto"/>
          <w:szCs w:val="20"/>
          <w:highlight w:val="none"/>
        </w:rPr>
        <w:t>质疑基本情况</w:t>
      </w:r>
    </w:p>
    <w:p w14:paraId="6DD29A15">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rPr>
        <w:t>投诉人于 ____年____月____日,向</w:t>
      </w:r>
      <w:r>
        <w:rPr>
          <w:rFonts w:hint="eastAsia" w:cs="仿宋"/>
          <w:color w:val="auto"/>
          <w:szCs w:val="21"/>
          <w:highlight w:val="none"/>
          <w:u w:val="dotted"/>
        </w:rPr>
        <w:t xml:space="preserve">              </w:t>
      </w:r>
      <w:r>
        <w:rPr>
          <w:rFonts w:hint="eastAsia"/>
          <w:color w:val="auto"/>
          <w:szCs w:val="21"/>
          <w:highlight w:val="none"/>
        </w:rPr>
        <w:t>提出质疑，质疑事项为：</w:t>
      </w:r>
      <w:r>
        <w:rPr>
          <w:rFonts w:hint="eastAsia" w:cs="仿宋"/>
          <w:color w:val="auto"/>
          <w:szCs w:val="21"/>
          <w:highlight w:val="none"/>
          <w:u w:val="dotted"/>
        </w:rPr>
        <w:t xml:space="preserve">                 </w:t>
      </w:r>
      <w:r>
        <w:rPr>
          <w:rFonts w:cs="仿宋"/>
          <w:color w:val="auto"/>
          <w:szCs w:val="21"/>
          <w:highlight w:val="none"/>
          <w:u w:val="dotted"/>
        </w:rPr>
        <w:t>.</w:t>
      </w:r>
    </w:p>
    <w:p w14:paraId="2055A0B9">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1"/>
          <w:highlight w:val="none"/>
        </w:rPr>
      </w:pPr>
      <w:r>
        <w:rPr>
          <w:rFonts w:hint="eastAsia"/>
          <w:color w:val="auto"/>
          <w:szCs w:val="21"/>
          <w:highlight w:val="none"/>
          <w:u w:val="single"/>
        </w:rPr>
        <w:t xml:space="preserve"> </w:t>
      </w:r>
      <w:r>
        <w:rPr>
          <w:color w:val="auto"/>
          <w:szCs w:val="21"/>
          <w:highlight w:val="none"/>
          <w:u w:val="single"/>
        </w:rPr>
        <w:t xml:space="preserve">   </w:t>
      </w:r>
      <w:r>
        <w:rPr>
          <w:rFonts w:hint="eastAsia"/>
          <w:color w:val="auto"/>
          <w:szCs w:val="21"/>
          <w:highlight w:val="none"/>
          <w:u w:val="single"/>
        </w:rPr>
        <w:t>采购人/代理机构</w:t>
      </w:r>
      <w:r>
        <w:rPr>
          <w:rFonts w:hint="eastAsia"/>
          <w:color w:val="auto"/>
          <w:szCs w:val="21"/>
          <w:highlight w:val="none"/>
        </w:rPr>
        <w:t>于____年____月____日,就质疑事项作出了答复/没有在法定期限内作出答复。</w:t>
      </w:r>
    </w:p>
    <w:p w14:paraId="3D24DABB">
      <w:pPr>
        <w:pStyle w:val="19"/>
        <w:keepNext w:val="0"/>
        <w:keepLines w:val="0"/>
        <w:pageBreakBefore w:val="0"/>
        <w:widowControl w:val="0"/>
        <w:numPr>
          <w:ilvl w:val="2"/>
          <w:numId w:val="28"/>
        </w:numPr>
        <w:kinsoku/>
        <w:wordWrap/>
        <w:overflowPunct/>
        <w:topLinePunct w:val="0"/>
        <w:bidi w:val="0"/>
        <w:spacing w:beforeLines="0" w:afterLines="0"/>
        <w:ind w:left="0" w:firstLine="0"/>
        <w:rPr>
          <w:rFonts w:hint="eastAsia"/>
          <w:b/>
          <w:bCs/>
          <w:color w:val="auto"/>
          <w:szCs w:val="20"/>
          <w:highlight w:val="none"/>
        </w:rPr>
      </w:pPr>
      <w:r>
        <w:rPr>
          <w:rFonts w:hint="eastAsia"/>
          <w:b/>
          <w:bCs/>
          <w:color w:val="auto"/>
          <w:szCs w:val="20"/>
          <w:highlight w:val="none"/>
        </w:rPr>
        <w:t>投诉事项具体内容</w:t>
      </w:r>
    </w:p>
    <w:p w14:paraId="28FFEA9E">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投诉事项 1：</w:t>
      </w:r>
      <w:r>
        <w:rPr>
          <w:rFonts w:hint="eastAsia" w:cs="仿宋"/>
          <w:color w:val="auto"/>
          <w:szCs w:val="21"/>
          <w:highlight w:val="none"/>
          <w:u w:val="dotted"/>
        </w:rPr>
        <w:t xml:space="preserve">                 </w:t>
      </w:r>
      <w:r>
        <w:rPr>
          <w:rFonts w:cs="仿宋"/>
          <w:color w:val="auto"/>
          <w:szCs w:val="21"/>
          <w:highlight w:val="none"/>
          <w:u w:val="dotted"/>
        </w:rPr>
        <w:t>.</w:t>
      </w:r>
    </w:p>
    <w:p w14:paraId="1471B2D0">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事实依据：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5EEB09E1">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法律依据：</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1F2A4596">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投诉事项2：</w:t>
      </w:r>
      <w:r>
        <w:rPr>
          <w:rFonts w:hint="eastAsia" w:cs="仿宋"/>
          <w:color w:val="auto"/>
          <w:szCs w:val="21"/>
          <w:highlight w:val="none"/>
          <w:u w:val="dotted"/>
        </w:rPr>
        <w:t xml:space="preserve">                 </w:t>
      </w:r>
      <w:r>
        <w:rPr>
          <w:rFonts w:cs="仿宋"/>
          <w:color w:val="auto"/>
          <w:szCs w:val="21"/>
          <w:highlight w:val="none"/>
          <w:u w:val="dotted"/>
        </w:rPr>
        <w:t>.</w:t>
      </w:r>
    </w:p>
    <w:p w14:paraId="122CE420">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w:t>
      </w:r>
    </w:p>
    <w:p w14:paraId="442A2A56">
      <w:pPr>
        <w:pStyle w:val="19"/>
        <w:keepNext w:val="0"/>
        <w:keepLines w:val="0"/>
        <w:pageBreakBefore w:val="0"/>
        <w:widowControl w:val="0"/>
        <w:numPr>
          <w:ilvl w:val="2"/>
          <w:numId w:val="28"/>
        </w:numPr>
        <w:kinsoku/>
        <w:wordWrap/>
        <w:overflowPunct/>
        <w:topLinePunct w:val="0"/>
        <w:bidi w:val="0"/>
        <w:spacing w:beforeLines="0" w:afterLines="0"/>
        <w:ind w:left="0" w:firstLine="0"/>
        <w:rPr>
          <w:rFonts w:hint="eastAsia"/>
          <w:b/>
          <w:bCs/>
          <w:color w:val="auto"/>
          <w:szCs w:val="20"/>
          <w:highlight w:val="none"/>
        </w:rPr>
      </w:pPr>
      <w:r>
        <w:rPr>
          <w:rFonts w:hint="eastAsia"/>
          <w:b/>
          <w:bCs/>
          <w:color w:val="auto"/>
          <w:szCs w:val="20"/>
          <w:highlight w:val="none"/>
        </w:rPr>
        <w:t>与投诉事项相关的投诉请求</w:t>
      </w:r>
    </w:p>
    <w:p w14:paraId="0FFD51B7">
      <w:pPr>
        <w:pStyle w:val="19"/>
        <w:keepNext w:val="0"/>
        <w:keepLines w:val="0"/>
        <w:pageBreakBefore w:val="0"/>
        <w:widowControl w:val="0"/>
        <w:kinsoku/>
        <w:wordWrap/>
        <w:overflowPunct/>
        <w:topLinePunct w:val="0"/>
        <w:bidi w:val="0"/>
        <w:spacing w:beforeLines="0" w:afterLines="0"/>
        <w:rPr>
          <w:rFonts w:hint="eastAsia"/>
          <w:color w:val="auto"/>
          <w:szCs w:val="21"/>
          <w:highlight w:val="none"/>
        </w:rPr>
      </w:pPr>
      <w:r>
        <w:rPr>
          <w:rFonts w:hint="eastAsia"/>
          <w:color w:val="auto"/>
          <w:szCs w:val="21"/>
          <w:highlight w:val="none"/>
        </w:rPr>
        <w:t>请求：</w:t>
      </w:r>
      <w:r>
        <w:rPr>
          <w:rFonts w:hint="eastAsia" w:cs="仿宋"/>
          <w:color w:val="auto"/>
          <w:szCs w:val="21"/>
          <w:highlight w:val="none"/>
          <w:u w:val="dotted"/>
        </w:rPr>
        <w:t xml:space="preserve">                 </w:t>
      </w:r>
      <w:r>
        <w:rPr>
          <w:rFonts w:cs="仿宋"/>
          <w:color w:val="auto"/>
          <w:szCs w:val="21"/>
          <w:highlight w:val="none"/>
          <w:u w:val="dotted"/>
        </w:rPr>
        <w:t>.</w:t>
      </w:r>
    </w:p>
    <w:p w14:paraId="4121BED7">
      <w:pPr>
        <w:pStyle w:val="19"/>
        <w:keepNext w:val="0"/>
        <w:keepLines w:val="0"/>
        <w:pageBreakBefore w:val="0"/>
        <w:widowControl w:val="0"/>
        <w:kinsoku/>
        <w:wordWrap/>
        <w:overflowPunct/>
        <w:topLinePunct w:val="0"/>
        <w:bidi w:val="0"/>
        <w:spacing w:beforeLines="0" w:afterLines="0"/>
        <w:rPr>
          <w:rFonts w:hint="eastAsia"/>
          <w:color w:val="auto"/>
          <w:szCs w:val="20"/>
          <w:highlight w:val="none"/>
        </w:rPr>
      </w:pPr>
    </w:p>
    <w:p w14:paraId="018BB614">
      <w:pPr>
        <w:keepNext w:val="0"/>
        <w:keepLines w:val="0"/>
        <w:pageBreakBefore w:val="0"/>
        <w:widowControl w:val="0"/>
        <w:kinsoku/>
        <w:wordWrap/>
        <w:overflowPunct/>
        <w:topLinePunct w:val="0"/>
        <w:bidi w:val="0"/>
        <w:spacing w:beforeLines="0" w:afterLines="0"/>
        <w:jc w:val="right"/>
        <w:rPr>
          <w:rFonts w:hint="eastAsia"/>
          <w:color w:val="auto"/>
          <w:szCs w:val="21"/>
          <w:highlight w:val="none"/>
        </w:rPr>
      </w:pPr>
      <w:r>
        <w:rPr>
          <w:rFonts w:hint="eastAsia"/>
          <w:color w:val="auto"/>
          <w:szCs w:val="21"/>
          <w:highlight w:val="none"/>
        </w:rPr>
        <w:t>签字（签章）：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hint="eastAsia"/>
          <w:color w:val="auto"/>
          <w:szCs w:val="21"/>
          <w:highlight w:val="none"/>
        </w:rPr>
        <w:t>公章：</w:t>
      </w:r>
      <w:r>
        <w:rPr>
          <w:rFonts w:hint="eastAsia" w:cs="仿宋"/>
          <w:color w:val="auto"/>
          <w:szCs w:val="21"/>
          <w:highlight w:val="none"/>
          <w:u w:val="dotted"/>
        </w:rPr>
        <w:t xml:space="preserve">       </w:t>
      </w:r>
      <w:r>
        <w:rPr>
          <w:rFonts w:cs="仿宋"/>
          <w:color w:val="auto"/>
          <w:szCs w:val="21"/>
          <w:highlight w:val="none"/>
          <w:u w:val="dotted"/>
        </w:rPr>
        <w:t xml:space="preserve"> </w:t>
      </w:r>
      <w:r>
        <w:rPr>
          <w:rFonts w:hint="eastAsia" w:cs="仿宋"/>
          <w:color w:val="auto"/>
          <w:szCs w:val="21"/>
          <w:highlight w:val="none"/>
          <w:u w:val="dotted"/>
        </w:rPr>
        <w:t xml:space="preserve">   </w:t>
      </w:r>
      <w:r>
        <w:rPr>
          <w:rFonts w:cs="仿宋"/>
          <w:color w:val="auto"/>
          <w:szCs w:val="21"/>
          <w:highlight w:val="none"/>
          <w:u w:val="dotted"/>
        </w:rPr>
        <w:t>.</w:t>
      </w:r>
    </w:p>
    <w:p w14:paraId="0539581D">
      <w:pPr>
        <w:pStyle w:val="19"/>
        <w:keepNext w:val="0"/>
        <w:keepLines w:val="0"/>
        <w:pageBreakBefore w:val="0"/>
        <w:widowControl w:val="0"/>
        <w:kinsoku/>
        <w:wordWrap/>
        <w:overflowPunct/>
        <w:topLinePunct w:val="0"/>
        <w:bidi w:val="0"/>
        <w:spacing w:beforeLines="0" w:afterLines="0"/>
        <w:jc w:val="right"/>
        <w:rPr>
          <w:rFonts w:hint="eastAsia"/>
          <w:color w:val="auto"/>
          <w:szCs w:val="20"/>
          <w:highlight w:val="none"/>
        </w:rPr>
      </w:pPr>
      <w:r>
        <w:rPr>
          <w:rFonts w:hint="eastAsia"/>
          <w:color w:val="auto"/>
          <w:szCs w:val="16"/>
          <w:highlight w:val="none"/>
        </w:rPr>
        <w:t>日期：</w:t>
      </w:r>
      <w:r>
        <w:rPr>
          <w:rFonts w:hint="eastAsia" w:cs="仿宋"/>
          <w:color w:val="auto"/>
          <w:szCs w:val="16"/>
          <w:highlight w:val="none"/>
          <w:u w:val="dotted"/>
        </w:rPr>
        <w:t xml:space="preserve">     </w:t>
      </w:r>
      <w:r>
        <w:rPr>
          <w:rFonts w:hint="eastAsia"/>
          <w:color w:val="auto"/>
          <w:szCs w:val="16"/>
          <w:highlight w:val="none"/>
        </w:rPr>
        <w:t>年</w:t>
      </w:r>
      <w:r>
        <w:rPr>
          <w:rFonts w:hint="eastAsia" w:cs="仿宋"/>
          <w:color w:val="auto"/>
          <w:szCs w:val="16"/>
          <w:highlight w:val="none"/>
          <w:u w:val="dotted"/>
        </w:rPr>
        <w:t xml:space="preserve">     </w:t>
      </w:r>
      <w:r>
        <w:rPr>
          <w:rFonts w:hint="eastAsia"/>
          <w:color w:val="auto"/>
          <w:szCs w:val="16"/>
          <w:highlight w:val="none"/>
        </w:rPr>
        <w:t>月</w:t>
      </w:r>
      <w:r>
        <w:rPr>
          <w:rFonts w:hint="eastAsia" w:cs="仿宋"/>
          <w:color w:val="auto"/>
          <w:szCs w:val="16"/>
          <w:highlight w:val="none"/>
          <w:u w:val="dotted"/>
        </w:rPr>
        <w:t xml:space="preserve">     </w:t>
      </w:r>
      <w:r>
        <w:rPr>
          <w:rFonts w:hint="eastAsia"/>
          <w:color w:val="auto"/>
          <w:szCs w:val="16"/>
          <w:highlight w:val="none"/>
        </w:rPr>
        <w:t>日</w:t>
      </w:r>
      <w:r>
        <w:rPr>
          <w:color w:val="auto"/>
          <w:sz w:val="16"/>
          <w:szCs w:val="15"/>
          <w:highlight w:val="none"/>
        </w:rPr>
        <w:cr/>
      </w:r>
    </w:p>
    <w:p w14:paraId="720F15E9">
      <w:pPr>
        <w:pStyle w:val="19"/>
        <w:keepNext w:val="0"/>
        <w:keepLines w:val="0"/>
        <w:pageBreakBefore w:val="0"/>
        <w:widowControl w:val="0"/>
        <w:kinsoku/>
        <w:wordWrap/>
        <w:overflowPunct/>
        <w:topLinePunct w:val="0"/>
        <w:bidi w:val="0"/>
        <w:spacing w:beforeLines="0" w:afterLines="0"/>
        <w:rPr>
          <w:rFonts w:hint="eastAsia"/>
          <w:color w:val="auto"/>
          <w:szCs w:val="20"/>
          <w:highlight w:val="none"/>
        </w:rPr>
      </w:pPr>
      <w:r>
        <w:rPr>
          <w:rFonts w:hint="eastAsia"/>
          <w:color w:val="auto"/>
          <w:szCs w:val="20"/>
          <w:highlight w:val="none"/>
        </w:rPr>
        <w:t>投诉书制作说明：</w:t>
      </w:r>
    </w:p>
    <w:p w14:paraId="1672AE4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1.投诉人提起投诉时，应当提交投诉书和必要的证明材料，并按照被投诉人和与投诉事项有关的供应商数量提供投诉书副本。</w:t>
      </w:r>
    </w:p>
    <w:p w14:paraId="3CD7919D">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28F65DF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3.投诉人若对项目的某一分包进行投诉，投诉书应列明具体分包号。</w:t>
      </w:r>
    </w:p>
    <w:p w14:paraId="45E7379F">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4.投诉书应简要列明质疑事项，质疑函、质疑答复等作为附件材料提供。</w:t>
      </w:r>
    </w:p>
    <w:p w14:paraId="55F25CD7">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5.投诉书的投诉事项应具体、明确，并有必要的事实依据和法律依据。</w:t>
      </w:r>
    </w:p>
    <w:p w14:paraId="23EB875B">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6.投诉书的投诉请求应与投诉事项相关。</w:t>
      </w:r>
    </w:p>
    <w:p w14:paraId="76DF3938">
      <w:pPr>
        <w:pStyle w:val="19"/>
        <w:keepNext w:val="0"/>
        <w:keepLines w:val="0"/>
        <w:pageBreakBefore w:val="0"/>
        <w:widowControl w:val="0"/>
        <w:kinsoku/>
        <w:wordWrap/>
        <w:overflowPunct/>
        <w:topLinePunct w:val="0"/>
        <w:bidi w:val="0"/>
        <w:spacing w:beforeLines="0" w:afterLines="0"/>
        <w:ind w:firstLine="420" w:firstLineChars="200"/>
        <w:rPr>
          <w:rFonts w:hint="eastAsia"/>
          <w:color w:val="auto"/>
          <w:szCs w:val="20"/>
          <w:highlight w:val="none"/>
        </w:rPr>
      </w:pPr>
      <w:r>
        <w:rPr>
          <w:rFonts w:hint="eastAsia"/>
          <w:color w:val="auto"/>
          <w:szCs w:val="20"/>
          <w:highlight w:val="none"/>
        </w:rPr>
        <w:t>7.投诉人为自然人的，投诉书应当由本人签字；投诉人为法人或者其他组织的，投诉书应当由法定代表人、主要负责人，或者其授权代表签字或者盖章，并加盖公章。</w:t>
      </w:r>
      <w:r>
        <w:rPr>
          <w:color w:val="auto"/>
          <w:szCs w:val="20"/>
          <w:highlight w:val="none"/>
        </w:rPr>
        <w:cr/>
      </w:r>
    </w:p>
    <w:sectPr>
      <w:pgSz w:w="11906" w:h="16838"/>
      <w:pgMar w:top="1134" w:right="1134" w:bottom="1134" w:left="1134" w:header="426" w:footer="992" w:gutter="0"/>
      <w:paperSrc w:first="7"/>
      <w:pgNumType w:fmt="decimal"/>
      <w:cols w:space="0" w:num="1"/>
      <w:titlePg/>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鼎CS中黑">
    <w:altName w:val="黑体"/>
    <w:panose1 w:val="00000000000000000000"/>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SimSun-Identity-H">
    <w:altName w:val="宋体"/>
    <w:panose1 w:val="00000000000000000000"/>
    <w:charset w:val="00"/>
    <w:family w:val="auto"/>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Arial Unicode MS">
    <w:altName w:val="宋体"/>
    <w:panose1 w:val="020B0604020202020204"/>
    <w:charset w:val="86"/>
    <w:family w:val="swiss"/>
    <w:pitch w:val="default"/>
    <w:sig w:usb0="00000000" w:usb1="00000000" w:usb2="0000003F" w:usb3="00000000" w:csb0="603F01FF" w:csb1="FFFF0000"/>
  </w:font>
  <w:font w:name="@文鼎CS中黑">
    <w:altName w:val="@黑体"/>
    <w:panose1 w:val="00000000000000000000"/>
    <w:charset w:val="86"/>
    <w:family w:val="modern"/>
    <w:pitch w:val="default"/>
    <w:sig w:usb0="00000000" w:usb1="00000000" w:usb2="00000010" w:usb3="00000000" w:csb0="00040000" w:csb1="00000000"/>
  </w:font>
  <w:font w:name="@黑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体">
    <w:altName w:val="仿宋"/>
    <w:panose1 w:val="00000000000000000000"/>
    <w:charset w:val="86"/>
    <w:family w:val="roman"/>
    <w:pitch w:val="default"/>
    <w:sig w:usb0="00000000" w:usb1="00000000" w:usb2="00000010" w:usb3="00000000" w:csb0="00040000" w:csb1="00000000"/>
  </w:font>
  <w:font w:name="Futura-Heavy">
    <w:altName w:val="Segoe Print"/>
    <w:panose1 w:val="00000000000000000000"/>
    <w:charset w:val="00"/>
    <w:family w:val="swiss"/>
    <w:pitch w:val="default"/>
    <w:sig w:usb0="00000000" w:usb1="00000000" w:usb2="00000000" w:usb3="00000000" w:csb0="000001FB" w:csb1="00000000"/>
  </w:font>
  <w:font w:name="Segoe Print">
    <w:panose1 w:val="02000600000000000000"/>
    <w:charset w:val="00"/>
    <w:family w:val="auto"/>
    <w:pitch w:val="default"/>
    <w:sig w:usb0="0000028F" w:usb1="00000000" w:usb2="00000000" w:usb3="00000000" w:csb0="2000009F" w:csb1="47010000"/>
  </w:font>
  <w:font w:name="Wingdings 2">
    <w:panose1 w:val="05020102010507070707"/>
    <w:charset w:val="02"/>
    <w:family w:val="auto"/>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6537C">
    <w:pPr>
      <w:pStyle w:val="3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B9A33D">
                          <w:pPr>
                            <w:pStyle w:val="3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DB9A33D">
                    <w:pPr>
                      <w:pStyle w:val="30"/>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8FC1C">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66E4D3">
    <w:pPr>
      <w:pStyle w:val="3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34BA58">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1334BA58">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202D81">
    <w:pPr>
      <w:pStyle w:val="30"/>
      <w:tabs>
        <w:tab w:val="clear" w:pos="4153"/>
        <w:tab w:val="clear" w:pos="8306"/>
      </w:tabs>
      <w:rPr>
        <w:rFonts w:hint="eastAsia" w:eastAsia="宋体"/>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12032E">
                          <w:pPr>
                            <w:pStyle w:val="3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4412032E">
                    <w:pPr>
                      <w:pStyle w:val="30"/>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70C61">
    <w:pPr>
      <w:pStyle w:val="30"/>
      <w:rPr>
        <w:rFonts w:hint="eastAsia" w:eastAsia="宋体"/>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878ED1">
                          <w:pPr>
                            <w:pStyle w:val="30"/>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44878ED1">
                    <w:pPr>
                      <w:pStyle w:val="30"/>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F7392">
    <w:pPr>
      <w:pStyle w:val="30"/>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C7371">
                          <w:pPr>
                            <w:pStyle w:val="30"/>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73FC7371">
                    <w:pPr>
                      <w:pStyle w:val="30"/>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D1F54">
    <w:pPr>
      <w:pStyle w:val="30"/>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A238BF">
                          <w:pPr>
                            <w:pStyle w:val="30"/>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6BA238BF">
                    <w:pPr>
                      <w:pStyle w:val="30"/>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84297">
    <w:pPr>
      <w:pStyle w:val="31"/>
      <w:jc w:val="left"/>
      <w:rPr>
        <w:rFonts w:hint="eastAsia"/>
      </w:rPr>
    </w:pPr>
    <w:r>
      <w:drawing>
        <wp:inline distT="0" distB="0" distL="0" distR="0">
          <wp:extent cx="752475" cy="3619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5CD7E">
    <w:pPr>
      <w:pStyle w:val="31"/>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0B2CF">
    <w:pPr>
      <w:pStyle w:val="31"/>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773D9">
    <w:pPr>
      <w:pStyle w:val="31"/>
      <w:jc w:val="left"/>
      <w:rPr>
        <w:rFonts w:hint="eastAsia"/>
      </w:rPr>
    </w:pPr>
    <w:r>
      <w:drawing>
        <wp:inline distT="0" distB="0" distL="0" distR="0">
          <wp:extent cx="752475" cy="3619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FF8CF">
    <w:pP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pStyle w:val="350"/>
      <w:lvlText w:val="%1、"/>
      <w:lvlJc w:val="left"/>
      <w:pPr>
        <w:tabs>
          <w:tab w:val="left" w:pos="786"/>
        </w:tabs>
        <w:ind w:left="786" w:hanging="360"/>
      </w:pPr>
      <w:rPr>
        <w:rFonts w:hint="eastAsia"/>
      </w:rPr>
    </w:lvl>
    <w:lvl w:ilvl="1" w:tentative="0">
      <w:start w:val="1"/>
      <w:numFmt w:val="decimal"/>
      <w:lvlText w:val="（%2）"/>
      <w:lvlJc w:val="left"/>
      <w:pPr>
        <w:tabs>
          <w:tab w:val="left" w:pos="1569"/>
        </w:tabs>
        <w:ind w:left="1569" w:hanging="720"/>
      </w:pPr>
      <w:rPr>
        <w:rFonts w:hint="eastAsia"/>
      </w:rPr>
    </w:lvl>
    <w:lvl w:ilvl="2" w:tentative="0">
      <w:start w:val="1"/>
      <w:numFmt w:val="decimal"/>
      <w:lvlText w:val="%3．"/>
      <w:lvlJc w:val="left"/>
      <w:pPr>
        <w:tabs>
          <w:tab w:val="left" w:pos="1629"/>
        </w:tabs>
        <w:ind w:left="1629" w:hanging="360"/>
      </w:pPr>
      <w:rPr>
        <w:rFonts w:hint="eastAsia"/>
      </w:rPr>
    </w:lvl>
    <w:lvl w:ilvl="3" w:tentative="0">
      <w:start w:val="1"/>
      <w:numFmt w:val="decimal"/>
      <w:lvlText w:val="%4."/>
      <w:lvlJc w:val="left"/>
      <w:pPr>
        <w:tabs>
          <w:tab w:val="left" w:pos="2109"/>
        </w:tabs>
        <w:ind w:left="2109" w:hanging="420"/>
      </w:pPr>
    </w:lvl>
    <w:lvl w:ilvl="4" w:tentative="0">
      <w:start w:val="1"/>
      <w:numFmt w:val="lowerLetter"/>
      <w:lvlText w:val="%5)"/>
      <w:lvlJc w:val="left"/>
      <w:pPr>
        <w:tabs>
          <w:tab w:val="left" w:pos="2529"/>
        </w:tabs>
        <w:ind w:left="2529" w:hanging="420"/>
      </w:pPr>
    </w:lvl>
    <w:lvl w:ilvl="5" w:tentative="0">
      <w:start w:val="1"/>
      <w:numFmt w:val="lowerRoman"/>
      <w:lvlText w:val="%6."/>
      <w:lvlJc w:val="right"/>
      <w:pPr>
        <w:tabs>
          <w:tab w:val="left" w:pos="2949"/>
        </w:tabs>
        <w:ind w:left="2949" w:hanging="420"/>
      </w:pPr>
    </w:lvl>
    <w:lvl w:ilvl="6" w:tentative="0">
      <w:start w:val="1"/>
      <w:numFmt w:val="decimal"/>
      <w:lvlText w:val="%7."/>
      <w:lvlJc w:val="left"/>
      <w:pPr>
        <w:tabs>
          <w:tab w:val="left" w:pos="3369"/>
        </w:tabs>
        <w:ind w:left="3369" w:hanging="420"/>
      </w:pPr>
    </w:lvl>
    <w:lvl w:ilvl="7" w:tentative="0">
      <w:start w:val="1"/>
      <w:numFmt w:val="lowerLetter"/>
      <w:lvlText w:val="%8)"/>
      <w:lvlJc w:val="left"/>
      <w:pPr>
        <w:tabs>
          <w:tab w:val="left" w:pos="3789"/>
        </w:tabs>
        <w:ind w:left="3789" w:hanging="420"/>
      </w:pPr>
    </w:lvl>
    <w:lvl w:ilvl="8" w:tentative="0">
      <w:start w:val="1"/>
      <w:numFmt w:val="lowerRoman"/>
      <w:lvlText w:val="%9."/>
      <w:lvlJc w:val="right"/>
      <w:pPr>
        <w:tabs>
          <w:tab w:val="left" w:pos="4209"/>
        </w:tabs>
        <w:ind w:left="4209" w:hanging="420"/>
      </w:pPr>
    </w:lvl>
  </w:abstractNum>
  <w:abstractNum w:abstractNumId="1">
    <w:nsid w:val="0C4576C5"/>
    <w:multiLevelType w:val="multilevel"/>
    <w:tmpl w:val="0C4576C5"/>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0F057019"/>
    <w:multiLevelType w:val="multilevel"/>
    <w:tmpl w:val="0F057019"/>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12312063"/>
    <w:multiLevelType w:val="multilevel"/>
    <w:tmpl w:val="12312063"/>
    <w:lvl w:ilvl="0" w:tentative="0">
      <w:start w:val="1"/>
      <w:numFmt w:val="decimal"/>
      <w:lvlText w:val="%1."/>
      <w:lvlJc w:val="left"/>
      <w:pPr>
        <w:ind w:left="840" w:hanging="420"/>
      </w:pPr>
      <w:rPr>
        <w:rFonts w:hint="eastAsia"/>
      </w:rPr>
    </w:lvl>
    <w:lvl w:ilvl="1" w:tentative="0">
      <w:start w:val="1"/>
      <w:numFmt w:val="decimal"/>
      <w:suff w:val="space"/>
      <w:lvlText w:val="%2."/>
      <w:lvlJc w:val="left"/>
      <w:pPr>
        <w:ind w:left="420" w:hanging="420"/>
      </w:pPr>
      <w:rPr>
        <w:rFonts w:hint="eastAsia"/>
      </w:r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33C0F05"/>
    <w:multiLevelType w:val="multilevel"/>
    <w:tmpl w:val="133C0F05"/>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6D568E3"/>
    <w:multiLevelType w:val="multilevel"/>
    <w:tmpl w:val="26D568E3"/>
    <w:lvl w:ilvl="0" w:tentative="0">
      <w:start w:val="1"/>
      <w:numFmt w:val="decimal"/>
      <w:suff w:val="nothing"/>
      <w:lvlText w:val="%1"/>
      <w:lvlJc w:val="left"/>
      <w:pPr>
        <w:ind w:left="420" w:hanging="420"/>
      </w:pPr>
      <w:rPr>
        <w:rFonts w:hint="eastAsia" w:ascii="宋体" w:hAnsi="宋体" w:eastAsia="宋体"/>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B0AAD01"/>
    <w:multiLevelType w:val="singleLevel"/>
    <w:tmpl w:val="2B0AAD01"/>
    <w:lvl w:ilvl="0" w:tentative="0">
      <w:start w:val="1"/>
      <w:numFmt w:val="decimal"/>
      <w:suff w:val="nothing"/>
      <w:lvlText w:val="（%1）"/>
      <w:lvlJc w:val="left"/>
    </w:lvl>
  </w:abstractNum>
  <w:abstractNum w:abstractNumId="7">
    <w:nsid w:val="2D65252E"/>
    <w:multiLevelType w:val="multilevel"/>
    <w:tmpl w:val="2D65252E"/>
    <w:lvl w:ilvl="0" w:tentative="0">
      <w:start w:val="1"/>
      <w:numFmt w:val="decimal"/>
      <w:suff w:val="nothing"/>
      <w:lvlText w:val="%1"/>
      <w:lvlJc w:val="left"/>
      <w:pPr>
        <w:ind w:left="440" w:hanging="440"/>
      </w:pPr>
      <w:rPr>
        <w:rFonts w:hint="eastAsia" w:ascii="宋体" w:hAnsi="宋体" w:eastAsia="宋体" w:cs="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2D86187A"/>
    <w:multiLevelType w:val="multilevel"/>
    <w:tmpl w:val="2D86187A"/>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3AC30442"/>
    <w:multiLevelType w:val="multilevel"/>
    <w:tmpl w:val="3AC30442"/>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0">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11">
    <w:nsid w:val="4E2D4FF8"/>
    <w:multiLevelType w:val="multilevel"/>
    <w:tmpl w:val="4E2D4FF8"/>
    <w:lvl w:ilvl="0" w:tentative="0">
      <w:start w:val="1"/>
      <w:numFmt w:val="decimal"/>
      <w:suff w:val="nothing"/>
      <w:lvlText w:val="%1."/>
      <w:lvlJc w:val="left"/>
      <w:pPr>
        <w:ind w:left="440" w:hanging="440"/>
      </w:pPr>
      <w:rPr>
        <w:rFonts w:hint="eastAsia" w:ascii="宋体" w:hAnsi="宋体" w:eastAsia="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2">
    <w:nsid w:val="56F00EAC"/>
    <w:multiLevelType w:val="multilevel"/>
    <w:tmpl w:val="56F00EAC"/>
    <w:lvl w:ilvl="0" w:tentative="0">
      <w:start w:val="1"/>
      <w:numFmt w:val="decimal"/>
      <w:lvlText w:val="%1."/>
      <w:lvlJc w:val="left"/>
      <w:pPr>
        <w:ind w:left="420" w:hanging="420"/>
      </w:pPr>
      <w:rPr>
        <w:rFonts w:hint="eastAsia"/>
      </w:rPr>
    </w:lvl>
    <w:lvl w:ilvl="1" w:tentative="0">
      <w:start w:val="1"/>
      <w:numFmt w:val="decimal"/>
      <w:suff w:val="space"/>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5A5410B6"/>
    <w:multiLevelType w:val="singleLevel"/>
    <w:tmpl w:val="5A5410B6"/>
    <w:lvl w:ilvl="0" w:tentative="0">
      <w:start w:val="1"/>
      <w:numFmt w:val="decimal"/>
      <w:pStyle w:val="187"/>
      <w:suff w:val="space"/>
      <w:lvlText w:val="%1)"/>
      <w:lvlJc w:val="left"/>
    </w:lvl>
  </w:abstractNum>
  <w:abstractNum w:abstractNumId="14">
    <w:nsid w:val="5A5422B0"/>
    <w:multiLevelType w:val="singleLevel"/>
    <w:tmpl w:val="5A5422B0"/>
    <w:lvl w:ilvl="0" w:tentative="0">
      <w:start w:val="1"/>
      <w:numFmt w:val="decimal"/>
      <w:suff w:val="space"/>
      <w:lvlText w:val="%1)"/>
      <w:lvlJc w:val="left"/>
    </w:lvl>
  </w:abstractNum>
  <w:abstractNum w:abstractNumId="15">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5C421F5D"/>
    <w:multiLevelType w:val="multilevel"/>
    <w:tmpl w:val="5C421F5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619B49BE"/>
    <w:multiLevelType w:val="multilevel"/>
    <w:tmpl w:val="619B49BE"/>
    <w:lvl w:ilvl="0" w:tentative="0">
      <w:start w:val="1"/>
      <w:numFmt w:val="decimal"/>
      <w:suff w:val="nothing"/>
      <w:lvlText w:val="%1"/>
      <w:lvlJc w:val="left"/>
      <w:pPr>
        <w:ind w:left="420" w:hanging="420"/>
      </w:pPr>
      <w:rPr>
        <w:rFonts w:hint="eastAsia" w:ascii="宋体" w:hAnsi="宋体" w:eastAsia="宋体"/>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8">
    <w:nsid w:val="666F7FCA"/>
    <w:multiLevelType w:val="multilevel"/>
    <w:tmpl w:val="666F7FCA"/>
    <w:lvl w:ilvl="0" w:tentative="0">
      <w:start w:val="1"/>
      <w:numFmt w:val="chineseCountingThousand"/>
      <w:suff w:val="nothing"/>
      <w:lvlText w:val="%1、"/>
      <w:lvlJc w:val="left"/>
      <w:pPr>
        <w:ind w:left="420" w:hanging="420"/>
      </w:pPr>
      <w:rPr>
        <w:rFonts w:hint="eastAsia"/>
      </w:rPr>
    </w:lvl>
    <w:lvl w:ilvl="1" w:tentative="0">
      <w:start w:val="1"/>
      <w:numFmt w:val="decimal"/>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6A22726A"/>
    <w:multiLevelType w:val="multilevel"/>
    <w:tmpl w:val="6A22726A"/>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chineseCountingThousand"/>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6D203057"/>
    <w:multiLevelType w:val="multilevel"/>
    <w:tmpl w:val="6D203057"/>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1">
    <w:nsid w:val="6D300ACB"/>
    <w:multiLevelType w:val="multilevel"/>
    <w:tmpl w:val="6D300ACB"/>
    <w:lvl w:ilvl="0" w:tentative="0">
      <w:start w:val="1"/>
      <w:numFmt w:val="chineseCountingThousand"/>
      <w:suff w:val="nothing"/>
      <w:lvlText w:val="%1、"/>
      <w:lvlJc w:val="left"/>
      <w:pPr>
        <w:ind w:left="420" w:hanging="420"/>
      </w:pPr>
      <w:rPr>
        <w:rFonts w:hint="eastAsia"/>
      </w:rPr>
    </w:lvl>
    <w:lvl w:ilvl="1" w:tentative="0">
      <w:start w:val="1"/>
      <w:numFmt w:val="decimal"/>
      <w:lvlText w:val="（%2）"/>
      <w:lvlJc w:val="left"/>
      <w:pPr>
        <w:ind w:left="1140" w:hanging="720"/>
      </w:pPr>
      <w:rPr>
        <w:rFonts w:hint="default"/>
      </w:rPr>
    </w:lvl>
    <w:lvl w:ilvl="2" w:tentative="0">
      <w:start w:val="1"/>
      <w:numFmt w:val="japaneseCounting"/>
      <w:lvlText w:val="%3、"/>
      <w:lvlJc w:val="left"/>
      <w:pPr>
        <w:ind w:left="1296" w:hanging="456"/>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6E3A6AA4"/>
    <w:multiLevelType w:val="multilevel"/>
    <w:tmpl w:val="6E3A6AA4"/>
    <w:lvl w:ilvl="0" w:tentative="0">
      <w:start w:val="1"/>
      <w:numFmt w:val="decimal"/>
      <w:suff w:val="nothing"/>
      <w:lvlText w:val="%1."/>
      <w:lvlJc w:val="left"/>
      <w:pPr>
        <w:ind w:left="440" w:hanging="440"/>
      </w:pPr>
      <w:rPr>
        <w:rFonts w:hint="eastAsia" w:ascii="宋体" w:hAnsi="宋体" w:eastAsia="宋体"/>
        <w:b w:val="0"/>
        <w:bCs w:val="0"/>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3">
    <w:nsid w:val="6F9C0858"/>
    <w:multiLevelType w:val="multilevel"/>
    <w:tmpl w:val="6F9C0858"/>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chineseCountingThousand"/>
      <w:lvlText w:val="%3、"/>
      <w:lvlJc w:val="lef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4">
    <w:nsid w:val="745C42E1"/>
    <w:multiLevelType w:val="multilevel"/>
    <w:tmpl w:val="745C42E1"/>
    <w:lvl w:ilvl="0" w:tentative="0">
      <w:start w:val="1"/>
      <w:numFmt w:val="chineseCountingThousand"/>
      <w:lvlText w:val="格式%1："/>
      <w:lvlJc w:val="left"/>
      <w:pPr>
        <w:ind w:left="420" w:hanging="420"/>
      </w:pPr>
      <w:rPr>
        <w:rFonts w:hint="eastAsia"/>
        <w:color w:val="auto"/>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5">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6">
    <w:nsid w:val="77D90384"/>
    <w:multiLevelType w:val="multilevel"/>
    <w:tmpl w:val="77D90384"/>
    <w:lvl w:ilvl="0" w:tentative="0">
      <w:start w:val="1"/>
      <w:numFmt w:val="decimal"/>
      <w:suff w:val="space"/>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7AF15434"/>
    <w:multiLevelType w:val="multilevel"/>
    <w:tmpl w:val="7AF15434"/>
    <w:lvl w:ilvl="0" w:tentative="0">
      <w:start w:val="1"/>
      <w:numFmt w:val="decimal"/>
      <w:suff w:val="nothing"/>
      <w:lvlText w:val="%1"/>
      <w:lvlJc w:val="left"/>
      <w:pPr>
        <w:ind w:left="846" w:hanging="420"/>
      </w:pPr>
      <w:rPr>
        <w:rFonts w:hint="eastAsia" w:ascii="宋体" w:hAnsi="宋体" w:eastAsia="宋体"/>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3"/>
  </w:num>
  <w:num w:numId="2">
    <w:abstractNumId w:val="14"/>
  </w:num>
  <w:num w:numId="3">
    <w:abstractNumId w:val="0"/>
  </w:num>
  <w:num w:numId="4">
    <w:abstractNumId w:val="15"/>
  </w:num>
  <w:num w:numId="5">
    <w:abstractNumId w:val="10"/>
  </w:num>
  <w:num w:numId="6">
    <w:abstractNumId w:val="18"/>
  </w:num>
  <w:num w:numId="7">
    <w:abstractNumId w:val="27"/>
  </w:num>
  <w:num w:numId="8">
    <w:abstractNumId w:val="12"/>
  </w:num>
  <w:num w:numId="9">
    <w:abstractNumId w:val="1"/>
  </w:num>
  <w:num w:numId="10">
    <w:abstractNumId w:val="2"/>
  </w:num>
  <w:num w:numId="11">
    <w:abstractNumId w:val="20"/>
  </w:num>
  <w:num w:numId="12">
    <w:abstractNumId w:val="26"/>
  </w:num>
  <w:num w:numId="13">
    <w:abstractNumId w:val="21"/>
  </w:num>
  <w:num w:numId="14">
    <w:abstractNumId w:val="4"/>
  </w:num>
  <w:num w:numId="15">
    <w:abstractNumId w:val="3"/>
  </w:num>
  <w:num w:numId="16">
    <w:abstractNumId w:val="6"/>
  </w:num>
  <w:num w:numId="17">
    <w:abstractNumId w:val="16"/>
  </w:num>
  <w:num w:numId="18">
    <w:abstractNumId w:val="5"/>
  </w:num>
  <w:num w:numId="19">
    <w:abstractNumId w:val="8"/>
  </w:num>
  <w:num w:numId="20">
    <w:abstractNumId w:val="24"/>
  </w:num>
  <w:num w:numId="21">
    <w:abstractNumId w:val="9"/>
  </w:num>
  <w:num w:numId="22">
    <w:abstractNumId w:val="25"/>
  </w:num>
  <w:num w:numId="23">
    <w:abstractNumId w:val="17"/>
  </w:num>
  <w:num w:numId="24">
    <w:abstractNumId w:val="11"/>
  </w:num>
  <w:num w:numId="25">
    <w:abstractNumId w:val="7"/>
  </w:num>
  <w:num w:numId="26">
    <w:abstractNumId w:val="22"/>
  </w:num>
  <w:num w:numId="27">
    <w:abstractNumId w:val="19"/>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
  <w:displayHorizontalDrawingGridEvery w:val="1"/>
  <w:displayVerticalDrawingGridEvery w:val="1"/>
  <w:noPunctuationKerning w:val="1"/>
  <w:characterSpacingControl w:val="doNotCompress"/>
  <w:hdrShapeDefaults>
    <o:shapelayout v:ext="edit">
      <o:idmap v:ext="edit" data="3"/>
    </o:shapelayout>
  </w:hdrShapeDefaults>
  <w:footnotePr>
    <w:footnote w:id="0"/>
    <w:footnote w:id="1"/>
  </w:footnotePr>
  <w:endnotePr>
    <w:endnote w:id="0"/>
    <w:endnote w:id="1"/>
  </w:endnotePr>
  <w:compat>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299"/>
    <w:rsid w:val="000013E9"/>
    <w:rsid w:val="000014E0"/>
    <w:rsid w:val="00001DEF"/>
    <w:rsid w:val="00002E8D"/>
    <w:rsid w:val="0000458A"/>
    <w:rsid w:val="000049CB"/>
    <w:rsid w:val="00005782"/>
    <w:rsid w:val="000062C0"/>
    <w:rsid w:val="000067C9"/>
    <w:rsid w:val="00006825"/>
    <w:rsid w:val="00006A9D"/>
    <w:rsid w:val="00006BE5"/>
    <w:rsid w:val="00007CAD"/>
    <w:rsid w:val="00010D87"/>
    <w:rsid w:val="00011353"/>
    <w:rsid w:val="00011415"/>
    <w:rsid w:val="00011A79"/>
    <w:rsid w:val="00012202"/>
    <w:rsid w:val="00014487"/>
    <w:rsid w:val="00014747"/>
    <w:rsid w:val="0001495F"/>
    <w:rsid w:val="00014AFF"/>
    <w:rsid w:val="00015A31"/>
    <w:rsid w:val="00016569"/>
    <w:rsid w:val="00016832"/>
    <w:rsid w:val="00017A1F"/>
    <w:rsid w:val="00017B50"/>
    <w:rsid w:val="00017E08"/>
    <w:rsid w:val="000212B0"/>
    <w:rsid w:val="0002137D"/>
    <w:rsid w:val="00021F2F"/>
    <w:rsid w:val="0002232A"/>
    <w:rsid w:val="00022618"/>
    <w:rsid w:val="00023112"/>
    <w:rsid w:val="00024146"/>
    <w:rsid w:val="00024375"/>
    <w:rsid w:val="00024B1B"/>
    <w:rsid w:val="00024BB3"/>
    <w:rsid w:val="00024CC4"/>
    <w:rsid w:val="00025171"/>
    <w:rsid w:val="000251E1"/>
    <w:rsid w:val="00025393"/>
    <w:rsid w:val="00025785"/>
    <w:rsid w:val="00025E0B"/>
    <w:rsid w:val="000261C9"/>
    <w:rsid w:val="00026FB2"/>
    <w:rsid w:val="00027182"/>
    <w:rsid w:val="00027202"/>
    <w:rsid w:val="00030A1C"/>
    <w:rsid w:val="00030D45"/>
    <w:rsid w:val="00030D4D"/>
    <w:rsid w:val="00030F86"/>
    <w:rsid w:val="000310FE"/>
    <w:rsid w:val="000314DF"/>
    <w:rsid w:val="000317C3"/>
    <w:rsid w:val="0003189D"/>
    <w:rsid w:val="00031A00"/>
    <w:rsid w:val="0003271D"/>
    <w:rsid w:val="000329F6"/>
    <w:rsid w:val="00032D7B"/>
    <w:rsid w:val="00033B87"/>
    <w:rsid w:val="00034C17"/>
    <w:rsid w:val="00034E6A"/>
    <w:rsid w:val="0003611C"/>
    <w:rsid w:val="000361B8"/>
    <w:rsid w:val="0003698E"/>
    <w:rsid w:val="0004008F"/>
    <w:rsid w:val="00040531"/>
    <w:rsid w:val="00040CE9"/>
    <w:rsid w:val="00041F76"/>
    <w:rsid w:val="00042B47"/>
    <w:rsid w:val="00043057"/>
    <w:rsid w:val="00043669"/>
    <w:rsid w:val="00043BF7"/>
    <w:rsid w:val="00044007"/>
    <w:rsid w:val="00044050"/>
    <w:rsid w:val="000446FF"/>
    <w:rsid w:val="00044EA3"/>
    <w:rsid w:val="00045842"/>
    <w:rsid w:val="00045BB9"/>
    <w:rsid w:val="00046212"/>
    <w:rsid w:val="00046238"/>
    <w:rsid w:val="000467E4"/>
    <w:rsid w:val="00046832"/>
    <w:rsid w:val="0004786C"/>
    <w:rsid w:val="00047FD2"/>
    <w:rsid w:val="000514CA"/>
    <w:rsid w:val="000515C4"/>
    <w:rsid w:val="000516CA"/>
    <w:rsid w:val="00051973"/>
    <w:rsid w:val="000523E0"/>
    <w:rsid w:val="00053B89"/>
    <w:rsid w:val="00053BB7"/>
    <w:rsid w:val="0005400D"/>
    <w:rsid w:val="000547C9"/>
    <w:rsid w:val="0005601C"/>
    <w:rsid w:val="00056379"/>
    <w:rsid w:val="0005678F"/>
    <w:rsid w:val="00057683"/>
    <w:rsid w:val="00057C25"/>
    <w:rsid w:val="000616F5"/>
    <w:rsid w:val="00061989"/>
    <w:rsid w:val="00062459"/>
    <w:rsid w:val="0006253D"/>
    <w:rsid w:val="0006262D"/>
    <w:rsid w:val="00062AE0"/>
    <w:rsid w:val="00062C84"/>
    <w:rsid w:val="00062E05"/>
    <w:rsid w:val="00063481"/>
    <w:rsid w:val="000650B6"/>
    <w:rsid w:val="00065688"/>
    <w:rsid w:val="00065E2F"/>
    <w:rsid w:val="00066159"/>
    <w:rsid w:val="00066997"/>
    <w:rsid w:val="00066C93"/>
    <w:rsid w:val="00066CBD"/>
    <w:rsid w:val="00066E7F"/>
    <w:rsid w:val="000675B7"/>
    <w:rsid w:val="00067C5A"/>
    <w:rsid w:val="00070803"/>
    <w:rsid w:val="00070C6A"/>
    <w:rsid w:val="00071193"/>
    <w:rsid w:val="000711C4"/>
    <w:rsid w:val="0007231D"/>
    <w:rsid w:val="00072BCE"/>
    <w:rsid w:val="000731F5"/>
    <w:rsid w:val="00073C42"/>
    <w:rsid w:val="00074C41"/>
    <w:rsid w:val="00074E7B"/>
    <w:rsid w:val="00075121"/>
    <w:rsid w:val="00076E5F"/>
    <w:rsid w:val="000770F5"/>
    <w:rsid w:val="00077D51"/>
    <w:rsid w:val="00077EB9"/>
    <w:rsid w:val="00080CB0"/>
    <w:rsid w:val="00080DAE"/>
    <w:rsid w:val="00081520"/>
    <w:rsid w:val="00081655"/>
    <w:rsid w:val="00081972"/>
    <w:rsid w:val="00081CB1"/>
    <w:rsid w:val="00081CDB"/>
    <w:rsid w:val="00081FC3"/>
    <w:rsid w:val="000838FE"/>
    <w:rsid w:val="0008531F"/>
    <w:rsid w:val="00085947"/>
    <w:rsid w:val="0008596C"/>
    <w:rsid w:val="00085EB6"/>
    <w:rsid w:val="0008635E"/>
    <w:rsid w:val="00086A33"/>
    <w:rsid w:val="00087DB8"/>
    <w:rsid w:val="00087DE3"/>
    <w:rsid w:val="00090865"/>
    <w:rsid w:val="00090B77"/>
    <w:rsid w:val="000914E6"/>
    <w:rsid w:val="000916F7"/>
    <w:rsid w:val="00091A06"/>
    <w:rsid w:val="00091ABB"/>
    <w:rsid w:val="000921B9"/>
    <w:rsid w:val="00093A9E"/>
    <w:rsid w:val="00093D6F"/>
    <w:rsid w:val="0009477C"/>
    <w:rsid w:val="000965F8"/>
    <w:rsid w:val="000968A7"/>
    <w:rsid w:val="00096C3A"/>
    <w:rsid w:val="00096C8A"/>
    <w:rsid w:val="000972C0"/>
    <w:rsid w:val="00097A9C"/>
    <w:rsid w:val="00097C2A"/>
    <w:rsid w:val="000A0647"/>
    <w:rsid w:val="000A18C9"/>
    <w:rsid w:val="000A1D27"/>
    <w:rsid w:val="000A24C1"/>
    <w:rsid w:val="000A2B41"/>
    <w:rsid w:val="000A2C52"/>
    <w:rsid w:val="000A2D7C"/>
    <w:rsid w:val="000A41BE"/>
    <w:rsid w:val="000A4B7E"/>
    <w:rsid w:val="000A4C69"/>
    <w:rsid w:val="000A4D91"/>
    <w:rsid w:val="000A5185"/>
    <w:rsid w:val="000A5607"/>
    <w:rsid w:val="000A5A49"/>
    <w:rsid w:val="000A5B1C"/>
    <w:rsid w:val="000A6E1A"/>
    <w:rsid w:val="000B0280"/>
    <w:rsid w:val="000B0E60"/>
    <w:rsid w:val="000B17A0"/>
    <w:rsid w:val="000B2335"/>
    <w:rsid w:val="000B25C8"/>
    <w:rsid w:val="000B265C"/>
    <w:rsid w:val="000B2C61"/>
    <w:rsid w:val="000B2E22"/>
    <w:rsid w:val="000B3166"/>
    <w:rsid w:val="000B37BC"/>
    <w:rsid w:val="000B3955"/>
    <w:rsid w:val="000B3CC6"/>
    <w:rsid w:val="000B42D3"/>
    <w:rsid w:val="000B4536"/>
    <w:rsid w:val="000B4976"/>
    <w:rsid w:val="000B4CF2"/>
    <w:rsid w:val="000B525E"/>
    <w:rsid w:val="000B568A"/>
    <w:rsid w:val="000B599C"/>
    <w:rsid w:val="000B5B67"/>
    <w:rsid w:val="000B60DF"/>
    <w:rsid w:val="000B62D4"/>
    <w:rsid w:val="000B6305"/>
    <w:rsid w:val="000B6441"/>
    <w:rsid w:val="000B657B"/>
    <w:rsid w:val="000B68E0"/>
    <w:rsid w:val="000B7DC9"/>
    <w:rsid w:val="000B7E65"/>
    <w:rsid w:val="000C000B"/>
    <w:rsid w:val="000C080E"/>
    <w:rsid w:val="000C0882"/>
    <w:rsid w:val="000C08EC"/>
    <w:rsid w:val="000C0E13"/>
    <w:rsid w:val="000C0E80"/>
    <w:rsid w:val="000C173C"/>
    <w:rsid w:val="000C1B44"/>
    <w:rsid w:val="000C2898"/>
    <w:rsid w:val="000C2CF5"/>
    <w:rsid w:val="000C33C4"/>
    <w:rsid w:val="000C373F"/>
    <w:rsid w:val="000C3A15"/>
    <w:rsid w:val="000C3E4D"/>
    <w:rsid w:val="000C3F26"/>
    <w:rsid w:val="000C4A44"/>
    <w:rsid w:val="000C4B63"/>
    <w:rsid w:val="000C4C06"/>
    <w:rsid w:val="000C4E00"/>
    <w:rsid w:val="000C56E2"/>
    <w:rsid w:val="000C57E5"/>
    <w:rsid w:val="000C5A60"/>
    <w:rsid w:val="000C5E46"/>
    <w:rsid w:val="000C618E"/>
    <w:rsid w:val="000C67FA"/>
    <w:rsid w:val="000C6921"/>
    <w:rsid w:val="000C6CE6"/>
    <w:rsid w:val="000C70B9"/>
    <w:rsid w:val="000C76A5"/>
    <w:rsid w:val="000D0141"/>
    <w:rsid w:val="000D0DFA"/>
    <w:rsid w:val="000D2563"/>
    <w:rsid w:val="000D3152"/>
    <w:rsid w:val="000D32E4"/>
    <w:rsid w:val="000D37D7"/>
    <w:rsid w:val="000D3DE1"/>
    <w:rsid w:val="000D3E55"/>
    <w:rsid w:val="000D4D2C"/>
    <w:rsid w:val="000D5492"/>
    <w:rsid w:val="000D5C95"/>
    <w:rsid w:val="000D657A"/>
    <w:rsid w:val="000D6625"/>
    <w:rsid w:val="000D726F"/>
    <w:rsid w:val="000D7D5D"/>
    <w:rsid w:val="000E131B"/>
    <w:rsid w:val="000E1422"/>
    <w:rsid w:val="000E1853"/>
    <w:rsid w:val="000E1926"/>
    <w:rsid w:val="000E1E79"/>
    <w:rsid w:val="000E208F"/>
    <w:rsid w:val="000E244A"/>
    <w:rsid w:val="000E28EA"/>
    <w:rsid w:val="000E2BE4"/>
    <w:rsid w:val="000E3541"/>
    <w:rsid w:val="000E3697"/>
    <w:rsid w:val="000E3F00"/>
    <w:rsid w:val="000E4163"/>
    <w:rsid w:val="000E4B71"/>
    <w:rsid w:val="000E4D99"/>
    <w:rsid w:val="000E5885"/>
    <w:rsid w:val="000E5B4E"/>
    <w:rsid w:val="000E5E95"/>
    <w:rsid w:val="000E6CBC"/>
    <w:rsid w:val="000E7149"/>
    <w:rsid w:val="000E79F3"/>
    <w:rsid w:val="000E7A1B"/>
    <w:rsid w:val="000E7C3C"/>
    <w:rsid w:val="000E7CE1"/>
    <w:rsid w:val="000E7F94"/>
    <w:rsid w:val="000F0A27"/>
    <w:rsid w:val="000F0C8C"/>
    <w:rsid w:val="000F10F4"/>
    <w:rsid w:val="000F1CDA"/>
    <w:rsid w:val="000F1DB6"/>
    <w:rsid w:val="000F25FE"/>
    <w:rsid w:val="000F2702"/>
    <w:rsid w:val="000F2D39"/>
    <w:rsid w:val="000F3035"/>
    <w:rsid w:val="000F3622"/>
    <w:rsid w:val="000F3FD3"/>
    <w:rsid w:val="000F4ECC"/>
    <w:rsid w:val="000F52D8"/>
    <w:rsid w:val="000F53C7"/>
    <w:rsid w:val="000F603C"/>
    <w:rsid w:val="000F6823"/>
    <w:rsid w:val="000F76B5"/>
    <w:rsid w:val="000F7A04"/>
    <w:rsid w:val="001000C5"/>
    <w:rsid w:val="00100911"/>
    <w:rsid w:val="00100CEA"/>
    <w:rsid w:val="00101332"/>
    <w:rsid w:val="001015EC"/>
    <w:rsid w:val="001015FE"/>
    <w:rsid w:val="001020E5"/>
    <w:rsid w:val="0010239E"/>
    <w:rsid w:val="00102768"/>
    <w:rsid w:val="00102F9A"/>
    <w:rsid w:val="00104419"/>
    <w:rsid w:val="001047CE"/>
    <w:rsid w:val="001061BE"/>
    <w:rsid w:val="0010636C"/>
    <w:rsid w:val="001066A3"/>
    <w:rsid w:val="00106D93"/>
    <w:rsid w:val="00107907"/>
    <w:rsid w:val="00107EC5"/>
    <w:rsid w:val="00110592"/>
    <w:rsid w:val="001106E4"/>
    <w:rsid w:val="001108DD"/>
    <w:rsid w:val="00111610"/>
    <w:rsid w:val="001116C5"/>
    <w:rsid w:val="001118E8"/>
    <w:rsid w:val="00111E6D"/>
    <w:rsid w:val="0011203B"/>
    <w:rsid w:val="00112150"/>
    <w:rsid w:val="001126BF"/>
    <w:rsid w:val="0011294C"/>
    <w:rsid w:val="0011317A"/>
    <w:rsid w:val="00113445"/>
    <w:rsid w:val="00113C4D"/>
    <w:rsid w:val="00113E73"/>
    <w:rsid w:val="00114630"/>
    <w:rsid w:val="00115A76"/>
    <w:rsid w:val="00115AC2"/>
    <w:rsid w:val="00116666"/>
    <w:rsid w:val="00117C77"/>
    <w:rsid w:val="00117F10"/>
    <w:rsid w:val="001207F1"/>
    <w:rsid w:val="00120989"/>
    <w:rsid w:val="0012149D"/>
    <w:rsid w:val="00121891"/>
    <w:rsid w:val="00121EA4"/>
    <w:rsid w:val="00122C52"/>
    <w:rsid w:val="00123C4A"/>
    <w:rsid w:val="00123F3C"/>
    <w:rsid w:val="00124563"/>
    <w:rsid w:val="00125200"/>
    <w:rsid w:val="001256CE"/>
    <w:rsid w:val="0012631E"/>
    <w:rsid w:val="00126DFA"/>
    <w:rsid w:val="0012791F"/>
    <w:rsid w:val="00127B0A"/>
    <w:rsid w:val="00130FA5"/>
    <w:rsid w:val="0013103E"/>
    <w:rsid w:val="0013169E"/>
    <w:rsid w:val="0013199B"/>
    <w:rsid w:val="00131F68"/>
    <w:rsid w:val="0013226D"/>
    <w:rsid w:val="00132558"/>
    <w:rsid w:val="00132D24"/>
    <w:rsid w:val="00133282"/>
    <w:rsid w:val="00133495"/>
    <w:rsid w:val="001334D9"/>
    <w:rsid w:val="00133A3A"/>
    <w:rsid w:val="00133E05"/>
    <w:rsid w:val="00133FCC"/>
    <w:rsid w:val="001341F5"/>
    <w:rsid w:val="00134432"/>
    <w:rsid w:val="00134651"/>
    <w:rsid w:val="001348EA"/>
    <w:rsid w:val="0013537A"/>
    <w:rsid w:val="0013564B"/>
    <w:rsid w:val="00136A0D"/>
    <w:rsid w:val="00136A61"/>
    <w:rsid w:val="00136AA0"/>
    <w:rsid w:val="00136DE9"/>
    <w:rsid w:val="00136DF7"/>
    <w:rsid w:val="001375C3"/>
    <w:rsid w:val="00140499"/>
    <w:rsid w:val="001407E5"/>
    <w:rsid w:val="001421D6"/>
    <w:rsid w:val="00142621"/>
    <w:rsid w:val="0014280C"/>
    <w:rsid w:val="00142B41"/>
    <w:rsid w:val="001432A1"/>
    <w:rsid w:val="0014393F"/>
    <w:rsid w:val="00143BF2"/>
    <w:rsid w:val="001452A6"/>
    <w:rsid w:val="00145D3E"/>
    <w:rsid w:val="00146063"/>
    <w:rsid w:val="00146FD3"/>
    <w:rsid w:val="00147137"/>
    <w:rsid w:val="0014722F"/>
    <w:rsid w:val="0014739F"/>
    <w:rsid w:val="00147508"/>
    <w:rsid w:val="00147FAC"/>
    <w:rsid w:val="00150920"/>
    <w:rsid w:val="001516F6"/>
    <w:rsid w:val="0015254C"/>
    <w:rsid w:val="001525AE"/>
    <w:rsid w:val="001531DF"/>
    <w:rsid w:val="0015380E"/>
    <w:rsid w:val="00153B59"/>
    <w:rsid w:val="0015479B"/>
    <w:rsid w:val="00155446"/>
    <w:rsid w:val="00155595"/>
    <w:rsid w:val="00156181"/>
    <w:rsid w:val="00156873"/>
    <w:rsid w:val="00157933"/>
    <w:rsid w:val="00161ACE"/>
    <w:rsid w:val="00162251"/>
    <w:rsid w:val="00162375"/>
    <w:rsid w:val="00162D90"/>
    <w:rsid w:val="0016377A"/>
    <w:rsid w:val="001648AD"/>
    <w:rsid w:val="001651FF"/>
    <w:rsid w:val="00165809"/>
    <w:rsid w:val="00166F1F"/>
    <w:rsid w:val="00166FC8"/>
    <w:rsid w:val="00167834"/>
    <w:rsid w:val="00170F9A"/>
    <w:rsid w:val="00171130"/>
    <w:rsid w:val="0017116E"/>
    <w:rsid w:val="0017153A"/>
    <w:rsid w:val="0017155F"/>
    <w:rsid w:val="00171844"/>
    <w:rsid w:val="00171A10"/>
    <w:rsid w:val="00171C6E"/>
    <w:rsid w:val="0017249E"/>
    <w:rsid w:val="0017250E"/>
    <w:rsid w:val="001725FC"/>
    <w:rsid w:val="001726FC"/>
    <w:rsid w:val="001728B1"/>
    <w:rsid w:val="00172A27"/>
    <w:rsid w:val="00172A3D"/>
    <w:rsid w:val="00172BEA"/>
    <w:rsid w:val="00172D13"/>
    <w:rsid w:val="00172ED7"/>
    <w:rsid w:val="001730CF"/>
    <w:rsid w:val="001737B6"/>
    <w:rsid w:val="001739AE"/>
    <w:rsid w:val="00173B14"/>
    <w:rsid w:val="0017651C"/>
    <w:rsid w:val="001767CC"/>
    <w:rsid w:val="00176EC1"/>
    <w:rsid w:val="00177B98"/>
    <w:rsid w:val="00177E75"/>
    <w:rsid w:val="001805DC"/>
    <w:rsid w:val="00181402"/>
    <w:rsid w:val="00181B65"/>
    <w:rsid w:val="0018293F"/>
    <w:rsid w:val="00183129"/>
    <w:rsid w:val="0018323B"/>
    <w:rsid w:val="00183317"/>
    <w:rsid w:val="00184A1B"/>
    <w:rsid w:val="00186215"/>
    <w:rsid w:val="00186737"/>
    <w:rsid w:val="001869BE"/>
    <w:rsid w:val="00187141"/>
    <w:rsid w:val="00187B61"/>
    <w:rsid w:val="0019037F"/>
    <w:rsid w:val="0019130F"/>
    <w:rsid w:val="00191C18"/>
    <w:rsid w:val="00191FFC"/>
    <w:rsid w:val="001920D2"/>
    <w:rsid w:val="0019244A"/>
    <w:rsid w:val="001926AD"/>
    <w:rsid w:val="001927EC"/>
    <w:rsid w:val="001933D5"/>
    <w:rsid w:val="001944E3"/>
    <w:rsid w:val="001947BE"/>
    <w:rsid w:val="001948B1"/>
    <w:rsid w:val="00195200"/>
    <w:rsid w:val="001963ED"/>
    <w:rsid w:val="00196844"/>
    <w:rsid w:val="00197CA9"/>
    <w:rsid w:val="001A00C0"/>
    <w:rsid w:val="001A0FE4"/>
    <w:rsid w:val="001A0FF1"/>
    <w:rsid w:val="001A15C1"/>
    <w:rsid w:val="001A18C3"/>
    <w:rsid w:val="001A27D1"/>
    <w:rsid w:val="001A2A04"/>
    <w:rsid w:val="001A2AA1"/>
    <w:rsid w:val="001A3019"/>
    <w:rsid w:val="001A4672"/>
    <w:rsid w:val="001A4821"/>
    <w:rsid w:val="001A58A3"/>
    <w:rsid w:val="001A6824"/>
    <w:rsid w:val="001A6B25"/>
    <w:rsid w:val="001A6F55"/>
    <w:rsid w:val="001A7C19"/>
    <w:rsid w:val="001A7D36"/>
    <w:rsid w:val="001B078D"/>
    <w:rsid w:val="001B086F"/>
    <w:rsid w:val="001B16DD"/>
    <w:rsid w:val="001B16F7"/>
    <w:rsid w:val="001B1A44"/>
    <w:rsid w:val="001B1EDF"/>
    <w:rsid w:val="001B24F2"/>
    <w:rsid w:val="001B2A67"/>
    <w:rsid w:val="001B2E0C"/>
    <w:rsid w:val="001B3125"/>
    <w:rsid w:val="001B341E"/>
    <w:rsid w:val="001B40EE"/>
    <w:rsid w:val="001B66F6"/>
    <w:rsid w:val="001B6FD5"/>
    <w:rsid w:val="001B706E"/>
    <w:rsid w:val="001B7AFC"/>
    <w:rsid w:val="001B7BC9"/>
    <w:rsid w:val="001B7C21"/>
    <w:rsid w:val="001C0AE1"/>
    <w:rsid w:val="001C181A"/>
    <w:rsid w:val="001C2468"/>
    <w:rsid w:val="001C2864"/>
    <w:rsid w:val="001C349A"/>
    <w:rsid w:val="001C378F"/>
    <w:rsid w:val="001C3B45"/>
    <w:rsid w:val="001C3D05"/>
    <w:rsid w:val="001C3D5B"/>
    <w:rsid w:val="001C4990"/>
    <w:rsid w:val="001C4C75"/>
    <w:rsid w:val="001C536B"/>
    <w:rsid w:val="001C5451"/>
    <w:rsid w:val="001C56AE"/>
    <w:rsid w:val="001C76BC"/>
    <w:rsid w:val="001C7AF5"/>
    <w:rsid w:val="001D0859"/>
    <w:rsid w:val="001D11FE"/>
    <w:rsid w:val="001D1502"/>
    <w:rsid w:val="001D176D"/>
    <w:rsid w:val="001D1E0B"/>
    <w:rsid w:val="001D1ED0"/>
    <w:rsid w:val="001D2545"/>
    <w:rsid w:val="001D2637"/>
    <w:rsid w:val="001D2A67"/>
    <w:rsid w:val="001D2C12"/>
    <w:rsid w:val="001D2D8E"/>
    <w:rsid w:val="001D3439"/>
    <w:rsid w:val="001D3C53"/>
    <w:rsid w:val="001D3C58"/>
    <w:rsid w:val="001D4AEC"/>
    <w:rsid w:val="001D4E79"/>
    <w:rsid w:val="001D5347"/>
    <w:rsid w:val="001D547A"/>
    <w:rsid w:val="001D552D"/>
    <w:rsid w:val="001D63EA"/>
    <w:rsid w:val="001D671C"/>
    <w:rsid w:val="001D7311"/>
    <w:rsid w:val="001D79E3"/>
    <w:rsid w:val="001E0BCE"/>
    <w:rsid w:val="001E0C0D"/>
    <w:rsid w:val="001E1819"/>
    <w:rsid w:val="001E1BF0"/>
    <w:rsid w:val="001E277B"/>
    <w:rsid w:val="001E293C"/>
    <w:rsid w:val="001E2C9F"/>
    <w:rsid w:val="001E3E7B"/>
    <w:rsid w:val="001E41B9"/>
    <w:rsid w:val="001E41E3"/>
    <w:rsid w:val="001E4E28"/>
    <w:rsid w:val="001E6BCB"/>
    <w:rsid w:val="001E6BDE"/>
    <w:rsid w:val="001E72AF"/>
    <w:rsid w:val="001E7413"/>
    <w:rsid w:val="001E7CA0"/>
    <w:rsid w:val="001F07E3"/>
    <w:rsid w:val="001F12E2"/>
    <w:rsid w:val="001F1970"/>
    <w:rsid w:val="001F21E7"/>
    <w:rsid w:val="001F2AF0"/>
    <w:rsid w:val="001F2B14"/>
    <w:rsid w:val="001F2F8C"/>
    <w:rsid w:val="001F3479"/>
    <w:rsid w:val="001F385A"/>
    <w:rsid w:val="001F39FD"/>
    <w:rsid w:val="001F4EBF"/>
    <w:rsid w:val="001F4FFD"/>
    <w:rsid w:val="001F503D"/>
    <w:rsid w:val="001F54C6"/>
    <w:rsid w:val="001F605D"/>
    <w:rsid w:val="001F68E8"/>
    <w:rsid w:val="001F71F7"/>
    <w:rsid w:val="00201680"/>
    <w:rsid w:val="00201791"/>
    <w:rsid w:val="0020276E"/>
    <w:rsid w:val="00202D37"/>
    <w:rsid w:val="002039A6"/>
    <w:rsid w:val="00204780"/>
    <w:rsid w:val="0020484F"/>
    <w:rsid w:val="002048B9"/>
    <w:rsid w:val="00204910"/>
    <w:rsid w:val="00204AD8"/>
    <w:rsid w:val="00204F87"/>
    <w:rsid w:val="00205266"/>
    <w:rsid w:val="00205AA6"/>
    <w:rsid w:val="00205E5C"/>
    <w:rsid w:val="00206042"/>
    <w:rsid w:val="00206864"/>
    <w:rsid w:val="002070FE"/>
    <w:rsid w:val="002103E0"/>
    <w:rsid w:val="0021054D"/>
    <w:rsid w:val="002107EF"/>
    <w:rsid w:val="002108CA"/>
    <w:rsid w:val="002118B7"/>
    <w:rsid w:val="0021328C"/>
    <w:rsid w:val="002137B9"/>
    <w:rsid w:val="00214285"/>
    <w:rsid w:val="002149C2"/>
    <w:rsid w:val="00214CE6"/>
    <w:rsid w:val="00214F90"/>
    <w:rsid w:val="00215378"/>
    <w:rsid w:val="00215702"/>
    <w:rsid w:val="00216A3B"/>
    <w:rsid w:val="00216F1A"/>
    <w:rsid w:val="00217896"/>
    <w:rsid w:val="002179B4"/>
    <w:rsid w:val="00217ABB"/>
    <w:rsid w:val="00217F42"/>
    <w:rsid w:val="002202B0"/>
    <w:rsid w:val="00220543"/>
    <w:rsid w:val="00220A59"/>
    <w:rsid w:val="00220B43"/>
    <w:rsid w:val="00221666"/>
    <w:rsid w:val="00221A01"/>
    <w:rsid w:val="00221AB0"/>
    <w:rsid w:val="00221B6E"/>
    <w:rsid w:val="00221FFB"/>
    <w:rsid w:val="00222358"/>
    <w:rsid w:val="002224CF"/>
    <w:rsid w:val="002225C3"/>
    <w:rsid w:val="002227B3"/>
    <w:rsid w:val="002228F0"/>
    <w:rsid w:val="00222E00"/>
    <w:rsid w:val="00223110"/>
    <w:rsid w:val="00223649"/>
    <w:rsid w:val="00224A65"/>
    <w:rsid w:val="00224B13"/>
    <w:rsid w:val="00224BE9"/>
    <w:rsid w:val="002256B7"/>
    <w:rsid w:val="002264A7"/>
    <w:rsid w:val="002278DD"/>
    <w:rsid w:val="00227BF7"/>
    <w:rsid w:val="00230074"/>
    <w:rsid w:val="00230FFD"/>
    <w:rsid w:val="00231021"/>
    <w:rsid w:val="002310C9"/>
    <w:rsid w:val="00233133"/>
    <w:rsid w:val="00233322"/>
    <w:rsid w:val="00234CB7"/>
    <w:rsid w:val="00235715"/>
    <w:rsid w:val="00235941"/>
    <w:rsid w:val="00235944"/>
    <w:rsid w:val="00235A20"/>
    <w:rsid w:val="002361DD"/>
    <w:rsid w:val="002365BA"/>
    <w:rsid w:val="00236A36"/>
    <w:rsid w:val="00236AC5"/>
    <w:rsid w:val="00236F21"/>
    <w:rsid w:val="00237008"/>
    <w:rsid w:val="002372BC"/>
    <w:rsid w:val="002402C0"/>
    <w:rsid w:val="00240457"/>
    <w:rsid w:val="00240D79"/>
    <w:rsid w:val="00240EF4"/>
    <w:rsid w:val="00241290"/>
    <w:rsid w:val="002417D9"/>
    <w:rsid w:val="00241BDE"/>
    <w:rsid w:val="002424A2"/>
    <w:rsid w:val="00242768"/>
    <w:rsid w:val="00244261"/>
    <w:rsid w:val="00244BD1"/>
    <w:rsid w:val="00244C05"/>
    <w:rsid w:val="002452E7"/>
    <w:rsid w:val="002454E1"/>
    <w:rsid w:val="00245BE8"/>
    <w:rsid w:val="00245C8B"/>
    <w:rsid w:val="00245EE8"/>
    <w:rsid w:val="00246539"/>
    <w:rsid w:val="00247DB5"/>
    <w:rsid w:val="00247E4A"/>
    <w:rsid w:val="00247F9D"/>
    <w:rsid w:val="002509A5"/>
    <w:rsid w:val="00251304"/>
    <w:rsid w:val="00251444"/>
    <w:rsid w:val="0025232D"/>
    <w:rsid w:val="002528F9"/>
    <w:rsid w:val="00252BA1"/>
    <w:rsid w:val="00252C81"/>
    <w:rsid w:val="0025350A"/>
    <w:rsid w:val="002543A8"/>
    <w:rsid w:val="002552CA"/>
    <w:rsid w:val="00256C38"/>
    <w:rsid w:val="00256DD3"/>
    <w:rsid w:val="00256F70"/>
    <w:rsid w:val="002575FC"/>
    <w:rsid w:val="0026015F"/>
    <w:rsid w:val="00260C55"/>
    <w:rsid w:val="002617A5"/>
    <w:rsid w:val="00262C86"/>
    <w:rsid w:val="002632EB"/>
    <w:rsid w:val="002633EC"/>
    <w:rsid w:val="002634FE"/>
    <w:rsid w:val="0026365B"/>
    <w:rsid w:val="0026367D"/>
    <w:rsid w:val="00263C45"/>
    <w:rsid w:val="00263CF0"/>
    <w:rsid w:val="0026526A"/>
    <w:rsid w:val="00266182"/>
    <w:rsid w:val="002667B2"/>
    <w:rsid w:val="00266929"/>
    <w:rsid w:val="00266C2B"/>
    <w:rsid w:val="00266D87"/>
    <w:rsid w:val="0026731E"/>
    <w:rsid w:val="00270214"/>
    <w:rsid w:val="0027060F"/>
    <w:rsid w:val="002709ED"/>
    <w:rsid w:val="00270F61"/>
    <w:rsid w:val="0027135E"/>
    <w:rsid w:val="002717E5"/>
    <w:rsid w:val="0027195B"/>
    <w:rsid w:val="00271BD4"/>
    <w:rsid w:val="00272339"/>
    <w:rsid w:val="00273824"/>
    <w:rsid w:val="00274993"/>
    <w:rsid w:val="002757ED"/>
    <w:rsid w:val="0027591F"/>
    <w:rsid w:val="002759E4"/>
    <w:rsid w:val="002805B6"/>
    <w:rsid w:val="00281088"/>
    <w:rsid w:val="002813C9"/>
    <w:rsid w:val="0028182A"/>
    <w:rsid w:val="00281E3C"/>
    <w:rsid w:val="00281E52"/>
    <w:rsid w:val="0028295F"/>
    <w:rsid w:val="00282B55"/>
    <w:rsid w:val="00283E3D"/>
    <w:rsid w:val="0028437D"/>
    <w:rsid w:val="00285131"/>
    <w:rsid w:val="0028530E"/>
    <w:rsid w:val="0028555C"/>
    <w:rsid w:val="002859D5"/>
    <w:rsid w:val="00285B30"/>
    <w:rsid w:val="00285F40"/>
    <w:rsid w:val="0028627B"/>
    <w:rsid w:val="002866D1"/>
    <w:rsid w:val="0028708A"/>
    <w:rsid w:val="00287122"/>
    <w:rsid w:val="0028741B"/>
    <w:rsid w:val="00290082"/>
    <w:rsid w:val="00290B90"/>
    <w:rsid w:val="002912A9"/>
    <w:rsid w:val="002918BF"/>
    <w:rsid w:val="00292E50"/>
    <w:rsid w:val="00293033"/>
    <w:rsid w:val="00293321"/>
    <w:rsid w:val="00294024"/>
    <w:rsid w:val="00294C06"/>
    <w:rsid w:val="002951F5"/>
    <w:rsid w:val="00295311"/>
    <w:rsid w:val="0029551B"/>
    <w:rsid w:val="00296450"/>
    <w:rsid w:val="0029663D"/>
    <w:rsid w:val="002969F2"/>
    <w:rsid w:val="00296F36"/>
    <w:rsid w:val="002A2080"/>
    <w:rsid w:val="002A2572"/>
    <w:rsid w:val="002A30D1"/>
    <w:rsid w:val="002A3220"/>
    <w:rsid w:val="002A3B53"/>
    <w:rsid w:val="002A3E2E"/>
    <w:rsid w:val="002A50F4"/>
    <w:rsid w:val="002A5D07"/>
    <w:rsid w:val="002A5FCB"/>
    <w:rsid w:val="002A64CD"/>
    <w:rsid w:val="002A7307"/>
    <w:rsid w:val="002A7C08"/>
    <w:rsid w:val="002B0B09"/>
    <w:rsid w:val="002B10C9"/>
    <w:rsid w:val="002B10CE"/>
    <w:rsid w:val="002B14AE"/>
    <w:rsid w:val="002B1614"/>
    <w:rsid w:val="002B18D4"/>
    <w:rsid w:val="002B1DB2"/>
    <w:rsid w:val="002B26E7"/>
    <w:rsid w:val="002B3373"/>
    <w:rsid w:val="002B35DE"/>
    <w:rsid w:val="002B38BB"/>
    <w:rsid w:val="002B3FBB"/>
    <w:rsid w:val="002B537E"/>
    <w:rsid w:val="002B5917"/>
    <w:rsid w:val="002B5B72"/>
    <w:rsid w:val="002B5B98"/>
    <w:rsid w:val="002B6353"/>
    <w:rsid w:val="002B639C"/>
    <w:rsid w:val="002B6CEC"/>
    <w:rsid w:val="002B6E11"/>
    <w:rsid w:val="002B75BE"/>
    <w:rsid w:val="002C0DF3"/>
    <w:rsid w:val="002C26FC"/>
    <w:rsid w:val="002C297A"/>
    <w:rsid w:val="002C3102"/>
    <w:rsid w:val="002C3B66"/>
    <w:rsid w:val="002C3BC2"/>
    <w:rsid w:val="002C3D13"/>
    <w:rsid w:val="002C5326"/>
    <w:rsid w:val="002C5484"/>
    <w:rsid w:val="002C64AB"/>
    <w:rsid w:val="002C64FB"/>
    <w:rsid w:val="002C7CC5"/>
    <w:rsid w:val="002D0808"/>
    <w:rsid w:val="002D099B"/>
    <w:rsid w:val="002D0E84"/>
    <w:rsid w:val="002D0F33"/>
    <w:rsid w:val="002D200B"/>
    <w:rsid w:val="002D205B"/>
    <w:rsid w:val="002D21C8"/>
    <w:rsid w:val="002D2497"/>
    <w:rsid w:val="002D2F5D"/>
    <w:rsid w:val="002D2FCB"/>
    <w:rsid w:val="002D3F1C"/>
    <w:rsid w:val="002D42F3"/>
    <w:rsid w:val="002D45F6"/>
    <w:rsid w:val="002D46C7"/>
    <w:rsid w:val="002D4D1D"/>
    <w:rsid w:val="002D54EA"/>
    <w:rsid w:val="002D599C"/>
    <w:rsid w:val="002D5B89"/>
    <w:rsid w:val="002D5C89"/>
    <w:rsid w:val="002D5FC4"/>
    <w:rsid w:val="002D6AE9"/>
    <w:rsid w:val="002D78FC"/>
    <w:rsid w:val="002D7A61"/>
    <w:rsid w:val="002D7ED4"/>
    <w:rsid w:val="002D7F19"/>
    <w:rsid w:val="002E09F2"/>
    <w:rsid w:val="002E10ED"/>
    <w:rsid w:val="002E16B5"/>
    <w:rsid w:val="002E18C1"/>
    <w:rsid w:val="002E1D86"/>
    <w:rsid w:val="002E2145"/>
    <w:rsid w:val="002E244B"/>
    <w:rsid w:val="002E294B"/>
    <w:rsid w:val="002E2E94"/>
    <w:rsid w:val="002E3921"/>
    <w:rsid w:val="002E3ED2"/>
    <w:rsid w:val="002E4558"/>
    <w:rsid w:val="002E4E75"/>
    <w:rsid w:val="002E6666"/>
    <w:rsid w:val="002E680E"/>
    <w:rsid w:val="002E6DA1"/>
    <w:rsid w:val="002E7399"/>
    <w:rsid w:val="002E76D5"/>
    <w:rsid w:val="002F01B0"/>
    <w:rsid w:val="002F08AB"/>
    <w:rsid w:val="002F0F17"/>
    <w:rsid w:val="002F14BD"/>
    <w:rsid w:val="002F29D7"/>
    <w:rsid w:val="002F33B5"/>
    <w:rsid w:val="002F367A"/>
    <w:rsid w:val="002F42C4"/>
    <w:rsid w:val="002F4322"/>
    <w:rsid w:val="002F59DF"/>
    <w:rsid w:val="002F621E"/>
    <w:rsid w:val="002F64A4"/>
    <w:rsid w:val="002F6AC8"/>
    <w:rsid w:val="002F6E79"/>
    <w:rsid w:val="002F7093"/>
    <w:rsid w:val="002F7815"/>
    <w:rsid w:val="002F78AA"/>
    <w:rsid w:val="002F79EF"/>
    <w:rsid w:val="002F7BBC"/>
    <w:rsid w:val="003003F7"/>
    <w:rsid w:val="003004FE"/>
    <w:rsid w:val="00301A61"/>
    <w:rsid w:val="00301E6C"/>
    <w:rsid w:val="003027ED"/>
    <w:rsid w:val="0030287A"/>
    <w:rsid w:val="00302C17"/>
    <w:rsid w:val="00302F9A"/>
    <w:rsid w:val="003032FC"/>
    <w:rsid w:val="00303339"/>
    <w:rsid w:val="00303D76"/>
    <w:rsid w:val="0030415F"/>
    <w:rsid w:val="003044FC"/>
    <w:rsid w:val="00304AF4"/>
    <w:rsid w:val="003058FB"/>
    <w:rsid w:val="00305CF9"/>
    <w:rsid w:val="0030611E"/>
    <w:rsid w:val="00306595"/>
    <w:rsid w:val="003067BD"/>
    <w:rsid w:val="00307266"/>
    <w:rsid w:val="003075ED"/>
    <w:rsid w:val="0030793B"/>
    <w:rsid w:val="00307C42"/>
    <w:rsid w:val="0031072C"/>
    <w:rsid w:val="00310D15"/>
    <w:rsid w:val="00311B3A"/>
    <w:rsid w:val="00311E8B"/>
    <w:rsid w:val="0031214F"/>
    <w:rsid w:val="00312784"/>
    <w:rsid w:val="00312860"/>
    <w:rsid w:val="00312DC6"/>
    <w:rsid w:val="00313071"/>
    <w:rsid w:val="00313C7E"/>
    <w:rsid w:val="00313CE7"/>
    <w:rsid w:val="0031412C"/>
    <w:rsid w:val="003149B3"/>
    <w:rsid w:val="00314E91"/>
    <w:rsid w:val="00315387"/>
    <w:rsid w:val="003160F8"/>
    <w:rsid w:val="00316639"/>
    <w:rsid w:val="0031742B"/>
    <w:rsid w:val="0031782C"/>
    <w:rsid w:val="00317941"/>
    <w:rsid w:val="00317C39"/>
    <w:rsid w:val="00317D95"/>
    <w:rsid w:val="003212B1"/>
    <w:rsid w:val="0032136F"/>
    <w:rsid w:val="003214F4"/>
    <w:rsid w:val="00321F32"/>
    <w:rsid w:val="00323606"/>
    <w:rsid w:val="00323E2C"/>
    <w:rsid w:val="00323F20"/>
    <w:rsid w:val="0032434F"/>
    <w:rsid w:val="0032521C"/>
    <w:rsid w:val="0032555A"/>
    <w:rsid w:val="003258DE"/>
    <w:rsid w:val="00325FAE"/>
    <w:rsid w:val="0032776A"/>
    <w:rsid w:val="00327B32"/>
    <w:rsid w:val="00327BA9"/>
    <w:rsid w:val="0033011D"/>
    <w:rsid w:val="00331BED"/>
    <w:rsid w:val="00331CE0"/>
    <w:rsid w:val="00331E23"/>
    <w:rsid w:val="0033260D"/>
    <w:rsid w:val="00332979"/>
    <w:rsid w:val="00332E25"/>
    <w:rsid w:val="00333111"/>
    <w:rsid w:val="00333983"/>
    <w:rsid w:val="00333CAB"/>
    <w:rsid w:val="00333D61"/>
    <w:rsid w:val="0033440B"/>
    <w:rsid w:val="00334D4F"/>
    <w:rsid w:val="0033519C"/>
    <w:rsid w:val="0033603A"/>
    <w:rsid w:val="0033603C"/>
    <w:rsid w:val="00336A3B"/>
    <w:rsid w:val="00337264"/>
    <w:rsid w:val="00340381"/>
    <w:rsid w:val="00340907"/>
    <w:rsid w:val="00340AF3"/>
    <w:rsid w:val="00340B2C"/>
    <w:rsid w:val="00341F68"/>
    <w:rsid w:val="003420EA"/>
    <w:rsid w:val="0034244F"/>
    <w:rsid w:val="00342DA5"/>
    <w:rsid w:val="003435AE"/>
    <w:rsid w:val="00344982"/>
    <w:rsid w:val="00344B54"/>
    <w:rsid w:val="00345C01"/>
    <w:rsid w:val="00347263"/>
    <w:rsid w:val="003472D4"/>
    <w:rsid w:val="003472E3"/>
    <w:rsid w:val="00347889"/>
    <w:rsid w:val="00347AF5"/>
    <w:rsid w:val="00347C5E"/>
    <w:rsid w:val="00350469"/>
    <w:rsid w:val="003512A4"/>
    <w:rsid w:val="003512EC"/>
    <w:rsid w:val="00351335"/>
    <w:rsid w:val="00351BA2"/>
    <w:rsid w:val="00351D7A"/>
    <w:rsid w:val="00351DE7"/>
    <w:rsid w:val="00353D90"/>
    <w:rsid w:val="003540AF"/>
    <w:rsid w:val="0035416E"/>
    <w:rsid w:val="0035563D"/>
    <w:rsid w:val="003561A5"/>
    <w:rsid w:val="003563BF"/>
    <w:rsid w:val="00357459"/>
    <w:rsid w:val="00357636"/>
    <w:rsid w:val="00357A5A"/>
    <w:rsid w:val="003611AF"/>
    <w:rsid w:val="0036181A"/>
    <w:rsid w:val="00361B25"/>
    <w:rsid w:val="00362367"/>
    <w:rsid w:val="00362BDA"/>
    <w:rsid w:val="00362CB9"/>
    <w:rsid w:val="00362EB6"/>
    <w:rsid w:val="00363A98"/>
    <w:rsid w:val="00363ADB"/>
    <w:rsid w:val="00364230"/>
    <w:rsid w:val="003643E8"/>
    <w:rsid w:val="00364528"/>
    <w:rsid w:val="00364787"/>
    <w:rsid w:val="003648C6"/>
    <w:rsid w:val="00365B33"/>
    <w:rsid w:val="003662D9"/>
    <w:rsid w:val="003664B0"/>
    <w:rsid w:val="00366B7F"/>
    <w:rsid w:val="00366C7A"/>
    <w:rsid w:val="00366EF4"/>
    <w:rsid w:val="003673A0"/>
    <w:rsid w:val="00367EF7"/>
    <w:rsid w:val="00370428"/>
    <w:rsid w:val="0037060C"/>
    <w:rsid w:val="00370D82"/>
    <w:rsid w:val="00371571"/>
    <w:rsid w:val="00371C35"/>
    <w:rsid w:val="00371FC2"/>
    <w:rsid w:val="00372570"/>
    <w:rsid w:val="003740C4"/>
    <w:rsid w:val="00374B7E"/>
    <w:rsid w:val="003758F3"/>
    <w:rsid w:val="00375E16"/>
    <w:rsid w:val="00376035"/>
    <w:rsid w:val="0037610B"/>
    <w:rsid w:val="003768C3"/>
    <w:rsid w:val="00376D82"/>
    <w:rsid w:val="00376F54"/>
    <w:rsid w:val="0037737E"/>
    <w:rsid w:val="003778D2"/>
    <w:rsid w:val="00377FED"/>
    <w:rsid w:val="00380003"/>
    <w:rsid w:val="003806EA"/>
    <w:rsid w:val="0038177E"/>
    <w:rsid w:val="00382088"/>
    <w:rsid w:val="003824EE"/>
    <w:rsid w:val="00382E0E"/>
    <w:rsid w:val="00382F89"/>
    <w:rsid w:val="0038360E"/>
    <w:rsid w:val="00383762"/>
    <w:rsid w:val="00383DAF"/>
    <w:rsid w:val="00383FB7"/>
    <w:rsid w:val="00384551"/>
    <w:rsid w:val="003854D6"/>
    <w:rsid w:val="003859E9"/>
    <w:rsid w:val="00386417"/>
    <w:rsid w:val="0038660E"/>
    <w:rsid w:val="00386D06"/>
    <w:rsid w:val="00386DA0"/>
    <w:rsid w:val="003871AC"/>
    <w:rsid w:val="003902EC"/>
    <w:rsid w:val="003903E5"/>
    <w:rsid w:val="00390E31"/>
    <w:rsid w:val="00390EA9"/>
    <w:rsid w:val="00391212"/>
    <w:rsid w:val="003915F7"/>
    <w:rsid w:val="00392205"/>
    <w:rsid w:val="00393FFE"/>
    <w:rsid w:val="00394E5B"/>
    <w:rsid w:val="00394EAE"/>
    <w:rsid w:val="00395569"/>
    <w:rsid w:val="00395C04"/>
    <w:rsid w:val="00395CC7"/>
    <w:rsid w:val="003961D7"/>
    <w:rsid w:val="00397584"/>
    <w:rsid w:val="00397A94"/>
    <w:rsid w:val="00397C8F"/>
    <w:rsid w:val="003A0411"/>
    <w:rsid w:val="003A1D62"/>
    <w:rsid w:val="003A22E4"/>
    <w:rsid w:val="003A24BE"/>
    <w:rsid w:val="003A2541"/>
    <w:rsid w:val="003A2E7E"/>
    <w:rsid w:val="003A38FE"/>
    <w:rsid w:val="003A39B8"/>
    <w:rsid w:val="003A3CA6"/>
    <w:rsid w:val="003A4112"/>
    <w:rsid w:val="003A4150"/>
    <w:rsid w:val="003A45FD"/>
    <w:rsid w:val="003A4CB1"/>
    <w:rsid w:val="003A588C"/>
    <w:rsid w:val="003A6003"/>
    <w:rsid w:val="003A60AA"/>
    <w:rsid w:val="003A653A"/>
    <w:rsid w:val="003A6737"/>
    <w:rsid w:val="003A6D16"/>
    <w:rsid w:val="003A778E"/>
    <w:rsid w:val="003A7C07"/>
    <w:rsid w:val="003A7EBC"/>
    <w:rsid w:val="003B00E6"/>
    <w:rsid w:val="003B0417"/>
    <w:rsid w:val="003B04C0"/>
    <w:rsid w:val="003B051C"/>
    <w:rsid w:val="003B0631"/>
    <w:rsid w:val="003B0B48"/>
    <w:rsid w:val="003B2FC1"/>
    <w:rsid w:val="003B387F"/>
    <w:rsid w:val="003B40FE"/>
    <w:rsid w:val="003B48F7"/>
    <w:rsid w:val="003B49C2"/>
    <w:rsid w:val="003B51A7"/>
    <w:rsid w:val="003B5328"/>
    <w:rsid w:val="003B5360"/>
    <w:rsid w:val="003B5691"/>
    <w:rsid w:val="003B5868"/>
    <w:rsid w:val="003B5BD3"/>
    <w:rsid w:val="003B650F"/>
    <w:rsid w:val="003B66DF"/>
    <w:rsid w:val="003B6814"/>
    <w:rsid w:val="003B6FA6"/>
    <w:rsid w:val="003B7FC6"/>
    <w:rsid w:val="003C0720"/>
    <w:rsid w:val="003C0BCF"/>
    <w:rsid w:val="003C109A"/>
    <w:rsid w:val="003C185F"/>
    <w:rsid w:val="003C18D3"/>
    <w:rsid w:val="003C2275"/>
    <w:rsid w:val="003C282E"/>
    <w:rsid w:val="003C2EA8"/>
    <w:rsid w:val="003C2FA6"/>
    <w:rsid w:val="003C3651"/>
    <w:rsid w:val="003C3B27"/>
    <w:rsid w:val="003C3C69"/>
    <w:rsid w:val="003C3FBD"/>
    <w:rsid w:val="003C4046"/>
    <w:rsid w:val="003C69DC"/>
    <w:rsid w:val="003C6D32"/>
    <w:rsid w:val="003C712A"/>
    <w:rsid w:val="003C77FA"/>
    <w:rsid w:val="003D0CC8"/>
    <w:rsid w:val="003D0E0C"/>
    <w:rsid w:val="003D18D3"/>
    <w:rsid w:val="003D1E21"/>
    <w:rsid w:val="003D1F42"/>
    <w:rsid w:val="003D245D"/>
    <w:rsid w:val="003D2CFA"/>
    <w:rsid w:val="003D3ACD"/>
    <w:rsid w:val="003D3E81"/>
    <w:rsid w:val="003D5706"/>
    <w:rsid w:val="003D58A0"/>
    <w:rsid w:val="003D5B01"/>
    <w:rsid w:val="003D5FC2"/>
    <w:rsid w:val="003D602E"/>
    <w:rsid w:val="003D6BB7"/>
    <w:rsid w:val="003D7C1C"/>
    <w:rsid w:val="003E045B"/>
    <w:rsid w:val="003E0842"/>
    <w:rsid w:val="003E08A6"/>
    <w:rsid w:val="003E140C"/>
    <w:rsid w:val="003E1BE3"/>
    <w:rsid w:val="003E23BD"/>
    <w:rsid w:val="003E2B98"/>
    <w:rsid w:val="003E39C6"/>
    <w:rsid w:val="003E3C1A"/>
    <w:rsid w:val="003E3FD6"/>
    <w:rsid w:val="003E60CE"/>
    <w:rsid w:val="003E6286"/>
    <w:rsid w:val="003E67C6"/>
    <w:rsid w:val="003E6DBD"/>
    <w:rsid w:val="003E6FA7"/>
    <w:rsid w:val="003E734A"/>
    <w:rsid w:val="003E7D18"/>
    <w:rsid w:val="003F0E64"/>
    <w:rsid w:val="003F1862"/>
    <w:rsid w:val="003F1CC2"/>
    <w:rsid w:val="003F1CCD"/>
    <w:rsid w:val="003F327C"/>
    <w:rsid w:val="003F4022"/>
    <w:rsid w:val="003F458A"/>
    <w:rsid w:val="003F4FFA"/>
    <w:rsid w:val="003F5244"/>
    <w:rsid w:val="003F579F"/>
    <w:rsid w:val="003F6103"/>
    <w:rsid w:val="003F61E6"/>
    <w:rsid w:val="003F65DB"/>
    <w:rsid w:val="003F67D5"/>
    <w:rsid w:val="003F685D"/>
    <w:rsid w:val="003F6C0B"/>
    <w:rsid w:val="003F719B"/>
    <w:rsid w:val="003F7640"/>
    <w:rsid w:val="00400C6B"/>
    <w:rsid w:val="00400F2E"/>
    <w:rsid w:val="00400F77"/>
    <w:rsid w:val="004019E8"/>
    <w:rsid w:val="00401D69"/>
    <w:rsid w:val="00401F57"/>
    <w:rsid w:val="00402A26"/>
    <w:rsid w:val="00402FEC"/>
    <w:rsid w:val="004033CF"/>
    <w:rsid w:val="00403E56"/>
    <w:rsid w:val="004041B0"/>
    <w:rsid w:val="00404239"/>
    <w:rsid w:val="00404EB0"/>
    <w:rsid w:val="00405202"/>
    <w:rsid w:val="004056F1"/>
    <w:rsid w:val="0040574B"/>
    <w:rsid w:val="00406045"/>
    <w:rsid w:val="004068F8"/>
    <w:rsid w:val="004073EC"/>
    <w:rsid w:val="00407468"/>
    <w:rsid w:val="00407909"/>
    <w:rsid w:val="00410D13"/>
    <w:rsid w:val="004121E2"/>
    <w:rsid w:val="00412934"/>
    <w:rsid w:val="00412BE8"/>
    <w:rsid w:val="00412DA7"/>
    <w:rsid w:val="00413965"/>
    <w:rsid w:val="004139FF"/>
    <w:rsid w:val="00413EA2"/>
    <w:rsid w:val="00413EF1"/>
    <w:rsid w:val="00414A6F"/>
    <w:rsid w:val="00415077"/>
    <w:rsid w:val="004150F0"/>
    <w:rsid w:val="00415371"/>
    <w:rsid w:val="004158C1"/>
    <w:rsid w:val="00415D8F"/>
    <w:rsid w:val="0041632B"/>
    <w:rsid w:val="00416D7F"/>
    <w:rsid w:val="00416E11"/>
    <w:rsid w:val="00417070"/>
    <w:rsid w:val="004174C7"/>
    <w:rsid w:val="004179DC"/>
    <w:rsid w:val="004179E6"/>
    <w:rsid w:val="00417EFA"/>
    <w:rsid w:val="00420328"/>
    <w:rsid w:val="00420D96"/>
    <w:rsid w:val="0042169C"/>
    <w:rsid w:val="004223BB"/>
    <w:rsid w:val="004225C3"/>
    <w:rsid w:val="0042279E"/>
    <w:rsid w:val="00422FA5"/>
    <w:rsid w:val="00423300"/>
    <w:rsid w:val="0042332D"/>
    <w:rsid w:val="004235F6"/>
    <w:rsid w:val="004239C7"/>
    <w:rsid w:val="004242A4"/>
    <w:rsid w:val="00424E86"/>
    <w:rsid w:val="0042509D"/>
    <w:rsid w:val="004250EF"/>
    <w:rsid w:val="004253F5"/>
    <w:rsid w:val="0042550B"/>
    <w:rsid w:val="00425E3F"/>
    <w:rsid w:val="004266F8"/>
    <w:rsid w:val="0043041E"/>
    <w:rsid w:val="00430787"/>
    <w:rsid w:val="00430A91"/>
    <w:rsid w:val="004313DA"/>
    <w:rsid w:val="0043173F"/>
    <w:rsid w:val="00432B46"/>
    <w:rsid w:val="004334E5"/>
    <w:rsid w:val="00433792"/>
    <w:rsid w:val="0043389A"/>
    <w:rsid w:val="00433BB1"/>
    <w:rsid w:val="00433C2C"/>
    <w:rsid w:val="00433F7A"/>
    <w:rsid w:val="0043402B"/>
    <w:rsid w:val="0043464C"/>
    <w:rsid w:val="0043493F"/>
    <w:rsid w:val="00434D28"/>
    <w:rsid w:val="00434F5A"/>
    <w:rsid w:val="00435186"/>
    <w:rsid w:val="00437920"/>
    <w:rsid w:val="004400BF"/>
    <w:rsid w:val="00440226"/>
    <w:rsid w:val="0044198A"/>
    <w:rsid w:val="00441CA2"/>
    <w:rsid w:val="00442060"/>
    <w:rsid w:val="004424D4"/>
    <w:rsid w:val="0044394B"/>
    <w:rsid w:val="00443ECC"/>
    <w:rsid w:val="00443F27"/>
    <w:rsid w:val="00443F64"/>
    <w:rsid w:val="004443D6"/>
    <w:rsid w:val="0044452D"/>
    <w:rsid w:val="004448A5"/>
    <w:rsid w:val="00444EB8"/>
    <w:rsid w:val="004456DE"/>
    <w:rsid w:val="004458D2"/>
    <w:rsid w:val="00445A8D"/>
    <w:rsid w:val="00445CCA"/>
    <w:rsid w:val="00445DDC"/>
    <w:rsid w:val="00445E5A"/>
    <w:rsid w:val="0044683C"/>
    <w:rsid w:val="00446C11"/>
    <w:rsid w:val="004476C2"/>
    <w:rsid w:val="004476E9"/>
    <w:rsid w:val="004501A2"/>
    <w:rsid w:val="00450AF0"/>
    <w:rsid w:val="0045104D"/>
    <w:rsid w:val="0045119E"/>
    <w:rsid w:val="0045143C"/>
    <w:rsid w:val="00451440"/>
    <w:rsid w:val="004523D0"/>
    <w:rsid w:val="004534FB"/>
    <w:rsid w:val="00453922"/>
    <w:rsid w:val="00454753"/>
    <w:rsid w:val="004551FE"/>
    <w:rsid w:val="004554EB"/>
    <w:rsid w:val="00455B36"/>
    <w:rsid w:val="00455B8F"/>
    <w:rsid w:val="00456F7C"/>
    <w:rsid w:val="0045742C"/>
    <w:rsid w:val="00457E2A"/>
    <w:rsid w:val="00457E5C"/>
    <w:rsid w:val="0046096F"/>
    <w:rsid w:val="00461578"/>
    <w:rsid w:val="004619F6"/>
    <w:rsid w:val="004622F3"/>
    <w:rsid w:val="0046263B"/>
    <w:rsid w:val="004635B9"/>
    <w:rsid w:val="0046381C"/>
    <w:rsid w:val="00463F6C"/>
    <w:rsid w:val="004648E0"/>
    <w:rsid w:val="00464AE3"/>
    <w:rsid w:val="00465077"/>
    <w:rsid w:val="00465931"/>
    <w:rsid w:val="0046632C"/>
    <w:rsid w:val="00466593"/>
    <w:rsid w:val="00466CE9"/>
    <w:rsid w:val="00467143"/>
    <w:rsid w:val="00467304"/>
    <w:rsid w:val="00467658"/>
    <w:rsid w:val="00467A9A"/>
    <w:rsid w:val="00471040"/>
    <w:rsid w:val="00471439"/>
    <w:rsid w:val="004715C1"/>
    <w:rsid w:val="00471DF8"/>
    <w:rsid w:val="0047230A"/>
    <w:rsid w:val="00472AF6"/>
    <w:rsid w:val="00472F0D"/>
    <w:rsid w:val="00472F4B"/>
    <w:rsid w:val="00473F2B"/>
    <w:rsid w:val="00473FC6"/>
    <w:rsid w:val="00474313"/>
    <w:rsid w:val="004744FB"/>
    <w:rsid w:val="00476878"/>
    <w:rsid w:val="00476CC1"/>
    <w:rsid w:val="00477472"/>
    <w:rsid w:val="00477D7A"/>
    <w:rsid w:val="0048068A"/>
    <w:rsid w:val="0048150F"/>
    <w:rsid w:val="004825C0"/>
    <w:rsid w:val="00482875"/>
    <w:rsid w:val="0048305F"/>
    <w:rsid w:val="004830FF"/>
    <w:rsid w:val="0048330A"/>
    <w:rsid w:val="00483B48"/>
    <w:rsid w:val="00483E95"/>
    <w:rsid w:val="00483EF9"/>
    <w:rsid w:val="004845A1"/>
    <w:rsid w:val="00484611"/>
    <w:rsid w:val="00484BCD"/>
    <w:rsid w:val="00485159"/>
    <w:rsid w:val="004857FE"/>
    <w:rsid w:val="00485E6B"/>
    <w:rsid w:val="00486145"/>
    <w:rsid w:val="00487D68"/>
    <w:rsid w:val="00487EB1"/>
    <w:rsid w:val="004908D8"/>
    <w:rsid w:val="00490A10"/>
    <w:rsid w:val="00491685"/>
    <w:rsid w:val="00491A13"/>
    <w:rsid w:val="004920E6"/>
    <w:rsid w:val="004929D9"/>
    <w:rsid w:val="00492FA1"/>
    <w:rsid w:val="00493962"/>
    <w:rsid w:val="00493BED"/>
    <w:rsid w:val="0049583C"/>
    <w:rsid w:val="00496531"/>
    <w:rsid w:val="0049686A"/>
    <w:rsid w:val="00496970"/>
    <w:rsid w:val="00496C0A"/>
    <w:rsid w:val="00497A02"/>
    <w:rsid w:val="00497DA0"/>
    <w:rsid w:val="00497EFD"/>
    <w:rsid w:val="004A0B7A"/>
    <w:rsid w:val="004A0CAD"/>
    <w:rsid w:val="004A1D26"/>
    <w:rsid w:val="004A280B"/>
    <w:rsid w:val="004A2C1B"/>
    <w:rsid w:val="004A2D20"/>
    <w:rsid w:val="004A2E0F"/>
    <w:rsid w:val="004A36EA"/>
    <w:rsid w:val="004A3825"/>
    <w:rsid w:val="004A3DD7"/>
    <w:rsid w:val="004A41C1"/>
    <w:rsid w:val="004A41C7"/>
    <w:rsid w:val="004A422B"/>
    <w:rsid w:val="004A430F"/>
    <w:rsid w:val="004A4976"/>
    <w:rsid w:val="004A50D1"/>
    <w:rsid w:val="004A5726"/>
    <w:rsid w:val="004A617F"/>
    <w:rsid w:val="004A6F40"/>
    <w:rsid w:val="004B030E"/>
    <w:rsid w:val="004B04AB"/>
    <w:rsid w:val="004B0B03"/>
    <w:rsid w:val="004B1BD7"/>
    <w:rsid w:val="004B1EEA"/>
    <w:rsid w:val="004B21CB"/>
    <w:rsid w:val="004B2238"/>
    <w:rsid w:val="004B282F"/>
    <w:rsid w:val="004B30D2"/>
    <w:rsid w:val="004B36B6"/>
    <w:rsid w:val="004B3B41"/>
    <w:rsid w:val="004B41DE"/>
    <w:rsid w:val="004B4412"/>
    <w:rsid w:val="004B4A5E"/>
    <w:rsid w:val="004B4D90"/>
    <w:rsid w:val="004B54DE"/>
    <w:rsid w:val="004B5AAE"/>
    <w:rsid w:val="004B5FB2"/>
    <w:rsid w:val="004B73B2"/>
    <w:rsid w:val="004C030D"/>
    <w:rsid w:val="004C0968"/>
    <w:rsid w:val="004C17E3"/>
    <w:rsid w:val="004C1EE1"/>
    <w:rsid w:val="004C270C"/>
    <w:rsid w:val="004C2C6A"/>
    <w:rsid w:val="004C2D36"/>
    <w:rsid w:val="004C39EB"/>
    <w:rsid w:val="004C3CE0"/>
    <w:rsid w:val="004C3D5A"/>
    <w:rsid w:val="004C4535"/>
    <w:rsid w:val="004C5D9B"/>
    <w:rsid w:val="004C5DBF"/>
    <w:rsid w:val="004C6910"/>
    <w:rsid w:val="004C759D"/>
    <w:rsid w:val="004C7649"/>
    <w:rsid w:val="004C79AD"/>
    <w:rsid w:val="004D04BA"/>
    <w:rsid w:val="004D04D1"/>
    <w:rsid w:val="004D11A1"/>
    <w:rsid w:val="004D190F"/>
    <w:rsid w:val="004D299A"/>
    <w:rsid w:val="004D315D"/>
    <w:rsid w:val="004D394C"/>
    <w:rsid w:val="004D4A84"/>
    <w:rsid w:val="004D4E63"/>
    <w:rsid w:val="004D55BE"/>
    <w:rsid w:val="004D5671"/>
    <w:rsid w:val="004D574C"/>
    <w:rsid w:val="004D59DE"/>
    <w:rsid w:val="004D5C9F"/>
    <w:rsid w:val="004D5F96"/>
    <w:rsid w:val="004D780A"/>
    <w:rsid w:val="004D7E64"/>
    <w:rsid w:val="004E0352"/>
    <w:rsid w:val="004E040B"/>
    <w:rsid w:val="004E0BCC"/>
    <w:rsid w:val="004E1B97"/>
    <w:rsid w:val="004E2C8A"/>
    <w:rsid w:val="004E4649"/>
    <w:rsid w:val="004E4F94"/>
    <w:rsid w:val="004E4FC3"/>
    <w:rsid w:val="004E57D8"/>
    <w:rsid w:val="004E5AB8"/>
    <w:rsid w:val="004E6195"/>
    <w:rsid w:val="004E7FA8"/>
    <w:rsid w:val="004F02B1"/>
    <w:rsid w:val="004F169E"/>
    <w:rsid w:val="004F1782"/>
    <w:rsid w:val="004F1B37"/>
    <w:rsid w:val="004F25F1"/>
    <w:rsid w:val="004F30A5"/>
    <w:rsid w:val="004F33A6"/>
    <w:rsid w:val="004F3580"/>
    <w:rsid w:val="004F3E35"/>
    <w:rsid w:val="004F3ED5"/>
    <w:rsid w:val="004F4A30"/>
    <w:rsid w:val="004F5553"/>
    <w:rsid w:val="004F5872"/>
    <w:rsid w:val="004F599F"/>
    <w:rsid w:val="004F5CF2"/>
    <w:rsid w:val="004F64F0"/>
    <w:rsid w:val="004F695E"/>
    <w:rsid w:val="004F74DC"/>
    <w:rsid w:val="004F7512"/>
    <w:rsid w:val="005010AD"/>
    <w:rsid w:val="00501235"/>
    <w:rsid w:val="00501547"/>
    <w:rsid w:val="00501791"/>
    <w:rsid w:val="00501EC0"/>
    <w:rsid w:val="005024C6"/>
    <w:rsid w:val="00502589"/>
    <w:rsid w:val="005025F9"/>
    <w:rsid w:val="00502F06"/>
    <w:rsid w:val="00502FD4"/>
    <w:rsid w:val="00503A40"/>
    <w:rsid w:val="00503A63"/>
    <w:rsid w:val="005042AE"/>
    <w:rsid w:val="00504D62"/>
    <w:rsid w:val="00505854"/>
    <w:rsid w:val="00506323"/>
    <w:rsid w:val="00506631"/>
    <w:rsid w:val="0050782E"/>
    <w:rsid w:val="005105E4"/>
    <w:rsid w:val="005108F3"/>
    <w:rsid w:val="00510B1B"/>
    <w:rsid w:val="005113A8"/>
    <w:rsid w:val="00511AB9"/>
    <w:rsid w:val="005120FC"/>
    <w:rsid w:val="005122E5"/>
    <w:rsid w:val="005125D8"/>
    <w:rsid w:val="005129B9"/>
    <w:rsid w:val="00512F24"/>
    <w:rsid w:val="00513024"/>
    <w:rsid w:val="005134E0"/>
    <w:rsid w:val="005134EC"/>
    <w:rsid w:val="0051386C"/>
    <w:rsid w:val="00513A9C"/>
    <w:rsid w:val="00513D00"/>
    <w:rsid w:val="0051469B"/>
    <w:rsid w:val="00515AE1"/>
    <w:rsid w:val="00515C92"/>
    <w:rsid w:val="005172BC"/>
    <w:rsid w:val="00517A48"/>
    <w:rsid w:val="00517C17"/>
    <w:rsid w:val="00517E5D"/>
    <w:rsid w:val="00517F0D"/>
    <w:rsid w:val="0052024A"/>
    <w:rsid w:val="00521D35"/>
    <w:rsid w:val="005223C4"/>
    <w:rsid w:val="005224A2"/>
    <w:rsid w:val="0052258C"/>
    <w:rsid w:val="00522980"/>
    <w:rsid w:val="00523A4B"/>
    <w:rsid w:val="00524609"/>
    <w:rsid w:val="00524FBF"/>
    <w:rsid w:val="00525088"/>
    <w:rsid w:val="00525091"/>
    <w:rsid w:val="0052514B"/>
    <w:rsid w:val="005252D1"/>
    <w:rsid w:val="005258F9"/>
    <w:rsid w:val="005263DF"/>
    <w:rsid w:val="00526677"/>
    <w:rsid w:val="00526757"/>
    <w:rsid w:val="00527C48"/>
    <w:rsid w:val="00530194"/>
    <w:rsid w:val="005302EA"/>
    <w:rsid w:val="00530D73"/>
    <w:rsid w:val="005311CB"/>
    <w:rsid w:val="005318C5"/>
    <w:rsid w:val="00531F3F"/>
    <w:rsid w:val="005320F0"/>
    <w:rsid w:val="0053253D"/>
    <w:rsid w:val="00532E6B"/>
    <w:rsid w:val="00533A35"/>
    <w:rsid w:val="0053430F"/>
    <w:rsid w:val="005348F4"/>
    <w:rsid w:val="00534C4D"/>
    <w:rsid w:val="005354DC"/>
    <w:rsid w:val="00535F92"/>
    <w:rsid w:val="00535FAB"/>
    <w:rsid w:val="00536D58"/>
    <w:rsid w:val="00537866"/>
    <w:rsid w:val="005405C0"/>
    <w:rsid w:val="0054060B"/>
    <w:rsid w:val="005413CB"/>
    <w:rsid w:val="00541A6D"/>
    <w:rsid w:val="00541E39"/>
    <w:rsid w:val="00542B10"/>
    <w:rsid w:val="00542CC2"/>
    <w:rsid w:val="0054307B"/>
    <w:rsid w:val="005430B2"/>
    <w:rsid w:val="00543B9C"/>
    <w:rsid w:val="005440E3"/>
    <w:rsid w:val="00544E6A"/>
    <w:rsid w:val="00544F98"/>
    <w:rsid w:val="0054526C"/>
    <w:rsid w:val="00545DC2"/>
    <w:rsid w:val="00546ACF"/>
    <w:rsid w:val="00546D64"/>
    <w:rsid w:val="00546E39"/>
    <w:rsid w:val="00547004"/>
    <w:rsid w:val="0054732C"/>
    <w:rsid w:val="00547B03"/>
    <w:rsid w:val="00547DBD"/>
    <w:rsid w:val="00547E01"/>
    <w:rsid w:val="00550D1C"/>
    <w:rsid w:val="0055128E"/>
    <w:rsid w:val="0055151E"/>
    <w:rsid w:val="00551BBA"/>
    <w:rsid w:val="00551DC5"/>
    <w:rsid w:val="00551DD3"/>
    <w:rsid w:val="00551E70"/>
    <w:rsid w:val="00552875"/>
    <w:rsid w:val="005533D6"/>
    <w:rsid w:val="0055360C"/>
    <w:rsid w:val="005536BC"/>
    <w:rsid w:val="0055389F"/>
    <w:rsid w:val="0055417B"/>
    <w:rsid w:val="00554552"/>
    <w:rsid w:val="00554606"/>
    <w:rsid w:val="00554D0C"/>
    <w:rsid w:val="0055518E"/>
    <w:rsid w:val="00555923"/>
    <w:rsid w:val="00555F11"/>
    <w:rsid w:val="00556069"/>
    <w:rsid w:val="005564A7"/>
    <w:rsid w:val="00557182"/>
    <w:rsid w:val="00557992"/>
    <w:rsid w:val="00560009"/>
    <w:rsid w:val="00560574"/>
    <w:rsid w:val="005609B8"/>
    <w:rsid w:val="005612E8"/>
    <w:rsid w:val="00561762"/>
    <w:rsid w:val="00561A62"/>
    <w:rsid w:val="00561DBF"/>
    <w:rsid w:val="00562260"/>
    <w:rsid w:val="005626F9"/>
    <w:rsid w:val="00562933"/>
    <w:rsid w:val="00563165"/>
    <w:rsid w:val="00563450"/>
    <w:rsid w:val="005634CA"/>
    <w:rsid w:val="00563804"/>
    <w:rsid w:val="005640A0"/>
    <w:rsid w:val="00565099"/>
    <w:rsid w:val="005665EC"/>
    <w:rsid w:val="005669F6"/>
    <w:rsid w:val="00566E3F"/>
    <w:rsid w:val="005706E5"/>
    <w:rsid w:val="005713A3"/>
    <w:rsid w:val="00571629"/>
    <w:rsid w:val="00572C4D"/>
    <w:rsid w:val="00573950"/>
    <w:rsid w:val="00573FCD"/>
    <w:rsid w:val="005740A7"/>
    <w:rsid w:val="005746BE"/>
    <w:rsid w:val="005748B6"/>
    <w:rsid w:val="005753EC"/>
    <w:rsid w:val="005754DE"/>
    <w:rsid w:val="00575739"/>
    <w:rsid w:val="00575874"/>
    <w:rsid w:val="00575D4C"/>
    <w:rsid w:val="005761C3"/>
    <w:rsid w:val="00576C3B"/>
    <w:rsid w:val="00576DFD"/>
    <w:rsid w:val="00576EA8"/>
    <w:rsid w:val="00576F31"/>
    <w:rsid w:val="00580539"/>
    <w:rsid w:val="0058098B"/>
    <w:rsid w:val="005812C9"/>
    <w:rsid w:val="005812E9"/>
    <w:rsid w:val="00581949"/>
    <w:rsid w:val="00581E65"/>
    <w:rsid w:val="00582772"/>
    <w:rsid w:val="00583B34"/>
    <w:rsid w:val="00583BDF"/>
    <w:rsid w:val="00584CDC"/>
    <w:rsid w:val="00584E5A"/>
    <w:rsid w:val="00585028"/>
    <w:rsid w:val="00585229"/>
    <w:rsid w:val="0058585F"/>
    <w:rsid w:val="00585E0C"/>
    <w:rsid w:val="005868AF"/>
    <w:rsid w:val="00586965"/>
    <w:rsid w:val="005911BD"/>
    <w:rsid w:val="00591C9B"/>
    <w:rsid w:val="00591FD4"/>
    <w:rsid w:val="005923FE"/>
    <w:rsid w:val="005924F0"/>
    <w:rsid w:val="005926BB"/>
    <w:rsid w:val="00592C62"/>
    <w:rsid w:val="00592F77"/>
    <w:rsid w:val="0059304B"/>
    <w:rsid w:val="005936F5"/>
    <w:rsid w:val="0059423C"/>
    <w:rsid w:val="00594271"/>
    <w:rsid w:val="0059479C"/>
    <w:rsid w:val="00594B49"/>
    <w:rsid w:val="00595F44"/>
    <w:rsid w:val="00595FCB"/>
    <w:rsid w:val="0059649F"/>
    <w:rsid w:val="0059676A"/>
    <w:rsid w:val="0059754D"/>
    <w:rsid w:val="00597987"/>
    <w:rsid w:val="005979D9"/>
    <w:rsid w:val="005A0018"/>
    <w:rsid w:val="005A0B70"/>
    <w:rsid w:val="005A14A8"/>
    <w:rsid w:val="005A1A3B"/>
    <w:rsid w:val="005A2C33"/>
    <w:rsid w:val="005A2EB6"/>
    <w:rsid w:val="005A2F3E"/>
    <w:rsid w:val="005A2FCA"/>
    <w:rsid w:val="005A3A3F"/>
    <w:rsid w:val="005A441E"/>
    <w:rsid w:val="005A635F"/>
    <w:rsid w:val="005A690E"/>
    <w:rsid w:val="005A6961"/>
    <w:rsid w:val="005A7093"/>
    <w:rsid w:val="005A75C4"/>
    <w:rsid w:val="005A7ECC"/>
    <w:rsid w:val="005B0E28"/>
    <w:rsid w:val="005B1C51"/>
    <w:rsid w:val="005B1EC7"/>
    <w:rsid w:val="005B2267"/>
    <w:rsid w:val="005B2BD0"/>
    <w:rsid w:val="005B2C70"/>
    <w:rsid w:val="005B31B9"/>
    <w:rsid w:val="005B3B48"/>
    <w:rsid w:val="005B43F7"/>
    <w:rsid w:val="005B4AD9"/>
    <w:rsid w:val="005B4B33"/>
    <w:rsid w:val="005B514C"/>
    <w:rsid w:val="005B5E68"/>
    <w:rsid w:val="005B6931"/>
    <w:rsid w:val="005B7313"/>
    <w:rsid w:val="005B7BD6"/>
    <w:rsid w:val="005B7E67"/>
    <w:rsid w:val="005C26BA"/>
    <w:rsid w:val="005C439F"/>
    <w:rsid w:val="005C4569"/>
    <w:rsid w:val="005C477C"/>
    <w:rsid w:val="005C4C1E"/>
    <w:rsid w:val="005C4D0E"/>
    <w:rsid w:val="005C5463"/>
    <w:rsid w:val="005C5F5B"/>
    <w:rsid w:val="005C60FC"/>
    <w:rsid w:val="005C6425"/>
    <w:rsid w:val="005C6EDD"/>
    <w:rsid w:val="005C7BF5"/>
    <w:rsid w:val="005D0274"/>
    <w:rsid w:val="005D07C1"/>
    <w:rsid w:val="005D07DC"/>
    <w:rsid w:val="005D14B9"/>
    <w:rsid w:val="005D1ADD"/>
    <w:rsid w:val="005D1BEF"/>
    <w:rsid w:val="005D2E92"/>
    <w:rsid w:val="005D2F3B"/>
    <w:rsid w:val="005D30E4"/>
    <w:rsid w:val="005D35BA"/>
    <w:rsid w:val="005D3627"/>
    <w:rsid w:val="005D3BCA"/>
    <w:rsid w:val="005D428A"/>
    <w:rsid w:val="005D47BD"/>
    <w:rsid w:val="005D6E45"/>
    <w:rsid w:val="005D711C"/>
    <w:rsid w:val="005D71F1"/>
    <w:rsid w:val="005E1289"/>
    <w:rsid w:val="005E17BF"/>
    <w:rsid w:val="005E19DE"/>
    <w:rsid w:val="005E297D"/>
    <w:rsid w:val="005E33F5"/>
    <w:rsid w:val="005E42E6"/>
    <w:rsid w:val="005E4E17"/>
    <w:rsid w:val="005E54A8"/>
    <w:rsid w:val="005E5C5D"/>
    <w:rsid w:val="005E5D86"/>
    <w:rsid w:val="005E6AE7"/>
    <w:rsid w:val="005E7EFC"/>
    <w:rsid w:val="005F0043"/>
    <w:rsid w:val="005F072F"/>
    <w:rsid w:val="005F080A"/>
    <w:rsid w:val="005F0B69"/>
    <w:rsid w:val="005F0BF4"/>
    <w:rsid w:val="005F1396"/>
    <w:rsid w:val="005F1E1B"/>
    <w:rsid w:val="005F2169"/>
    <w:rsid w:val="005F2B52"/>
    <w:rsid w:val="005F2EFD"/>
    <w:rsid w:val="005F2FCD"/>
    <w:rsid w:val="005F4358"/>
    <w:rsid w:val="005F462B"/>
    <w:rsid w:val="005F5543"/>
    <w:rsid w:val="005F5AC1"/>
    <w:rsid w:val="005F659C"/>
    <w:rsid w:val="005F7011"/>
    <w:rsid w:val="005F750F"/>
    <w:rsid w:val="005F7A9E"/>
    <w:rsid w:val="005F7CFF"/>
    <w:rsid w:val="006003CE"/>
    <w:rsid w:val="00600D9F"/>
    <w:rsid w:val="00601541"/>
    <w:rsid w:val="006017D7"/>
    <w:rsid w:val="00601880"/>
    <w:rsid w:val="00601AC5"/>
    <w:rsid w:val="00602605"/>
    <w:rsid w:val="00602C45"/>
    <w:rsid w:val="00602DDF"/>
    <w:rsid w:val="006030B2"/>
    <w:rsid w:val="00603105"/>
    <w:rsid w:val="0060361A"/>
    <w:rsid w:val="00603A5B"/>
    <w:rsid w:val="00603E40"/>
    <w:rsid w:val="00604B22"/>
    <w:rsid w:val="0060500C"/>
    <w:rsid w:val="00605905"/>
    <w:rsid w:val="00605A7F"/>
    <w:rsid w:val="00605C38"/>
    <w:rsid w:val="00606159"/>
    <w:rsid w:val="00606583"/>
    <w:rsid w:val="00606D07"/>
    <w:rsid w:val="006071A6"/>
    <w:rsid w:val="0060744F"/>
    <w:rsid w:val="00607A09"/>
    <w:rsid w:val="00610072"/>
    <w:rsid w:val="00611709"/>
    <w:rsid w:val="00611D19"/>
    <w:rsid w:val="00611E04"/>
    <w:rsid w:val="006127EE"/>
    <w:rsid w:val="00613122"/>
    <w:rsid w:val="00613875"/>
    <w:rsid w:val="006139D7"/>
    <w:rsid w:val="00613AE8"/>
    <w:rsid w:val="00614A92"/>
    <w:rsid w:val="00615AAC"/>
    <w:rsid w:val="00615BB7"/>
    <w:rsid w:val="00615D60"/>
    <w:rsid w:val="0061609A"/>
    <w:rsid w:val="00616629"/>
    <w:rsid w:val="006168B6"/>
    <w:rsid w:val="00616F5D"/>
    <w:rsid w:val="0062028E"/>
    <w:rsid w:val="0062102F"/>
    <w:rsid w:val="00621AD5"/>
    <w:rsid w:val="006223F1"/>
    <w:rsid w:val="006224BA"/>
    <w:rsid w:val="00622FEF"/>
    <w:rsid w:val="0062312F"/>
    <w:rsid w:val="0062341C"/>
    <w:rsid w:val="00623CC4"/>
    <w:rsid w:val="006245BB"/>
    <w:rsid w:val="00624C81"/>
    <w:rsid w:val="006250E8"/>
    <w:rsid w:val="00625BA2"/>
    <w:rsid w:val="00626580"/>
    <w:rsid w:val="00626605"/>
    <w:rsid w:val="00626C6E"/>
    <w:rsid w:val="00626E86"/>
    <w:rsid w:val="00627CAA"/>
    <w:rsid w:val="00630642"/>
    <w:rsid w:val="00630C95"/>
    <w:rsid w:val="00630ECE"/>
    <w:rsid w:val="00631218"/>
    <w:rsid w:val="00631B64"/>
    <w:rsid w:val="00632F9C"/>
    <w:rsid w:val="0063322A"/>
    <w:rsid w:val="0063361C"/>
    <w:rsid w:val="00633739"/>
    <w:rsid w:val="00634EF7"/>
    <w:rsid w:val="00635562"/>
    <w:rsid w:val="00635D7B"/>
    <w:rsid w:val="00635E1D"/>
    <w:rsid w:val="0063629A"/>
    <w:rsid w:val="00636BF3"/>
    <w:rsid w:val="006374EB"/>
    <w:rsid w:val="00637D3A"/>
    <w:rsid w:val="006402A1"/>
    <w:rsid w:val="00640B34"/>
    <w:rsid w:val="00640DC0"/>
    <w:rsid w:val="006411AA"/>
    <w:rsid w:val="006416CF"/>
    <w:rsid w:val="006418A2"/>
    <w:rsid w:val="00641EF7"/>
    <w:rsid w:val="006422B7"/>
    <w:rsid w:val="0064254A"/>
    <w:rsid w:val="00642689"/>
    <w:rsid w:val="00642CA9"/>
    <w:rsid w:val="00642CD7"/>
    <w:rsid w:val="00642DA8"/>
    <w:rsid w:val="006433F2"/>
    <w:rsid w:val="0064384A"/>
    <w:rsid w:val="00643DDF"/>
    <w:rsid w:val="00643E3A"/>
    <w:rsid w:val="00644BEA"/>
    <w:rsid w:val="00644F51"/>
    <w:rsid w:val="0064534D"/>
    <w:rsid w:val="006454AC"/>
    <w:rsid w:val="00645DC5"/>
    <w:rsid w:val="00645FA7"/>
    <w:rsid w:val="006468F1"/>
    <w:rsid w:val="0064755C"/>
    <w:rsid w:val="00650699"/>
    <w:rsid w:val="006524D2"/>
    <w:rsid w:val="00652949"/>
    <w:rsid w:val="00652AEF"/>
    <w:rsid w:val="00652DB7"/>
    <w:rsid w:val="00652FB8"/>
    <w:rsid w:val="006564EF"/>
    <w:rsid w:val="006566A7"/>
    <w:rsid w:val="00656790"/>
    <w:rsid w:val="006567F3"/>
    <w:rsid w:val="006569EB"/>
    <w:rsid w:val="006573D6"/>
    <w:rsid w:val="00657526"/>
    <w:rsid w:val="006607AD"/>
    <w:rsid w:val="00660954"/>
    <w:rsid w:val="00660CEB"/>
    <w:rsid w:val="00661A0C"/>
    <w:rsid w:val="006621D4"/>
    <w:rsid w:val="006624CC"/>
    <w:rsid w:val="00662584"/>
    <w:rsid w:val="006630C6"/>
    <w:rsid w:val="00663199"/>
    <w:rsid w:val="006638A6"/>
    <w:rsid w:val="0066394B"/>
    <w:rsid w:val="0066431B"/>
    <w:rsid w:val="00664791"/>
    <w:rsid w:val="006652A6"/>
    <w:rsid w:val="0066563B"/>
    <w:rsid w:val="0066609D"/>
    <w:rsid w:val="006667E5"/>
    <w:rsid w:val="00666B84"/>
    <w:rsid w:val="006678D6"/>
    <w:rsid w:val="00670394"/>
    <w:rsid w:val="00670B3F"/>
    <w:rsid w:val="00670CE8"/>
    <w:rsid w:val="0067113E"/>
    <w:rsid w:val="00672198"/>
    <w:rsid w:val="0067302F"/>
    <w:rsid w:val="006736E1"/>
    <w:rsid w:val="006740C2"/>
    <w:rsid w:val="006756FC"/>
    <w:rsid w:val="00676991"/>
    <w:rsid w:val="00677D69"/>
    <w:rsid w:val="00677EC4"/>
    <w:rsid w:val="00680085"/>
    <w:rsid w:val="0068087E"/>
    <w:rsid w:val="006808DD"/>
    <w:rsid w:val="00680E0A"/>
    <w:rsid w:val="00681448"/>
    <w:rsid w:val="00681812"/>
    <w:rsid w:val="00681AF3"/>
    <w:rsid w:val="00681E34"/>
    <w:rsid w:val="00682995"/>
    <w:rsid w:val="006830EE"/>
    <w:rsid w:val="0068396B"/>
    <w:rsid w:val="00684B04"/>
    <w:rsid w:val="00684D26"/>
    <w:rsid w:val="00684EA0"/>
    <w:rsid w:val="0068505B"/>
    <w:rsid w:val="00686CBA"/>
    <w:rsid w:val="00687212"/>
    <w:rsid w:val="00687364"/>
    <w:rsid w:val="00687522"/>
    <w:rsid w:val="00687EC6"/>
    <w:rsid w:val="0069073E"/>
    <w:rsid w:val="00691CC3"/>
    <w:rsid w:val="00692397"/>
    <w:rsid w:val="00692635"/>
    <w:rsid w:val="0069306F"/>
    <w:rsid w:val="00693E7E"/>
    <w:rsid w:val="00693F26"/>
    <w:rsid w:val="0069553E"/>
    <w:rsid w:val="00695A34"/>
    <w:rsid w:val="00696288"/>
    <w:rsid w:val="00696B65"/>
    <w:rsid w:val="00696D9D"/>
    <w:rsid w:val="006970EC"/>
    <w:rsid w:val="00697163"/>
    <w:rsid w:val="00697332"/>
    <w:rsid w:val="00697C29"/>
    <w:rsid w:val="006A0402"/>
    <w:rsid w:val="006A096D"/>
    <w:rsid w:val="006A1069"/>
    <w:rsid w:val="006A10E1"/>
    <w:rsid w:val="006A247F"/>
    <w:rsid w:val="006A24E1"/>
    <w:rsid w:val="006A28B5"/>
    <w:rsid w:val="006A462E"/>
    <w:rsid w:val="006A60D5"/>
    <w:rsid w:val="006A7072"/>
    <w:rsid w:val="006A7356"/>
    <w:rsid w:val="006A73B0"/>
    <w:rsid w:val="006A772E"/>
    <w:rsid w:val="006A7BBD"/>
    <w:rsid w:val="006B0025"/>
    <w:rsid w:val="006B0465"/>
    <w:rsid w:val="006B05B5"/>
    <w:rsid w:val="006B0D13"/>
    <w:rsid w:val="006B12C7"/>
    <w:rsid w:val="006B1329"/>
    <w:rsid w:val="006B1FB2"/>
    <w:rsid w:val="006B354D"/>
    <w:rsid w:val="006B3859"/>
    <w:rsid w:val="006B468A"/>
    <w:rsid w:val="006B5373"/>
    <w:rsid w:val="006B54A2"/>
    <w:rsid w:val="006B55B7"/>
    <w:rsid w:val="006B566F"/>
    <w:rsid w:val="006B5813"/>
    <w:rsid w:val="006B590D"/>
    <w:rsid w:val="006B5D52"/>
    <w:rsid w:val="006B604B"/>
    <w:rsid w:val="006B6456"/>
    <w:rsid w:val="006B7BAA"/>
    <w:rsid w:val="006B7E7B"/>
    <w:rsid w:val="006C10FC"/>
    <w:rsid w:val="006C1343"/>
    <w:rsid w:val="006C145B"/>
    <w:rsid w:val="006C19C5"/>
    <w:rsid w:val="006C2B22"/>
    <w:rsid w:val="006C3030"/>
    <w:rsid w:val="006C32A9"/>
    <w:rsid w:val="006C367A"/>
    <w:rsid w:val="006C375D"/>
    <w:rsid w:val="006C3980"/>
    <w:rsid w:val="006C45ED"/>
    <w:rsid w:val="006C4BFB"/>
    <w:rsid w:val="006C4C03"/>
    <w:rsid w:val="006C573A"/>
    <w:rsid w:val="006C6541"/>
    <w:rsid w:val="006C77F9"/>
    <w:rsid w:val="006D0C4C"/>
    <w:rsid w:val="006D0E89"/>
    <w:rsid w:val="006D0F69"/>
    <w:rsid w:val="006D1CAA"/>
    <w:rsid w:val="006D1F3B"/>
    <w:rsid w:val="006D2039"/>
    <w:rsid w:val="006D244D"/>
    <w:rsid w:val="006D2613"/>
    <w:rsid w:val="006D2E2D"/>
    <w:rsid w:val="006D58A2"/>
    <w:rsid w:val="006D5C45"/>
    <w:rsid w:val="006D5E20"/>
    <w:rsid w:val="006D65A0"/>
    <w:rsid w:val="006D6621"/>
    <w:rsid w:val="006D6CC0"/>
    <w:rsid w:val="006D712A"/>
    <w:rsid w:val="006E005F"/>
    <w:rsid w:val="006E02A8"/>
    <w:rsid w:val="006E02AB"/>
    <w:rsid w:val="006E07F9"/>
    <w:rsid w:val="006E0DC9"/>
    <w:rsid w:val="006E0EC1"/>
    <w:rsid w:val="006E15A2"/>
    <w:rsid w:val="006E181B"/>
    <w:rsid w:val="006E261A"/>
    <w:rsid w:val="006E2765"/>
    <w:rsid w:val="006E287E"/>
    <w:rsid w:val="006E47A0"/>
    <w:rsid w:val="006E5238"/>
    <w:rsid w:val="006E5D41"/>
    <w:rsid w:val="006E5D5C"/>
    <w:rsid w:val="006E5F74"/>
    <w:rsid w:val="006E6AB9"/>
    <w:rsid w:val="006E6C67"/>
    <w:rsid w:val="006E6E14"/>
    <w:rsid w:val="006E73B9"/>
    <w:rsid w:val="006E7D0E"/>
    <w:rsid w:val="006E7EA9"/>
    <w:rsid w:val="006F02AD"/>
    <w:rsid w:val="006F0BA5"/>
    <w:rsid w:val="006F1132"/>
    <w:rsid w:val="006F1245"/>
    <w:rsid w:val="006F138A"/>
    <w:rsid w:val="006F16AA"/>
    <w:rsid w:val="006F1918"/>
    <w:rsid w:val="006F245E"/>
    <w:rsid w:val="006F3212"/>
    <w:rsid w:val="006F349D"/>
    <w:rsid w:val="006F37DF"/>
    <w:rsid w:val="006F40CC"/>
    <w:rsid w:val="006F4A1E"/>
    <w:rsid w:val="006F63CD"/>
    <w:rsid w:val="006F670A"/>
    <w:rsid w:val="006F6A92"/>
    <w:rsid w:val="006F6C80"/>
    <w:rsid w:val="00700A1C"/>
    <w:rsid w:val="00700E96"/>
    <w:rsid w:val="0070171D"/>
    <w:rsid w:val="007018FF"/>
    <w:rsid w:val="00701B4F"/>
    <w:rsid w:val="00701C67"/>
    <w:rsid w:val="00702027"/>
    <w:rsid w:val="00702298"/>
    <w:rsid w:val="007022BE"/>
    <w:rsid w:val="00702490"/>
    <w:rsid w:val="007025BC"/>
    <w:rsid w:val="00702D16"/>
    <w:rsid w:val="00702DC4"/>
    <w:rsid w:val="00702E10"/>
    <w:rsid w:val="00703173"/>
    <w:rsid w:val="00703E4E"/>
    <w:rsid w:val="0070450A"/>
    <w:rsid w:val="0070483D"/>
    <w:rsid w:val="00705CF0"/>
    <w:rsid w:val="00705D24"/>
    <w:rsid w:val="007064D3"/>
    <w:rsid w:val="007067F3"/>
    <w:rsid w:val="00707453"/>
    <w:rsid w:val="00707F7A"/>
    <w:rsid w:val="00710AB2"/>
    <w:rsid w:val="00710FA4"/>
    <w:rsid w:val="007117AC"/>
    <w:rsid w:val="00711B02"/>
    <w:rsid w:val="00711CAE"/>
    <w:rsid w:val="007120D1"/>
    <w:rsid w:val="00712385"/>
    <w:rsid w:val="0071308F"/>
    <w:rsid w:val="00713E64"/>
    <w:rsid w:val="007140E2"/>
    <w:rsid w:val="007142DF"/>
    <w:rsid w:val="00714603"/>
    <w:rsid w:val="00714867"/>
    <w:rsid w:val="007203ED"/>
    <w:rsid w:val="007205D7"/>
    <w:rsid w:val="00720C24"/>
    <w:rsid w:val="00720E00"/>
    <w:rsid w:val="0072172C"/>
    <w:rsid w:val="007222C3"/>
    <w:rsid w:val="00722950"/>
    <w:rsid w:val="00722E0B"/>
    <w:rsid w:val="00723001"/>
    <w:rsid w:val="0072311E"/>
    <w:rsid w:val="00723631"/>
    <w:rsid w:val="00723E38"/>
    <w:rsid w:val="00724144"/>
    <w:rsid w:val="007241FB"/>
    <w:rsid w:val="00725EF1"/>
    <w:rsid w:val="00727317"/>
    <w:rsid w:val="007279BD"/>
    <w:rsid w:val="00727AB9"/>
    <w:rsid w:val="00727AEA"/>
    <w:rsid w:val="00727D30"/>
    <w:rsid w:val="0073017F"/>
    <w:rsid w:val="00731674"/>
    <w:rsid w:val="00731849"/>
    <w:rsid w:val="007319F9"/>
    <w:rsid w:val="00731A10"/>
    <w:rsid w:val="00731CB9"/>
    <w:rsid w:val="00732B1B"/>
    <w:rsid w:val="00733B7A"/>
    <w:rsid w:val="00733BD6"/>
    <w:rsid w:val="0073499C"/>
    <w:rsid w:val="00734E4B"/>
    <w:rsid w:val="00734EAB"/>
    <w:rsid w:val="00734EB3"/>
    <w:rsid w:val="00735162"/>
    <w:rsid w:val="007357B8"/>
    <w:rsid w:val="00736012"/>
    <w:rsid w:val="0073665A"/>
    <w:rsid w:val="0073779D"/>
    <w:rsid w:val="00737E0C"/>
    <w:rsid w:val="00737F23"/>
    <w:rsid w:val="0074084F"/>
    <w:rsid w:val="00740C17"/>
    <w:rsid w:val="00741081"/>
    <w:rsid w:val="00741F72"/>
    <w:rsid w:val="0074318A"/>
    <w:rsid w:val="00743270"/>
    <w:rsid w:val="00743414"/>
    <w:rsid w:val="007440D1"/>
    <w:rsid w:val="00744745"/>
    <w:rsid w:val="00744D45"/>
    <w:rsid w:val="00744E1B"/>
    <w:rsid w:val="007451DC"/>
    <w:rsid w:val="00745790"/>
    <w:rsid w:val="007459CA"/>
    <w:rsid w:val="00745D29"/>
    <w:rsid w:val="007463B2"/>
    <w:rsid w:val="00746A40"/>
    <w:rsid w:val="00747EC2"/>
    <w:rsid w:val="0075019E"/>
    <w:rsid w:val="00750D23"/>
    <w:rsid w:val="007514ED"/>
    <w:rsid w:val="00751A69"/>
    <w:rsid w:val="0075287B"/>
    <w:rsid w:val="0075327C"/>
    <w:rsid w:val="0075376C"/>
    <w:rsid w:val="00753D61"/>
    <w:rsid w:val="00753DF0"/>
    <w:rsid w:val="00753E5C"/>
    <w:rsid w:val="00754230"/>
    <w:rsid w:val="00754737"/>
    <w:rsid w:val="0075569B"/>
    <w:rsid w:val="007559BC"/>
    <w:rsid w:val="007559F0"/>
    <w:rsid w:val="00755FF0"/>
    <w:rsid w:val="0075610B"/>
    <w:rsid w:val="00756178"/>
    <w:rsid w:val="007568E8"/>
    <w:rsid w:val="00756CC7"/>
    <w:rsid w:val="0076072E"/>
    <w:rsid w:val="0076146E"/>
    <w:rsid w:val="00761A14"/>
    <w:rsid w:val="007626F7"/>
    <w:rsid w:val="00763FB1"/>
    <w:rsid w:val="00764520"/>
    <w:rsid w:val="0076476F"/>
    <w:rsid w:val="00765115"/>
    <w:rsid w:val="00765E85"/>
    <w:rsid w:val="00765F31"/>
    <w:rsid w:val="007663C3"/>
    <w:rsid w:val="00766940"/>
    <w:rsid w:val="00767837"/>
    <w:rsid w:val="0076793E"/>
    <w:rsid w:val="00767E98"/>
    <w:rsid w:val="0077003E"/>
    <w:rsid w:val="007702F3"/>
    <w:rsid w:val="00770ACF"/>
    <w:rsid w:val="00771367"/>
    <w:rsid w:val="007714AD"/>
    <w:rsid w:val="00771D83"/>
    <w:rsid w:val="00772881"/>
    <w:rsid w:val="00773AB9"/>
    <w:rsid w:val="007754A7"/>
    <w:rsid w:val="00776BB7"/>
    <w:rsid w:val="00776E1C"/>
    <w:rsid w:val="007770FE"/>
    <w:rsid w:val="00777F98"/>
    <w:rsid w:val="00780069"/>
    <w:rsid w:val="00780418"/>
    <w:rsid w:val="0078127F"/>
    <w:rsid w:val="0078155F"/>
    <w:rsid w:val="007825DE"/>
    <w:rsid w:val="007828D8"/>
    <w:rsid w:val="00783643"/>
    <w:rsid w:val="0078391A"/>
    <w:rsid w:val="00783CF1"/>
    <w:rsid w:val="00784FFC"/>
    <w:rsid w:val="00785492"/>
    <w:rsid w:val="00785C46"/>
    <w:rsid w:val="00786741"/>
    <w:rsid w:val="00787E6A"/>
    <w:rsid w:val="00790322"/>
    <w:rsid w:val="0079045A"/>
    <w:rsid w:val="00790E66"/>
    <w:rsid w:val="00791B5A"/>
    <w:rsid w:val="00792338"/>
    <w:rsid w:val="007925F1"/>
    <w:rsid w:val="00792BDC"/>
    <w:rsid w:val="007942C1"/>
    <w:rsid w:val="00794D49"/>
    <w:rsid w:val="007951CF"/>
    <w:rsid w:val="00795920"/>
    <w:rsid w:val="00795E18"/>
    <w:rsid w:val="0079612C"/>
    <w:rsid w:val="00796218"/>
    <w:rsid w:val="007962B9"/>
    <w:rsid w:val="00796382"/>
    <w:rsid w:val="00797E06"/>
    <w:rsid w:val="007A0310"/>
    <w:rsid w:val="007A0CBD"/>
    <w:rsid w:val="007A1455"/>
    <w:rsid w:val="007A1632"/>
    <w:rsid w:val="007A16A9"/>
    <w:rsid w:val="007A2165"/>
    <w:rsid w:val="007A2864"/>
    <w:rsid w:val="007A2CB9"/>
    <w:rsid w:val="007A4269"/>
    <w:rsid w:val="007A4566"/>
    <w:rsid w:val="007A473D"/>
    <w:rsid w:val="007A4FE8"/>
    <w:rsid w:val="007A525C"/>
    <w:rsid w:val="007A54FD"/>
    <w:rsid w:val="007A583C"/>
    <w:rsid w:val="007A59BC"/>
    <w:rsid w:val="007A5C56"/>
    <w:rsid w:val="007A5E1E"/>
    <w:rsid w:val="007A5E9B"/>
    <w:rsid w:val="007A6551"/>
    <w:rsid w:val="007A6650"/>
    <w:rsid w:val="007A6813"/>
    <w:rsid w:val="007A6936"/>
    <w:rsid w:val="007A7C1A"/>
    <w:rsid w:val="007A7DC6"/>
    <w:rsid w:val="007B07E5"/>
    <w:rsid w:val="007B0A40"/>
    <w:rsid w:val="007B0C9E"/>
    <w:rsid w:val="007B0F18"/>
    <w:rsid w:val="007B0FBE"/>
    <w:rsid w:val="007B3944"/>
    <w:rsid w:val="007B3A12"/>
    <w:rsid w:val="007B5D98"/>
    <w:rsid w:val="007B5FB7"/>
    <w:rsid w:val="007B64F6"/>
    <w:rsid w:val="007B65CF"/>
    <w:rsid w:val="007B6D48"/>
    <w:rsid w:val="007B6D55"/>
    <w:rsid w:val="007B7143"/>
    <w:rsid w:val="007B7792"/>
    <w:rsid w:val="007C0EC3"/>
    <w:rsid w:val="007C11FC"/>
    <w:rsid w:val="007C12E4"/>
    <w:rsid w:val="007C14C4"/>
    <w:rsid w:val="007C177A"/>
    <w:rsid w:val="007C222D"/>
    <w:rsid w:val="007C2257"/>
    <w:rsid w:val="007C2B97"/>
    <w:rsid w:val="007C3530"/>
    <w:rsid w:val="007C3881"/>
    <w:rsid w:val="007C3E23"/>
    <w:rsid w:val="007C4051"/>
    <w:rsid w:val="007C5035"/>
    <w:rsid w:val="007C57B9"/>
    <w:rsid w:val="007C58E4"/>
    <w:rsid w:val="007C617F"/>
    <w:rsid w:val="007C63F0"/>
    <w:rsid w:val="007C690F"/>
    <w:rsid w:val="007D1DE8"/>
    <w:rsid w:val="007D2925"/>
    <w:rsid w:val="007D2D12"/>
    <w:rsid w:val="007D2D2F"/>
    <w:rsid w:val="007D2F74"/>
    <w:rsid w:val="007D2F93"/>
    <w:rsid w:val="007D3284"/>
    <w:rsid w:val="007D368D"/>
    <w:rsid w:val="007D36A0"/>
    <w:rsid w:val="007D4020"/>
    <w:rsid w:val="007D4184"/>
    <w:rsid w:val="007D4410"/>
    <w:rsid w:val="007D4AD5"/>
    <w:rsid w:val="007D4C2F"/>
    <w:rsid w:val="007D4DF6"/>
    <w:rsid w:val="007D55DF"/>
    <w:rsid w:val="007D7800"/>
    <w:rsid w:val="007E036B"/>
    <w:rsid w:val="007E0426"/>
    <w:rsid w:val="007E05E1"/>
    <w:rsid w:val="007E1569"/>
    <w:rsid w:val="007E1CEC"/>
    <w:rsid w:val="007E217B"/>
    <w:rsid w:val="007E2682"/>
    <w:rsid w:val="007E34C1"/>
    <w:rsid w:val="007E375B"/>
    <w:rsid w:val="007E3895"/>
    <w:rsid w:val="007E396E"/>
    <w:rsid w:val="007E3A20"/>
    <w:rsid w:val="007E3ECF"/>
    <w:rsid w:val="007E44EC"/>
    <w:rsid w:val="007E451E"/>
    <w:rsid w:val="007E45C3"/>
    <w:rsid w:val="007E4BFA"/>
    <w:rsid w:val="007E4FE7"/>
    <w:rsid w:val="007E54F4"/>
    <w:rsid w:val="007E5AEC"/>
    <w:rsid w:val="007E5E93"/>
    <w:rsid w:val="007E62AD"/>
    <w:rsid w:val="007E7284"/>
    <w:rsid w:val="007E74AC"/>
    <w:rsid w:val="007E7733"/>
    <w:rsid w:val="007E7BA6"/>
    <w:rsid w:val="007F02B8"/>
    <w:rsid w:val="007F08F4"/>
    <w:rsid w:val="007F1491"/>
    <w:rsid w:val="007F1508"/>
    <w:rsid w:val="007F17CE"/>
    <w:rsid w:val="007F1949"/>
    <w:rsid w:val="007F19E1"/>
    <w:rsid w:val="007F2485"/>
    <w:rsid w:val="007F2762"/>
    <w:rsid w:val="007F27A7"/>
    <w:rsid w:val="007F2833"/>
    <w:rsid w:val="007F28B6"/>
    <w:rsid w:val="007F2C2F"/>
    <w:rsid w:val="007F310C"/>
    <w:rsid w:val="007F3748"/>
    <w:rsid w:val="007F37A2"/>
    <w:rsid w:val="007F3A58"/>
    <w:rsid w:val="007F3C06"/>
    <w:rsid w:val="007F4235"/>
    <w:rsid w:val="007F4263"/>
    <w:rsid w:val="007F458F"/>
    <w:rsid w:val="007F51E0"/>
    <w:rsid w:val="007F55B6"/>
    <w:rsid w:val="007F6006"/>
    <w:rsid w:val="007F6279"/>
    <w:rsid w:val="007F64FE"/>
    <w:rsid w:val="007F6DE5"/>
    <w:rsid w:val="007F74AF"/>
    <w:rsid w:val="007F761A"/>
    <w:rsid w:val="007F7C40"/>
    <w:rsid w:val="008009C5"/>
    <w:rsid w:val="00800D68"/>
    <w:rsid w:val="008011E0"/>
    <w:rsid w:val="00801839"/>
    <w:rsid w:val="0080191F"/>
    <w:rsid w:val="00802E11"/>
    <w:rsid w:val="008030B2"/>
    <w:rsid w:val="00803FBC"/>
    <w:rsid w:val="008042B7"/>
    <w:rsid w:val="008044FD"/>
    <w:rsid w:val="00804D3A"/>
    <w:rsid w:val="008050F5"/>
    <w:rsid w:val="00805120"/>
    <w:rsid w:val="00805464"/>
    <w:rsid w:val="00805929"/>
    <w:rsid w:val="00805AB7"/>
    <w:rsid w:val="00805F13"/>
    <w:rsid w:val="0080715E"/>
    <w:rsid w:val="00810018"/>
    <w:rsid w:val="00810AE9"/>
    <w:rsid w:val="00810B03"/>
    <w:rsid w:val="0081143C"/>
    <w:rsid w:val="008116EF"/>
    <w:rsid w:val="008122AD"/>
    <w:rsid w:val="0081268E"/>
    <w:rsid w:val="008126B1"/>
    <w:rsid w:val="008129E9"/>
    <w:rsid w:val="00812FBC"/>
    <w:rsid w:val="00813358"/>
    <w:rsid w:val="00813654"/>
    <w:rsid w:val="00813AFF"/>
    <w:rsid w:val="00813C5C"/>
    <w:rsid w:val="00813E88"/>
    <w:rsid w:val="00814638"/>
    <w:rsid w:val="00814BF6"/>
    <w:rsid w:val="0081683C"/>
    <w:rsid w:val="00816944"/>
    <w:rsid w:val="00817388"/>
    <w:rsid w:val="0081740E"/>
    <w:rsid w:val="008174E1"/>
    <w:rsid w:val="008175B6"/>
    <w:rsid w:val="00817894"/>
    <w:rsid w:val="00817ABD"/>
    <w:rsid w:val="00817E8F"/>
    <w:rsid w:val="00817FA1"/>
    <w:rsid w:val="008209EF"/>
    <w:rsid w:val="00820DBF"/>
    <w:rsid w:val="00820FD8"/>
    <w:rsid w:val="008222F0"/>
    <w:rsid w:val="00823BE6"/>
    <w:rsid w:val="00824B8F"/>
    <w:rsid w:val="00824EB6"/>
    <w:rsid w:val="00824F23"/>
    <w:rsid w:val="00825B0D"/>
    <w:rsid w:val="00825B92"/>
    <w:rsid w:val="00825FCE"/>
    <w:rsid w:val="008264D2"/>
    <w:rsid w:val="0082671A"/>
    <w:rsid w:val="00827936"/>
    <w:rsid w:val="00827B51"/>
    <w:rsid w:val="00827E6E"/>
    <w:rsid w:val="00830680"/>
    <w:rsid w:val="008306AC"/>
    <w:rsid w:val="0083146D"/>
    <w:rsid w:val="00831BD6"/>
    <w:rsid w:val="008322BB"/>
    <w:rsid w:val="00832B18"/>
    <w:rsid w:val="00833CB2"/>
    <w:rsid w:val="00834B59"/>
    <w:rsid w:val="00834C4C"/>
    <w:rsid w:val="00836467"/>
    <w:rsid w:val="008366F1"/>
    <w:rsid w:val="00837FCF"/>
    <w:rsid w:val="008401E8"/>
    <w:rsid w:val="00841297"/>
    <w:rsid w:val="00841D28"/>
    <w:rsid w:val="008421BA"/>
    <w:rsid w:val="008433C4"/>
    <w:rsid w:val="00843B53"/>
    <w:rsid w:val="00844159"/>
    <w:rsid w:val="008442F4"/>
    <w:rsid w:val="008464B8"/>
    <w:rsid w:val="00847C2F"/>
    <w:rsid w:val="00847CD2"/>
    <w:rsid w:val="008514C9"/>
    <w:rsid w:val="00851A08"/>
    <w:rsid w:val="0085229D"/>
    <w:rsid w:val="008524EA"/>
    <w:rsid w:val="008527C2"/>
    <w:rsid w:val="008527DA"/>
    <w:rsid w:val="008535B8"/>
    <w:rsid w:val="00853DCF"/>
    <w:rsid w:val="00855964"/>
    <w:rsid w:val="00855A8A"/>
    <w:rsid w:val="00856041"/>
    <w:rsid w:val="00857163"/>
    <w:rsid w:val="008573DF"/>
    <w:rsid w:val="00857712"/>
    <w:rsid w:val="00857716"/>
    <w:rsid w:val="00860180"/>
    <w:rsid w:val="008601B7"/>
    <w:rsid w:val="0086159D"/>
    <w:rsid w:val="00861CA6"/>
    <w:rsid w:val="008624B4"/>
    <w:rsid w:val="0086262A"/>
    <w:rsid w:val="00862AED"/>
    <w:rsid w:val="00862BD4"/>
    <w:rsid w:val="00863187"/>
    <w:rsid w:val="00863647"/>
    <w:rsid w:val="00863E57"/>
    <w:rsid w:val="00864361"/>
    <w:rsid w:val="008644E4"/>
    <w:rsid w:val="00864E82"/>
    <w:rsid w:val="008665BE"/>
    <w:rsid w:val="00870327"/>
    <w:rsid w:val="00870FA6"/>
    <w:rsid w:val="008713A8"/>
    <w:rsid w:val="008728A1"/>
    <w:rsid w:val="008729D4"/>
    <w:rsid w:val="00872D4D"/>
    <w:rsid w:val="00872D65"/>
    <w:rsid w:val="0087311B"/>
    <w:rsid w:val="008733F4"/>
    <w:rsid w:val="0087392B"/>
    <w:rsid w:val="00874205"/>
    <w:rsid w:val="00874284"/>
    <w:rsid w:val="00874477"/>
    <w:rsid w:val="00874C5C"/>
    <w:rsid w:val="008758C5"/>
    <w:rsid w:val="00875A1C"/>
    <w:rsid w:val="00875DF8"/>
    <w:rsid w:val="00877061"/>
    <w:rsid w:val="008805D8"/>
    <w:rsid w:val="008807C9"/>
    <w:rsid w:val="0088094D"/>
    <w:rsid w:val="00881C74"/>
    <w:rsid w:val="00882714"/>
    <w:rsid w:val="008840C0"/>
    <w:rsid w:val="00884FEC"/>
    <w:rsid w:val="00885418"/>
    <w:rsid w:val="00885B25"/>
    <w:rsid w:val="00885DEE"/>
    <w:rsid w:val="00885F72"/>
    <w:rsid w:val="0088625D"/>
    <w:rsid w:val="00886573"/>
    <w:rsid w:val="00886687"/>
    <w:rsid w:val="00886FFC"/>
    <w:rsid w:val="00890363"/>
    <w:rsid w:val="00890D49"/>
    <w:rsid w:val="008911E9"/>
    <w:rsid w:val="008912A6"/>
    <w:rsid w:val="008912F3"/>
    <w:rsid w:val="00891739"/>
    <w:rsid w:val="0089191D"/>
    <w:rsid w:val="00891C1C"/>
    <w:rsid w:val="00891EDC"/>
    <w:rsid w:val="0089282B"/>
    <w:rsid w:val="00892A05"/>
    <w:rsid w:val="00892EEF"/>
    <w:rsid w:val="008931D3"/>
    <w:rsid w:val="00893248"/>
    <w:rsid w:val="0089355B"/>
    <w:rsid w:val="00893A0F"/>
    <w:rsid w:val="00893A3D"/>
    <w:rsid w:val="00893F71"/>
    <w:rsid w:val="0089422B"/>
    <w:rsid w:val="008942D2"/>
    <w:rsid w:val="00894DB6"/>
    <w:rsid w:val="00895318"/>
    <w:rsid w:val="0089567F"/>
    <w:rsid w:val="008965B8"/>
    <w:rsid w:val="00896C43"/>
    <w:rsid w:val="00896FA0"/>
    <w:rsid w:val="008A04D6"/>
    <w:rsid w:val="008A0D94"/>
    <w:rsid w:val="008A2292"/>
    <w:rsid w:val="008A24A0"/>
    <w:rsid w:val="008A25A6"/>
    <w:rsid w:val="008A2AF1"/>
    <w:rsid w:val="008A32CB"/>
    <w:rsid w:val="008A3829"/>
    <w:rsid w:val="008A3C17"/>
    <w:rsid w:val="008A42B8"/>
    <w:rsid w:val="008A4E54"/>
    <w:rsid w:val="008A5E6B"/>
    <w:rsid w:val="008A5F70"/>
    <w:rsid w:val="008A64B4"/>
    <w:rsid w:val="008A6956"/>
    <w:rsid w:val="008A6A70"/>
    <w:rsid w:val="008A6C38"/>
    <w:rsid w:val="008A7156"/>
    <w:rsid w:val="008A791E"/>
    <w:rsid w:val="008A79DF"/>
    <w:rsid w:val="008A79F8"/>
    <w:rsid w:val="008A7FFD"/>
    <w:rsid w:val="008B019A"/>
    <w:rsid w:val="008B0C08"/>
    <w:rsid w:val="008B0CFB"/>
    <w:rsid w:val="008B0EFD"/>
    <w:rsid w:val="008B1620"/>
    <w:rsid w:val="008B199F"/>
    <w:rsid w:val="008B1A1C"/>
    <w:rsid w:val="008B217B"/>
    <w:rsid w:val="008B28B3"/>
    <w:rsid w:val="008B367F"/>
    <w:rsid w:val="008B38DD"/>
    <w:rsid w:val="008B4205"/>
    <w:rsid w:val="008B44AB"/>
    <w:rsid w:val="008B498E"/>
    <w:rsid w:val="008B54E7"/>
    <w:rsid w:val="008B54EC"/>
    <w:rsid w:val="008B5C34"/>
    <w:rsid w:val="008B614A"/>
    <w:rsid w:val="008B699D"/>
    <w:rsid w:val="008B6D84"/>
    <w:rsid w:val="008B7011"/>
    <w:rsid w:val="008B7146"/>
    <w:rsid w:val="008B74CD"/>
    <w:rsid w:val="008C0749"/>
    <w:rsid w:val="008C15A3"/>
    <w:rsid w:val="008C170F"/>
    <w:rsid w:val="008C1D04"/>
    <w:rsid w:val="008C20DD"/>
    <w:rsid w:val="008C22F4"/>
    <w:rsid w:val="008C2A6D"/>
    <w:rsid w:val="008C30CA"/>
    <w:rsid w:val="008C3437"/>
    <w:rsid w:val="008C40EF"/>
    <w:rsid w:val="008C4135"/>
    <w:rsid w:val="008C4B45"/>
    <w:rsid w:val="008C5061"/>
    <w:rsid w:val="008C51A5"/>
    <w:rsid w:val="008C53CF"/>
    <w:rsid w:val="008C57F4"/>
    <w:rsid w:val="008C5E42"/>
    <w:rsid w:val="008C675D"/>
    <w:rsid w:val="008C67F4"/>
    <w:rsid w:val="008C6B42"/>
    <w:rsid w:val="008C6BBC"/>
    <w:rsid w:val="008C723F"/>
    <w:rsid w:val="008C735E"/>
    <w:rsid w:val="008C773C"/>
    <w:rsid w:val="008C78F3"/>
    <w:rsid w:val="008C7D1C"/>
    <w:rsid w:val="008D0AAA"/>
    <w:rsid w:val="008D0E0F"/>
    <w:rsid w:val="008D160C"/>
    <w:rsid w:val="008D16DA"/>
    <w:rsid w:val="008D2102"/>
    <w:rsid w:val="008D2175"/>
    <w:rsid w:val="008D2407"/>
    <w:rsid w:val="008D3918"/>
    <w:rsid w:val="008D3ADB"/>
    <w:rsid w:val="008D41A2"/>
    <w:rsid w:val="008D43C8"/>
    <w:rsid w:val="008D534F"/>
    <w:rsid w:val="008D5577"/>
    <w:rsid w:val="008D6043"/>
    <w:rsid w:val="008D690F"/>
    <w:rsid w:val="008D69E6"/>
    <w:rsid w:val="008D76F5"/>
    <w:rsid w:val="008D7CC8"/>
    <w:rsid w:val="008E056D"/>
    <w:rsid w:val="008E12F2"/>
    <w:rsid w:val="008E145E"/>
    <w:rsid w:val="008E1983"/>
    <w:rsid w:val="008E1FE9"/>
    <w:rsid w:val="008E20A5"/>
    <w:rsid w:val="008E243A"/>
    <w:rsid w:val="008E2635"/>
    <w:rsid w:val="008E26D3"/>
    <w:rsid w:val="008E322A"/>
    <w:rsid w:val="008E3248"/>
    <w:rsid w:val="008E3552"/>
    <w:rsid w:val="008E38CE"/>
    <w:rsid w:val="008E38DE"/>
    <w:rsid w:val="008E3D47"/>
    <w:rsid w:val="008E3FBE"/>
    <w:rsid w:val="008E40CB"/>
    <w:rsid w:val="008E4C43"/>
    <w:rsid w:val="008E50E0"/>
    <w:rsid w:val="008E5336"/>
    <w:rsid w:val="008E5E5C"/>
    <w:rsid w:val="008E6352"/>
    <w:rsid w:val="008E686E"/>
    <w:rsid w:val="008E688A"/>
    <w:rsid w:val="008E7136"/>
    <w:rsid w:val="008E7A11"/>
    <w:rsid w:val="008F00D4"/>
    <w:rsid w:val="008F03D9"/>
    <w:rsid w:val="008F0C02"/>
    <w:rsid w:val="008F0D93"/>
    <w:rsid w:val="008F1C09"/>
    <w:rsid w:val="008F29ED"/>
    <w:rsid w:val="008F2B48"/>
    <w:rsid w:val="008F366E"/>
    <w:rsid w:val="008F3E77"/>
    <w:rsid w:val="008F4E27"/>
    <w:rsid w:val="008F5399"/>
    <w:rsid w:val="008F5640"/>
    <w:rsid w:val="008F597C"/>
    <w:rsid w:val="008F607E"/>
    <w:rsid w:val="008F76A6"/>
    <w:rsid w:val="008F76D2"/>
    <w:rsid w:val="008F7F02"/>
    <w:rsid w:val="009009F1"/>
    <w:rsid w:val="00900B47"/>
    <w:rsid w:val="00900E2D"/>
    <w:rsid w:val="00900ED3"/>
    <w:rsid w:val="00901015"/>
    <w:rsid w:val="00901092"/>
    <w:rsid w:val="00901CB7"/>
    <w:rsid w:val="009024A8"/>
    <w:rsid w:val="00902570"/>
    <w:rsid w:val="0090265E"/>
    <w:rsid w:val="00903073"/>
    <w:rsid w:val="009030C1"/>
    <w:rsid w:val="00903204"/>
    <w:rsid w:val="00903E03"/>
    <w:rsid w:val="00904866"/>
    <w:rsid w:val="00905469"/>
    <w:rsid w:val="00905AA6"/>
    <w:rsid w:val="00905ED5"/>
    <w:rsid w:val="00906338"/>
    <w:rsid w:val="00907AE5"/>
    <w:rsid w:val="00910C20"/>
    <w:rsid w:val="00910EA0"/>
    <w:rsid w:val="0091123A"/>
    <w:rsid w:val="0091182C"/>
    <w:rsid w:val="00911BF8"/>
    <w:rsid w:val="00912633"/>
    <w:rsid w:val="0091351C"/>
    <w:rsid w:val="009143E9"/>
    <w:rsid w:val="00914540"/>
    <w:rsid w:val="0091593E"/>
    <w:rsid w:val="00915C32"/>
    <w:rsid w:val="00915E0D"/>
    <w:rsid w:val="00916A3F"/>
    <w:rsid w:val="00917352"/>
    <w:rsid w:val="00917FFB"/>
    <w:rsid w:val="009204C3"/>
    <w:rsid w:val="009206FC"/>
    <w:rsid w:val="0092078F"/>
    <w:rsid w:val="0092089A"/>
    <w:rsid w:val="00920A18"/>
    <w:rsid w:val="00920EBF"/>
    <w:rsid w:val="00920F1A"/>
    <w:rsid w:val="00921415"/>
    <w:rsid w:val="00921A03"/>
    <w:rsid w:val="009220BE"/>
    <w:rsid w:val="00922192"/>
    <w:rsid w:val="00922A4C"/>
    <w:rsid w:val="00922A68"/>
    <w:rsid w:val="00923068"/>
    <w:rsid w:val="009238D4"/>
    <w:rsid w:val="00923A00"/>
    <w:rsid w:val="00924D50"/>
    <w:rsid w:val="00924F43"/>
    <w:rsid w:val="00926020"/>
    <w:rsid w:val="0092628A"/>
    <w:rsid w:val="0092688E"/>
    <w:rsid w:val="00926DE4"/>
    <w:rsid w:val="00927363"/>
    <w:rsid w:val="009274F8"/>
    <w:rsid w:val="00930867"/>
    <w:rsid w:val="009309BD"/>
    <w:rsid w:val="009310C0"/>
    <w:rsid w:val="00932023"/>
    <w:rsid w:val="009322EE"/>
    <w:rsid w:val="00932AE6"/>
    <w:rsid w:val="0093324C"/>
    <w:rsid w:val="00933645"/>
    <w:rsid w:val="009337FE"/>
    <w:rsid w:val="0093421A"/>
    <w:rsid w:val="0093530E"/>
    <w:rsid w:val="00935442"/>
    <w:rsid w:val="00936237"/>
    <w:rsid w:val="009366AA"/>
    <w:rsid w:val="0093670A"/>
    <w:rsid w:val="00936A31"/>
    <w:rsid w:val="00936F7C"/>
    <w:rsid w:val="00937121"/>
    <w:rsid w:val="009372C1"/>
    <w:rsid w:val="00937807"/>
    <w:rsid w:val="00937B86"/>
    <w:rsid w:val="00940289"/>
    <w:rsid w:val="009402EE"/>
    <w:rsid w:val="00941201"/>
    <w:rsid w:val="00941B41"/>
    <w:rsid w:val="00941F01"/>
    <w:rsid w:val="009425F4"/>
    <w:rsid w:val="00942655"/>
    <w:rsid w:val="00942695"/>
    <w:rsid w:val="00942707"/>
    <w:rsid w:val="009430FD"/>
    <w:rsid w:val="00943C71"/>
    <w:rsid w:val="00943E6B"/>
    <w:rsid w:val="009447A2"/>
    <w:rsid w:val="0094508D"/>
    <w:rsid w:val="009454CA"/>
    <w:rsid w:val="00945718"/>
    <w:rsid w:val="009462B5"/>
    <w:rsid w:val="0094686F"/>
    <w:rsid w:val="00946E16"/>
    <w:rsid w:val="00947650"/>
    <w:rsid w:val="00947C3A"/>
    <w:rsid w:val="00950742"/>
    <w:rsid w:val="00951481"/>
    <w:rsid w:val="00951924"/>
    <w:rsid w:val="00951C33"/>
    <w:rsid w:val="00951CAD"/>
    <w:rsid w:val="00952109"/>
    <w:rsid w:val="00952A4B"/>
    <w:rsid w:val="00952D71"/>
    <w:rsid w:val="00953E33"/>
    <w:rsid w:val="00953E50"/>
    <w:rsid w:val="0095442A"/>
    <w:rsid w:val="009546CE"/>
    <w:rsid w:val="0095582F"/>
    <w:rsid w:val="00955D17"/>
    <w:rsid w:val="00956123"/>
    <w:rsid w:val="0095656F"/>
    <w:rsid w:val="00956A88"/>
    <w:rsid w:val="00956CB0"/>
    <w:rsid w:val="0095710F"/>
    <w:rsid w:val="009575DB"/>
    <w:rsid w:val="00960166"/>
    <w:rsid w:val="009604E1"/>
    <w:rsid w:val="00960873"/>
    <w:rsid w:val="00961ADD"/>
    <w:rsid w:val="00961E3E"/>
    <w:rsid w:val="00961FF5"/>
    <w:rsid w:val="00962655"/>
    <w:rsid w:val="00962B12"/>
    <w:rsid w:val="00963A64"/>
    <w:rsid w:val="00963D31"/>
    <w:rsid w:val="00964E30"/>
    <w:rsid w:val="0096547D"/>
    <w:rsid w:val="00965F61"/>
    <w:rsid w:val="009662E5"/>
    <w:rsid w:val="00970513"/>
    <w:rsid w:val="00970D02"/>
    <w:rsid w:val="00970DD5"/>
    <w:rsid w:val="00970E16"/>
    <w:rsid w:val="009710A4"/>
    <w:rsid w:val="00971370"/>
    <w:rsid w:val="00972508"/>
    <w:rsid w:val="00972B12"/>
    <w:rsid w:val="00974AA6"/>
    <w:rsid w:val="00974CC4"/>
    <w:rsid w:val="00974F09"/>
    <w:rsid w:val="00974F80"/>
    <w:rsid w:val="00976782"/>
    <w:rsid w:val="0097717C"/>
    <w:rsid w:val="00981A32"/>
    <w:rsid w:val="009835E2"/>
    <w:rsid w:val="00983C70"/>
    <w:rsid w:val="00983D1A"/>
    <w:rsid w:val="009842E3"/>
    <w:rsid w:val="009846C8"/>
    <w:rsid w:val="00984D0E"/>
    <w:rsid w:val="009850F8"/>
    <w:rsid w:val="00985655"/>
    <w:rsid w:val="00986771"/>
    <w:rsid w:val="00986956"/>
    <w:rsid w:val="00986991"/>
    <w:rsid w:val="009869BA"/>
    <w:rsid w:val="00986EFA"/>
    <w:rsid w:val="009870C5"/>
    <w:rsid w:val="00987107"/>
    <w:rsid w:val="009877D1"/>
    <w:rsid w:val="009907AE"/>
    <w:rsid w:val="00991185"/>
    <w:rsid w:val="00991422"/>
    <w:rsid w:val="009916F7"/>
    <w:rsid w:val="00992476"/>
    <w:rsid w:val="009926E4"/>
    <w:rsid w:val="00992B53"/>
    <w:rsid w:val="00992D96"/>
    <w:rsid w:val="0099301F"/>
    <w:rsid w:val="0099371F"/>
    <w:rsid w:val="00993D81"/>
    <w:rsid w:val="00993FE4"/>
    <w:rsid w:val="00994518"/>
    <w:rsid w:val="009945AA"/>
    <w:rsid w:val="0099468D"/>
    <w:rsid w:val="00994851"/>
    <w:rsid w:val="00994F29"/>
    <w:rsid w:val="009950CD"/>
    <w:rsid w:val="00995DA1"/>
    <w:rsid w:val="00995F7F"/>
    <w:rsid w:val="009961D6"/>
    <w:rsid w:val="00996342"/>
    <w:rsid w:val="0099698C"/>
    <w:rsid w:val="00996AA7"/>
    <w:rsid w:val="0099714D"/>
    <w:rsid w:val="00997218"/>
    <w:rsid w:val="00997A1F"/>
    <w:rsid w:val="00997CC5"/>
    <w:rsid w:val="00997DDC"/>
    <w:rsid w:val="009A073F"/>
    <w:rsid w:val="009A0AAF"/>
    <w:rsid w:val="009A0E76"/>
    <w:rsid w:val="009A126B"/>
    <w:rsid w:val="009A148C"/>
    <w:rsid w:val="009A1707"/>
    <w:rsid w:val="009A1A3C"/>
    <w:rsid w:val="009A1B6F"/>
    <w:rsid w:val="009A2208"/>
    <w:rsid w:val="009A241E"/>
    <w:rsid w:val="009A35DC"/>
    <w:rsid w:val="009A36B4"/>
    <w:rsid w:val="009A3CAE"/>
    <w:rsid w:val="009A3E95"/>
    <w:rsid w:val="009A4C0F"/>
    <w:rsid w:val="009A528E"/>
    <w:rsid w:val="009A5616"/>
    <w:rsid w:val="009A57CB"/>
    <w:rsid w:val="009A5950"/>
    <w:rsid w:val="009A6299"/>
    <w:rsid w:val="009A6DEF"/>
    <w:rsid w:val="009A764E"/>
    <w:rsid w:val="009B07B9"/>
    <w:rsid w:val="009B0A4B"/>
    <w:rsid w:val="009B0FE0"/>
    <w:rsid w:val="009B104F"/>
    <w:rsid w:val="009B1848"/>
    <w:rsid w:val="009B2952"/>
    <w:rsid w:val="009B31C9"/>
    <w:rsid w:val="009B337B"/>
    <w:rsid w:val="009B3B82"/>
    <w:rsid w:val="009B41BE"/>
    <w:rsid w:val="009B4410"/>
    <w:rsid w:val="009B4607"/>
    <w:rsid w:val="009B4A0A"/>
    <w:rsid w:val="009B513F"/>
    <w:rsid w:val="009B55C7"/>
    <w:rsid w:val="009B5646"/>
    <w:rsid w:val="009B582E"/>
    <w:rsid w:val="009B5BFA"/>
    <w:rsid w:val="009B5F75"/>
    <w:rsid w:val="009B602E"/>
    <w:rsid w:val="009B6DC9"/>
    <w:rsid w:val="009B78F2"/>
    <w:rsid w:val="009C0025"/>
    <w:rsid w:val="009C148E"/>
    <w:rsid w:val="009C2603"/>
    <w:rsid w:val="009C3007"/>
    <w:rsid w:val="009C3711"/>
    <w:rsid w:val="009C3942"/>
    <w:rsid w:val="009C4042"/>
    <w:rsid w:val="009C4C14"/>
    <w:rsid w:val="009C59E6"/>
    <w:rsid w:val="009C5B67"/>
    <w:rsid w:val="009C5C89"/>
    <w:rsid w:val="009C60CE"/>
    <w:rsid w:val="009C61F8"/>
    <w:rsid w:val="009C642E"/>
    <w:rsid w:val="009C67EF"/>
    <w:rsid w:val="009C6E74"/>
    <w:rsid w:val="009C7042"/>
    <w:rsid w:val="009C780F"/>
    <w:rsid w:val="009C78A4"/>
    <w:rsid w:val="009C7A14"/>
    <w:rsid w:val="009D00D1"/>
    <w:rsid w:val="009D0B9C"/>
    <w:rsid w:val="009D0CA6"/>
    <w:rsid w:val="009D106F"/>
    <w:rsid w:val="009D1E80"/>
    <w:rsid w:val="009D23E4"/>
    <w:rsid w:val="009D2800"/>
    <w:rsid w:val="009D2C3E"/>
    <w:rsid w:val="009D34D0"/>
    <w:rsid w:val="009D35E3"/>
    <w:rsid w:val="009D361E"/>
    <w:rsid w:val="009D408F"/>
    <w:rsid w:val="009D4337"/>
    <w:rsid w:val="009D450B"/>
    <w:rsid w:val="009D4A8D"/>
    <w:rsid w:val="009D4E19"/>
    <w:rsid w:val="009D5814"/>
    <w:rsid w:val="009D675F"/>
    <w:rsid w:val="009D7560"/>
    <w:rsid w:val="009D7698"/>
    <w:rsid w:val="009D76F9"/>
    <w:rsid w:val="009D774B"/>
    <w:rsid w:val="009D7D4D"/>
    <w:rsid w:val="009E057E"/>
    <w:rsid w:val="009E1101"/>
    <w:rsid w:val="009E1581"/>
    <w:rsid w:val="009E1695"/>
    <w:rsid w:val="009E19CE"/>
    <w:rsid w:val="009E2758"/>
    <w:rsid w:val="009E28B2"/>
    <w:rsid w:val="009E388F"/>
    <w:rsid w:val="009E3D66"/>
    <w:rsid w:val="009E4865"/>
    <w:rsid w:val="009E4E7E"/>
    <w:rsid w:val="009E5042"/>
    <w:rsid w:val="009E5469"/>
    <w:rsid w:val="009E59D5"/>
    <w:rsid w:val="009E6EA8"/>
    <w:rsid w:val="009E7A32"/>
    <w:rsid w:val="009F06C5"/>
    <w:rsid w:val="009F0EAB"/>
    <w:rsid w:val="009F1C7F"/>
    <w:rsid w:val="009F1E26"/>
    <w:rsid w:val="009F1FB1"/>
    <w:rsid w:val="009F2234"/>
    <w:rsid w:val="009F2329"/>
    <w:rsid w:val="009F30CC"/>
    <w:rsid w:val="009F3E6A"/>
    <w:rsid w:val="009F4E97"/>
    <w:rsid w:val="009F5572"/>
    <w:rsid w:val="009F5E37"/>
    <w:rsid w:val="009F5EB9"/>
    <w:rsid w:val="009F692D"/>
    <w:rsid w:val="009F6CCA"/>
    <w:rsid w:val="00A01866"/>
    <w:rsid w:val="00A01A11"/>
    <w:rsid w:val="00A01DFC"/>
    <w:rsid w:val="00A02274"/>
    <w:rsid w:val="00A0293F"/>
    <w:rsid w:val="00A03503"/>
    <w:rsid w:val="00A0362B"/>
    <w:rsid w:val="00A03CBF"/>
    <w:rsid w:val="00A0483D"/>
    <w:rsid w:val="00A05455"/>
    <w:rsid w:val="00A059C5"/>
    <w:rsid w:val="00A05A89"/>
    <w:rsid w:val="00A05BE7"/>
    <w:rsid w:val="00A05FB3"/>
    <w:rsid w:val="00A0735D"/>
    <w:rsid w:val="00A07CD5"/>
    <w:rsid w:val="00A1023B"/>
    <w:rsid w:val="00A11766"/>
    <w:rsid w:val="00A11B08"/>
    <w:rsid w:val="00A12C66"/>
    <w:rsid w:val="00A13EB3"/>
    <w:rsid w:val="00A161C1"/>
    <w:rsid w:val="00A16239"/>
    <w:rsid w:val="00A17156"/>
    <w:rsid w:val="00A17781"/>
    <w:rsid w:val="00A20242"/>
    <w:rsid w:val="00A20310"/>
    <w:rsid w:val="00A20742"/>
    <w:rsid w:val="00A240ED"/>
    <w:rsid w:val="00A2461F"/>
    <w:rsid w:val="00A247BF"/>
    <w:rsid w:val="00A25015"/>
    <w:rsid w:val="00A2531A"/>
    <w:rsid w:val="00A25B68"/>
    <w:rsid w:val="00A2603B"/>
    <w:rsid w:val="00A260E4"/>
    <w:rsid w:val="00A2676D"/>
    <w:rsid w:val="00A267CA"/>
    <w:rsid w:val="00A26A69"/>
    <w:rsid w:val="00A27187"/>
    <w:rsid w:val="00A271B5"/>
    <w:rsid w:val="00A27C3B"/>
    <w:rsid w:val="00A27DE8"/>
    <w:rsid w:val="00A27E16"/>
    <w:rsid w:val="00A303E5"/>
    <w:rsid w:val="00A314CE"/>
    <w:rsid w:val="00A32411"/>
    <w:rsid w:val="00A324E0"/>
    <w:rsid w:val="00A33CE2"/>
    <w:rsid w:val="00A34EC2"/>
    <w:rsid w:val="00A351FE"/>
    <w:rsid w:val="00A358D5"/>
    <w:rsid w:val="00A37A30"/>
    <w:rsid w:val="00A40BD1"/>
    <w:rsid w:val="00A40F1E"/>
    <w:rsid w:val="00A41915"/>
    <w:rsid w:val="00A41B8C"/>
    <w:rsid w:val="00A42731"/>
    <w:rsid w:val="00A42FA2"/>
    <w:rsid w:val="00A4316F"/>
    <w:rsid w:val="00A43D99"/>
    <w:rsid w:val="00A44177"/>
    <w:rsid w:val="00A44F4E"/>
    <w:rsid w:val="00A45A33"/>
    <w:rsid w:val="00A4669F"/>
    <w:rsid w:val="00A466A6"/>
    <w:rsid w:val="00A470E5"/>
    <w:rsid w:val="00A47D47"/>
    <w:rsid w:val="00A50F7B"/>
    <w:rsid w:val="00A51474"/>
    <w:rsid w:val="00A51561"/>
    <w:rsid w:val="00A51DA5"/>
    <w:rsid w:val="00A522B0"/>
    <w:rsid w:val="00A52619"/>
    <w:rsid w:val="00A52BD2"/>
    <w:rsid w:val="00A5472F"/>
    <w:rsid w:val="00A54867"/>
    <w:rsid w:val="00A54C0E"/>
    <w:rsid w:val="00A54DF5"/>
    <w:rsid w:val="00A55B58"/>
    <w:rsid w:val="00A56DF1"/>
    <w:rsid w:val="00A56E3C"/>
    <w:rsid w:val="00A579AB"/>
    <w:rsid w:val="00A57ED4"/>
    <w:rsid w:val="00A603E3"/>
    <w:rsid w:val="00A607C1"/>
    <w:rsid w:val="00A60BB1"/>
    <w:rsid w:val="00A6173E"/>
    <w:rsid w:val="00A62032"/>
    <w:rsid w:val="00A62081"/>
    <w:rsid w:val="00A6256F"/>
    <w:rsid w:val="00A62948"/>
    <w:rsid w:val="00A63678"/>
    <w:rsid w:val="00A6372B"/>
    <w:rsid w:val="00A64758"/>
    <w:rsid w:val="00A648A0"/>
    <w:rsid w:val="00A64A87"/>
    <w:rsid w:val="00A65604"/>
    <w:rsid w:val="00A6591F"/>
    <w:rsid w:val="00A65995"/>
    <w:rsid w:val="00A65CCA"/>
    <w:rsid w:val="00A65E35"/>
    <w:rsid w:val="00A65F31"/>
    <w:rsid w:val="00A66189"/>
    <w:rsid w:val="00A66405"/>
    <w:rsid w:val="00A665E5"/>
    <w:rsid w:val="00A666FC"/>
    <w:rsid w:val="00A6789F"/>
    <w:rsid w:val="00A7056E"/>
    <w:rsid w:val="00A70EF8"/>
    <w:rsid w:val="00A711FE"/>
    <w:rsid w:val="00A712FC"/>
    <w:rsid w:val="00A71CF1"/>
    <w:rsid w:val="00A7276B"/>
    <w:rsid w:val="00A728F4"/>
    <w:rsid w:val="00A729CC"/>
    <w:rsid w:val="00A72E3F"/>
    <w:rsid w:val="00A736B4"/>
    <w:rsid w:val="00A73758"/>
    <w:rsid w:val="00A73ED1"/>
    <w:rsid w:val="00A743F5"/>
    <w:rsid w:val="00A745A8"/>
    <w:rsid w:val="00A7494C"/>
    <w:rsid w:val="00A750F6"/>
    <w:rsid w:val="00A75573"/>
    <w:rsid w:val="00A77907"/>
    <w:rsid w:val="00A77CFA"/>
    <w:rsid w:val="00A77EA1"/>
    <w:rsid w:val="00A8090F"/>
    <w:rsid w:val="00A8173D"/>
    <w:rsid w:val="00A81FBF"/>
    <w:rsid w:val="00A82BE3"/>
    <w:rsid w:val="00A82DE4"/>
    <w:rsid w:val="00A83A06"/>
    <w:rsid w:val="00A83AD1"/>
    <w:rsid w:val="00A840D5"/>
    <w:rsid w:val="00A86862"/>
    <w:rsid w:val="00A8784D"/>
    <w:rsid w:val="00A91339"/>
    <w:rsid w:val="00A9198E"/>
    <w:rsid w:val="00A9208D"/>
    <w:rsid w:val="00A922C9"/>
    <w:rsid w:val="00A92A6C"/>
    <w:rsid w:val="00A9343B"/>
    <w:rsid w:val="00A946CE"/>
    <w:rsid w:val="00A947A3"/>
    <w:rsid w:val="00A94D00"/>
    <w:rsid w:val="00A94E71"/>
    <w:rsid w:val="00A95045"/>
    <w:rsid w:val="00A950D7"/>
    <w:rsid w:val="00A95111"/>
    <w:rsid w:val="00A95224"/>
    <w:rsid w:val="00A95793"/>
    <w:rsid w:val="00A958B7"/>
    <w:rsid w:val="00A95FA1"/>
    <w:rsid w:val="00A963BA"/>
    <w:rsid w:val="00A965BD"/>
    <w:rsid w:val="00A96A72"/>
    <w:rsid w:val="00A97183"/>
    <w:rsid w:val="00A972EB"/>
    <w:rsid w:val="00A97D07"/>
    <w:rsid w:val="00AA0994"/>
    <w:rsid w:val="00AA1897"/>
    <w:rsid w:val="00AA1A32"/>
    <w:rsid w:val="00AA1B46"/>
    <w:rsid w:val="00AA217D"/>
    <w:rsid w:val="00AA265A"/>
    <w:rsid w:val="00AA2B19"/>
    <w:rsid w:val="00AA2BCB"/>
    <w:rsid w:val="00AA31A3"/>
    <w:rsid w:val="00AA360A"/>
    <w:rsid w:val="00AA3BB3"/>
    <w:rsid w:val="00AA3F3B"/>
    <w:rsid w:val="00AA4681"/>
    <w:rsid w:val="00AA49F4"/>
    <w:rsid w:val="00AA4DCB"/>
    <w:rsid w:val="00AA522E"/>
    <w:rsid w:val="00AA5526"/>
    <w:rsid w:val="00AA5BFA"/>
    <w:rsid w:val="00AA6AD3"/>
    <w:rsid w:val="00AA7475"/>
    <w:rsid w:val="00AA7DC5"/>
    <w:rsid w:val="00AB0115"/>
    <w:rsid w:val="00AB0C63"/>
    <w:rsid w:val="00AB0F80"/>
    <w:rsid w:val="00AB10E6"/>
    <w:rsid w:val="00AB1937"/>
    <w:rsid w:val="00AB22BE"/>
    <w:rsid w:val="00AB2621"/>
    <w:rsid w:val="00AB2F08"/>
    <w:rsid w:val="00AB37D6"/>
    <w:rsid w:val="00AB3BAD"/>
    <w:rsid w:val="00AB4172"/>
    <w:rsid w:val="00AB4568"/>
    <w:rsid w:val="00AB46E2"/>
    <w:rsid w:val="00AB5672"/>
    <w:rsid w:val="00AB6EF9"/>
    <w:rsid w:val="00AB7BAF"/>
    <w:rsid w:val="00AC0E30"/>
    <w:rsid w:val="00AC1F28"/>
    <w:rsid w:val="00AC4585"/>
    <w:rsid w:val="00AC4791"/>
    <w:rsid w:val="00AC47E2"/>
    <w:rsid w:val="00AC49EE"/>
    <w:rsid w:val="00AC51F3"/>
    <w:rsid w:val="00AC5230"/>
    <w:rsid w:val="00AC55BB"/>
    <w:rsid w:val="00AC573F"/>
    <w:rsid w:val="00AC623A"/>
    <w:rsid w:val="00AC66BC"/>
    <w:rsid w:val="00AC6A4D"/>
    <w:rsid w:val="00AC720A"/>
    <w:rsid w:val="00AC7500"/>
    <w:rsid w:val="00AC79AE"/>
    <w:rsid w:val="00AC7FBE"/>
    <w:rsid w:val="00AD0297"/>
    <w:rsid w:val="00AD1227"/>
    <w:rsid w:val="00AD15B5"/>
    <w:rsid w:val="00AD259A"/>
    <w:rsid w:val="00AD34BF"/>
    <w:rsid w:val="00AD35CB"/>
    <w:rsid w:val="00AD416F"/>
    <w:rsid w:val="00AD6015"/>
    <w:rsid w:val="00AD631B"/>
    <w:rsid w:val="00AD635A"/>
    <w:rsid w:val="00AD648C"/>
    <w:rsid w:val="00AD6DE9"/>
    <w:rsid w:val="00AD7108"/>
    <w:rsid w:val="00AD7B3D"/>
    <w:rsid w:val="00AE00E3"/>
    <w:rsid w:val="00AE03A0"/>
    <w:rsid w:val="00AE082D"/>
    <w:rsid w:val="00AE12BB"/>
    <w:rsid w:val="00AE1FC2"/>
    <w:rsid w:val="00AE2145"/>
    <w:rsid w:val="00AE2327"/>
    <w:rsid w:val="00AE28E4"/>
    <w:rsid w:val="00AE2C48"/>
    <w:rsid w:val="00AE35EA"/>
    <w:rsid w:val="00AE3BCE"/>
    <w:rsid w:val="00AE43BC"/>
    <w:rsid w:val="00AE4487"/>
    <w:rsid w:val="00AE5131"/>
    <w:rsid w:val="00AE51F2"/>
    <w:rsid w:val="00AE5D01"/>
    <w:rsid w:val="00AE64B7"/>
    <w:rsid w:val="00AE65E0"/>
    <w:rsid w:val="00AE7762"/>
    <w:rsid w:val="00AE7CA0"/>
    <w:rsid w:val="00AE7F7F"/>
    <w:rsid w:val="00AF01E7"/>
    <w:rsid w:val="00AF365C"/>
    <w:rsid w:val="00AF3B0A"/>
    <w:rsid w:val="00AF3B6C"/>
    <w:rsid w:val="00AF3BF6"/>
    <w:rsid w:val="00AF4104"/>
    <w:rsid w:val="00AF5A8D"/>
    <w:rsid w:val="00AF6465"/>
    <w:rsid w:val="00AF6543"/>
    <w:rsid w:val="00AF689F"/>
    <w:rsid w:val="00AF7163"/>
    <w:rsid w:val="00AF7487"/>
    <w:rsid w:val="00AF7DD3"/>
    <w:rsid w:val="00AF7EE3"/>
    <w:rsid w:val="00AF7F7E"/>
    <w:rsid w:val="00B01569"/>
    <w:rsid w:val="00B0235F"/>
    <w:rsid w:val="00B023A8"/>
    <w:rsid w:val="00B02E0A"/>
    <w:rsid w:val="00B02E54"/>
    <w:rsid w:val="00B03961"/>
    <w:rsid w:val="00B03E75"/>
    <w:rsid w:val="00B04802"/>
    <w:rsid w:val="00B05CAF"/>
    <w:rsid w:val="00B06AC1"/>
    <w:rsid w:val="00B07A78"/>
    <w:rsid w:val="00B121EF"/>
    <w:rsid w:val="00B13A7F"/>
    <w:rsid w:val="00B144AD"/>
    <w:rsid w:val="00B1455A"/>
    <w:rsid w:val="00B146EE"/>
    <w:rsid w:val="00B14932"/>
    <w:rsid w:val="00B14A04"/>
    <w:rsid w:val="00B14A39"/>
    <w:rsid w:val="00B153D9"/>
    <w:rsid w:val="00B156BA"/>
    <w:rsid w:val="00B15AF7"/>
    <w:rsid w:val="00B15CE2"/>
    <w:rsid w:val="00B161D5"/>
    <w:rsid w:val="00B1622E"/>
    <w:rsid w:val="00B16701"/>
    <w:rsid w:val="00B173AE"/>
    <w:rsid w:val="00B176BA"/>
    <w:rsid w:val="00B17778"/>
    <w:rsid w:val="00B206F5"/>
    <w:rsid w:val="00B20B30"/>
    <w:rsid w:val="00B20CDA"/>
    <w:rsid w:val="00B20D28"/>
    <w:rsid w:val="00B21333"/>
    <w:rsid w:val="00B21C80"/>
    <w:rsid w:val="00B227DD"/>
    <w:rsid w:val="00B23520"/>
    <w:rsid w:val="00B23557"/>
    <w:rsid w:val="00B236D2"/>
    <w:rsid w:val="00B23DD1"/>
    <w:rsid w:val="00B2434A"/>
    <w:rsid w:val="00B248A5"/>
    <w:rsid w:val="00B24CC3"/>
    <w:rsid w:val="00B24D77"/>
    <w:rsid w:val="00B24E41"/>
    <w:rsid w:val="00B24F46"/>
    <w:rsid w:val="00B257A6"/>
    <w:rsid w:val="00B25923"/>
    <w:rsid w:val="00B259F5"/>
    <w:rsid w:val="00B25B6D"/>
    <w:rsid w:val="00B26548"/>
    <w:rsid w:val="00B265E6"/>
    <w:rsid w:val="00B26D3C"/>
    <w:rsid w:val="00B26EA1"/>
    <w:rsid w:val="00B26F4A"/>
    <w:rsid w:val="00B27B02"/>
    <w:rsid w:val="00B301C3"/>
    <w:rsid w:val="00B307EB"/>
    <w:rsid w:val="00B30890"/>
    <w:rsid w:val="00B30A1F"/>
    <w:rsid w:val="00B30A51"/>
    <w:rsid w:val="00B30C36"/>
    <w:rsid w:val="00B30D7B"/>
    <w:rsid w:val="00B30FD6"/>
    <w:rsid w:val="00B3126F"/>
    <w:rsid w:val="00B3142D"/>
    <w:rsid w:val="00B316DF"/>
    <w:rsid w:val="00B31D80"/>
    <w:rsid w:val="00B31F47"/>
    <w:rsid w:val="00B32FD1"/>
    <w:rsid w:val="00B348FE"/>
    <w:rsid w:val="00B34B07"/>
    <w:rsid w:val="00B34B89"/>
    <w:rsid w:val="00B35585"/>
    <w:rsid w:val="00B35A4F"/>
    <w:rsid w:val="00B35D54"/>
    <w:rsid w:val="00B36333"/>
    <w:rsid w:val="00B36D99"/>
    <w:rsid w:val="00B36F1D"/>
    <w:rsid w:val="00B40392"/>
    <w:rsid w:val="00B4077F"/>
    <w:rsid w:val="00B40795"/>
    <w:rsid w:val="00B40817"/>
    <w:rsid w:val="00B40B90"/>
    <w:rsid w:val="00B41810"/>
    <w:rsid w:val="00B41C29"/>
    <w:rsid w:val="00B420B5"/>
    <w:rsid w:val="00B42290"/>
    <w:rsid w:val="00B4251E"/>
    <w:rsid w:val="00B42AA2"/>
    <w:rsid w:val="00B42BFB"/>
    <w:rsid w:val="00B42C38"/>
    <w:rsid w:val="00B43153"/>
    <w:rsid w:val="00B43BD7"/>
    <w:rsid w:val="00B43FB4"/>
    <w:rsid w:val="00B444B1"/>
    <w:rsid w:val="00B45B3C"/>
    <w:rsid w:val="00B45FBA"/>
    <w:rsid w:val="00B46241"/>
    <w:rsid w:val="00B4657B"/>
    <w:rsid w:val="00B469A5"/>
    <w:rsid w:val="00B46CE0"/>
    <w:rsid w:val="00B4711D"/>
    <w:rsid w:val="00B47EC7"/>
    <w:rsid w:val="00B50660"/>
    <w:rsid w:val="00B50C4A"/>
    <w:rsid w:val="00B50CAB"/>
    <w:rsid w:val="00B50F81"/>
    <w:rsid w:val="00B5118B"/>
    <w:rsid w:val="00B512A7"/>
    <w:rsid w:val="00B514DB"/>
    <w:rsid w:val="00B523AD"/>
    <w:rsid w:val="00B528ED"/>
    <w:rsid w:val="00B52FD9"/>
    <w:rsid w:val="00B5340E"/>
    <w:rsid w:val="00B536C8"/>
    <w:rsid w:val="00B5380B"/>
    <w:rsid w:val="00B54018"/>
    <w:rsid w:val="00B542E9"/>
    <w:rsid w:val="00B5510B"/>
    <w:rsid w:val="00B55756"/>
    <w:rsid w:val="00B55B26"/>
    <w:rsid w:val="00B55BB1"/>
    <w:rsid w:val="00B57B9C"/>
    <w:rsid w:val="00B60145"/>
    <w:rsid w:val="00B60815"/>
    <w:rsid w:val="00B619F6"/>
    <w:rsid w:val="00B620E5"/>
    <w:rsid w:val="00B62B41"/>
    <w:rsid w:val="00B64048"/>
    <w:rsid w:val="00B642FE"/>
    <w:rsid w:val="00B646D0"/>
    <w:rsid w:val="00B660C3"/>
    <w:rsid w:val="00B661ED"/>
    <w:rsid w:val="00B664C4"/>
    <w:rsid w:val="00B66835"/>
    <w:rsid w:val="00B67C15"/>
    <w:rsid w:val="00B70789"/>
    <w:rsid w:val="00B708CE"/>
    <w:rsid w:val="00B70FD3"/>
    <w:rsid w:val="00B7141A"/>
    <w:rsid w:val="00B715FD"/>
    <w:rsid w:val="00B72D41"/>
    <w:rsid w:val="00B73010"/>
    <w:rsid w:val="00B73BFE"/>
    <w:rsid w:val="00B7432B"/>
    <w:rsid w:val="00B752BE"/>
    <w:rsid w:val="00B75521"/>
    <w:rsid w:val="00B7579B"/>
    <w:rsid w:val="00B75CE6"/>
    <w:rsid w:val="00B7690D"/>
    <w:rsid w:val="00B76966"/>
    <w:rsid w:val="00B779C7"/>
    <w:rsid w:val="00B8104F"/>
    <w:rsid w:val="00B812B2"/>
    <w:rsid w:val="00B816E9"/>
    <w:rsid w:val="00B81A39"/>
    <w:rsid w:val="00B81C4F"/>
    <w:rsid w:val="00B82431"/>
    <w:rsid w:val="00B82FE4"/>
    <w:rsid w:val="00B834F9"/>
    <w:rsid w:val="00B83D15"/>
    <w:rsid w:val="00B83EF9"/>
    <w:rsid w:val="00B845F5"/>
    <w:rsid w:val="00B84D71"/>
    <w:rsid w:val="00B85368"/>
    <w:rsid w:val="00B85841"/>
    <w:rsid w:val="00B85DA7"/>
    <w:rsid w:val="00B86C25"/>
    <w:rsid w:val="00B87EA0"/>
    <w:rsid w:val="00B9111E"/>
    <w:rsid w:val="00B91841"/>
    <w:rsid w:val="00B92417"/>
    <w:rsid w:val="00B924FE"/>
    <w:rsid w:val="00B9275C"/>
    <w:rsid w:val="00B93179"/>
    <w:rsid w:val="00B93505"/>
    <w:rsid w:val="00B937D9"/>
    <w:rsid w:val="00B93FD6"/>
    <w:rsid w:val="00B9404A"/>
    <w:rsid w:val="00B9628B"/>
    <w:rsid w:val="00B96BA6"/>
    <w:rsid w:val="00BA061F"/>
    <w:rsid w:val="00BA0631"/>
    <w:rsid w:val="00BA076F"/>
    <w:rsid w:val="00BA0CEE"/>
    <w:rsid w:val="00BA0E33"/>
    <w:rsid w:val="00BA113F"/>
    <w:rsid w:val="00BA18B3"/>
    <w:rsid w:val="00BA1B65"/>
    <w:rsid w:val="00BA1CDB"/>
    <w:rsid w:val="00BA1D60"/>
    <w:rsid w:val="00BA1FE7"/>
    <w:rsid w:val="00BA35AD"/>
    <w:rsid w:val="00BA3608"/>
    <w:rsid w:val="00BA37CF"/>
    <w:rsid w:val="00BA3D4A"/>
    <w:rsid w:val="00BA3D62"/>
    <w:rsid w:val="00BA4691"/>
    <w:rsid w:val="00BA4881"/>
    <w:rsid w:val="00BA4F87"/>
    <w:rsid w:val="00BA5D09"/>
    <w:rsid w:val="00BA783C"/>
    <w:rsid w:val="00BB10DF"/>
    <w:rsid w:val="00BB1DD6"/>
    <w:rsid w:val="00BB25C5"/>
    <w:rsid w:val="00BB2B17"/>
    <w:rsid w:val="00BB2C36"/>
    <w:rsid w:val="00BB346B"/>
    <w:rsid w:val="00BB3B2F"/>
    <w:rsid w:val="00BB41F8"/>
    <w:rsid w:val="00BB47CC"/>
    <w:rsid w:val="00BB4EA8"/>
    <w:rsid w:val="00BB5213"/>
    <w:rsid w:val="00BB5246"/>
    <w:rsid w:val="00BB5499"/>
    <w:rsid w:val="00BB57F9"/>
    <w:rsid w:val="00BB6520"/>
    <w:rsid w:val="00BB7065"/>
    <w:rsid w:val="00BB709D"/>
    <w:rsid w:val="00BB722F"/>
    <w:rsid w:val="00BB723E"/>
    <w:rsid w:val="00BB7268"/>
    <w:rsid w:val="00BB7663"/>
    <w:rsid w:val="00BB76EC"/>
    <w:rsid w:val="00BB7BF0"/>
    <w:rsid w:val="00BC0189"/>
    <w:rsid w:val="00BC093A"/>
    <w:rsid w:val="00BC0BA5"/>
    <w:rsid w:val="00BC0FF7"/>
    <w:rsid w:val="00BC18D2"/>
    <w:rsid w:val="00BC196F"/>
    <w:rsid w:val="00BC1DEF"/>
    <w:rsid w:val="00BC2904"/>
    <w:rsid w:val="00BC2F6A"/>
    <w:rsid w:val="00BC30EB"/>
    <w:rsid w:val="00BC4127"/>
    <w:rsid w:val="00BC42CA"/>
    <w:rsid w:val="00BC4852"/>
    <w:rsid w:val="00BC48BF"/>
    <w:rsid w:val="00BC4925"/>
    <w:rsid w:val="00BC4B64"/>
    <w:rsid w:val="00BC4D70"/>
    <w:rsid w:val="00BC4F57"/>
    <w:rsid w:val="00BC4F62"/>
    <w:rsid w:val="00BC52D3"/>
    <w:rsid w:val="00BC5EAB"/>
    <w:rsid w:val="00BC5FA8"/>
    <w:rsid w:val="00BC6246"/>
    <w:rsid w:val="00BC64FB"/>
    <w:rsid w:val="00BC6F23"/>
    <w:rsid w:val="00BD0064"/>
    <w:rsid w:val="00BD0292"/>
    <w:rsid w:val="00BD0333"/>
    <w:rsid w:val="00BD04AE"/>
    <w:rsid w:val="00BD1081"/>
    <w:rsid w:val="00BD1452"/>
    <w:rsid w:val="00BD18BD"/>
    <w:rsid w:val="00BD230B"/>
    <w:rsid w:val="00BD23C9"/>
    <w:rsid w:val="00BD2DCE"/>
    <w:rsid w:val="00BD2DF6"/>
    <w:rsid w:val="00BD327E"/>
    <w:rsid w:val="00BD4361"/>
    <w:rsid w:val="00BD43BD"/>
    <w:rsid w:val="00BD5F69"/>
    <w:rsid w:val="00BD73A1"/>
    <w:rsid w:val="00BD744D"/>
    <w:rsid w:val="00BD7B49"/>
    <w:rsid w:val="00BE16C7"/>
    <w:rsid w:val="00BE1707"/>
    <w:rsid w:val="00BE1747"/>
    <w:rsid w:val="00BE1B80"/>
    <w:rsid w:val="00BE1CC4"/>
    <w:rsid w:val="00BE2408"/>
    <w:rsid w:val="00BE27C9"/>
    <w:rsid w:val="00BE289C"/>
    <w:rsid w:val="00BE28B9"/>
    <w:rsid w:val="00BE28F0"/>
    <w:rsid w:val="00BE3185"/>
    <w:rsid w:val="00BE34B9"/>
    <w:rsid w:val="00BE3643"/>
    <w:rsid w:val="00BE3ACB"/>
    <w:rsid w:val="00BE3D2C"/>
    <w:rsid w:val="00BE3E7D"/>
    <w:rsid w:val="00BE41FA"/>
    <w:rsid w:val="00BE421A"/>
    <w:rsid w:val="00BE42BD"/>
    <w:rsid w:val="00BE48FD"/>
    <w:rsid w:val="00BE633B"/>
    <w:rsid w:val="00BE6C8C"/>
    <w:rsid w:val="00BE6E02"/>
    <w:rsid w:val="00BE6FDF"/>
    <w:rsid w:val="00BE7C59"/>
    <w:rsid w:val="00BF0082"/>
    <w:rsid w:val="00BF0551"/>
    <w:rsid w:val="00BF119A"/>
    <w:rsid w:val="00BF2229"/>
    <w:rsid w:val="00BF2BEA"/>
    <w:rsid w:val="00BF3143"/>
    <w:rsid w:val="00BF5752"/>
    <w:rsid w:val="00BF5A36"/>
    <w:rsid w:val="00BF5C69"/>
    <w:rsid w:val="00BF5DE8"/>
    <w:rsid w:val="00BF72F9"/>
    <w:rsid w:val="00BF744C"/>
    <w:rsid w:val="00BF7E5B"/>
    <w:rsid w:val="00C00270"/>
    <w:rsid w:val="00C00552"/>
    <w:rsid w:val="00C005A6"/>
    <w:rsid w:val="00C0078F"/>
    <w:rsid w:val="00C00BD2"/>
    <w:rsid w:val="00C01005"/>
    <w:rsid w:val="00C0138A"/>
    <w:rsid w:val="00C018F2"/>
    <w:rsid w:val="00C01C4F"/>
    <w:rsid w:val="00C02033"/>
    <w:rsid w:val="00C03216"/>
    <w:rsid w:val="00C03402"/>
    <w:rsid w:val="00C036A6"/>
    <w:rsid w:val="00C03876"/>
    <w:rsid w:val="00C03B39"/>
    <w:rsid w:val="00C03F9E"/>
    <w:rsid w:val="00C04458"/>
    <w:rsid w:val="00C04A67"/>
    <w:rsid w:val="00C04EA4"/>
    <w:rsid w:val="00C0586A"/>
    <w:rsid w:val="00C05FED"/>
    <w:rsid w:val="00C060F1"/>
    <w:rsid w:val="00C06425"/>
    <w:rsid w:val="00C064AB"/>
    <w:rsid w:val="00C06ACC"/>
    <w:rsid w:val="00C06D90"/>
    <w:rsid w:val="00C07EF7"/>
    <w:rsid w:val="00C10034"/>
    <w:rsid w:val="00C1088B"/>
    <w:rsid w:val="00C11D77"/>
    <w:rsid w:val="00C125A0"/>
    <w:rsid w:val="00C12743"/>
    <w:rsid w:val="00C12F94"/>
    <w:rsid w:val="00C139AE"/>
    <w:rsid w:val="00C146B6"/>
    <w:rsid w:val="00C14976"/>
    <w:rsid w:val="00C149CF"/>
    <w:rsid w:val="00C14BB5"/>
    <w:rsid w:val="00C14C0F"/>
    <w:rsid w:val="00C15568"/>
    <w:rsid w:val="00C15F7F"/>
    <w:rsid w:val="00C16B2E"/>
    <w:rsid w:val="00C17256"/>
    <w:rsid w:val="00C17562"/>
    <w:rsid w:val="00C176B4"/>
    <w:rsid w:val="00C17918"/>
    <w:rsid w:val="00C17B66"/>
    <w:rsid w:val="00C20062"/>
    <w:rsid w:val="00C2030A"/>
    <w:rsid w:val="00C20899"/>
    <w:rsid w:val="00C21DC3"/>
    <w:rsid w:val="00C222D1"/>
    <w:rsid w:val="00C22E48"/>
    <w:rsid w:val="00C23D8E"/>
    <w:rsid w:val="00C24A3B"/>
    <w:rsid w:val="00C24DD9"/>
    <w:rsid w:val="00C25318"/>
    <w:rsid w:val="00C2536A"/>
    <w:rsid w:val="00C25507"/>
    <w:rsid w:val="00C2583F"/>
    <w:rsid w:val="00C269BC"/>
    <w:rsid w:val="00C271C8"/>
    <w:rsid w:val="00C2781B"/>
    <w:rsid w:val="00C27986"/>
    <w:rsid w:val="00C27BC8"/>
    <w:rsid w:val="00C306C0"/>
    <w:rsid w:val="00C308BD"/>
    <w:rsid w:val="00C308D6"/>
    <w:rsid w:val="00C3266D"/>
    <w:rsid w:val="00C32BC4"/>
    <w:rsid w:val="00C331FC"/>
    <w:rsid w:val="00C3328D"/>
    <w:rsid w:val="00C33D6C"/>
    <w:rsid w:val="00C34017"/>
    <w:rsid w:val="00C344E1"/>
    <w:rsid w:val="00C34D97"/>
    <w:rsid w:val="00C34DDD"/>
    <w:rsid w:val="00C350C7"/>
    <w:rsid w:val="00C358A7"/>
    <w:rsid w:val="00C363F4"/>
    <w:rsid w:val="00C3661C"/>
    <w:rsid w:val="00C36BC7"/>
    <w:rsid w:val="00C36BCD"/>
    <w:rsid w:val="00C37458"/>
    <w:rsid w:val="00C37472"/>
    <w:rsid w:val="00C378B1"/>
    <w:rsid w:val="00C37E4C"/>
    <w:rsid w:val="00C400D0"/>
    <w:rsid w:val="00C408CE"/>
    <w:rsid w:val="00C4091B"/>
    <w:rsid w:val="00C41509"/>
    <w:rsid w:val="00C423C2"/>
    <w:rsid w:val="00C427F1"/>
    <w:rsid w:val="00C42B56"/>
    <w:rsid w:val="00C42D4E"/>
    <w:rsid w:val="00C42FB7"/>
    <w:rsid w:val="00C439AE"/>
    <w:rsid w:val="00C44099"/>
    <w:rsid w:val="00C4434B"/>
    <w:rsid w:val="00C456CC"/>
    <w:rsid w:val="00C45714"/>
    <w:rsid w:val="00C46449"/>
    <w:rsid w:val="00C466C1"/>
    <w:rsid w:val="00C46A35"/>
    <w:rsid w:val="00C47881"/>
    <w:rsid w:val="00C51A35"/>
    <w:rsid w:val="00C51C57"/>
    <w:rsid w:val="00C52277"/>
    <w:rsid w:val="00C5261F"/>
    <w:rsid w:val="00C53087"/>
    <w:rsid w:val="00C533B8"/>
    <w:rsid w:val="00C536C6"/>
    <w:rsid w:val="00C53A04"/>
    <w:rsid w:val="00C53EE9"/>
    <w:rsid w:val="00C54B01"/>
    <w:rsid w:val="00C54C35"/>
    <w:rsid w:val="00C550AC"/>
    <w:rsid w:val="00C554E5"/>
    <w:rsid w:val="00C55D2D"/>
    <w:rsid w:val="00C56076"/>
    <w:rsid w:val="00C56653"/>
    <w:rsid w:val="00C56AAD"/>
    <w:rsid w:val="00C60E18"/>
    <w:rsid w:val="00C61873"/>
    <w:rsid w:val="00C6190D"/>
    <w:rsid w:val="00C61B88"/>
    <w:rsid w:val="00C62376"/>
    <w:rsid w:val="00C6264B"/>
    <w:rsid w:val="00C62654"/>
    <w:rsid w:val="00C62B7D"/>
    <w:rsid w:val="00C63725"/>
    <w:rsid w:val="00C6519B"/>
    <w:rsid w:val="00C65F9A"/>
    <w:rsid w:val="00C669F0"/>
    <w:rsid w:val="00C66B65"/>
    <w:rsid w:val="00C66F6E"/>
    <w:rsid w:val="00C66FB0"/>
    <w:rsid w:val="00C673B7"/>
    <w:rsid w:val="00C67932"/>
    <w:rsid w:val="00C67A24"/>
    <w:rsid w:val="00C72511"/>
    <w:rsid w:val="00C72915"/>
    <w:rsid w:val="00C72A7C"/>
    <w:rsid w:val="00C7318E"/>
    <w:rsid w:val="00C73688"/>
    <w:rsid w:val="00C73B81"/>
    <w:rsid w:val="00C73FDC"/>
    <w:rsid w:val="00C74409"/>
    <w:rsid w:val="00C74BE2"/>
    <w:rsid w:val="00C74C9B"/>
    <w:rsid w:val="00C74E6E"/>
    <w:rsid w:val="00C75038"/>
    <w:rsid w:val="00C75750"/>
    <w:rsid w:val="00C75808"/>
    <w:rsid w:val="00C76A76"/>
    <w:rsid w:val="00C774C2"/>
    <w:rsid w:val="00C80147"/>
    <w:rsid w:val="00C80739"/>
    <w:rsid w:val="00C80AFE"/>
    <w:rsid w:val="00C817BA"/>
    <w:rsid w:val="00C81E26"/>
    <w:rsid w:val="00C81E65"/>
    <w:rsid w:val="00C82054"/>
    <w:rsid w:val="00C83102"/>
    <w:rsid w:val="00C83425"/>
    <w:rsid w:val="00C83CCA"/>
    <w:rsid w:val="00C840D5"/>
    <w:rsid w:val="00C84FB6"/>
    <w:rsid w:val="00C86E40"/>
    <w:rsid w:val="00C87389"/>
    <w:rsid w:val="00C878A4"/>
    <w:rsid w:val="00C87B46"/>
    <w:rsid w:val="00C90EDB"/>
    <w:rsid w:val="00C90F4D"/>
    <w:rsid w:val="00C91066"/>
    <w:rsid w:val="00C91743"/>
    <w:rsid w:val="00C91C82"/>
    <w:rsid w:val="00C91D86"/>
    <w:rsid w:val="00C921AA"/>
    <w:rsid w:val="00C924F9"/>
    <w:rsid w:val="00C93540"/>
    <w:rsid w:val="00C935F6"/>
    <w:rsid w:val="00C93DE8"/>
    <w:rsid w:val="00C95252"/>
    <w:rsid w:val="00C95947"/>
    <w:rsid w:val="00C959FB"/>
    <w:rsid w:val="00C968DE"/>
    <w:rsid w:val="00C968EB"/>
    <w:rsid w:val="00CA0322"/>
    <w:rsid w:val="00CA0480"/>
    <w:rsid w:val="00CA08CD"/>
    <w:rsid w:val="00CA16CF"/>
    <w:rsid w:val="00CA1D11"/>
    <w:rsid w:val="00CA207C"/>
    <w:rsid w:val="00CA29BC"/>
    <w:rsid w:val="00CA322C"/>
    <w:rsid w:val="00CA386C"/>
    <w:rsid w:val="00CA408F"/>
    <w:rsid w:val="00CA41D3"/>
    <w:rsid w:val="00CA4C78"/>
    <w:rsid w:val="00CA4E7F"/>
    <w:rsid w:val="00CA574C"/>
    <w:rsid w:val="00CA5BD9"/>
    <w:rsid w:val="00CA6087"/>
    <w:rsid w:val="00CA6506"/>
    <w:rsid w:val="00CA76C3"/>
    <w:rsid w:val="00CA794F"/>
    <w:rsid w:val="00CB0241"/>
    <w:rsid w:val="00CB0E5B"/>
    <w:rsid w:val="00CB1B56"/>
    <w:rsid w:val="00CB1FE4"/>
    <w:rsid w:val="00CB26C9"/>
    <w:rsid w:val="00CB3051"/>
    <w:rsid w:val="00CB3C7D"/>
    <w:rsid w:val="00CB3D5F"/>
    <w:rsid w:val="00CB3FB0"/>
    <w:rsid w:val="00CB57CD"/>
    <w:rsid w:val="00CB7414"/>
    <w:rsid w:val="00CB7605"/>
    <w:rsid w:val="00CB7701"/>
    <w:rsid w:val="00CC02DE"/>
    <w:rsid w:val="00CC31DF"/>
    <w:rsid w:val="00CC3267"/>
    <w:rsid w:val="00CC3BA3"/>
    <w:rsid w:val="00CC3C6E"/>
    <w:rsid w:val="00CC3C8A"/>
    <w:rsid w:val="00CC3CBE"/>
    <w:rsid w:val="00CC3F71"/>
    <w:rsid w:val="00CC4070"/>
    <w:rsid w:val="00CC4273"/>
    <w:rsid w:val="00CC4C00"/>
    <w:rsid w:val="00CC517C"/>
    <w:rsid w:val="00CC53D3"/>
    <w:rsid w:val="00CC5554"/>
    <w:rsid w:val="00CC6328"/>
    <w:rsid w:val="00CC70A9"/>
    <w:rsid w:val="00CC715A"/>
    <w:rsid w:val="00CC77F3"/>
    <w:rsid w:val="00CD0114"/>
    <w:rsid w:val="00CD044F"/>
    <w:rsid w:val="00CD2702"/>
    <w:rsid w:val="00CD2E89"/>
    <w:rsid w:val="00CD2FEB"/>
    <w:rsid w:val="00CD3236"/>
    <w:rsid w:val="00CD36CA"/>
    <w:rsid w:val="00CD3F4C"/>
    <w:rsid w:val="00CD43DF"/>
    <w:rsid w:val="00CD441D"/>
    <w:rsid w:val="00CD4584"/>
    <w:rsid w:val="00CD5689"/>
    <w:rsid w:val="00CD56E3"/>
    <w:rsid w:val="00CD572E"/>
    <w:rsid w:val="00CD5A5E"/>
    <w:rsid w:val="00CD6629"/>
    <w:rsid w:val="00CD6AFB"/>
    <w:rsid w:val="00CD6EF0"/>
    <w:rsid w:val="00CD6FCE"/>
    <w:rsid w:val="00CD7891"/>
    <w:rsid w:val="00CD7995"/>
    <w:rsid w:val="00CD7B71"/>
    <w:rsid w:val="00CE042F"/>
    <w:rsid w:val="00CE0449"/>
    <w:rsid w:val="00CE122A"/>
    <w:rsid w:val="00CE12AC"/>
    <w:rsid w:val="00CE15F3"/>
    <w:rsid w:val="00CE1A92"/>
    <w:rsid w:val="00CE1CE3"/>
    <w:rsid w:val="00CE1EC3"/>
    <w:rsid w:val="00CE1EF8"/>
    <w:rsid w:val="00CE2807"/>
    <w:rsid w:val="00CE2EBC"/>
    <w:rsid w:val="00CE30B7"/>
    <w:rsid w:val="00CE3655"/>
    <w:rsid w:val="00CE3AF0"/>
    <w:rsid w:val="00CE407D"/>
    <w:rsid w:val="00CE4A32"/>
    <w:rsid w:val="00CE4AF5"/>
    <w:rsid w:val="00CE4C2E"/>
    <w:rsid w:val="00CE59C6"/>
    <w:rsid w:val="00CE5C03"/>
    <w:rsid w:val="00CE6A0E"/>
    <w:rsid w:val="00CE752B"/>
    <w:rsid w:val="00CE7A03"/>
    <w:rsid w:val="00CF0BBD"/>
    <w:rsid w:val="00CF157E"/>
    <w:rsid w:val="00CF1BA1"/>
    <w:rsid w:val="00CF1BFA"/>
    <w:rsid w:val="00CF1C3C"/>
    <w:rsid w:val="00CF205D"/>
    <w:rsid w:val="00CF244B"/>
    <w:rsid w:val="00CF35E4"/>
    <w:rsid w:val="00CF3D5C"/>
    <w:rsid w:val="00CF653C"/>
    <w:rsid w:val="00CF6D0A"/>
    <w:rsid w:val="00CF7074"/>
    <w:rsid w:val="00CF75D4"/>
    <w:rsid w:val="00CF77FB"/>
    <w:rsid w:val="00CF7BCC"/>
    <w:rsid w:val="00D005E0"/>
    <w:rsid w:val="00D00755"/>
    <w:rsid w:val="00D008F6"/>
    <w:rsid w:val="00D010D8"/>
    <w:rsid w:val="00D01199"/>
    <w:rsid w:val="00D0154D"/>
    <w:rsid w:val="00D01EB4"/>
    <w:rsid w:val="00D021BF"/>
    <w:rsid w:val="00D03BAD"/>
    <w:rsid w:val="00D03E61"/>
    <w:rsid w:val="00D04563"/>
    <w:rsid w:val="00D05531"/>
    <w:rsid w:val="00D059CC"/>
    <w:rsid w:val="00D05A51"/>
    <w:rsid w:val="00D061ED"/>
    <w:rsid w:val="00D06598"/>
    <w:rsid w:val="00D07313"/>
    <w:rsid w:val="00D07791"/>
    <w:rsid w:val="00D079AC"/>
    <w:rsid w:val="00D07B37"/>
    <w:rsid w:val="00D104EC"/>
    <w:rsid w:val="00D10B98"/>
    <w:rsid w:val="00D11992"/>
    <w:rsid w:val="00D11F0F"/>
    <w:rsid w:val="00D1275E"/>
    <w:rsid w:val="00D12F45"/>
    <w:rsid w:val="00D14DB1"/>
    <w:rsid w:val="00D14F0D"/>
    <w:rsid w:val="00D150EB"/>
    <w:rsid w:val="00D15261"/>
    <w:rsid w:val="00D1638E"/>
    <w:rsid w:val="00D16D76"/>
    <w:rsid w:val="00D16ED8"/>
    <w:rsid w:val="00D1796A"/>
    <w:rsid w:val="00D17C19"/>
    <w:rsid w:val="00D17E53"/>
    <w:rsid w:val="00D2119C"/>
    <w:rsid w:val="00D21319"/>
    <w:rsid w:val="00D2142B"/>
    <w:rsid w:val="00D22462"/>
    <w:rsid w:val="00D22C59"/>
    <w:rsid w:val="00D22E55"/>
    <w:rsid w:val="00D231E9"/>
    <w:rsid w:val="00D23539"/>
    <w:rsid w:val="00D24164"/>
    <w:rsid w:val="00D256D2"/>
    <w:rsid w:val="00D25931"/>
    <w:rsid w:val="00D25ACF"/>
    <w:rsid w:val="00D2742F"/>
    <w:rsid w:val="00D276F0"/>
    <w:rsid w:val="00D27A9C"/>
    <w:rsid w:val="00D27BFA"/>
    <w:rsid w:val="00D27C4D"/>
    <w:rsid w:val="00D30AE3"/>
    <w:rsid w:val="00D30CC3"/>
    <w:rsid w:val="00D311CF"/>
    <w:rsid w:val="00D31348"/>
    <w:rsid w:val="00D31B30"/>
    <w:rsid w:val="00D320A7"/>
    <w:rsid w:val="00D322A8"/>
    <w:rsid w:val="00D32335"/>
    <w:rsid w:val="00D323E3"/>
    <w:rsid w:val="00D32EC9"/>
    <w:rsid w:val="00D33B05"/>
    <w:rsid w:val="00D33E32"/>
    <w:rsid w:val="00D33F2E"/>
    <w:rsid w:val="00D33FD9"/>
    <w:rsid w:val="00D3457C"/>
    <w:rsid w:val="00D357F0"/>
    <w:rsid w:val="00D37410"/>
    <w:rsid w:val="00D4013D"/>
    <w:rsid w:val="00D401AF"/>
    <w:rsid w:val="00D414F9"/>
    <w:rsid w:val="00D41502"/>
    <w:rsid w:val="00D4167B"/>
    <w:rsid w:val="00D416E5"/>
    <w:rsid w:val="00D42621"/>
    <w:rsid w:val="00D428B3"/>
    <w:rsid w:val="00D42F9F"/>
    <w:rsid w:val="00D431C4"/>
    <w:rsid w:val="00D444D8"/>
    <w:rsid w:val="00D45926"/>
    <w:rsid w:val="00D45F89"/>
    <w:rsid w:val="00D460B0"/>
    <w:rsid w:val="00D46CC6"/>
    <w:rsid w:val="00D46DAD"/>
    <w:rsid w:val="00D47128"/>
    <w:rsid w:val="00D471FE"/>
    <w:rsid w:val="00D475F5"/>
    <w:rsid w:val="00D47AEE"/>
    <w:rsid w:val="00D501B5"/>
    <w:rsid w:val="00D50338"/>
    <w:rsid w:val="00D51612"/>
    <w:rsid w:val="00D51650"/>
    <w:rsid w:val="00D5297C"/>
    <w:rsid w:val="00D52D4F"/>
    <w:rsid w:val="00D53095"/>
    <w:rsid w:val="00D53C35"/>
    <w:rsid w:val="00D54644"/>
    <w:rsid w:val="00D54A94"/>
    <w:rsid w:val="00D557D5"/>
    <w:rsid w:val="00D55C59"/>
    <w:rsid w:val="00D5682E"/>
    <w:rsid w:val="00D570DF"/>
    <w:rsid w:val="00D572F6"/>
    <w:rsid w:val="00D575D5"/>
    <w:rsid w:val="00D57B16"/>
    <w:rsid w:val="00D57DBA"/>
    <w:rsid w:val="00D57F9C"/>
    <w:rsid w:val="00D6180D"/>
    <w:rsid w:val="00D61E9C"/>
    <w:rsid w:val="00D622EA"/>
    <w:rsid w:val="00D62905"/>
    <w:rsid w:val="00D62B37"/>
    <w:rsid w:val="00D63712"/>
    <w:rsid w:val="00D63C22"/>
    <w:rsid w:val="00D64FE0"/>
    <w:rsid w:val="00D65CC4"/>
    <w:rsid w:val="00D6706B"/>
    <w:rsid w:val="00D67B5E"/>
    <w:rsid w:val="00D703C9"/>
    <w:rsid w:val="00D71700"/>
    <w:rsid w:val="00D71795"/>
    <w:rsid w:val="00D71AA0"/>
    <w:rsid w:val="00D73642"/>
    <w:rsid w:val="00D74258"/>
    <w:rsid w:val="00D7435E"/>
    <w:rsid w:val="00D74E6C"/>
    <w:rsid w:val="00D7505B"/>
    <w:rsid w:val="00D755A2"/>
    <w:rsid w:val="00D7703D"/>
    <w:rsid w:val="00D77244"/>
    <w:rsid w:val="00D8179C"/>
    <w:rsid w:val="00D821B5"/>
    <w:rsid w:val="00D821C3"/>
    <w:rsid w:val="00D82E25"/>
    <w:rsid w:val="00D836E5"/>
    <w:rsid w:val="00D854EB"/>
    <w:rsid w:val="00D85703"/>
    <w:rsid w:val="00D85DE1"/>
    <w:rsid w:val="00D8615D"/>
    <w:rsid w:val="00D865B3"/>
    <w:rsid w:val="00D86E06"/>
    <w:rsid w:val="00D87458"/>
    <w:rsid w:val="00D87888"/>
    <w:rsid w:val="00D87A1C"/>
    <w:rsid w:val="00D905B9"/>
    <w:rsid w:val="00D9081A"/>
    <w:rsid w:val="00D919BB"/>
    <w:rsid w:val="00D91E97"/>
    <w:rsid w:val="00D936C1"/>
    <w:rsid w:val="00D939C3"/>
    <w:rsid w:val="00D942A2"/>
    <w:rsid w:val="00D9468A"/>
    <w:rsid w:val="00D95F01"/>
    <w:rsid w:val="00D95FBF"/>
    <w:rsid w:val="00D97119"/>
    <w:rsid w:val="00D972A1"/>
    <w:rsid w:val="00D97A9C"/>
    <w:rsid w:val="00DA01D3"/>
    <w:rsid w:val="00DA0606"/>
    <w:rsid w:val="00DA0A33"/>
    <w:rsid w:val="00DA149E"/>
    <w:rsid w:val="00DA2F51"/>
    <w:rsid w:val="00DA37D6"/>
    <w:rsid w:val="00DA3979"/>
    <w:rsid w:val="00DA4D43"/>
    <w:rsid w:val="00DA5433"/>
    <w:rsid w:val="00DA5F42"/>
    <w:rsid w:val="00DA6058"/>
    <w:rsid w:val="00DA6516"/>
    <w:rsid w:val="00DA7510"/>
    <w:rsid w:val="00DA789D"/>
    <w:rsid w:val="00DB084C"/>
    <w:rsid w:val="00DB0A1A"/>
    <w:rsid w:val="00DB0B3F"/>
    <w:rsid w:val="00DB1755"/>
    <w:rsid w:val="00DB1891"/>
    <w:rsid w:val="00DB1973"/>
    <w:rsid w:val="00DB1B51"/>
    <w:rsid w:val="00DB1E5D"/>
    <w:rsid w:val="00DB275A"/>
    <w:rsid w:val="00DB29C8"/>
    <w:rsid w:val="00DB39E4"/>
    <w:rsid w:val="00DB3A52"/>
    <w:rsid w:val="00DB3C39"/>
    <w:rsid w:val="00DB414A"/>
    <w:rsid w:val="00DB42B4"/>
    <w:rsid w:val="00DB493B"/>
    <w:rsid w:val="00DB4B6D"/>
    <w:rsid w:val="00DB500B"/>
    <w:rsid w:val="00DB5BC2"/>
    <w:rsid w:val="00DB621A"/>
    <w:rsid w:val="00DB65D3"/>
    <w:rsid w:val="00DB6AE4"/>
    <w:rsid w:val="00DB6E10"/>
    <w:rsid w:val="00DB72C5"/>
    <w:rsid w:val="00DB7B97"/>
    <w:rsid w:val="00DC0162"/>
    <w:rsid w:val="00DC033E"/>
    <w:rsid w:val="00DC0881"/>
    <w:rsid w:val="00DC0A6E"/>
    <w:rsid w:val="00DC0ADC"/>
    <w:rsid w:val="00DC0CA5"/>
    <w:rsid w:val="00DC0FE9"/>
    <w:rsid w:val="00DC2231"/>
    <w:rsid w:val="00DC2509"/>
    <w:rsid w:val="00DC2669"/>
    <w:rsid w:val="00DC27A4"/>
    <w:rsid w:val="00DC3889"/>
    <w:rsid w:val="00DC394D"/>
    <w:rsid w:val="00DC47E0"/>
    <w:rsid w:val="00DC6F86"/>
    <w:rsid w:val="00DC72F3"/>
    <w:rsid w:val="00DC770F"/>
    <w:rsid w:val="00DD088D"/>
    <w:rsid w:val="00DD1BBC"/>
    <w:rsid w:val="00DD1F0A"/>
    <w:rsid w:val="00DD2D2D"/>
    <w:rsid w:val="00DD33DD"/>
    <w:rsid w:val="00DD349F"/>
    <w:rsid w:val="00DD3798"/>
    <w:rsid w:val="00DD3954"/>
    <w:rsid w:val="00DD3A4C"/>
    <w:rsid w:val="00DD3B58"/>
    <w:rsid w:val="00DD3E1B"/>
    <w:rsid w:val="00DD44FD"/>
    <w:rsid w:val="00DD4D46"/>
    <w:rsid w:val="00DD57F7"/>
    <w:rsid w:val="00DD5B8C"/>
    <w:rsid w:val="00DD63C5"/>
    <w:rsid w:val="00DD70C3"/>
    <w:rsid w:val="00DD722C"/>
    <w:rsid w:val="00DE0344"/>
    <w:rsid w:val="00DE06B5"/>
    <w:rsid w:val="00DE1AF0"/>
    <w:rsid w:val="00DE29A8"/>
    <w:rsid w:val="00DE2A98"/>
    <w:rsid w:val="00DE3351"/>
    <w:rsid w:val="00DE447D"/>
    <w:rsid w:val="00DE4E31"/>
    <w:rsid w:val="00DE52C1"/>
    <w:rsid w:val="00DE58A1"/>
    <w:rsid w:val="00DE5B89"/>
    <w:rsid w:val="00DE5C48"/>
    <w:rsid w:val="00DE5EBC"/>
    <w:rsid w:val="00DE625F"/>
    <w:rsid w:val="00DE6653"/>
    <w:rsid w:val="00DE6951"/>
    <w:rsid w:val="00DE7A9A"/>
    <w:rsid w:val="00DE7BCF"/>
    <w:rsid w:val="00DF0AF7"/>
    <w:rsid w:val="00DF113B"/>
    <w:rsid w:val="00DF12C3"/>
    <w:rsid w:val="00DF166D"/>
    <w:rsid w:val="00DF1983"/>
    <w:rsid w:val="00DF2109"/>
    <w:rsid w:val="00DF34CC"/>
    <w:rsid w:val="00DF4110"/>
    <w:rsid w:val="00DF4A75"/>
    <w:rsid w:val="00DF4C05"/>
    <w:rsid w:val="00DF528F"/>
    <w:rsid w:val="00DF5317"/>
    <w:rsid w:val="00DF5761"/>
    <w:rsid w:val="00DF586A"/>
    <w:rsid w:val="00DF5F9C"/>
    <w:rsid w:val="00DF64F5"/>
    <w:rsid w:val="00DF6A35"/>
    <w:rsid w:val="00DF6E36"/>
    <w:rsid w:val="00E00537"/>
    <w:rsid w:val="00E008D2"/>
    <w:rsid w:val="00E0144A"/>
    <w:rsid w:val="00E02743"/>
    <w:rsid w:val="00E0369D"/>
    <w:rsid w:val="00E038E5"/>
    <w:rsid w:val="00E03BF3"/>
    <w:rsid w:val="00E03C79"/>
    <w:rsid w:val="00E040A0"/>
    <w:rsid w:val="00E04396"/>
    <w:rsid w:val="00E0443A"/>
    <w:rsid w:val="00E048D6"/>
    <w:rsid w:val="00E05A7B"/>
    <w:rsid w:val="00E05FB1"/>
    <w:rsid w:val="00E06541"/>
    <w:rsid w:val="00E06DA1"/>
    <w:rsid w:val="00E07BE4"/>
    <w:rsid w:val="00E07E5E"/>
    <w:rsid w:val="00E100BA"/>
    <w:rsid w:val="00E10EBA"/>
    <w:rsid w:val="00E11938"/>
    <w:rsid w:val="00E1196A"/>
    <w:rsid w:val="00E11AFD"/>
    <w:rsid w:val="00E12B6C"/>
    <w:rsid w:val="00E12CDB"/>
    <w:rsid w:val="00E12CF8"/>
    <w:rsid w:val="00E1301F"/>
    <w:rsid w:val="00E13327"/>
    <w:rsid w:val="00E13629"/>
    <w:rsid w:val="00E1432B"/>
    <w:rsid w:val="00E14AEF"/>
    <w:rsid w:val="00E14D47"/>
    <w:rsid w:val="00E14D64"/>
    <w:rsid w:val="00E152CE"/>
    <w:rsid w:val="00E15E98"/>
    <w:rsid w:val="00E15FD8"/>
    <w:rsid w:val="00E16949"/>
    <w:rsid w:val="00E16D70"/>
    <w:rsid w:val="00E16F8B"/>
    <w:rsid w:val="00E17577"/>
    <w:rsid w:val="00E17CDB"/>
    <w:rsid w:val="00E17E15"/>
    <w:rsid w:val="00E2089E"/>
    <w:rsid w:val="00E20BDD"/>
    <w:rsid w:val="00E20C15"/>
    <w:rsid w:val="00E20F60"/>
    <w:rsid w:val="00E211AA"/>
    <w:rsid w:val="00E213B2"/>
    <w:rsid w:val="00E220F9"/>
    <w:rsid w:val="00E225FE"/>
    <w:rsid w:val="00E22D2E"/>
    <w:rsid w:val="00E232A5"/>
    <w:rsid w:val="00E23412"/>
    <w:rsid w:val="00E237D4"/>
    <w:rsid w:val="00E23BAB"/>
    <w:rsid w:val="00E23BC3"/>
    <w:rsid w:val="00E23C4E"/>
    <w:rsid w:val="00E25269"/>
    <w:rsid w:val="00E254FB"/>
    <w:rsid w:val="00E264C4"/>
    <w:rsid w:val="00E264CD"/>
    <w:rsid w:val="00E26A23"/>
    <w:rsid w:val="00E26CAE"/>
    <w:rsid w:val="00E26D26"/>
    <w:rsid w:val="00E2761E"/>
    <w:rsid w:val="00E27EED"/>
    <w:rsid w:val="00E3051A"/>
    <w:rsid w:val="00E310F6"/>
    <w:rsid w:val="00E31547"/>
    <w:rsid w:val="00E3196E"/>
    <w:rsid w:val="00E31EEF"/>
    <w:rsid w:val="00E3224E"/>
    <w:rsid w:val="00E330BA"/>
    <w:rsid w:val="00E33364"/>
    <w:rsid w:val="00E33B5A"/>
    <w:rsid w:val="00E33D31"/>
    <w:rsid w:val="00E346FF"/>
    <w:rsid w:val="00E347D8"/>
    <w:rsid w:val="00E34AD5"/>
    <w:rsid w:val="00E34C3B"/>
    <w:rsid w:val="00E350D9"/>
    <w:rsid w:val="00E35FDC"/>
    <w:rsid w:val="00E36300"/>
    <w:rsid w:val="00E36BE5"/>
    <w:rsid w:val="00E372EA"/>
    <w:rsid w:val="00E376A8"/>
    <w:rsid w:val="00E37908"/>
    <w:rsid w:val="00E37FEB"/>
    <w:rsid w:val="00E40BDB"/>
    <w:rsid w:val="00E40CCF"/>
    <w:rsid w:val="00E43641"/>
    <w:rsid w:val="00E44308"/>
    <w:rsid w:val="00E445B6"/>
    <w:rsid w:val="00E44668"/>
    <w:rsid w:val="00E44A16"/>
    <w:rsid w:val="00E4575A"/>
    <w:rsid w:val="00E4622E"/>
    <w:rsid w:val="00E463C9"/>
    <w:rsid w:val="00E464B7"/>
    <w:rsid w:val="00E467FD"/>
    <w:rsid w:val="00E47A43"/>
    <w:rsid w:val="00E47C25"/>
    <w:rsid w:val="00E47D8D"/>
    <w:rsid w:val="00E5087F"/>
    <w:rsid w:val="00E513BC"/>
    <w:rsid w:val="00E516E8"/>
    <w:rsid w:val="00E51E46"/>
    <w:rsid w:val="00E51F62"/>
    <w:rsid w:val="00E52601"/>
    <w:rsid w:val="00E52C34"/>
    <w:rsid w:val="00E52E9A"/>
    <w:rsid w:val="00E53B63"/>
    <w:rsid w:val="00E53C42"/>
    <w:rsid w:val="00E5475A"/>
    <w:rsid w:val="00E54F76"/>
    <w:rsid w:val="00E56A1B"/>
    <w:rsid w:val="00E56B25"/>
    <w:rsid w:val="00E573AD"/>
    <w:rsid w:val="00E57E3C"/>
    <w:rsid w:val="00E60467"/>
    <w:rsid w:val="00E609F0"/>
    <w:rsid w:val="00E6120C"/>
    <w:rsid w:val="00E62418"/>
    <w:rsid w:val="00E6282B"/>
    <w:rsid w:val="00E62BE5"/>
    <w:rsid w:val="00E62BF6"/>
    <w:rsid w:val="00E62DBD"/>
    <w:rsid w:val="00E63229"/>
    <w:rsid w:val="00E64D84"/>
    <w:rsid w:val="00E64F98"/>
    <w:rsid w:val="00E650B8"/>
    <w:rsid w:val="00E65113"/>
    <w:rsid w:val="00E66FEA"/>
    <w:rsid w:val="00E67727"/>
    <w:rsid w:val="00E67A4E"/>
    <w:rsid w:val="00E67E54"/>
    <w:rsid w:val="00E70CBF"/>
    <w:rsid w:val="00E71014"/>
    <w:rsid w:val="00E721D2"/>
    <w:rsid w:val="00E72BF3"/>
    <w:rsid w:val="00E72FAC"/>
    <w:rsid w:val="00E733B6"/>
    <w:rsid w:val="00E73995"/>
    <w:rsid w:val="00E73A3F"/>
    <w:rsid w:val="00E75145"/>
    <w:rsid w:val="00E75914"/>
    <w:rsid w:val="00E76324"/>
    <w:rsid w:val="00E763D3"/>
    <w:rsid w:val="00E77B23"/>
    <w:rsid w:val="00E77E1E"/>
    <w:rsid w:val="00E80602"/>
    <w:rsid w:val="00E80E9C"/>
    <w:rsid w:val="00E8147F"/>
    <w:rsid w:val="00E82095"/>
    <w:rsid w:val="00E82459"/>
    <w:rsid w:val="00E832EC"/>
    <w:rsid w:val="00E83742"/>
    <w:rsid w:val="00E83930"/>
    <w:rsid w:val="00E842FC"/>
    <w:rsid w:val="00E84F18"/>
    <w:rsid w:val="00E85D5B"/>
    <w:rsid w:val="00E85E34"/>
    <w:rsid w:val="00E8631F"/>
    <w:rsid w:val="00E86A36"/>
    <w:rsid w:val="00E90194"/>
    <w:rsid w:val="00E90724"/>
    <w:rsid w:val="00E91439"/>
    <w:rsid w:val="00E91598"/>
    <w:rsid w:val="00E91C70"/>
    <w:rsid w:val="00E92797"/>
    <w:rsid w:val="00E92B15"/>
    <w:rsid w:val="00E92F63"/>
    <w:rsid w:val="00E92FE2"/>
    <w:rsid w:val="00E9356B"/>
    <w:rsid w:val="00E9382B"/>
    <w:rsid w:val="00E93BE8"/>
    <w:rsid w:val="00E93E03"/>
    <w:rsid w:val="00E94152"/>
    <w:rsid w:val="00E94417"/>
    <w:rsid w:val="00E958BD"/>
    <w:rsid w:val="00E95E98"/>
    <w:rsid w:val="00E961B3"/>
    <w:rsid w:val="00E963ED"/>
    <w:rsid w:val="00E96558"/>
    <w:rsid w:val="00E97159"/>
    <w:rsid w:val="00EA02EF"/>
    <w:rsid w:val="00EA114D"/>
    <w:rsid w:val="00EA2F5E"/>
    <w:rsid w:val="00EA3251"/>
    <w:rsid w:val="00EA33C4"/>
    <w:rsid w:val="00EA352E"/>
    <w:rsid w:val="00EA5117"/>
    <w:rsid w:val="00EA524B"/>
    <w:rsid w:val="00EA61A3"/>
    <w:rsid w:val="00EA71C4"/>
    <w:rsid w:val="00EA744F"/>
    <w:rsid w:val="00EA787F"/>
    <w:rsid w:val="00EA7901"/>
    <w:rsid w:val="00EA7BB4"/>
    <w:rsid w:val="00EA7EC8"/>
    <w:rsid w:val="00EB062A"/>
    <w:rsid w:val="00EB065C"/>
    <w:rsid w:val="00EB0D00"/>
    <w:rsid w:val="00EB11DE"/>
    <w:rsid w:val="00EB267E"/>
    <w:rsid w:val="00EB281F"/>
    <w:rsid w:val="00EB2F46"/>
    <w:rsid w:val="00EB2F4A"/>
    <w:rsid w:val="00EB3173"/>
    <w:rsid w:val="00EB33CF"/>
    <w:rsid w:val="00EB4C17"/>
    <w:rsid w:val="00EB5811"/>
    <w:rsid w:val="00EB5D91"/>
    <w:rsid w:val="00EB6212"/>
    <w:rsid w:val="00EB6C4B"/>
    <w:rsid w:val="00EB6DAC"/>
    <w:rsid w:val="00EB72AD"/>
    <w:rsid w:val="00EB7DEB"/>
    <w:rsid w:val="00EC0049"/>
    <w:rsid w:val="00EC0414"/>
    <w:rsid w:val="00EC0B39"/>
    <w:rsid w:val="00EC1322"/>
    <w:rsid w:val="00EC2C0B"/>
    <w:rsid w:val="00EC2DC5"/>
    <w:rsid w:val="00EC344C"/>
    <w:rsid w:val="00EC3670"/>
    <w:rsid w:val="00EC416A"/>
    <w:rsid w:val="00EC4240"/>
    <w:rsid w:val="00EC570D"/>
    <w:rsid w:val="00EC5BF9"/>
    <w:rsid w:val="00EC5DCD"/>
    <w:rsid w:val="00EC6439"/>
    <w:rsid w:val="00EC667D"/>
    <w:rsid w:val="00EC7A09"/>
    <w:rsid w:val="00ED0786"/>
    <w:rsid w:val="00ED0B37"/>
    <w:rsid w:val="00ED0F7A"/>
    <w:rsid w:val="00ED1010"/>
    <w:rsid w:val="00ED1A7A"/>
    <w:rsid w:val="00ED1DA7"/>
    <w:rsid w:val="00ED3AA9"/>
    <w:rsid w:val="00ED40D8"/>
    <w:rsid w:val="00ED42AA"/>
    <w:rsid w:val="00ED4A2F"/>
    <w:rsid w:val="00ED55EE"/>
    <w:rsid w:val="00ED5F7C"/>
    <w:rsid w:val="00ED6FD3"/>
    <w:rsid w:val="00ED6FDB"/>
    <w:rsid w:val="00ED7DCE"/>
    <w:rsid w:val="00EE063E"/>
    <w:rsid w:val="00EE081F"/>
    <w:rsid w:val="00EE2520"/>
    <w:rsid w:val="00EE2B6D"/>
    <w:rsid w:val="00EE3397"/>
    <w:rsid w:val="00EE33BB"/>
    <w:rsid w:val="00EE3719"/>
    <w:rsid w:val="00EE4484"/>
    <w:rsid w:val="00EE4EC9"/>
    <w:rsid w:val="00EE5754"/>
    <w:rsid w:val="00EE5C94"/>
    <w:rsid w:val="00EE6C40"/>
    <w:rsid w:val="00EE7286"/>
    <w:rsid w:val="00EE7A41"/>
    <w:rsid w:val="00EF1977"/>
    <w:rsid w:val="00EF1DF7"/>
    <w:rsid w:val="00EF1E19"/>
    <w:rsid w:val="00EF2B9D"/>
    <w:rsid w:val="00EF2E05"/>
    <w:rsid w:val="00EF2FC6"/>
    <w:rsid w:val="00EF3593"/>
    <w:rsid w:val="00EF3821"/>
    <w:rsid w:val="00EF3E9A"/>
    <w:rsid w:val="00EF43D7"/>
    <w:rsid w:val="00EF6FF1"/>
    <w:rsid w:val="00EF712B"/>
    <w:rsid w:val="00EF73F6"/>
    <w:rsid w:val="00EF76F2"/>
    <w:rsid w:val="00F0003D"/>
    <w:rsid w:val="00F0031D"/>
    <w:rsid w:val="00F009AC"/>
    <w:rsid w:val="00F00F55"/>
    <w:rsid w:val="00F018E6"/>
    <w:rsid w:val="00F01CED"/>
    <w:rsid w:val="00F01E12"/>
    <w:rsid w:val="00F02EA0"/>
    <w:rsid w:val="00F040EE"/>
    <w:rsid w:val="00F0414E"/>
    <w:rsid w:val="00F04AEA"/>
    <w:rsid w:val="00F04C1E"/>
    <w:rsid w:val="00F04E63"/>
    <w:rsid w:val="00F06603"/>
    <w:rsid w:val="00F0662D"/>
    <w:rsid w:val="00F06ECB"/>
    <w:rsid w:val="00F07F96"/>
    <w:rsid w:val="00F1027D"/>
    <w:rsid w:val="00F10529"/>
    <w:rsid w:val="00F10653"/>
    <w:rsid w:val="00F10805"/>
    <w:rsid w:val="00F10BCE"/>
    <w:rsid w:val="00F11290"/>
    <w:rsid w:val="00F1187D"/>
    <w:rsid w:val="00F12094"/>
    <w:rsid w:val="00F12C32"/>
    <w:rsid w:val="00F14352"/>
    <w:rsid w:val="00F14B4B"/>
    <w:rsid w:val="00F15BB4"/>
    <w:rsid w:val="00F16456"/>
    <w:rsid w:val="00F17E69"/>
    <w:rsid w:val="00F20FA2"/>
    <w:rsid w:val="00F21564"/>
    <w:rsid w:val="00F22138"/>
    <w:rsid w:val="00F22254"/>
    <w:rsid w:val="00F226E6"/>
    <w:rsid w:val="00F22A44"/>
    <w:rsid w:val="00F22F90"/>
    <w:rsid w:val="00F22FD1"/>
    <w:rsid w:val="00F2317F"/>
    <w:rsid w:val="00F2344D"/>
    <w:rsid w:val="00F23592"/>
    <w:rsid w:val="00F236DF"/>
    <w:rsid w:val="00F241FA"/>
    <w:rsid w:val="00F24378"/>
    <w:rsid w:val="00F24DBD"/>
    <w:rsid w:val="00F255C6"/>
    <w:rsid w:val="00F2597C"/>
    <w:rsid w:val="00F25A41"/>
    <w:rsid w:val="00F25DBB"/>
    <w:rsid w:val="00F26056"/>
    <w:rsid w:val="00F26988"/>
    <w:rsid w:val="00F26A52"/>
    <w:rsid w:val="00F3012A"/>
    <w:rsid w:val="00F3012C"/>
    <w:rsid w:val="00F302E9"/>
    <w:rsid w:val="00F306B2"/>
    <w:rsid w:val="00F321F2"/>
    <w:rsid w:val="00F32478"/>
    <w:rsid w:val="00F33325"/>
    <w:rsid w:val="00F33AAF"/>
    <w:rsid w:val="00F349EB"/>
    <w:rsid w:val="00F35158"/>
    <w:rsid w:val="00F35C22"/>
    <w:rsid w:val="00F36783"/>
    <w:rsid w:val="00F36859"/>
    <w:rsid w:val="00F36AAE"/>
    <w:rsid w:val="00F3731D"/>
    <w:rsid w:val="00F40670"/>
    <w:rsid w:val="00F40BF5"/>
    <w:rsid w:val="00F40E81"/>
    <w:rsid w:val="00F410EF"/>
    <w:rsid w:val="00F41710"/>
    <w:rsid w:val="00F41BD0"/>
    <w:rsid w:val="00F422CC"/>
    <w:rsid w:val="00F4273F"/>
    <w:rsid w:val="00F42F89"/>
    <w:rsid w:val="00F43042"/>
    <w:rsid w:val="00F433E4"/>
    <w:rsid w:val="00F433F4"/>
    <w:rsid w:val="00F441DB"/>
    <w:rsid w:val="00F4662B"/>
    <w:rsid w:val="00F46B46"/>
    <w:rsid w:val="00F47341"/>
    <w:rsid w:val="00F47648"/>
    <w:rsid w:val="00F47694"/>
    <w:rsid w:val="00F5059C"/>
    <w:rsid w:val="00F505D8"/>
    <w:rsid w:val="00F50769"/>
    <w:rsid w:val="00F512F0"/>
    <w:rsid w:val="00F522C5"/>
    <w:rsid w:val="00F526E1"/>
    <w:rsid w:val="00F528CE"/>
    <w:rsid w:val="00F53478"/>
    <w:rsid w:val="00F542CF"/>
    <w:rsid w:val="00F54653"/>
    <w:rsid w:val="00F547FA"/>
    <w:rsid w:val="00F54BF3"/>
    <w:rsid w:val="00F54CA1"/>
    <w:rsid w:val="00F5513C"/>
    <w:rsid w:val="00F55CF4"/>
    <w:rsid w:val="00F56163"/>
    <w:rsid w:val="00F565F4"/>
    <w:rsid w:val="00F56AD7"/>
    <w:rsid w:val="00F56B6B"/>
    <w:rsid w:val="00F56B6C"/>
    <w:rsid w:val="00F56D31"/>
    <w:rsid w:val="00F576FD"/>
    <w:rsid w:val="00F60032"/>
    <w:rsid w:val="00F606CC"/>
    <w:rsid w:val="00F60C78"/>
    <w:rsid w:val="00F60D3B"/>
    <w:rsid w:val="00F60EF0"/>
    <w:rsid w:val="00F61233"/>
    <w:rsid w:val="00F616DC"/>
    <w:rsid w:val="00F61B90"/>
    <w:rsid w:val="00F61C10"/>
    <w:rsid w:val="00F61E6D"/>
    <w:rsid w:val="00F62029"/>
    <w:rsid w:val="00F6288D"/>
    <w:rsid w:val="00F630AC"/>
    <w:rsid w:val="00F633F0"/>
    <w:rsid w:val="00F6379D"/>
    <w:rsid w:val="00F63C4F"/>
    <w:rsid w:val="00F64175"/>
    <w:rsid w:val="00F6419B"/>
    <w:rsid w:val="00F64461"/>
    <w:rsid w:val="00F64978"/>
    <w:rsid w:val="00F65E91"/>
    <w:rsid w:val="00F662C2"/>
    <w:rsid w:val="00F6647B"/>
    <w:rsid w:val="00F664A7"/>
    <w:rsid w:val="00F668C0"/>
    <w:rsid w:val="00F66A8F"/>
    <w:rsid w:val="00F66CB2"/>
    <w:rsid w:val="00F67222"/>
    <w:rsid w:val="00F6745D"/>
    <w:rsid w:val="00F67587"/>
    <w:rsid w:val="00F67618"/>
    <w:rsid w:val="00F67F28"/>
    <w:rsid w:val="00F71BE5"/>
    <w:rsid w:val="00F72399"/>
    <w:rsid w:val="00F72731"/>
    <w:rsid w:val="00F72AB0"/>
    <w:rsid w:val="00F72C29"/>
    <w:rsid w:val="00F730E8"/>
    <w:rsid w:val="00F731ED"/>
    <w:rsid w:val="00F73790"/>
    <w:rsid w:val="00F74AC1"/>
    <w:rsid w:val="00F74F9F"/>
    <w:rsid w:val="00F75822"/>
    <w:rsid w:val="00F758EE"/>
    <w:rsid w:val="00F76135"/>
    <w:rsid w:val="00F770E1"/>
    <w:rsid w:val="00F77FDB"/>
    <w:rsid w:val="00F801F9"/>
    <w:rsid w:val="00F80F37"/>
    <w:rsid w:val="00F82CAC"/>
    <w:rsid w:val="00F8331D"/>
    <w:rsid w:val="00F83A15"/>
    <w:rsid w:val="00F8474A"/>
    <w:rsid w:val="00F847AB"/>
    <w:rsid w:val="00F850E0"/>
    <w:rsid w:val="00F85337"/>
    <w:rsid w:val="00F85978"/>
    <w:rsid w:val="00F85FA8"/>
    <w:rsid w:val="00F8623F"/>
    <w:rsid w:val="00F863E3"/>
    <w:rsid w:val="00F86778"/>
    <w:rsid w:val="00F8680E"/>
    <w:rsid w:val="00F87342"/>
    <w:rsid w:val="00F87B3F"/>
    <w:rsid w:val="00F90CAF"/>
    <w:rsid w:val="00F910F0"/>
    <w:rsid w:val="00F915ED"/>
    <w:rsid w:val="00F91E22"/>
    <w:rsid w:val="00F91F1D"/>
    <w:rsid w:val="00F927F5"/>
    <w:rsid w:val="00F92F22"/>
    <w:rsid w:val="00F93070"/>
    <w:rsid w:val="00F93469"/>
    <w:rsid w:val="00F9374B"/>
    <w:rsid w:val="00F939E7"/>
    <w:rsid w:val="00F93C1B"/>
    <w:rsid w:val="00F94095"/>
    <w:rsid w:val="00F943F3"/>
    <w:rsid w:val="00F945D4"/>
    <w:rsid w:val="00F94BC5"/>
    <w:rsid w:val="00F94DBB"/>
    <w:rsid w:val="00F958B1"/>
    <w:rsid w:val="00F95C7F"/>
    <w:rsid w:val="00F96538"/>
    <w:rsid w:val="00F9694D"/>
    <w:rsid w:val="00F96986"/>
    <w:rsid w:val="00F977E8"/>
    <w:rsid w:val="00FA0054"/>
    <w:rsid w:val="00FA0095"/>
    <w:rsid w:val="00FA1B45"/>
    <w:rsid w:val="00FA1BB7"/>
    <w:rsid w:val="00FA212D"/>
    <w:rsid w:val="00FA25FE"/>
    <w:rsid w:val="00FA307E"/>
    <w:rsid w:val="00FA34A1"/>
    <w:rsid w:val="00FA369B"/>
    <w:rsid w:val="00FA3BD3"/>
    <w:rsid w:val="00FA3D67"/>
    <w:rsid w:val="00FA509C"/>
    <w:rsid w:val="00FA51AF"/>
    <w:rsid w:val="00FA53EA"/>
    <w:rsid w:val="00FA54E8"/>
    <w:rsid w:val="00FA5711"/>
    <w:rsid w:val="00FA58D6"/>
    <w:rsid w:val="00FA6952"/>
    <w:rsid w:val="00FA6CE8"/>
    <w:rsid w:val="00FA6F99"/>
    <w:rsid w:val="00FA70ED"/>
    <w:rsid w:val="00FA759C"/>
    <w:rsid w:val="00FA7952"/>
    <w:rsid w:val="00FB0094"/>
    <w:rsid w:val="00FB0203"/>
    <w:rsid w:val="00FB047E"/>
    <w:rsid w:val="00FB054D"/>
    <w:rsid w:val="00FB06B7"/>
    <w:rsid w:val="00FB0B8D"/>
    <w:rsid w:val="00FB14E0"/>
    <w:rsid w:val="00FB210C"/>
    <w:rsid w:val="00FB34CB"/>
    <w:rsid w:val="00FB3BF0"/>
    <w:rsid w:val="00FB411A"/>
    <w:rsid w:val="00FB5778"/>
    <w:rsid w:val="00FB593D"/>
    <w:rsid w:val="00FB665F"/>
    <w:rsid w:val="00FB695F"/>
    <w:rsid w:val="00FB6D2E"/>
    <w:rsid w:val="00FB7455"/>
    <w:rsid w:val="00FB7995"/>
    <w:rsid w:val="00FC063C"/>
    <w:rsid w:val="00FC1508"/>
    <w:rsid w:val="00FC1DC6"/>
    <w:rsid w:val="00FC268F"/>
    <w:rsid w:val="00FC271B"/>
    <w:rsid w:val="00FC363E"/>
    <w:rsid w:val="00FC3AB3"/>
    <w:rsid w:val="00FC42EF"/>
    <w:rsid w:val="00FC449E"/>
    <w:rsid w:val="00FC478E"/>
    <w:rsid w:val="00FC4DA9"/>
    <w:rsid w:val="00FC4EF8"/>
    <w:rsid w:val="00FC5353"/>
    <w:rsid w:val="00FC5457"/>
    <w:rsid w:val="00FC563C"/>
    <w:rsid w:val="00FC5EA1"/>
    <w:rsid w:val="00FC6140"/>
    <w:rsid w:val="00FC7142"/>
    <w:rsid w:val="00FC7731"/>
    <w:rsid w:val="00FC77B0"/>
    <w:rsid w:val="00FC78DC"/>
    <w:rsid w:val="00FC7A25"/>
    <w:rsid w:val="00FC7B5C"/>
    <w:rsid w:val="00FD0166"/>
    <w:rsid w:val="00FD184A"/>
    <w:rsid w:val="00FD219B"/>
    <w:rsid w:val="00FD2745"/>
    <w:rsid w:val="00FD2A66"/>
    <w:rsid w:val="00FD2E47"/>
    <w:rsid w:val="00FD37CB"/>
    <w:rsid w:val="00FD40A9"/>
    <w:rsid w:val="00FD5D05"/>
    <w:rsid w:val="00FD74B8"/>
    <w:rsid w:val="00FD78F9"/>
    <w:rsid w:val="00FD7E0E"/>
    <w:rsid w:val="00FE088F"/>
    <w:rsid w:val="00FE08DE"/>
    <w:rsid w:val="00FE13ED"/>
    <w:rsid w:val="00FE179F"/>
    <w:rsid w:val="00FE1D4C"/>
    <w:rsid w:val="00FE208A"/>
    <w:rsid w:val="00FE2AB0"/>
    <w:rsid w:val="00FE2BCC"/>
    <w:rsid w:val="00FE330E"/>
    <w:rsid w:val="00FE366E"/>
    <w:rsid w:val="00FE4000"/>
    <w:rsid w:val="00FE4621"/>
    <w:rsid w:val="00FE4E9D"/>
    <w:rsid w:val="00FE5232"/>
    <w:rsid w:val="00FE54D9"/>
    <w:rsid w:val="00FE54F6"/>
    <w:rsid w:val="00FE6D81"/>
    <w:rsid w:val="00FE70B1"/>
    <w:rsid w:val="00FE7C61"/>
    <w:rsid w:val="00FF0740"/>
    <w:rsid w:val="00FF0812"/>
    <w:rsid w:val="00FF0992"/>
    <w:rsid w:val="00FF0EAE"/>
    <w:rsid w:val="00FF14EA"/>
    <w:rsid w:val="00FF1EC8"/>
    <w:rsid w:val="00FF2999"/>
    <w:rsid w:val="00FF2B34"/>
    <w:rsid w:val="00FF2BBD"/>
    <w:rsid w:val="00FF37C1"/>
    <w:rsid w:val="00FF37C6"/>
    <w:rsid w:val="00FF3808"/>
    <w:rsid w:val="00FF39C0"/>
    <w:rsid w:val="00FF3A22"/>
    <w:rsid w:val="00FF4124"/>
    <w:rsid w:val="00FF44C3"/>
    <w:rsid w:val="00FF44F8"/>
    <w:rsid w:val="00FF47F9"/>
    <w:rsid w:val="00FF4F7C"/>
    <w:rsid w:val="00FF5542"/>
    <w:rsid w:val="00FF559F"/>
    <w:rsid w:val="00FF5FD3"/>
    <w:rsid w:val="00FF60D3"/>
    <w:rsid w:val="00FF62B7"/>
    <w:rsid w:val="00FF7A5F"/>
    <w:rsid w:val="00FF7D5E"/>
    <w:rsid w:val="01506A74"/>
    <w:rsid w:val="017A6B77"/>
    <w:rsid w:val="01C53E9C"/>
    <w:rsid w:val="02C2534B"/>
    <w:rsid w:val="03106EE7"/>
    <w:rsid w:val="032128C3"/>
    <w:rsid w:val="03C12DCD"/>
    <w:rsid w:val="03DB766E"/>
    <w:rsid w:val="04DF5103"/>
    <w:rsid w:val="04E1762A"/>
    <w:rsid w:val="05790259"/>
    <w:rsid w:val="05821257"/>
    <w:rsid w:val="058C4049"/>
    <w:rsid w:val="058D0B17"/>
    <w:rsid w:val="05B8355D"/>
    <w:rsid w:val="06732DD2"/>
    <w:rsid w:val="06B3799E"/>
    <w:rsid w:val="070140D7"/>
    <w:rsid w:val="07142CD0"/>
    <w:rsid w:val="079F74E7"/>
    <w:rsid w:val="07C86BDA"/>
    <w:rsid w:val="088B4766"/>
    <w:rsid w:val="08975580"/>
    <w:rsid w:val="09067AC2"/>
    <w:rsid w:val="09B970EC"/>
    <w:rsid w:val="09DD56F7"/>
    <w:rsid w:val="0A9B567F"/>
    <w:rsid w:val="0B6B1E69"/>
    <w:rsid w:val="0B6B30D8"/>
    <w:rsid w:val="0B93537C"/>
    <w:rsid w:val="0BAB6194"/>
    <w:rsid w:val="0BBA7AB3"/>
    <w:rsid w:val="0C1006E0"/>
    <w:rsid w:val="0C886EAB"/>
    <w:rsid w:val="0D1A5D55"/>
    <w:rsid w:val="0D57116F"/>
    <w:rsid w:val="0D730491"/>
    <w:rsid w:val="0D7F305A"/>
    <w:rsid w:val="0D802C60"/>
    <w:rsid w:val="0DE149A9"/>
    <w:rsid w:val="0E3117EA"/>
    <w:rsid w:val="0E46447D"/>
    <w:rsid w:val="0E57563F"/>
    <w:rsid w:val="0EB210C1"/>
    <w:rsid w:val="0EC66EA3"/>
    <w:rsid w:val="0F6E0C22"/>
    <w:rsid w:val="0F8B0C35"/>
    <w:rsid w:val="10E51529"/>
    <w:rsid w:val="12143A40"/>
    <w:rsid w:val="122F3917"/>
    <w:rsid w:val="13FD4289"/>
    <w:rsid w:val="14125887"/>
    <w:rsid w:val="141D4441"/>
    <w:rsid w:val="144E5DDF"/>
    <w:rsid w:val="14A472DE"/>
    <w:rsid w:val="14C41532"/>
    <w:rsid w:val="14E95D00"/>
    <w:rsid w:val="15144613"/>
    <w:rsid w:val="151E1269"/>
    <w:rsid w:val="15426C85"/>
    <w:rsid w:val="166362E5"/>
    <w:rsid w:val="16940363"/>
    <w:rsid w:val="16D96445"/>
    <w:rsid w:val="1745310A"/>
    <w:rsid w:val="180C1D89"/>
    <w:rsid w:val="1870398A"/>
    <w:rsid w:val="18C16485"/>
    <w:rsid w:val="18E524C1"/>
    <w:rsid w:val="196920FE"/>
    <w:rsid w:val="198D378D"/>
    <w:rsid w:val="1A49747C"/>
    <w:rsid w:val="1A50247D"/>
    <w:rsid w:val="1B4A3A6B"/>
    <w:rsid w:val="1B8E37DE"/>
    <w:rsid w:val="1C031EA9"/>
    <w:rsid w:val="1C054074"/>
    <w:rsid w:val="1C362F89"/>
    <w:rsid w:val="1C9F47E6"/>
    <w:rsid w:val="1CBA6C0D"/>
    <w:rsid w:val="1CFF7659"/>
    <w:rsid w:val="1E454BFC"/>
    <w:rsid w:val="1EAA1546"/>
    <w:rsid w:val="1EAC4A80"/>
    <w:rsid w:val="1EAD4719"/>
    <w:rsid w:val="1EF42550"/>
    <w:rsid w:val="1F0F2E83"/>
    <w:rsid w:val="1F136D9A"/>
    <w:rsid w:val="1F792C51"/>
    <w:rsid w:val="1F9A7BF1"/>
    <w:rsid w:val="1FB52DF2"/>
    <w:rsid w:val="1FCC34D8"/>
    <w:rsid w:val="201A33DF"/>
    <w:rsid w:val="201A3813"/>
    <w:rsid w:val="205253AE"/>
    <w:rsid w:val="20532E6F"/>
    <w:rsid w:val="207E3474"/>
    <w:rsid w:val="209B45F7"/>
    <w:rsid w:val="20B6437A"/>
    <w:rsid w:val="20C04176"/>
    <w:rsid w:val="20C52024"/>
    <w:rsid w:val="211014F1"/>
    <w:rsid w:val="21333B63"/>
    <w:rsid w:val="21BF5788"/>
    <w:rsid w:val="21D2335F"/>
    <w:rsid w:val="225F5E8B"/>
    <w:rsid w:val="229131E4"/>
    <w:rsid w:val="22C7718C"/>
    <w:rsid w:val="22F03A8F"/>
    <w:rsid w:val="231D447F"/>
    <w:rsid w:val="24BB2A89"/>
    <w:rsid w:val="25551585"/>
    <w:rsid w:val="25787665"/>
    <w:rsid w:val="25E41F71"/>
    <w:rsid w:val="2657132A"/>
    <w:rsid w:val="268811DB"/>
    <w:rsid w:val="2689097A"/>
    <w:rsid w:val="27192F38"/>
    <w:rsid w:val="276C147C"/>
    <w:rsid w:val="27A07BA9"/>
    <w:rsid w:val="27BB3FBE"/>
    <w:rsid w:val="27E8602A"/>
    <w:rsid w:val="28776A9D"/>
    <w:rsid w:val="288D7B89"/>
    <w:rsid w:val="28B35F4A"/>
    <w:rsid w:val="292F3BA8"/>
    <w:rsid w:val="29542A26"/>
    <w:rsid w:val="2964687E"/>
    <w:rsid w:val="29A8612B"/>
    <w:rsid w:val="29D60947"/>
    <w:rsid w:val="2A0E20E1"/>
    <w:rsid w:val="2A9B60C2"/>
    <w:rsid w:val="2ADF4A92"/>
    <w:rsid w:val="2AF672CF"/>
    <w:rsid w:val="2B316E3A"/>
    <w:rsid w:val="2B3C5FAD"/>
    <w:rsid w:val="2B7F799F"/>
    <w:rsid w:val="2BB43D35"/>
    <w:rsid w:val="2BBF5C96"/>
    <w:rsid w:val="2C226F36"/>
    <w:rsid w:val="2CF376D9"/>
    <w:rsid w:val="2E361DCA"/>
    <w:rsid w:val="2E406BEC"/>
    <w:rsid w:val="2E6D4BFB"/>
    <w:rsid w:val="2E7B3D22"/>
    <w:rsid w:val="2E83212B"/>
    <w:rsid w:val="2F283EAA"/>
    <w:rsid w:val="2F491B5D"/>
    <w:rsid w:val="2FAF0127"/>
    <w:rsid w:val="2FBE001C"/>
    <w:rsid w:val="2FDC22D0"/>
    <w:rsid w:val="2FF13040"/>
    <w:rsid w:val="30004E27"/>
    <w:rsid w:val="307D49E3"/>
    <w:rsid w:val="31541D0B"/>
    <w:rsid w:val="31F340BE"/>
    <w:rsid w:val="324F0AB1"/>
    <w:rsid w:val="32944906"/>
    <w:rsid w:val="33BA4B66"/>
    <w:rsid w:val="33C944CB"/>
    <w:rsid w:val="33F95DAB"/>
    <w:rsid w:val="34C24CC3"/>
    <w:rsid w:val="34CD27C2"/>
    <w:rsid w:val="35356E8B"/>
    <w:rsid w:val="35647C06"/>
    <w:rsid w:val="35A61FCC"/>
    <w:rsid w:val="35FE75F8"/>
    <w:rsid w:val="363D7E52"/>
    <w:rsid w:val="366C2B7A"/>
    <w:rsid w:val="36895528"/>
    <w:rsid w:val="37E02662"/>
    <w:rsid w:val="37E45C15"/>
    <w:rsid w:val="382B49A0"/>
    <w:rsid w:val="38A40ECA"/>
    <w:rsid w:val="38B7797A"/>
    <w:rsid w:val="39A24B3D"/>
    <w:rsid w:val="3A085567"/>
    <w:rsid w:val="3A621EEC"/>
    <w:rsid w:val="3BF82174"/>
    <w:rsid w:val="3CA65922"/>
    <w:rsid w:val="3CCF2901"/>
    <w:rsid w:val="3D0531E3"/>
    <w:rsid w:val="3D080C44"/>
    <w:rsid w:val="3D4C1FD3"/>
    <w:rsid w:val="3E8C5B5B"/>
    <w:rsid w:val="3F6D6366"/>
    <w:rsid w:val="3FAA4467"/>
    <w:rsid w:val="3FB11C9A"/>
    <w:rsid w:val="401B483B"/>
    <w:rsid w:val="41847666"/>
    <w:rsid w:val="41DC00BA"/>
    <w:rsid w:val="41E82AB1"/>
    <w:rsid w:val="41F669B6"/>
    <w:rsid w:val="41FA16D6"/>
    <w:rsid w:val="420122FB"/>
    <w:rsid w:val="42194B45"/>
    <w:rsid w:val="423C06DD"/>
    <w:rsid w:val="42497357"/>
    <w:rsid w:val="424B736F"/>
    <w:rsid w:val="429576E3"/>
    <w:rsid w:val="42DD316C"/>
    <w:rsid w:val="43E07BD4"/>
    <w:rsid w:val="441F782C"/>
    <w:rsid w:val="443C4754"/>
    <w:rsid w:val="44756BCF"/>
    <w:rsid w:val="44C24A7E"/>
    <w:rsid w:val="44F536EC"/>
    <w:rsid w:val="45F56103"/>
    <w:rsid w:val="462B36CF"/>
    <w:rsid w:val="46F64F9E"/>
    <w:rsid w:val="47290367"/>
    <w:rsid w:val="476F07F0"/>
    <w:rsid w:val="47763062"/>
    <w:rsid w:val="47E83461"/>
    <w:rsid w:val="48082DD5"/>
    <w:rsid w:val="48577D5B"/>
    <w:rsid w:val="485F2408"/>
    <w:rsid w:val="48841A45"/>
    <w:rsid w:val="48961148"/>
    <w:rsid w:val="48B00D40"/>
    <w:rsid w:val="48FF4813"/>
    <w:rsid w:val="4911355A"/>
    <w:rsid w:val="496366C7"/>
    <w:rsid w:val="4A5F68A6"/>
    <w:rsid w:val="4A7240F7"/>
    <w:rsid w:val="4A8C758B"/>
    <w:rsid w:val="4A9E221C"/>
    <w:rsid w:val="4B2F236F"/>
    <w:rsid w:val="4B30588A"/>
    <w:rsid w:val="4B4B11E1"/>
    <w:rsid w:val="4B6E09D0"/>
    <w:rsid w:val="4B7B4CE7"/>
    <w:rsid w:val="4B885722"/>
    <w:rsid w:val="4BD7630A"/>
    <w:rsid w:val="4C0E1178"/>
    <w:rsid w:val="4C224B61"/>
    <w:rsid w:val="4C2D2B74"/>
    <w:rsid w:val="4E141941"/>
    <w:rsid w:val="4EA840D2"/>
    <w:rsid w:val="4ECC324D"/>
    <w:rsid w:val="4EF67F0B"/>
    <w:rsid w:val="4F183D66"/>
    <w:rsid w:val="4F1D2EA8"/>
    <w:rsid w:val="4FA240C2"/>
    <w:rsid w:val="4FAD25E7"/>
    <w:rsid w:val="4FF3197B"/>
    <w:rsid w:val="504C33D6"/>
    <w:rsid w:val="513621EB"/>
    <w:rsid w:val="513E6CFA"/>
    <w:rsid w:val="51F77D06"/>
    <w:rsid w:val="52F511F4"/>
    <w:rsid w:val="538C5F50"/>
    <w:rsid w:val="53B12FB9"/>
    <w:rsid w:val="53D928F4"/>
    <w:rsid w:val="53F61B49"/>
    <w:rsid w:val="540344BB"/>
    <w:rsid w:val="54E51D72"/>
    <w:rsid w:val="54E81D95"/>
    <w:rsid w:val="55254C95"/>
    <w:rsid w:val="5567357E"/>
    <w:rsid w:val="55B814AD"/>
    <w:rsid w:val="55FD7E39"/>
    <w:rsid w:val="56124CA9"/>
    <w:rsid w:val="5628187E"/>
    <w:rsid w:val="56FB5651"/>
    <w:rsid w:val="570E7272"/>
    <w:rsid w:val="57277DB8"/>
    <w:rsid w:val="5741540F"/>
    <w:rsid w:val="57594ECB"/>
    <w:rsid w:val="57BC467E"/>
    <w:rsid w:val="580351CC"/>
    <w:rsid w:val="58F81369"/>
    <w:rsid w:val="591413EF"/>
    <w:rsid w:val="595B7E9D"/>
    <w:rsid w:val="598F6686"/>
    <w:rsid w:val="59E22AC0"/>
    <w:rsid w:val="5A495741"/>
    <w:rsid w:val="5AC95965"/>
    <w:rsid w:val="5B0D5611"/>
    <w:rsid w:val="5B163AB7"/>
    <w:rsid w:val="5B671838"/>
    <w:rsid w:val="5B9A3766"/>
    <w:rsid w:val="5BCA465D"/>
    <w:rsid w:val="5BDB57C6"/>
    <w:rsid w:val="5C5850BE"/>
    <w:rsid w:val="5C601427"/>
    <w:rsid w:val="5C9D5732"/>
    <w:rsid w:val="5CB965D9"/>
    <w:rsid w:val="5CD27F72"/>
    <w:rsid w:val="5D2022C5"/>
    <w:rsid w:val="5E8D2119"/>
    <w:rsid w:val="5F4E7EDA"/>
    <w:rsid w:val="5F773F0E"/>
    <w:rsid w:val="5FC15189"/>
    <w:rsid w:val="5FD30092"/>
    <w:rsid w:val="5FF76DFD"/>
    <w:rsid w:val="60526B99"/>
    <w:rsid w:val="608751AE"/>
    <w:rsid w:val="608D6F3B"/>
    <w:rsid w:val="612C24C5"/>
    <w:rsid w:val="61E147D5"/>
    <w:rsid w:val="621F132D"/>
    <w:rsid w:val="622B6D0B"/>
    <w:rsid w:val="62595244"/>
    <w:rsid w:val="629608F0"/>
    <w:rsid w:val="63665BD5"/>
    <w:rsid w:val="64C04ED5"/>
    <w:rsid w:val="64DF702F"/>
    <w:rsid w:val="65240698"/>
    <w:rsid w:val="65267BBD"/>
    <w:rsid w:val="6577172A"/>
    <w:rsid w:val="657838F7"/>
    <w:rsid w:val="658971F4"/>
    <w:rsid w:val="65BF0105"/>
    <w:rsid w:val="65D62E60"/>
    <w:rsid w:val="65D94029"/>
    <w:rsid w:val="65DA0F5A"/>
    <w:rsid w:val="65F3321F"/>
    <w:rsid w:val="66361DB7"/>
    <w:rsid w:val="66522FDF"/>
    <w:rsid w:val="66593EF2"/>
    <w:rsid w:val="66F75CDC"/>
    <w:rsid w:val="671B1407"/>
    <w:rsid w:val="67F22822"/>
    <w:rsid w:val="68F205FC"/>
    <w:rsid w:val="69096CF1"/>
    <w:rsid w:val="697F2C44"/>
    <w:rsid w:val="6A384A92"/>
    <w:rsid w:val="6A530E57"/>
    <w:rsid w:val="6AC931BB"/>
    <w:rsid w:val="6B4E3A65"/>
    <w:rsid w:val="6DFD1354"/>
    <w:rsid w:val="6E0B117C"/>
    <w:rsid w:val="6E3C285F"/>
    <w:rsid w:val="6E701725"/>
    <w:rsid w:val="6E996E51"/>
    <w:rsid w:val="6E9F0D8B"/>
    <w:rsid w:val="6EA04ECD"/>
    <w:rsid w:val="6EC841DD"/>
    <w:rsid w:val="6F5342B5"/>
    <w:rsid w:val="6F86241B"/>
    <w:rsid w:val="70364F31"/>
    <w:rsid w:val="705310E6"/>
    <w:rsid w:val="70A115EB"/>
    <w:rsid w:val="70CA317B"/>
    <w:rsid w:val="70EE56A9"/>
    <w:rsid w:val="70F47CA8"/>
    <w:rsid w:val="71544777"/>
    <w:rsid w:val="72206064"/>
    <w:rsid w:val="72C05852"/>
    <w:rsid w:val="73F3543A"/>
    <w:rsid w:val="74200873"/>
    <w:rsid w:val="744D716B"/>
    <w:rsid w:val="74566F11"/>
    <w:rsid w:val="74AE3AD6"/>
    <w:rsid w:val="74D36C9A"/>
    <w:rsid w:val="74F126BE"/>
    <w:rsid w:val="750632D6"/>
    <w:rsid w:val="7535387E"/>
    <w:rsid w:val="75745D3F"/>
    <w:rsid w:val="761558C9"/>
    <w:rsid w:val="7652773F"/>
    <w:rsid w:val="76703FB5"/>
    <w:rsid w:val="767E4C92"/>
    <w:rsid w:val="772752DF"/>
    <w:rsid w:val="775972A4"/>
    <w:rsid w:val="77EE068E"/>
    <w:rsid w:val="77F04406"/>
    <w:rsid w:val="77F24FA9"/>
    <w:rsid w:val="782F5B52"/>
    <w:rsid w:val="789915CE"/>
    <w:rsid w:val="78B25C7E"/>
    <w:rsid w:val="792828EC"/>
    <w:rsid w:val="79824438"/>
    <w:rsid w:val="79DA230D"/>
    <w:rsid w:val="7A0F6CE8"/>
    <w:rsid w:val="7A222F22"/>
    <w:rsid w:val="7A5A7894"/>
    <w:rsid w:val="7A6A66F1"/>
    <w:rsid w:val="7A736E3D"/>
    <w:rsid w:val="7A8F4231"/>
    <w:rsid w:val="7B1F3B6A"/>
    <w:rsid w:val="7B5E2BF8"/>
    <w:rsid w:val="7BC901DE"/>
    <w:rsid w:val="7BE43F56"/>
    <w:rsid w:val="7C1424C5"/>
    <w:rsid w:val="7C2F4502"/>
    <w:rsid w:val="7C3974EC"/>
    <w:rsid w:val="7C6423A7"/>
    <w:rsid w:val="7C8926D2"/>
    <w:rsid w:val="7C8F243F"/>
    <w:rsid w:val="7DDE2304"/>
    <w:rsid w:val="7E3200C4"/>
    <w:rsid w:val="7E4C5F38"/>
    <w:rsid w:val="7E6D3342"/>
    <w:rsid w:val="7E711F53"/>
    <w:rsid w:val="7F596F47"/>
    <w:rsid w:val="7F8F4C18"/>
    <w:rsid w:val="7F9E6EED"/>
    <w:rsid w:val="7FE9668E"/>
    <w:rsid w:val="7FF32CE5"/>
    <w:rsid w:val="7FFFC99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qFormat="1"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99"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paragraph" w:styleId="2">
    <w:name w:val="heading 1"/>
    <w:basedOn w:val="1"/>
    <w:next w:val="1"/>
    <w:link w:val="65"/>
    <w:qFormat/>
    <w:uiPriority w:val="9"/>
    <w:pPr>
      <w:keepNext/>
      <w:keepLines/>
      <w:spacing w:before="340" w:after="330" w:line="578" w:lineRule="auto"/>
      <w:jc w:val="center"/>
      <w:outlineLvl w:val="0"/>
    </w:pPr>
    <w:rPr>
      <w:rFonts w:eastAsia="文鼎CS中黑"/>
      <w:b/>
      <w:bCs/>
      <w:kern w:val="44"/>
      <w:sz w:val="52"/>
      <w:szCs w:val="44"/>
    </w:rPr>
  </w:style>
  <w:style w:type="paragraph" w:styleId="3">
    <w:name w:val="heading 2"/>
    <w:basedOn w:val="1"/>
    <w:next w:val="1"/>
    <w:link w:val="66"/>
    <w:qFormat/>
    <w:uiPriority w:val="9"/>
    <w:pPr>
      <w:keepNext/>
      <w:keepLines/>
      <w:spacing w:before="260" w:after="260" w:line="416" w:lineRule="auto"/>
      <w:outlineLvl w:val="1"/>
    </w:pPr>
    <w:rPr>
      <w:rFonts w:ascii="Wingdings" w:hAnsi="Wingdings" w:eastAsia="文鼎CS中黑"/>
      <w:b/>
      <w:bCs/>
      <w:sz w:val="32"/>
      <w:szCs w:val="32"/>
    </w:rPr>
  </w:style>
  <w:style w:type="paragraph" w:styleId="4">
    <w:name w:val="heading 3"/>
    <w:basedOn w:val="1"/>
    <w:next w:val="1"/>
    <w:link w:val="67"/>
    <w:qFormat/>
    <w:uiPriority w:val="9"/>
    <w:pPr>
      <w:keepNext/>
      <w:keepLines/>
      <w:spacing w:before="260" w:after="260" w:line="416" w:lineRule="auto"/>
      <w:outlineLvl w:val="2"/>
    </w:pPr>
    <w:rPr>
      <w:rFonts w:eastAsia="Courier New"/>
      <w:b/>
      <w:bCs/>
      <w:sz w:val="32"/>
      <w:szCs w:val="32"/>
    </w:rPr>
  </w:style>
  <w:style w:type="paragraph" w:styleId="5">
    <w:name w:val="heading 4"/>
    <w:basedOn w:val="1"/>
    <w:next w:val="1"/>
    <w:link w:val="68"/>
    <w:qFormat/>
    <w:uiPriority w:val="9"/>
    <w:pPr>
      <w:keepNext/>
      <w:keepLines/>
      <w:jc w:val="center"/>
      <w:outlineLvl w:val="3"/>
    </w:pPr>
    <w:rPr>
      <w:bCs/>
      <w:sz w:val="28"/>
    </w:rPr>
  </w:style>
  <w:style w:type="paragraph" w:styleId="6">
    <w:name w:val="heading 5"/>
    <w:basedOn w:val="1"/>
    <w:next w:val="1"/>
    <w:link w:val="69"/>
    <w:qFormat/>
    <w:uiPriority w:val="0"/>
    <w:pPr>
      <w:keepNext/>
      <w:keepLines/>
      <w:jc w:val="center"/>
      <w:outlineLvl w:val="4"/>
    </w:pPr>
    <w:rPr>
      <w:b/>
      <w:sz w:val="44"/>
    </w:rPr>
  </w:style>
  <w:style w:type="paragraph" w:styleId="7">
    <w:name w:val="heading 6"/>
    <w:basedOn w:val="1"/>
    <w:next w:val="1"/>
    <w:link w:val="70"/>
    <w:qFormat/>
    <w:uiPriority w:val="0"/>
    <w:pPr>
      <w:keepNext/>
      <w:keepLines/>
      <w:spacing w:before="240" w:after="64" w:line="320" w:lineRule="auto"/>
      <w:outlineLvl w:val="5"/>
    </w:pPr>
    <w:rPr>
      <w:rFonts w:ascii="等线 Light" w:hAnsi="等线 Light" w:eastAsia="等线 Light"/>
      <w:b/>
      <w:bCs/>
      <w:sz w:val="24"/>
    </w:rPr>
  </w:style>
  <w:style w:type="paragraph" w:styleId="8">
    <w:name w:val="heading 7"/>
    <w:basedOn w:val="1"/>
    <w:next w:val="1"/>
    <w:link w:val="71"/>
    <w:qFormat/>
    <w:uiPriority w:val="0"/>
    <w:pPr>
      <w:keepNext/>
      <w:keepLines/>
      <w:tabs>
        <w:tab w:val="left" w:pos="1296"/>
      </w:tabs>
      <w:spacing w:before="260" w:after="260" w:line="319" w:lineRule="auto"/>
      <w:outlineLvl w:val="6"/>
    </w:pPr>
    <w:rPr>
      <w:b/>
      <w:bCs/>
      <w:sz w:val="24"/>
    </w:rPr>
  </w:style>
  <w:style w:type="paragraph" w:styleId="9">
    <w:name w:val="heading 8"/>
    <w:basedOn w:val="1"/>
    <w:next w:val="1"/>
    <w:link w:val="72"/>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73"/>
    <w:qFormat/>
    <w:uiPriority w:val="0"/>
    <w:pPr>
      <w:keepNext/>
      <w:keepLines/>
      <w:tabs>
        <w:tab w:val="left" w:pos="1584"/>
      </w:tabs>
      <w:spacing w:before="240" w:after="64" w:line="320" w:lineRule="auto"/>
      <w:ind w:left="1584" w:hanging="1584"/>
      <w:outlineLvl w:val="8"/>
    </w:pPr>
    <w:rPr>
      <w:rFonts w:ascii="Arial" w:hAnsi="Arial" w:eastAsia="黑体"/>
      <w:sz w:val="24"/>
      <w:szCs w:val="21"/>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260"/>
      <w:jc w:val="left"/>
    </w:pPr>
    <w:rPr>
      <w:rFonts w:asciiTheme="minorHAnsi" w:eastAsiaTheme="minorHAnsi"/>
      <w:sz w:val="18"/>
      <w:szCs w:val="18"/>
    </w:rPr>
  </w:style>
  <w:style w:type="paragraph" w:styleId="12">
    <w:name w:val="List Number"/>
    <w:basedOn w:val="1"/>
    <w:qFormat/>
    <w:uiPriority w:val="0"/>
    <w:pPr>
      <w:tabs>
        <w:tab w:val="left" w:pos="845"/>
      </w:tabs>
      <w:adjustRightInd w:val="0"/>
      <w:ind w:left="845" w:hanging="420"/>
      <w:textAlignment w:val="baseline"/>
    </w:pPr>
    <w:rPr>
      <w:b/>
      <w:bCs/>
      <w:color w:val="000000"/>
      <w:kern w:val="0"/>
      <w:sz w:val="24"/>
      <w:szCs w:val="20"/>
    </w:rPr>
  </w:style>
  <w:style w:type="paragraph" w:styleId="13">
    <w:name w:val="Normal Indent"/>
    <w:basedOn w:val="1"/>
    <w:next w:val="1"/>
    <w:link w:val="74"/>
    <w:qFormat/>
    <w:uiPriority w:val="0"/>
    <w:pPr>
      <w:autoSpaceDE w:val="0"/>
      <w:autoSpaceDN w:val="0"/>
      <w:adjustRightInd w:val="0"/>
      <w:ind w:firstLine="420"/>
      <w:jc w:val="left"/>
      <w:textAlignment w:val="baseline"/>
    </w:pPr>
    <w:rPr>
      <w:rFonts w:eastAsia="Courier New"/>
      <w:kern w:val="0"/>
      <w:sz w:val="34"/>
      <w:szCs w:val="20"/>
    </w:rPr>
  </w:style>
  <w:style w:type="paragraph" w:styleId="14">
    <w:name w:val="caption"/>
    <w:basedOn w:val="1"/>
    <w:next w:val="1"/>
    <w:qFormat/>
    <w:uiPriority w:val="35"/>
    <w:rPr>
      <w:rFonts w:ascii="Wingdings" w:hAnsi="Wingdings" w:eastAsia="文鼎CS中黑" w:cs="Wingdings"/>
      <w:sz w:val="20"/>
      <w:szCs w:val="20"/>
    </w:rPr>
  </w:style>
  <w:style w:type="paragraph" w:styleId="15">
    <w:name w:val="Document Map"/>
    <w:basedOn w:val="1"/>
    <w:link w:val="335"/>
    <w:qFormat/>
    <w:uiPriority w:val="99"/>
    <w:pPr>
      <w:shd w:val="clear" w:color="auto" w:fill="000080"/>
    </w:pPr>
  </w:style>
  <w:style w:type="paragraph" w:styleId="16">
    <w:name w:val="annotation text"/>
    <w:basedOn w:val="1"/>
    <w:link w:val="75"/>
    <w:qFormat/>
    <w:uiPriority w:val="99"/>
    <w:pPr>
      <w:jc w:val="left"/>
    </w:pPr>
  </w:style>
  <w:style w:type="paragraph" w:styleId="17">
    <w:name w:val="Salutation"/>
    <w:basedOn w:val="1"/>
    <w:next w:val="1"/>
    <w:link w:val="336"/>
    <w:qFormat/>
    <w:uiPriority w:val="0"/>
  </w:style>
  <w:style w:type="paragraph" w:styleId="18">
    <w:name w:val="Body Text 3"/>
    <w:basedOn w:val="1"/>
    <w:link w:val="337"/>
    <w:qFormat/>
    <w:uiPriority w:val="0"/>
    <w:pPr>
      <w:spacing w:after="120"/>
    </w:pPr>
    <w:rPr>
      <w:sz w:val="16"/>
      <w:szCs w:val="16"/>
    </w:rPr>
  </w:style>
  <w:style w:type="paragraph" w:styleId="19">
    <w:name w:val="Body Text"/>
    <w:basedOn w:val="1"/>
    <w:link w:val="64"/>
    <w:qFormat/>
    <w:uiPriority w:val="0"/>
  </w:style>
  <w:style w:type="paragraph" w:styleId="20">
    <w:name w:val="Body Text Indent"/>
    <w:basedOn w:val="1"/>
    <w:next w:val="21"/>
    <w:link w:val="76"/>
    <w:qFormat/>
    <w:uiPriority w:val="0"/>
    <w:pPr>
      <w:adjustRightInd w:val="0"/>
      <w:snapToGrid w:val="0"/>
      <w:ind w:firstLine="420" w:firstLineChars="200"/>
    </w:pPr>
  </w:style>
  <w:style w:type="paragraph" w:styleId="21">
    <w:name w:val="envelope return"/>
    <w:basedOn w:val="1"/>
    <w:qFormat/>
    <w:uiPriority w:val="99"/>
    <w:pPr>
      <w:snapToGrid w:val="0"/>
    </w:pPr>
    <w:rPr>
      <w:rFonts w:ascii="Arial" w:hAnsi="Arial"/>
    </w:rPr>
  </w:style>
  <w:style w:type="paragraph" w:styleId="22">
    <w:name w:val="toc 5"/>
    <w:basedOn w:val="1"/>
    <w:next w:val="1"/>
    <w:qFormat/>
    <w:uiPriority w:val="39"/>
    <w:pPr>
      <w:ind w:left="840"/>
      <w:jc w:val="left"/>
    </w:pPr>
    <w:rPr>
      <w:rFonts w:asciiTheme="minorHAnsi" w:eastAsiaTheme="minorHAnsi"/>
      <w:sz w:val="18"/>
      <w:szCs w:val="18"/>
    </w:rPr>
  </w:style>
  <w:style w:type="paragraph" w:styleId="23">
    <w:name w:val="toc 3"/>
    <w:basedOn w:val="1"/>
    <w:next w:val="1"/>
    <w:qFormat/>
    <w:uiPriority w:val="39"/>
    <w:pPr>
      <w:ind w:left="420"/>
      <w:jc w:val="left"/>
    </w:pPr>
    <w:rPr>
      <w:rFonts w:asciiTheme="minorHAnsi" w:eastAsiaTheme="minorHAnsi"/>
      <w:i/>
      <w:iCs/>
      <w:sz w:val="20"/>
      <w:szCs w:val="20"/>
    </w:rPr>
  </w:style>
  <w:style w:type="paragraph" w:styleId="24">
    <w:name w:val="Plain Text"/>
    <w:basedOn w:val="1"/>
    <w:link w:val="77"/>
    <w:qFormat/>
    <w:uiPriority w:val="0"/>
    <w:rPr>
      <w:rFonts w:hAnsi="等线 Light" w:eastAsia="Courier New" w:cs="等线 Light"/>
      <w:szCs w:val="21"/>
    </w:rPr>
  </w:style>
  <w:style w:type="paragraph" w:styleId="25">
    <w:name w:val="toc 8"/>
    <w:basedOn w:val="1"/>
    <w:next w:val="1"/>
    <w:qFormat/>
    <w:uiPriority w:val="39"/>
    <w:pPr>
      <w:ind w:left="1470"/>
      <w:jc w:val="left"/>
    </w:pPr>
    <w:rPr>
      <w:rFonts w:asciiTheme="minorHAnsi" w:eastAsiaTheme="minorHAnsi"/>
      <w:sz w:val="18"/>
      <w:szCs w:val="18"/>
    </w:rPr>
  </w:style>
  <w:style w:type="paragraph" w:styleId="26">
    <w:name w:val="Date"/>
    <w:basedOn w:val="1"/>
    <w:next w:val="1"/>
    <w:link w:val="78"/>
    <w:qFormat/>
    <w:uiPriority w:val="99"/>
    <w:pPr>
      <w:autoSpaceDE w:val="0"/>
      <w:autoSpaceDN w:val="0"/>
      <w:adjustRightInd w:val="0"/>
      <w:textAlignment w:val="baseline"/>
    </w:pPr>
    <w:rPr>
      <w:kern w:val="0"/>
      <w:sz w:val="28"/>
      <w:szCs w:val="20"/>
    </w:rPr>
  </w:style>
  <w:style w:type="paragraph" w:styleId="27">
    <w:name w:val="Body Text Indent 2"/>
    <w:basedOn w:val="1"/>
    <w:link w:val="79"/>
    <w:qFormat/>
    <w:uiPriority w:val="0"/>
    <w:pPr>
      <w:spacing w:line="480" w:lineRule="exact"/>
      <w:ind w:left="810" w:firstLine="675"/>
    </w:pPr>
    <w:rPr>
      <w:rFonts w:eastAsia="SimSun-Identity-H"/>
      <w:sz w:val="30"/>
      <w:szCs w:val="20"/>
    </w:rPr>
  </w:style>
  <w:style w:type="paragraph" w:styleId="28">
    <w:name w:val="endnote text"/>
    <w:basedOn w:val="1"/>
    <w:link w:val="80"/>
    <w:qFormat/>
    <w:uiPriority w:val="0"/>
    <w:pPr>
      <w:snapToGrid w:val="0"/>
      <w:jc w:val="left"/>
    </w:pPr>
  </w:style>
  <w:style w:type="paragraph" w:styleId="29">
    <w:name w:val="Balloon Text"/>
    <w:basedOn w:val="1"/>
    <w:link w:val="81"/>
    <w:qFormat/>
    <w:uiPriority w:val="0"/>
    <w:rPr>
      <w:sz w:val="18"/>
      <w:szCs w:val="18"/>
    </w:rPr>
  </w:style>
  <w:style w:type="paragraph" w:styleId="30">
    <w:name w:val="footer"/>
    <w:basedOn w:val="1"/>
    <w:link w:val="82"/>
    <w:qFormat/>
    <w:uiPriority w:val="99"/>
    <w:pPr>
      <w:tabs>
        <w:tab w:val="center" w:pos="4153"/>
        <w:tab w:val="right" w:pos="8306"/>
      </w:tabs>
      <w:snapToGrid w:val="0"/>
      <w:jc w:val="left"/>
    </w:pPr>
    <w:rPr>
      <w:rFonts w:eastAsia="Courier New"/>
      <w:sz w:val="18"/>
      <w:szCs w:val="18"/>
    </w:rPr>
  </w:style>
  <w:style w:type="paragraph" w:styleId="31">
    <w:name w:val="header"/>
    <w:basedOn w:val="1"/>
    <w:link w:val="83"/>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1"/>
    <w:next w:val="1"/>
    <w:qFormat/>
    <w:uiPriority w:val="39"/>
    <w:pPr>
      <w:spacing w:before="120" w:after="120"/>
      <w:jc w:val="left"/>
    </w:pPr>
    <w:rPr>
      <w:rFonts w:asciiTheme="minorHAnsi" w:eastAsiaTheme="minorHAnsi"/>
      <w:b/>
      <w:bCs/>
      <w:caps/>
      <w:sz w:val="20"/>
      <w:szCs w:val="20"/>
    </w:rPr>
  </w:style>
  <w:style w:type="paragraph" w:styleId="33">
    <w:name w:val="toc 4"/>
    <w:basedOn w:val="1"/>
    <w:next w:val="1"/>
    <w:qFormat/>
    <w:uiPriority w:val="39"/>
    <w:pPr>
      <w:ind w:left="630"/>
      <w:jc w:val="left"/>
    </w:pPr>
    <w:rPr>
      <w:rFonts w:asciiTheme="minorHAnsi" w:eastAsiaTheme="minorHAnsi"/>
      <w:sz w:val="18"/>
      <w:szCs w:val="18"/>
    </w:rPr>
  </w:style>
  <w:style w:type="paragraph" w:styleId="34">
    <w:name w:val="index heading"/>
    <w:basedOn w:val="1"/>
    <w:next w:val="35"/>
    <w:qFormat/>
    <w:uiPriority w:val="0"/>
    <w:rPr>
      <w:szCs w:val="20"/>
    </w:rPr>
  </w:style>
  <w:style w:type="paragraph" w:styleId="35">
    <w:name w:val="index 1"/>
    <w:basedOn w:val="1"/>
    <w:next w:val="1"/>
    <w:qFormat/>
    <w:uiPriority w:val="0"/>
  </w:style>
  <w:style w:type="paragraph" w:styleId="36">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37">
    <w:name w:val="footnote text"/>
    <w:basedOn w:val="1"/>
    <w:link w:val="84"/>
    <w:qFormat/>
    <w:uiPriority w:val="0"/>
    <w:pPr>
      <w:snapToGrid w:val="0"/>
      <w:jc w:val="left"/>
    </w:pPr>
    <w:rPr>
      <w:sz w:val="18"/>
      <w:szCs w:val="20"/>
    </w:rPr>
  </w:style>
  <w:style w:type="paragraph" w:styleId="38">
    <w:name w:val="toc 6"/>
    <w:basedOn w:val="1"/>
    <w:next w:val="1"/>
    <w:qFormat/>
    <w:uiPriority w:val="39"/>
    <w:pPr>
      <w:ind w:left="1050"/>
      <w:jc w:val="left"/>
    </w:pPr>
    <w:rPr>
      <w:rFonts w:asciiTheme="minorHAnsi" w:eastAsiaTheme="minorHAnsi"/>
      <w:sz w:val="18"/>
      <w:szCs w:val="18"/>
    </w:rPr>
  </w:style>
  <w:style w:type="paragraph" w:styleId="39">
    <w:name w:val="Body Text Indent 3"/>
    <w:basedOn w:val="1"/>
    <w:link w:val="85"/>
    <w:qFormat/>
    <w:uiPriority w:val="99"/>
    <w:pPr>
      <w:adjustRightInd w:val="0"/>
      <w:snapToGrid w:val="0"/>
      <w:ind w:firstLine="560" w:firstLineChars="200"/>
    </w:pPr>
    <w:rPr>
      <w:sz w:val="28"/>
    </w:rPr>
  </w:style>
  <w:style w:type="paragraph" w:styleId="40">
    <w:name w:val="toc 2"/>
    <w:basedOn w:val="1"/>
    <w:next w:val="1"/>
    <w:qFormat/>
    <w:uiPriority w:val="39"/>
    <w:pPr>
      <w:ind w:left="210"/>
      <w:jc w:val="left"/>
    </w:pPr>
    <w:rPr>
      <w:rFonts w:asciiTheme="minorHAnsi" w:eastAsiaTheme="minorHAnsi"/>
      <w:smallCaps/>
      <w:sz w:val="20"/>
      <w:szCs w:val="20"/>
    </w:rPr>
  </w:style>
  <w:style w:type="paragraph" w:styleId="41">
    <w:name w:val="toc 9"/>
    <w:basedOn w:val="1"/>
    <w:next w:val="1"/>
    <w:qFormat/>
    <w:uiPriority w:val="39"/>
    <w:pPr>
      <w:ind w:left="1680"/>
      <w:jc w:val="left"/>
    </w:pPr>
    <w:rPr>
      <w:rFonts w:asciiTheme="minorHAnsi" w:eastAsiaTheme="minorHAnsi"/>
      <w:sz w:val="18"/>
      <w:szCs w:val="18"/>
    </w:rPr>
  </w:style>
  <w:style w:type="paragraph" w:styleId="42">
    <w:name w:val="Body Text 2"/>
    <w:basedOn w:val="1"/>
    <w:link w:val="86"/>
    <w:qFormat/>
    <w:uiPriority w:val="0"/>
    <w:pPr>
      <w:spacing w:after="120" w:line="480" w:lineRule="auto"/>
    </w:pPr>
  </w:style>
  <w:style w:type="paragraph" w:styleId="43">
    <w:name w:val="Normal (Web)"/>
    <w:basedOn w:val="1"/>
    <w:qFormat/>
    <w:uiPriority w:val="0"/>
    <w:pPr>
      <w:spacing w:before="100" w:beforeAutospacing="1" w:after="100" w:afterAutospacing="1"/>
      <w:jc w:val="left"/>
    </w:pPr>
    <w:rPr>
      <w:color w:val="000000"/>
      <w:kern w:val="0"/>
      <w:sz w:val="24"/>
    </w:rPr>
  </w:style>
  <w:style w:type="paragraph" w:styleId="44">
    <w:name w:val="Title"/>
    <w:basedOn w:val="1"/>
    <w:link w:val="87"/>
    <w:qFormat/>
    <w:uiPriority w:val="0"/>
    <w:pPr>
      <w:spacing w:before="240" w:after="60"/>
      <w:jc w:val="center"/>
      <w:outlineLvl w:val="0"/>
    </w:pPr>
    <w:rPr>
      <w:rFonts w:ascii="Wingdings" w:hAnsi="Wingdings"/>
      <w:b/>
      <w:bCs/>
      <w:sz w:val="32"/>
      <w:szCs w:val="32"/>
    </w:rPr>
  </w:style>
  <w:style w:type="paragraph" w:styleId="45">
    <w:name w:val="annotation subject"/>
    <w:basedOn w:val="16"/>
    <w:next w:val="16"/>
    <w:link w:val="88"/>
    <w:qFormat/>
    <w:uiPriority w:val="0"/>
    <w:rPr>
      <w:b/>
      <w:bCs/>
    </w:rPr>
  </w:style>
  <w:style w:type="paragraph" w:styleId="46">
    <w:name w:val="Body Text First Indent"/>
    <w:basedOn w:val="19"/>
    <w:link w:val="338"/>
    <w:qFormat/>
    <w:uiPriority w:val="99"/>
    <w:pPr>
      <w:spacing w:after="120" w:line="240" w:lineRule="auto"/>
      <w:ind w:firstLine="420" w:firstLineChars="100"/>
    </w:pPr>
  </w:style>
  <w:style w:type="paragraph" w:styleId="47">
    <w:name w:val="Body Text First Indent 2"/>
    <w:basedOn w:val="20"/>
    <w:link w:val="89"/>
    <w:qFormat/>
    <w:uiPriority w:val="99"/>
    <w:pPr>
      <w:adjustRightInd/>
      <w:snapToGrid/>
      <w:spacing w:after="120" w:line="240" w:lineRule="auto"/>
      <w:ind w:left="420" w:leftChars="200"/>
    </w:pPr>
  </w:style>
  <w:style w:type="table" w:styleId="49">
    <w:name w:val="Table Grid"/>
    <w:basedOn w:val="48"/>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rFonts w:ascii="仿宋" w:hAnsi="仿宋" w:eastAsia="Courier New"/>
      <w:b/>
      <w:bCs/>
      <w:spacing w:val="10"/>
      <w:sz w:val="24"/>
      <w:lang w:val="en-US" w:eastAsia="zh-CN" w:bidi="ar-SA"/>
    </w:rPr>
  </w:style>
  <w:style w:type="character" w:styleId="52">
    <w:name w:val="endnote reference"/>
    <w:qFormat/>
    <w:uiPriority w:val="0"/>
    <w:rPr>
      <w:vertAlign w:val="superscript"/>
    </w:rPr>
  </w:style>
  <w:style w:type="character" w:styleId="53">
    <w:name w:val="page number"/>
    <w:qFormat/>
    <w:uiPriority w:val="0"/>
  </w:style>
  <w:style w:type="character" w:styleId="54">
    <w:name w:val="FollowedHyperlink"/>
    <w:qFormat/>
    <w:uiPriority w:val="0"/>
    <w:rPr>
      <w:color w:val="333333"/>
      <w:u w:val="none"/>
    </w:rPr>
  </w:style>
  <w:style w:type="character" w:styleId="55">
    <w:name w:val="Emphasis"/>
    <w:qFormat/>
    <w:uiPriority w:val="0"/>
    <w:rPr>
      <w:i/>
      <w:iCs/>
    </w:rPr>
  </w:style>
  <w:style w:type="character" w:styleId="56">
    <w:name w:val="HTML Definition"/>
    <w:qFormat/>
    <w:uiPriority w:val="0"/>
  </w:style>
  <w:style w:type="character" w:styleId="57">
    <w:name w:val="HTML Acronym"/>
    <w:qFormat/>
    <w:uiPriority w:val="0"/>
  </w:style>
  <w:style w:type="character" w:styleId="58">
    <w:name w:val="HTML Variable"/>
    <w:qFormat/>
    <w:uiPriority w:val="0"/>
  </w:style>
  <w:style w:type="character" w:styleId="59">
    <w:name w:val="Hyperlink"/>
    <w:qFormat/>
    <w:uiPriority w:val="99"/>
    <w:rPr>
      <w:color w:val="333333"/>
      <w:u w:val="none"/>
    </w:rPr>
  </w:style>
  <w:style w:type="character" w:styleId="60">
    <w:name w:val="HTML Code"/>
    <w:qFormat/>
    <w:uiPriority w:val="0"/>
    <w:rPr>
      <w:rFonts w:ascii="Courier New" w:hAnsi="Courier New"/>
      <w:sz w:val="20"/>
    </w:rPr>
  </w:style>
  <w:style w:type="character" w:styleId="61">
    <w:name w:val="annotation reference"/>
    <w:basedOn w:val="50"/>
    <w:qFormat/>
    <w:uiPriority w:val="99"/>
    <w:rPr>
      <w:sz w:val="21"/>
      <w:szCs w:val="21"/>
    </w:rPr>
  </w:style>
  <w:style w:type="character" w:styleId="62">
    <w:name w:val="HTML Cite"/>
    <w:qFormat/>
    <w:uiPriority w:val="0"/>
  </w:style>
  <w:style w:type="paragraph" w:customStyle="1" w:styleId="63">
    <w:name w:val="_Style 2"/>
    <w:basedOn w:val="1"/>
    <w:next w:val="1"/>
    <w:qFormat/>
    <w:uiPriority w:val="99"/>
    <w:pPr>
      <w:ind w:firstLine="420"/>
    </w:pPr>
    <w:rPr>
      <w:rFonts w:ascii="Cambria" w:hAnsi="Cambria"/>
    </w:rPr>
  </w:style>
  <w:style w:type="character" w:customStyle="1" w:styleId="64">
    <w:name w:val="正文文本 字符"/>
    <w:link w:val="19"/>
    <w:qFormat/>
    <w:uiPriority w:val="0"/>
    <w:rPr>
      <w:rFonts w:ascii="宋体" w:hAnsi="宋体"/>
    </w:rPr>
  </w:style>
  <w:style w:type="character" w:customStyle="1" w:styleId="65">
    <w:name w:val="标题 1 字符"/>
    <w:link w:val="2"/>
    <w:qFormat/>
    <w:uiPriority w:val="9"/>
    <w:rPr>
      <w:rFonts w:eastAsia="文鼎CS中黑"/>
      <w:b/>
      <w:bCs/>
      <w:kern w:val="44"/>
      <w:sz w:val="52"/>
      <w:szCs w:val="44"/>
    </w:rPr>
  </w:style>
  <w:style w:type="character" w:customStyle="1" w:styleId="66">
    <w:name w:val="标题 2 字符"/>
    <w:link w:val="3"/>
    <w:qFormat/>
    <w:uiPriority w:val="9"/>
    <w:rPr>
      <w:rFonts w:ascii="Wingdings" w:hAnsi="Wingdings" w:eastAsia="文鼎CS中黑"/>
      <w:b/>
      <w:bCs/>
      <w:kern w:val="2"/>
      <w:sz w:val="32"/>
      <w:szCs w:val="32"/>
    </w:rPr>
  </w:style>
  <w:style w:type="character" w:customStyle="1" w:styleId="67">
    <w:name w:val="标题 3 字符"/>
    <w:link w:val="4"/>
    <w:qFormat/>
    <w:uiPriority w:val="9"/>
    <w:rPr>
      <w:rFonts w:eastAsia="Courier New"/>
      <w:b/>
      <w:bCs/>
      <w:kern w:val="2"/>
      <w:sz w:val="32"/>
      <w:szCs w:val="32"/>
      <w:lang w:val="en-US" w:eastAsia="zh-CN" w:bidi="ar-SA"/>
    </w:rPr>
  </w:style>
  <w:style w:type="character" w:customStyle="1" w:styleId="68">
    <w:name w:val="标题 4 字符"/>
    <w:link w:val="5"/>
    <w:qFormat/>
    <w:uiPriority w:val="9"/>
    <w:rPr>
      <w:rFonts w:ascii="Courier New" w:hAnsi="Courier New"/>
      <w:bCs/>
      <w:kern w:val="2"/>
      <w:sz w:val="28"/>
      <w:szCs w:val="24"/>
    </w:rPr>
  </w:style>
  <w:style w:type="character" w:customStyle="1" w:styleId="69">
    <w:name w:val="标题 5 字符"/>
    <w:link w:val="6"/>
    <w:qFormat/>
    <w:uiPriority w:val="0"/>
    <w:rPr>
      <w:rFonts w:ascii="Courier New" w:hAnsi="Courier New"/>
      <w:b/>
      <w:kern w:val="2"/>
      <w:sz w:val="44"/>
      <w:szCs w:val="24"/>
    </w:rPr>
  </w:style>
  <w:style w:type="character" w:customStyle="1" w:styleId="70">
    <w:name w:val="标题 6 字符"/>
    <w:link w:val="7"/>
    <w:qFormat/>
    <w:uiPriority w:val="0"/>
    <w:rPr>
      <w:rFonts w:ascii="等线 Light" w:hAnsi="等线 Light" w:eastAsia="等线 Light" w:cs="Times New Roman"/>
      <w:b/>
      <w:bCs/>
      <w:kern w:val="2"/>
      <w:sz w:val="24"/>
      <w:szCs w:val="24"/>
    </w:rPr>
  </w:style>
  <w:style w:type="character" w:customStyle="1" w:styleId="71">
    <w:name w:val="标题 7 字符"/>
    <w:link w:val="8"/>
    <w:qFormat/>
    <w:uiPriority w:val="0"/>
    <w:rPr>
      <w:rFonts w:ascii="宋体" w:hAnsi="宋体"/>
      <w:b/>
      <w:bCs/>
      <w:kern w:val="2"/>
      <w:sz w:val="24"/>
      <w:szCs w:val="24"/>
    </w:rPr>
  </w:style>
  <w:style w:type="character" w:customStyle="1" w:styleId="72">
    <w:name w:val="标题 8 字符"/>
    <w:link w:val="9"/>
    <w:qFormat/>
    <w:uiPriority w:val="0"/>
    <w:rPr>
      <w:rFonts w:ascii="Arial" w:hAnsi="Arial" w:eastAsia="黑体"/>
      <w:kern w:val="2"/>
      <w:sz w:val="24"/>
      <w:szCs w:val="24"/>
    </w:rPr>
  </w:style>
  <w:style w:type="character" w:customStyle="1" w:styleId="73">
    <w:name w:val="标题 9 字符"/>
    <w:link w:val="10"/>
    <w:qFormat/>
    <w:uiPriority w:val="0"/>
    <w:rPr>
      <w:rFonts w:ascii="Arial" w:hAnsi="Arial" w:eastAsia="黑体"/>
      <w:kern w:val="2"/>
      <w:sz w:val="24"/>
      <w:szCs w:val="21"/>
    </w:rPr>
  </w:style>
  <w:style w:type="character" w:customStyle="1" w:styleId="74">
    <w:name w:val="正文缩进 字符"/>
    <w:link w:val="13"/>
    <w:qFormat/>
    <w:uiPriority w:val="0"/>
    <w:rPr>
      <w:rFonts w:ascii="Courier New" w:eastAsia="Courier New"/>
      <w:sz w:val="34"/>
      <w:lang w:val="en-US" w:eastAsia="zh-CN" w:bidi="ar-SA"/>
    </w:rPr>
  </w:style>
  <w:style w:type="character" w:customStyle="1" w:styleId="75">
    <w:name w:val="批注文字 字符"/>
    <w:link w:val="16"/>
    <w:qFormat/>
    <w:uiPriority w:val="99"/>
    <w:rPr>
      <w:kern w:val="2"/>
      <w:sz w:val="21"/>
      <w:szCs w:val="24"/>
    </w:rPr>
  </w:style>
  <w:style w:type="character" w:customStyle="1" w:styleId="76">
    <w:name w:val="正文文本缩进 字符"/>
    <w:link w:val="20"/>
    <w:qFormat/>
    <w:uiPriority w:val="0"/>
    <w:rPr>
      <w:kern w:val="2"/>
      <w:sz w:val="21"/>
      <w:szCs w:val="24"/>
    </w:rPr>
  </w:style>
  <w:style w:type="character" w:customStyle="1" w:styleId="77">
    <w:name w:val="纯文本 字符1"/>
    <w:link w:val="24"/>
    <w:qFormat/>
    <w:uiPriority w:val="99"/>
    <w:rPr>
      <w:rFonts w:ascii="Courier New" w:hAnsi="等线 Light" w:eastAsia="Courier New" w:cs="等线 Light"/>
      <w:kern w:val="2"/>
      <w:sz w:val="21"/>
      <w:szCs w:val="21"/>
      <w:lang w:val="en-US" w:eastAsia="zh-CN" w:bidi="ar-SA"/>
    </w:rPr>
  </w:style>
  <w:style w:type="character" w:customStyle="1" w:styleId="78">
    <w:name w:val="日期 字符"/>
    <w:link w:val="26"/>
    <w:qFormat/>
    <w:uiPriority w:val="99"/>
    <w:rPr>
      <w:rFonts w:ascii="Courier New"/>
      <w:sz w:val="28"/>
    </w:rPr>
  </w:style>
  <w:style w:type="character" w:customStyle="1" w:styleId="79">
    <w:name w:val="正文文本缩进 2 字符"/>
    <w:link w:val="27"/>
    <w:qFormat/>
    <w:uiPriority w:val="0"/>
    <w:rPr>
      <w:rFonts w:eastAsia="SimSun-Identity-H"/>
      <w:kern w:val="2"/>
      <w:sz w:val="30"/>
    </w:rPr>
  </w:style>
  <w:style w:type="character" w:customStyle="1" w:styleId="80">
    <w:name w:val="尾注文本 字符"/>
    <w:link w:val="28"/>
    <w:qFormat/>
    <w:uiPriority w:val="0"/>
    <w:rPr>
      <w:kern w:val="2"/>
      <w:sz w:val="21"/>
      <w:szCs w:val="24"/>
    </w:rPr>
  </w:style>
  <w:style w:type="character" w:customStyle="1" w:styleId="81">
    <w:name w:val="批注框文本 字符"/>
    <w:link w:val="29"/>
    <w:qFormat/>
    <w:uiPriority w:val="0"/>
    <w:rPr>
      <w:kern w:val="2"/>
      <w:sz w:val="18"/>
      <w:szCs w:val="18"/>
    </w:rPr>
  </w:style>
  <w:style w:type="character" w:customStyle="1" w:styleId="82">
    <w:name w:val="页脚 字符1"/>
    <w:link w:val="30"/>
    <w:qFormat/>
    <w:uiPriority w:val="99"/>
    <w:rPr>
      <w:rFonts w:eastAsia="Courier New"/>
      <w:kern w:val="2"/>
      <w:sz w:val="18"/>
      <w:szCs w:val="18"/>
      <w:lang w:val="en-US" w:eastAsia="zh-CN" w:bidi="ar-SA"/>
    </w:rPr>
  </w:style>
  <w:style w:type="character" w:customStyle="1" w:styleId="83">
    <w:name w:val="页眉 字符"/>
    <w:link w:val="31"/>
    <w:qFormat/>
    <w:uiPriority w:val="99"/>
    <w:rPr>
      <w:kern w:val="2"/>
      <w:sz w:val="18"/>
      <w:szCs w:val="18"/>
    </w:rPr>
  </w:style>
  <w:style w:type="character" w:customStyle="1" w:styleId="84">
    <w:name w:val="脚注文本 字符"/>
    <w:link w:val="37"/>
    <w:qFormat/>
    <w:uiPriority w:val="0"/>
    <w:rPr>
      <w:kern w:val="2"/>
      <w:sz w:val="18"/>
    </w:rPr>
  </w:style>
  <w:style w:type="character" w:customStyle="1" w:styleId="85">
    <w:name w:val="正文文本缩进 3 字符"/>
    <w:link w:val="39"/>
    <w:qFormat/>
    <w:uiPriority w:val="99"/>
    <w:rPr>
      <w:rFonts w:ascii="Courier New" w:hAnsi="Courier New"/>
      <w:kern w:val="2"/>
      <w:sz w:val="28"/>
      <w:szCs w:val="24"/>
    </w:rPr>
  </w:style>
  <w:style w:type="character" w:customStyle="1" w:styleId="86">
    <w:name w:val="正文文本 2 字符"/>
    <w:link w:val="42"/>
    <w:qFormat/>
    <w:uiPriority w:val="0"/>
    <w:rPr>
      <w:kern w:val="2"/>
      <w:sz w:val="21"/>
      <w:szCs w:val="24"/>
    </w:rPr>
  </w:style>
  <w:style w:type="character" w:customStyle="1" w:styleId="87">
    <w:name w:val="标题 字符"/>
    <w:link w:val="44"/>
    <w:qFormat/>
    <w:uiPriority w:val="0"/>
    <w:rPr>
      <w:rFonts w:ascii="Wingdings" w:hAnsi="Wingdings" w:cs="Wingdings"/>
      <w:b/>
      <w:bCs/>
      <w:kern w:val="2"/>
      <w:sz w:val="32"/>
      <w:szCs w:val="32"/>
    </w:rPr>
  </w:style>
  <w:style w:type="character" w:customStyle="1" w:styleId="88">
    <w:name w:val="批注主题 字符"/>
    <w:link w:val="45"/>
    <w:qFormat/>
    <w:uiPriority w:val="0"/>
    <w:rPr>
      <w:b/>
      <w:bCs/>
      <w:kern w:val="2"/>
      <w:sz w:val="21"/>
      <w:szCs w:val="24"/>
    </w:rPr>
  </w:style>
  <w:style w:type="character" w:customStyle="1" w:styleId="89">
    <w:name w:val="正文文本首行缩进 2 字符"/>
    <w:link w:val="47"/>
    <w:qFormat/>
    <w:uiPriority w:val="0"/>
  </w:style>
  <w:style w:type="character" w:customStyle="1" w:styleId="90">
    <w:name w:val="wen"/>
    <w:qFormat/>
    <w:uiPriority w:val="0"/>
    <w:rPr>
      <w:color w:val="FFFFFF"/>
      <w:shd w:val="clear" w:color="auto" w:fill="24A8F6"/>
    </w:rPr>
  </w:style>
  <w:style w:type="character" w:customStyle="1" w:styleId="91">
    <w:name w:val="wlwt"/>
    <w:qFormat/>
    <w:uiPriority w:val="0"/>
    <w:rPr>
      <w:color w:val="24A8F6"/>
    </w:rPr>
  </w:style>
  <w:style w:type="character" w:customStyle="1" w:styleId="92">
    <w:name w:val="font11"/>
    <w:qFormat/>
    <w:uiPriority w:val="0"/>
    <w:rPr>
      <w:rFonts w:ascii="Calibri" w:hAnsi="Calibri" w:cs="Calibri"/>
      <w:color w:val="000000"/>
      <w:sz w:val="24"/>
      <w:szCs w:val="24"/>
      <w:u w:val="none"/>
    </w:rPr>
  </w:style>
  <w:style w:type="character" w:customStyle="1" w:styleId="93">
    <w:name w:val="l-btn-icon-right"/>
    <w:qFormat/>
    <w:uiPriority w:val="0"/>
  </w:style>
  <w:style w:type="character" w:customStyle="1" w:styleId="94">
    <w:name w:val="H4 Char"/>
    <w:qFormat/>
    <w:uiPriority w:val="0"/>
    <w:rPr>
      <w:rFonts w:ascii="Wingdings" w:hAnsi="Wingdings" w:eastAsia="文鼎CS中黑"/>
      <w:b/>
      <w:sz w:val="28"/>
      <w:lang w:val="en-US" w:eastAsia="zh-CN"/>
    </w:rPr>
  </w:style>
  <w:style w:type="character" w:customStyle="1" w:styleId="95">
    <w:name w:val="l-btn-text"/>
    <w:qFormat/>
    <w:uiPriority w:val="0"/>
    <w:rPr>
      <w:vertAlign w:val="baseline"/>
    </w:rPr>
  </w:style>
  <w:style w:type="character" w:customStyle="1" w:styleId="96">
    <w:name w:val="l-btn-left1"/>
    <w:qFormat/>
    <w:uiPriority w:val="0"/>
  </w:style>
  <w:style w:type="character" w:customStyle="1" w:styleId="97">
    <w:name w:val="z-窗体顶端 字符"/>
    <w:link w:val="98"/>
    <w:qFormat/>
    <w:uiPriority w:val="34"/>
    <w:rPr>
      <w:kern w:val="2"/>
      <w:sz w:val="21"/>
      <w:szCs w:val="24"/>
    </w:rPr>
  </w:style>
  <w:style w:type="paragraph" w:customStyle="1" w:styleId="98">
    <w:name w:val="z-窗体顶端1"/>
    <w:basedOn w:val="1"/>
    <w:link w:val="97"/>
    <w:qFormat/>
    <w:uiPriority w:val="34"/>
    <w:pPr>
      <w:ind w:firstLine="420" w:firstLineChars="200"/>
    </w:pPr>
  </w:style>
  <w:style w:type="character" w:customStyle="1" w:styleId="99">
    <w:name w:val="正文文本 2 字符1"/>
    <w:qFormat/>
    <w:uiPriority w:val="0"/>
    <w:rPr>
      <w:kern w:val="2"/>
      <w:sz w:val="21"/>
      <w:szCs w:val="24"/>
    </w:rPr>
  </w:style>
  <w:style w:type="character" w:customStyle="1" w:styleId="100">
    <w:name w:val="l-btn-icon-left"/>
    <w:qFormat/>
    <w:uiPriority w:val="0"/>
  </w:style>
  <w:style w:type="character" w:customStyle="1" w:styleId="101">
    <w:name w:val="未处理的提及1"/>
    <w:unhideWhenUsed/>
    <w:qFormat/>
    <w:uiPriority w:val="99"/>
    <w:rPr>
      <w:color w:val="605E5C"/>
      <w:shd w:val="clear" w:color="auto" w:fill="E1DFDD"/>
    </w:rPr>
  </w:style>
  <w:style w:type="character" w:customStyle="1" w:styleId="102">
    <w:name w:val="apple-converted-space"/>
    <w:qFormat/>
    <w:uiPriority w:val="0"/>
  </w:style>
  <w:style w:type="character" w:customStyle="1" w:styleId="103">
    <w:name w:val="text91"/>
    <w:qFormat/>
    <w:uiPriority w:val="0"/>
    <w:rPr>
      <w:sz w:val="18"/>
      <w:szCs w:val="18"/>
      <w:u w:val="none"/>
    </w:rPr>
  </w:style>
  <w:style w:type="character" w:customStyle="1" w:styleId="104">
    <w:name w:val="正文缩进 Char Char1"/>
    <w:qFormat/>
    <w:uiPriority w:val="0"/>
    <w:rPr>
      <w:rFonts w:ascii="Courier New" w:eastAsia="Courier New"/>
      <w:sz w:val="34"/>
      <w:lang w:val="en-US" w:eastAsia="zh-CN" w:bidi="ar-SA"/>
    </w:rPr>
  </w:style>
  <w:style w:type="character" w:customStyle="1" w:styleId="105">
    <w:name w:val="l-btn-left2"/>
    <w:qFormat/>
    <w:uiPriority w:val="0"/>
  </w:style>
  <w:style w:type="character" w:customStyle="1" w:styleId="106">
    <w:name w:val="fontp1"/>
    <w:qFormat/>
    <w:uiPriority w:val="0"/>
    <w:rPr>
      <w:rFonts w:hint="eastAsia" w:ascii="Courier New" w:hAnsi="Courier New" w:eastAsia="Courier New"/>
      <w:sz w:val="18"/>
      <w:szCs w:val="18"/>
    </w:rPr>
  </w:style>
  <w:style w:type="character" w:customStyle="1" w:styleId="107">
    <w:name w:val="纯文本 Char2"/>
    <w:qFormat/>
    <w:locked/>
    <w:uiPriority w:val="0"/>
    <w:rPr>
      <w:rFonts w:ascii="Cambria Math" w:hAnsi="仿宋_GB2312" w:eastAsia="Cambria Math" w:cs="仿宋_GB2312"/>
      <w:sz w:val="21"/>
      <w:szCs w:val="21"/>
    </w:rPr>
  </w:style>
  <w:style w:type="character" w:customStyle="1" w:styleId="108">
    <w:name w:val="font91"/>
    <w:qFormat/>
    <w:uiPriority w:val="0"/>
    <w:rPr>
      <w:rFonts w:hint="eastAsia" w:ascii="宋体" w:hAnsi="宋体" w:eastAsia="宋体" w:cs="宋体"/>
      <w:color w:val="000000"/>
      <w:sz w:val="24"/>
      <w:szCs w:val="24"/>
      <w:u w:val="none"/>
    </w:rPr>
  </w:style>
  <w:style w:type="character" w:customStyle="1" w:styleId="109">
    <w:name w:val="纯文本 字符"/>
    <w:qFormat/>
    <w:uiPriority w:val="0"/>
    <w:rPr>
      <w:rFonts w:ascii="Courier New" w:hAnsi="等线 Light" w:cs="等线 Light"/>
      <w:kern w:val="2"/>
      <w:sz w:val="21"/>
      <w:szCs w:val="21"/>
    </w:rPr>
  </w:style>
  <w:style w:type="character" w:customStyle="1" w:styleId="110">
    <w:name w:val="正文模版 Char Char"/>
    <w:link w:val="111"/>
    <w:qFormat/>
    <w:uiPriority w:val="0"/>
    <w:rPr>
      <w:sz w:val="24"/>
    </w:rPr>
  </w:style>
  <w:style w:type="paragraph" w:customStyle="1" w:styleId="111">
    <w:name w:val="正文模版"/>
    <w:basedOn w:val="1"/>
    <w:link w:val="110"/>
    <w:qFormat/>
    <w:uiPriority w:val="0"/>
    <w:pPr>
      <w:ind w:firstLine="480" w:firstLineChars="200"/>
    </w:pPr>
    <w:rPr>
      <w:kern w:val="0"/>
      <w:sz w:val="24"/>
      <w:szCs w:val="20"/>
    </w:rPr>
  </w:style>
  <w:style w:type="character" w:customStyle="1" w:styleId="112">
    <w:name w:val="font21"/>
    <w:qFormat/>
    <w:uiPriority w:val="0"/>
    <w:rPr>
      <w:rFonts w:hint="eastAsia" w:ascii="宋体" w:hAnsi="宋体" w:eastAsia="宋体" w:cs="宋体"/>
      <w:color w:val="000000"/>
      <w:sz w:val="24"/>
      <w:szCs w:val="24"/>
      <w:u w:val="none"/>
    </w:rPr>
  </w:style>
  <w:style w:type="character" w:customStyle="1" w:styleId="113">
    <w:name w:val="z-窗体顶端 Char"/>
    <w:link w:val="114"/>
    <w:qFormat/>
    <w:uiPriority w:val="34"/>
    <w:rPr>
      <w:rFonts w:ascii="Times New Roman" w:hAnsi="Times New Roman" w:eastAsia="宋体" w:cs="Times New Roman"/>
      <w:kern w:val="2"/>
      <w:sz w:val="21"/>
      <w:szCs w:val="24"/>
    </w:rPr>
  </w:style>
  <w:style w:type="paragraph" w:customStyle="1" w:styleId="114">
    <w:name w:val="z-窗体顶端111"/>
    <w:basedOn w:val="1"/>
    <w:link w:val="113"/>
    <w:qFormat/>
    <w:uiPriority w:val="34"/>
    <w:pPr>
      <w:tabs>
        <w:tab w:val="left" w:pos="1276"/>
      </w:tabs>
      <w:ind w:firstLine="420" w:firstLineChars="200"/>
    </w:pPr>
    <w:rPr>
      <w:rFonts w:ascii="Times New Roman" w:hAnsi="Times New Roman"/>
    </w:rPr>
  </w:style>
  <w:style w:type="character" w:customStyle="1" w:styleId="115">
    <w:name w:val="font41"/>
    <w:qFormat/>
    <w:uiPriority w:val="0"/>
    <w:rPr>
      <w:rFonts w:hint="default" w:ascii="Calibri" w:hAnsi="Calibri" w:cs="Calibri"/>
      <w:color w:val="000000"/>
      <w:sz w:val="24"/>
      <w:szCs w:val="24"/>
      <w:u w:val="none"/>
    </w:rPr>
  </w:style>
  <w:style w:type="character" w:customStyle="1" w:styleId="116">
    <w:name w:val="纯文本 Char1"/>
    <w:qFormat/>
    <w:uiPriority w:val="0"/>
    <w:rPr>
      <w:rFonts w:ascii="Courier New" w:hAnsi="等线 Light" w:eastAsia="Courier New" w:cs="等线 Light"/>
      <w:kern w:val="2"/>
      <w:sz w:val="21"/>
      <w:szCs w:val="21"/>
      <w:lang w:val="en-US" w:eastAsia="zh-CN" w:bidi="ar-SA"/>
    </w:rPr>
  </w:style>
  <w:style w:type="character" w:customStyle="1" w:styleId="117">
    <w:name w:val="font71"/>
    <w:qFormat/>
    <w:uiPriority w:val="0"/>
    <w:rPr>
      <w:rFonts w:hint="eastAsia" w:ascii="宋体" w:hAnsi="宋体" w:eastAsia="宋体" w:cs="宋体"/>
      <w:color w:val="000000"/>
      <w:sz w:val="24"/>
      <w:szCs w:val="24"/>
      <w:u w:val="none"/>
    </w:rPr>
  </w:style>
  <w:style w:type="character" w:customStyle="1" w:styleId="118">
    <w:name w:val="font31"/>
    <w:qFormat/>
    <w:uiPriority w:val="0"/>
    <w:rPr>
      <w:rFonts w:hint="eastAsia" w:ascii="宋体" w:hAnsi="宋体" w:eastAsia="宋体" w:cs="宋体"/>
      <w:color w:val="000000"/>
      <w:sz w:val="22"/>
      <w:szCs w:val="22"/>
      <w:u w:val="none"/>
    </w:rPr>
  </w:style>
  <w:style w:type="character" w:customStyle="1" w:styleId="119">
    <w:name w:val="font121"/>
    <w:qFormat/>
    <w:uiPriority w:val="0"/>
    <w:rPr>
      <w:rFonts w:hint="default" w:ascii="Calibri" w:hAnsi="Calibri" w:cs="Calibri"/>
      <w:color w:val="000000"/>
      <w:sz w:val="24"/>
      <w:szCs w:val="24"/>
      <w:u w:val="none"/>
    </w:rPr>
  </w:style>
  <w:style w:type="character" w:customStyle="1" w:styleId="120">
    <w:name w:val="标题 2 Char"/>
    <w:qFormat/>
    <w:uiPriority w:val="0"/>
    <w:rPr>
      <w:rFonts w:ascii="Wingdings" w:hAnsi="Wingdings" w:eastAsia="文鼎CS中黑"/>
      <w:b/>
      <w:bCs/>
      <w:kern w:val="2"/>
      <w:sz w:val="32"/>
      <w:szCs w:val="32"/>
      <w:lang w:val="en-US" w:eastAsia="zh-CN" w:bidi="ar-SA"/>
    </w:rPr>
  </w:style>
  <w:style w:type="character" w:customStyle="1" w:styleId="121">
    <w:name w:val="l-btn-empty"/>
    <w:qFormat/>
    <w:uiPriority w:val="0"/>
  </w:style>
  <w:style w:type="character" w:customStyle="1" w:styleId="122">
    <w:name w:val="批注文字 Char"/>
    <w:qFormat/>
    <w:uiPriority w:val="99"/>
    <w:rPr>
      <w:kern w:val="2"/>
      <w:sz w:val="21"/>
      <w:szCs w:val="24"/>
    </w:rPr>
  </w:style>
  <w:style w:type="character" w:customStyle="1" w:styleId="123">
    <w:name w:val="列出段落 Char"/>
    <w:link w:val="124"/>
    <w:qFormat/>
    <w:uiPriority w:val="34"/>
    <w:rPr>
      <w:rFonts w:ascii="Calibri" w:hAnsi="Calibri" w:eastAsia="宋体" w:cs="Times New Roman"/>
      <w:kern w:val="1"/>
      <w:sz w:val="21"/>
      <w:szCs w:val="22"/>
      <w:lang w:eastAsia="ar-SA"/>
    </w:rPr>
  </w:style>
  <w:style w:type="paragraph" w:customStyle="1" w:styleId="124">
    <w:name w:val="列出段落1"/>
    <w:basedOn w:val="1"/>
    <w:link w:val="123"/>
    <w:qFormat/>
    <w:uiPriority w:val="34"/>
    <w:pPr>
      <w:tabs>
        <w:tab w:val="left" w:pos="1276"/>
      </w:tabs>
      <w:suppressAutoHyphens/>
      <w:ind w:firstLine="420" w:firstLineChars="200"/>
    </w:pPr>
    <w:rPr>
      <w:kern w:val="1"/>
      <w:szCs w:val="22"/>
      <w:lang w:eastAsia="ar-SA"/>
    </w:rPr>
  </w:style>
  <w:style w:type="character" w:customStyle="1" w:styleId="125">
    <w:name w:val="font01"/>
    <w:qFormat/>
    <w:uiPriority w:val="0"/>
    <w:rPr>
      <w:rFonts w:ascii="Calibri" w:hAnsi="Calibri" w:cs="Calibri"/>
      <w:color w:val="000000"/>
      <w:sz w:val="21"/>
      <w:szCs w:val="21"/>
      <w:u w:val="none"/>
    </w:rPr>
  </w:style>
  <w:style w:type="character" w:customStyle="1" w:styleId="126">
    <w:name w:val="arrow"/>
    <w:qFormat/>
    <w:uiPriority w:val="0"/>
  </w:style>
  <w:style w:type="character" w:customStyle="1" w:styleId="127">
    <w:name w:val="l-btn-left"/>
    <w:qFormat/>
    <w:uiPriority w:val="0"/>
    <w:rPr>
      <w:color w:val="333333"/>
    </w:rPr>
  </w:style>
  <w:style w:type="character" w:customStyle="1" w:styleId="128">
    <w:name w:val="列表段落 字符"/>
    <w:link w:val="129"/>
    <w:qFormat/>
    <w:uiPriority w:val="1"/>
    <w:rPr>
      <w:rFonts w:ascii="华文中宋" w:hAnsi="华文中宋"/>
      <w:kern w:val="1"/>
      <w:sz w:val="21"/>
      <w:szCs w:val="22"/>
      <w:lang w:eastAsia="ar-SA"/>
    </w:rPr>
  </w:style>
  <w:style w:type="paragraph" w:styleId="129">
    <w:name w:val="List Paragraph"/>
    <w:basedOn w:val="1"/>
    <w:link w:val="128"/>
    <w:qFormat/>
    <w:uiPriority w:val="1"/>
    <w:pPr>
      <w:suppressAutoHyphens/>
      <w:ind w:firstLine="420"/>
    </w:pPr>
    <w:rPr>
      <w:rFonts w:ascii="华文中宋" w:hAnsi="华文中宋"/>
      <w:kern w:val="1"/>
      <w:szCs w:val="22"/>
      <w:lang w:eastAsia="ar-SA"/>
    </w:rPr>
  </w:style>
  <w:style w:type="character" w:customStyle="1" w:styleId="130">
    <w:name w:val="l-btn-left3"/>
    <w:qFormat/>
    <w:uiPriority w:val="0"/>
  </w:style>
  <w:style w:type="character" w:customStyle="1" w:styleId="131">
    <w:name w:val="页脚 字符"/>
    <w:qFormat/>
    <w:uiPriority w:val="99"/>
    <w:rPr>
      <w:rFonts w:ascii="华文中宋" w:hAnsi="华文中宋" w:eastAsia="Courier New" w:cs="宋体"/>
      <w:kern w:val="2"/>
      <w:sz w:val="18"/>
      <w:szCs w:val="18"/>
    </w:rPr>
  </w:style>
  <w:style w:type="character" w:customStyle="1" w:styleId="132">
    <w:name w:val="font61"/>
    <w:qFormat/>
    <w:uiPriority w:val="0"/>
    <w:rPr>
      <w:rFonts w:hint="default" w:ascii="Calibri" w:hAnsi="Calibri" w:cs="Calibri"/>
      <w:color w:val="000000"/>
      <w:sz w:val="22"/>
      <w:szCs w:val="22"/>
      <w:u w:val="none"/>
    </w:rPr>
  </w:style>
  <w:style w:type="paragraph" w:customStyle="1" w:styleId="133">
    <w:name w:val="xl81"/>
    <w:basedOn w:val="1"/>
    <w:qFormat/>
    <w:uiPriority w:val="0"/>
    <w:pPr>
      <w:shd w:val="clear" w:color="000000" w:fill="FFFFFF"/>
      <w:spacing w:before="100" w:beforeAutospacing="1" w:after="100" w:afterAutospacing="1"/>
      <w:jc w:val="left"/>
    </w:pPr>
    <w:rPr>
      <w:rFonts w:cs="宋体"/>
      <w:kern w:val="0"/>
      <w:sz w:val="24"/>
    </w:rPr>
  </w:style>
  <w:style w:type="paragraph" w:customStyle="1" w:styleId="134">
    <w:name w:val="xl172"/>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35">
    <w:name w:val="xl12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36">
    <w:name w:val="xl175"/>
    <w:basedOn w:val="1"/>
    <w:qFormat/>
    <w:uiPriority w:val="0"/>
    <w:pPr>
      <w:pBdr>
        <w:top w:val="single" w:color="000000" w:sz="4" w:space="0"/>
        <w:left w:val="single" w:color="000000" w:sz="4" w:space="0"/>
        <w:right w:val="single" w:color="000000" w:sz="4" w:space="0"/>
      </w:pBdr>
      <w:spacing w:before="100" w:beforeAutospacing="1" w:after="100" w:afterAutospacing="1"/>
      <w:jc w:val="left"/>
    </w:pPr>
    <w:rPr>
      <w:rFonts w:cs="Courier New"/>
      <w:kern w:val="0"/>
      <w:sz w:val="22"/>
      <w:szCs w:val="22"/>
    </w:rPr>
  </w:style>
  <w:style w:type="paragraph" w:customStyle="1" w:styleId="137">
    <w:name w:val="xl82"/>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宋体"/>
      <w:b/>
      <w:bCs/>
      <w:color w:val="000000"/>
      <w:kern w:val="0"/>
      <w:sz w:val="18"/>
      <w:szCs w:val="18"/>
    </w:rPr>
  </w:style>
  <w:style w:type="paragraph" w:customStyle="1" w:styleId="138">
    <w:name w:val="前言正文"/>
    <w:qFormat/>
    <w:uiPriority w:val="0"/>
    <w:pPr>
      <w:spacing w:before="120" w:line="360" w:lineRule="auto"/>
      <w:ind w:firstLine="425"/>
      <w:jc w:val="both"/>
    </w:pPr>
    <w:rPr>
      <w:rFonts w:ascii="Courier New" w:hAnsi="Courier New" w:eastAsia="SimSun-Identity-H" w:cs="Times New Roman"/>
      <w:kern w:val="2"/>
      <w:sz w:val="24"/>
      <w:szCs w:val="22"/>
      <w:lang w:val="en-US" w:eastAsia="zh-CN" w:bidi="ar-SA"/>
    </w:rPr>
  </w:style>
  <w:style w:type="paragraph" w:customStyle="1" w:styleId="139">
    <w:name w:val="默认段落字体 Para Char"/>
    <w:basedOn w:val="1"/>
    <w:qFormat/>
    <w:uiPriority w:val="0"/>
    <w:rPr>
      <w:b/>
      <w:sz w:val="28"/>
      <w:szCs w:val="28"/>
    </w:rPr>
  </w:style>
  <w:style w:type="paragraph" w:customStyle="1" w:styleId="140">
    <w:name w:val="xl12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41">
    <w:name w:val="Char Char Char Char"/>
    <w:basedOn w:val="1"/>
    <w:qFormat/>
    <w:uiPriority w:val="0"/>
    <w:pPr>
      <w:spacing w:after="160" w:line="240" w:lineRule="exact"/>
      <w:jc w:val="left"/>
    </w:pPr>
    <w:rPr>
      <w:kern w:val="0"/>
      <w:sz w:val="20"/>
      <w:szCs w:val="20"/>
      <w:lang w:eastAsia="en-US"/>
    </w:rPr>
  </w:style>
  <w:style w:type="paragraph" w:customStyle="1" w:styleId="142">
    <w:name w:val="网格 居中"/>
    <w:basedOn w:val="1"/>
    <w:qFormat/>
    <w:uiPriority w:val="0"/>
    <w:pPr>
      <w:jc w:val="center"/>
    </w:pPr>
    <w:rPr>
      <w:szCs w:val="20"/>
    </w:rPr>
  </w:style>
  <w:style w:type="paragraph" w:customStyle="1" w:styleId="143">
    <w:name w:val="xl161"/>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cs="Courier New"/>
      <w:kern w:val="0"/>
      <w:sz w:val="22"/>
      <w:szCs w:val="22"/>
    </w:rPr>
  </w:style>
  <w:style w:type="paragraph" w:customStyle="1" w:styleId="144">
    <w:name w:val="xl13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145">
    <w:name w:val="前言目录"/>
    <w:next w:val="138"/>
    <w:qFormat/>
    <w:uiPriority w:val="0"/>
    <w:pPr>
      <w:spacing w:before="480" w:after="240" w:line="480" w:lineRule="auto"/>
      <w:jc w:val="center"/>
    </w:pPr>
    <w:rPr>
      <w:rFonts w:ascii="Courier New" w:hAnsi="Courier New" w:eastAsia="文鼎CS中黑" w:cs="Times New Roman"/>
      <w:b/>
      <w:kern w:val="2"/>
      <w:sz w:val="44"/>
      <w:szCs w:val="22"/>
      <w:lang w:val="en-US" w:eastAsia="zh-CN" w:bidi="ar-SA"/>
    </w:rPr>
  </w:style>
  <w:style w:type="paragraph" w:customStyle="1" w:styleId="146">
    <w:name w:val="正文_0"/>
    <w:qFormat/>
    <w:uiPriority w:val="0"/>
    <w:pPr>
      <w:widowControl w:val="0"/>
      <w:spacing w:line="360" w:lineRule="auto"/>
      <w:jc w:val="both"/>
    </w:pPr>
    <w:rPr>
      <w:rFonts w:ascii="Courier New" w:hAnsi="Courier New" w:eastAsia="宋体" w:cs="Times New Roman"/>
      <w:kern w:val="2"/>
      <w:sz w:val="21"/>
      <w:szCs w:val="24"/>
      <w:lang w:val="en-US" w:eastAsia="zh-CN" w:bidi="ar-SA"/>
    </w:rPr>
  </w:style>
  <w:style w:type="paragraph" w:customStyle="1" w:styleId="147">
    <w:name w:val="xl78"/>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148">
    <w:name w:val="xl195"/>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49">
    <w:name w:val="xl14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50">
    <w:name w:val="xl145"/>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kern w:val="0"/>
      <w:sz w:val="23"/>
      <w:szCs w:val="23"/>
    </w:rPr>
  </w:style>
  <w:style w:type="paragraph" w:customStyle="1" w:styleId="151">
    <w:name w:val="xl10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152">
    <w:name w:val="xl89"/>
    <w:basedOn w:val="1"/>
    <w:qFormat/>
    <w:uiPriority w:val="0"/>
    <w:pPr>
      <w:spacing w:before="100" w:beforeAutospacing="1" w:after="100" w:afterAutospacing="1"/>
      <w:jc w:val="center"/>
    </w:pPr>
    <w:rPr>
      <w:rFonts w:cs="Courier New"/>
      <w:kern w:val="0"/>
      <w:sz w:val="23"/>
      <w:szCs w:val="23"/>
    </w:rPr>
  </w:style>
  <w:style w:type="paragraph" w:customStyle="1" w:styleId="153">
    <w:name w:val="EHPT"/>
    <w:basedOn w:val="1"/>
    <w:next w:val="19"/>
    <w:qFormat/>
    <w:uiPriority w:val="0"/>
    <w:pPr>
      <w:ind w:right="-694"/>
    </w:pPr>
    <w:rPr>
      <w:sz w:val="24"/>
      <w:szCs w:val="20"/>
    </w:rPr>
  </w:style>
  <w:style w:type="paragraph" w:customStyle="1" w:styleId="154">
    <w:name w:val="xl12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55">
    <w:name w:val="xl114"/>
    <w:basedOn w:val="1"/>
    <w:qFormat/>
    <w:uiPriority w:val="0"/>
    <w:pPr>
      <w:pBdr>
        <w:top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156">
    <w:name w:val="纯文本1"/>
    <w:basedOn w:val="1"/>
    <w:qFormat/>
    <w:uiPriority w:val="0"/>
    <w:pPr>
      <w:suppressAutoHyphens/>
    </w:pPr>
    <w:rPr>
      <w:kern w:val="1"/>
      <w:szCs w:val="20"/>
      <w:lang w:eastAsia="ar-SA"/>
    </w:rPr>
  </w:style>
  <w:style w:type="paragraph" w:customStyle="1" w:styleId="157">
    <w:name w:val="font5"/>
    <w:basedOn w:val="1"/>
    <w:qFormat/>
    <w:uiPriority w:val="0"/>
    <w:pPr>
      <w:spacing w:before="100" w:beforeAutospacing="1" w:after="100" w:afterAutospacing="1"/>
      <w:jc w:val="left"/>
    </w:pPr>
    <w:rPr>
      <w:rFonts w:cs="Courier New"/>
      <w:kern w:val="0"/>
      <w:sz w:val="23"/>
      <w:szCs w:val="23"/>
    </w:rPr>
  </w:style>
  <w:style w:type="paragraph" w:customStyle="1" w:styleId="158">
    <w:name w:val="xl80"/>
    <w:basedOn w:val="1"/>
    <w:qFormat/>
    <w:uiPriority w:val="0"/>
    <w:pPr>
      <w:shd w:val="clear" w:color="000000" w:fill="FFFFFF"/>
      <w:spacing w:before="100" w:beforeAutospacing="1" w:after="100" w:afterAutospacing="1"/>
      <w:jc w:val="center"/>
    </w:pPr>
    <w:rPr>
      <w:rFonts w:cs="宋体"/>
      <w:kern w:val="0"/>
      <w:sz w:val="22"/>
      <w:szCs w:val="22"/>
    </w:rPr>
  </w:style>
  <w:style w:type="paragraph" w:customStyle="1" w:styleId="159">
    <w:name w:val="xl19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60">
    <w:name w:val="xl179"/>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161">
    <w:name w:val="普通 (Web)"/>
    <w:basedOn w:val="1"/>
    <w:qFormat/>
    <w:uiPriority w:val="0"/>
    <w:pPr>
      <w:spacing w:before="100" w:beforeAutospacing="1" w:after="100" w:afterAutospacing="1"/>
      <w:jc w:val="left"/>
    </w:pPr>
    <w:rPr>
      <w:kern w:val="0"/>
      <w:sz w:val="24"/>
      <w:szCs w:val="20"/>
    </w:rPr>
  </w:style>
  <w:style w:type="paragraph" w:customStyle="1" w:styleId="162">
    <w:name w:val="xl90"/>
    <w:basedOn w:val="1"/>
    <w:qFormat/>
    <w:uiPriority w:val="0"/>
    <w:pPr>
      <w:spacing w:before="100" w:beforeAutospacing="1" w:after="100" w:afterAutospacing="1"/>
      <w:jc w:val="left"/>
    </w:pPr>
    <w:rPr>
      <w:rFonts w:cs="Courier New"/>
      <w:b/>
      <w:bCs/>
      <w:kern w:val="0"/>
      <w:sz w:val="23"/>
      <w:szCs w:val="23"/>
    </w:rPr>
  </w:style>
  <w:style w:type="paragraph" w:customStyle="1" w:styleId="163">
    <w:name w:val="Default"/>
    <w:qFormat/>
    <w:uiPriority w:val="0"/>
    <w:pPr>
      <w:widowControl w:val="0"/>
      <w:autoSpaceDE w:val="0"/>
      <w:autoSpaceDN w:val="0"/>
      <w:adjustRightInd w:val="0"/>
      <w:spacing w:line="360" w:lineRule="auto"/>
      <w:jc w:val="both"/>
    </w:pPr>
    <w:rPr>
      <w:rFonts w:ascii="Wingdings" w:hAnsi="Wingdings" w:eastAsia="宋体" w:cs="Wingdings"/>
      <w:color w:val="000000"/>
      <w:kern w:val="2"/>
      <w:sz w:val="24"/>
      <w:szCs w:val="24"/>
      <w:lang w:val="en-US" w:eastAsia="zh-CN" w:bidi="ar-SA"/>
    </w:rPr>
  </w:style>
  <w:style w:type="paragraph" w:customStyle="1" w:styleId="164">
    <w:name w:val="Char Char13"/>
    <w:basedOn w:val="1"/>
    <w:qFormat/>
    <w:uiPriority w:val="0"/>
    <w:pPr>
      <w:spacing w:after="160" w:line="240" w:lineRule="exact"/>
      <w:jc w:val="left"/>
    </w:pPr>
    <w:rPr>
      <w:rFonts w:eastAsia="SimSun-Identity-H"/>
      <w:kern w:val="0"/>
      <w:sz w:val="24"/>
      <w:szCs w:val="20"/>
      <w:lang w:eastAsia="en-US"/>
    </w:rPr>
  </w:style>
  <w:style w:type="paragraph" w:customStyle="1" w:styleId="165">
    <w:name w:val="xl19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3"/>
      <w:szCs w:val="23"/>
    </w:rPr>
  </w:style>
  <w:style w:type="paragraph" w:customStyle="1" w:styleId="166">
    <w:name w:val="xl88"/>
    <w:basedOn w:val="1"/>
    <w:qFormat/>
    <w:uiPriority w:val="0"/>
    <w:pPr>
      <w:spacing w:before="100" w:beforeAutospacing="1" w:after="100" w:afterAutospacing="1"/>
      <w:jc w:val="left"/>
    </w:pPr>
    <w:rPr>
      <w:rFonts w:cs="Courier New"/>
      <w:kern w:val="0"/>
      <w:sz w:val="23"/>
      <w:szCs w:val="23"/>
    </w:rPr>
  </w:style>
  <w:style w:type="paragraph" w:customStyle="1" w:styleId="167">
    <w:name w:val="xl12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68">
    <w:name w:val="_Style 207"/>
    <w:basedOn w:val="1"/>
    <w:next w:val="129"/>
    <w:qFormat/>
    <w:uiPriority w:val="34"/>
    <w:pPr>
      <w:suppressAutoHyphens/>
      <w:ind w:firstLine="420"/>
    </w:pPr>
    <w:rPr>
      <w:rFonts w:ascii="华文中宋" w:hAnsi="华文中宋"/>
      <w:kern w:val="1"/>
      <w:szCs w:val="22"/>
      <w:lang w:eastAsia="ar-SA"/>
    </w:rPr>
  </w:style>
  <w:style w:type="paragraph" w:customStyle="1" w:styleId="169">
    <w:name w:val="Char Char Char"/>
    <w:basedOn w:val="1"/>
    <w:qFormat/>
    <w:uiPriority w:val="0"/>
    <w:rPr>
      <w:rFonts w:ascii="仿宋" w:hAnsi="仿宋"/>
      <w:sz w:val="24"/>
      <w:szCs w:val="20"/>
    </w:rPr>
  </w:style>
  <w:style w:type="paragraph" w:customStyle="1" w:styleId="170">
    <w:name w:val="xl19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171">
    <w:name w:val="xl102"/>
    <w:basedOn w:val="1"/>
    <w:qFormat/>
    <w:uiPriority w:val="0"/>
    <w:pPr>
      <w:spacing w:before="100" w:beforeAutospacing="1" w:after="100" w:afterAutospacing="1"/>
      <w:jc w:val="center"/>
    </w:pPr>
    <w:rPr>
      <w:rFonts w:cs="Courier New"/>
      <w:b/>
      <w:bCs/>
      <w:color w:val="FF0000"/>
      <w:kern w:val="0"/>
      <w:sz w:val="22"/>
      <w:szCs w:val="22"/>
    </w:rPr>
  </w:style>
  <w:style w:type="paragraph" w:customStyle="1" w:styleId="172">
    <w:name w:val="xl12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73">
    <w:name w:val="Char Char Char11"/>
    <w:basedOn w:val="1"/>
    <w:qFormat/>
    <w:uiPriority w:val="0"/>
    <w:pPr>
      <w:spacing w:after="160" w:line="240" w:lineRule="exact"/>
      <w:jc w:val="left"/>
    </w:pPr>
    <w:rPr>
      <w:szCs w:val="20"/>
    </w:rPr>
  </w:style>
  <w:style w:type="paragraph" w:customStyle="1" w:styleId="174">
    <w:name w:val="xl132"/>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Courier New"/>
      <w:kern w:val="0"/>
      <w:sz w:val="23"/>
      <w:szCs w:val="23"/>
    </w:rPr>
  </w:style>
  <w:style w:type="paragraph" w:customStyle="1" w:styleId="175">
    <w:name w:val="表格内容"/>
    <w:basedOn w:val="1"/>
    <w:qFormat/>
    <w:uiPriority w:val="0"/>
    <w:pPr>
      <w:adjustRightInd w:val="0"/>
      <w:jc w:val="left"/>
    </w:pPr>
  </w:style>
  <w:style w:type="paragraph" w:customStyle="1" w:styleId="176">
    <w:name w:val="修订1"/>
    <w:unhideWhenUsed/>
    <w:qFormat/>
    <w:uiPriority w:val="99"/>
    <w:pPr>
      <w:spacing w:line="360" w:lineRule="auto"/>
      <w:jc w:val="both"/>
    </w:pPr>
    <w:rPr>
      <w:rFonts w:ascii="Courier New" w:hAnsi="Courier New" w:eastAsia="宋体" w:cs="Times New Roman"/>
      <w:kern w:val="2"/>
      <w:sz w:val="21"/>
      <w:szCs w:val="24"/>
      <w:lang w:val="en-US" w:eastAsia="zh-CN" w:bidi="ar-SA"/>
    </w:rPr>
  </w:style>
  <w:style w:type="paragraph" w:customStyle="1" w:styleId="177">
    <w:name w:val="xl15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178">
    <w:name w:val="Char Char Char Char Char Char Char Char Char Char Char Char1 Char"/>
    <w:basedOn w:val="15"/>
    <w:qFormat/>
    <w:uiPriority w:val="0"/>
  </w:style>
  <w:style w:type="paragraph" w:customStyle="1" w:styleId="179">
    <w:name w:val="xl176"/>
    <w:basedOn w:val="1"/>
    <w:qFormat/>
    <w:uiPriority w:val="0"/>
    <w:pPr>
      <w:pBdr>
        <w:top w:val="single" w:color="000000" w:sz="4" w:space="0"/>
        <w:left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180">
    <w:name w:val="正文标号1"/>
    <w:basedOn w:val="1"/>
    <w:qFormat/>
    <w:uiPriority w:val="0"/>
    <w:rPr>
      <w:sz w:val="24"/>
      <w:lang w:val="en-GB"/>
    </w:rPr>
  </w:style>
  <w:style w:type="paragraph" w:customStyle="1" w:styleId="181">
    <w:name w:val="正文 A"/>
    <w:qFormat/>
    <w:uiPriority w:val="0"/>
    <w:pPr>
      <w:widowControl w:val="0"/>
      <w:spacing w:line="360" w:lineRule="auto"/>
      <w:jc w:val="both"/>
    </w:pPr>
    <w:rPr>
      <w:rFonts w:ascii="Courier New" w:hAnsi="Arial Unicode MS" w:eastAsia="宋体" w:cs="Arial Unicode MS"/>
      <w:color w:val="000000"/>
      <w:kern w:val="2"/>
      <w:sz w:val="21"/>
      <w:szCs w:val="21"/>
      <w:u w:color="000000"/>
      <w:lang w:val="en-US" w:eastAsia="zh-CN" w:bidi="ar-SA"/>
    </w:rPr>
  </w:style>
  <w:style w:type="paragraph" w:customStyle="1" w:styleId="182">
    <w:name w:val="xl154"/>
    <w:basedOn w:val="1"/>
    <w:qFormat/>
    <w:uiPriority w:val="0"/>
    <w:pPr>
      <w:pBdr>
        <w:top w:val="single" w:color="auto" w:sz="4" w:space="0"/>
        <w:left w:val="single" w:color="auto" w:sz="4" w:space="0"/>
      </w:pBdr>
      <w:spacing w:before="100" w:beforeAutospacing="1" w:after="100" w:afterAutospacing="1"/>
      <w:jc w:val="left"/>
    </w:pPr>
    <w:rPr>
      <w:rFonts w:cs="Courier New"/>
      <w:b/>
      <w:bCs/>
      <w:kern w:val="0"/>
      <w:sz w:val="23"/>
      <w:szCs w:val="23"/>
    </w:rPr>
  </w:style>
  <w:style w:type="paragraph" w:customStyle="1" w:styleId="183">
    <w:name w:val="xl97"/>
    <w:basedOn w:val="1"/>
    <w:qFormat/>
    <w:uiPriority w:val="0"/>
    <w:pPr>
      <w:spacing w:before="100" w:beforeAutospacing="1" w:after="100" w:afterAutospacing="1"/>
      <w:jc w:val="left"/>
    </w:pPr>
    <w:rPr>
      <w:rFonts w:cs="Courier New"/>
      <w:kern w:val="0"/>
      <w:sz w:val="23"/>
      <w:szCs w:val="23"/>
    </w:rPr>
  </w:style>
  <w:style w:type="paragraph" w:customStyle="1" w:styleId="184">
    <w:name w:val="xl150"/>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85">
    <w:name w:val="xl14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186">
    <w:name w:val="xl18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187">
    <w:name w:val="原点"/>
    <w:basedOn w:val="1"/>
    <w:qFormat/>
    <w:uiPriority w:val="0"/>
    <w:pPr>
      <w:numPr>
        <w:ilvl w:val="0"/>
        <w:numId w:val="1"/>
      </w:numPr>
      <w:tabs>
        <w:tab w:val="left" w:pos="927"/>
      </w:tabs>
      <w:adjustRightInd w:val="0"/>
      <w:ind w:firstLine="200" w:firstLineChars="200"/>
    </w:pPr>
    <w:rPr>
      <w:sz w:val="32"/>
    </w:rPr>
  </w:style>
  <w:style w:type="paragraph" w:customStyle="1" w:styleId="188">
    <w:name w:val="xl142"/>
    <w:basedOn w:val="1"/>
    <w:qFormat/>
    <w:uiPriority w:val="0"/>
    <w:pPr>
      <w:pBdr>
        <w:top w:val="single" w:color="auto" w:sz="4" w:space="0"/>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189">
    <w:name w:val="03表文"/>
    <w:basedOn w:val="1"/>
    <w:qFormat/>
    <w:uiPriority w:val="0"/>
    <w:pPr>
      <w:jc w:val="center"/>
    </w:pPr>
  </w:style>
  <w:style w:type="paragraph" w:customStyle="1" w:styleId="190">
    <w:name w:val="msonormal"/>
    <w:basedOn w:val="1"/>
    <w:qFormat/>
    <w:uiPriority w:val="0"/>
    <w:pPr>
      <w:spacing w:before="100" w:beforeAutospacing="1" w:after="100" w:afterAutospacing="1"/>
      <w:jc w:val="left"/>
    </w:pPr>
    <w:rPr>
      <w:rFonts w:cs="宋体"/>
      <w:kern w:val="0"/>
      <w:sz w:val="24"/>
    </w:rPr>
  </w:style>
  <w:style w:type="paragraph" w:customStyle="1" w:styleId="191">
    <w:name w:val="xl153"/>
    <w:basedOn w:val="1"/>
    <w:qFormat/>
    <w:uiPriority w:val="0"/>
    <w:pPr>
      <w:pBdr>
        <w:top w:val="single" w:color="auto" w:sz="4" w:space="0"/>
        <w:left w:val="single" w:color="auto" w:sz="4" w:space="0"/>
      </w:pBdr>
      <w:spacing w:before="100" w:beforeAutospacing="1" w:after="100" w:afterAutospacing="1"/>
      <w:jc w:val="center"/>
    </w:pPr>
    <w:rPr>
      <w:rFonts w:cs="Courier New"/>
      <w:b/>
      <w:bCs/>
      <w:kern w:val="0"/>
      <w:sz w:val="23"/>
      <w:szCs w:val="23"/>
    </w:rPr>
  </w:style>
  <w:style w:type="paragraph" w:customStyle="1" w:styleId="192">
    <w:name w:val="xl157"/>
    <w:basedOn w:val="1"/>
    <w:qFormat/>
    <w:uiPriority w:val="0"/>
    <w:pPr>
      <w:pBdr>
        <w:top w:val="single" w:color="auto" w:sz="4" w:space="0"/>
      </w:pBdr>
      <w:spacing w:before="100" w:beforeAutospacing="1" w:after="100" w:afterAutospacing="1"/>
      <w:jc w:val="left"/>
    </w:pPr>
    <w:rPr>
      <w:rFonts w:cs="Courier New"/>
      <w:b/>
      <w:bCs/>
      <w:kern w:val="0"/>
      <w:sz w:val="23"/>
      <w:szCs w:val="23"/>
    </w:rPr>
  </w:style>
  <w:style w:type="paragraph" w:customStyle="1" w:styleId="193">
    <w:name w:val="xl13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194">
    <w:name w:val="Char Char"/>
    <w:basedOn w:val="1"/>
    <w:qFormat/>
    <w:uiPriority w:val="0"/>
    <w:pPr>
      <w:spacing w:after="160" w:line="240" w:lineRule="exact"/>
      <w:jc w:val="left"/>
    </w:pPr>
    <w:rPr>
      <w:rFonts w:eastAsia="SimSun-Identity-H"/>
      <w:kern w:val="0"/>
      <w:sz w:val="24"/>
      <w:szCs w:val="20"/>
      <w:lang w:eastAsia="en-US"/>
    </w:rPr>
  </w:style>
  <w:style w:type="paragraph" w:customStyle="1" w:styleId="195">
    <w:name w:val="xl163"/>
    <w:basedOn w:val="1"/>
    <w:qFormat/>
    <w:uiPriority w:val="0"/>
    <w:pPr>
      <w:pBdr>
        <w:top w:val="single" w:color="000000" w:sz="4" w:space="0"/>
        <w:left w:val="single" w:color="000000" w:sz="4" w:space="0"/>
        <w:bottom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196">
    <w:name w:val="xl108"/>
    <w:basedOn w:val="1"/>
    <w:qFormat/>
    <w:uiPriority w:val="0"/>
    <w:pPr>
      <w:pBdr>
        <w:left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197">
    <w:name w:val="xl87"/>
    <w:basedOn w:val="1"/>
    <w:qFormat/>
    <w:uiPriority w:val="0"/>
    <w:pPr>
      <w:spacing w:before="100" w:beforeAutospacing="1" w:after="100" w:afterAutospacing="1"/>
      <w:jc w:val="left"/>
    </w:pPr>
    <w:rPr>
      <w:rFonts w:cs="Courier New"/>
      <w:kern w:val="0"/>
      <w:sz w:val="24"/>
    </w:rPr>
  </w:style>
  <w:style w:type="paragraph" w:customStyle="1" w:styleId="198">
    <w:name w:val="xl171"/>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b/>
      <w:bCs/>
      <w:color w:val="FF0000"/>
      <w:kern w:val="0"/>
      <w:sz w:val="23"/>
      <w:szCs w:val="23"/>
    </w:rPr>
  </w:style>
  <w:style w:type="paragraph" w:customStyle="1" w:styleId="199">
    <w:name w:val="WPSOffice手动目录 2"/>
    <w:qFormat/>
    <w:uiPriority w:val="0"/>
    <w:pPr>
      <w:spacing w:line="360" w:lineRule="auto"/>
      <w:ind w:left="200" w:leftChars="200"/>
      <w:jc w:val="both"/>
    </w:pPr>
    <w:rPr>
      <w:rFonts w:ascii="Courier New" w:hAnsi="Courier New" w:eastAsia="宋体" w:cs="Times New Roman"/>
      <w:kern w:val="2"/>
      <w:sz w:val="21"/>
      <w:szCs w:val="24"/>
      <w:lang w:val="en-US" w:eastAsia="zh-CN" w:bidi="ar-SA"/>
    </w:rPr>
  </w:style>
  <w:style w:type="paragraph" w:customStyle="1" w:styleId="200">
    <w:name w:val="xl96"/>
    <w:basedOn w:val="1"/>
    <w:qFormat/>
    <w:uiPriority w:val="0"/>
    <w:pPr>
      <w:spacing w:before="100" w:beforeAutospacing="1" w:after="100" w:afterAutospacing="1"/>
      <w:jc w:val="left"/>
    </w:pPr>
    <w:rPr>
      <w:rFonts w:cs="Courier New"/>
      <w:color w:val="000000"/>
      <w:kern w:val="0"/>
      <w:sz w:val="23"/>
      <w:szCs w:val="23"/>
    </w:rPr>
  </w:style>
  <w:style w:type="paragraph" w:customStyle="1" w:styleId="201">
    <w:name w:val="Normal1"/>
    <w:basedOn w:val="1"/>
    <w:qFormat/>
    <w:uiPriority w:val="0"/>
    <w:pPr>
      <w:tabs>
        <w:tab w:val="left" w:pos="840"/>
      </w:tabs>
      <w:ind w:left="840" w:hanging="420"/>
    </w:pPr>
    <w:rPr>
      <w:rFonts w:eastAsia="@文鼎CS中黑"/>
      <w:kern w:val="0"/>
      <w:szCs w:val="21"/>
    </w:rPr>
  </w:style>
  <w:style w:type="paragraph" w:customStyle="1" w:styleId="202">
    <w:name w:val="xl25"/>
    <w:basedOn w:val="1"/>
    <w:qFormat/>
    <w:uiPriority w:val="0"/>
    <w:pPr>
      <w:pBdr>
        <w:bottom w:val="single" w:color="auto" w:sz="4" w:space="0"/>
        <w:right w:val="single" w:color="auto" w:sz="4" w:space="0"/>
      </w:pBdr>
      <w:spacing w:before="100" w:beforeAutospacing="1" w:after="100" w:afterAutospacing="1"/>
      <w:jc w:val="center"/>
    </w:pPr>
    <w:rPr>
      <w:kern w:val="0"/>
      <w:szCs w:val="21"/>
    </w:rPr>
  </w:style>
  <w:style w:type="paragraph" w:customStyle="1" w:styleId="203">
    <w:name w:val="xl13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04">
    <w:name w:val="xl155"/>
    <w:basedOn w:val="1"/>
    <w:qFormat/>
    <w:uiPriority w:val="0"/>
    <w:pPr>
      <w:pBdr>
        <w:top w:val="single" w:color="auto" w:sz="4" w:space="0"/>
      </w:pBdr>
      <w:spacing w:before="100" w:beforeAutospacing="1" w:after="100" w:afterAutospacing="1"/>
      <w:jc w:val="center"/>
    </w:pPr>
    <w:rPr>
      <w:rFonts w:cs="Courier New"/>
      <w:b/>
      <w:bCs/>
      <w:kern w:val="0"/>
      <w:sz w:val="23"/>
      <w:szCs w:val="23"/>
    </w:rPr>
  </w:style>
  <w:style w:type="paragraph" w:customStyle="1" w:styleId="205">
    <w:name w:val="xl11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06">
    <w:name w:val="xl19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07">
    <w:name w:val="xl107"/>
    <w:basedOn w:val="1"/>
    <w:qFormat/>
    <w:uiPriority w:val="0"/>
    <w:pPr>
      <w:pBdr>
        <w:left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208">
    <w:name w:val="xl200"/>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09">
    <w:name w:val="xl170"/>
    <w:basedOn w:val="1"/>
    <w:qFormat/>
    <w:uiPriority w:val="0"/>
    <w:pPr>
      <w:pBdr>
        <w:top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210">
    <w:name w:val="xl196"/>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11">
    <w:name w:val="xl174"/>
    <w:basedOn w:val="1"/>
    <w:qFormat/>
    <w:uiPriority w:val="0"/>
    <w:pPr>
      <w:pBdr>
        <w:top w:val="single" w:color="000000" w:sz="4" w:space="0"/>
        <w:left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212">
    <w:name w:val="xl94"/>
    <w:basedOn w:val="1"/>
    <w:qFormat/>
    <w:uiPriority w:val="0"/>
    <w:pPr>
      <w:spacing w:before="100" w:beforeAutospacing="1" w:after="100" w:afterAutospacing="1"/>
      <w:jc w:val="left"/>
    </w:pPr>
    <w:rPr>
      <w:rFonts w:cs="Courier New"/>
      <w:kern w:val="0"/>
      <w:sz w:val="23"/>
      <w:szCs w:val="23"/>
    </w:rPr>
  </w:style>
  <w:style w:type="paragraph" w:customStyle="1" w:styleId="213">
    <w:name w:val="xl141"/>
    <w:basedOn w:val="1"/>
    <w:qFormat/>
    <w:uiPriority w:val="0"/>
    <w:pPr>
      <w:pBdr>
        <w:bottom w:val="single" w:color="auto" w:sz="4" w:space="0"/>
        <w:right w:val="single" w:color="auto" w:sz="4" w:space="0"/>
      </w:pBdr>
      <w:spacing w:before="100" w:beforeAutospacing="1" w:after="100" w:afterAutospacing="1"/>
      <w:jc w:val="left"/>
    </w:pPr>
    <w:rPr>
      <w:rFonts w:cs="Courier New"/>
      <w:b/>
      <w:bCs/>
      <w:kern w:val="0"/>
      <w:sz w:val="23"/>
      <w:szCs w:val="23"/>
    </w:rPr>
  </w:style>
  <w:style w:type="paragraph" w:customStyle="1" w:styleId="214">
    <w:name w:val="xl76"/>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215">
    <w:name w:val="xl109"/>
    <w:basedOn w:val="1"/>
    <w:qFormat/>
    <w:uiPriority w:val="0"/>
    <w:pPr>
      <w:pBdr>
        <w:bottom w:val="single" w:color="auto" w:sz="4" w:space="0"/>
      </w:pBdr>
      <w:spacing w:before="100" w:beforeAutospacing="1" w:after="100" w:afterAutospacing="1"/>
      <w:jc w:val="center"/>
    </w:pPr>
    <w:rPr>
      <w:rFonts w:cs="Courier New"/>
      <w:b/>
      <w:bCs/>
      <w:kern w:val="0"/>
      <w:sz w:val="23"/>
      <w:szCs w:val="23"/>
    </w:rPr>
  </w:style>
  <w:style w:type="paragraph" w:customStyle="1" w:styleId="216">
    <w:name w:val="xl13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color w:val="000000"/>
      <w:kern w:val="0"/>
      <w:sz w:val="22"/>
      <w:szCs w:val="22"/>
    </w:rPr>
  </w:style>
  <w:style w:type="paragraph" w:customStyle="1" w:styleId="217">
    <w:name w:val="xl15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18">
    <w:name w:val="xl18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2"/>
      <w:szCs w:val="22"/>
    </w:rPr>
  </w:style>
  <w:style w:type="paragraph" w:customStyle="1" w:styleId="219">
    <w:name w:val="xl101"/>
    <w:basedOn w:val="1"/>
    <w:qFormat/>
    <w:uiPriority w:val="0"/>
    <w:pPr>
      <w:spacing w:before="100" w:beforeAutospacing="1" w:after="100" w:afterAutospacing="1"/>
      <w:jc w:val="center"/>
    </w:pPr>
    <w:rPr>
      <w:rFonts w:cs="Courier New"/>
      <w:color w:val="FF0000"/>
      <w:kern w:val="0"/>
      <w:sz w:val="22"/>
      <w:szCs w:val="22"/>
    </w:rPr>
  </w:style>
  <w:style w:type="paragraph" w:customStyle="1" w:styleId="220">
    <w:name w:val="font7"/>
    <w:basedOn w:val="1"/>
    <w:qFormat/>
    <w:uiPriority w:val="0"/>
    <w:pPr>
      <w:spacing w:before="100" w:beforeAutospacing="1" w:after="100" w:afterAutospacing="1"/>
      <w:jc w:val="left"/>
    </w:pPr>
    <w:rPr>
      <w:rFonts w:cs="Courier New"/>
      <w:kern w:val="0"/>
      <w:sz w:val="22"/>
      <w:szCs w:val="22"/>
    </w:rPr>
  </w:style>
  <w:style w:type="paragraph" w:customStyle="1" w:styleId="221">
    <w:name w:val="xl173"/>
    <w:basedOn w:val="1"/>
    <w:qFormat/>
    <w:uiPriority w:val="0"/>
    <w:pPr>
      <w:pBdr>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22">
    <w:name w:val="xl165"/>
    <w:basedOn w:val="1"/>
    <w:qFormat/>
    <w:uiPriority w:val="0"/>
    <w:pPr>
      <w:pBdr>
        <w:top w:val="single" w:color="auto" w:sz="4" w:space="0"/>
        <w:left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23">
    <w:name w:val="xl99"/>
    <w:basedOn w:val="1"/>
    <w:qFormat/>
    <w:uiPriority w:val="0"/>
    <w:pPr>
      <w:spacing w:before="100" w:beforeAutospacing="1" w:after="100" w:afterAutospacing="1"/>
      <w:jc w:val="center"/>
    </w:pPr>
    <w:rPr>
      <w:rFonts w:cs="Courier New"/>
      <w:color w:val="FF0000"/>
      <w:kern w:val="0"/>
      <w:sz w:val="23"/>
      <w:szCs w:val="23"/>
    </w:rPr>
  </w:style>
  <w:style w:type="paragraph" w:customStyle="1" w:styleId="224">
    <w:name w:val="xl83"/>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宋体"/>
      <w:b/>
      <w:bCs/>
      <w:kern w:val="0"/>
      <w:sz w:val="22"/>
      <w:szCs w:val="22"/>
    </w:rPr>
  </w:style>
  <w:style w:type="paragraph" w:customStyle="1" w:styleId="225">
    <w:name w:val="xl111"/>
    <w:basedOn w:val="1"/>
    <w:qFormat/>
    <w:uiPriority w:val="0"/>
    <w:pPr>
      <w:pBdr>
        <w:bottom w:val="single" w:color="auto" w:sz="4" w:space="0"/>
      </w:pBdr>
      <w:spacing w:before="100" w:beforeAutospacing="1" w:after="100" w:afterAutospacing="1"/>
      <w:jc w:val="left"/>
    </w:pPr>
    <w:rPr>
      <w:rFonts w:cs="Courier New"/>
      <w:b/>
      <w:bCs/>
      <w:kern w:val="0"/>
      <w:sz w:val="23"/>
      <w:szCs w:val="23"/>
    </w:rPr>
  </w:style>
  <w:style w:type="paragraph" w:customStyle="1" w:styleId="226">
    <w:name w:val="xl13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27">
    <w:name w:val="xl95"/>
    <w:basedOn w:val="1"/>
    <w:qFormat/>
    <w:uiPriority w:val="0"/>
    <w:pPr>
      <w:shd w:val="clear" w:color="000000" w:fill="FFFFFF"/>
      <w:spacing w:before="100" w:beforeAutospacing="1" w:after="100" w:afterAutospacing="1"/>
      <w:jc w:val="left"/>
    </w:pPr>
    <w:rPr>
      <w:rFonts w:cs="Courier New"/>
      <w:color w:val="000000"/>
      <w:kern w:val="0"/>
      <w:sz w:val="23"/>
      <w:szCs w:val="23"/>
    </w:rPr>
  </w:style>
  <w:style w:type="paragraph" w:customStyle="1" w:styleId="228">
    <w:name w:val="xl181"/>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29">
    <w:name w:val="正文内容"/>
    <w:basedOn w:val="1"/>
    <w:qFormat/>
    <w:uiPriority w:val="0"/>
    <w:rPr>
      <w:rFonts w:ascii="Wingdings" w:hAnsi="Wingdings"/>
      <w:spacing w:val="-12"/>
      <w:szCs w:val="20"/>
    </w:rPr>
  </w:style>
  <w:style w:type="paragraph" w:customStyle="1" w:styleId="230">
    <w:name w:val="xl11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31">
    <w:name w:val="xl189"/>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32">
    <w:name w:val="xl92"/>
    <w:basedOn w:val="1"/>
    <w:qFormat/>
    <w:uiPriority w:val="0"/>
    <w:pPr>
      <w:shd w:val="clear" w:color="000000" w:fill="FFFFFF"/>
      <w:spacing w:before="100" w:beforeAutospacing="1" w:after="100" w:afterAutospacing="1"/>
      <w:jc w:val="left"/>
    </w:pPr>
    <w:rPr>
      <w:rFonts w:cs="Courier New"/>
      <w:kern w:val="0"/>
      <w:sz w:val="23"/>
      <w:szCs w:val="23"/>
    </w:rPr>
  </w:style>
  <w:style w:type="paragraph" w:customStyle="1" w:styleId="233">
    <w:name w:val="xl10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34">
    <w:name w:val="xl19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color w:val="000000"/>
      <w:kern w:val="0"/>
      <w:sz w:val="22"/>
      <w:szCs w:val="22"/>
    </w:rPr>
  </w:style>
  <w:style w:type="paragraph" w:customStyle="1" w:styleId="235">
    <w:name w:val="xl14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36">
    <w:name w:val="xl14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37">
    <w:name w:val="xl156"/>
    <w:basedOn w:val="1"/>
    <w:qFormat/>
    <w:uiPriority w:val="0"/>
    <w:pPr>
      <w:pBdr>
        <w:top w:val="single" w:color="auto" w:sz="4" w:space="0"/>
      </w:pBdr>
      <w:spacing w:before="100" w:beforeAutospacing="1" w:after="100" w:afterAutospacing="1"/>
      <w:jc w:val="left"/>
    </w:pPr>
    <w:rPr>
      <w:rFonts w:cs="Courier New"/>
      <w:b/>
      <w:bCs/>
      <w:kern w:val="0"/>
      <w:sz w:val="23"/>
      <w:szCs w:val="23"/>
    </w:rPr>
  </w:style>
  <w:style w:type="paragraph" w:customStyle="1" w:styleId="238">
    <w:name w:val="xl201"/>
    <w:basedOn w:val="1"/>
    <w:qFormat/>
    <w:uiPriority w:val="0"/>
    <w:pPr>
      <w:pBdr>
        <w:bottom w:val="single" w:color="auto" w:sz="4" w:space="0"/>
      </w:pBdr>
      <w:spacing w:before="100" w:beforeAutospacing="1" w:after="100" w:afterAutospacing="1"/>
      <w:jc w:val="center"/>
    </w:pPr>
    <w:rPr>
      <w:rFonts w:cs="Courier New"/>
      <w:b/>
      <w:bCs/>
      <w:kern w:val="0"/>
      <w:sz w:val="36"/>
      <w:szCs w:val="36"/>
    </w:rPr>
  </w:style>
  <w:style w:type="paragraph" w:customStyle="1" w:styleId="239">
    <w:name w:val="Char Char Char Char Char Char Char"/>
    <w:basedOn w:val="1"/>
    <w:qFormat/>
    <w:uiPriority w:val="0"/>
    <w:pPr>
      <w:tabs>
        <w:tab w:val="left" w:pos="425"/>
      </w:tabs>
      <w:ind w:left="425" w:hanging="425"/>
    </w:pPr>
    <w:rPr>
      <w:rFonts w:eastAsia="SimSun-Identity-H"/>
      <w:kern w:val="24"/>
      <w:sz w:val="24"/>
    </w:rPr>
  </w:style>
  <w:style w:type="paragraph" w:customStyle="1" w:styleId="240">
    <w:name w:val="WPSOffice手动目录 1"/>
    <w:qFormat/>
    <w:uiPriority w:val="0"/>
    <w:pPr>
      <w:spacing w:line="360" w:lineRule="auto"/>
      <w:jc w:val="both"/>
    </w:pPr>
    <w:rPr>
      <w:rFonts w:ascii="Courier New" w:hAnsi="Courier New" w:eastAsia="宋体" w:cs="Times New Roman"/>
      <w:kern w:val="2"/>
      <w:sz w:val="21"/>
      <w:szCs w:val="24"/>
      <w:lang w:val="en-US" w:eastAsia="zh-CN" w:bidi="ar-SA"/>
    </w:rPr>
  </w:style>
  <w:style w:type="paragraph" w:customStyle="1" w:styleId="241">
    <w:name w:val="xl183"/>
    <w:basedOn w:val="1"/>
    <w:qFormat/>
    <w:uiPriority w:val="0"/>
    <w:pPr>
      <w:pBdr>
        <w:top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42">
    <w:name w:val="xl192"/>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243">
    <w:name w:val="xl140"/>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kern w:val="0"/>
      <w:sz w:val="24"/>
    </w:rPr>
  </w:style>
  <w:style w:type="paragraph" w:customStyle="1" w:styleId="244">
    <w:name w:val="xl180"/>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245">
    <w:name w:val="Char Char11"/>
    <w:basedOn w:val="1"/>
    <w:qFormat/>
    <w:uiPriority w:val="0"/>
    <w:rPr>
      <w:b/>
      <w:sz w:val="28"/>
      <w:szCs w:val="28"/>
    </w:rPr>
  </w:style>
  <w:style w:type="paragraph" w:customStyle="1" w:styleId="246">
    <w:name w:val="xl167"/>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47">
    <w:name w:val="font8"/>
    <w:basedOn w:val="1"/>
    <w:qFormat/>
    <w:uiPriority w:val="0"/>
    <w:pPr>
      <w:spacing w:before="100" w:beforeAutospacing="1" w:after="100" w:afterAutospacing="1"/>
      <w:jc w:val="left"/>
    </w:pPr>
    <w:rPr>
      <w:rFonts w:cs="Courier New"/>
      <w:b/>
      <w:bCs/>
      <w:kern w:val="0"/>
      <w:sz w:val="22"/>
      <w:szCs w:val="22"/>
    </w:rPr>
  </w:style>
  <w:style w:type="paragraph" w:customStyle="1" w:styleId="248">
    <w:name w:val="xl110"/>
    <w:basedOn w:val="1"/>
    <w:qFormat/>
    <w:uiPriority w:val="0"/>
    <w:pPr>
      <w:pBdr>
        <w:bottom w:val="single" w:color="auto" w:sz="4" w:space="0"/>
      </w:pBdr>
      <w:spacing w:before="100" w:beforeAutospacing="1" w:after="100" w:afterAutospacing="1"/>
      <w:jc w:val="left"/>
    </w:pPr>
    <w:rPr>
      <w:rFonts w:cs="Courier New"/>
      <w:b/>
      <w:bCs/>
      <w:kern w:val="0"/>
      <w:sz w:val="23"/>
      <w:szCs w:val="23"/>
    </w:rPr>
  </w:style>
  <w:style w:type="paragraph" w:customStyle="1" w:styleId="249">
    <w:name w:val="xl103"/>
    <w:basedOn w:val="1"/>
    <w:qFormat/>
    <w:uiPriority w:val="0"/>
    <w:pPr>
      <w:spacing w:before="100" w:beforeAutospacing="1" w:after="100" w:afterAutospacing="1"/>
      <w:jc w:val="left"/>
    </w:pPr>
    <w:rPr>
      <w:rFonts w:cs="Courier New"/>
      <w:color w:val="FF0000"/>
      <w:kern w:val="0"/>
      <w:sz w:val="24"/>
    </w:rPr>
  </w:style>
  <w:style w:type="paragraph" w:customStyle="1" w:styleId="250">
    <w:name w:val="样式4"/>
    <w:basedOn w:val="1"/>
    <w:qFormat/>
    <w:uiPriority w:val="0"/>
    <w:pPr>
      <w:tabs>
        <w:tab w:val="left" w:pos="874"/>
      </w:tabs>
      <w:ind w:left="874" w:hanging="420"/>
    </w:pPr>
    <w:rPr>
      <w:sz w:val="24"/>
    </w:rPr>
  </w:style>
  <w:style w:type="paragraph" w:customStyle="1" w:styleId="251">
    <w:name w:val="xl86"/>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color w:val="000000"/>
      <w:kern w:val="0"/>
      <w:sz w:val="18"/>
      <w:szCs w:val="18"/>
    </w:rPr>
  </w:style>
  <w:style w:type="paragraph" w:customStyle="1" w:styleId="252">
    <w:name w:val="xl160"/>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253">
    <w:name w:val="msolistparagraph"/>
    <w:basedOn w:val="1"/>
    <w:qFormat/>
    <w:uiPriority w:val="0"/>
    <w:pPr>
      <w:ind w:firstLine="420" w:firstLineChars="200"/>
    </w:pPr>
  </w:style>
  <w:style w:type="paragraph" w:styleId="254">
    <w:name w:val="No Spacing"/>
    <w:qFormat/>
    <w:uiPriority w:val="1"/>
    <w:pPr>
      <w:widowControl w:val="0"/>
      <w:spacing w:line="360" w:lineRule="auto"/>
      <w:jc w:val="both"/>
    </w:pPr>
    <w:rPr>
      <w:rFonts w:ascii="Courier New" w:hAnsi="Courier New" w:eastAsia="宋体" w:cs="Times New Roman"/>
      <w:kern w:val="2"/>
      <w:sz w:val="24"/>
      <w:szCs w:val="22"/>
      <w:lang w:val="en-US" w:eastAsia="zh-CN" w:bidi="ar-SA"/>
    </w:rPr>
  </w:style>
  <w:style w:type="paragraph" w:customStyle="1" w:styleId="255">
    <w:name w:val="xl85"/>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kern w:val="0"/>
      <w:sz w:val="18"/>
      <w:szCs w:val="18"/>
    </w:rPr>
  </w:style>
  <w:style w:type="paragraph" w:customStyle="1" w:styleId="256">
    <w:name w:val="xl93"/>
    <w:basedOn w:val="1"/>
    <w:qFormat/>
    <w:uiPriority w:val="0"/>
    <w:pPr>
      <w:spacing w:before="100" w:beforeAutospacing="1" w:after="100" w:afterAutospacing="1"/>
      <w:jc w:val="left"/>
    </w:pPr>
    <w:rPr>
      <w:rFonts w:cs="Courier New"/>
      <w:kern w:val="0"/>
      <w:sz w:val="23"/>
      <w:szCs w:val="23"/>
    </w:rPr>
  </w:style>
  <w:style w:type="paragraph" w:customStyle="1" w:styleId="257">
    <w:name w:val="xl169"/>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pPr>
    <w:rPr>
      <w:rFonts w:cs="Courier New"/>
      <w:kern w:val="0"/>
      <w:sz w:val="23"/>
      <w:szCs w:val="23"/>
    </w:rPr>
  </w:style>
  <w:style w:type="paragraph" w:customStyle="1" w:styleId="258">
    <w:name w:val="xl115"/>
    <w:basedOn w:val="1"/>
    <w:qFormat/>
    <w:uiPriority w:val="0"/>
    <w:pPr>
      <w:pBdr>
        <w:top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59">
    <w:name w:val="xl13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b/>
      <w:bCs/>
      <w:kern w:val="0"/>
      <w:sz w:val="22"/>
      <w:szCs w:val="22"/>
    </w:rPr>
  </w:style>
  <w:style w:type="paragraph" w:customStyle="1" w:styleId="260">
    <w:name w:val="xl18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color w:val="000000"/>
      <w:kern w:val="0"/>
      <w:sz w:val="23"/>
      <w:szCs w:val="23"/>
    </w:rPr>
  </w:style>
  <w:style w:type="paragraph" w:customStyle="1" w:styleId="261">
    <w:name w:val="xl11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62">
    <w:name w:val="p0"/>
    <w:basedOn w:val="1"/>
    <w:qFormat/>
    <w:uiPriority w:val="0"/>
    <w:rPr>
      <w:rFonts w:ascii="华文中宋" w:hAnsi="华文中宋" w:cs="Courier New"/>
      <w:kern w:val="0"/>
      <w:szCs w:val="21"/>
    </w:rPr>
  </w:style>
  <w:style w:type="paragraph" w:customStyle="1" w:styleId="263">
    <w:name w:val="Char"/>
    <w:basedOn w:val="1"/>
    <w:qFormat/>
    <w:uiPriority w:val="0"/>
    <w:pPr>
      <w:spacing w:after="160" w:line="240" w:lineRule="exact"/>
      <w:jc w:val="left"/>
    </w:pPr>
    <w:rPr>
      <w:kern w:val="0"/>
      <w:szCs w:val="20"/>
      <w:lang w:eastAsia="en-US"/>
    </w:rPr>
  </w:style>
  <w:style w:type="paragraph" w:customStyle="1" w:styleId="264">
    <w:name w:val="xl98"/>
    <w:basedOn w:val="1"/>
    <w:qFormat/>
    <w:uiPriority w:val="0"/>
    <w:pPr>
      <w:spacing w:before="100" w:beforeAutospacing="1" w:after="100" w:afterAutospacing="1"/>
      <w:jc w:val="left"/>
    </w:pPr>
    <w:rPr>
      <w:rFonts w:cs="Courier New"/>
      <w:kern w:val="0"/>
      <w:sz w:val="23"/>
      <w:szCs w:val="23"/>
    </w:rPr>
  </w:style>
  <w:style w:type="paragraph" w:customStyle="1" w:styleId="265">
    <w:name w:val="4"/>
    <w:qFormat/>
    <w:uiPriority w:val="0"/>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 w:val="left" w:pos="13440"/>
        <w:tab w:val="left" w:pos="13860"/>
        <w:tab w:val="left" w:pos="14280"/>
        <w:tab w:val="left" w:pos="14700"/>
        <w:tab w:val="left" w:pos="15120"/>
        <w:tab w:val="left" w:pos="15540"/>
        <w:tab w:val="left" w:pos="15960"/>
        <w:tab w:val="left" w:pos="16380"/>
        <w:tab w:val="left" w:pos="16800"/>
      </w:tabs>
      <w:autoSpaceDE w:val="0"/>
      <w:autoSpaceDN w:val="0"/>
      <w:adjustRightInd w:val="0"/>
      <w:spacing w:before="113" w:after="57" w:line="300" w:lineRule="atLeast"/>
      <w:jc w:val="both"/>
    </w:pPr>
    <w:rPr>
      <w:rFonts w:ascii="仿宋_GB2312" w:hAnsi="Courier New" w:eastAsia="仿宋_GB2312" w:cs="Times New Roman"/>
      <w:color w:val="000000"/>
      <w:kern w:val="2"/>
      <w:sz w:val="21"/>
      <w:szCs w:val="24"/>
      <w:lang w:val="en-US" w:eastAsia="zh-CN" w:bidi="ar-SA"/>
    </w:rPr>
  </w:style>
  <w:style w:type="paragraph" w:customStyle="1" w:styleId="266">
    <w:name w:val="xl15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2"/>
      <w:szCs w:val="22"/>
    </w:rPr>
  </w:style>
  <w:style w:type="paragraph" w:customStyle="1" w:styleId="267">
    <w:name w:val="font9"/>
    <w:basedOn w:val="1"/>
    <w:qFormat/>
    <w:uiPriority w:val="0"/>
    <w:pPr>
      <w:spacing w:before="100" w:beforeAutospacing="1" w:after="100" w:afterAutospacing="1"/>
      <w:jc w:val="left"/>
    </w:pPr>
    <w:rPr>
      <w:rFonts w:cs="Courier New"/>
      <w:kern w:val="0"/>
      <w:sz w:val="23"/>
      <w:szCs w:val="23"/>
    </w:rPr>
  </w:style>
  <w:style w:type="paragraph" w:customStyle="1" w:styleId="268">
    <w:name w:val="xl197"/>
    <w:basedOn w:val="1"/>
    <w:qFormat/>
    <w:uiPriority w:val="0"/>
    <w:pPr>
      <w:pBdr>
        <w:top w:val="single" w:color="auto" w:sz="4" w:space="0"/>
        <w:left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269">
    <w:name w:val="xl168"/>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cs="Courier New"/>
      <w:kern w:val="0"/>
      <w:sz w:val="22"/>
      <w:szCs w:val="22"/>
    </w:rPr>
  </w:style>
  <w:style w:type="paragraph" w:customStyle="1" w:styleId="270">
    <w:name w:val="列表段落1"/>
    <w:basedOn w:val="1"/>
    <w:qFormat/>
    <w:uiPriority w:val="34"/>
    <w:pPr>
      <w:ind w:firstLine="420" w:firstLineChars="200"/>
    </w:pPr>
    <w:rPr>
      <w:szCs w:val="20"/>
    </w:rPr>
  </w:style>
  <w:style w:type="paragraph" w:customStyle="1" w:styleId="271">
    <w:name w:val="xl166"/>
    <w:basedOn w:val="1"/>
    <w:qFormat/>
    <w:uiPriority w:val="0"/>
    <w:pPr>
      <w:pBdr>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2">
    <w:name w:val="Char1 Char Char Char"/>
    <w:basedOn w:val="1"/>
    <w:qFormat/>
    <w:uiPriority w:val="0"/>
    <w:pPr>
      <w:tabs>
        <w:tab w:val="left" w:pos="360"/>
      </w:tabs>
    </w:pPr>
    <w:rPr>
      <w:sz w:val="24"/>
    </w:rPr>
  </w:style>
  <w:style w:type="paragraph" w:customStyle="1" w:styleId="273">
    <w:name w:val="xl113"/>
    <w:basedOn w:val="1"/>
    <w:qFormat/>
    <w:uiPriority w:val="0"/>
    <w:pPr>
      <w:pBdr>
        <w:top w:val="single" w:color="auto" w:sz="4" w:space="0"/>
        <w:left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74">
    <w:name w:val="xl123"/>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75">
    <w:name w:val="xl112"/>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cs="Courier New"/>
      <w:b/>
      <w:bCs/>
      <w:kern w:val="0"/>
      <w:sz w:val="23"/>
      <w:szCs w:val="23"/>
    </w:rPr>
  </w:style>
  <w:style w:type="paragraph" w:customStyle="1" w:styleId="276">
    <w:name w:val="5"/>
    <w:qFormat/>
    <w:uiPriority w:val="0"/>
    <w:pPr>
      <w:widowControl w:val="0"/>
      <w:tabs>
        <w:tab w:val="left" w:pos="1984"/>
      </w:tabs>
      <w:autoSpaceDE w:val="0"/>
      <w:autoSpaceDN w:val="0"/>
      <w:adjustRightInd w:val="0"/>
      <w:spacing w:line="290" w:lineRule="atLeast"/>
      <w:jc w:val="both"/>
    </w:pPr>
    <w:rPr>
      <w:rFonts w:ascii="Cambria Math" w:hAnsi="Courier New" w:eastAsia="宋体" w:cs="Times New Roman"/>
      <w:kern w:val="2"/>
      <w:sz w:val="21"/>
      <w:szCs w:val="24"/>
      <w:lang w:val="en-US" w:eastAsia="zh-CN" w:bidi="ar-SA"/>
    </w:rPr>
  </w:style>
  <w:style w:type="paragraph" w:customStyle="1" w:styleId="277">
    <w:name w:val="xl116"/>
    <w:basedOn w:val="1"/>
    <w:qFormat/>
    <w:uiPriority w:val="0"/>
    <w:pPr>
      <w:pBdr>
        <w:top w:val="single" w:color="auto" w:sz="4" w:space="0"/>
        <w:bottom w:val="single" w:color="auto" w:sz="4" w:space="0"/>
      </w:pBdr>
      <w:spacing w:before="100" w:beforeAutospacing="1" w:after="100" w:afterAutospacing="1"/>
      <w:jc w:val="left"/>
    </w:pPr>
    <w:rPr>
      <w:rFonts w:cs="Courier New"/>
      <w:b/>
      <w:bCs/>
      <w:kern w:val="0"/>
      <w:sz w:val="23"/>
      <w:szCs w:val="23"/>
    </w:rPr>
  </w:style>
  <w:style w:type="paragraph" w:customStyle="1" w:styleId="278">
    <w:name w:val="xl182"/>
    <w:basedOn w:val="1"/>
    <w:qFormat/>
    <w:uiPriority w:val="0"/>
    <w:pPr>
      <w:pBdr>
        <w:left w:val="single" w:color="000000" w:sz="4" w:space="0"/>
        <w:bottom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279">
    <w:name w:val="节"/>
    <w:basedOn w:val="3"/>
    <w:qFormat/>
    <w:uiPriority w:val="0"/>
    <w:pPr>
      <w:numPr>
        <w:ilvl w:val="1"/>
        <w:numId w:val="2"/>
      </w:numPr>
      <w:tabs>
        <w:tab w:val="left" w:pos="432"/>
        <w:tab w:val="left" w:pos="576"/>
      </w:tabs>
      <w:spacing w:before="0" w:after="0" w:line="240" w:lineRule="auto"/>
    </w:pPr>
    <w:rPr>
      <w:rFonts w:ascii="黑体" w:hAnsi="Times New Roman" w:eastAsia="微软雅黑"/>
      <w:b w:val="0"/>
      <w:bCs w:val="0"/>
      <w:szCs w:val="28"/>
    </w:rPr>
  </w:style>
  <w:style w:type="paragraph" w:customStyle="1" w:styleId="280">
    <w:name w:val="xl13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281">
    <w:name w:val="题注5"/>
    <w:basedOn w:val="1"/>
    <w:next w:val="14"/>
    <w:qFormat/>
    <w:uiPriority w:val="0"/>
    <w:pPr>
      <w:jc w:val="center"/>
    </w:pPr>
    <w:rPr>
      <w:b/>
      <w:color w:val="000000"/>
      <w:sz w:val="24"/>
      <w:szCs w:val="21"/>
    </w:rPr>
  </w:style>
  <w:style w:type="paragraph" w:customStyle="1" w:styleId="282">
    <w:name w:val="xl193"/>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cs="Courier New"/>
      <w:color w:val="000000"/>
      <w:kern w:val="0"/>
      <w:sz w:val="23"/>
      <w:szCs w:val="23"/>
    </w:rPr>
  </w:style>
  <w:style w:type="paragraph" w:customStyle="1" w:styleId="283">
    <w:name w:val="Char Char2 Char"/>
    <w:basedOn w:val="1"/>
    <w:qFormat/>
    <w:uiPriority w:val="0"/>
    <w:pPr>
      <w:keepNext/>
      <w:keepLines/>
      <w:pageBreakBefore/>
      <w:tabs>
        <w:tab w:val="left" w:pos="845"/>
      </w:tabs>
      <w:ind w:left="845" w:hanging="420"/>
    </w:pPr>
    <w:rPr>
      <w:rFonts w:ascii="仿宋" w:hAnsi="仿宋"/>
      <w:sz w:val="24"/>
      <w:szCs w:val="20"/>
    </w:rPr>
  </w:style>
  <w:style w:type="paragraph" w:customStyle="1" w:styleId="284">
    <w:name w:val="Char Char Char Char Char Char1 Char"/>
    <w:basedOn w:val="1"/>
    <w:qFormat/>
    <w:uiPriority w:val="0"/>
    <w:pPr>
      <w:spacing w:after="160" w:line="240" w:lineRule="exact"/>
      <w:jc w:val="left"/>
    </w:pPr>
    <w:rPr>
      <w:kern w:val="0"/>
      <w:szCs w:val="20"/>
      <w:lang w:eastAsia="en-US"/>
    </w:rPr>
  </w:style>
  <w:style w:type="paragraph" w:customStyle="1" w:styleId="285">
    <w:name w:val="xl100"/>
    <w:basedOn w:val="1"/>
    <w:qFormat/>
    <w:uiPriority w:val="0"/>
    <w:pPr>
      <w:spacing w:before="100" w:beforeAutospacing="1" w:after="100" w:afterAutospacing="1"/>
      <w:jc w:val="left"/>
    </w:pPr>
    <w:rPr>
      <w:rFonts w:cs="Courier New"/>
      <w:color w:val="FF0000"/>
      <w:kern w:val="0"/>
      <w:sz w:val="22"/>
      <w:szCs w:val="22"/>
    </w:rPr>
  </w:style>
  <w:style w:type="paragraph" w:customStyle="1" w:styleId="286">
    <w:name w:val="首行缩进"/>
    <w:basedOn w:val="1"/>
    <w:qFormat/>
    <w:uiPriority w:val="0"/>
    <w:pPr>
      <w:ind w:firstLine="480" w:firstLineChars="200"/>
    </w:pPr>
    <w:rPr>
      <w:rFonts w:ascii="微软雅黑" w:hAnsi="微软雅黑"/>
      <w:lang w:val="zh-CN"/>
    </w:rPr>
  </w:style>
  <w:style w:type="paragraph" w:customStyle="1" w:styleId="287">
    <w:name w:val="xl12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cs="Courier New"/>
      <w:kern w:val="0"/>
      <w:sz w:val="23"/>
      <w:szCs w:val="23"/>
    </w:rPr>
  </w:style>
  <w:style w:type="paragraph" w:customStyle="1" w:styleId="288">
    <w:name w:val="原点第二行"/>
    <w:basedOn w:val="187"/>
    <w:qFormat/>
    <w:uiPriority w:val="0"/>
    <w:pPr>
      <w:numPr>
        <w:numId w:val="0"/>
      </w:numPr>
      <w:ind w:left="567" w:firstLine="420"/>
    </w:pPr>
  </w:style>
  <w:style w:type="paragraph" w:customStyle="1" w:styleId="289">
    <w:name w:val="È±Ê¡ÎÄ±¾"/>
    <w:basedOn w:val="1"/>
    <w:qFormat/>
    <w:uiPriority w:val="0"/>
    <w:pPr>
      <w:overflowPunct w:val="0"/>
      <w:autoSpaceDE w:val="0"/>
      <w:autoSpaceDN w:val="0"/>
      <w:adjustRightInd w:val="0"/>
      <w:textAlignment w:val="baseline"/>
    </w:pPr>
    <w:rPr>
      <w:kern w:val="0"/>
      <w:szCs w:val="20"/>
    </w:rPr>
  </w:style>
  <w:style w:type="paragraph" w:customStyle="1" w:styleId="290">
    <w:name w:val="Char Char Char Char Char Char Char Char Char Char"/>
    <w:basedOn w:val="1"/>
    <w:qFormat/>
    <w:uiPriority w:val="0"/>
    <w:pPr>
      <w:adjustRightInd w:val="0"/>
    </w:pPr>
    <w:rPr>
      <w:kern w:val="0"/>
      <w:sz w:val="24"/>
      <w:szCs w:val="20"/>
    </w:rPr>
  </w:style>
  <w:style w:type="paragraph" w:customStyle="1" w:styleId="291">
    <w:name w:val="xl77"/>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292">
    <w:name w:val="xl164"/>
    <w:basedOn w:val="1"/>
    <w:qFormat/>
    <w:uiPriority w:val="0"/>
    <w:pPr>
      <w:pBdr>
        <w:left w:val="single" w:color="auto" w:sz="4" w:space="0"/>
        <w:bottom w:val="single" w:color="auto" w:sz="4" w:space="0"/>
      </w:pBdr>
      <w:spacing w:before="100" w:beforeAutospacing="1" w:after="100" w:afterAutospacing="1"/>
      <w:jc w:val="left"/>
    </w:pPr>
    <w:rPr>
      <w:rFonts w:cs="Courier New"/>
      <w:kern w:val="0"/>
      <w:sz w:val="23"/>
      <w:szCs w:val="23"/>
    </w:rPr>
  </w:style>
  <w:style w:type="paragraph" w:customStyle="1" w:styleId="293">
    <w:name w:val="xl14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94">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295">
    <w:name w:val="xl184"/>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296">
    <w:name w:val="tabletext"/>
    <w:basedOn w:val="1"/>
    <w:qFormat/>
    <w:uiPriority w:val="0"/>
    <w:pPr>
      <w:spacing w:before="100" w:beforeAutospacing="1" w:after="100" w:afterAutospacing="1" w:line="217" w:lineRule="atLeast"/>
      <w:jc w:val="left"/>
    </w:pPr>
    <w:rPr>
      <w:rFonts w:cs="Courier New"/>
      <w:kern w:val="0"/>
      <w:sz w:val="16"/>
      <w:szCs w:val="16"/>
      <w:lang w:bidi="th-TH"/>
    </w:rPr>
  </w:style>
  <w:style w:type="paragraph" w:customStyle="1" w:styleId="297">
    <w:name w:val="Char Char Char Char Char Char Char Char Char Char Char Char Char"/>
    <w:basedOn w:val="1"/>
    <w:qFormat/>
    <w:uiPriority w:val="0"/>
    <w:pPr>
      <w:spacing w:after="160" w:line="240" w:lineRule="exact"/>
      <w:jc w:val="left"/>
    </w:pPr>
    <w:rPr>
      <w:rFonts w:cs="Courier New"/>
      <w:kern w:val="0"/>
      <w:sz w:val="24"/>
    </w:rPr>
  </w:style>
  <w:style w:type="paragraph" w:customStyle="1" w:styleId="298">
    <w:name w:val="xl144"/>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cs="Courier New"/>
      <w:b/>
      <w:bCs/>
      <w:kern w:val="0"/>
      <w:sz w:val="23"/>
      <w:szCs w:val="23"/>
    </w:rPr>
  </w:style>
  <w:style w:type="paragraph" w:customStyle="1" w:styleId="299">
    <w:name w:val="font6"/>
    <w:basedOn w:val="1"/>
    <w:qFormat/>
    <w:uiPriority w:val="0"/>
    <w:pPr>
      <w:spacing w:before="100" w:beforeAutospacing="1" w:after="100" w:afterAutospacing="1"/>
      <w:jc w:val="left"/>
    </w:pPr>
    <w:rPr>
      <w:rFonts w:cs="Courier New"/>
      <w:b/>
      <w:bCs/>
      <w:kern w:val="0"/>
      <w:sz w:val="23"/>
      <w:szCs w:val="23"/>
    </w:rPr>
  </w:style>
  <w:style w:type="paragraph" w:customStyle="1" w:styleId="300">
    <w:name w:val="xl106"/>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301">
    <w:name w:val="xl24"/>
    <w:basedOn w:val="1"/>
    <w:qFormat/>
    <w:uiPriority w:val="0"/>
    <w:pPr>
      <w:pBdr>
        <w:bottom w:val="single" w:color="auto" w:sz="4" w:space="0"/>
        <w:right w:val="single" w:color="auto" w:sz="4" w:space="0"/>
      </w:pBdr>
      <w:spacing w:before="100" w:beforeAutospacing="1" w:after="100" w:afterAutospacing="1"/>
      <w:jc w:val="center"/>
      <w:textAlignment w:val="center"/>
    </w:pPr>
    <w:rPr>
      <w:rFonts w:ascii="Wingdings" w:hAnsi="Cambria Math" w:eastAsia="Wingdings"/>
      <w:kern w:val="0"/>
      <w:sz w:val="24"/>
    </w:rPr>
  </w:style>
  <w:style w:type="paragraph" w:customStyle="1" w:styleId="302">
    <w:name w:val="xl15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2"/>
      <w:szCs w:val="22"/>
    </w:rPr>
  </w:style>
  <w:style w:type="paragraph" w:customStyle="1" w:styleId="303">
    <w:name w:val="xl84"/>
    <w:basedOn w:val="1"/>
    <w:qFormat/>
    <w:uiPriority w:val="0"/>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cs="宋体"/>
      <w:kern w:val="0"/>
      <w:sz w:val="18"/>
      <w:szCs w:val="18"/>
    </w:rPr>
  </w:style>
  <w:style w:type="paragraph" w:customStyle="1" w:styleId="304">
    <w:name w:val="xl177"/>
    <w:basedOn w:val="1"/>
    <w:qFormat/>
    <w:uiPriority w:val="0"/>
    <w:pPr>
      <w:pBdr>
        <w:top w:val="single" w:color="000000" w:sz="4" w:space="0"/>
        <w:left w:val="single" w:color="000000" w:sz="4" w:space="0"/>
        <w:right w:val="single" w:color="auto" w:sz="4" w:space="0"/>
      </w:pBdr>
      <w:spacing w:before="100" w:beforeAutospacing="1" w:after="100" w:afterAutospacing="1"/>
      <w:jc w:val="center"/>
    </w:pPr>
    <w:rPr>
      <w:rFonts w:cs="Courier New"/>
      <w:kern w:val="0"/>
      <w:sz w:val="22"/>
      <w:szCs w:val="22"/>
    </w:rPr>
  </w:style>
  <w:style w:type="paragraph" w:customStyle="1" w:styleId="305">
    <w:name w:val="xl178"/>
    <w:basedOn w:val="1"/>
    <w:qFormat/>
    <w:uiPriority w:val="0"/>
    <w:pPr>
      <w:pBdr>
        <w:top w:val="single" w:color="auto" w:sz="4" w:space="0"/>
        <w:left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6">
    <w:name w:val="xl13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kern w:val="0"/>
      <w:sz w:val="23"/>
      <w:szCs w:val="23"/>
    </w:rPr>
  </w:style>
  <w:style w:type="paragraph" w:customStyle="1" w:styleId="307">
    <w:name w:val="xl12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08">
    <w:name w:val="Char Char2 Char11"/>
    <w:basedOn w:val="1"/>
    <w:qFormat/>
    <w:uiPriority w:val="0"/>
    <w:rPr>
      <w:b/>
      <w:sz w:val="28"/>
      <w:szCs w:val="28"/>
    </w:rPr>
  </w:style>
  <w:style w:type="paragraph" w:customStyle="1" w:styleId="309">
    <w:name w:val="xl121"/>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cs="Courier New"/>
      <w:kern w:val="0"/>
      <w:sz w:val="23"/>
      <w:szCs w:val="23"/>
    </w:rPr>
  </w:style>
  <w:style w:type="paragraph" w:customStyle="1" w:styleId="310">
    <w:name w:val="xl162"/>
    <w:basedOn w:val="1"/>
    <w:qFormat/>
    <w:uiPriority w:val="0"/>
    <w:pPr>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cs="Courier New"/>
      <w:kern w:val="0"/>
      <w:sz w:val="22"/>
      <w:szCs w:val="22"/>
    </w:rPr>
  </w:style>
  <w:style w:type="paragraph" w:customStyle="1" w:styleId="311">
    <w:name w:val="xl18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color w:val="000000"/>
      <w:kern w:val="0"/>
      <w:sz w:val="23"/>
      <w:szCs w:val="23"/>
    </w:rPr>
  </w:style>
  <w:style w:type="paragraph" w:customStyle="1" w:styleId="312">
    <w:name w:val="xl79"/>
    <w:basedOn w:val="1"/>
    <w:qFormat/>
    <w:uiPriority w:val="0"/>
    <w:pPr>
      <w:shd w:val="clear" w:color="000000" w:fill="FFFFFF"/>
      <w:spacing w:before="100" w:beforeAutospacing="1" w:after="100" w:afterAutospacing="1"/>
      <w:jc w:val="left"/>
    </w:pPr>
    <w:rPr>
      <w:rFonts w:cs="宋体"/>
      <w:kern w:val="0"/>
      <w:sz w:val="22"/>
      <w:szCs w:val="22"/>
    </w:rPr>
  </w:style>
  <w:style w:type="paragraph" w:customStyle="1" w:styleId="313">
    <w:name w:val="题注4"/>
    <w:basedOn w:val="1"/>
    <w:next w:val="14"/>
    <w:qFormat/>
    <w:uiPriority w:val="0"/>
    <w:pPr>
      <w:ind w:left="-132" w:leftChars="-64" w:right="-105" w:rightChars="-50" w:hanging="2"/>
      <w:jc w:val="center"/>
    </w:pPr>
    <w:rPr>
      <w:b/>
      <w:color w:val="FF0000"/>
      <w:szCs w:val="21"/>
      <w:lang w:val="en-GB"/>
    </w:rPr>
  </w:style>
  <w:style w:type="paragraph" w:customStyle="1" w:styleId="314">
    <w:name w:val="办公自动化专用标题"/>
    <w:basedOn w:val="44"/>
    <w:qFormat/>
    <w:uiPriority w:val="0"/>
    <w:pPr>
      <w:spacing w:line="560" w:lineRule="atLeast"/>
    </w:pPr>
    <w:rPr>
      <w:rFonts w:ascii="Courier New" w:cs="宋体"/>
      <w:bCs w:val="0"/>
      <w:sz w:val="44"/>
      <w:szCs w:val="20"/>
    </w:rPr>
  </w:style>
  <w:style w:type="paragraph" w:customStyle="1" w:styleId="315">
    <w:name w:val="xl27"/>
    <w:basedOn w:val="1"/>
    <w:qFormat/>
    <w:uiPriority w:val="0"/>
    <w:pPr>
      <w:pBdr>
        <w:left w:val="single" w:color="auto" w:sz="8" w:space="0"/>
        <w:bottom w:val="single" w:color="auto" w:sz="4" w:space="0"/>
        <w:right w:val="single" w:color="auto" w:sz="4" w:space="0"/>
      </w:pBdr>
      <w:spacing w:before="100" w:beforeAutospacing="1" w:after="100" w:afterAutospacing="1"/>
      <w:jc w:val="center"/>
      <w:textAlignment w:val="center"/>
    </w:pPr>
    <w:rPr>
      <w:kern w:val="0"/>
      <w:szCs w:val="21"/>
    </w:rPr>
  </w:style>
  <w:style w:type="paragraph" w:customStyle="1" w:styleId="316">
    <w:name w:val="缺省文本"/>
    <w:basedOn w:val="1"/>
    <w:qFormat/>
    <w:uiPriority w:val="0"/>
    <w:pPr>
      <w:autoSpaceDE w:val="0"/>
      <w:autoSpaceDN w:val="0"/>
      <w:adjustRightInd w:val="0"/>
      <w:jc w:val="left"/>
    </w:pPr>
    <w:rPr>
      <w:kern w:val="0"/>
      <w:sz w:val="24"/>
      <w:szCs w:val="20"/>
    </w:rPr>
  </w:style>
  <w:style w:type="paragraph" w:customStyle="1" w:styleId="317">
    <w:name w:val="表格文字"/>
    <w:basedOn w:val="1"/>
    <w:qFormat/>
    <w:uiPriority w:val="0"/>
    <w:pPr>
      <w:spacing w:before="25" w:after="25"/>
      <w:jc w:val="left"/>
    </w:pPr>
    <w:rPr>
      <w:bCs/>
      <w:spacing w:val="10"/>
      <w:kern w:val="0"/>
      <w:sz w:val="24"/>
      <w:szCs w:val="20"/>
    </w:rPr>
  </w:style>
  <w:style w:type="paragraph" w:customStyle="1" w:styleId="318">
    <w:name w:val="xl12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paragraph" w:customStyle="1" w:styleId="319">
    <w:name w:val="Char11"/>
    <w:basedOn w:val="1"/>
    <w:qFormat/>
    <w:uiPriority w:val="0"/>
    <w:pPr>
      <w:spacing w:after="160" w:line="240" w:lineRule="exact"/>
      <w:jc w:val="left"/>
    </w:pPr>
    <w:rPr>
      <w:rFonts w:eastAsia="SimSun-Identity-H"/>
      <w:kern w:val="0"/>
      <w:sz w:val="24"/>
      <w:szCs w:val="20"/>
      <w:lang w:eastAsia="en-US"/>
    </w:rPr>
  </w:style>
  <w:style w:type="paragraph" w:customStyle="1" w:styleId="320">
    <w:name w:val="xl91"/>
    <w:basedOn w:val="1"/>
    <w:qFormat/>
    <w:uiPriority w:val="0"/>
    <w:pPr>
      <w:shd w:val="clear" w:color="000000" w:fill="FFFFFF"/>
      <w:spacing w:before="100" w:beforeAutospacing="1" w:after="100" w:afterAutospacing="1"/>
      <w:jc w:val="left"/>
    </w:pPr>
    <w:rPr>
      <w:rFonts w:cs="Courier New"/>
      <w:kern w:val="0"/>
      <w:sz w:val="23"/>
      <w:szCs w:val="23"/>
    </w:rPr>
  </w:style>
  <w:style w:type="paragraph" w:customStyle="1" w:styleId="321">
    <w:name w:val="列表段落2"/>
    <w:basedOn w:val="1"/>
    <w:qFormat/>
    <w:uiPriority w:val="34"/>
    <w:pPr>
      <w:ind w:firstLine="420" w:firstLineChars="200"/>
    </w:pPr>
    <w:rPr>
      <w:rFonts w:ascii="华文中宋" w:hAnsi="华文中宋" w:eastAsia="Courier New"/>
      <w:szCs w:val="20"/>
    </w:rPr>
  </w:style>
  <w:style w:type="paragraph" w:customStyle="1" w:styleId="322">
    <w:name w:val="xl13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cs="Courier New"/>
      <w:b/>
      <w:bCs/>
      <w:kern w:val="0"/>
      <w:sz w:val="23"/>
      <w:szCs w:val="23"/>
    </w:rPr>
  </w:style>
  <w:style w:type="table" w:customStyle="1" w:styleId="323">
    <w:name w:val="网格型3"/>
    <w:basedOn w:val="48"/>
    <w:qFormat/>
    <w:uiPriority w:val="39"/>
    <w:rPr>
      <w:rFonts w:ascii="等线" w:hAnsi="等线" w:eastAsia="等线"/>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4">
    <w:name w:val="网格型21"/>
    <w:basedOn w:val="48"/>
    <w:qFormat/>
    <w:uiPriority w:val="39"/>
    <w:rPr>
      <w:rFonts w:eastAsia="Calibri"/>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5">
    <w:name w:val="网格型4"/>
    <w:basedOn w:val="48"/>
    <w:qFormat/>
    <w:uiPriority w:val="39"/>
    <w:rPr>
      <w:rFonts w:ascii="等线" w:hAnsi="等线" w:eastAsia="等线"/>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6">
    <w:name w:val="网格型2"/>
    <w:basedOn w:val="48"/>
    <w:qFormat/>
    <w:uiPriority w:val="39"/>
    <w:rPr>
      <w:rFonts w:eastAsia="Calibri" w:cs="微软雅黑"/>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7">
    <w:name w:val="网格型1"/>
    <w:basedOn w:val="48"/>
    <w:qFormat/>
    <w:uiPriority w:val="0"/>
    <w:pPr>
      <w:widowControl w:val="0"/>
    </w:pPr>
    <w:rPr>
      <w:rFonts w:ascii="微软雅黑" w:hAnsi="微软雅黑"/>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28">
    <w:name w:val="网格型11"/>
    <w:basedOn w:val="48"/>
    <w:qFormat/>
    <w:uiPriority w:val="39"/>
    <w:pPr>
      <w:widowControl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9">
    <w:name w:val="_Style 3"/>
    <w:basedOn w:val="1"/>
    <w:next w:val="129"/>
    <w:qFormat/>
    <w:uiPriority w:val="34"/>
    <w:pPr>
      <w:spacing w:line="240" w:lineRule="atLeast"/>
      <w:ind w:firstLine="420" w:firstLineChars="200"/>
      <w:jc w:val="left"/>
    </w:pPr>
    <w:rPr>
      <w:rFonts w:ascii="仿宋体" w:hAnsi="仿宋体" w:eastAsia="Arial" w:cs="Arial"/>
      <w:kern w:val="0"/>
      <w:sz w:val="24"/>
    </w:rPr>
  </w:style>
  <w:style w:type="paragraph" w:customStyle="1" w:styleId="330">
    <w:name w:val="Table Paragraph"/>
    <w:basedOn w:val="1"/>
    <w:qFormat/>
    <w:uiPriority w:val="0"/>
    <w:pPr>
      <w:autoSpaceDE w:val="0"/>
      <w:autoSpaceDN w:val="0"/>
      <w:adjustRightInd w:val="0"/>
      <w:jc w:val="left"/>
    </w:pPr>
    <w:rPr>
      <w:kern w:val="0"/>
      <w:sz w:val="24"/>
    </w:rPr>
  </w:style>
  <w:style w:type="character" w:customStyle="1" w:styleId="331">
    <w:name w:val="彩色列表 - 着色 1 字符"/>
    <w:link w:val="332"/>
    <w:qFormat/>
    <w:uiPriority w:val="34"/>
    <w:rPr>
      <w:rFonts w:ascii="华文中宋" w:hAnsi="华文中宋"/>
      <w:kern w:val="1"/>
      <w:lang w:eastAsia="ar-SA"/>
    </w:rPr>
  </w:style>
  <w:style w:type="paragraph" w:customStyle="1" w:styleId="332">
    <w:name w:val="彩色列表 - 强调文字颜色 11"/>
    <w:basedOn w:val="1"/>
    <w:link w:val="331"/>
    <w:qFormat/>
    <w:uiPriority w:val="34"/>
    <w:pPr>
      <w:suppressAutoHyphens/>
      <w:ind w:firstLine="420"/>
    </w:pPr>
    <w:rPr>
      <w:rFonts w:ascii="华文中宋" w:hAnsi="华文中宋"/>
      <w:kern w:val="1"/>
      <w:sz w:val="20"/>
      <w:szCs w:val="20"/>
      <w:lang w:eastAsia="ar-SA"/>
    </w:rPr>
  </w:style>
  <w:style w:type="paragraph" w:customStyle="1" w:styleId="333">
    <w:name w:val="_Style 329"/>
    <w:basedOn w:val="20"/>
    <w:next w:val="47"/>
    <w:link w:val="334"/>
    <w:qFormat/>
    <w:uiPriority w:val="0"/>
    <w:pPr>
      <w:adjustRightInd/>
      <w:snapToGrid/>
      <w:spacing w:after="120" w:line="240" w:lineRule="auto"/>
      <w:ind w:left="420" w:leftChars="200"/>
    </w:pPr>
    <w:rPr>
      <w:rFonts w:ascii="Times New Roman" w:hAnsi="Times New Roman"/>
      <w:kern w:val="0"/>
      <w:sz w:val="20"/>
      <w:szCs w:val="20"/>
    </w:rPr>
  </w:style>
  <w:style w:type="character" w:customStyle="1" w:styleId="334">
    <w:name w:val="正文首行缩进 2 Char"/>
    <w:link w:val="333"/>
    <w:qFormat/>
    <w:uiPriority w:val="0"/>
  </w:style>
  <w:style w:type="character" w:customStyle="1" w:styleId="335">
    <w:name w:val="文档结构图 字符"/>
    <w:link w:val="15"/>
    <w:qFormat/>
    <w:uiPriority w:val="99"/>
    <w:rPr>
      <w:kern w:val="2"/>
      <w:sz w:val="21"/>
      <w:szCs w:val="24"/>
      <w:shd w:val="clear" w:color="auto" w:fill="000080"/>
    </w:rPr>
  </w:style>
  <w:style w:type="character" w:customStyle="1" w:styleId="336">
    <w:name w:val="称呼 字符"/>
    <w:link w:val="17"/>
    <w:qFormat/>
    <w:uiPriority w:val="0"/>
    <w:rPr>
      <w:kern w:val="2"/>
      <w:sz w:val="21"/>
      <w:szCs w:val="24"/>
    </w:rPr>
  </w:style>
  <w:style w:type="character" w:customStyle="1" w:styleId="337">
    <w:name w:val="正文文本 3 字符"/>
    <w:link w:val="18"/>
    <w:qFormat/>
    <w:uiPriority w:val="0"/>
    <w:rPr>
      <w:kern w:val="2"/>
      <w:sz w:val="16"/>
      <w:szCs w:val="16"/>
    </w:rPr>
  </w:style>
  <w:style w:type="character" w:customStyle="1" w:styleId="338">
    <w:name w:val="正文文本首行缩进 字符"/>
    <w:link w:val="46"/>
    <w:qFormat/>
    <w:uiPriority w:val="99"/>
    <w:rPr>
      <w:rFonts w:ascii="宋体" w:hAnsi="宋体"/>
      <w:kern w:val="2"/>
      <w:sz w:val="21"/>
      <w:szCs w:val="24"/>
    </w:rPr>
  </w:style>
  <w:style w:type="character" w:customStyle="1" w:styleId="339">
    <w:name w:val="z-窗体顶端 字符1"/>
    <w:qFormat/>
    <w:uiPriority w:val="99"/>
    <w:rPr>
      <w:rFonts w:ascii="Arial" w:hAnsi="Arial" w:eastAsia="宋体" w:cs="Arial"/>
      <w:vanish/>
      <w:sz w:val="16"/>
      <w:szCs w:val="16"/>
    </w:rPr>
  </w:style>
  <w:style w:type="character" w:customStyle="1" w:styleId="340">
    <w:name w:val="未处理的提及11"/>
    <w:qFormat/>
    <w:uiPriority w:val="99"/>
    <w:rPr>
      <w:color w:val="605E5C"/>
      <w:shd w:val="clear" w:color="auto" w:fill="E1DFDD"/>
    </w:rPr>
  </w:style>
  <w:style w:type="paragraph" w:customStyle="1" w:styleId="341">
    <w:name w:val="z-窗体顶端11"/>
    <w:basedOn w:val="1"/>
    <w:qFormat/>
    <w:uiPriority w:val="34"/>
    <w:pPr>
      <w:tabs>
        <w:tab w:val="left" w:pos="1276"/>
      </w:tabs>
      <w:ind w:firstLine="420" w:firstLineChars="200"/>
    </w:pPr>
    <w:rPr>
      <w:rFonts w:ascii="Times New Roman" w:hAnsi="Times New Roman"/>
    </w:rPr>
  </w:style>
  <w:style w:type="paragraph" w:customStyle="1" w:styleId="342">
    <w:name w:val="Char Char Char Char1"/>
    <w:basedOn w:val="1"/>
    <w:qFormat/>
    <w:uiPriority w:val="0"/>
    <w:pPr>
      <w:spacing w:after="160" w:line="240" w:lineRule="exact"/>
      <w:jc w:val="left"/>
    </w:pPr>
    <w:rPr>
      <w:kern w:val="0"/>
      <w:sz w:val="20"/>
      <w:szCs w:val="20"/>
      <w:lang w:eastAsia="en-US"/>
    </w:rPr>
  </w:style>
  <w:style w:type="paragraph" w:customStyle="1" w:styleId="343">
    <w:name w:val="Char Char131"/>
    <w:basedOn w:val="1"/>
    <w:qFormat/>
    <w:uiPriority w:val="0"/>
    <w:pPr>
      <w:spacing w:after="160" w:line="240" w:lineRule="exact"/>
      <w:jc w:val="left"/>
    </w:pPr>
    <w:rPr>
      <w:rFonts w:eastAsia="SimSun-Identity-H"/>
      <w:kern w:val="0"/>
      <w:sz w:val="24"/>
      <w:szCs w:val="20"/>
      <w:lang w:eastAsia="en-US"/>
    </w:rPr>
  </w:style>
  <w:style w:type="paragraph" w:customStyle="1" w:styleId="344">
    <w:name w:val="Char Char Char1"/>
    <w:basedOn w:val="1"/>
    <w:qFormat/>
    <w:uiPriority w:val="0"/>
    <w:pPr>
      <w:spacing w:after="160" w:line="240" w:lineRule="exact"/>
      <w:jc w:val="left"/>
    </w:pPr>
    <w:rPr>
      <w:rFonts w:ascii="Times New Roman" w:hAnsi="Times New Roman"/>
      <w:szCs w:val="20"/>
    </w:rPr>
  </w:style>
  <w:style w:type="paragraph" w:customStyle="1" w:styleId="345">
    <w:name w:val="彩色底纹 - 强调文字颜色 11"/>
    <w:qFormat/>
    <w:uiPriority w:val="99"/>
    <w:pPr>
      <w:spacing w:line="360" w:lineRule="auto"/>
      <w:jc w:val="both"/>
    </w:pPr>
    <w:rPr>
      <w:rFonts w:ascii="Times New Roman" w:hAnsi="Times New Roman" w:eastAsia="宋体" w:cs="Times New Roman"/>
      <w:kern w:val="2"/>
      <w:sz w:val="21"/>
      <w:szCs w:val="24"/>
      <w:lang w:val="en-US" w:eastAsia="zh-CN" w:bidi="ar-SA"/>
    </w:rPr>
  </w:style>
  <w:style w:type="paragraph" w:customStyle="1" w:styleId="346">
    <w:name w:val="Char Char Char Char Char Char Char Char Char Char Char Char1 Char1"/>
    <w:basedOn w:val="15"/>
    <w:qFormat/>
    <w:uiPriority w:val="0"/>
    <w:rPr>
      <w:rFonts w:ascii="Times New Roman" w:hAnsi="Times New Roman"/>
    </w:rPr>
  </w:style>
  <w:style w:type="paragraph" w:customStyle="1" w:styleId="347">
    <w:name w:val="Char Char Char Char Char Char Char1"/>
    <w:basedOn w:val="1"/>
    <w:qFormat/>
    <w:uiPriority w:val="0"/>
    <w:pPr>
      <w:tabs>
        <w:tab w:val="left" w:pos="425"/>
      </w:tabs>
      <w:ind w:left="425" w:hanging="425"/>
    </w:pPr>
    <w:rPr>
      <w:rFonts w:ascii="Times New Roman" w:hAnsi="Times New Roman" w:eastAsia="SimSun-Identity-H"/>
      <w:kern w:val="24"/>
      <w:sz w:val="24"/>
    </w:rPr>
  </w:style>
  <w:style w:type="paragraph" w:customStyle="1" w:styleId="348">
    <w:name w:val="Char Char1"/>
    <w:basedOn w:val="1"/>
    <w:qFormat/>
    <w:uiPriority w:val="0"/>
    <w:rPr>
      <w:b/>
      <w:sz w:val="28"/>
      <w:szCs w:val="28"/>
    </w:rPr>
  </w:style>
  <w:style w:type="paragraph" w:customStyle="1" w:styleId="349">
    <w:name w:val="中等深浅网格 21"/>
    <w:qFormat/>
    <w:uiPriority w:val="1"/>
    <w:pPr>
      <w:widowControl w:val="0"/>
      <w:spacing w:line="360" w:lineRule="auto"/>
      <w:jc w:val="both"/>
    </w:pPr>
    <w:rPr>
      <w:rFonts w:ascii="Times New Roman" w:hAnsi="Times New Roman" w:eastAsia="宋体" w:cs="Times New Roman"/>
      <w:kern w:val="2"/>
      <w:sz w:val="24"/>
      <w:szCs w:val="22"/>
      <w:lang w:val="en-US" w:eastAsia="zh-CN" w:bidi="ar-SA"/>
    </w:rPr>
  </w:style>
  <w:style w:type="paragraph" w:customStyle="1" w:styleId="350">
    <w:name w:val="Char1 Char Char Char1"/>
    <w:basedOn w:val="1"/>
    <w:qFormat/>
    <w:uiPriority w:val="0"/>
    <w:pPr>
      <w:numPr>
        <w:ilvl w:val="0"/>
        <w:numId w:val="3"/>
      </w:numPr>
    </w:pPr>
    <w:rPr>
      <w:rFonts w:ascii="Times New Roman" w:hAnsi="Times New Roman"/>
      <w:sz w:val="24"/>
    </w:rPr>
  </w:style>
  <w:style w:type="paragraph" w:customStyle="1" w:styleId="351">
    <w:name w:val="Char Char Char Char Char Char1 Char1"/>
    <w:basedOn w:val="1"/>
    <w:qFormat/>
    <w:uiPriority w:val="0"/>
    <w:pPr>
      <w:spacing w:after="160" w:line="240" w:lineRule="exact"/>
      <w:jc w:val="left"/>
    </w:pPr>
    <w:rPr>
      <w:kern w:val="0"/>
      <w:szCs w:val="20"/>
      <w:lang w:eastAsia="en-US"/>
    </w:rPr>
  </w:style>
  <w:style w:type="paragraph" w:customStyle="1" w:styleId="352">
    <w:name w:val="Char Char Char Char Char Char Char Char Char Char1"/>
    <w:basedOn w:val="1"/>
    <w:qFormat/>
    <w:uiPriority w:val="0"/>
    <w:pPr>
      <w:adjustRightInd w:val="0"/>
    </w:pPr>
    <w:rPr>
      <w:rFonts w:ascii="Times New Roman" w:hAnsi="Times New Roman"/>
      <w:kern w:val="0"/>
      <w:sz w:val="24"/>
      <w:szCs w:val="20"/>
    </w:rPr>
  </w:style>
  <w:style w:type="paragraph" w:customStyle="1" w:styleId="353">
    <w:name w:val="Char Char Char Char Char Char Char Char Char Char Char Char Char1"/>
    <w:basedOn w:val="1"/>
    <w:qFormat/>
    <w:uiPriority w:val="0"/>
    <w:pPr>
      <w:spacing w:after="160" w:line="240" w:lineRule="exact"/>
      <w:jc w:val="left"/>
    </w:pPr>
    <w:rPr>
      <w:rFonts w:cs="Courier New"/>
      <w:kern w:val="0"/>
      <w:sz w:val="24"/>
    </w:rPr>
  </w:style>
  <w:style w:type="paragraph" w:customStyle="1" w:styleId="354">
    <w:name w:val="Char Char2 Char1"/>
    <w:basedOn w:val="1"/>
    <w:qFormat/>
    <w:uiPriority w:val="0"/>
    <w:rPr>
      <w:b/>
      <w:sz w:val="28"/>
      <w:szCs w:val="28"/>
    </w:rPr>
  </w:style>
  <w:style w:type="paragraph" w:customStyle="1" w:styleId="355">
    <w:name w:val="Char1"/>
    <w:basedOn w:val="1"/>
    <w:qFormat/>
    <w:uiPriority w:val="0"/>
    <w:pPr>
      <w:spacing w:after="160" w:line="240" w:lineRule="exact"/>
      <w:jc w:val="left"/>
    </w:pPr>
    <w:rPr>
      <w:rFonts w:eastAsia="SimSun-Identity-H"/>
      <w:kern w:val="0"/>
      <w:sz w:val="24"/>
      <w:szCs w:val="20"/>
      <w:lang w:eastAsia="en-US"/>
    </w:rPr>
  </w:style>
  <w:style w:type="paragraph" w:customStyle="1" w:styleId="356">
    <w:name w:val="列表段落21"/>
    <w:basedOn w:val="1"/>
    <w:qFormat/>
    <w:uiPriority w:val="34"/>
    <w:pPr>
      <w:ind w:firstLine="420" w:firstLineChars="200"/>
    </w:pPr>
    <w:rPr>
      <w:rFonts w:ascii="华文中宋" w:hAnsi="华文中宋" w:eastAsia="Courier New"/>
      <w:szCs w:val="20"/>
    </w:rPr>
  </w:style>
  <w:style w:type="character" w:customStyle="1" w:styleId="357">
    <w:name w:val="font101"/>
    <w:qFormat/>
    <w:uiPriority w:val="0"/>
    <w:rPr>
      <w:rFonts w:hint="eastAsia" w:ascii="宋体" w:hAnsi="宋体" w:eastAsia="宋体" w:cs="宋体"/>
      <w:color w:val="000000"/>
      <w:sz w:val="22"/>
      <w:szCs w:val="22"/>
      <w:u w:val="none"/>
    </w:rPr>
  </w:style>
  <w:style w:type="paragraph" w:customStyle="1" w:styleId="358">
    <w:name w:val="B"/>
    <w:basedOn w:val="19"/>
    <w:link w:val="359"/>
    <w:qFormat/>
    <w:uiPriority w:val="1"/>
    <w:pPr>
      <w:autoSpaceDE w:val="0"/>
      <w:autoSpaceDN w:val="0"/>
      <w:ind w:firstLine="480" w:firstLineChars="200"/>
      <w:jc w:val="left"/>
    </w:pPr>
    <w:rPr>
      <w:rFonts w:cs="宋体"/>
      <w:sz w:val="24"/>
      <w:lang w:eastAsia="en-US"/>
    </w:rPr>
  </w:style>
  <w:style w:type="character" w:customStyle="1" w:styleId="359">
    <w:name w:val="B 字符"/>
    <w:basedOn w:val="64"/>
    <w:link w:val="358"/>
    <w:qFormat/>
    <w:uiPriority w:val="1"/>
    <w:rPr>
      <w:rFonts w:ascii="宋体" w:hAnsi="宋体" w:cs="宋体"/>
      <w:kern w:val="2"/>
      <w:sz w:val="24"/>
      <w:szCs w:val="24"/>
      <w:lang w:eastAsia="en-US"/>
    </w:rPr>
  </w:style>
  <w:style w:type="paragraph" w:customStyle="1" w:styleId="360">
    <w:name w:val="D"/>
    <w:basedOn w:val="358"/>
    <w:link w:val="361"/>
    <w:qFormat/>
    <w:uiPriority w:val="1"/>
    <w:pPr>
      <w:ind w:firstLine="0" w:firstLineChars="0"/>
      <w:jc w:val="both"/>
      <w:outlineLvl w:val="2"/>
    </w:pPr>
    <w:rPr>
      <w:b/>
      <w:bCs/>
      <w:kern w:val="0"/>
    </w:rPr>
  </w:style>
  <w:style w:type="character" w:customStyle="1" w:styleId="361">
    <w:name w:val="D 字符"/>
    <w:link w:val="360"/>
    <w:qFormat/>
    <w:uiPriority w:val="1"/>
    <w:rPr>
      <w:rFonts w:ascii="宋体" w:hAnsi="宋体" w:cs="宋体"/>
      <w:b/>
      <w:bCs/>
      <w:sz w:val="24"/>
      <w:szCs w:val="24"/>
      <w:lang w:eastAsia="en-US"/>
    </w:rPr>
  </w:style>
  <w:style w:type="character" w:customStyle="1" w:styleId="362">
    <w:name w:val="正文缩进 Char"/>
    <w:qFormat/>
    <w:uiPriority w:val="0"/>
    <w:rPr>
      <w:rFonts w:ascii="文鼎CS中黑" w:eastAsia="文鼎CS中黑"/>
      <w:sz w:val="34"/>
    </w:rPr>
  </w:style>
  <w:style w:type="character" w:customStyle="1" w:styleId="363">
    <w:name w:val="批注文字 字符1"/>
    <w:qFormat/>
    <w:uiPriority w:val="0"/>
    <w:rPr>
      <w:rFonts w:ascii="宋体" w:hAnsi="宋体" w:cs="宋体"/>
      <w:sz w:val="24"/>
      <w:szCs w:val="24"/>
    </w:rPr>
  </w:style>
  <w:style w:type="paragraph" w:customStyle="1" w:styleId="364">
    <w:name w:val="列表段落3"/>
    <w:basedOn w:val="1"/>
    <w:qFormat/>
    <w:uiPriority w:val="0"/>
    <w:pPr>
      <w:autoSpaceDE w:val="0"/>
      <w:autoSpaceDN w:val="0"/>
      <w:ind w:left="124" w:firstLine="378"/>
      <w:jc w:val="left"/>
    </w:pPr>
    <w:rPr>
      <w:rFonts w:cs="宋体"/>
      <w:kern w:val="0"/>
      <w:sz w:val="22"/>
      <w:szCs w:val="22"/>
    </w:rPr>
  </w:style>
  <w:style w:type="paragraph" w:customStyle="1" w:styleId="365">
    <w:name w:val="正文1"/>
    <w:qFormat/>
    <w:uiPriority w:val="0"/>
    <w:pPr>
      <w:spacing w:line="240" w:lineRule="auto"/>
      <w:jc w:val="both"/>
    </w:pPr>
    <w:rPr>
      <w:rFonts w:ascii="Calibri" w:hAnsi="Calibri" w:eastAsia="宋体" w:cs="Calibri"/>
      <w:kern w:val="2"/>
      <w:sz w:val="21"/>
      <w:szCs w:val="21"/>
      <w:lang w:val="en-US" w:eastAsia="zh-CN" w:bidi="ar-SA"/>
    </w:rPr>
  </w:style>
  <w:style w:type="paragraph" w:customStyle="1" w:styleId="366">
    <w:name w:val="C"/>
    <w:basedOn w:val="1"/>
    <w:link w:val="367"/>
    <w:qFormat/>
    <w:uiPriority w:val="1"/>
    <w:pPr>
      <w:widowControl w:val="0"/>
      <w:autoSpaceDE w:val="0"/>
      <w:autoSpaceDN w:val="0"/>
      <w:jc w:val="left"/>
      <w:outlineLvl w:val="1"/>
    </w:pPr>
    <w:rPr>
      <w:rFonts w:cs="宋体"/>
      <w:b/>
      <w:bCs/>
      <w:kern w:val="0"/>
      <w:sz w:val="24"/>
      <w:lang w:eastAsia="en-US"/>
    </w:rPr>
  </w:style>
  <w:style w:type="character" w:customStyle="1" w:styleId="367">
    <w:name w:val="C 字符"/>
    <w:basedOn w:val="50"/>
    <w:link w:val="366"/>
    <w:qFormat/>
    <w:uiPriority w:val="1"/>
    <w:rPr>
      <w:rFonts w:ascii="宋体" w:hAnsi="宋体" w:cs="宋体"/>
      <w:b/>
      <w:bCs/>
      <w:kern w:val="0"/>
      <w:sz w:val="24"/>
      <w:lang w:eastAsia="en-US"/>
    </w:rPr>
  </w:style>
  <w:style w:type="paragraph" w:customStyle="1" w:styleId="368">
    <w:name w:val="列表段落4"/>
    <w:basedOn w:val="1"/>
    <w:qFormat/>
    <w:uiPriority w:val="0"/>
    <w:pPr>
      <w:widowControl w:val="0"/>
      <w:autoSpaceDE w:val="0"/>
      <w:autoSpaceDN w:val="0"/>
      <w:spacing w:line="240" w:lineRule="auto"/>
      <w:ind w:left="106" w:firstLine="384"/>
      <w:jc w:val="left"/>
    </w:pPr>
    <w:rPr>
      <w:rFonts w:cs="宋体"/>
      <w:kern w:val="0"/>
      <w:sz w:val="22"/>
      <w:szCs w:val="22"/>
    </w:rPr>
  </w:style>
  <w:style w:type="paragraph" w:customStyle="1" w:styleId="369">
    <w:name w:val="正文2"/>
    <w:qFormat/>
    <w:uiPriority w:val="0"/>
    <w:pPr>
      <w:spacing w:line="240" w:lineRule="auto"/>
      <w:jc w:val="both"/>
    </w:pPr>
    <w:rPr>
      <w:rFonts w:ascii="Calibri" w:hAnsi="Calibri" w:eastAsia="宋体" w:cs="Calibri"/>
      <w:kern w:val="2"/>
      <w:sz w:val="21"/>
      <w:szCs w:val="21"/>
      <w:lang w:val="en-US" w:eastAsia="zh-CN" w:bidi="ar-SA"/>
    </w:rPr>
  </w:style>
  <w:style w:type="character" w:customStyle="1" w:styleId="370">
    <w:name w:val="Unresolved Mention"/>
    <w:basedOn w:val="50"/>
    <w:semiHidden/>
    <w:unhideWhenUsed/>
    <w:qFormat/>
    <w:uiPriority w:val="99"/>
    <w:rPr>
      <w:color w:val="605E5C"/>
      <w:shd w:val="clear" w:color="auto" w:fill="E1DFDD"/>
    </w:rPr>
  </w:style>
  <w:style w:type="paragraph" w:customStyle="1" w:styleId="371">
    <w:name w:val="A"/>
    <w:basedOn w:val="1"/>
    <w:link w:val="372"/>
    <w:qFormat/>
    <w:uiPriority w:val="1"/>
    <w:pPr>
      <w:widowControl w:val="0"/>
      <w:autoSpaceDE w:val="0"/>
      <w:autoSpaceDN w:val="0"/>
      <w:jc w:val="left"/>
    </w:pPr>
    <w:rPr>
      <w:rFonts w:cs="宋体"/>
      <w:b/>
      <w:bCs/>
      <w:kern w:val="0"/>
      <w:sz w:val="24"/>
      <w:lang w:eastAsia="en-US"/>
    </w:rPr>
  </w:style>
  <w:style w:type="character" w:customStyle="1" w:styleId="372">
    <w:name w:val="A 字符"/>
    <w:basedOn w:val="50"/>
    <w:link w:val="371"/>
    <w:qFormat/>
    <w:uiPriority w:val="1"/>
    <w:rPr>
      <w:rFonts w:ascii="宋体" w:hAnsi="宋体" w:cs="宋体"/>
      <w:b/>
      <w:bCs/>
      <w:kern w:val="0"/>
      <w:sz w:val="24"/>
      <w:lang w:eastAsia="en-US"/>
    </w:rPr>
  </w:style>
  <w:style w:type="character" w:customStyle="1" w:styleId="373">
    <w:name w:val="正文文本首行缩进 2 字符1"/>
    <w:qFormat/>
    <w:uiPriority w:val="99"/>
    <w:rPr>
      <w:kern w:val="2"/>
      <w:sz w:val="21"/>
      <w:szCs w:val="24"/>
    </w:rPr>
  </w:style>
  <w:style w:type="paragraph" w:customStyle="1" w:styleId="374">
    <w:name w:val="null3"/>
    <w:hidden/>
    <w:qFormat/>
    <w:uiPriority w:val="0"/>
    <w:rPr>
      <w:rFonts w:hint="eastAsia" w:asciiTheme="minorHAnsi" w:hAnsiTheme="minorHAnsi" w:eastAsiaTheme="minorEastAsia" w:cstheme="minorBidi"/>
      <w:lang w:val="en-US" w:eastAsia="zh-Hans"/>
    </w:rPr>
  </w:style>
  <w:style w:type="paragraph" w:customStyle="1" w:styleId="375">
    <w:name w:val="paragraphindent"/>
    <w:basedOn w:val="1"/>
    <w:qFormat/>
    <w:uiPriority w:val="0"/>
    <w:pPr>
      <w:widowControl/>
      <w:spacing w:before="43" w:after="43"/>
      <w:jc w:val="left"/>
    </w:pPr>
    <w:rPr>
      <w:rFonts w:ascii="宋体" w:hAnsi="宋体" w:eastAsia="宋体" w:cs="宋体"/>
      <w:kern w:val="0"/>
      <w:sz w:val="24"/>
      <w:szCs w:val="24"/>
    </w:rPr>
  </w:style>
  <w:style w:type="character" w:customStyle="1" w:styleId="376">
    <w:name w:val="NormalCharacter"/>
    <w:qFormat/>
    <w:uiPriority w:val="0"/>
  </w:style>
  <w:style w:type="paragraph" w:customStyle="1" w:styleId="377">
    <w:name w:val="List Paragraph_65e27187-2745-4bfa-8841-21597b5794fb"/>
    <w:basedOn w:val="1"/>
    <w:qFormat/>
    <w:uiPriority w:val="0"/>
    <w:pPr>
      <w:ind w:firstLine="420" w:firstLineChars="200"/>
    </w:pPr>
    <w:rPr>
      <w:rFonts w:eastAsia="仿宋_GB2312"/>
      <w:sz w:val="28"/>
      <w:szCs w:val="28"/>
    </w:rPr>
  </w:style>
  <w:style w:type="paragraph" w:customStyle="1" w:styleId="378">
    <w:name w:val="Table Text"/>
    <w:basedOn w:val="1"/>
    <w:semiHidden/>
    <w:qFormat/>
    <w:uiPriority w:val="0"/>
    <w:pPr>
      <w:widowControl/>
      <w:kinsoku w:val="0"/>
      <w:adjustRightInd w:val="0"/>
      <w:snapToGrid w:val="0"/>
      <w:spacing w:after="160"/>
      <w:textAlignment w:val="baseline"/>
    </w:pPr>
    <w:rPr>
      <w:snapToGrid w:val="0"/>
      <w:color w:val="000000"/>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header" Target="header5.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84</Pages>
  <Words>5714</Words>
  <Characters>6201</Characters>
  <Lines>326</Lines>
  <Paragraphs>91</Paragraphs>
  <TotalTime>58</TotalTime>
  <ScaleCrop>false</ScaleCrop>
  <LinksUpToDate>false</LinksUpToDate>
  <CharactersWithSpaces>6372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永际工作室</dc:creator>
  <cp:lastModifiedBy>星垂野</cp:lastModifiedBy>
  <cp:lastPrinted>2022-03-07T16:38:00Z</cp:lastPrinted>
  <dcterms:modified xsi:type="dcterms:W3CDTF">2026-06-12T06:54:18Z</dcterms:modified>
  <cp:revision>333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F448B752FE054EA8B7383A1437BD4626_13</vt:lpwstr>
  </property>
  <property fmtid="{D5CDD505-2E9C-101B-9397-08002B2CF9AE}" pid="4" name="KSOTemplateDocerSaveRecord">
    <vt:lpwstr>eyJoZGlkIjoiMDk2OTA1NDkwMDRkYzM1ZjcyOTU0MGYwZjMwMjMzM2IiLCJ1c2VySWQiOiI2MDQyNjU5NzIifQ==</vt:lpwstr>
  </property>
</Properties>
</file>